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rPr>
          <w:rFonts w:ascii="Times New Roman"/>
          <w:sz w:val="20"/>
        </w:rPr>
      </w:pPr>
      <w:bookmarkStart w:id="1360" w:name="_GoBack"/>
      <w:bookmarkEnd w:id="1360"/>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8"/>
        <w:rPr>
          <w:rFonts w:ascii="Times New Roman"/>
          <w:sz w:val="15"/>
        </w:rPr>
      </w:pPr>
    </w:p>
    <w:p>
      <w:pPr>
        <w:spacing w:before="28" w:line="285" w:lineRule="auto"/>
        <w:ind w:left="1553" w:right="1588" w:firstLine="0"/>
        <w:jc w:val="center"/>
        <w:rPr>
          <w:rFonts w:hint="eastAsia" w:ascii="黑体" w:eastAsia="黑体"/>
          <w:sz w:val="52"/>
        </w:rPr>
      </w:pPr>
      <w:r>
        <w:rPr>
          <w:rFonts w:hint="eastAsia" w:ascii="黑体" w:eastAsia="黑体"/>
          <w:sz w:val="52"/>
        </w:rPr>
        <w:t>双鸭山大顺矿业有限公司改扩建项目</w:t>
      </w:r>
    </w:p>
    <w:p>
      <w:pPr>
        <w:pStyle w:val="6"/>
        <w:spacing w:before="7"/>
        <w:rPr>
          <w:rFonts w:ascii="黑体"/>
          <w:sz w:val="62"/>
        </w:rPr>
      </w:pPr>
    </w:p>
    <w:p>
      <w:pPr>
        <w:tabs>
          <w:tab w:val="left" w:pos="1079"/>
          <w:tab w:val="left" w:pos="2159"/>
          <w:tab w:val="left" w:pos="3239"/>
          <w:tab w:val="left" w:pos="4319"/>
          <w:tab w:val="left" w:pos="5399"/>
          <w:tab w:val="left" w:pos="6479"/>
        </w:tabs>
        <w:spacing w:before="0"/>
        <w:ind w:left="0" w:right="41" w:firstLine="0"/>
        <w:jc w:val="center"/>
        <w:rPr>
          <w:rFonts w:hint="eastAsia" w:ascii="黑体" w:eastAsia="黑体"/>
          <w:sz w:val="72"/>
        </w:rPr>
      </w:pPr>
      <w:r>
        <w:rPr>
          <w:rFonts w:hint="eastAsia" w:ascii="黑体" w:eastAsia="黑体"/>
          <w:sz w:val="72"/>
        </w:rPr>
        <w:t>环</w:t>
      </w:r>
      <w:r>
        <w:rPr>
          <w:rFonts w:hint="eastAsia" w:ascii="黑体" w:eastAsia="黑体"/>
          <w:sz w:val="72"/>
        </w:rPr>
        <w:tab/>
      </w:r>
      <w:r>
        <w:rPr>
          <w:rFonts w:hint="eastAsia" w:ascii="黑体" w:eastAsia="黑体"/>
          <w:sz w:val="72"/>
        </w:rPr>
        <w:t>境</w:t>
      </w:r>
      <w:r>
        <w:rPr>
          <w:rFonts w:hint="eastAsia" w:ascii="黑体" w:eastAsia="黑体"/>
          <w:sz w:val="72"/>
        </w:rPr>
        <w:tab/>
      </w:r>
      <w:r>
        <w:rPr>
          <w:rFonts w:hint="eastAsia" w:ascii="黑体" w:eastAsia="黑体"/>
          <w:sz w:val="72"/>
        </w:rPr>
        <w:t>影</w:t>
      </w:r>
      <w:r>
        <w:rPr>
          <w:rFonts w:hint="eastAsia" w:ascii="黑体" w:eastAsia="黑体"/>
          <w:sz w:val="72"/>
        </w:rPr>
        <w:tab/>
      </w:r>
      <w:r>
        <w:rPr>
          <w:rFonts w:hint="eastAsia" w:ascii="黑体" w:eastAsia="黑体"/>
          <w:sz w:val="72"/>
        </w:rPr>
        <w:t>响</w:t>
      </w:r>
      <w:r>
        <w:rPr>
          <w:rFonts w:hint="eastAsia" w:ascii="黑体" w:eastAsia="黑体"/>
          <w:sz w:val="72"/>
        </w:rPr>
        <w:tab/>
      </w:r>
      <w:r>
        <w:rPr>
          <w:rFonts w:hint="eastAsia" w:ascii="黑体" w:eastAsia="黑体"/>
          <w:sz w:val="72"/>
        </w:rPr>
        <w:t>报</w:t>
      </w:r>
      <w:r>
        <w:rPr>
          <w:rFonts w:hint="eastAsia" w:ascii="黑体" w:eastAsia="黑体"/>
          <w:sz w:val="72"/>
        </w:rPr>
        <w:tab/>
      </w:r>
      <w:r>
        <w:rPr>
          <w:rFonts w:hint="eastAsia" w:ascii="黑体" w:eastAsia="黑体"/>
          <w:sz w:val="72"/>
        </w:rPr>
        <w:t>告</w:t>
      </w:r>
      <w:r>
        <w:rPr>
          <w:rFonts w:hint="eastAsia" w:ascii="黑体" w:eastAsia="黑体"/>
          <w:sz w:val="72"/>
        </w:rPr>
        <w:tab/>
      </w:r>
      <w:r>
        <w:rPr>
          <w:rFonts w:hint="eastAsia" w:ascii="黑体" w:eastAsia="黑体"/>
          <w:sz w:val="72"/>
        </w:rPr>
        <w:t>书</w:t>
      </w:r>
    </w:p>
    <w:p>
      <w:pPr>
        <w:pStyle w:val="6"/>
        <w:rPr>
          <w:rFonts w:ascii="黑体"/>
          <w:sz w:val="72"/>
        </w:rPr>
      </w:pPr>
    </w:p>
    <w:p>
      <w:pPr>
        <w:pStyle w:val="6"/>
        <w:rPr>
          <w:rFonts w:ascii="黑体"/>
          <w:sz w:val="72"/>
        </w:rPr>
      </w:pPr>
    </w:p>
    <w:p>
      <w:pPr>
        <w:pStyle w:val="6"/>
        <w:rPr>
          <w:rFonts w:ascii="黑体"/>
          <w:sz w:val="72"/>
        </w:rPr>
      </w:pPr>
    </w:p>
    <w:p>
      <w:pPr>
        <w:pStyle w:val="6"/>
        <w:rPr>
          <w:rFonts w:ascii="黑体"/>
          <w:sz w:val="72"/>
        </w:rPr>
      </w:pPr>
    </w:p>
    <w:p>
      <w:pPr>
        <w:pStyle w:val="6"/>
        <w:rPr>
          <w:rFonts w:ascii="黑体"/>
          <w:sz w:val="72"/>
        </w:rPr>
      </w:pPr>
    </w:p>
    <w:p>
      <w:pPr>
        <w:pStyle w:val="6"/>
        <w:spacing w:before="8"/>
        <w:rPr>
          <w:rFonts w:ascii="黑体"/>
          <w:sz w:val="98"/>
        </w:rPr>
      </w:pPr>
    </w:p>
    <w:p>
      <w:pPr>
        <w:spacing w:before="1"/>
        <w:ind w:left="1940" w:right="0" w:firstLine="0"/>
        <w:jc w:val="left"/>
        <w:rPr>
          <w:rFonts w:hint="eastAsia" w:ascii="黑体" w:eastAsia="黑体"/>
          <w:sz w:val="30"/>
        </w:rPr>
      </w:pPr>
      <w:r>
        <w:rPr>
          <w:rFonts w:hint="eastAsia" w:ascii="黑体" w:eastAsia="黑体"/>
          <w:sz w:val="30"/>
        </w:rPr>
        <w:t>建设单位：双鸭山大顺矿业有限公司</w:t>
      </w:r>
    </w:p>
    <w:p>
      <w:pPr>
        <w:spacing w:before="124"/>
        <w:ind w:left="1940" w:right="0" w:firstLine="0"/>
        <w:jc w:val="left"/>
        <w:rPr>
          <w:rFonts w:hint="eastAsia" w:ascii="黑体" w:eastAsia="黑体"/>
          <w:sz w:val="30"/>
        </w:rPr>
      </w:pPr>
      <w:r>
        <w:rPr>
          <w:rFonts w:hint="eastAsia" w:ascii="黑体" w:eastAsia="黑体"/>
          <w:sz w:val="30"/>
        </w:rPr>
        <w:t>评价单位：黑龙江科大欣欣环保科技有限公司</w:t>
      </w:r>
    </w:p>
    <w:p>
      <w:pPr>
        <w:pStyle w:val="6"/>
        <w:rPr>
          <w:rFonts w:ascii="黑体"/>
          <w:sz w:val="30"/>
        </w:rPr>
      </w:pPr>
    </w:p>
    <w:p>
      <w:pPr>
        <w:spacing w:before="249"/>
        <w:ind w:left="1551" w:right="1588" w:firstLine="0"/>
        <w:jc w:val="center"/>
        <w:rPr>
          <w:rFonts w:hint="eastAsia" w:ascii="黑体" w:eastAsia="黑体"/>
          <w:sz w:val="30"/>
        </w:rPr>
      </w:pPr>
      <w:r>
        <w:rPr>
          <w:rFonts w:hint="eastAsia" w:ascii="黑体" w:eastAsia="黑体"/>
          <w:sz w:val="30"/>
        </w:rPr>
        <w:t>二零二零年十月</w:t>
      </w:r>
    </w:p>
    <w:p>
      <w:pPr>
        <w:spacing w:after="0"/>
        <w:jc w:val="center"/>
        <w:rPr>
          <w:rFonts w:hint="eastAsia" w:ascii="黑体" w:eastAsia="黑体"/>
          <w:sz w:val="30"/>
        </w:rPr>
        <w:sectPr>
          <w:type w:val="continuous"/>
          <w:pgSz w:w="11910" w:h="16840"/>
          <w:pgMar w:top="1580" w:right="720" w:bottom="280" w:left="760" w:header="720" w:footer="720" w:gutter="0"/>
        </w:sectPr>
      </w:pPr>
    </w:p>
    <w:p>
      <w:pPr>
        <w:pStyle w:val="3"/>
        <w:spacing w:before="45"/>
        <w:ind w:left="1551" w:right="1588" w:firstLine="0"/>
        <w:jc w:val="center"/>
      </w:pPr>
      <w:r>
        <w:t>目 录</w:t>
      </w:r>
    </w:p>
    <w:p>
      <w:pPr>
        <w:spacing w:after="0"/>
        <w:jc w:val="center"/>
        <w:sectPr>
          <w:footerReference r:id="rId3" w:type="default"/>
          <w:pgSz w:w="11910" w:h="16840"/>
          <w:pgMar w:top="1380" w:right="720" w:bottom="975" w:left="760" w:header="0" w:footer="975" w:gutter="0"/>
          <w:pgNumType w:start="1"/>
        </w:sectPr>
      </w:pPr>
    </w:p>
    <w:sdt>
      <w:sdtPr>
        <w:id w:val="0"/>
        <w:docPartObj>
          <w:docPartGallery w:val="Table of Contents"/>
          <w:docPartUnique/>
        </w:docPartObj>
      </w:sdtPr>
      <w:sdtContent>
        <w:p>
          <w:pPr>
            <w:pStyle w:val="8"/>
            <w:numPr>
              <w:ilvl w:val="0"/>
              <w:numId w:val="1"/>
            </w:numPr>
            <w:tabs>
              <w:tab w:val="left" w:pos="1253"/>
              <w:tab w:val="left" w:leader="dot" w:pos="8164"/>
            </w:tabs>
            <w:spacing w:before="41" w:after="0" w:line="240" w:lineRule="auto"/>
            <w:ind w:left="1252" w:right="38" w:hanging="1253"/>
            <w:jc w:val="left"/>
            <w:rPr>
              <w:rFonts w:ascii="Times New Roman" w:eastAsia="Times New Roman"/>
            </w:rPr>
          </w:pPr>
          <w:r>
            <w:fldChar w:fldCharType="begin"/>
          </w:r>
          <w:r>
            <w:instrText xml:space="preserve"> HYPERLINK \l "_bookmark1" </w:instrText>
          </w:r>
          <w:r>
            <w:fldChar w:fldCharType="separate"/>
          </w:r>
          <w:r>
            <w:t>前言</w:t>
          </w:r>
          <w:r>
            <w:tab/>
          </w:r>
          <w:r>
            <w:rPr>
              <w:rFonts w:ascii="Times New Roman" w:eastAsia="Times New Roman"/>
            </w:rPr>
            <w:t>1</w:t>
          </w:r>
          <w:r>
            <w:rPr>
              <w:rFonts w:ascii="Times New Roman" w:eastAsia="Times New Roman"/>
            </w:rPr>
            <w:fldChar w:fldCharType="end"/>
          </w:r>
        </w:p>
        <w:p>
          <w:pPr>
            <w:pStyle w:val="7"/>
            <w:numPr>
              <w:ilvl w:val="1"/>
              <w:numId w:val="1"/>
            </w:numPr>
            <w:tabs>
              <w:tab w:val="left" w:pos="1775"/>
              <w:tab w:val="left" w:leader="dot" w:pos="9240"/>
            </w:tabs>
            <w:spacing w:before="2" w:after="0" w:line="240" w:lineRule="auto"/>
            <w:ind w:left="1774" w:right="0" w:hanging="315"/>
            <w:jc w:val="left"/>
            <w:rPr>
              <w:rFonts w:ascii="Times New Roman" w:eastAsia="Times New Roman"/>
            </w:rPr>
          </w:pPr>
          <w:r>
            <w:fldChar w:fldCharType="begin"/>
          </w:r>
          <w:r>
            <w:instrText xml:space="preserve"> HYPERLINK \l "_bookmark0" </w:instrText>
          </w:r>
          <w:r>
            <w:fldChar w:fldCharType="separate"/>
          </w:r>
          <w:r>
            <w:t>项目由来</w:t>
          </w:r>
          <w:r>
            <w:tab/>
          </w:r>
          <w:r>
            <w:rPr>
              <w:rFonts w:ascii="Times New Roman" w:eastAsia="Times New Roman"/>
            </w:rPr>
            <w:t>1</w:t>
          </w:r>
          <w:r>
            <w:rPr>
              <w:rFonts w:ascii="Times New Roman" w:eastAsia="Times New Roman"/>
            </w:rPr>
            <w:fldChar w:fldCharType="end"/>
          </w:r>
        </w:p>
        <w:p>
          <w:pPr>
            <w:pStyle w:val="7"/>
            <w:numPr>
              <w:ilvl w:val="1"/>
              <w:numId w:val="1"/>
            </w:numPr>
            <w:tabs>
              <w:tab w:val="left" w:pos="1775"/>
              <w:tab w:val="left" w:leader="dot" w:pos="9240"/>
            </w:tabs>
            <w:spacing w:before="5" w:after="0" w:line="240" w:lineRule="auto"/>
            <w:ind w:left="1774" w:right="0" w:hanging="315"/>
            <w:jc w:val="left"/>
            <w:rPr>
              <w:rFonts w:ascii="Times New Roman" w:eastAsia="Times New Roman"/>
            </w:rPr>
          </w:pPr>
          <w:r>
            <w:fldChar w:fldCharType="begin"/>
          </w:r>
          <w:r>
            <w:instrText xml:space="preserve"> HYPERLINK \l "_bookmark2" </w:instrText>
          </w:r>
          <w:r>
            <w:fldChar w:fldCharType="separate"/>
          </w:r>
          <w:r>
            <w:t>建设项目特点</w:t>
          </w:r>
          <w:r>
            <w:tab/>
          </w:r>
          <w:r>
            <w:rPr>
              <w:rFonts w:ascii="Times New Roman" w:eastAsia="Times New Roman"/>
            </w:rPr>
            <w:t>2</w:t>
          </w:r>
          <w:r>
            <w:rPr>
              <w:rFonts w:ascii="Times New Roman" w:eastAsia="Times New Roman"/>
            </w:rPr>
            <w:fldChar w:fldCharType="end"/>
          </w:r>
        </w:p>
        <w:p>
          <w:pPr>
            <w:pStyle w:val="7"/>
            <w:numPr>
              <w:ilvl w:val="1"/>
              <w:numId w:val="1"/>
            </w:numPr>
            <w:tabs>
              <w:tab w:val="left" w:pos="1775"/>
              <w:tab w:val="left" w:leader="dot" w:pos="9240"/>
            </w:tabs>
            <w:spacing w:before="2" w:after="0" w:line="240" w:lineRule="auto"/>
            <w:ind w:left="1774" w:right="0" w:hanging="315"/>
            <w:jc w:val="left"/>
            <w:rPr>
              <w:rFonts w:ascii="Times New Roman" w:eastAsia="Times New Roman"/>
            </w:rPr>
          </w:pPr>
          <w:r>
            <w:fldChar w:fldCharType="begin"/>
          </w:r>
          <w:r>
            <w:instrText xml:space="preserve"> HYPERLINK \l "_bookmark3" </w:instrText>
          </w:r>
          <w:r>
            <w:fldChar w:fldCharType="separate"/>
          </w:r>
          <w:r>
            <w:t>环境影响评价工作过程</w:t>
          </w:r>
          <w:r>
            <w:tab/>
          </w:r>
          <w:r>
            <w:rPr>
              <w:rFonts w:ascii="Times New Roman" w:eastAsia="Times New Roman"/>
            </w:rPr>
            <w:t>2</w:t>
          </w:r>
          <w:r>
            <w:rPr>
              <w:rFonts w:ascii="Times New Roman" w:eastAsia="Times New Roman"/>
            </w:rPr>
            <w:fldChar w:fldCharType="end"/>
          </w:r>
        </w:p>
        <w:p>
          <w:pPr>
            <w:pStyle w:val="7"/>
            <w:numPr>
              <w:ilvl w:val="1"/>
              <w:numId w:val="1"/>
            </w:numPr>
            <w:tabs>
              <w:tab w:val="left" w:pos="1775"/>
              <w:tab w:val="left" w:leader="dot" w:pos="9240"/>
            </w:tabs>
            <w:spacing w:before="4" w:after="0" w:line="240" w:lineRule="auto"/>
            <w:ind w:left="1774" w:right="0" w:hanging="315"/>
            <w:jc w:val="left"/>
            <w:rPr>
              <w:rFonts w:ascii="Times New Roman" w:eastAsia="Times New Roman"/>
            </w:rPr>
          </w:pPr>
          <w:r>
            <w:fldChar w:fldCharType="begin"/>
          </w:r>
          <w:r>
            <w:instrText xml:space="preserve"> HYPERLINK \l "_bookmark4" </w:instrText>
          </w:r>
          <w:r>
            <w:fldChar w:fldCharType="separate"/>
          </w:r>
          <w:r>
            <w:t>关注的主要环境问题与环境影响</w:t>
          </w:r>
          <w:r>
            <w:tab/>
          </w:r>
          <w:r>
            <w:rPr>
              <w:rFonts w:ascii="Times New Roman" w:eastAsia="Times New Roman"/>
            </w:rPr>
            <w:t>4</w:t>
          </w:r>
          <w:r>
            <w:rPr>
              <w:rFonts w:ascii="Times New Roman" w:eastAsia="Times New Roman"/>
            </w:rPr>
            <w:fldChar w:fldCharType="end"/>
          </w:r>
        </w:p>
        <w:p>
          <w:pPr>
            <w:pStyle w:val="7"/>
            <w:numPr>
              <w:ilvl w:val="1"/>
              <w:numId w:val="1"/>
            </w:numPr>
            <w:tabs>
              <w:tab w:val="left" w:pos="1775"/>
              <w:tab w:val="left" w:leader="dot" w:pos="9240"/>
            </w:tabs>
            <w:spacing w:before="2" w:after="0" w:line="240" w:lineRule="auto"/>
            <w:ind w:left="1774" w:right="0" w:hanging="315"/>
            <w:jc w:val="left"/>
            <w:rPr>
              <w:rFonts w:ascii="Times New Roman" w:eastAsia="Times New Roman"/>
            </w:rPr>
          </w:pPr>
          <w:r>
            <w:fldChar w:fldCharType="begin"/>
          </w:r>
          <w:r>
            <w:instrText xml:space="preserve"> HYPERLINK \l "_bookmark5" </w:instrText>
          </w:r>
          <w:r>
            <w:fldChar w:fldCharType="separate"/>
          </w:r>
          <w:r>
            <w:t>环境影响评价主要结论</w:t>
          </w:r>
          <w:r>
            <w:tab/>
          </w:r>
          <w:r>
            <w:rPr>
              <w:rFonts w:ascii="Times New Roman" w:eastAsia="Times New Roman"/>
            </w:rPr>
            <w:t>4</w:t>
          </w:r>
          <w:r>
            <w:rPr>
              <w:rFonts w:ascii="Times New Roman" w:eastAsia="Times New Roman"/>
            </w:rPr>
            <w:fldChar w:fldCharType="end"/>
          </w:r>
        </w:p>
        <w:p>
          <w:pPr>
            <w:pStyle w:val="8"/>
            <w:numPr>
              <w:ilvl w:val="0"/>
              <w:numId w:val="1"/>
            </w:numPr>
            <w:tabs>
              <w:tab w:val="left" w:pos="1251"/>
              <w:tab w:val="left" w:leader="dot" w:pos="8164"/>
            </w:tabs>
            <w:spacing w:before="43" w:after="0" w:line="240" w:lineRule="auto"/>
            <w:ind w:left="1250" w:right="38" w:hanging="1251"/>
            <w:jc w:val="left"/>
            <w:rPr>
              <w:rFonts w:ascii="Times New Roman" w:eastAsia="Times New Roman"/>
            </w:rPr>
          </w:pPr>
          <w:r>
            <w:fldChar w:fldCharType="begin"/>
          </w:r>
          <w:r>
            <w:instrText xml:space="preserve"> HYPERLINK \l "_bookmark6" </w:instrText>
          </w:r>
          <w:r>
            <w:fldChar w:fldCharType="separate"/>
          </w:r>
          <w:r>
            <w:t>总则</w:t>
          </w:r>
          <w:r>
            <w:tab/>
          </w:r>
          <w:r>
            <w:rPr>
              <w:rFonts w:ascii="Times New Roman" w:eastAsia="Times New Roman"/>
            </w:rPr>
            <w:t>6</w:t>
          </w:r>
          <w:r>
            <w:rPr>
              <w:rFonts w:ascii="Times New Roman" w:eastAsia="Times New Roman"/>
            </w:rPr>
            <w:fldChar w:fldCharType="end"/>
          </w:r>
        </w:p>
        <w:p>
          <w:pPr>
            <w:pStyle w:val="7"/>
            <w:numPr>
              <w:ilvl w:val="1"/>
              <w:numId w:val="1"/>
            </w:numPr>
            <w:tabs>
              <w:tab w:val="left" w:pos="1775"/>
              <w:tab w:val="left" w:leader="dot" w:pos="9240"/>
            </w:tabs>
            <w:spacing w:before="2" w:after="0" w:line="240" w:lineRule="auto"/>
            <w:ind w:left="1774" w:right="0" w:hanging="315"/>
            <w:jc w:val="left"/>
            <w:rPr>
              <w:rFonts w:ascii="Times New Roman" w:eastAsia="Times New Roman"/>
            </w:rPr>
          </w:pPr>
          <w:r>
            <w:fldChar w:fldCharType="begin"/>
          </w:r>
          <w:r>
            <w:instrText xml:space="preserve"> HYPERLINK \l "_bookmark7" </w:instrText>
          </w:r>
          <w:r>
            <w:fldChar w:fldCharType="separate"/>
          </w:r>
          <w:r>
            <w:t>评价目的及指导思想</w:t>
          </w:r>
          <w:r>
            <w:tab/>
          </w:r>
          <w:r>
            <w:rPr>
              <w:rFonts w:ascii="Times New Roman" w:eastAsia="Times New Roman"/>
            </w:rPr>
            <w:t>6</w:t>
          </w:r>
          <w:r>
            <w:rPr>
              <w:rFonts w:ascii="Times New Roman" w:eastAsia="Times New Roman"/>
            </w:rPr>
            <w:fldChar w:fldCharType="end"/>
          </w:r>
        </w:p>
        <w:p>
          <w:pPr>
            <w:pStyle w:val="7"/>
            <w:numPr>
              <w:ilvl w:val="1"/>
              <w:numId w:val="1"/>
            </w:numPr>
            <w:tabs>
              <w:tab w:val="left" w:pos="1775"/>
              <w:tab w:val="left" w:leader="dot" w:pos="9240"/>
            </w:tabs>
            <w:spacing w:before="4" w:after="0" w:line="240" w:lineRule="auto"/>
            <w:ind w:left="1774" w:right="0" w:hanging="315"/>
            <w:jc w:val="left"/>
            <w:rPr>
              <w:rFonts w:ascii="Times New Roman" w:eastAsia="Times New Roman"/>
            </w:rPr>
          </w:pPr>
          <w:r>
            <w:fldChar w:fldCharType="begin"/>
          </w:r>
          <w:r>
            <w:instrText xml:space="preserve"> HYPERLINK \l "_bookmark8" </w:instrText>
          </w:r>
          <w:r>
            <w:fldChar w:fldCharType="separate"/>
          </w:r>
          <w:r>
            <w:t>编制依据</w:t>
          </w:r>
          <w:r>
            <w:tab/>
          </w:r>
          <w:r>
            <w:rPr>
              <w:rFonts w:ascii="Times New Roman" w:eastAsia="Times New Roman"/>
            </w:rPr>
            <w:t>7</w:t>
          </w:r>
          <w:r>
            <w:rPr>
              <w:rFonts w:ascii="Times New Roman" w:eastAsia="Times New Roman"/>
            </w:rPr>
            <w:fldChar w:fldCharType="end"/>
          </w:r>
        </w:p>
        <w:p>
          <w:pPr>
            <w:pStyle w:val="7"/>
            <w:numPr>
              <w:ilvl w:val="1"/>
              <w:numId w:val="1"/>
            </w:numPr>
            <w:tabs>
              <w:tab w:val="left" w:pos="1775"/>
              <w:tab w:val="left" w:leader="dot" w:pos="9240"/>
            </w:tabs>
            <w:spacing w:before="2" w:after="0" w:line="240" w:lineRule="auto"/>
            <w:ind w:left="1774" w:right="0" w:hanging="315"/>
            <w:jc w:val="left"/>
            <w:rPr>
              <w:rFonts w:ascii="Times New Roman" w:eastAsia="Times New Roman"/>
            </w:rPr>
          </w:pPr>
          <w:r>
            <w:fldChar w:fldCharType="begin"/>
          </w:r>
          <w:r>
            <w:instrText xml:space="preserve"> HYPERLINK \l "_bookmark9" </w:instrText>
          </w:r>
          <w:r>
            <w:fldChar w:fldCharType="separate"/>
          </w:r>
          <w:r>
            <w:t>评价标准</w:t>
          </w:r>
          <w:r>
            <w:tab/>
          </w:r>
          <w:r>
            <w:rPr>
              <w:rFonts w:ascii="Times New Roman" w:eastAsia="Times New Roman"/>
            </w:rPr>
            <w:t>9</w:t>
          </w:r>
          <w:r>
            <w:rPr>
              <w:rFonts w:ascii="Times New Roman" w:eastAsia="Times New Roman"/>
            </w:rPr>
            <w:fldChar w:fldCharType="end"/>
          </w:r>
        </w:p>
        <w:p>
          <w:pPr>
            <w:pStyle w:val="7"/>
            <w:numPr>
              <w:ilvl w:val="1"/>
              <w:numId w:val="1"/>
            </w:numPr>
            <w:tabs>
              <w:tab w:val="left" w:pos="1775"/>
              <w:tab w:val="left" w:leader="dot" w:pos="9135"/>
            </w:tabs>
            <w:spacing w:before="2" w:after="0" w:line="240" w:lineRule="auto"/>
            <w:ind w:left="1774" w:right="0" w:hanging="315"/>
            <w:jc w:val="left"/>
            <w:rPr>
              <w:rFonts w:ascii="Times New Roman" w:eastAsia="Times New Roman"/>
            </w:rPr>
          </w:pPr>
          <w:r>
            <w:fldChar w:fldCharType="begin"/>
          </w:r>
          <w:r>
            <w:instrText xml:space="preserve"> HYPERLINK \l "_bookmark10" </w:instrText>
          </w:r>
          <w:r>
            <w:fldChar w:fldCharType="separate"/>
          </w:r>
          <w:r>
            <w:t>评价工作等级</w:t>
          </w:r>
          <w:r>
            <w:tab/>
          </w:r>
          <w:r>
            <w:rPr>
              <w:rFonts w:ascii="Times New Roman" w:eastAsia="Times New Roman"/>
            </w:rPr>
            <w:t>14</w:t>
          </w:r>
          <w:r>
            <w:rPr>
              <w:rFonts w:ascii="Times New Roman" w:eastAsia="Times New Roman"/>
            </w:rPr>
            <w:fldChar w:fldCharType="end"/>
          </w:r>
        </w:p>
        <w:p>
          <w:pPr>
            <w:pStyle w:val="7"/>
            <w:numPr>
              <w:ilvl w:val="1"/>
              <w:numId w:val="1"/>
            </w:numPr>
            <w:tabs>
              <w:tab w:val="left" w:pos="1775"/>
              <w:tab w:val="left" w:leader="dot" w:pos="9135"/>
            </w:tabs>
            <w:spacing w:before="5" w:after="0" w:line="240" w:lineRule="auto"/>
            <w:ind w:left="1774" w:right="0" w:hanging="315"/>
            <w:jc w:val="left"/>
            <w:rPr>
              <w:rFonts w:ascii="Times New Roman" w:eastAsia="Times New Roman"/>
            </w:rPr>
          </w:pPr>
          <w:r>
            <w:fldChar w:fldCharType="begin"/>
          </w:r>
          <w:r>
            <w:instrText xml:space="preserve"> HYPERLINK \l "_bookmark11" </w:instrText>
          </w:r>
          <w:r>
            <w:fldChar w:fldCharType="separate"/>
          </w:r>
          <w:r>
            <w:t>环境风险</w:t>
          </w:r>
          <w:r>
            <w:tab/>
          </w:r>
          <w:r>
            <w:rPr>
              <w:rFonts w:ascii="Times New Roman" w:eastAsia="Times New Roman"/>
            </w:rPr>
            <w:t>20</w:t>
          </w:r>
          <w:r>
            <w:rPr>
              <w:rFonts w:ascii="Times New Roman" w:eastAsia="Times New Roman"/>
            </w:rPr>
            <w:fldChar w:fldCharType="end"/>
          </w:r>
        </w:p>
        <w:p>
          <w:pPr>
            <w:pStyle w:val="7"/>
            <w:numPr>
              <w:ilvl w:val="1"/>
              <w:numId w:val="1"/>
            </w:numPr>
            <w:tabs>
              <w:tab w:val="left" w:pos="1775"/>
              <w:tab w:val="left" w:leader="dot" w:pos="9135"/>
            </w:tabs>
            <w:spacing w:before="2" w:after="0" w:line="240" w:lineRule="auto"/>
            <w:ind w:left="1774" w:right="0" w:hanging="315"/>
            <w:jc w:val="left"/>
            <w:rPr>
              <w:rFonts w:ascii="Times New Roman" w:eastAsia="Times New Roman"/>
            </w:rPr>
          </w:pPr>
          <w:r>
            <w:fldChar w:fldCharType="begin"/>
          </w:r>
          <w:r>
            <w:instrText xml:space="preserve"> HYPERLINK \l "_bookmark12" </w:instrText>
          </w:r>
          <w:r>
            <w:fldChar w:fldCharType="separate"/>
          </w:r>
          <w:r>
            <w:t>评价范围</w:t>
          </w:r>
          <w:r>
            <w:tab/>
          </w:r>
          <w:r>
            <w:rPr>
              <w:rFonts w:ascii="Times New Roman" w:eastAsia="Times New Roman"/>
            </w:rPr>
            <w:t>21</w:t>
          </w:r>
          <w:r>
            <w:rPr>
              <w:rFonts w:ascii="Times New Roman" w:eastAsia="Times New Roman"/>
            </w:rPr>
            <w:fldChar w:fldCharType="end"/>
          </w:r>
        </w:p>
        <w:p>
          <w:pPr>
            <w:pStyle w:val="7"/>
            <w:numPr>
              <w:ilvl w:val="1"/>
              <w:numId w:val="1"/>
            </w:numPr>
            <w:tabs>
              <w:tab w:val="left" w:pos="1775"/>
              <w:tab w:val="left" w:leader="dot" w:pos="9135"/>
            </w:tabs>
            <w:spacing w:before="5" w:after="0" w:line="240" w:lineRule="auto"/>
            <w:ind w:left="1774" w:right="0" w:hanging="315"/>
            <w:jc w:val="left"/>
            <w:rPr>
              <w:rFonts w:ascii="Times New Roman" w:eastAsia="Times New Roman"/>
            </w:rPr>
          </w:pPr>
          <w:r>
            <w:fldChar w:fldCharType="begin"/>
          </w:r>
          <w:r>
            <w:instrText xml:space="preserve"> HYPERLINK \l "_bookmark13" </w:instrText>
          </w:r>
          <w:r>
            <w:fldChar w:fldCharType="separate"/>
          </w:r>
          <w:r>
            <w:t>控制污染与环境保护目标</w:t>
          </w:r>
          <w:r>
            <w:tab/>
          </w:r>
          <w:r>
            <w:rPr>
              <w:rFonts w:ascii="Times New Roman" w:eastAsia="Times New Roman"/>
            </w:rPr>
            <w:t>21</w:t>
          </w:r>
          <w:r>
            <w:rPr>
              <w:rFonts w:ascii="Times New Roman" w:eastAsia="Times New Roman"/>
            </w:rPr>
            <w:fldChar w:fldCharType="end"/>
          </w:r>
        </w:p>
        <w:p>
          <w:pPr>
            <w:pStyle w:val="8"/>
            <w:numPr>
              <w:ilvl w:val="0"/>
              <w:numId w:val="1"/>
            </w:numPr>
            <w:tabs>
              <w:tab w:val="left" w:pos="1462"/>
              <w:tab w:val="left" w:leader="dot" w:pos="8025"/>
            </w:tabs>
            <w:spacing w:before="42" w:after="0" w:line="240" w:lineRule="auto"/>
            <w:ind w:left="1461" w:right="36" w:hanging="1462"/>
            <w:jc w:val="left"/>
            <w:rPr>
              <w:rFonts w:ascii="Times New Roman" w:eastAsia="Times New Roman"/>
            </w:rPr>
          </w:pPr>
          <w:r>
            <w:fldChar w:fldCharType="begin"/>
          </w:r>
          <w:r>
            <w:instrText xml:space="preserve"> HYPERLINK \l "_bookmark14" </w:instrText>
          </w:r>
          <w:r>
            <w:fldChar w:fldCharType="separate"/>
          </w:r>
          <w:r>
            <w:rPr>
              <w:spacing w:val="-3"/>
            </w:rPr>
            <w:t>项</w:t>
          </w:r>
          <w:r>
            <w:t>目概</w:t>
          </w:r>
          <w:r>
            <w:rPr>
              <w:spacing w:val="-3"/>
            </w:rPr>
            <w:t>况</w:t>
          </w:r>
          <w:r>
            <w:t>与工</w:t>
          </w:r>
          <w:r>
            <w:rPr>
              <w:spacing w:val="-3"/>
            </w:rPr>
            <w:t>程</w:t>
          </w:r>
          <w:r>
            <w:t>分析</w:t>
          </w:r>
          <w:r>
            <w:tab/>
          </w:r>
          <w:r>
            <w:rPr>
              <w:rFonts w:ascii="Times New Roman" w:eastAsia="Times New Roman"/>
            </w:rPr>
            <w:t>23</w:t>
          </w:r>
          <w:r>
            <w:rPr>
              <w:rFonts w:ascii="Times New Roman" w:eastAsia="Times New Roman"/>
            </w:rPr>
            <w:fldChar w:fldCharType="end"/>
          </w:r>
        </w:p>
        <w:p>
          <w:pPr>
            <w:pStyle w:val="7"/>
            <w:numPr>
              <w:ilvl w:val="1"/>
              <w:numId w:val="1"/>
            </w:numPr>
            <w:tabs>
              <w:tab w:val="left" w:pos="1775"/>
              <w:tab w:val="left" w:leader="dot" w:pos="9135"/>
            </w:tabs>
            <w:spacing w:before="2" w:after="0" w:line="240" w:lineRule="auto"/>
            <w:ind w:left="1774" w:right="0" w:hanging="315"/>
            <w:jc w:val="left"/>
            <w:rPr>
              <w:rFonts w:ascii="Times New Roman" w:eastAsia="Times New Roman"/>
            </w:rPr>
          </w:pPr>
          <w:r>
            <w:fldChar w:fldCharType="begin"/>
          </w:r>
          <w:r>
            <w:instrText xml:space="preserve"> HYPERLINK \l "_bookmark15" </w:instrText>
          </w:r>
          <w:r>
            <w:fldChar w:fldCharType="separate"/>
          </w:r>
          <w:r>
            <w:t>原有工程概况</w:t>
          </w:r>
          <w:r>
            <w:tab/>
          </w:r>
          <w:r>
            <w:rPr>
              <w:rFonts w:ascii="Times New Roman" w:eastAsia="Times New Roman"/>
            </w:rPr>
            <w:t>23</w:t>
          </w:r>
          <w:r>
            <w:rPr>
              <w:rFonts w:ascii="Times New Roman" w:eastAsia="Times New Roman"/>
            </w:rPr>
            <w:fldChar w:fldCharType="end"/>
          </w:r>
        </w:p>
        <w:p>
          <w:pPr>
            <w:pStyle w:val="7"/>
            <w:numPr>
              <w:ilvl w:val="1"/>
              <w:numId w:val="1"/>
            </w:numPr>
            <w:tabs>
              <w:tab w:val="left" w:pos="1775"/>
              <w:tab w:val="left" w:leader="dot" w:pos="9135"/>
            </w:tabs>
            <w:spacing w:before="4" w:after="0" w:line="240" w:lineRule="auto"/>
            <w:ind w:left="1774" w:right="0" w:hanging="315"/>
            <w:jc w:val="left"/>
            <w:rPr>
              <w:rFonts w:ascii="Times New Roman" w:eastAsia="Times New Roman"/>
            </w:rPr>
          </w:pPr>
          <w:r>
            <w:fldChar w:fldCharType="begin"/>
          </w:r>
          <w:r>
            <w:instrText xml:space="preserve"> HYPERLINK \l "_bookmark16" </w:instrText>
          </w:r>
          <w:r>
            <w:fldChar w:fldCharType="separate"/>
          </w:r>
          <w:r>
            <w:t>改扩建生产项目概况</w:t>
          </w:r>
          <w:r>
            <w:tab/>
          </w:r>
          <w:r>
            <w:rPr>
              <w:rFonts w:ascii="Times New Roman" w:eastAsia="Times New Roman"/>
            </w:rPr>
            <w:t>25</w:t>
          </w:r>
          <w:r>
            <w:rPr>
              <w:rFonts w:ascii="Times New Roman" w:eastAsia="Times New Roman"/>
            </w:rPr>
            <w:fldChar w:fldCharType="end"/>
          </w:r>
        </w:p>
        <w:p>
          <w:pPr>
            <w:pStyle w:val="7"/>
            <w:numPr>
              <w:ilvl w:val="1"/>
              <w:numId w:val="1"/>
            </w:numPr>
            <w:tabs>
              <w:tab w:val="left" w:pos="1775"/>
              <w:tab w:val="left" w:leader="dot" w:pos="9135"/>
            </w:tabs>
            <w:spacing w:before="2" w:after="0" w:line="240" w:lineRule="auto"/>
            <w:ind w:left="1774" w:right="0" w:hanging="315"/>
            <w:jc w:val="left"/>
            <w:rPr>
              <w:rFonts w:ascii="Times New Roman" w:eastAsia="Times New Roman"/>
            </w:rPr>
          </w:pPr>
          <w:r>
            <w:fldChar w:fldCharType="begin"/>
          </w:r>
          <w:r>
            <w:instrText xml:space="preserve"> HYPERLINK \l "_bookmark17" </w:instrText>
          </w:r>
          <w:r>
            <w:fldChar w:fldCharType="separate"/>
          </w:r>
          <w:r>
            <w:t>工程分析</w:t>
          </w:r>
          <w:r>
            <w:tab/>
          </w:r>
          <w:r>
            <w:rPr>
              <w:rFonts w:ascii="Times New Roman" w:eastAsia="Times New Roman"/>
            </w:rPr>
            <w:t>33</w:t>
          </w:r>
          <w:r>
            <w:rPr>
              <w:rFonts w:ascii="Times New Roman" w:eastAsia="Times New Roman"/>
            </w:rPr>
            <w:fldChar w:fldCharType="end"/>
          </w:r>
        </w:p>
        <w:p>
          <w:pPr>
            <w:pStyle w:val="7"/>
            <w:numPr>
              <w:ilvl w:val="1"/>
              <w:numId w:val="1"/>
            </w:numPr>
            <w:tabs>
              <w:tab w:val="left" w:pos="1775"/>
              <w:tab w:val="left" w:leader="dot" w:pos="9135"/>
            </w:tabs>
            <w:spacing w:before="5" w:after="0" w:line="240" w:lineRule="auto"/>
            <w:ind w:left="1774" w:right="0" w:hanging="315"/>
            <w:jc w:val="left"/>
            <w:rPr>
              <w:rFonts w:ascii="Times New Roman" w:eastAsia="Times New Roman"/>
            </w:rPr>
          </w:pPr>
          <w:r>
            <w:fldChar w:fldCharType="begin"/>
          </w:r>
          <w:r>
            <w:instrText xml:space="preserve"> HYPERLINK \l "_bookmark18" </w:instrText>
          </w:r>
          <w:r>
            <w:fldChar w:fldCharType="separate"/>
          </w:r>
          <w:r>
            <w:t>污染源及环境影响因素分析</w:t>
          </w:r>
          <w:r>
            <w:tab/>
          </w:r>
          <w:r>
            <w:rPr>
              <w:rFonts w:ascii="Times New Roman" w:eastAsia="Times New Roman"/>
            </w:rPr>
            <w:t>51</w:t>
          </w:r>
          <w:r>
            <w:rPr>
              <w:rFonts w:ascii="Times New Roman" w:eastAsia="Times New Roman"/>
            </w:rPr>
            <w:fldChar w:fldCharType="end"/>
          </w:r>
        </w:p>
        <w:p>
          <w:pPr>
            <w:pStyle w:val="7"/>
            <w:numPr>
              <w:ilvl w:val="1"/>
              <w:numId w:val="1"/>
            </w:numPr>
            <w:tabs>
              <w:tab w:val="left" w:pos="1775"/>
              <w:tab w:val="left" w:leader="dot" w:pos="9135"/>
            </w:tabs>
            <w:spacing w:before="2" w:after="0" w:line="240" w:lineRule="auto"/>
            <w:ind w:left="1774" w:right="0" w:hanging="315"/>
            <w:jc w:val="left"/>
            <w:rPr>
              <w:rFonts w:ascii="Times New Roman" w:hAnsi="Times New Roman" w:eastAsia="Times New Roman"/>
            </w:rPr>
          </w:pPr>
          <w:r>
            <w:fldChar w:fldCharType="begin"/>
          </w:r>
          <w:r>
            <w:instrText xml:space="preserve"> HYPERLINK \l "_bookmark19" </w:instrText>
          </w:r>
          <w:r>
            <w:fldChar w:fldCharType="separate"/>
          </w:r>
          <w:r>
            <w:t>本工程</w:t>
          </w:r>
          <w:r>
            <w:rPr>
              <w:rFonts w:ascii="Times New Roman" w:hAnsi="Times New Roman" w:eastAsia="Times New Roman"/>
            </w:rPr>
            <w:t>“</w:t>
          </w:r>
          <w:r>
            <w:t>以新带老</w:t>
          </w:r>
          <w:r>
            <w:rPr>
              <w:rFonts w:ascii="Times New Roman" w:hAnsi="Times New Roman" w:eastAsia="Times New Roman"/>
            </w:rPr>
            <w:t>”</w:t>
          </w:r>
          <w:r>
            <w:t>环境保护措施</w:t>
          </w:r>
          <w:r>
            <w:tab/>
          </w:r>
          <w:r>
            <w:rPr>
              <w:rFonts w:ascii="Times New Roman" w:hAnsi="Times New Roman" w:eastAsia="Times New Roman"/>
            </w:rPr>
            <w:t>64</w:t>
          </w:r>
          <w:r>
            <w:rPr>
              <w:rFonts w:ascii="Times New Roman" w:hAnsi="Times New Roman" w:eastAsia="Times New Roman"/>
            </w:rPr>
            <w:fldChar w:fldCharType="end"/>
          </w:r>
        </w:p>
        <w:p>
          <w:pPr>
            <w:pStyle w:val="8"/>
            <w:numPr>
              <w:ilvl w:val="0"/>
              <w:numId w:val="1"/>
            </w:numPr>
            <w:tabs>
              <w:tab w:val="left" w:pos="1251"/>
              <w:tab w:val="left" w:leader="dot" w:pos="8025"/>
            </w:tabs>
            <w:spacing w:before="43" w:after="0" w:line="240" w:lineRule="auto"/>
            <w:ind w:left="1250" w:right="36" w:hanging="1251"/>
            <w:jc w:val="left"/>
            <w:rPr>
              <w:rFonts w:ascii="Times New Roman" w:eastAsia="Times New Roman"/>
            </w:rPr>
          </w:pPr>
          <w:r>
            <w:fldChar w:fldCharType="begin"/>
          </w:r>
          <w:r>
            <w:instrText xml:space="preserve"> HYPERLINK \l "_bookmark20" </w:instrText>
          </w:r>
          <w:r>
            <w:fldChar w:fldCharType="separate"/>
          </w:r>
          <w:r>
            <w:t>项</w:t>
          </w:r>
          <w:r>
            <w:rPr>
              <w:spacing w:val="-3"/>
            </w:rPr>
            <w:t>目</w:t>
          </w:r>
          <w:r>
            <w:t>所在</w:t>
          </w:r>
          <w:r>
            <w:rPr>
              <w:spacing w:val="-3"/>
            </w:rPr>
            <w:t>区</w:t>
          </w:r>
          <w:r>
            <w:t>域环</w:t>
          </w:r>
          <w:r>
            <w:rPr>
              <w:spacing w:val="-3"/>
            </w:rPr>
            <w:t>境</w:t>
          </w:r>
          <w:r>
            <w:t>概况</w:t>
          </w:r>
          <w:r>
            <w:tab/>
          </w:r>
          <w:r>
            <w:rPr>
              <w:rFonts w:ascii="Times New Roman" w:eastAsia="Times New Roman"/>
            </w:rPr>
            <w:t>67</w:t>
          </w:r>
          <w:r>
            <w:rPr>
              <w:rFonts w:ascii="Times New Roman" w:eastAsia="Times New Roman"/>
            </w:rPr>
            <w:fldChar w:fldCharType="end"/>
          </w:r>
        </w:p>
        <w:p>
          <w:pPr>
            <w:pStyle w:val="7"/>
            <w:numPr>
              <w:ilvl w:val="1"/>
              <w:numId w:val="1"/>
            </w:numPr>
            <w:tabs>
              <w:tab w:val="left" w:pos="1775"/>
              <w:tab w:val="left" w:leader="dot" w:pos="9135"/>
            </w:tabs>
            <w:spacing w:before="1" w:after="0" w:line="240" w:lineRule="auto"/>
            <w:ind w:left="1774" w:right="0" w:hanging="315"/>
            <w:jc w:val="left"/>
            <w:rPr>
              <w:rFonts w:ascii="Times New Roman" w:eastAsia="Times New Roman"/>
            </w:rPr>
          </w:pPr>
          <w:r>
            <w:fldChar w:fldCharType="begin"/>
          </w:r>
          <w:r>
            <w:instrText xml:space="preserve"> HYPERLINK \l "_bookmark21" </w:instrText>
          </w:r>
          <w:r>
            <w:fldChar w:fldCharType="separate"/>
          </w:r>
          <w:r>
            <w:t>自然环境概况</w:t>
          </w:r>
          <w:r>
            <w:tab/>
          </w:r>
          <w:r>
            <w:rPr>
              <w:rFonts w:ascii="Times New Roman" w:eastAsia="Times New Roman"/>
            </w:rPr>
            <w:t>67</w:t>
          </w:r>
          <w:r>
            <w:rPr>
              <w:rFonts w:ascii="Times New Roman" w:eastAsia="Times New Roman"/>
            </w:rPr>
            <w:fldChar w:fldCharType="end"/>
          </w:r>
        </w:p>
        <w:p>
          <w:pPr>
            <w:pStyle w:val="7"/>
            <w:numPr>
              <w:ilvl w:val="1"/>
              <w:numId w:val="1"/>
            </w:numPr>
            <w:tabs>
              <w:tab w:val="left" w:pos="1775"/>
              <w:tab w:val="left" w:leader="dot" w:pos="9135"/>
            </w:tabs>
            <w:spacing w:before="5" w:after="0" w:line="240" w:lineRule="auto"/>
            <w:ind w:left="1774" w:right="0" w:hanging="315"/>
            <w:jc w:val="left"/>
            <w:rPr>
              <w:rFonts w:ascii="Times New Roman" w:eastAsia="Times New Roman"/>
            </w:rPr>
          </w:pPr>
          <w:r>
            <w:fldChar w:fldCharType="begin"/>
          </w:r>
          <w:r>
            <w:instrText xml:space="preserve"> HYPERLINK \l "_bookmark22" </w:instrText>
          </w:r>
          <w:r>
            <w:fldChar w:fldCharType="separate"/>
          </w:r>
          <w:r>
            <w:t>敏感目标调查</w:t>
          </w:r>
          <w:r>
            <w:tab/>
          </w:r>
          <w:r>
            <w:rPr>
              <w:rFonts w:ascii="Times New Roman" w:eastAsia="Times New Roman"/>
            </w:rPr>
            <w:t>72</w:t>
          </w:r>
          <w:r>
            <w:rPr>
              <w:rFonts w:ascii="Times New Roman" w:eastAsia="Times New Roman"/>
            </w:rPr>
            <w:fldChar w:fldCharType="end"/>
          </w:r>
        </w:p>
        <w:p>
          <w:pPr>
            <w:pStyle w:val="8"/>
            <w:numPr>
              <w:ilvl w:val="0"/>
              <w:numId w:val="1"/>
            </w:numPr>
            <w:tabs>
              <w:tab w:val="left" w:pos="1253"/>
              <w:tab w:val="left" w:leader="dot" w:pos="8025"/>
            </w:tabs>
            <w:spacing w:before="42" w:after="0" w:line="240" w:lineRule="auto"/>
            <w:ind w:left="1252" w:right="36" w:hanging="1253"/>
            <w:jc w:val="left"/>
            <w:rPr>
              <w:rFonts w:ascii="Times New Roman" w:eastAsia="Times New Roman"/>
            </w:rPr>
          </w:pPr>
          <w:r>
            <w:fldChar w:fldCharType="begin"/>
          </w:r>
          <w:r>
            <w:instrText xml:space="preserve"> HYPERLINK \l "_bookmark23" </w:instrText>
          </w:r>
          <w:r>
            <w:fldChar w:fldCharType="separate"/>
          </w:r>
          <w:r>
            <w:t>地</w:t>
          </w:r>
          <w:r>
            <w:rPr>
              <w:spacing w:val="-3"/>
            </w:rPr>
            <w:t>表</w:t>
          </w:r>
          <w:r>
            <w:t>沉陷</w:t>
          </w:r>
          <w:r>
            <w:rPr>
              <w:spacing w:val="-3"/>
            </w:rPr>
            <w:t>预</w:t>
          </w:r>
          <w:r>
            <w:t>测及</w:t>
          </w:r>
          <w:r>
            <w:rPr>
              <w:spacing w:val="-3"/>
            </w:rPr>
            <w:t>生</w:t>
          </w:r>
          <w:r>
            <w:t>态环</w:t>
          </w:r>
          <w:r>
            <w:rPr>
              <w:spacing w:val="-3"/>
            </w:rPr>
            <w:t>境</w:t>
          </w:r>
          <w:r>
            <w:t>影响</w:t>
          </w:r>
          <w:r>
            <w:rPr>
              <w:spacing w:val="-3"/>
            </w:rPr>
            <w:t>评</w:t>
          </w:r>
          <w:r>
            <w:t>价</w:t>
          </w:r>
          <w:r>
            <w:tab/>
          </w:r>
          <w:r>
            <w:rPr>
              <w:rFonts w:ascii="Times New Roman" w:eastAsia="Times New Roman"/>
            </w:rPr>
            <w:t>73</w:t>
          </w:r>
          <w:r>
            <w:rPr>
              <w:rFonts w:ascii="Times New Roman" w:eastAsia="Times New Roman"/>
            </w:rPr>
            <w:fldChar w:fldCharType="end"/>
          </w:r>
        </w:p>
        <w:p>
          <w:pPr>
            <w:pStyle w:val="7"/>
            <w:numPr>
              <w:ilvl w:val="1"/>
              <w:numId w:val="1"/>
            </w:numPr>
            <w:tabs>
              <w:tab w:val="left" w:pos="1775"/>
              <w:tab w:val="left" w:leader="dot" w:pos="9135"/>
            </w:tabs>
            <w:spacing w:before="2" w:after="0" w:line="240" w:lineRule="auto"/>
            <w:ind w:left="1774" w:right="0" w:hanging="315"/>
            <w:jc w:val="left"/>
            <w:rPr>
              <w:rFonts w:ascii="Times New Roman" w:eastAsia="Times New Roman"/>
            </w:rPr>
          </w:pPr>
          <w:r>
            <w:fldChar w:fldCharType="begin"/>
          </w:r>
          <w:r>
            <w:instrText xml:space="preserve"> HYPERLINK \l "_bookmark24" </w:instrText>
          </w:r>
          <w:r>
            <w:fldChar w:fldCharType="separate"/>
          </w:r>
          <w:r>
            <w:t>生态环境现状调查与评价</w:t>
          </w:r>
          <w:r>
            <w:tab/>
          </w:r>
          <w:r>
            <w:rPr>
              <w:rFonts w:ascii="Times New Roman" w:eastAsia="Times New Roman"/>
            </w:rPr>
            <w:t>73</w:t>
          </w:r>
          <w:r>
            <w:rPr>
              <w:rFonts w:ascii="Times New Roman" w:eastAsia="Times New Roman"/>
            </w:rPr>
            <w:fldChar w:fldCharType="end"/>
          </w:r>
        </w:p>
        <w:p>
          <w:pPr>
            <w:pStyle w:val="7"/>
            <w:numPr>
              <w:ilvl w:val="1"/>
              <w:numId w:val="1"/>
            </w:numPr>
            <w:tabs>
              <w:tab w:val="left" w:pos="1775"/>
              <w:tab w:val="left" w:leader="dot" w:pos="9135"/>
            </w:tabs>
            <w:spacing w:before="2" w:after="0" w:line="240" w:lineRule="auto"/>
            <w:ind w:left="1774" w:right="0" w:hanging="315"/>
            <w:jc w:val="left"/>
            <w:rPr>
              <w:rFonts w:ascii="Times New Roman" w:eastAsia="Times New Roman"/>
            </w:rPr>
          </w:pPr>
          <w:r>
            <w:fldChar w:fldCharType="begin"/>
          </w:r>
          <w:r>
            <w:instrText xml:space="preserve"> HYPERLINK \l "_bookmark25" </w:instrText>
          </w:r>
          <w:r>
            <w:fldChar w:fldCharType="separate"/>
          </w:r>
          <w:r>
            <w:t>建设期生态影响分析与保护措施</w:t>
          </w:r>
          <w:r>
            <w:tab/>
          </w:r>
          <w:r>
            <w:rPr>
              <w:rFonts w:ascii="Times New Roman" w:eastAsia="Times New Roman"/>
            </w:rPr>
            <w:t>78</w:t>
          </w:r>
          <w:r>
            <w:rPr>
              <w:rFonts w:ascii="Times New Roman" w:eastAsia="Times New Roman"/>
            </w:rPr>
            <w:fldChar w:fldCharType="end"/>
          </w:r>
        </w:p>
        <w:p>
          <w:pPr>
            <w:pStyle w:val="7"/>
            <w:numPr>
              <w:ilvl w:val="1"/>
              <w:numId w:val="1"/>
            </w:numPr>
            <w:tabs>
              <w:tab w:val="left" w:pos="1775"/>
              <w:tab w:val="left" w:leader="dot" w:pos="9135"/>
            </w:tabs>
            <w:spacing w:before="5" w:after="0" w:line="240" w:lineRule="auto"/>
            <w:ind w:left="1774" w:right="0" w:hanging="315"/>
            <w:jc w:val="left"/>
            <w:rPr>
              <w:rFonts w:ascii="Times New Roman" w:eastAsia="Times New Roman"/>
            </w:rPr>
          </w:pPr>
          <w:r>
            <w:fldChar w:fldCharType="begin"/>
          </w:r>
          <w:r>
            <w:instrText xml:space="preserve"> HYPERLINK \l "_bookmark26" </w:instrText>
          </w:r>
          <w:r>
            <w:fldChar w:fldCharType="separate"/>
          </w:r>
          <w:r>
            <w:t>地表沉陷预测与影响分析</w:t>
          </w:r>
          <w:r>
            <w:tab/>
          </w:r>
          <w:r>
            <w:rPr>
              <w:rFonts w:ascii="Times New Roman" w:eastAsia="Times New Roman"/>
            </w:rPr>
            <w:t>79</w:t>
          </w:r>
          <w:r>
            <w:rPr>
              <w:rFonts w:ascii="Times New Roman" w:eastAsia="Times New Roman"/>
            </w:rPr>
            <w:fldChar w:fldCharType="end"/>
          </w:r>
        </w:p>
        <w:p>
          <w:pPr>
            <w:pStyle w:val="7"/>
            <w:numPr>
              <w:ilvl w:val="1"/>
              <w:numId w:val="1"/>
            </w:numPr>
            <w:tabs>
              <w:tab w:val="left" w:pos="1775"/>
              <w:tab w:val="left" w:leader="dot" w:pos="9135"/>
            </w:tabs>
            <w:spacing w:before="2" w:after="0" w:line="240" w:lineRule="auto"/>
            <w:ind w:left="1774" w:right="0" w:hanging="315"/>
            <w:jc w:val="left"/>
            <w:rPr>
              <w:rFonts w:ascii="Times New Roman" w:eastAsia="Times New Roman"/>
            </w:rPr>
          </w:pPr>
          <w:r>
            <w:fldChar w:fldCharType="begin"/>
          </w:r>
          <w:r>
            <w:instrText xml:space="preserve"> HYPERLINK \l "_bookmark27" </w:instrText>
          </w:r>
          <w:r>
            <w:fldChar w:fldCharType="separate"/>
          </w:r>
          <w:r>
            <w:t>生态影响评价</w:t>
          </w:r>
          <w:r>
            <w:tab/>
          </w:r>
          <w:r>
            <w:rPr>
              <w:rFonts w:ascii="Times New Roman" w:eastAsia="Times New Roman"/>
            </w:rPr>
            <w:t>87</w:t>
          </w:r>
          <w:r>
            <w:rPr>
              <w:rFonts w:ascii="Times New Roman" w:eastAsia="Times New Roman"/>
            </w:rPr>
            <w:fldChar w:fldCharType="end"/>
          </w:r>
        </w:p>
        <w:p>
          <w:pPr>
            <w:pStyle w:val="7"/>
            <w:numPr>
              <w:ilvl w:val="1"/>
              <w:numId w:val="1"/>
            </w:numPr>
            <w:tabs>
              <w:tab w:val="left" w:pos="1775"/>
              <w:tab w:val="left" w:leader="dot" w:pos="9135"/>
            </w:tabs>
            <w:spacing w:before="2" w:after="0" w:line="240" w:lineRule="auto"/>
            <w:ind w:left="1774" w:right="0" w:hanging="315"/>
            <w:jc w:val="left"/>
            <w:rPr>
              <w:rFonts w:ascii="Times New Roman" w:eastAsia="Times New Roman"/>
            </w:rPr>
          </w:pPr>
          <w:r>
            <w:fldChar w:fldCharType="begin"/>
          </w:r>
          <w:r>
            <w:instrText xml:space="preserve"> HYPERLINK \l "_bookmark28" </w:instrText>
          </w:r>
          <w:r>
            <w:fldChar w:fldCharType="separate"/>
          </w:r>
          <w:r>
            <w:t>地表沉陷区治理与生态环境综合整治</w:t>
          </w:r>
          <w:r>
            <w:tab/>
          </w:r>
          <w:r>
            <w:rPr>
              <w:rFonts w:ascii="Times New Roman" w:eastAsia="Times New Roman"/>
            </w:rPr>
            <w:t>89</w:t>
          </w:r>
          <w:r>
            <w:rPr>
              <w:rFonts w:ascii="Times New Roman" w:eastAsia="Times New Roman"/>
            </w:rPr>
            <w:fldChar w:fldCharType="end"/>
          </w:r>
        </w:p>
        <w:p>
          <w:pPr>
            <w:pStyle w:val="8"/>
            <w:numPr>
              <w:ilvl w:val="0"/>
              <w:numId w:val="1"/>
            </w:numPr>
            <w:tabs>
              <w:tab w:val="left" w:pos="1253"/>
              <w:tab w:val="left" w:leader="dot" w:pos="7886"/>
            </w:tabs>
            <w:spacing w:before="45" w:after="0" w:line="240" w:lineRule="auto"/>
            <w:ind w:left="1252" w:right="36" w:hanging="1253"/>
            <w:jc w:val="left"/>
            <w:rPr>
              <w:rFonts w:ascii="Times New Roman" w:eastAsia="Times New Roman"/>
            </w:rPr>
          </w:pPr>
          <w:r>
            <w:fldChar w:fldCharType="begin"/>
          </w:r>
          <w:r>
            <w:instrText xml:space="preserve"> HYPERLINK \l "_bookmark29" </w:instrText>
          </w:r>
          <w:r>
            <w:fldChar w:fldCharType="separate"/>
          </w:r>
          <w:r>
            <w:t>地</w:t>
          </w:r>
          <w:r>
            <w:rPr>
              <w:spacing w:val="-3"/>
            </w:rPr>
            <w:t>下</w:t>
          </w:r>
          <w:r>
            <w:t>水环</w:t>
          </w:r>
          <w:r>
            <w:rPr>
              <w:spacing w:val="-3"/>
            </w:rPr>
            <w:t>境</w:t>
          </w:r>
          <w:r>
            <w:t>影响</w:t>
          </w:r>
          <w:r>
            <w:rPr>
              <w:spacing w:val="-3"/>
            </w:rPr>
            <w:t>分</w:t>
          </w:r>
          <w:r>
            <w:t>析</w:t>
          </w:r>
          <w:r>
            <w:tab/>
          </w:r>
          <w:r>
            <w:rPr>
              <w:rFonts w:ascii="Times New Roman" w:eastAsia="Times New Roman"/>
            </w:rPr>
            <w:t>101</w:t>
          </w:r>
          <w:r>
            <w:rPr>
              <w:rFonts w:ascii="Times New Roman" w:eastAsia="Times New Roman"/>
            </w:rPr>
            <w:fldChar w:fldCharType="end"/>
          </w:r>
        </w:p>
        <w:p>
          <w:pPr>
            <w:pStyle w:val="7"/>
            <w:tabs>
              <w:tab w:val="left" w:leader="dot" w:pos="9031"/>
            </w:tabs>
            <w:ind w:left="1460" w:firstLine="0"/>
            <w:rPr>
              <w:rFonts w:ascii="Times New Roman" w:eastAsia="Times New Roman"/>
            </w:rPr>
          </w:pPr>
          <w:r>
            <w:fldChar w:fldCharType="begin"/>
          </w:r>
          <w:r>
            <w:instrText xml:space="preserve"> HYPERLINK \l "_bookmark30" </w:instrText>
          </w:r>
          <w:r>
            <w:fldChar w:fldCharType="separate"/>
          </w:r>
          <w:r>
            <w:rPr>
              <w:rFonts w:ascii="Times New Roman" w:eastAsia="Times New Roman"/>
            </w:rPr>
            <w:t>6.1</w:t>
          </w:r>
          <w:r>
            <w:rPr>
              <w:rFonts w:ascii="Times New Roman" w:eastAsia="Times New Roman"/>
              <w:spacing w:val="-2"/>
            </w:rPr>
            <w:t xml:space="preserve"> </w:t>
          </w:r>
          <w:r>
            <w:t>概述</w:t>
          </w:r>
          <w:r>
            <w:tab/>
          </w:r>
          <w:r>
            <w:rPr>
              <w:rFonts w:ascii="Times New Roman" w:eastAsia="Times New Roman"/>
            </w:rPr>
            <w:t>101</w:t>
          </w:r>
          <w:r>
            <w:rPr>
              <w:rFonts w:ascii="Times New Roman" w:eastAsia="Times New Roman"/>
            </w:rPr>
            <w:fldChar w:fldCharType="end"/>
          </w:r>
        </w:p>
        <w:p>
          <w:pPr>
            <w:pStyle w:val="7"/>
            <w:numPr>
              <w:ilvl w:val="1"/>
              <w:numId w:val="2"/>
            </w:numPr>
            <w:tabs>
              <w:tab w:val="left" w:pos="1775"/>
              <w:tab w:val="left" w:leader="dot" w:pos="9031"/>
            </w:tabs>
            <w:spacing w:before="2" w:after="0" w:line="240" w:lineRule="auto"/>
            <w:ind w:left="1774" w:right="0" w:hanging="315"/>
            <w:jc w:val="left"/>
            <w:rPr>
              <w:rFonts w:ascii="Times New Roman" w:eastAsia="Times New Roman"/>
            </w:rPr>
          </w:pPr>
          <w:r>
            <w:fldChar w:fldCharType="begin"/>
          </w:r>
          <w:r>
            <w:instrText xml:space="preserve"> HYPERLINK \l "_bookmark31" </w:instrText>
          </w:r>
          <w:r>
            <w:fldChar w:fldCharType="separate"/>
          </w:r>
          <w:r>
            <w:t>地层和构造</w:t>
          </w:r>
          <w:r>
            <w:tab/>
          </w:r>
          <w:r>
            <w:rPr>
              <w:rFonts w:ascii="Times New Roman" w:eastAsia="Times New Roman"/>
            </w:rPr>
            <w:t>101</w:t>
          </w:r>
          <w:r>
            <w:rPr>
              <w:rFonts w:ascii="Times New Roman" w:eastAsia="Times New Roman"/>
            </w:rPr>
            <w:fldChar w:fldCharType="end"/>
          </w:r>
        </w:p>
        <w:p>
          <w:pPr>
            <w:pStyle w:val="7"/>
            <w:numPr>
              <w:ilvl w:val="1"/>
              <w:numId w:val="2"/>
            </w:numPr>
            <w:tabs>
              <w:tab w:val="left" w:pos="1775"/>
              <w:tab w:val="left" w:leader="dot" w:pos="9031"/>
            </w:tabs>
            <w:spacing w:before="4" w:after="0" w:line="240" w:lineRule="auto"/>
            <w:ind w:left="1774" w:right="0" w:hanging="315"/>
            <w:jc w:val="left"/>
            <w:rPr>
              <w:rFonts w:ascii="Times New Roman" w:eastAsia="Times New Roman"/>
            </w:rPr>
          </w:pPr>
          <w:r>
            <w:fldChar w:fldCharType="begin"/>
          </w:r>
          <w:r>
            <w:instrText xml:space="preserve"> HYPERLINK \l "_bookmark32" </w:instrText>
          </w:r>
          <w:r>
            <w:fldChar w:fldCharType="separate"/>
          </w:r>
          <w:r>
            <w:t>水文地质条件</w:t>
          </w:r>
          <w:r>
            <w:tab/>
          </w:r>
          <w:r>
            <w:rPr>
              <w:rFonts w:ascii="Times New Roman" w:eastAsia="Times New Roman"/>
            </w:rPr>
            <w:t>105</w:t>
          </w:r>
          <w:r>
            <w:rPr>
              <w:rFonts w:ascii="Times New Roman" w:eastAsia="Times New Roman"/>
            </w:rPr>
            <w:fldChar w:fldCharType="end"/>
          </w:r>
        </w:p>
        <w:p>
          <w:pPr>
            <w:pStyle w:val="7"/>
            <w:numPr>
              <w:ilvl w:val="1"/>
              <w:numId w:val="2"/>
            </w:numPr>
            <w:tabs>
              <w:tab w:val="left" w:pos="1775"/>
              <w:tab w:val="left" w:leader="dot" w:pos="9031"/>
            </w:tabs>
            <w:spacing w:before="2" w:after="0" w:line="240" w:lineRule="auto"/>
            <w:ind w:left="1774" w:right="0" w:hanging="315"/>
            <w:jc w:val="left"/>
            <w:rPr>
              <w:rFonts w:ascii="Times New Roman" w:eastAsia="Times New Roman"/>
            </w:rPr>
          </w:pPr>
          <w:r>
            <w:fldChar w:fldCharType="begin"/>
          </w:r>
          <w:r>
            <w:instrText xml:space="preserve"> HYPERLINK \l "_bookmark33" </w:instrText>
          </w:r>
          <w:r>
            <w:fldChar w:fldCharType="separate"/>
          </w:r>
          <w:r>
            <w:t>地下水环境质量现状评价</w:t>
          </w:r>
          <w:r>
            <w:tab/>
          </w:r>
          <w:r>
            <w:rPr>
              <w:rFonts w:ascii="Times New Roman" w:eastAsia="Times New Roman"/>
            </w:rPr>
            <w:t>107</w:t>
          </w:r>
          <w:r>
            <w:rPr>
              <w:rFonts w:ascii="Times New Roman" w:eastAsia="Times New Roman"/>
            </w:rPr>
            <w:fldChar w:fldCharType="end"/>
          </w:r>
        </w:p>
        <w:p>
          <w:pPr>
            <w:pStyle w:val="7"/>
            <w:numPr>
              <w:ilvl w:val="1"/>
              <w:numId w:val="2"/>
            </w:numPr>
            <w:tabs>
              <w:tab w:val="left" w:pos="1775"/>
              <w:tab w:val="left" w:leader="dot" w:pos="9039"/>
            </w:tabs>
            <w:spacing w:before="5" w:after="0" w:line="240" w:lineRule="auto"/>
            <w:ind w:left="1774" w:right="0" w:hanging="315"/>
            <w:jc w:val="left"/>
            <w:rPr>
              <w:rFonts w:ascii="Times New Roman" w:eastAsia="Times New Roman"/>
            </w:rPr>
          </w:pPr>
          <w:r>
            <w:fldChar w:fldCharType="begin"/>
          </w:r>
          <w:r>
            <w:instrText xml:space="preserve"> HYPERLINK \l "_bookmark34" </w:instrText>
          </w:r>
          <w:r>
            <w:fldChar w:fldCharType="separate"/>
          </w:r>
          <w:r>
            <w:t>建设期地下水环境影响分析与防治措施</w:t>
          </w:r>
          <w:r>
            <w:tab/>
          </w:r>
          <w:r>
            <w:rPr>
              <w:rFonts w:ascii="Times New Roman" w:eastAsia="Times New Roman"/>
              <w:spacing w:val="-2"/>
            </w:rPr>
            <w:t>116</w:t>
          </w:r>
          <w:r>
            <w:rPr>
              <w:rFonts w:ascii="Times New Roman" w:eastAsia="Times New Roman"/>
              <w:spacing w:val="-2"/>
            </w:rPr>
            <w:fldChar w:fldCharType="end"/>
          </w:r>
        </w:p>
        <w:p>
          <w:pPr>
            <w:pStyle w:val="7"/>
            <w:tabs>
              <w:tab w:val="left" w:leader="dot" w:pos="9031"/>
            </w:tabs>
            <w:ind w:left="1460" w:firstLine="0"/>
            <w:rPr>
              <w:rFonts w:ascii="Times New Roman" w:eastAsia="Times New Roman"/>
            </w:rPr>
          </w:pPr>
          <w:r>
            <w:fldChar w:fldCharType="begin"/>
          </w:r>
          <w:r>
            <w:instrText xml:space="preserve"> HYPERLINK \l "_bookmark35" </w:instrText>
          </w:r>
          <w:r>
            <w:fldChar w:fldCharType="separate"/>
          </w:r>
          <w:r>
            <w:rPr>
              <w:rFonts w:ascii="Times New Roman" w:eastAsia="Times New Roman"/>
            </w:rPr>
            <w:t>6.7</w:t>
          </w:r>
          <w:r>
            <w:rPr>
              <w:rFonts w:ascii="Times New Roman" w:eastAsia="Times New Roman"/>
              <w:spacing w:val="-1"/>
            </w:rPr>
            <w:t xml:space="preserve"> </w:t>
          </w:r>
          <w:r>
            <w:t>地下水环境保护措施</w:t>
          </w:r>
          <w:r>
            <w:tab/>
          </w:r>
          <w:r>
            <w:rPr>
              <w:rFonts w:ascii="Times New Roman" w:eastAsia="Times New Roman"/>
            </w:rPr>
            <w:t>120</w:t>
          </w:r>
          <w:r>
            <w:rPr>
              <w:rFonts w:ascii="Times New Roman" w:eastAsia="Times New Roman"/>
            </w:rPr>
            <w:fldChar w:fldCharType="end"/>
          </w:r>
        </w:p>
        <w:p>
          <w:pPr>
            <w:pStyle w:val="8"/>
            <w:numPr>
              <w:ilvl w:val="0"/>
              <w:numId w:val="1"/>
            </w:numPr>
            <w:tabs>
              <w:tab w:val="left" w:pos="1253"/>
              <w:tab w:val="left" w:leader="dot" w:pos="7886"/>
            </w:tabs>
            <w:spacing w:before="45" w:after="0" w:line="358" w:lineRule="exact"/>
            <w:ind w:left="1252" w:right="36" w:hanging="1253"/>
            <w:jc w:val="left"/>
            <w:rPr>
              <w:rFonts w:ascii="Times New Roman" w:eastAsia="Times New Roman"/>
            </w:rPr>
          </w:pPr>
          <w:r>
            <w:fldChar w:fldCharType="begin"/>
          </w:r>
          <w:r>
            <w:instrText xml:space="preserve"> HYPERLINK \l "_bookmark37" </w:instrText>
          </w:r>
          <w:r>
            <w:fldChar w:fldCharType="separate"/>
          </w:r>
          <w:r>
            <w:t>地</w:t>
          </w:r>
          <w:r>
            <w:rPr>
              <w:spacing w:val="-3"/>
            </w:rPr>
            <w:t>表</w:t>
          </w:r>
          <w:r>
            <w:t>水环</w:t>
          </w:r>
          <w:r>
            <w:rPr>
              <w:spacing w:val="-3"/>
            </w:rPr>
            <w:t>境</w:t>
          </w:r>
          <w:r>
            <w:t>影响</w:t>
          </w:r>
          <w:r>
            <w:rPr>
              <w:spacing w:val="-3"/>
            </w:rPr>
            <w:t>分</w:t>
          </w:r>
          <w:r>
            <w:t>析</w:t>
          </w:r>
          <w:r>
            <w:tab/>
          </w:r>
          <w:r>
            <w:rPr>
              <w:rFonts w:ascii="Times New Roman" w:eastAsia="Times New Roman"/>
            </w:rPr>
            <w:t>125</w:t>
          </w:r>
          <w:r>
            <w:rPr>
              <w:rFonts w:ascii="Times New Roman" w:eastAsia="Times New Roman"/>
            </w:rPr>
            <w:fldChar w:fldCharType="end"/>
          </w:r>
        </w:p>
        <w:p>
          <w:pPr>
            <w:pStyle w:val="7"/>
            <w:numPr>
              <w:ilvl w:val="1"/>
              <w:numId w:val="1"/>
            </w:numPr>
            <w:tabs>
              <w:tab w:val="left" w:pos="1775"/>
              <w:tab w:val="left" w:leader="dot" w:pos="9031"/>
            </w:tabs>
            <w:spacing w:before="0" w:after="0" w:line="269" w:lineRule="exact"/>
            <w:ind w:left="1774" w:right="0" w:hanging="315"/>
            <w:jc w:val="left"/>
            <w:rPr>
              <w:rFonts w:ascii="Times New Roman" w:eastAsia="Times New Roman"/>
            </w:rPr>
          </w:pPr>
          <w:r>
            <w:fldChar w:fldCharType="begin"/>
          </w:r>
          <w:r>
            <w:instrText xml:space="preserve"> HYPERLINK \l "_bookmark36" </w:instrText>
          </w:r>
          <w:r>
            <w:fldChar w:fldCharType="separate"/>
          </w:r>
          <w:r>
            <w:t>评价等级</w:t>
          </w:r>
          <w:r>
            <w:tab/>
          </w:r>
          <w:r>
            <w:rPr>
              <w:rFonts w:ascii="Times New Roman" w:eastAsia="Times New Roman"/>
            </w:rPr>
            <w:t>125</w:t>
          </w:r>
          <w:r>
            <w:rPr>
              <w:rFonts w:ascii="Times New Roman" w:eastAsia="Times New Roman"/>
            </w:rPr>
            <w:fldChar w:fldCharType="end"/>
          </w:r>
        </w:p>
        <w:p>
          <w:pPr>
            <w:pStyle w:val="7"/>
            <w:numPr>
              <w:ilvl w:val="1"/>
              <w:numId w:val="1"/>
            </w:numPr>
            <w:tabs>
              <w:tab w:val="left" w:pos="1775"/>
              <w:tab w:val="left" w:leader="dot" w:pos="9031"/>
            </w:tabs>
            <w:spacing w:before="4" w:after="0" w:line="240" w:lineRule="auto"/>
            <w:ind w:left="1774" w:right="0" w:hanging="315"/>
            <w:jc w:val="left"/>
            <w:rPr>
              <w:rFonts w:ascii="Times New Roman" w:eastAsia="Times New Roman"/>
            </w:rPr>
          </w:pPr>
          <w:r>
            <w:fldChar w:fldCharType="begin"/>
          </w:r>
          <w:r>
            <w:instrText xml:space="preserve"> HYPERLINK \l "_bookmark38" </w:instrText>
          </w:r>
          <w:r>
            <w:fldChar w:fldCharType="separate"/>
          </w:r>
          <w:r>
            <w:t>地表水环境污染源现状调查</w:t>
          </w:r>
          <w:r>
            <w:tab/>
          </w:r>
          <w:r>
            <w:rPr>
              <w:rFonts w:ascii="Times New Roman" w:eastAsia="Times New Roman"/>
            </w:rPr>
            <w:t>125</w:t>
          </w:r>
          <w:r>
            <w:rPr>
              <w:rFonts w:ascii="Times New Roman" w:eastAsia="Times New Roman"/>
            </w:rPr>
            <w:fldChar w:fldCharType="end"/>
          </w:r>
        </w:p>
        <w:p>
          <w:pPr>
            <w:pStyle w:val="7"/>
            <w:numPr>
              <w:ilvl w:val="1"/>
              <w:numId w:val="1"/>
            </w:numPr>
            <w:tabs>
              <w:tab w:val="left" w:pos="1775"/>
              <w:tab w:val="left" w:leader="dot" w:pos="9031"/>
            </w:tabs>
            <w:spacing w:before="3" w:after="0" w:line="240" w:lineRule="auto"/>
            <w:ind w:left="1774" w:right="0" w:hanging="315"/>
            <w:jc w:val="left"/>
            <w:rPr>
              <w:rFonts w:ascii="Times New Roman" w:eastAsia="Times New Roman"/>
            </w:rPr>
          </w:pPr>
          <w:r>
            <w:fldChar w:fldCharType="begin"/>
          </w:r>
          <w:r>
            <w:instrText xml:space="preserve"> HYPERLINK \l "_bookmark39" </w:instrText>
          </w:r>
          <w:r>
            <w:fldChar w:fldCharType="separate"/>
          </w:r>
          <w:r>
            <w:t>地表水环境质量现状监测与评价</w:t>
          </w:r>
          <w:r>
            <w:tab/>
          </w:r>
          <w:r>
            <w:rPr>
              <w:rFonts w:ascii="Times New Roman" w:eastAsia="Times New Roman"/>
            </w:rPr>
            <w:t>126</w:t>
          </w:r>
          <w:r>
            <w:rPr>
              <w:rFonts w:ascii="Times New Roman" w:eastAsia="Times New Roman"/>
            </w:rPr>
            <w:fldChar w:fldCharType="end"/>
          </w:r>
        </w:p>
        <w:p>
          <w:pPr>
            <w:pStyle w:val="7"/>
            <w:numPr>
              <w:ilvl w:val="1"/>
              <w:numId w:val="1"/>
            </w:numPr>
            <w:tabs>
              <w:tab w:val="left" w:pos="1775"/>
              <w:tab w:val="left" w:leader="dot" w:pos="9031"/>
            </w:tabs>
            <w:spacing w:before="4" w:after="0" w:line="240" w:lineRule="auto"/>
            <w:ind w:left="1774" w:right="0" w:hanging="315"/>
            <w:jc w:val="left"/>
            <w:rPr>
              <w:rFonts w:ascii="Times New Roman" w:eastAsia="Times New Roman"/>
            </w:rPr>
          </w:pPr>
          <w:r>
            <w:fldChar w:fldCharType="begin"/>
          </w:r>
          <w:r>
            <w:instrText xml:space="preserve"> HYPERLINK \l "_bookmark40" </w:instrText>
          </w:r>
          <w:r>
            <w:fldChar w:fldCharType="separate"/>
          </w:r>
          <w:r>
            <w:t>建设期地表水环境影响分析与防治措施</w:t>
          </w:r>
          <w:r>
            <w:tab/>
          </w:r>
          <w:r>
            <w:rPr>
              <w:rFonts w:ascii="Times New Roman" w:eastAsia="Times New Roman"/>
            </w:rPr>
            <w:t>130</w:t>
          </w:r>
          <w:r>
            <w:rPr>
              <w:rFonts w:ascii="Times New Roman" w:eastAsia="Times New Roman"/>
            </w:rPr>
            <w:fldChar w:fldCharType="end"/>
          </w:r>
        </w:p>
        <w:p>
          <w:pPr>
            <w:pStyle w:val="7"/>
            <w:numPr>
              <w:ilvl w:val="1"/>
              <w:numId w:val="1"/>
            </w:numPr>
            <w:tabs>
              <w:tab w:val="left" w:pos="1775"/>
              <w:tab w:val="left" w:leader="dot" w:pos="9031"/>
            </w:tabs>
            <w:spacing w:before="2" w:after="0" w:line="240" w:lineRule="auto"/>
            <w:ind w:left="1774" w:right="0" w:hanging="315"/>
            <w:jc w:val="left"/>
            <w:rPr>
              <w:rFonts w:ascii="Times New Roman" w:eastAsia="Times New Roman"/>
            </w:rPr>
          </w:pPr>
          <w:r>
            <w:fldChar w:fldCharType="begin"/>
          </w:r>
          <w:r>
            <w:instrText xml:space="preserve"> HYPERLINK \l "_bookmark41" </w:instrText>
          </w:r>
          <w:r>
            <w:fldChar w:fldCharType="separate"/>
          </w:r>
          <w:r>
            <w:t>运营期地表水环境影响预测与评价</w:t>
          </w:r>
          <w:r>
            <w:tab/>
          </w:r>
          <w:r>
            <w:rPr>
              <w:rFonts w:ascii="Times New Roman" w:eastAsia="Times New Roman"/>
            </w:rPr>
            <w:t>130</w:t>
          </w:r>
          <w:r>
            <w:rPr>
              <w:rFonts w:ascii="Times New Roman" w:eastAsia="Times New Roman"/>
            </w:rPr>
            <w:fldChar w:fldCharType="end"/>
          </w:r>
        </w:p>
        <w:p>
          <w:pPr>
            <w:pStyle w:val="7"/>
            <w:numPr>
              <w:ilvl w:val="1"/>
              <w:numId w:val="1"/>
            </w:numPr>
            <w:tabs>
              <w:tab w:val="left" w:pos="1775"/>
              <w:tab w:val="left" w:leader="dot" w:pos="9031"/>
            </w:tabs>
            <w:spacing w:before="5" w:after="0" w:line="240" w:lineRule="auto"/>
            <w:ind w:left="1774" w:right="0" w:hanging="315"/>
            <w:jc w:val="left"/>
            <w:rPr>
              <w:rFonts w:ascii="Times New Roman" w:eastAsia="Times New Roman"/>
            </w:rPr>
          </w:pPr>
          <w:r>
            <w:fldChar w:fldCharType="begin"/>
          </w:r>
          <w:r>
            <w:instrText xml:space="preserve"> HYPERLINK \l "_bookmark42" </w:instrText>
          </w:r>
          <w:r>
            <w:fldChar w:fldCharType="separate"/>
          </w:r>
          <w:r>
            <w:t>水资源利用及水污染物防治措施可行性分析</w:t>
          </w:r>
          <w:r>
            <w:tab/>
          </w:r>
          <w:r>
            <w:rPr>
              <w:rFonts w:ascii="Times New Roman" w:eastAsia="Times New Roman"/>
            </w:rPr>
            <w:t>132</w:t>
          </w:r>
          <w:r>
            <w:rPr>
              <w:rFonts w:ascii="Times New Roman" w:eastAsia="Times New Roman"/>
            </w:rPr>
            <w:fldChar w:fldCharType="end"/>
          </w:r>
        </w:p>
        <w:p>
          <w:pPr>
            <w:pStyle w:val="8"/>
            <w:numPr>
              <w:ilvl w:val="0"/>
              <w:numId w:val="1"/>
            </w:numPr>
            <w:tabs>
              <w:tab w:val="left" w:pos="1253"/>
              <w:tab w:val="left" w:leader="dot" w:pos="7886"/>
            </w:tabs>
            <w:spacing w:before="42" w:after="0" w:line="240" w:lineRule="auto"/>
            <w:ind w:left="1252" w:right="36" w:hanging="1253"/>
            <w:jc w:val="left"/>
            <w:rPr>
              <w:rFonts w:ascii="Times New Roman" w:eastAsia="Times New Roman"/>
            </w:rPr>
          </w:pPr>
          <w:r>
            <w:fldChar w:fldCharType="begin"/>
          </w:r>
          <w:r>
            <w:instrText xml:space="preserve"> HYPERLINK \l "_bookmark43" </w:instrText>
          </w:r>
          <w:r>
            <w:fldChar w:fldCharType="separate"/>
          </w:r>
          <w:r>
            <w:t>大</w:t>
          </w:r>
          <w:r>
            <w:rPr>
              <w:spacing w:val="-3"/>
            </w:rPr>
            <w:t>气</w:t>
          </w:r>
          <w:r>
            <w:t>环境</w:t>
          </w:r>
          <w:r>
            <w:rPr>
              <w:spacing w:val="-3"/>
            </w:rPr>
            <w:t>影</w:t>
          </w:r>
          <w:r>
            <w:t>响分析</w:t>
          </w:r>
          <w:r>
            <w:tab/>
          </w:r>
          <w:r>
            <w:rPr>
              <w:rFonts w:ascii="Times New Roman" w:eastAsia="Times New Roman"/>
            </w:rPr>
            <w:t>136</w:t>
          </w:r>
          <w:r>
            <w:rPr>
              <w:rFonts w:ascii="Times New Roman" w:eastAsia="Times New Roman"/>
            </w:rPr>
            <w:fldChar w:fldCharType="end"/>
          </w:r>
        </w:p>
        <w:p>
          <w:pPr>
            <w:pStyle w:val="7"/>
            <w:numPr>
              <w:ilvl w:val="1"/>
              <w:numId w:val="1"/>
            </w:numPr>
            <w:tabs>
              <w:tab w:val="left" w:pos="1775"/>
              <w:tab w:val="left" w:leader="dot" w:pos="9031"/>
            </w:tabs>
            <w:spacing w:before="2" w:after="0" w:line="240" w:lineRule="auto"/>
            <w:ind w:left="1774" w:right="0" w:hanging="315"/>
            <w:jc w:val="left"/>
            <w:rPr>
              <w:rFonts w:ascii="Times New Roman" w:eastAsia="Times New Roman"/>
            </w:rPr>
          </w:pPr>
          <w:r>
            <w:fldChar w:fldCharType="begin"/>
          </w:r>
          <w:r>
            <w:instrText xml:space="preserve"> HYPERLINK \l "_bookmark44" </w:instrText>
          </w:r>
          <w:r>
            <w:fldChar w:fldCharType="separate"/>
          </w:r>
          <w:r>
            <w:t>评价工作等级及范围</w:t>
          </w:r>
          <w:r>
            <w:tab/>
          </w:r>
          <w:r>
            <w:rPr>
              <w:rFonts w:ascii="Times New Roman" w:eastAsia="Times New Roman"/>
            </w:rPr>
            <w:t>136</w:t>
          </w:r>
          <w:r>
            <w:rPr>
              <w:rFonts w:ascii="Times New Roman" w:eastAsia="Times New Roman"/>
            </w:rPr>
            <w:fldChar w:fldCharType="end"/>
          </w:r>
        </w:p>
        <w:p>
          <w:pPr>
            <w:pStyle w:val="7"/>
            <w:numPr>
              <w:ilvl w:val="1"/>
              <w:numId w:val="1"/>
            </w:numPr>
            <w:tabs>
              <w:tab w:val="left" w:pos="1775"/>
              <w:tab w:val="left" w:leader="dot" w:pos="9031"/>
            </w:tabs>
            <w:spacing w:before="2" w:after="240" w:line="240" w:lineRule="auto"/>
            <w:ind w:left="1774" w:right="0" w:hanging="315"/>
            <w:jc w:val="left"/>
            <w:rPr>
              <w:rFonts w:ascii="Times New Roman" w:eastAsia="Times New Roman"/>
            </w:rPr>
          </w:pPr>
          <w:r>
            <w:fldChar w:fldCharType="begin"/>
          </w:r>
          <w:r>
            <w:instrText xml:space="preserve"> HYPERLINK \l "_bookmark45" </w:instrText>
          </w:r>
          <w:r>
            <w:fldChar w:fldCharType="separate"/>
          </w:r>
          <w:r>
            <w:t>环境空气质量现状评价</w:t>
          </w:r>
          <w:r>
            <w:tab/>
          </w:r>
          <w:r>
            <w:rPr>
              <w:rFonts w:ascii="Times New Roman" w:eastAsia="Times New Roman"/>
            </w:rPr>
            <w:t>136</w:t>
          </w:r>
          <w:r>
            <w:rPr>
              <w:rFonts w:ascii="Times New Roman" w:eastAsia="Times New Roman"/>
            </w:rPr>
            <w:fldChar w:fldCharType="end"/>
          </w:r>
        </w:p>
        <w:p>
          <w:pPr>
            <w:pStyle w:val="7"/>
            <w:numPr>
              <w:ilvl w:val="1"/>
              <w:numId w:val="1"/>
            </w:numPr>
            <w:tabs>
              <w:tab w:val="left" w:pos="1775"/>
              <w:tab w:val="right" w:leader="dot" w:pos="9347"/>
            </w:tabs>
            <w:spacing w:before="62" w:after="0" w:line="240" w:lineRule="auto"/>
            <w:ind w:left="1774" w:right="0" w:hanging="315"/>
            <w:jc w:val="left"/>
            <w:rPr>
              <w:rFonts w:ascii="Times New Roman" w:eastAsia="Times New Roman"/>
            </w:rPr>
          </w:pPr>
          <w:r>
            <w:fldChar w:fldCharType="begin"/>
          </w:r>
          <w:r>
            <w:instrText xml:space="preserve"> HYPERLINK \l "_bookmark46" </w:instrText>
          </w:r>
          <w:r>
            <w:fldChar w:fldCharType="separate"/>
          </w:r>
          <w:r>
            <w:t>建设期大气环境影响及防治措施</w:t>
          </w:r>
          <w:r>
            <w:tab/>
          </w:r>
          <w:r>
            <w:rPr>
              <w:rFonts w:ascii="Times New Roman" w:eastAsia="Times New Roman"/>
            </w:rPr>
            <w:t>139</w:t>
          </w:r>
          <w:r>
            <w:rPr>
              <w:rFonts w:ascii="Times New Roman" w:eastAsia="Times New Roman"/>
            </w:rPr>
            <w:fldChar w:fldCharType="end"/>
          </w:r>
        </w:p>
        <w:p>
          <w:pPr>
            <w:pStyle w:val="7"/>
            <w:numPr>
              <w:ilvl w:val="1"/>
              <w:numId w:val="1"/>
            </w:numPr>
            <w:tabs>
              <w:tab w:val="left" w:pos="1775"/>
              <w:tab w:val="right" w:leader="dot" w:pos="9347"/>
            </w:tabs>
            <w:spacing w:before="4" w:after="0" w:line="240" w:lineRule="auto"/>
            <w:ind w:left="1774" w:right="0" w:hanging="315"/>
            <w:jc w:val="left"/>
            <w:rPr>
              <w:rFonts w:ascii="Times New Roman" w:eastAsia="Times New Roman"/>
            </w:rPr>
          </w:pPr>
          <w:r>
            <w:fldChar w:fldCharType="begin"/>
          </w:r>
          <w:r>
            <w:instrText xml:space="preserve"> HYPERLINK \l "_bookmark47" </w:instrText>
          </w:r>
          <w:r>
            <w:fldChar w:fldCharType="separate"/>
          </w:r>
          <w:r>
            <w:t>运营期大气环境影响预测与评价</w:t>
          </w:r>
          <w:r>
            <w:tab/>
          </w:r>
          <w:r>
            <w:rPr>
              <w:rFonts w:ascii="Times New Roman" w:eastAsia="Times New Roman"/>
            </w:rPr>
            <w:t>139</w:t>
          </w:r>
          <w:r>
            <w:rPr>
              <w:rFonts w:ascii="Times New Roman" w:eastAsia="Times New Roman"/>
            </w:rPr>
            <w:fldChar w:fldCharType="end"/>
          </w:r>
        </w:p>
        <w:p>
          <w:pPr>
            <w:pStyle w:val="7"/>
            <w:numPr>
              <w:ilvl w:val="1"/>
              <w:numId w:val="1"/>
            </w:numPr>
            <w:tabs>
              <w:tab w:val="left" w:pos="1775"/>
              <w:tab w:val="right" w:leader="dot" w:pos="9347"/>
            </w:tabs>
            <w:spacing w:before="2" w:after="0" w:line="240" w:lineRule="auto"/>
            <w:ind w:left="1774" w:right="0" w:hanging="315"/>
            <w:jc w:val="left"/>
            <w:rPr>
              <w:rFonts w:ascii="Times New Roman" w:eastAsia="Times New Roman"/>
            </w:rPr>
          </w:pPr>
          <w:r>
            <w:fldChar w:fldCharType="begin"/>
          </w:r>
          <w:r>
            <w:instrText xml:space="preserve"> HYPERLINK \l "_bookmark48" </w:instrText>
          </w:r>
          <w:r>
            <w:fldChar w:fldCharType="separate"/>
          </w:r>
          <w:r>
            <w:t>大气污染防治措施</w:t>
          </w:r>
          <w:r>
            <w:tab/>
          </w:r>
          <w:r>
            <w:rPr>
              <w:rFonts w:ascii="Times New Roman" w:eastAsia="Times New Roman"/>
            </w:rPr>
            <w:t>140</w:t>
          </w:r>
          <w:r>
            <w:rPr>
              <w:rFonts w:ascii="Times New Roman" w:eastAsia="Times New Roman"/>
            </w:rPr>
            <w:fldChar w:fldCharType="end"/>
          </w:r>
        </w:p>
        <w:p>
          <w:pPr>
            <w:pStyle w:val="7"/>
            <w:numPr>
              <w:ilvl w:val="1"/>
              <w:numId w:val="1"/>
            </w:numPr>
            <w:tabs>
              <w:tab w:val="left" w:pos="1775"/>
              <w:tab w:val="right" w:leader="dot" w:pos="9347"/>
            </w:tabs>
            <w:spacing w:before="5" w:after="0" w:line="240" w:lineRule="auto"/>
            <w:ind w:left="1774" w:right="0" w:hanging="315"/>
            <w:jc w:val="left"/>
            <w:rPr>
              <w:rFonts w:ascii="Times New Roman" w:eastAsia="Times New Roman"/>
            </w:rPr>
          </w:pPr>
          <w:r>
            <w:fldChar w:fldCharType="begin"/>
          </w:r>
          <w:r>
            <w:instrText xml:space="preserve"> HYPERLINK \l "_bookmark49" </w:instrText>
          </w:r>
          <w:r>
            <w:fldChar w:fldCharType="separate"/>
          </w:r>
          <w:r>
            <w:t>排放量核算</w:t>
          </w:r>
          <w:r>
            <w:tab/>
          </w:r>
          <w:r>
            <w:rPr>
              <w:rFonts w:ascii="Times New Roman" w:eastAsia="Times New Roman"/>
            </w:rPr>
            <w:t>141</w:t>
          </w:r>
          <w:r>
            <w:rPr>
              <w:rFonts w:ascii="Times New Roman" w:eastAsia="Times New Roman"/>
            </w:rPr>
            <w:fldChar w:fldCharType="end"/>
          </w:r>
        </w:p>
        <w:p>
          <w:pPr>
            <w:pStyle w:val="9"/>
            <w:numPr>
              <w:ilvl w:val="0"/>
              <w:numId w:val="1"/>
            </w:numPr>
            <w:tabs>
              <w:tab w:val="left" w:pos="1251"/>
              <w:tab w:val="right" w:leader="dot" w:pos="9347"/>
            </w:tabs>
            <w:spacing w:before="42" w:after="0" w:line="240" w:lineRule="auto"/>
            <w:ind w:left="1250" w:right="0" w:hanging="211"/>
            <w:jc w:val="left"/>
            <w:rPr>
              <w:rFonts w:ascii="Times New Roman" w:eastAsia="Times New Roman"/>
            </w:rPr>
          </w:pPr>
          <w:r>
            <w:fldChar w:fldCharType="begin"/>
          </w:r>
          <w:r>
            <w:instrText xml:space="preserve"> HYPERLINK \l "_bookmark50" </w:instrText>
          </w:r>
          <w:r>
            <w:fldChar w:fldCharType="separate"/>
          </w:r>
          <w:r>
            <w:t>声</w:t>
          </w:r>
          <w:r>
            <w:rPr>
              <w:spacing w:val="-3"/>
            </w:rPr>
            <w:t>环</w:t>
          </w:r>
          <w:r>
            <w:t>境影</w:t>
          </w:r>
          <w:r>
            <w:rPr>
              <w:spacing w:val="-3"/>
            </w:rPr>
            <w:t>响</w:t>
          </w:r>
          <w:r>
            <w:t>分析</w:t>
          </w:r>
          <w:r>
            <w:tab/>
          </w:r>
          <w:r>
            <w:rPr>
              <w:rFonts w:ascii="Times New Roman" w:eastAsia="Times New Roman"/>
            </w:rPr>
            <w:t>143</w:t>
          </w:r>
          <w:r>
            <w:rPr>
              <w:rFonts w:ascii="Times New Roman" w:eastAsia="Times New Roman"/>
            </w:rPr>
            <w:fldChar w:fldCharType="end"/>
          </w:r>
        </w:p>
        <w:p>
          <w:pPr>
            <w:pStyle w:val="7"/>
            <w:numPr>
              <w:ilvl w:val="1"/>
              <w:numId w:val="1"/>
            </w:numPr>
            <w:tabs>
              <w:tab w:val="left" w:pos="1775"/>
              <w:tab w:val="right" w:leader="dot" w:pos="9347"/>
            </w:tabs>
            <w:spacing w:before="2" w:after="0" w:line="240" w:lineRule="auto"/>
            <w:ind w:left="1774" w:right="0" w:hanging="315"/>
            <w:jc w:val="left"/>
            <w:rPr>
              <w:rFonts w:ascii="Times New Roman" w:eastAsia="Times New Roman"/>
            </w:rPr>
          </w:pPr>
          <w:r>
            <w:fldChar w:fldCharType="begin"/>
          </w:r>
          <w:r>
            <w:instrText xml:space="preserve"> HYPERLINK \l "_bookmark51" </w:instrText>
          </w:r>
          <w:r>
            <w:fldChar w:fldCharType="separate"/>
          </w:r>
          <w:r>
            <w:t>声环境评价工作等级及范围</w:t>
          </w:r>
          <w:r>
            <w:tab/>
          </w:r>
          <w:r>
            <w:rPr>
              <w:rFonts w:ascii="Times New Roman" w:eastAsia="Times New Roman"/>
            </w:rPr>
            <w:t>143</w:t>
          </w:r>
          <w:r>
            <w:rPr>
              <w:rFonts w:ascii="Times New Roman" w:eastAsia="Times New Roman"/>
            </w:rPr>
            <w:fldChar w:fldCharType="end"/>
          </w:r>
        </w:p>
        <w:p>
          <w:pPr>
            <w:pStyle w:val="7"/>
            <w:numPr>
              <w:ilvl w:val="1"/>
              <w:numId w:val="1"/>
            </w:numPr>
            <w:tabs>
              <w:tab w:val="left" w:pos="1775"/>
              <w:tab w:val="right" w:leader="dot" w:pos="9347"/>
            </w:tabs>
            <w:spacing w:before="2" w:after="0" w:line="240" w:lineRule="auto"/>
            <w:ind w:left="1774" w:right="0" w:hanging="315"/>
            <w:jc w:val="left"/>
            <w:rPr>
              <w:rFonts w:ascii="Times New Roman" w:eastAsia="Times New Roman"/>
            </w:rPr>
          </w:pPr>
          <w:r>
            <w:fldChar w:fldCharType="begin"/>
          </w:r>
          <w:r>
            <w:instrText xml:space="preserve"> HYPERLINK \l "_bookmark52" </w:instrText>
          </w:r>
          <w:r>
            <w:fldChar w:fldCharType="separate"/>
          </w:r>
          <w:r>
            <w:t>声环境现状监测与评价</w:t>
          </w:r>
          <w:r>
            <w:tab/>
          </w:r>
          <w:r>
            <w:rPr>
              <w:rFonts w:ascii="Times New Roman" w:eastAsia="Times New Roman"/>
            </w:rPr>
            <w:t>143</w:t>
          </w:r>
          <w:r>
            <w:rPr>
              <w:rFonts w:ascii="Times New Roman" w:eastAsia="Times New Roman"/>
            </w:rPr>
            <w:fldChar w:fldCharType="end"/>
          </w:r>
        </w:p>
        <w:p>
          <w:pPr>
            <w:pStyle w:val="7"/>
            <w:numPr>
              <w:ilvl w:val="1"/>
              <w:numId w:val="1"/>
            </w:numPr>
            <w:tabs>
              <w:tab w:val="left" w:pos="1775"/>
              <w:tab w:val="right" w:leader="dot" w:pos="9347"/>
            </w:tabs>
            <w:spacing w:before="5" w:after="0" w:line="240" w:lineRule="auto"/>
            <w:ind w:left="1774" w:right="0" w:hanging="315"/>
            <w:jc w:val="left"/>
            <w:rPr>
              <w:rFonts w:ascii="Times New Roman" w:eastAsia="Times New Roman"/>
            </w:rPr>
          </w:pPr>
          <w:r>
            <w:fldChar w:fldCharType="begin"/>
          </w:r>
          <w:r>
            <w:instrText xml:space="preserve"> HYPERLINK \l "_bookmark53" </w:instrText>
          </w:r>
          <w:r>
            <w:fldChar w:fldCharType="separate"/>
          </w:r>
          <w:r>
            <w:t>建设期声环境影响及防治措施</w:t>
          </w:r>
          <w:r>
            <w:tab/>
          </w:r>
          <w:r>
            <w:rPr>
              <w:rFonts w:ascii="Times New Roman" w:eastAsia="Times New Roman"/>
            </w:rPr>
            <w:t>144</w:t>
          </w:r>
          <w:r>
            <w:rPr>
              <w:rFonts w:ascii="Times New Roman" w:eastAsia="Times New Roman"/>
            </w:rPr>
            <w:fldChar w:fldCharType="end"/>
          </w:r>
        </w:p>
        <w:p>
          <w:pPr>
            <w:pStyle w:val="7"/>
            <w:numPr>
              <w:ilvl w:val="1"/>
              <w:numId w:val="1"/>
            </w:numPr>
            <w:tabs>
              <w:tab w:val="left" w:pos="1775"/>
              <w:tab w:val="right" w:leader="dot" w:pos="9347"/>
            </w:tabs>
            <w:spacing w:before="2" w:after="0" w:line="240" w:lineRule="auto"/>
            <w:ind w:left="1774" w:right="0" w:hanging="315"/>
            <w:jc w:val="left"/>
            <w:rPr>
              <w:rFonts w:ascii="Times New Roman" w:eastAsia="Times New Roman"/>
            </w:rPr>
          </w:pPr>
          <w:r>
            <w:fldChar w:fldCharType="begin"/>
          </w:r>
          <w:r>
            <w:instrText xml:space="preserve"> HYPERLINK \l "_bookmark54" </w:instrText>
          </w:r>
          <w:r>
            <w:fldChar w:fldCharType="separate"/>
          </w:r>
          <w:r>
            <w:t>运营期声环境影响预测与评价</w:t>
          </w:r>
          <w:r>
            <w:tab/>
          </w:r>
          <w:r>
            <w:rPr>
              <w:rFonts w:ascii="Times New Roman" w:eastAsia="Times New Roman"/>
            </w:rPr>
            <w:t>145</w:t>
          </w:r>
          <w:r>
            <w:rPr>
              <w:rFonts w:ascii="Times New Roman" w:eastAsia="Times New Roman"/>
            </w:rPr>
            <w:fldChar w:fldCharType="end"/>
          </w:r>
        </w:p>
        <w:p>
          <w:pPr>
            <w:pStyle w:val="7"/>
            <w:numPr>
              <w:ilvl w:val="1"/>
              <w:numId w:val="1"/>
            </w:numPr>
            <w:tabs>
              <w:tab w:val="left" w:pos="1775"/>
              <w:tab w:val="right" w:leader="dot" w:pos="9347"/>
            </w:tabs>
            <w:spacing w:before="4" w:after="0" w:line="240" w:lineRule="auto"/>
            <w:ind w:left="1774" w:right="0" w:hanging="315"/>
            <w:jc w:val="left"/>
            <w:rPr>
              <w:rFonts w:ascii="Times New Roman" w:eastAsia="Times New Roman"/>
            </w:rPr>
          </w:pPr>
          <w:r>
            <w:fldChar w:fldCharType="begin"/>
          </w:r>
          <w:r>
            <w:instrText xml:space="preserve"> HYPERLINK \l "_bookmark55" </w:instrText>
          </w:r>
          <w:r>
            <w:fldChar w:fldCharType="separate"/>
          </w:r>
          <w:r>
            <w:t>声环境污染防治措施</w:t>
          </w:r>
          <w:r>
            <w:tab/>
          </w:r>
          <w:r>
            <w:rPr>
              <w:rFonts w:ascii="Times New Roman" w:eastAsia="Times New Roman"/>
            </w:rPr>
            <w:t>148</w:t>
          </w:r>
          <w:r>
            <w:rPr>
              <w:rFonts w:ascii="Times New Roman" w:eastAsia="Times New Roman"/>
            </w:rPr>
            <w:fldChar w:fldCharType="end"/>
          </w:r>
        </w:p>
        <w:p>
          <w:pPr>
            <w:pStyle w:val="9"/>
            <w:numPr>
              <w:ilvl w:val="0"/>
              <w:numId w:val="1"/>
            </w:numPr>
            <w:tabs>
              <w:tab w:val="left" w:pos="1393"/>
              <w:tab w:val="right" w:leader="dot" w:pos="9347"/>
            </w:tabs>
            <w:spacing w:before="43" w:after="0" w:line="240" w:lineRule="auto"/>
            <w:ind w:left="1392" w:right="0" w:hanging="353"/>
            <w:jc w:val="left"/>
            <w:rPr>
              <w:rFonts w:ascii="Times New Roman" w:eastAsia="Times New Roman"/>
            </w:rPr>
          </w:pPr>
          <w:r>
            <w:fldChar w:fldCharType="begin"/>
          </w:r>
          <w:r>
            <w:instrText xml:space="preserve"> HYPERLINK \l "_bookmark56" </w:instrText>
          </w:r>
          <w:r>
            <w:fldChar w:fldCharType="separate"/>
          </w:r>
          <w:r>
            <w:t>固</w:t>
          </w:r>
          <w:r>
            <w:rPr>
              <w:spacing w:val="-3"/>
            </w:rPr>
            <w:t>体</w:t>
          </w:r>
          <w:r>
            <w:t>废物</w:t>
          </w:r>
          <w:r>
            <w:rPr>
              <w:spacing w:val="-3"/>
            </w:rPr>
            <w:t>环</w:t>
          </w:r>
          <w:r>
            <w:t>境影</w:t>
          </w:r>
          <w:r>
            <w:rPr>
              <w:spacing w:val="-3"/>
            </w:rPr>
            <w:t>响</w:t>
          </w:r>
          <w:r>
            <w:t>分析</w:t>
          </w:r>
          <w:r>
            <w:tab/>
          </w:r>
          <w:r>
            <w:rPr>
              <w:rFonts w:ascii="Times New Roman" w:eastAsia="Times New Roman"/>
            </w:rPr>
            <w:t>149</w:t>
          </w:r>
          <w:r>
            <w:rPr>
              <w:rFonts w:ascii="Times New Roman" w:eastAsia="Times New Roman"/>
            </w:rPr>
            <w:fldChar w:fldCharType="end"/>
          </w:r>
        </w:p>
        <w:p>
          <w:pPr>
            <w:pStyle w:val="7"/>
            <w:numPr>
              <w:ilvl w:val="1"/>
              <w:numId w:val="1"/>
            </w:numPr>
            <w:tabs>
              <w:tab w:val="left" w:pos="1880"/>
              <w:tab w:val="right" w:leader="dot" w:pos="9347"/>
            </w:tabs>
            <w:spacing w:before="1" w:after="0" w:line="240" w:lineRule="auto"/>
            <w:ind w:left="1880" w:right="0" w:hanging="420"/>
            <w:jc w:val="left"/>
            <w:rPr>
              <w:rFonts w:ascii="Times New Roman" w:eastAsia="Times New Roman"/>
            </w:rPr>
          </w:pPr>
          <w:r>
            <w:fldChar w:fldCharType="begin"/>
          </w:r>
          <w:r>
            <w:instrText xml:space="preserve"> HYPERLINK \l "_bookmark57" </w:instrText>
          </w:r>
          <w:r>
            <w:fldChar w:fldCharType="separate"/>
          </w:r>
          <w:r>
            <w:t>建设期固体废物的处置</w:t>
          </w:r>
          <w:r>
            <w:tab/>
          </w:r>
          <w:r>
            <w:rPr>
              <w:rFonts w:ascii="Times New Roman" w:eastAsia="Times New Roman"/>
            </w:rPr>
            <w:t>149</w:t>
          </w:r>
          <w:r>
            <w:rPr>
              <w:rFonts w:ascii="Times New Roman" w:eastAsia="Times New Roman"/>
            </w:rPr>
            <w:fldChar w:fldCharType="end"/>
          </w:r>
        </w:p>
        <w:p>
          <w:pPr>
            <w:pStyle w:val="7"/>
            <w:numPr>
              <w:ilvl w:val="1"/>
              <w:numId w:val="1"/>
            </w:numPr>
            <w:tabs>
              <w:tab w:val="left" w:pos="1880"/>
              <w:tab w:val="right" w:leader="dot" w:pos="9347"/>
            </w:tabs>
            <w:spacing w:before="3" w:after="0" w:line="240" w:lineRule="auto"/>
            <w:ind w:left="1880" w:right="0" w:hanging="420"/>
            <w:jc w:val="left"/>
            <w:rPr>
              <w:rFonts w:ascii="Times New Roman" w:eastAsia="Times New Roman"/>
            </w:rPr>
          </w:pPr>
          <w:r>
            <w:fldChar w:fldCharType="begin"/>
          </w:r>
          <w:r>
            <w:instrText xml:space="preserve"> HYPERLINK \l "_bookmark58" </w:instrText>
          </w:r>
          <w:r>
            <w:fldChar w:fldCharType="separate"/>
          </w:r>
          <w:r>
            <w:t>运营期固体废物排放情况与处置措施分析</w:t>
          </w:r>
          <w:r>
            <w:tab/>
          </w:r>
          <w:r>
            <w:rPr>
              <w:rFonts w:ascii="Times New Roman" w:eastAsia="Times New Roman"/>
            </w:rPr>
            <w:t>149</w:t>
          </w:r>
          <w:r>
            <w:rPr>
              <w:rFonts w:ascii="Times New Roman" w:eastAsia="Times New Roman"/>
            </w:rPr>
            <w:fldChar w:fldCharType="end"/>
          </w:r>
        </w:p>
        <w:p>
          <w:pPr>
            <w:pStyle w:val="7"/>
            <w:numPr>
              <w:ilvl w:val="1"/>
              <w:numId w:val="1"/>
            </w:numPr>
            <w:tabs>
              <w:tab w:val="left" w:pos="1880"/>
              <w:tab w:val="right" w:leader="dot" w:pos="9347"/>
            </w:tabs>
            <w:spacing w:before="4" w:after="0" w:line="240" w:lineRule="auto"/>
            <w:ind w:left="1880" w:right="0" w:hanging="420"/>
            <w:jc w:val="left"/>
            <w:rPr>
              <w:rFonts w:ascii="Times New Roman" w:eastAsia="Times New Roman"/>
            </w:rPr>
          </w:pPr>
          <w:r>
            <w:fldChar w:fldCharType="begin"/>
          </w:r>
          <w:r>
            <w:instrText xml:space="preserve"> HYPERLINK \l "_bookmark59" </w:instrText>
          </w:r>
          <w:r>
            <w:fldChar w:fldCharType="separate"/>
          </w:r>
          <w:r>
            <w:t>固体废物环境的影响分析</w:t>
          </w:r>
          <w:r>
            <w:tab/>
          </w:r>
          <w:r>
            <w:rPr>
              <w:rFonts w:ascii="Times New Roman" w:eastAsia="Times New Roman"/>
            </w:rPr>
            <w:t>149</w:t>
          </w:r>
          <w:r>
            <w:rPr>
              <w:rFonts w:ascii="Times New Roman" w:eastAsia="Times New Roman"/>
            </w:rPr>
            <w:fldChar w:fldCharType="end"/>
          </w:r>
        </w:p>
        <w:p>
          <w:pPr>
            <w:pStyle w:val="7"/>
            <w:numPr>
              <w:ilvl w:val="1"/>
              <w:numId w:val="1"/>
            </w:numPr>
            <w:tabs>
              <w:tab w:val="left" w:pos="1880"/>
              <w:tab w:val="right" w:leader="dot" w:pos="9347"/>
            </w:tabs>
            <w:spacing w:before="2" w:after="0" w:line="240" w:lineRule="auto"/>
            <w:ind w:left="1880" w:right="0" w:hanging="420"/>
            <w:jc w:val="left"/>
            <w:rPr>
              <w:rFonts w:ascii="Times New Roman" w:eastAsia="Times New Roman"/>
            </w:rPr>
          </w:pPr>
          <w:r>
            <w:fldChar w:fldCharType="begin"/>
          </w:r>
          <w:r>
            <w:instrText xml:space="preserve"> HYPERLINK \l "_bookmark60" </w:instrText>
          </w:r>
          <w:r>
            <w:fldChar w:fldCharType="separate"/>
          </w:r>
          <w:r>
            <w:t>排矸场污染防治和复垦措施</w:t>
          </w:r>
          <w:r>
            <w:tab/>
          </w:r>
          <w:r>
            <w:rPr>
              <w:rFonts w:ascii="Times New Roman" w:eastAsia="Times New Roman"/>
            </w:rPr>
            <w:t>152</w:t>
          </w:r>
          <w:r>
            <w:rPr>
              <w:rFonts w:ascii="Times New Roman" w:eastAsia="Times New Roman"/>
            </w:rPr>
            <w:fldChar w:fldCharType="end"/>
          </w:r>
        </w:p>
        <w:p>
          <w:pPr>
            <w:pStyle w:val="9"/>
            <w:numPr>
              <w:ilvl w:val="0"/>
              <w:numId w:val="1"/>
            </w:numPr>
            <w:tabs>
              <w:tab w:val="left" w:pos="1393"/>
              <w:tab w:val="right" w:leader="dot" w:pos="9347"/>
            </w:tabs>
            <w:spacing w:before="45" w:after="0" w:line="358" w:lineRule="exact"/>
            <w:ind w:left="1392" w:right="0" w:hanging="353"/>
            <w:jc w:val="left"/>
            <w:rPr>
              <w:rFonts w:ascii="Times New Roman" w:eastAsia="Times New Roman"/>
            </w:rPr>
          </w:pPr>
          <w:r>
            <w:fldChar w:fldCharType="begin"/>
          </w:r>
          <w:r>
            <w:instrText xml:space="preserve"> HYPERLINK \l "_bookmark62" </w:instrText>
          </w:r>
          <w:r>
            <w:fldChar w:fldCharType="separate"/>
          </w:r>
          <w:r>
            <w:t>土</w:t>
          </w:r>
          <w:r>
            <w:rPr>
              <w:spacing w:val="-3"/>
            </w:rPr>
            <w:t>壤</w:t>
          </w:r>
          <w:r>
            <w:t>环境</w:t>
          </w:r>
          <w:r>
            <w:rPr>
              <w:spacing w:val="-3"/>
            </w:rPr>
            <w:t>影</w:t>
          </w:r>
          <w:r>
            <w:t>响评价</w:t>
          </w:r>
          <w:r>
            <w:tab/>
          </w:r>
          <w:r>
            <w:rPr>
              <w:rFonts w:ascii="Times New Roman" w:eastAsia="Times New Roman"/>
            </w:rPr>
            <w:t>153</w:t>
          </w:r>
          <w:r>
            <w:rPr>
              <w:rFonts w:ascii="Times New Roman" w:eastAsia="Times New Roman"/>
            </w:rPr>
            <w:fldChar w:fldCharType="end"/>
          </w:r>
        </w:p>
        <w:p>
          <w:pPr>
            <w:pStyle w:val="7"/>
            <w:tabs>
              <w:tab w:val="right" w:leader="dot" w:pos="9347"/>
            </w:tabs>
            <w:spacing w:before="0" w:line="269" w:lineRule="exact"/>
            <w:ind w:left="1460" w:firstLine="0"/>
            <w:rPr>
              <w:rFonts w:ascii="Times New Roman" w:eastAsia="Times New Roman"/>
            </w:rPr>
          </w:pPr>
          <w:r>
            <w:fldChar w:fldCharType="begin"/>
          </w:r>
          <w:r>
            <w:instrText xml:space="preserve"> HYPERLINK \l "_bookmark61" </w:instrText>
          </w:r>
          <w:r>
            <w:fldChar w:fldCharType="separate"/>
          </w:r>
          <w:r>
            <w:rPr>
              <w:rFonts w:ascii="Times New Roman" w:eastAsia="Times New Roman"/>
            </w:rPr>
            <w:t>11.1</w:t>
          </w:r>
          <w:r>
            <w:rPr>
              <w:rFonts w:ascii="Times New Roman" w:eastAsia="Times New Roman"/>
              <w:spacing w:val="-2"/>
            </w:rPr>
            <w:t xml:space="preserve"> </w:t>
          </w:r>
          <w:r>
            <w:t>概述</w:t>
          </w:r>
          <w:r>
            <w:tab/>
          </w:r>
          <w:r>
            <w:rPr>
              <w:rFonts w:ascii="Times New Roman" w:eastAsia="Times New Roman"/>
            </w:rPr>
            <w:t>153</w:t>
          </w:r>
          <w:r>
            <w:rPr>
              <w:rFonts w:ascii="Times New Roman" w:eastAsia="Times New Roman"/>
            </w:rPr>
            <w:fldChar w:fldCharType="end"/>
          </w:r>
        </w:p>
        <w:p>
          <w:pPr>
            <w:pStyle w:val="7"/>
            <w:numPr>
              <w:ilvl w:val="1"/>
              <w:numId w:val="3"/>
            </w:numPr>
            <w:tabs>
              <w:tab w:val="left" w:pos="1873"/>
              <w:tab w:val="right" w:leader="dot" w:pos="9347"/>
            </w:tabs>
            <w:spacing w:before="5" w:after="0" w:line="240" w:lineRule="auto"/>
            <w:ind w:left="1872" w:right="0" w:hanging="413"/>
            <w:jc w:val="left"/>
            <w:rPr>
              <w:rFonts w:ascii="Times New Roman" w:eastAsia="Times New Roman"/>
            </w:rPr>
          </w:pPr>
          <w:r>
            <w:fldChar w:fldCharType="begin"/>
          </w:r>
          <w:r>
            <w:instrText xml:space="preserve"> HYPERLINK \l "_bookmark63" </w:instrText>
          </w:r>
          <w:r>
            <w:fldChar w:fldCharType="separate"/>
          </w:r>
          <w:r>
            <w:t>土壤环境评价等级、评价范围确定及敏感目标</w:t>
          </w:r>
          <w:r>
            <w:tab/>
          </w:r>
          <w:r>
            <w:rPr>
              <w:rFonts w:ascii="Times New Roman" w:eastAsia="Times New Roman"/>
            </w:rPr>
            <w:t>153</w:t>
          </w:r>
          <w:r>
            <w:rPr>
              <w:rFonts w:ascii="Times New Roman" w:eastAsia="Times New Roman"/>
            </w:rPr>
            <w:fldChar w:fldCharType="end"/>
          </w:r>
        </w:p>
        <w:p>
          <w:pPr>
            <w:pStyle w:val="7"/>
            <w:numPr>
              <w:ilvl w:val="1"/>
              <w:numId w:val="3"/>
            </w:numPr>
            <w:tabs>
              <w:tab w:val="left" w:pos="1873"/>
              <w:tab w:val="right" w:leader="dot" w:pos="9347"/>
            </w:tabs>
            <w:spacing w:before="4" w:after="0" w:line="240" w:lineRule="auto"/>
            <w:ind w:left="1872" w:right="0" w:hanging="413"/>
            <w:jc w:val="left"/>
            <w:rPr>
              <w:rFonts w:ascii="Times New Roman" w:eastAsia="Times New Roman"/>
            </w:rPr>
          </w:pPr>
          <w:r>
            <w:fldChar w:fldCharType="begin"/>
          </w:r>
          <w:r>
            <w:instrText xml:space="preserve"> HYPERLINK \l "_bookmark64" </w:instrText>
          </w:r>
          <w:r>
            <w:fldChar w:fldCharType="separate"/>
          </w:r>
          <w:r>
            <w:t>土壤环境质量现状监测与评价</w:t>
          </w:r>
          <w:r>
            <w:tab/>
          </w:r>
          <w:r>
            <w:rPr>
              <w:rFonts w:ascii="Times New Roman" w:eastAsia="Times New Roman"/>
            </w:rPr>
            <w:t>154</w:t>
          </w:r>
          <w:r>
            <w:rPr>
              <w:rFonts w:ascii="Times New Roman" w:eastAsia="Times New Roman"/>
            </w:rPr>
            <w:fldChar w:fldCharType="end"/>
          </w:r>
        </w:p>
        <w:p>
          <w:pPr>
            <w:pStyle w:val="7"/>
            <w:numPr>
              <w:ilvl w:val="1"/>
              <w:numId w:val="3"/>
            </w:numPr>
            <w:tabs>
              <w:tab w:val="left" w:pos="1880"/>
              <w:tab w:val="right" w:leader="dot" w:pos="9347"/>
            </w:tabs>
            <w:spacing w:before="2" w:after="0" w:line="240" w:lineRule="auto"/>
            <w:ind w:left="1880" w:right="0" w:hanging="420"/>
            <w:jc w:val="left"/>
            <w:rPr>
              <w:rFonts w:ascii="Times New Roman" w:eastAsia="Times New Roman"/>
            </w:rPr>
          </w:pPr>
          <w:r>
            <w:fldChar w:fldCharType="begin"/>
          </w:r>
          <w:r>
            <w:instrText xml:space="preserve"> HYPERLINK \l "_TOC_250000" </w:instrText>
          </w:r>
          <w:r>
            <w:fldChar w:fldCharType="separate"/>
          </w:r>
          <w:r>
            <w:t>项目施工期土壤环境影响分析</w:t>
          </w:r>
          <w:r>
            <w:tab/>
          </w:r>
          <w:r>
            <w:rPr>
              <w:rFonts w:ascii="Times New Roman" w:eastAsia="Times New Roman"/>
            </w:rPr>
            <w:t>165</w:t>
          </w:r>
          <w:r>
            <w:rPr>
              <w:rFonts w:ascii="Times New Roman" w:eastAsia="Times New Roman"/>
            </w:rPr>
            <w:fldChar w:fldCharType="end"/>
          </w:r>
        </w:p>
        <w:p>
          <w:pPr>
            <w:pStyle w:val="7"/>
            <w:numPr>
              <w:ilvl w:val="1"/>
              <w:numId w:val="3"/>
            </w:numPr>
            <w:tabs>
              <w:tab w:val="left" w:pos="1880"/>
              <w:tab w:val="right" w:leader="dot" w:pos="9347"/>
            </w:tabs>
            <w:spacing w:before="3" w:after="0" w:line="240" w:lineRule="auto"/>
            <w:ind w:left="1880" w:right="0" w:hanging="420"/>
            <w:jc w:val="left"/>
            <w:rPr>
              <w:rFonts w:ascii="Times New Roman" w:eastAsia="Times New Roman"/>
            </w:rPr>
          </w:pPr>
          <w:r>
            <w:fldChar w:fldCharType="begin"/>
          </w:r>
          <w:r>
            <w:instrText xml:space="preserve"> HYPERLINK \l "_bookmark65" </w:instrText>
          </w:r>
          <w:r>
            <w:fldChar w:fldCharType="separate"/>
          </w:r>
          <w:r>
            <w:t>运营期土壤环境影响分析</w:t>
          </w:r>
          <w:r>
            <w:tab/>
          </w:r>
          <w:r>
            <w:rPr>
              <w:rFonts w:ascii="Times New Roman" w:eastAsia="Times New Roman"/>
            </w:rPr>
            <w:t>165</w:t>
          </w:r>
          <w:r>
            <w:rPr>
              <w:rFonts w:ascii="Times New Roman" w:eastAsia="Times New Roman"/>
            </w:rPr>
            <w:fldChar w:fldCharType="end"/>
          </w:r>
        </w:p>
        <w:p>
          <w:pPr>
            <w:pStyle w:val="9"/>
            <w:numPr>
              <w:ilvl w:val="0"/>
              <w:numId w:val="1"/>
            </w:numPr>
            <w:tabs>
              <w:tab w:val="left" w:pos="1393"/>
              <w:tab w:val="right" w:leader="dot" w:pos="9347"/>
            </w:tabs>
            <w:spacing w:before="44" w:after="0" w:line="240" w:lineRule="auto"/>
            <w:ind w:left="1392" w:right="0" w:hanging="353"/>
            <w:jc w:val="left"/>
            <w:rPr>
              <w:rFonts w:ascii="Times New Roman" w:eastAsia="Times New Roman"/>
            </w:rPr>
          </w:pPr>
          <w:r>
            <w:fldChar w:fldCharType="begin"/>
          </w:r>
          <w:r>
            <w:instrText xml:space="preserve"> HYPERLINK \l "_bookmark66" </w:instrText>
          </w:r>
          <w:r>
            <w:fldChar w:fldCharType="separate"/>
          </w:r>
          <w:r>
            <w:t>清</w:t>
          </w:r>
          <w:r>
            <w:rPr>
              <w:spacing w:val="-3"/>
            </w:rPr>
            <w:t>洁</w:t>
          </w:r>
          <w:r>
            <w:t>生产</w:t>
          </w:r>
          <w:r>
            <w:rPr>
              <w:spacing w:val="-3"/>
            </w:rPr>
            <w:t>与</w:t>
          </w:r>
          <w:r>
            <w:t>循环</w:t>
          </w:r>
          <w:r>
            <w:rPr>
              <w:spacing w:val="-3"/>
            </w:rPr>
            <w:t>经</w:t>
          </w:r>
          <w:r>
            <w:t>济分析</w:t>
          </w:r>
          <w:r>
            <w:tab/>
          </w:r>
          <w:r>
            <w:rPr>
              <w:rFonts w:ascii="Times New Roman" w:eastAsia="Times New Roman"/>
            </w:rPr>
            <w:t>167</w:t>
          </w:r>
          <w:r>
            <w:rPr>
              <w:rFonts w:ascii="Times New Roman" w:eastAsia="Times New Roman"/>
            </w:rPr>
            <w:fldChar w:fldCharType="end"/>
          </w:r>
        </w:p>
        <w:p>
          <w:pPr>
            <w:pStyle w:val="7"/>
            <w:numPr>
              <w:ilvl w:val="1"/>
              <w:numId w:val="1"/>
            </w:numPr>
            <w:tabs>
              <w:tab w:val="left" w:pos="1880"/>
              <w:tab w:val="right" w:leader="dot" w:pos="9347"/>
            </w:tabs>
            <w:spacing w:before="2" w:after="0" w:line="240" w:lineRule="auto"/>
            <w:ind w:left="1880" w:right="0" w:hanging="420"/>
            <w:jc w:val="left"/>
            <w:rPr>
              <w:rFonts w:ascii="Times New Roman" w:eastAsia="Times New Roman"/>
            </w:rPr>
          </w:pPr>
          <w:r>
            <w:fldChar w:fldCharType="begin"/>
          </w:r>
          <w:r>
            <w:instrText xml:space="preserve"> HYPERLINK \l "_bookmark67" </w:instrText>
          </w:r>
          <w:r>
            <w:fldChar w:fldCharType="separate"/>
          </w:r>
          <w:r>
            <w:t>循环经济分析</w:t>
          </w:r>
          <w:r>
            <w:tab/>
          </w:r>
          <w:r>
            <w:rPr>
              <w:rFonts w:ascii="Times New Roman" w:eastAsia="Times New Roman"/>
            </w:rPr>
            <w:t>167</w:t>
          </w:r>
          <w:r>
            <w:rPr>
              <w:rFonts w:ascii="Times New Roman" w:eastAsia="Times New Roman"/>
            </w:rPr>
            <w:fldChar w:fldCharType="end"/>
          </w:r>
        </w:p>
        <w:p>
          <w:pPr>
            <w:pStyle w:val="7"/>
            <w:numPr>
              <w:ilvl w:val="1"/>
              <w:numId w:val="1"/>
            </w:numPr>
            <w:tabs>
              <w:tab w:val="left" w:pos="1880"/>
              <w:tab w:val="right" w:leader="dot" w:pos="9347"/>
            </w:tabs>
            <w:spacing w:before="2" w:after="0" w:line="240" w:lineRule="auto"/>
            <w:ind w:left="1880" w:right="0" w:hanging="420"/>
            <w:jc w:val="left"/>
            <w:rPr>
              <w:rFonts w:ascii="Times New Roman" w:eastAsia="Times New Roman"/>
            </w:rPr>
          </w:pPr>
          <w:r>
            <w:fldChar w:fldCharType="begin"/>
          </w:r>
          <w:r>
            <w:instrText xml:space="preserve"> HYPERLINK \l "_bookmark68" </w:instrText>
          </w:r>
          <w:r>
            <w:fldChar w:fldCharType="separate"/>
          </w:r>
          <w:r>
            <w:t>清洁生产水平分析</w:t>
          </w:r>
          <w:r>
            <w:tab/>
          </w:r>
          <w:r>
            <w:rPr>
              <w:rFonts w:ascii="Times New Roman" w:eastAsia="Times New Roman"/>
            </w:rPr>
            <w:t>169</w:t>
          </w:r>
          <w:r>
            <w:rPr>
              <w:rFonts w:ascii="Times New Roman" w:eastAsia="Times New Roman"/>
            </w:rPr>
            <w:fldChar w:fldCharType="end"/>
          </w:r>
        </w:p>
        <w:p>
          <w:pPr>
            <w:pStyle w:val="7"/>
            <w:numPr>
              <w:ilvl w:val="1"/>
              <w:numId w:val="1"/>
            </w:numPr>
            <w:tabs>
              <w:tab w:val="left" w:pos="1880"/>
              <w:tab w:val="right" w:leader="dot" w:pos="9347"/>
            </w:tabs>
            <w:spacing w:before="2" w:after="0" w:line="240" w:lineRule="auto"/>
            <w:ind w:left="1880" w:right="0" w:hanging="420"/>
            <w:jc w:val="left"/>
            <w:rPr>
              <w:rFonts w:ascii="Times New Roman" w:eastAsia="Times New Roman"/>
            </w:rPr>
          </w:pPr>
          <w:r>
            <w:fldChar w:fldCharType="begin"/>
          </w:r>
          <w:r>
            <w:instrText xml:space="preserve"> HYPERLINK \l "_bookmark69" </w:instrText>
          </w:r>
          <w:r>
            <w:fldChar w:fldCharType="separate"/>
          </w:r>
          <w:r>
            <w:t>清洁生产管理体系建设</w:t>
          </w:r>
          <w:r>
            <w:tab/>
          </w:r>
          <w:r>
            <w:rPr>
              <w:rFonts w:ascii="Times New Roman" w:eastAsia="Times New Roman"/>
            </w:rPr>
            <w:t>177</w:t>
          </w:r>
          <w:r>
            <w:rPr>
              <w:rFonts w:ascii="Times New Roman" w:eastAsia="Times New Roman"/>
            </w:rPr>
            <w:fldChar w:fldCharType="end"/>
          </w:r>
        </w:p>
        <w:p>
          <w:pPr>
            <w:pStyle w:val="7"/>
            <w:numPr>
              <w:ilvl w:val="1"/>
              <w:numId w:val="1"/>
            </w:numPr>
            <w:tabs>
              <w:tab w:val="left" w:pos="1880"/>
              <w:tab w:val="right" w:leader="dot" w:pos="9347"/>
            </w:tabs>
            <w:spacing w:before="5" w:after="0" w:line="240" w:lineRule="auto"/>
            <w:ind w:left="1880" w:right="0" w:hanging="420"/>
            <w:jc w:val="left"/>
            <w:rPr>
              <w:rFonts w:ascii="Times New Roman" w:eastAsia="Times New Roman"/>
            </w:rPr>
          </w:pPr>
          <w:r>
            <w:fldChar w:fldCharType="begin"/>
          </w:r>
          <w:r>
            <w:instrText xml:space="preserve"> HYPERLINK \l "_bookmark70" </w:instrText>
          </w:r>
          <w:r>
            <w:fldChar w:fldCharType="separate"/>
          </w:r>
          <w:r>
            <w:t>清洁生产总体评价</w:t>
          </w:r>
          <w:r>
            <w:tab/>
          </w:r>
          <w:r>
            <w:rPr>
              <w:rFonts w:ascii="Times New Roman" w:eastAsia="Times New Roman"/>
            </w:rPr>
            <w:t>177</w:t>
          </w:r>
          <w:r>
            <w:rPr>
              <w:rFonts w:ascii="Times New Roman" w:eastAsia="Times New Roman"/>
            </w:rPr>
            <w:fldChar w:fldCharType="end"/>
          </w:r>
        </w:p>
        <w:p>
          <w:pPr>
            <w:pStyle w:val="7"/>
            <w:numPr>
              <w:ilvl w:val="1"/>
              <w:numId w:val="1"/>
            </w:numPr>
            <w:tabs>
              <w:tab w:val="left" w:pos="1880"/>
              <w:tab w:val="right" w:leader="dot" w:pos="9347"/>
            </w:tabs>
            <w:spacing w:before="2" w:after="0" w:line="240" w:lineRule="auto"/>
            <w:ind w:left="1880" w:right="0" w:hanging="420"/>
            <w:jc w:val="left"/>
            <w:rPr>
              <w:rFonts w:ascii="Times New Roman" w:eastAsia="Times New Roman"/>
            </w:rPr>
          </w:pPr>
          <w:r>
            <w:fldChar w:fldCharType="begin"/>
          </w:r>
          <w:r>
            <w:instrText xml:space="preserve"> HYPERLINK \l "_bookmark71" </w:instrText>
          </w:r>
          <w:r>
            <w:fldChar w:fldCharType="separate"/>
          </w:r>
          <w:r>
            <w:t>清洁生产建议</w:t>
          </w:r>
          <w:r>
            <w:tab/>
          </w:r>
          <w:r>
            <w:rPr>
              <w:rFonts w:ascii="Times New Roman" w:eastAsia="Times New Roman"/>
            </w:rPr>
            <w:t>178</w:t>
          </w:r>
          <w:r>
            <w:rPr>
              <w:rFonts w:ascii="Times New Roman" w:eastAsia="Times New Roman"/>
            </w:rPr>
            <w:fldChar w:fldCharType="end"/>
          </w:r>
        </w:p>
        <w:p>
          <w:pPr>
            <w:pStyle w:val="9"/>
            <w:numPr>
              <w:ilvl w:val="0"/>
              <w:numId w:val="1"/>
            </w:numPr>
            <w:tabs>
              <w:tab w:val="left" w:pos="1393"/>
              <w:tab w:val="right" w:leader="dot" w:pos="9347"/>
            </w:tabs>
            <w:spacing w:before="45" w:after="0" w:line="358" w:lineRule="exact"/>
            <w:ind w:left="1392" w:right="0" w:hanging="353"/>
            <w:jc w:val="left"/>
            <w:rPr>
              <w:rFonts w:ascii="Times New Roman" w:eastAsia="Times New Roman"/>
            </w:rPr>
          </w:pPr>
          <w:r>
            <w:fldChar w:fldCharType="begin"/>
          </w:r>
          <w:r>
            <w:instrText xml:space="preserve"> HYPERLINK \l "_bookmark72" </w:instrText>
          </w:r>
          <w:r>
            <w:fldChar w:fldCharType="separate"/>
          </w:r>
          <w:r>
            <w:t>环</w:t>
          </w:r>
          <w:r>
            <w:rPr>
              <w:spacing w:val="-3"/>
            </w:rPr>
            <w:t>境</w:t>
          </w:r>
          <w:r>
            <w:t>管理</w:t>
          </w:r>
          <w:r>
            <w:rPr>
              <w:spacing w:val="-3"/>
            </w:rPr>
            <w:t>与</w:t>
          </w:r>
          <w:r>
            <w:t>环境</w:t>
          </w:r>
          <w:r>
            <w:rPr>
              <w:spacing w:val="-3"/>
            </w:rPr>
            <w:t>监</w:t>
          </w:r>
          <w:r>
            <w:t>测计划</w:t>
          </w:r>
          <w:r>
            <w:tab/>
          </w:r>
          <w:r>
            <w:rPr>
              <w:rFonts w:ascii="Times New Roman" w:eastAsia="Times New Roman"/>
            </w:rPr>
            <w:t>179</w:t>
          </w:r>
          <w:r>
            <w:rPr>
              <w:rFonts w:ascii="Times New Roman" w:eastAsia="Times New Roman"/>
            </w:rPr>
            <w:fldChar w:fldCharType="end"/>
          </w:r>
        </w:p>
        <w:p>
          <w:pPr>
            <w:pStyle w:val="7"/>
            <w:numPr>
              <w:ilvl w:val="1"/>
              <w:numId w:val="1"/>
            </w:numPr>
            <w:tabs>
              <w:tab w:val="left" w:pos="1880"/>
              <w:tab w:val="right" w:leader="dot" w:pos="9347"/>
            </w:tabs>
            <w:spacing w:before="0" w:after="0" w:line="269" w:lineRule="exact"/>
            <w:ind w:left="1880" w:right="0" w:hanging="420"/>
            <w:jc w:val="left"/>
            <w:rPr>
              <w:rFonts w:ascii="Times New Roman" w:eastAsia="Times New Roman"/>
            </w:rPr>
          </w:pPr>
          <w:r>
            <w:fldChar w:fldCharType="begin"/>
          </w:r>
          <w:r>
            <w:instrText xml:space="preserve"> HYPERLINK \l "_bookmark73" </w:instrText>
          </w:r>
          <w:r>
            <w:fldChar w:fldCharType="separate"/>
          </w:r>
          <w:r>
            <w:t>建设期环境管理和环境监理</w:t>
          </w:r>
          <w:r>
            <w:tab/>
          </w:r>
          <w:r>
            <w:rPr>
              <w:rFonts w:ascii="Times New Roman" w:eastAsia="Times New Roman"/>
            </w:rPr>
            <w:t>179</w:t>
          </w:r>
          <w:r>
            <w:rPr>
              <w:rFonts w:ascii="Times New Roman" w:eastAsia="Times New Roman"/>
            </w:rPr>
            <w:fldChar w:fldCharType="end"/>
          </w:r>
        </w:p>
        <w:p>
          <w:pPr>
            <w:pStyle w:val="7"/>
            <w:numPr>
              <w:ilvl w:val="1"/>
              <w:numId w:val="1"/>
            </w:numPr>
            <w:tabs>
              <w:tab w:val="left" w:pos="1880"/>
              <w:tab w:val="right" w:leader="dot" w:pos="9347"/>
            </w:tabs>
            <w:spacing w:before="5" w:after="0" w:line="240" w:lineRule="auto"/>
            <w:ind w:left="1880" w:right="0" w:hanging="420"/>
            <w:jc w:val="left"/>
            <w:rPr>
              <w:rFonts w:ascii="Times New Roman" w:eastAsia="Times New Roman"/>
            </w:rPr>
          </w:pPr>
          <w:r>
            <w:fldChar w:fldCharType="begin"/>
          </w:r>
          <w:r>
            <w:instrText xml:space="preserve"> HYPERLINK \l "_bookmark74" </w:instrText>
          </w:r>
          <w:r>
            <w:fldChar w:fldCharType="separate"/>
          </w:r>
          <w:r>
            <w:t>环境管理机构及职责</w:t>
          </w:r>
          <w:r>
            <w:tab/>
          </w:r>
          <w:r>
            <w:rPr>
              <w:rFonts w:ascii="Times New Roman" w:eastAsia="Times New Roman"/>
            </w:rPr>
            <w:t>180</w:t>
          </w:r>
          <w:r>
            <w:rPr>
              <w:rFonts w:ascii="Times New Roman" w:eastAsia="Times New Roman"/>
            </w:rPr>
            <w:fldChar w:fldCharType="end"/>
          </w:r>
        </w:p>
        <w:p>
          <w:pPr>
            <w:pStyle w:val="7"/>
            <w:numPr>
              <w:ilvl w:val="1"/>
              <w:numId w:val="1"/>
            </w:numPr>
            <w:tabs>
              <w:tab w:val="left" w:pos="1880"/>
              <w:tab w:val="right" w:leader="dot" w:pos="9347"/>
            </w:tabs>
            <w:spacing w:before="2" w:after="0" w:line="240" w:lineRule="auto"/>
            <w:ind w:left="1880" w:right="0" w:hanging="420"/>
            <w:jc w:val="left"/>
            <w:rPr>
              <w:rFonts w:ascii="Times New Roman" w:eastAsia="Times New Roman"/>
            </w:rPr>
          </w:pPr>
          <w:r>
            <w:fldChar w:fldCharType="begin"/>
          </w:r>
          <w:r>
            <w:instrText xml:space="preserve"> HYPERLINK \l "_bookmark75" </w:instrText>
          </w:r>
          <w:r>
            <w:fldChar w:fldCharType="separate"/>
          </w:r>
          <w:r>
            <w:t>环境监测计划</w:t>
          </w:r>
          <w:r>
            <w:tab/>
          </w:r>
          <w:r>
            <w:rPr>
              <w:rFonts w:ascii="Times New Roman" w:eastAsia="Times New Roman"/>
            </w:rPr>
            <w:t>183</w:t>
          </w:r>
          <w:r>
            <w:rPr>
              <w:rFonts w:ascii="Times New Roman" w:eastAsia="Times New Roman"/>
            </w:rPr>
            <w:fldChar w:fldCharType="end"/>
          </w:r>
        </w:p>
        <w:p>
          <w:pPr>
            <w:pStyle w:val="7"/>
            <w:numPr>
              <w:ilvl w:val="1"/>
              <w:numId w:val="1"/>
            </w:numPr>
            <w:tabs>
              <w:tab w:val="left" w:pos="1880"/>
              <w:tab w:val="right" w:leader="dot" w:pos="9347"/>
            </w:tabs>
            <w:spacing w:before="4" w:after="0" w:line="240" w:lineRule="auto"/>
            <w:ind w:left="1880" w:right="0" w:hanging="420"/>
            <w:jc w:val="left"/>
            <w:rPr>
              <w:rFonts w:ascii="Times New Roman" w:eastAsia="Times New Roman"/>
            </w:rPr>
          </w:pPr>
          <w:r>
            <w:fldChar w:fldCharType="begin"/>
          </w:r>
          <w:r>
            <w:instrText xml:space="preserve"> HYPERLINK \l "_bookmark76" </w:instrText>
          </w:r>
          <w:r>
            <w:fldChar w:fldCharType="separate"/>
          </w:r>
          <w:r>
            <w:t>污染物排放清单</w:t>
          </w:r>
          <w:r>
            <w:tab/>
          </w:r>
          <w:r>
            <w:rPr>
              <w:rFonts w:ascii="Times New Roman" w:eastAsia="Times New Roman"/>
            </w:rPr>
            <w:t>186</w:t>
          </w:r>
          <w:r>
            <w:rPr>
              <w:rFonts w:ascii="Times New Roman" w:eastAsia="Times New Roman"/>
            </w:rPr>
            <w:fldChar w:fldCharType="end"/>
          </w:r>
        </w:p>
        <w:p>
          <w:pPr>
            <w:pStyle w:val="7"/>
            <w:numPr>
              <w:ilvl w:val="1"/>
              <w:numId w:val="1"/>
            </w:numPr>
            <w:tabs>
              <w:tab w:val="left" w:pos="1880"/>
              <w:tab w:val="right" w:leader="dot" w:pos="9347"/>
            </w:tabs>
            <w:spacing w:before="5" w:after="0" w:line="240" w:lineRule="auto"/>
            <w:ind w:left="1880" w:right="0" w:hanging="420"/>
            <w:jc w:val="left"/>
            <w:rPr>
              <w:rFonts w:ascii="Times New Roman" w:eastAsia="Times New Roman"/>
            </w:rPr>
          </w:pPr>
          <w:r>
            <w:fldChar w:fldCharType="begin"/>
          </w:r>
          <w:r>
            <w:instrText xml:space="preserve"> HYPERLINK \l "_bookmark77" </w:instrText>
          </w:r>
          <w:r>
            <w:fldChar w:fldCharType="separate"/>
          </w:r>
          <w:r>
            <w:t>排污口规划化管理</w:t>
          </w:r>
          <w:r>
            <w:tab/>
          </w:r>
          <w:r>
            <w:rPr>
              <w:rFonts w:ascii="Times New Roman" w:eastAsia="Times New Roman"/>
            </w:rPr>
            <w:t>189</w:t>
          </w:r>
          <w:r>
            <w:rPr>
              <w:rFonts w:ascii="Times New Roman" w:eastAsia="Times New Roman"/>
            </w:rPr>
            <w:fldChar w:fldCharType="end"/>
          </w:r>
        </w:p>
        <w:p>
          <w:pPr>
            <w:pStyle w:val="7"/>
            <w:numPr>
              <w:ilvl w:val="1"/>
              <w:numId w:val="1"/>
            </w:numPr>
            <w:tabs>
              <w:tab w:val="left" w:pos="1880"/>
              <w:tab w:val="right" w:leader="dot" w:pos="9347"/>
            </w:tabs>
            <w:spacing w:before="2" w:after="0" w:line="240" w:lineRule="auto"/>
            <w:ind w:left="1880" w:right="0" w:hanging="420"/>
            <w:jc w:val="left"/>
            <w:rPr>
              <w:rFonts w:ascii="Times New Roman" w:eastAsia="Times New Roman"/>
            </w:rPr>
          </w:pPr>
          <w:r>
            <w:fldChar w:fldCharType="begin"/>
          </w:r>
          <w:r>
            <w:instrText xml:space="preserve"> HYPERLINK \l "_bookmark78" </w:instrText>
          </w:r>
          <w:r>
            <w:fldChar w:fldCharType="separate"/>
          </w:r>
          <w:r>
            <w:t>环境保护竣工验收</w:t>
          </w:r>
          <w:r>
            <w:tab/>
          </w:r>
          <w:r>
            <w:rPr>
              <w:rFonts w:ascii="Times New Roman" w:eastAsia="Times New Roman"/>
            </w:rPr>
            <w:t>190</w:t>
          </w:r>
          <w:r>
            <w:rPr>
              <w:rFonts w:ascii="Times New Roman" w:eastAsia="Times New Roman"/>
            </w:rPr>
            <w:fldChar w:fldCharType="end"/>
          </w:r>
        </w:p>
        <w:p>
          <w:pPr>
            <w:pStyle w:val="9"/>
            <w:numPr>
              <w:ilvl w:val="0"/>
              <w:numId w:val="1"/>
            </w:numPr>
            <w:tabs>
              <w:tab w:val="left" w:pos="1393"/>
              <w:tab w:val="right" w:leader="dot" w:pos="9347"/>
            </w:tabs>
            <w:spacing w:before="42" w:after="0" w:line="240" w:lineRule="auto"/>
            <w:ind w:left="1392" w:right="0" w:hanging="353"/>
            <w:jc w:val="left"/>
            <w:rPr>
              <w:rFonts w:ascii="Times New Roman" w:eastAsia="Times New Roman"/>
            </w:rPr>
          </w:pPr>
          <w:r>
            <w:fldChar w:fldCharType="begin"/>
          </w:r>
          <w:r>
            <w:instrText xml:space="preserve"> HYPERLINK \l "_bookmark80" </w:instrText>
          </w:r>
          <w:r>
            <w:fldChar w:fldCharType="separate"/>
          </w:r>
          <w:r>
            <w:t>项</w:t>
          </w:r>
          <w:r>
            <w:rPr>
              <w:spacing w:val="-3"/>
            </w:rPr>
            <w:t>目</w:t>
          </w:r>
          <w:r>
            <w:t>选址</w:t>
          </w:r>
          <w:r>
            <w:rPr>
              <w:spacing w:val="-3"/>
            </w:rPr>
            <w:t>环</w:t>
          </w:r>
          <w:r>
            <w:t>境可</w:t>
          </w:r>
          <w:r>
            <w:rPr>
              <w:spacing w:val="-3"/>
            </w:rPr>
            <w:t>行</w:t>
          </w:r>
          <w:r>
            <w:t>性分析</w:t>
          </w:r>
          <w:r>
            <w:tab/>
          </w:r>
          <w:r>
            <w:rPr>
              <w:rFonts w:ascii="Times New Roman" w:eastAsia="Times New Roman"/>
            </w:rPr>
            <w:t>192</w:t>
          </w:r>
          <w:r>
            <w:rPr>
              <w:rFonts w:ascii="Times New Roman" w:eastAsia="Times New Roman"/>
            </w:rPr>
            <w:fldChar w:fldCharType="end"/>
          </w:r>
        </w:p>
        <w:p>
          <w:pPr>
            <w:pStyle w:val="7"/>
            <w:numPr>
              <w:ilvl w:val="1"/>
              <w:numId w:val="1"/>
            </w:numPr>
            <w:tabs>
              <w:tab w:val="left" w:pos="1880"/>
              <w:tab w:val="right" w:leader="dot" w:pos="9347"/>
            </w:tabs>
            <w:spacing w:before="2" w:after="0" w:line="240" w:lineRule="auto"/>
            <w:ind w:left="1880" w:right="0" w:hanging="420"/>
            <w:jc w:val="left"/>
            <w:rPr>
              <w:rFonts w:ascii="Times New Roman" w:eastAsia="Times New Roman"/>
            </w:rPr>
          </w:pPr>
          <w:r>
            <w:fldChar w:fldCharType="begin"/>
          </w:r>
          <w:r>
            <w:instrText xml:space="preserve"> HYPERLINK \l "_bookmark79" </w:instrText>
          </w:r>
          <w:r>
            <w:fldChar w:fldCharType="separate"/>
          </w:r>
          <w:r>
            <w:t>场址方案概述</w:t>
          </w:r>
          <w:r>
            <w:tab/>
          </w:r>
          <w:r>
            <w:rPr>
              <w:rFonts w:ascii="Times New Roman" w:eastAsia="Times New Roman"/>
            </w:rPr>
            <w:t>192</w:t>
          </w:r>
          <w:r>
            <w:rPr>
              <w:rFonts w:ascii="Times New Roman" w:eastAsia="Times New Roman"/>
            </w:rPr>
            <w:fldChar w:fldCharType="end"/>
          </w:r>
        </w:p>
        <w:p>
          <w:pPr>
            <w:pStyle w:val="7"/>
            <w:numPr>
              <w:ilvl w:val="1"/>
              <w:numId w:val="1"/>
            </w:numPr>
            <w:tabs>
              <w:tab w:val="left" w:pos="1880"/>
              <w:tab w:val="right" w:leader="dot" w:pos="9347"/>
            </w:tabs>
            <w:spacing w:before="5" w:after="0" w:line="240" w:lineRule="auto"/>
            <w:ind w:left="1880" w:right="0" w:hanging="420"/>
            <w:jc w:val="left"/>
            <w:rPr>
              <w:rFonts w:ascii="Times New Roman" w:eastAsia="Times New Roman"/>
            </w:rPr>
          </w:pPr>
          <w:r>
            <w:fldChar w:fldCharType="begin"/>
          </w:r>
          <w:r>
            <w:instrText xml:space="preserve"> HYPERLINK \l "_bookmark81" </w:instrText>
          </w:r>
          <w:r>
            <w:fldChar w:fldCharType="separate"/>
          </w:r>
          <w:r>
            <w:t>厂址方案的技术经济比较</w:t>
          </w:r>
          <w:r>
            <w:tab/>
          </w:r>
          <w:r>
            <w:rPr>
              <w:rFonts w:ascii="Times New Roman" w:eastAsia="Times New Roman"/>
            </w:rPr>
            <w:t>192</w:t>
          </w:r>
          <w:r>
            <w:rPr>
              <w:rFonts w:ascii="Times New Roman" w:eastAsia="Times New Roman"/>
            </w:rPr>
            <w:fldChar w:fldCharType="end"/>
          </w:r>
        </w:p>
        <w:p>
          <w:pPr>
            <w:pStyle w:val="7"/>
            <w:numPr>
              <w:ilvl w:val="1"/>
              <w:numId w:val="1"/>
            </w:numPr>
            <w:tabs>
              <w:tab w:val="left" w:pos="1880"/>
              <w:tab w:val="right" w:leader="dot" w:pos="9347"/>
            </w:tabs>
            <w:spacing w:before="2" w:after="0" w:line="240" w:lineRule="auto"/>
            <w:ind w:left="1880" w:right="0" w:hanging="420"/>
            <w:jc w:val="left"/>
            <w:rPr>
              <w:rFonts w:ascii="Times New Roman" w:eastAsia="Times New Roman"/>
            </w:rPr>
          </w:pPr>
          <w:r>
            <w:fldChar w:fldCharType="begin"/>
          </w:r>
          <w:r>
            <w:instrText xml:space="preserve"> HYPERLINK \l "_bookmark82" </w:instrText>
          </w:r>
          <w:r>
            <w:fldChar w:fldCharType="separate"/>
          </w:r>
          <w:r>
            <w:t>设计场地环境制约因素分析</w:t>
          </w:r>
          <w:r>
            <w:tab/>
          </w:r>
          <w:r>
            <w:rPr>
              <w:rFonts w:ascii="Times New Roman" w:eastAsia="Times New Roman"/>
            </w:rPr>
            <w:t>192</w:t>
          </w:r>
          <w:r>
            <w:rPr>
              <w:rFonts w:ascii="Times New Roman" w:eastAsia="Times New Roman"/>
            </w:rPr>
            <w:fldChar w:fldCharType="end"/>
          </w:r>
        </w:p>
        <w:p>
          <w:pPr>
            <w:pStyle w:val="7"/>
            <w:numPr>
              <w:ilvl w:val="1"/>
              <w:numId w:val="1"/>
            </w:numPr>
            <w:tabs>
              <w:tab w:val="left" w:pos="1880"/>
              <w:tab w:val="right" w:leader="dot" w:pos="9347"/>
            </w:tabs>
            <w:spacing w:before="4" w:after="0" w:line="240" w:lineRule="auto"/>
            <w:ind w:left="1880" w:right="0" w:hanging="420"/>
            <w:jc w:val="left"/>
            <w:rPr>
              <w:rFonts w:ascii="Times New Roman" w:eastAsia="Times New Roman"/>
            </w:rPr>
          </w:pPr>
          <w:r>
            <w:fldChar w:fldCharType="begin"/>
          </w:r>
          <w:r>
            <w:instrText xml:space="preserve"> HYPERLINK \l "_bookmark83" </w:instrText>
          </w:r>
          <w:r>
            <w:fldChar w:fldCharType="separate"/>
          </w:r>
          <w:r>
            <w:t>排矸场的环境可行性</w:t>
          </w:r>
          <w:r>
            <w:tab/>
          </w:r>
          <w:r>
            <w:rPr>
              <w:rFonts w:ascii="Times New Roman" w:eastAsia="Times New Roman"/>
            </w:rPr>
            <w:t>192</w:t>
          </w:r>
          <w:r>
            <w:rPr>
              <w:rFonts w:ascii="Times New Roman" w:eastAsia="Times New Roman"/>
            </w:rPr>
            <w:fldChar w:fldCharType="end"/>
          </w:r>
        </w:p>
        <w:p>
          <w:pPr>
            <w:pStyle w:val="7"/>
            <w:numPr>
              <w:ilvl w:val="1"/>
              <w:numId w:val="1"/>
            </w:numPr>
            <w:tabs>
              <w:tab w:val="left" w:pos="1880"/>
              <w:tab w:val="right" w:leader="dot" w:pos="9347"/>
            </w:tabs>
            <w:spacing w:before="2" w:after="0" w:line="240" w:lineRule="auto"/>
            <w:ind w:left="1880" w:right="0" w:hanging="420"/>
            <w:jc w:val="left"/>
            <w:rPr>
              <w:rFonts w:ascii="Times New Roman" w:eastAsia="Times New Roman"/>
            </w:rPr>
          </w:pPr>
          <w:r>
            <w:fldChar w:fldCharType="begin"/>
          </w:r>
          <w:r>
            <w:instrText xml:space="preserve"> HYPERLINK \l "_bookmark84" </w:instrText>
          </w:r>
          <w:r>
            <w:fldChar w:fldCharType="separate"/>
          </w:r>
          <w:r>
            <w:t>项目选址环境可行性综合分析</w:t>
          </w:r>
          <w:r>
            <w:tab/>
          </w:r>
          <w:r>
            <w:rPr>
              <w:rFonts w:ascii="Times New Roman" w:eastAsia="Times New Roman"/>
            </w:rPr>
            <w:t>193</w:t>
          </w:r>
          <w:r>
            <w:rPr>
              <w:rFonts w:ascii="Times New Roman" w:eastAsia="Times New Roman"/>
            </w:rPr>
            <w:fldChar w:fldCharType="end"/>
          </w:r>
        </w:p>
        <w:p>
          <w:pPr>
            <w:pStyle w:val="9"/>
            <w:numPr>
              <w:ilvl w:val="0"/>
              <w:numId w:val="1"/>
            </w:numPr>
            <w:tabs>
              <w:tab w:val="left" w:pos="1393"/>
              <w:tab w:val="right" w:leader="dot" w:pos="9347"/>
            </w:tabs>
            <w:spacing w:before="43" w:after="0" w:line="240" w:lineRule="auto"/>
            <w:ind w:left="1392" w:right="0" w:hanging="353"/>
            <w:jc w:val="left"/>
            <w:rPr>
              <w:rFonts w:ascii="Times New Roman" w:eastAsia="Times New Roman"/>
            </w:rPr>
          </w:pPr>
          <w:r>
            <w:fldChar w:fldCharType="begin"/>
          </w:r>
          <w:r>
            <w:instrText xml:space="preserve"> HYPERLINK \l "_bookmark86" </w:instrText>
          </w:r>
          <w:r>
            <w:fldChar w:fldCharType="separate"/>
          </w:r>
          <w:r>
            <w:t>环</w:t>
          </w:r>
          <w:r>
            <w:rPr>
              <w:spacing w:val="-3"/>
            </w:rPr>
            <w:t>境</w:t>
          </w:r>
          <w:r>
            <w:t>风险</w:t>
          </w:r>
          <w:r>
            <w:rPr>
              <w:spacing w:val="-3"/>
            </w:rPr>
            <w:t>影</w:t>
          </w:r>
          <w:r>
            <w:t>响分析</w:t>
          </w:r>
          <w:r>
            <w:tab/>
          </w:r>
          <w:r>
            <w:rPr>
              <w:rFonts w:ascii="Times New Roman" w:eastAsia="Times New Roman"/>
            </w:rPr>
            <w:t>195</w:t>
          </w:r>
          <w:r>
            <w:rPr>
              <w:rFonts w:ascii="Times New Roman" w:eastAsia="Times New Roman"/>
            </w:rPr>
            <w:fldChar w:fldCharType="end"/>
          </w:r>
        </w:p>
        <w:p>
          <w:pPr>
            <w:pStyle w:val="7"/>
            <w:numPr>
              <w:ilvl w:val="1"/>
              <w:numId w:val="1"/>
            </w:numPr>
            <w:tabs>
              <w:tab w:val="left" w:pos="1880"/>
              <w:tab w:val="right" w:leader="dot" w:pos="9347"/>
            </w:tabs>
            <w:spacing w:before="2" w:after="0" w:line="240" w:lineRule="auto"/>
            <w:ind w:left="1880" w:right="0" w:hanging="420"/>
            <w:jc w:val="left"/>
            <w:rPr>
              <w:rFonts w:ascii="Times New Roman" w:eastAsia="Times New Roman"/>
            </w:rPr>
          </w:pPr>
          <w:r>
            <w:fldChar w:fldCharType="begin"/>
          </w:r>
          <w:r>
            <w:instrText xml:space="preserve"> HYPERLINK \l "_bookmark85" </w:instrText>
          </w:r>
          <w:r>
            <w:fldChar w:fldCharType="separate"/>
          </w:r>
          <w:r>
            <w:t>评价依据</w:t>
          </w:r>
          <w:r>
            <w:tab/>
          </w:r>
          <w:r>
            <w:rPr>
              <w:rFonts w:ascii="Times New Roman" w:eastAsia="Times New Roman"/>
            </w:rPr>
            <w:t>195</w:t>
          </w:r>
          <w:r>
            <w:rPr>
              <w:rFonts w:ascii="Times New Roman" w:eastAsia="Times New Roman"/>
            </w:rPr>
            <w:fldChar w:fldCharType="end"/>
          </w:r>
        </w:p>
        <w:p>
          <w:pPr>
            <w:pStyle w:val="7"/>
            <w:numPr>
              <w:ilvl w:val="1"/>
              <w:numId w:val="1"/>
            </w:numPr>
            <w:tabs>
              <w:tab w:val="left" w:pos="1880"/>
              <w:tab w:val="right" w:leader="dot" w:pos="9347"/>
            </w:tabs>
            <w:spacing w:before="4" w:after="0" w:line="240" w:lineRule="auto"/>
            <w:ind w:left="1880" w:right="0" w:hanging="420"/>
            <w:jc w:val="left"/>
            <w:rPr>
              <w:rFonts w:ascii="Times New Roman" w:eastAsia="Times New Roman"/>
            </w:rPr>
          </w:pPr>
          <w:r>
            <w:fldChar w:fldCharType="begin"/>
          </w:r>
          <w:r>
            <w:instrText xml:space="preserve"> HYPERLINK \l "_bookmark87" </w:instrText>
          </w:r>
          <w:r>
            <w:fldChar w:fldCharType="separate"/>
          </w:r>
          <w:r>
            <w:t>环境敏感目标调查</w:t>
          </w:r>
          <w:r>
            <w:tab/>
          </w:r>
          <w:r>
            <w:rPr>
              <w:rFonts w:ascii="Times New Roman" w:eastAsia="Times New Roman"/>
            </w:rPr>
            <w:t>195</w:t>
          </w:r>
          <w:r>
            <w:rPr>
              <w:rFonts w:ascii="Times New Roman" w:eastAsia="Times New Roman"/>
            </w:rPr>
            <w:fldChar w:fldCharType="end"/>
          </w:r>
        </w:p>
        <w:p>
          <w:pPr>
            <w:pStyle w:val="7"/>
            <w:numPr>
              <w:ilvl w:val="1"/>
              <w:numId w:val="1"/>
            </w:numPr>
            <w:tabs>
              <w:tab w:val="left" w:pos="1880"/>
              <w:tab w:val="right" w:leader="dot" w:pos="9347"/>
            </w:tabs>
            <w:spacing w:before="2" w:after="0" w:line="240" w:lineRule="auto"/>
            <w:ind w:left="1880" w:right="0" w:hanging="420"/>
            <w:jc w:val="left"/>
            <w:rPr>
              <w:rFonts w:ascii="Times New Roman" w:eastAsia="Times New Roman"/>
            </w:rPr>
          </w:pPr>
          <w:r>
            <w:fldChar w:fldCharType="begin"/>
          </w:r>
          <w:r>
            <w:instrText xml:space="preserve"> HYPERLINK \l "_bookmark88" </w:instrText>
          </w:r>
          <w:r>
            <w:fldChar w:fldCharType="separate"/>
          </w:r>
          <w:r>
            <w:t>环境风险识别</w:t>
          </w:r>
          <w:r>
            <w:tab/>
          </w:r>
          <w:r>
            <w:rPr>
              <w:rFonts w:ascii="Times New Roman" w:eastAsia="Times New Roman"/>
            </w:rPr>
            <w:t>196</w:t>
          </w:r>
          <w:r>
            <w:rPr>
              <w:rFonts w:ascii="Times New Roman" w:eastAsia="Times New Roman"/>
            </w:rPr>
            <w:fldChar w:fldCharType="end"/>
          </w:r>
        </w:p>
        <w:p>
          <w:pPr>
            <w:pStyle w:val="7"/>
            <w:numPr>
              <w:ilvl w:val="1"/>
              <w:numId w:val="1"/>
            </w:numPr>
            <w:tabs>
              <w:tab w:val="left" w:pos="1880"/>
              <w:tab w:val="right" w:leader="dot" w:pos="9347"/>
            </w:tabs>
            <w:spacing w:before="2" w:after="0" w:line="240" w:lineRule="auto"/>
            <w:ind w:left="1880" w:right="0" w:hanging="420"/>
            <w:jc w:val="left"/>
            <w:rPr>
              <w:rFonts w:ascii="Times New Roman" w:eastAsia="Times New Roman"/>
            </w:rPr>
          </w:pPr>
          <w:r>
            <w:fldChar w:fldCharType="begin"/>
          </w:r>
          <w:r>
            <w:instrText xml:space="preserve"> HYPERLINK \l "_bookmark89" </w:instrText>
          </w:r>
          <w:r>
            <w:fldChar w:fldCharType="separate"/>
          </w:r>
          <w:r>
            <w:t>环境风险分析</w:t>
          </w:r>
          <w:r>
            <w:tab/>
          </w:r>
          <w:r>
            <w:rPr>
              <w:rFonts w:ascii="Times New Roman" w:eastAsia="Times New Roman"/>
            </w:rPr>
            <w:t>196</w:t>
          </w:r>
          <w:r>
            <w:rPr>
              <w:rFonts w:ascii="Times New Roman" w:eastAsia="Times New Roman"/>
            </w:rPr>
            <w:fldChar w:fldCharType="end"/>
          </w:r>
        </w:p>
        <w:p>
          <w:pPr>
            <w:pStyle w:val="7"/>
            <w:numPr>
              <w:ilvl w:val="1"/>
              <w:numId w:val="1"/>
            </w:numPr>
            <w:tabs>
              <w:tab w:val="left" w:pos="1880"/>
              <w:tab w:val="right" w:leader="dot" w:pos="9347"/>
            </w:tabs>
            <w:spacing w:before="5" w:after="0" w:line="240" w:lineRule="auto"/>
            <w:ind w:left="1880" w:right="0" w:hanging="420"/>
            <w:jc w:val="left"/>
            <w:rPr>
              <w:rFonts w:ascii="Times New Roman" w:eastAsia="Times New Roman"/>
            </w:rPr>
          </w:pPr>
          <w:r>
            <w:fldChar w:fldCharType="begin"/>
          </w:r>
          <w:r>
            <w:instrText xml:space="preserve"> HYPERLINK \l "_bookmark90" </w:instrText>
          </w:r>
          <w:r>
            <w:fldChar w:fldCharType="separate"/>
          </w:r>
          <w:r>
            <w:t>环境风险防范措施及环应急要求</w:t>
          </w:r>
          <w:r>
            <w:tab/>
          </w:r>
          <w:r>
            <w:rPr>
              <w:rFonts w:ascii="Times New Roman" w:eastAsia="Times New Roman"/>
            </w:rPr>
            <w:t>196</w:t>
          </w:r>
          <w:r>
            <w:rPr>
              <w:rFonts w:ascii="Times New Roman" w:eastAsia="Times New Roman"/>
            </w:rPr>
            <w:fldChar w:fldCharType="end"/>
          </w:r>
        </w:p>
        <w:p>
          <w:pPr>
            <w:pStyle w:val="7"/>
            <w:numPr>
              <w:ilvl w:val="1"/>
              <w:numId w:val="1"/>
            </w:numPr>
            <w:tabs>
              <w:tab w:val="left" w:pos="1880"/>
              <w:tab w:val="right" w:leader="dot" w:pos="9347"/>
            </w:tabs>
            <w:spacing w:before="5" w:after="240" w:line="240" w:lineRule="auto"/>
            <w:ind w:left="1880" w:right="0" w:hanging="420"/>
            <w:jc w:val="left"/>
            <w:rPr>
              <w:rFonts w:ascii="Times New Roman" w:eastAsia="Times New Roman"/>
            </w:rPr>
          </w:pPr>
          <w:r>
            <w:fldChar w:fldCharType="begin"/>
          </w:r>
          <w:r>
            <w:instrText xml:space="preserve"> HYPERLINK \l "_bookmark91" </w:instrText>
          </w:r>
          <w:r>
            <w:fldChar w:fldCharType="separate"/>
          </w:r>
          <w:r>
            <w:t>分析结论</w:t>
          </w:r>
          <w:r>
            <w:tab/>
          </w:r>
          <w:r>
            <w:rPr>
              <w:rFonts w:ascii="Times New Roman" w:eastAsia="Times New Roman"/>
            </w:rPr>
            <w:t>199</w:t>
          </w:r>
          <w:r>
            <w:rPr>
              <w:rFonts w:ascii="Times New Roman" w:eastAsia="Times New Roman"/>
            </w:rPr>
            <w:fldChar w:fldCharType="end"/>
          </w:r>
        </w:p>
        <w:p>
          <w:pPr>
            <w:pStyle w:val="9"/>
            <w:numPr>
              <w:ilvl w:val="0"/>
              <w:numId w:val="1"/>
            </w:numPr>
            <w:tabs>
              <w:tab w:val="left" w:pos="1393"/>
              <w:tab w:val="right" w:leader="dot" w:pos="9347"/>
            </w:tabs>
            <w:spacing w:before="102" w:after="0" w:line="240" w:lineRule="auto"/>
            <w:ind w:left="1392" w:right="0" w:hanging="353"/>
            <w:jc w:val="left"/>
            <w:rPr>
              <w:rFonts w:ascii="Times New Roman" w:eastAsia="Times New Roman"/>
            </w:rPr>
          </w:pPr>
          <w:r>
            <w:fldChar w:fldCharType="begin"/>
          </w:r>
          <w:r>
            <w:instrText xml:space="preserve"> HYPERLINK \l "_bookmark92" </w:instrText>
          </w:r>
          <w:r>
            <w:fldChar w:fldCharType="separate"/>
          </w:r>
          <w:r>
            <w:t>环</w:t>
          </w:r>
          <w:r>
            <w:rPr>
              <w:spacing w:val="-3"/>
            </w:rPr>
            <w:t>境</w:t>
          </w:r>
          <w:r>
            <w:t>经济</w:t>
          </w:r>
          <w:r>
            <w:rPr>
              <w:spacing w:val="-3"/>
            </w:rPr>
            <w:t>损</w:t>
          </w:r>
          <w:r>
            <w:t>益分析</w:t>
          </w:r>
          <w:r>
            <w:tab/>
          </w:r>
          <w:r>
            <w:rPr>
              <w:rFonts w:ascii="Times New Roman" w:eastAsia="Times New Roman"/>
            </w:rPr>
            <w:t>200</w:t>
          </w:r>
          <w:r>
            <w:rPr>
              <w:rFonts w:ascii="Times New Roman" w:eastAsia="Times New Roman"/>
            </w:rPr>
            <w:fldChar w:fldCharType="end"/>
          </w:r>
        </w:p>
        <w:p>
          <w:pPr>
            <w:pStyle w:val="7"/>
            <w:numPr>
              <w:ilvl w:val="1"/>
              <w:numId w:val="1"/>
            </w:numPr>
            <w:tabs>
              <w:tab w:val="left" w:pos="1880"/>
              <w:tab w:val="right" w:leader="dot" w:pos="9347"/>
            </w:tabs>
            <w:spacing w:before="2" w:after="0" w:line="240" w:lineRule="auto"/>
            <w:ind w:left="1880" w:right="0" w:hanging="420"/>
            <w:jc w:val="left"/>
            <w:rPr>
              <w:rFonts w:ascii="Times New Roman" w:eastAsia="Times New Roman"/>
            </w:rPr>
          </w:pPr>
          <w:r>
            <w:fldChar w:fldCharType="begin"/>
          </w:r>
          <w:r>
            <w:instrText xml:space="preserve"> HYPERLINK \l "_bookmark93" </w:instrText>
          </w:r>
          <w:r>
            <w:fldChar w:fldCharType="separate"/>
          </w:r>
          <w:r>
            <w:t>环境保护工程投资分析</w:t>
          </w:r>
          <w:r>
            <w:tab/>
          </w:r>
          <w:r>
            <w:rPr>
              <w:rFonts w:ascii="Times New Roman" w:eastAsia="Times New Roman"/>
            </w:rPr>
            <w:t>200</w:t>
          </w:r>
          <w:r>
            <w:rPr>
              <w:rFonts w:ascii="Times New Roman" w:eastAsia="Times New Roman"/>
            </w:rPr>
            <w:fldChar w:fldCharType="end"/>
          </w:r>
        </w:p>
        <w:p>
          <w:pPr>
            <w:pStyle w:val="7"/>
            <w:numPr>
              <w:ilvl w:val="1"/>
              <w:numId w:val="1"/>
            </w:numPr>
            <w:tabs>
              <w:tab w:val="left" w:pos="1880"/>
              <w:tab w:val="right" w:leader="dot" w:pos="9347"/>
            </w:tabs>
            <w:spacing w:before="2" w:after="0" w:line="240" w:lineRule="auto"/>
            <w:ind w:left="1880" w:right="0" w:hanging="420"/>
            <w:jc w:val="left"/>
            <w:rPr>
              <w:rFonts w:ascii="Times New Roman" w:eastAsia="Times New Roman"/>
            </w:rPr>
          </w:pPr>
          <w:r>
            <w:fldChar w:fldCharType="begin"/>
          </w:r>
          <w:r>
            <w:instrText xml:space="preserve"> HYPERLINK \l "_bookmark94" </w:instrText>
          </w:r>
          <w:r>
            <w:fldChar w:fldCharType="separate"/>
          </w:r>
          <w:r>
            <w:t>环境经济效益分析与评价</w:t>
          </w:r>
          <w:r>
            <w:tab/>
          </w:r>
          <w:r>
            <w:rPr>
              <w:rFonts w:ascii="Times New Roman" w:eastAsia="Times New Roman"/>
            </w:rPr>
            <w:t>200</w:t>
          </w:r>
          <w:r>
            <w:rPr>
              <w:rFonts w:ascii="Times New Roman" w:eastAsia="Times New Roman"/>
            </w:rPr>
            <w:fldChar w:fldCharType="end"/>
          </w:r>
        </w:p>
        <w:p>
          <w:pPr>
            <w:pStyle w:val="7"/>
            <w:numPr>
              <w:ilvl w:val="1"/>
              <w:numId w:val="1"/>
            </w:numPr>
            <w:tabs>
              <w:tab w:val="left" w:pos="1880"/>
              <w:tab w:val="right" w:leader="dot" w:pos="9347"/>
            </w:tabs>
            <w:spacing w:before="4" w:after="0" w:line="240" w:lineRule="auto"/>
            <w:ind w:left="1880" w:right="0" w:hanging="420"/>
            <w:jc w:val="left"/>
            <w:rPr>
              <w:rFonts w:ascii="Times New Roman" w:eastAsia="Times New Roman"/>
            </w:rPr>
          </w:pPr>
          <w:r>
            <w:fldChar w:fldCharType="begin"/>
          </w:r>
          <w:r>
            <w:instrText xml:space="preserve"> HYPERLINK \l "_bookmark95" </w:instrText>
          </w:r>
          <w:r>
            <w:fldChar w:fldCharType="separate"/>
          </w:r>
          <w:r>
            <w:t>环境经济损益简要分析</w:t>
          </w:r>
          <w:r>
            <w:tab/>
          </w:r>
          <w:r>
            <w:rPr>
              <w:rFonts w:ascii="Times New Roman" w:eastAsia="Times New Roman"/>
            </w:rPr>
            <w:t>201</w:t>
          </w:r>
          <w:r>
            <w:rPr>
              <w:rFonts w:ascii="Times New Roman" w:eastAsia="Times New Roman"/>
            </w:rPr>
            <w:fldChar w:fldCharType="end"/>
          </w:r>
        </w:p>
        <w:p>
          <w:pPr>
            <w:pStyle w:val="7"/>
            <w:numPr>
              <w:ilvl w:val="1"/>
              <w:numId w:val="1"/>
            </w:numPr>
            <w:tabs>
              <w:tab w:val="left" w:pos="1880"/>
              <w:tab w:val="right" w:leader="dot" w:pos="9347"/>
            </w:tabs>
            <w:spacing w:before="5" w:after="0" w:line="240" w:lineRule="auto"/>
            <w:ind w:left="1880" w:right="0" w:hanging="420"/>
            <w:jc w:val="left"/>
            <w:rPr>
              <w:rFonts w:ascii="Times New Roman" w:eastAsia="Times New Roman"/>
            </w:rPr>
          </w:pPr>
          <w:r>
            <w:fldChar w:fldCharType="begin"/>
          </w:r>
          <w:r>
            <w:instrText xml:space="preserve"> HYPERLINK \l "_bookmark96" </w:instrText>
          </w:r>
          <w:r>
            <w:fldChar w:fldCharType="separate"/>
          </w:r>
          <w:r>
            <w:t>环境保护工程的经济效益分析</w:t>
          </w:r>
          <w:r>
            <w:tab/>
          </w:r>
          <w:r>
            <w:rPr>
              <w:rFonts w:ascii="Times New Roman" w:eastAsia="Times New Roman"/>
            </w:rPr>
            <w:t>203</w:t>
          </w:r>
          <w:r>
            <w:rPr>
              <w:rFonts w:ascii="Times New Roman" w:eastAsia="Times New Roman"/>
            </w:rPr>
            <w:fldChar w:fldCharType="end"/>
          </w:r>
        </w:p>
        <w:p>
          <w:pPr>
            <w:pStyle w:val="7"/>
            <w:numPr>
              <w:ilvl w:val="1"/>
              <w:numId w:val="1"/>
            </w:numPr>
            <w:tabs>
              <w:tab w:val="left" w:pos="1880"/>
              <w:tab w:val="right" w:leader="dot" w:pos="9347"/>
            </w:tabs>
            <w:spacing w:before="2" w:after="0" w:line="240" w:lineRule="auto"/>
            <w:ind w:left="1880" w:right="0" w:hanging="420"/>
            <w:jc w:val="left"/>
            <w:rPr>
              <w:rFonts w:ascii="Times New Roman" w:eastAsia="Times New Roman"/>
            </w:rPr>
          </w:pPr>
          <w:r>
            <w:fldChar w:fldCharType="begin"/>
          </w:r>
          <w:r>
            <w:instrText xml:space="preserve"> HYPERLINK \l "_bookmark97" </w:instrText>
          </w:r>
          <w:r>
            <w:fldChar w:fldCharType="separate"/>
          </w:r>
          <w:r>
            <w:t>环境经济分析结论</w:t>
          </w:r>
          <w:r>
            <w:tab/>
          </w:r>
          <w:r>
            <w:rPr>
              <w:rFonts w:ascii="Times New Roman" w:eastAsia="Times New Roman"/>
            </w:rPr>
            <w:t>204</w:t>
          </w:r>
          <w:r>
            <w:rPr>
              <w:rFonts w:ascii="Times New Roman" w:eastAsia="Times New Roman"/>
            </w:rPr>
            <w:fldChar w:fldCharType="end"/>
          </w:r>
        </w:p>
        <w:p>
          <w:pPr>
            <w:pStyle w:val="9"/>
            <w:numPr>
              <w:ilvl w:val="0"/>
              <w:numId w:val="1"/>
            </w:numPr>
            <w:tabs>
              <w:tab w:val="left" w:pos="1393"/>
              <w:tab w:val="right" w:leader="dot" w:pos="9347"/>
            </w:tabs>
            <w:spacing w:before="42" w:after="0" w:line="240" w:lineRule="auto"/>
            <w:ind w:left="1392" w:right="0" w:hanging="353"/>
            <w:jc w:val="left"/>
            <w:rPr>
              <w:rFonts w:ascii="Times New Roman" w:eastAsia="Times New Roman"/>
            </w:rPr>
          </w:pPr>
          <w:r>
            <w:fldChar w:fldCharType="begin"/>
          </w:r>
          <w:r>
            <w:instrText xml:space="preserve"> HYPERLINK \l "_bookmark98" </w:instrText>
          </w:r>
          <w:r>
            <w:fldChar w:fldCharType="separate"/>
          </w:r>
          <w:r>
            <w:t>选</w:t>
          </w:r>
          <w:r>
            <w:rPr>
              <w:spacing w:val="-3"/>
            </w:rPr>
            <w:t>址</w:t>
          </w:r>
          <w:r>
            <w:t>及规</w:t>
          </w:r>
          <w:r>
            <w:rPr>
              <w:spacing w:val="-3"/>
            </w:rPr>
            <w:t>划</w:t>
          </w:r>
          <w:r>
            <w:t>符合</w:t>
          </w:r>
          <w:r>
            <w:rPr>
              <w:spacing w:val="-3"/>
            </w:rPr>
            <w:t>性</w:t>
          </w:r>
          <w:r>
            <w:t>分析</w:t>
          </w:r>
          <w:r>
            <w:tab/>
          </w:r>
          <w:r>
            <w:rPr>
              <w:rFonts w:ascii="Times New Roman" w:eastAsia="Times New Roman"/>
            </w:rPr>
            <w:t>205</w:t>
          </w:r>
          <w:r>
            <w:rPr>
              <w:rFonts w:ascii="Times New Roman" w:eastAsia="Times New Roman"/>
            </w:rPr>
            <w:fldChar w:fldCharType="end"/>
          </w:r>
        </w:p>
        <w:p>
          <w:pPr>
            <w:pStyle w:val="7"/>
            <w:numPr>
              <w:ilvl w:val="1"/>
              <w:numId w:val="1"/>
            </w:numPr>
            <w:tabs>
              <w:tab w:val="left" w:pos="1880"/>
              <w:tab w:val="right" w:leader="dot" w:pos="9347"/>
            </w:tabs>
            <w:spacing w:before="2" w:after="0" w:line="240" w:lineRule="auto"/>
            <w:ind w:left="1880" w:right="0" w:hanging="420"/>
            <w:jc w:val="left"/>
            <w:rPr>
              <w:rFonts w:ascii="Times New Roman" w:eastAsia="Times New Roman"/>
            </w:rPr>
          </w:pPr>
          <w:r>
            <w:fldChar w:fldCharType="begin"/>
          </w:r>
          <w:r>
            <w:instrText xml:space="preserve"> HYPERLINK \l "_bookmark99" </w:instrText>
          </w:r>
          <w:r>
            <w:fldChar w:fldCharType="separate"/>
          </w:r>
          <w:r>
            <w:t>与国家产业政策符合性分析</w:t>
          </w:r>
          <w:r>
            <w:tab/>
          </w:r>
          <w:r>
            <w:rPr>
              <w:rFonts w:ascii="Times New Roman" w:eastAsia="Times New Roman"/>
            </w:rPr>
            <w:t>205</w:t>
          </w:r>
          <w:r>
            <w:rPr>
              <w:rFonts w:ascii="Times New Roman" w:eastAsia="Times New Roman"/>
            </w:rPr>
            <w:fldChar w:fldCharType="end"/>
          </w:r>
        </w:p>
        <w:p>
          <w:pPr>
            <w:pStyle w:val="7"/>
            <w:numPr>
              <w:ilvl w:val="1"/>
              <w:numId w:val="1"/>
            </w:numPr>
            <w:tabs>
              <w:tab w:val="left" w:pos="1828"/>
              <w:tab w:val="right" w:leader="dot" w:pos="9347"/>
            </w:tabs>
            <w:spacing w:before="5" w:after="0" w:line="240" w:lineRule="auto"/>
            <w:ind w:left="1827" w:right="0" w:hanging="368"/>
            <w:jc w:val="left"/>
            <w:rPr>
              <w:rFonts w:ascii="Times New Roman" w:hAnsi="Times New Roman" w:eastAsia="Times New Roman"/>
            </w:rPr>
          </w:pPr>
          <w:r>
            <w:fldChar w:fldCharType="begin"/>
          </w:r>
          <w:r>
            <w:instrText xml:space="preserve"> HYPERLINK \l "_bookmark100" </w:instrText>
          </w:r>
          <w:r>
            <w:fldChar w:fldCharType="separate"/>
          </w:r>
          <w:r>
            <w:rPr>
              <w:rFonts w:ascii="Times New Roman" w:hAnsi="Times New Roman" w:eastAsia="Times New Roman"/>
            </w:rPr>
            <w:t>“</w:t>
          </w:r>
          <w:r>
            <w:t>三线一单</w:t>
          </w:r>
          <w:r>
            <w:rPr>
              <w:rFonts w:ascii="Times New Roman" w:hAnsi="Times New Roman" w:eastAsia="Times New Roman"/>
            </w:rPr>
            <w:t>”</w:t>
          </w:r>
          <w:r>
            <w:t>符合性</w:t>
          </w:r>
          <w:r>
            <w:tab/>
          </w:r>
          <w:r>
            <w:rPr>
              <w:rFonts w:ascii="Times New Roman" w:hAnsi="Times New Roman" w:eastAsia="Times New Roman"/>
            </w:rPr>
            <w:t>205</w:t>
          </w:r>
          <w:r>
            <w:rPr>
              <w:rFonts w:ascii="Times New Roman" w:hAnsi="Times New Roman" w:eastAsia="Times New Roman"/>
            </w:rPr>
            <w:fldChar w:fldCharType="end"/>
          </w:r>
        </w:p>
        <w:p>
          <w:pPr>
            <w:pStyle w:val="7"/>
            <w:numPr>
              <w:ilvl w:val="1"/>
              <w:numId w:val="1"/>
            </w:numPr>
            <w:tabs>
              <w:tab w:val="left" w:pos="1880"/>
              <w:tab w:val="right" w:leader="dot" w:pos="9347"/>
            </w:tabs>
            <w:spacing w:before="2" w:after="0" w:line="240" w:lineRule="auto"/>
            <w:ind w:left="1880" w:right="0" w:hanging="420"/>
            <w:jc w:val="left"/>
            <w:rPr>
              <w:rFonts w:ascii="Times New Roman" w:eastAsia="Times New Roman"/>
            </w:rPr>
          </w:pPr>
          <w:r>
            <w:fldChar w:fldCharType="begin"/>
          </w:r>
          <w:r>
            <w:instrText xml:space="preserve"> HYPERLINK \l "_bookmark101" </w:instrText>
          </w:r>
          <w:r>
            <w:fldChar w:fldCharType="separate"/>
          </w:r>
          <w:r>
            <w:t>与黑龙江省相关政策、规划符合性</w:t>
          </w:r>
          <w:r>
            <w:tab/>
          </w:r>
          <w:r>
            <w:rPr>
              <w:rFonts w:ascii="Times New Roman" w:eastAsia="Times New Roman"/>
            </w:rPr>
            <w:t>206</w:t>
          </w:r>
          <w:r>
            <w:rPr>
              <w:rFonts w:ascii="Times New Roman" w:eastAsia="Times New Roman"/>
            </w:rPr>
            <w:fldChar w:fldCharType="end"/>
          </w:r>
        </w:p>
        <w:p>
          <w:pPr>
            <w:pStyle w:val="7"/>
            <w:numPr>
              <w:ilvl w:val="1"/>
              <w:numId w:val="1"/>
            </w:numPr>
            <w:tabs>
              <w:tab w:val="left" w:pos="1880"/>
              <w:tab w:val="right" w:leader="dot" w:pos="9347"/>
            </w:tabs>
            <w:spacing w:before="2" w:after="0" w:line="240" w:lineRule="auto"/>
            <w:ind w:left="1880" w:right="0" w:hanging="420"/>
            <w:jc w:val="left"/>
            <w:rPr>
              <w:rFonts w:ascii="Times New Roman" w:eastAsia="Times New Roman"/>
            </w:rPr>
          </w:pPr>
          <w:r>
            <w:fldChar w:fldCharType="begin"/>
          </w:r>
          <w:r>
            <w:instrText xml:space="preserve"> HYPERLINK \l "_bookmark102" </w:instrText>
          </w:r>
          <w:r>
            <w:fldChar w:fldCharType="separate"/>
          </w:r>
          <w:r>
            <w:t>与双鸭山市城市总体规划符合性分析</w:t>
          </w:r>
          <w:r>
            <w:tab/>
          </w:r>
          <w:r>
            <w:rPr>
              <w:rFonts w:ascii="Times New Roman" w:eastAsia="Times New Roman"/>
            </w:rPr>
            <w:t>208</w:t>
          </w:r>
          <w:r>
            <w:rPr>
              <w:rFonts w:ascii="Times New Roman" w:eastAsia="Times New Roman"/>
            </w:rPr>
            <w:fldChar w:fldCharType="end"/>
          </w:r>
        </w:p>
        <w:p>
          <w:pPr>
            <w:pStyle w:val="7"/>
            <w:numPr>
              <w:ilvl w:val="1"/>
              <w:numId w:val="1"/>
            </w:numPr>
            <w:tabs>
              <w:tab w:val="left" w:pos="1880"/>
              <w:tab w:val="right" w:leader="dot" w:pos="9347"/>
            </w:tabs>
            <w:spacing w:before="4" w:after="0" w:line="240" w:lineRule="auto"/>
            <w:ind w:left="1880" w:right="0" w:hanging="420"/>
            <w:jc w:val="left"/>
            <w:rPr>
              <w:rFonts w:ascii="Times New Roman" w:eastAsia="Times New Roman"/>
            </w:rPr>
          </w:pPr>
          <w:r>
            <w:fldChar w:fldCharType="begin"/>
          </w:r>
          <w:r>
            <w:instrText xml:space="preserve"> HYPERLINK \l "_bookmark103" </w:instrText>
          </w:r>
          <w:r>
            <w:fldChar w:fldCharType="separate"/>
          </w:r>
          <w:r>
            <w:t>选址环境合理性分析</w:t>
          </w:r>
          <w:r>
            <w:tab/>
          </w:r>
          <w:r>
            <w:rPr>
              <w:rFonts w:ascii="Times New Roman" w:eastAsia="Times New Roman"/>
            </w:rPr>
            <w:t>208</w:t>
          </w:r>
          <w:r>
            <w:rPr>
              <w:rFonts w:ascii="Times New Roman" w:eastAsia="Times New Roman"/>
            </w:rPr>
            <w:fldChar w:fldCharType="end"/>
          </w:r>
        </w:p>
        <w:p>
          <w:pPr>
            <w:pStyle w:val="9"/>
            <w:numPr>
              <w:ilvl w:val="0"/>
              <w:numId w:val="1"/>
            </w:numPr>
            <w:tabs>
              <w:tab w:val="left" w:pos="1393"/>
              <w:tab w:val="right" w:leader="dot" w:pos="9347"/>
            </w:tabs>
            <w:spacing w:before="43" w:after="0" w:line="240" w:lineRule="auto"/>
            <w:ind w:left="1392" w:right="0" w:hanging="353"/>
            <w:jc w:val="left"/>
            <w:rPr>
              <w:rFonts w:ascii="Times New Roman" w:eastAsia="Times New Roman"/>
            </w:rPr>
          </w:pPr>
          <w:r>
            <w:fldChar w:fldCharType="begin"/>
          </w:r>
          <w:r>
            <w:instrText xml:space="preserve"> HYPERLINK \l "_bookmark104" </w:instrText>
          </w:r>
          <w:r>
            <w:fldChar w:fldCharType="separate"/>
          </w:r>
          <w:r>
            <w:t>结</w:t>
          </w:r>
          <w:r>
            <w:rPr>
              <w:spacing w:val="-3"/>
            </w:rPr>
            <w:t>论</w:t>
          </w:r>
          <w:r>
            <w:t>与建议</w:t>
          </w:r>
          <w:r>
            <w:tab/>
          </w:r>
          <w:r>
            <w:rPr>
              <w:rFonts w:ascii="Times New Roman" w:eastAsia="Times New Roman"/>
            </w:rPr>
            <w:t>210</w:t>
          </w:r>
          <w:r>
            <w:rPr>
              <w:rFonts w:ascii="Times New Roman" w:eastAsia="Times New Roman"/>
            </w:rPr>
            <w:fldChar w:fldCharType="end"/>
          </w:r>
        </w:p>
        <w:p>
          <w:pPr>
            <w:pStyle w:val="7"/>
            <w:numPr>
              <w:ilvl w:val="1"/>
              <w:numId w:val="1"/>
            </w:numPr>
            <w:tabs>
              <w:tab w:val="left" w:pos="1880"/>
              <w:tab w:val="right" w:leader="dot" w:pos="9347"/>
            </w:tabs>
            <w:spacing w:before="2" w:after="0" w:line="240" w:lineRule="auto"/>
            <w:ind w:left="1880" w:right="0" w:hanging="420"/>
            <w:jc w:val="left"/>
            <w:rPr>
              <w:rFonts w:ascii="Times New Roman" w:eastAsia="Times New Roman"/>
            </w:rPr>
          </w:pPr>
          <w:r>
            <w:fldChar w:fldCharType="begin"/>
          </w:r>
          <w:r>
            <w:instrText xml:space="preserve"> HYPERLINK \l "_bookmark105" </w:instrText>
          </w:r>
          <w:r>
            <w:fldChar w:fldCharType="separate"/>
          </w:r>
          <w:r>
            <w:t>项目概况</w:t>
          </w:r>
          <w:r>
            <w:tab/>
          </w:r>
          <w:r>
            <w:rPr>
              <w:rFonts w:ascii="Times New Roman" w:eastAsia="Times New Roman"/>
            </w:rPr>
            <w:t>210</w:t>
          </w:r>
          <w:r>
            <w:rPr>
              <w:rFonts w:ascii="Times New Roman" w:eastAsia="Times New Roman"/>
            </w:rPr>
            <w:fldChar w:fldCharType="end"/>
          </w:r>
        </w:p>
        <w:p>
          <w:pPr>
            <w:pStyle w:val="7"/>
            <w:numPr>
              <w:ilvl w:val="1"/>
              <w:numId w:val="1"/>
            </w:numPr>
            <w:tabs>
              <w:tab w:val="left" w:pos="1880"/>
              <w:tab w:val="right" w:leader="dot" w:pos="9347"/>
            </w:tabs>
            <w:spacing w:before="2" w:after="0" w:line="240" w:lineRule="auto"/>
            <w:ind w:left="1880" w:right="0" w:hanging="420"/>
            <w:jc w:val="left"/>
            <w:rPr>
              <w:rFonts w:ascii="Times New Roman" w:eastAsia="Times New Roman"/>
            </w:rPr>
          </w:pPr>
          <w:r>
            <w:fldChar w:fldCharType="begin"/>
          </w:r>
          <w:r>
            <w:instrText xml:space="preserve"> HYPERLINK \l "_bookmark106" </w:instrText>
          </w:r>
          <w:r>
            <w:fldChar w:fldCharType="separate"/>
          </w:r>
          <w:r>
            <w:t>项目环境影响结论</w:t>
          </w:r>
          <w:r>
            <w:tab/>
          </w:r>
          <w:r>
            <w:rPr>
              <w:rFonts w:ascii="Times New Roman" w:eastAsia="Times New Roman"/>
            </w:rPr>
            <w:t>210</w:t>
          </w:r>
          <w:r>
            <w:rPr>
              <w:rFonts w:ascii="Times New Roman" w:eastAsia="Times New Roman"/>
            </w:rPr>
            <w:fldChar w:fldCharType="end"/>
          </w:r>
        </w:p>
        <w:p>
          <w:pPr>
            <w:pStyle w:val="7"/>
            <w:numPr>
              <w:ilvl w:val="1"/>
              <w:numId w:val="1"/>
            </w:numPr>
            <w:tabs>
              <w:tab w:val="left" w:pos="1880"/>
              <w:tab w:val="right" w:leader="dot" w:pos="9347"/>
            </w:tabs>
            <w:spacing w:before="4" w:after="0" w:line="240" w:lineRule="auto"/>
            <w:ind w:left="1880" w:right="0" w:hanging="420"/>
            <w:jc w:val="left"/>
            <w:rPr>
              <w:rFonts w:ascii="Times New Roman" w:eastAsia="Times New Roman"/>
            </w:rPr>
          </w:pPr>
          <w:r>
            <w:fldChar w:fldCharType="begin"/>
          </w:r>
          <w:r>
            <w:instrText xml:space="preserve"> HYPERLINK \l "_bookmark107" </w:instrText>
          </w:r>
          <w:r>
            <w:fldChar w:fldCharType="separate"/>
          </w:r>
          <w:r>
            <w:t>建设项目的环境可行性总结</w:t>
          </w:r>
          <w:r>
            <w:tab/>
          </w:r>
          <w:r>
            <w:rPr>
              <w:rFonts w:ascii="Times New Roman" w:eastAsia="Times New Roman"/>
            </w:rPr>
            <w:t>212</w:t>
          </w:r>
          <w:r>
            <w:rPr>
              <w:rFonts w:ascii="Times New Roman" w:eastAsia="Times New Roman"/>
            </w:rPr>
            <w:fldChar w:fldCharType="end"/>
          </w:r>
        </w:p>
      </w:sdtContent>
    </w:sdt>
    <w:p>
      <w:pPr>
        <w:spacing w:after="0" w:line="240" w:lineRule="auto"/>
        <w:jc w:val="left"/>
        <w:rPr>
          <w:rFonts w:ascii="Times New Roman" w:eastAsia="Times New Roman"/>
        </w:rPr>
        <w:sectPr>
          <w:type w:val="continuous"/>
          <w:pgSz w:w="11910" w:h="16840"/>
          <w:pgMar w:top="1379" w:right="720" w:bottom="975" w:left="760" w:header="720" w:footer="720" w:gutter="0"/>
        </w:sectPr>
      </w:pPr>
    </w:p>
    <w:p>
      <w:pPr>
        <w:pStyle w:val="13"/>
        <w:numPr>
          <w:ilvl w:val="1"/>
          <w:numId w:val="4"/>
        </w:numPr>
        <w:tabs>
          <w:tab w:val="left" w:pos="1108"/>
        </w:tabs>
        <w:spacing w:before="742" w:after="0" w:line="240" w:lineRule="auto"/>
        <w:ind w:left="1107" w:right="0" w:hanging="450"/>
        <w:jc w:val="left"/>
        <w:rPr>
          <w:b/>
          <w:sz w:val="30"/>
        </w:rPr>
      </w:pPr>
      <w:bookmarkStart w:id="0" w:name="_bookmark0"/>
      <w:bookmarkEnd w:id="0"/>
      <w:bookmarkStart w:id="1" w:name="1.1项目由来"/>
      <w:bookmarkEnd w:id="1"/>
      <w:bookmarkStart w:id="2" w:name="_bookmark0"/>
      <w:bookmarkEnd w:id="2"/>
      <w:r>
        <w:rPr>
          <w:b/>
          <w:sz w:val="30"/>
        </w:rPr>
        <w:t>项目由来</w:t>
      </w:r>
    </w:p>
    <w:p>
      <w:pPr>
        <w:pStyle w:val="2"/>
        <w:numPr>
          <w:ilvl w:val="0"/>
          <w:numId w:val="5"/>
        </w:numPr>
        <w:tabs>
          <w:tab w:val="left" w:pos="971"/>
        </w:tabs>
        <w:spacing w:before="41" w:after="0" w:line="240" w:lineRule="auto"/>
        <w:ind w:left="970" w:right="0" w:hanging="313"/>
        <w:jc w:val="left"/>
      </w:pPr>
      <w:bookmarkStart w:id="3" w:name="_bookmark1"/>
      <w:bookmarkEnd w:id="3"/>
      <w:bookmarkStart w:id="4" w:name="_bookmark1"/>
      <w:bookmarkEnd w:id="4"/>
      <w:bookmarkStart w:id="5" w:name="1.前言"/>
      <w:bookmarkEnd w:id="5"/>
      <w:r>
        <w:rPr>
          <w:spacing w:val="2"/>
          <w:w w:val="99"/>
        </w:rPr>
        <w:br w:type="column"/>
      </w:r>
      <w:r>
        <w:t>前言</w:t>
      </w:r>
    </w:p>
    <w:p>
      <w:pPr>
        <w:spacing w:after="0" w:line="240" w:lineRule="auto"/>
        <w:jc w:val="left"/>
        <w:sectPr>
          <w:footerReference r:id="rId4" w:type="default"/>
          <w:pgSz w:w="11910" w:h="16840"/>
          <w:pgMar w:top="1360" w:right="720" w:bottom="1160" w:left="760" w:header="0" w:footer="975" w:gutter="0"/>
          <w:pgNumType w:start="1"/>
          <w:cols w:equalWidth="0" w:num="2">
            <w:col w:w="2350" w:space="1668"/>
            <w:col w:w="6412"/>
          </w:cols>
        </w:sectPr>
      </w:pPr>
    </w:p>
    <w:p>
      <w:pPr>
        <w:pStyle w:val="6"/>
        <w:spacing w:before="199" w:line="364" w:lineRule="auto"/>
        <w:ind w:left="658" w:right="693" w:firstLine="480"/>
        <w:jc w:val="both"/>
      </w:pPr>
      <w:r>
        <w:t>双鸭山大顺矿业有限公司位于双鸭山矿业集团岭东煤矿南</w:t>
      </w:r>
      <w:r>
        <w:rPr>
          <w:rFonts w:ascii="Times New Roman" w:hAnsi="Times New Roman" w:eastAsia="Times New Roman"/>
        </w:rPr>
        <w:t>7km</w:t>
      </w:r>
      <w:r>
        <w:rPr>
          <w:spacing w:val="-2"/>
        </w:rPr>
        <w:t>处，在双鸭山市司法</w:t>
      </w:r>
      <w:r>
        <w:rPr>
          <w:spacing w:val="-6"/>
        </w:rPr>
        <w:t>局劳教所东部。从岭东矿通往矿井有砂石公路可直达，距双鸭山矿业集团内部运煤专用</w:t>
      </w:r>
      <w:r>
        <w:t>铁路线岭东车站</w:t>
      </w:r>
      <w:r>
        <w:rPr>
          <w:rFonts w:ascii="Times New Roman" w:hAnsi="Times New Roman" w:eastAsia="Times New Roman"/>
          <w:spacing w:val="-6"/>
        </w:rPr>
        <w:t>7km</w:t>
      </w:r>
      <w:r>
        <w:rPr>
          <w:spacing w:val="-2"/>
        </w:rPr>
        <w:t>，距双鸭山火车站</w:t>
      </w:r>
      <w:r>
        <w:rPr>
          <w:rFonts w:ascii="Times New Roman" w:hAnsi="Times New Roman" w:eastAsia="Times New Roman"/>
          <w:spacing w:val="-4"/>
        </w:rPr>
        <w:t>15km</w:t>
      </w:r>
      <w:r>
        <w:rPr>
          <w:spacing w:val="-6"/>
        </w:rPr>
        <w:t>，交通较为方便。矿区行政区划属双鸭山市</w:t>
      </w:r>
      <w:r>
        <w:t>岭东区，中心地理位置坐标经度</w:t>
      </w:r>
      <w:r>
        <w:rPr>
          <w:rFonts w:ascii="Times New Roman" w:hAnsi="Times New Roman" w:eastAsia="Times New Roman"/>
        </w:rPr>
        <w:t>131</w:t>
      </w:r>
      <w:r>
        <w:t>°</w:t>
      </w:r>
      <w:r>
        <w:rPr>
          <w:rFonts w:ascii="Times New Roman" w:hAnsi="Times New Roman" w:eastAsia="Times New Roman"/>
        </w:rPr>
        <w:t>09</w:t>
      </w:r>
      <w:r>
        <w:t>＇</w:t>
      </w:r>
      <w:r>
        <w:rPr>
          <w:rFonts w:ascii="Times New Roman" w:hAnsi="Times New Roman" w:eastAsia="Times New Roman"/>
        </w:rPr>
        <w:t>48″</w:t>
      </w:r>
      <w:r>
        <w:t>，纬度</w:t>
      </w:r>
      <w:r>
        <w:rPr>
          <w:rFonts w:ascii="Times New Roman" w:hAnsi="Times New Roman" w:eastAsia="Times New Roman"/>
        </w:rPr>
        <w:t>46</w:t>
      </w:r>
      <w:r>
        <w:t>°</w:t>
      </w:r>
      <w:r>
        <w:rPr>
          <w:rFonts w:ascii="Times New Roman" w:hAnsi="Times New Roman" w:eastAsia="Times New Roman"/>
        </w:rPr>
        <w:t>29</w:t>
      </w:r>
      <w:r>
        <w:t>＇</w:t>
      </w:r>
      <w:r>
        <w:rPr>
          <w:rFonts w:ascii="Times New Roman" w:hAnsi="Times New Roman" w:eastAsia="Times New Roman"/>
        </w:rPr>
        <w:t>54″</w:t>
      </w:r>
      <w:r>
        <w:t>。</w:t>
      </w:r>
    </w:p>
    <w:p>
      <w:pPr>
        <w:pStyle w:val="6"/>
        <w:spacing w:line="364" w:lineRule="auto"/>
        <w:ind w:left="658" w:right="697" w:firstLine="480"/>
        <w:jc w:val="both"/>
      </w:pPr>
      <w:r>
        <w:t>大顺煤矿于</w:t>
      </w:r>
      <w:r>
        <w:rPr>
          <w:rFonts w:ascii="Times New Roman" w:eastAsia="Times New Roman"/>
        </w:rPr>
        <w:t>1980</w:t>
      </w:r>
      <w:r>
        <w:t>年建井，其前身为双鸭山市横头山矿区横头山煤矿。</w:t>
      </w:r>
      <w:r>
        <w:rPr>
          <w:rFonts w:ascii="Times New Roman" w:eastAsia="Times New Roman"/>
        </w:rPr>
        <w:t>2002</w:t>
      </w:r>
      <w:r>
        <w:rPr>
          <w:spacing w:val="2"/>
        </w:rPr>
        <w:t>年资源</w:t>
      </w:r>
      <w:r>
        <w:rPr>
          <w:rFonts w:ascii="Times New Roman" w:eastAsia="Times New Roman"/>
        </w:rPr>
        <w:t xml:space="preserve">/ </w:t>
      </w:r>
      <w:r>
        <w:rPr>
          <w:spacing w:val="-3"/>
        </w:rPr>
        <w:t>储量核实后换发采矿许可证时更名为双鸭山市大顺煤矿。双鸭山市大顺煤矿于</w:t>
      </w:r>
      <w:r>
        <w:rPr>
          <w:rFonts w:ascii="Times New Roman" w:eastAsia="Times New Roman"/>
        </w:rPr>
        <w:t>1980</w:t>
      </w:r>
      <w:r>
        <w:rPr>
          <w:spacing w:val="-9"/>
        </w:rPr>
        <w:t>年取</w:t>
      </w:r>
      <w:r>
        <w:rPr>
          <w:spacing w:val="-4"/>
        </w:rPr>
        <w:t>得采矿权，先后开凿三对斜井。主要开采</w:t>
      </w:r>
      <w:r>
        <w:rPr>
          <w:rFonts w:ascii="Times New Roman" w:eastAsia="Times New Roman"/>
        </w:rPr>
        <w:t>15</w:t>
      </w:r>
      <w:r>
        <w:rPr>
          <w:spacing w:val="-4"/>
        </w:rPr>
        <w:t>煤层。到目前：</w:t>
      </w:r>
      <w:r>
        <w:rPr>
          <w:rFonts w:ascii="Times New Roman" w:eastAsia="Times New Roman"/>
          <w:spacing w:val="-4"/>
        </w:rPr>
        <w:t>15</w:t>
      </w:r>
      <w:r>
        <w:rPr>
          <w:spacing w:val="-2"/>
        </w:rPr>
        <w:t>煤层在一井区内尚有部分</w:t>
      </w:r>
      <w:r>
        <w:rPr>
          <w:spacing w:val="-5"/>
        </w:rPr>
        <w:t>资源，二、三井的</w:t>
      </w:r>
      <w:r>
        <w:rPr>
          <w:rFonts w:ascii="Times New Roman" w:eastAsia="Times New Roman"/>
        </w:rPr>
        <w:t>15</w:t>
      </w:r>
      <w:r>
        <w:rPr>
          <w:spacing w:val="-2"/>
        </w:rPr>
        <w:t>煤层资源基本开采完，现在</w:t>
      </w:r>
      <w:r>
        <w:rPr>
          <w:rFonts w:ascii="Times New Roman" w:eastAsia="Times New Roman"/>
        </w:rPr>
        <w:t>10</w:t>
      </w:r>
      <w:r>
        <w:rPr>
          <w:spacing w:val="-2"/>
        </w:rPr>
        <w:t>煤层进行开采活动。</w:t>
      </w:r>
      <w:r>
        <w:rPr>
          <w:rFonts w:ascii="Times New Roman" w:eastAsia="Times New Roman"/>
        </w:rPr>
        <w:t>30</w:t>
      </w:r>
      <w:r>
        <w:rPr>
          <w:spacing w:val="-3"/>
        </w:rPr>
        <w:t>煤层始终没进</w:t>
      </w:r>
      <w:r>
        <w:t>行开发利用。截止</w:t>
      </w:r>
      <w:r>
        <w:rPr>
          <w:rFonts w:ascii="Times New Roman" w:eastAsia="Times New Roman"/>
        </w:rPr>
        <w:t>2018</w:t>
      </w:r>
      <w:r>
        <w:rPr>
          <w:spacing w:val="4"/>
        </w:rPr>
        <w:t>年</w:t>
      </w:r>
      <w:r>
        <w:rPr>
          <w:rFonts w:ascii="Times New Roman" w:eastAsia="Times New Roman"/>
        </w:rPr>
        <w:t>12</w:t>
      </w:r>
      <w:r>
        <w:rPr>
          <w:spacing w:val="4"/>
        </w:rPr>
        <w:t>月</w:t>
      </w:r>
      <w:r>
        <w:rPr>
          <w:rFonts w:ascii="Times New Roman" w:eastAsia="Times New Roman"/>
        </w:rPr>
        <w:t>31</w:t>
      </w:r>
      <w:r>
        <w:t>日，双鸭山大顺矿业有限公司全矿井煤炭资源</w:t>
      </w:r>
      <w:r>
        <w:rPr>
          <w:rFonts w:ascii="Times New Roman" w:eastAsia="Times New Roman"/>
        </w:rPr>
        <w:t>/</w:t>
      </w:r>
      <w:r>
        <w:rPr>
          <w:spacing w:val="1"/>
        </w:rPr>
        <w:t>储量为</w:t>
      </w:r>
      <w:r>
        <w:rPr>
          <w:rFonts w:ascii="Times New Roman" w:eastAsia="Times New Roman"/>
          <w:spacing w:val="1"/>
        </w:rPr>
        <w:t>952.98</w:t>
      </w:r>
      <w:r>
        <w:rPr>
          <w:spacing w:val="1"/>
        </w:rPr>
        <w:t>万</w:t>
      </w:r>
      <w:r>
        <w:rPr>
          <w:rFonts w:ascii="Times New Roman" w:eastAsia="Times New Roman"/>
          <w:spacing w:val="1"/>
        </w:rPr>
        <w:t>t</w:t>
      </w:r>
      <w:r>
        <w:rPr>
          <w:spacing w:val="1"/>
        </w:rPr>
        <w:t>。可采储量为</w:t>
      </w:r>
      <w:r>
        <w:rPr>
          <w:rFonts w:ascii="Times New Roman" w:eastAsia="Times New Roman"/>
          <w:spacing w:val="1"/>
        </w:rPr>
        <w:t>646.59</w:t>
      </w:r>
      <w:r>
        <w:rPr>
          <w:spacing w:val="1"/>
        </w:rPr>
        <w:t>万</w:t>
      </w:r>
      <w:r>
        <w:rPr>
          <w:rFonts w:ascii="Times New Roman" w:eastAsia="Times New Roman"/>
          <w:spacing w:val="1"/>
        </w:rPr>
        <w:t>t</w:t>
      </w:r>
      <w:r>
        <w:rPr>
          <w:spacing w:val="1"/>
        </w:rPr>
        <w:t>。</w:t>
      </w:r>
    </w:p>
    <w:p>
      <w:pPr>
        <w:pStyle w:val="6"/>
        <w:spacing w:line="364" w:lineRule="auto"/>
        <w:ind w:left="658" w:right="691" w:firstLine="480"/>
        <w:jc w:val="both"/>
      </w:pPr>
      <w:r>
        <w:t>按照《黑龙江省人民政府关于印发</w:t>
      </w:r>
      <w:r>
        <w:rPr>
          <w:rFonts w:ascii="Times New Roman" w:eastAsia="Times New Roman"/>
        </w:rPr>
        <w:t>&lt;</w:t>
      </w:r>
      <w:r>
        <w:t>黑龙江省煤炭行业淘汰落后产能化解过剩产能专项整治工作方案</w:t>
      </w:r>
      <w:r>
        <w:rPr>
          <w:rFonts w:ascii="Times New Roman" w:eastAsia="Times New Roman"/>
        </w:rPr>
        <w:t>&gt;</w:t>
      </w:r>
      <w:r>
        <w:t>的通知》（黑政规〔</w:t>
      </w:r>
      <w:r>
        <w:rPr>
          <w:rFonts w:ascii="Times New Roman" w:eastAsia="Times New Roman"/>
        </w:rPr>
        <w:t>2018</w:t>
      </w:r>
      <w:r>
        <w:t>〕</w:t>
      </w:r>
      <w:r>
        <w:rPr>
          <w:rFonts w:ascii="Times New Roman" w:eastAsia="Times New Roman"/>
        </w:rPr>
        <w:t>13</w:t>
      </w:r>
      <w:r>
        <w:t>号）文件及双鸭山市煤炭生产安全管</w:t>
      </w:r>
      <w:r>
        <w:rPr>
          <w:spacing w:val="-9"/>
        </w:rPr>
        <w:t>理局《双鸭山市煤炭生产安全管理局关于组织上报淘汰落后产能化解过剩产能保留煤矿</w:t>
      </w:r>
      <w:r>
        <w:t>项目方案的通知》（双煤发〔</w:t>
      </w:r>
      <w:r>
        <w:rPr>
          <w:rFonts w:ascii="Times New Roman" w:eastAsia="Times New Roman"/>
        </w:rPr>
        <w:t>2018</w:t>
      </w:r>
      <w:r>
        <w:t>〕</w:t>
      </w:r>
      <w:r>
        <w:rPr>
          <w:rFonts w:ascii="Times New Roman" w:eastAsia="Times New Roman"/>
        </w:rPr>
        <w:t>124</w:t>
      </w:r>
      <w:r>
        <w:t>号）等有关文件的精神，双鸭山大顺矿业有限公司对本矿井原矿界进行了扩层扩界，同时将矿井原有的设计生产能力由</w:t>
      </w:r>
      <w:r>
        <w:rPr>
          <w:rFonts w:ascii="Times New Roman" w:eastAsia="Times New Roman"/>
        </w:rPr>
        <w:t>4</w:t>
      </w:r>
      <w:r>
        <w:t>万</w:t>
      </w:r>
      <w:r>
        <w:rPr>
          <w:rFonts w:ascii="Times New Roman" w:eastAsia="Times New Roman"/>
        </w:rPr>
        <w:t>t/a</w:t>
      </w:r>
      <w:r>
        <w:t>提升到</w:t>
      </w:r>
      <w:r>
        <w:rPr>
          <w:rFonts w:ascii="Times New Roman" w:eastAsia="Times New Roman"/>
        </w:rPr>
        <w:t>30</w:t>
      </w:r>
      <w:r>
        <w:t>万</w:t>
      </w:r>
      <w:r>
        <w:rPr>
          <w:rFonts w:ascii="Times New Roman" w:eastAsia="Times New Roman"/>
          <w:spacing w:val="-7"/>
        </w:rPr>
        <w:t>t/a</w:t>
      </w:r>
      <w:r>
        <w:rPr>
          <w:spacing w:val="-3"/>
        </w:rPr>
        <w:t>，矿井服务年限</w:t>
      </w:r>
      <w:r>
        <w:rPr>
          <w:rFonts w:ascii="Times New Roman" w:eastAsia="Times New Roman"/>
        </w:rPr>
        <w:t>15.4a</w:t>
      </w:r>
      <w:r>
        <w:rPr>
          <w:spacing w:val="-9"/>
        </w:rPr>
        <w:t>。矿井改扩建后服务年限满足《煤炭工业矿井设计规范》中</w:t>
      </w:r>
      <w:r>
        <w:t>关于改扩建矿井服务年限的规定。项目总投资</w:t>
      </w:r>
      <w:r>
        <w:rPr>
          <w:rFonts w:ascii="Times New Roman" w:eastAsia="Times New Roman"/>
        </w:rPr>
        <w:t>6755.07</w:t>
      </w:r>
      <w:r>
        <w:t>万元。</w:t>
      </w:r>
    </w:p>
    <w:p>
      <w:pPr>
        <w:pStyle w:val="6"/>
        <w:spacing w:line="364" w:lineRule="auto"/>
        <w:ind w:left="658" w:right="697" w:firstLine="480"/>
        <w:jc w:val="both"/>
      </w:pPr>
      <w:r>
        <w:rPr>
          <w:spacing w:val="-8"/>
        </w:rPr>
        <w:t xml:space="preserve">根据《中华人民共和国环境保护法》和国务院第 </w:t>
      </w:r>
      <w:r>
        <w:rPr>
          <w:rFonts w:ascii="Times New Roman" w:eastAsia="Times New Roman"/>
        </w:rPr>
        <w:t xml:space="preserve">253 </w:t>
      </w:r>
      <w:r>
        <w:rPr>
          <w:spacing w:val="-6"/>
        </w:rPr>
        <w:t>号令《建设项目环境保护管理</w:t>
      </w:r>
      <w:r>
        <w:rPr>
          <w:spacing w:val="-8"/>
        </w:rPr>
        <w:t>条例》中有关规定，受双鸭山大顺矿业有限公司的委托，黑龙江科大欣欣环保科技有限</w:t>
      </w:r>
      <w:r>
        <w:rPr>
          <w:spacing w:val="-3"/>
        </w:rPr>
        <w:t>公司承担了双鸭山大顺矿业有限公司改扩建项目的环境影响评价工作。接受委托后，评</w:t>
      </w:r>
      <w:r>
        <w:rPr>
          <w:spacing w:val="-5"/>
        </w:rPr>
        <w:t>价单位组成了课题组，课题组评价人员对现场进行了实地踏查并收集了相关资料，经工</w:t>
      </w:r>
      <w:r>
        <w:rPr>
          <w:spacing w:val="-7"/>
        </w:rPr>
        <w:t>程分析、环境影响识别等工作，按照环境影响评价导则以及国家、地方的有关环境保护</w:t>
      </w:r>
      <w:r>
        <w:t>法律、法规的规定，制定了环境影响评价工作方案。</w:t>
      </w:r>
    </w:p>
    <w:p>
      <w:pPr>
        <w:pStyle w:val="6"/>
        <w:spacing w:line="364" w:lineRule="auto"/>
        <w:ind w:left="658" w:right="645" w:firstLine="480"/>
        <w:jc w:val="both"/>
      </w:pPr>
      <w:r>
        <w:t>根据环境影响评价工作方案确定的工作内容，评价单位进行了公众参与以及污染源调查。课题组经过资料整理、模式计算及统计分析，编制出该工程的环境影响报告书， 现提交主管部门及与会专家审查。</w:t>
      </w:r>
    </w:p>
    <w:p>
      <w:pPr>
        <w:pStyle w:val="6"/>
        <w:spacing w:line="307" w:lineRule="exact"/>
        <w:ind w:left="1138"/>
      </w:pPr>
      <w:r>
        <w:t>在报告书编制过程中，</w:t>
      </w:r>
      <w:r>
        <w:fldChar w:fldCharType="begin"/>
      </w:r>
      <w:r>
        <w:instrText xml:space="preserve"> HYPERLINK "https://www.bidcenter.com.cn/newssearchyz-66418654.html" \h </w:instrText>
      </w:r>
      <w:r>
        <w:fldChar w:fldCharType="separate"/>
      </w:r>
      <w:r>
        <w:t>得到了双鸭山市生态环境局</w:t>
      </w:r>
      <w:r>
        <w:fldChar w:fldCharType="end"/>
      </w:r>
      <w:r>
        <w:t>等单位的热情支持和指导，以及</w:t>
      </w:r>
    </w:p>
    <w:p>
      <w:pPr>
        <w:spacing w:after="0" w:line="307" w:lineRule="exact"/>
        <w:sectPr>
          <w:type w:val="continuous"/>
          <w:pgSz w:w="11910" w:h="16840"/>
          <w:pgMar w:top="1580" w:right="720" w:bottom="280" w:left="760" w:header="720" w:footer="720" w:gutter="0"/>
        </w:sectPr>
      </w:pPr>
    </w:p>
    <w:p>
      <w:pPr>
        <w:pStyle w:val="6"/>
        <w:spacing w:before="41"/>
        <w:ind w:left="658"/>
      </w:pPr>
      <w:r>
        <w:t>建设单位双鸭山大顺矿业有限公司的积极协助与支持，在此一并表示感谢。</w:t>
      </w:r>
    </w:p>
    <w:p>
      <w:pPr>
        <w:pStyle w:val="3"/>
        <w:numPr>
          <w:ilvl w:val="1"/>
          <w:numId w:val="4"/>
        </w:numPr>
        <w:tabs>
          <w:tab w:val="left" w:pos="1108"/>
        </w:tabs>
        <w:spacing w:before="161" w:after="0" w:line="240" w:lineRule="auto"/>
        <w:ind w:left="1107" w:right="0" w:hanging="450"/>
        <w:jc w:val="left"/>
      </w:pPr>
      <w:bookmarkStart w:id="6" w:name="_bookmark2"/>
      <w:bookmarkEnd w:id="6"/>
      <w:bookmarkStart w:id="7" w:name="_bookmark2"/>
      <w:bookmarkEnd w:id="7"/>
      <w:bookmarkStart w:id="8" w:name="1.2建设项目特点"/>
      <w:bookmarkEnd w:id="8"/>
      <w:r>
        <w:t>建设项目特点</w:t>
      </w:r>
    </w:p>
    <w:p>
      <w:pPr>
        <w:pStyle w:val="6"/>
        <w:spacing w:before="198" w:line="362" w:lineRule="auto"/>
        <w:ind w:left="658" w:right="511" w:firstLine="480"/>
      </w:pPr>
      <w:r>
        <w:t xml:space="preserve">项目选址位于双鸭山矿业集团岭东煤矿南 </w:t>
      </w:r>
      <w:r>
        <w:rPr>
          <w:rFonts w:ascii="Times New Roman" w:eastAsia="Times New Roman"/>
        </w:rPr>
        <w:t xml:space="preserve">7km </w:t>
      </w:r>
      <w:r>
        <w:t xml:space="preserve">处，在双鸭山市司法局劳教所东部， 改扩建后矿井生产能力为 </w:t>
      </w:r>
      <w:r>
        <w:rPr>
          <w:rFonts w:ascii="Times New Roman" w:eastAsia="Times New Roman"/>
        </w:rPr>
        <w:t xml:space="preserve">30 </w:t>
      </w:r>
      <w:r>
        <w:t xml:space="preserve">万 </w:t>
      </w:r>
      <w:r>
        <w:rPr>
          <w:rFonts w:ascii="Times New Roman" w:eastAsia="Times New Roman"/>
        </w:rPr>
        <w:t>t/a</w:t>
      </w:r>
      <w:r>
        <w:t>。</w:t>
      </w:r>
    </w:p>
    <w:p>
      <w:pPr>
        <w:pStyle w:val="13"/>
        <w:numPr>
          <w:ilvl w:val="2"/>
          <w:numId w:val="4"/>
        </w:numPr>
        <w:tabs>
          <w:tab w:val="left" w:pos="1744"/>
        </w:tabs>
        <w:spacing w:before="5" w:after="0" w:line="362" w:lineRule="auto"/>
        <w:ind w:left="658" w:right="696" w:firstLine="480"/>
        <w:jc w:val="left"/>
        <w:rPr>
          <w:sz w:val="24"/>
        </w:rPr>
      </w:pPr>
      <w:r>
        <w:rPr>
          <w:sz w:val="24"/>
        </w:rPr>
        <w:t>本项目属于煤矿改扩建项目，采用井工开采，井田境界外围不存在生态恢复问题。</w:t>
      </w:r>
    </w:p>
    <w:p>
      <w:pPr>
        <w:pStyle w:val="13"/>
        <w:numPr>
          <w:ilvl w:val="2"/>
          <w:numId w:val="4"/>
        </w:numPr>
        <w:tabs>
          <w:tab w:val="left" w:pos="1744"/>
        </w:tabs>
        <w:spacing w:before="5" w:after="0" w:line="364" w:lineRule="auto"/>
        <w:ind w:left="658" w:right="697" w:firstLine="480"/>
        <w:jc w:val="both"/>
        <w:rPr>
          <w:sz w:val="24"/>
        </w:rPr>
      </w:pPr>
      <w:r>
        <w:rPr>
          <w:sz w:val="24"/>
        </w:rPr>
        <w:t>本项目原煤经仓下给煤机、主斜井提升带式输送机提出的原煤在筛分拣矸车</w:t>
      </w:r>
      <w:r>
        <w:rPr>
          <w:spacing w:val="-8"/>
          <w:sz w:val="24"/>
        </w:rPr>
        <w:t>间筛分，经筛分后分别由块煤带式输送机、中块煤带式输送机、末煤带式输送机，运输</w:t>
      </w:r>
      <w:r>
        <w:rPr>
          <w:sz w:val="24"/>
        </w:rPr>
        <w:t>至存煤场地装车外运。电子汽车衡计量，汽车公路外运销售。</w:t>
      </w:r>
    </w:p>
    <w:p>
      <w:pPr>
        <w:pStyle w:val="13"/>
        <w:numPr>
          <w:ilvl w:val="2"/>
          <w:numId w:val="4"/>
        </w:numPr>
        <w:tabs>
          <w:tab w:val="left" w:pos="1744"/>
        </w:tabs>
        <w:spacing w:before="0" w:after="0" w:line="364" w:lineRule="auto"/>
        <w:ind w:left="658" w:right="577" w:firstLine="480"/>
        <w:jc w:val="left"/>
        <w:rPr>
          <w:sz w:val="24"/>
        </w:rPr>
      </w:pPr>
      <w:r>
        <w:rPr>
          <w:sz w:val="24"/>
        </w:rPr>
        <w:t>矿井建设期，矸石全部用于工业场地和场外道路路基的填筑料。矿井生产期</w:t>
      </w:r>
      <w:r>
        <w:rPr>
          <w:spacing w:val="-15"/>
          <w:sz w:val="24"/>
        </w:rPr>
        <w:t xml:space="preserve">不设矸石山，井下矸石及时运出，只有小部分存在矸石场地。矿井排放的矸石热值很小， </w:t>
      </w:r>
      <w:r>
        <w:rPr>
          <w:spacing w:val="-4"/>
          <w:sz w:val="24"/>
        </w:rPr>
        <w:t>作为能源可利用价值很小，但可以用来平整工业场地；用作公路的路基石料；用于填沟造地。</w:t>
      </w:r>
    </w:p>
    <w:p>
      <w:pPr>
        <w:pStyle w:val="13"/>
        <w:numPr>
          <w:ilvl w:val="2"/>
          <w:numId w:val="4"/>
        </w:numPr>
        <w:tabs>
          <w:tab w:val="left" w:pos="1740"/>
        </w:tabs>
        <w:spacing w:before="0" w:after="0" w:line="240" w:lineRule="auto"/>
        <w:ind w:left="1739" w:right="0" w:hanging="602"/>
        <w:jc w:val="left"/>
        <w:rPr>
          <w:sz w:val="24"/>
        </w:rPr>
      </w:pPr>
      <w:r>
        <w:rPr>
          <w:sz w:val="24"/>
        </w:rPr>
        <w:t>项目开采范围内无居民分布，不涉及居民搬迁。</w:t>
      </w:r>
    </w:p>
    <w:p>
      <w:pPr>
        <w:pStyle w:val="13"/>
        <w:numPr>
          <w:ilvl w:val="2"/>
          <w:numId w:val="4"/>
        </w:numPr>
        <w:tabs>
          <w:tab w:val="left" w:pos="1740"/>
        </w:tabs>
        <w:spacing w:before="155" w:after="0" w:line="362" w:lineRule="auto"/>
        <w:ind w:left="658" w:right="568" w:firstLine="480"/>
        <w:jc w:val="left"/>
        <w:rPr>
          <w:sz w:val="24"/>
        </w:rPr>
      </w:pPr>
      <w:r>
        <w:rPr>
          <w:spacing w:val="-2"/>
          <w:sz w:val="24"/>
        </w:rPr>
        <w:t>本项目供热锅炉采用生物质热水锅炉，产生的废气经布袋除尘器处理后排放，</w:t>
      </w:r>
      <w:r>
        <w:rPr>
          <w:spacing w:val="-12"/>
          <w:position w:val="2"/>
          <w:sz w:val="24"/>
        </w:rPr>
        <w:t>排放浓度满足《锅炉大气污染物排放标准</w:t>
      </w:r>
      <w:r>
        <w:rPr>
          <w:spacing w:val="-238"/>
          <w:position w:val="2"/>
          <w:sz w:val="24"/>
        </w:rPr>
        <w:t>》</w:t>
      </w:r>
      <w:r>
        <w:rPr>
          <w:spacing w:val="-3"/>
          <w:position w:val="2"/>
          <w:sz w:val="24"/>
        </w:rPr>
        <w:t>（</w:t>
      </w:r>
      <w:r>
        <w:rPr>
          <w:rFonts w:ascii="Times New Roman" w:eastAsia="Times New Roman"/>
          <w:spacing w:val="-1"/>
          <w:position w:val="2"/>
          <w:sz w:val="24"/>
        </w:rPr>
        <w:t>G</w:t>
      </w:r>
      <w:r>
        <w:rPr>
          <w:rFonts w:ascii="Times New Roman" w:eastAsia="Times New Roman"/>
          <w:spacing w:val="-2"/>
          <w:position w:val="2"/>
          <w:sz w:val="24"/>
        </w:rPr>
        <w:t>B</w:t>
      </w:r>
      <w:r>
        <w:rPr>
          <w:rFonts w:ascii="Times New Roman" w:eastAsia="Times New Roman"/>
          <w:position w:val="2"/>
          <w:sz w:val="24"/>
        </w:rPr>
        <w:t>13271</w:t>
      </w:r>
      <w:r>
        <w:rPr>
          <w:rFonts w:ascii="Times New Roman" w:eastAsia="Times New Roman"/>
          <w:spacing w:val="1"/>
          <w:position w:val="2"/>
          <w:sz w:val="24"/>
        </w:rPr>
        <w:t>-</w:t>
      </w:r>
      <w:r>
        <w:rPr>
          <w:rFonts w:ascii="Times New Roman" w:eastAsia="Times New Roman"/>
          <w:position w:val="2"/>
          <w:sz w:val="24"/>
        </w:rPr>
        <w:t>2014</w:t>
      </w:r>
      <w:r>
        <w:rPr>
          <w:spacing w:val="-120"/>
          <w:position w:val="2"/>
          <w:sz w:val="24"/>
        </w:rPr>
        <w:t>）</w:t>
      </w:r>
      <w:r>
        <w:rPr>
          <w:spacing w:val="19"/>
          <w:position w:val="2"/>
          <w:sz w:val="24"/>
        </w:rPr>
        <w:t>烟尘</w:t>
      </w:r>
      <w:r>
        <w:rPr>
          <w:rFonts w:ascii="Times New Roman" w:eastAsia="Times New Roman"/>
          <w:position w:val="2"/>
          <w:sz w:val="24"/>
        </w:rPr>
        <w:t>50m</w:t>
      </w:r>
      <w:r>
        <w:rPr>
          <w:rFonts w:ascii="Times New Roman" w:eastAsia="Times New Roman"/>
          <w:spacing w:val="-3"/>
          <w:position w:val="2"/>
          <w:sz w:val="24"/>
        </w:rPr>
        <w:t>g</w:t>
      </w:r>
      <w:r>
        <w:rPr>
          <w:rFonts w:ascii="Times New Roman" w:eastAsia="Times New Roman"/>
          <w:position w:val="2"/>
          <w:sz w:val="24"/>
        </w:rPr>
        <w:t>/</w:t>
      </w:r>
      <w:r>
        <w:rPr>
          <w:rFonts w:ascii="Times New Roman" w:eastAsia="Times New Roman"/>
          <w:spacing w:val="2"/>
          <w:position w:val="2"/>
          <w:sz w:val="24"/>
        </w:rPr>
        <w:t>m</w:t>
      </w:r>
      <w:r>
        <w:rPr>
          <w:rFonts w:ascii="Times New Roman" w:eastAsia="Times New Roman"/>
          <w:spacing w:val="-2"/>
          <w:w w:val="103"/>
          <w:position w:val="2"/>
          <w:sz w:val="24"/>
          <w:vertAlign w:val="superscript"/>
        </w:rPr>
        <w:t>3</w:t>
      </w:r>
      <w:r>
        <w:rPr>
          <w:spacing w:val="-120"/>
          <w:position w:val="2"/>
          <w:sz w:val="24"/>
          <w:vertAlign w:val="baseline"/>
        </w:rPr>
        <w:t>、</w:t>
      </w:r>
      <w:r>
        <w:rPr>
          <w:rFonts w:ascii="Times New Roman" w:eastAsia="Times New Roman"/>
          <w:position w:val="2"/>
          <w:sz w:val="24"/>
          <w:vertAlign w:val="baseline"/>
        </w:rPr>
        <w:t>S</w:t>
      </w:r>
      <w:r>
        <w:rPr>
          <w:rFonts w:ascii="Times New Roman" w:eastAsia="Times New Roman"/>
          <w:spacing w:val="-1"/>
          <w:position w:val="2"/>
          <w:sz w:val="24"/>
          <w:vertAlign w:val="baseline"/>
        </w:rPr>
        <w:t>O</w:t>
      </w:r>
      <w:r>
        <w:rPr>
          <w:rFonts w:ascii="Times New Roman" w:eastAsia="Times New Roman"/>
          <w:spacing w:val="-2"/>
          <w:w w:val="103"/>
          <w:position w:val="2"/>
          <w:sz w:val="24"/>
          <w:vertAlign w:val="subscript"/>
        </w:rPr>
        <w:t>2</w:t>
      </w:r>
      <w:r>
        <w:rPr>
          <w:rFonts w:ascii="Times New Roman" w:eastAsia="Times New Roman"/>
          <w:position w:val="2"/>
          <w:sz w:val="24"/>
          <w:vertAlign w:val="baseline"/>
        </w:rPr>
        <w:t>300m</w:t>
      </w:r>
      <w:r>
        <w:rPr>
          <w:rFonts w:ascii="Times New Roman" w:eastAsia="Times New Roman"/>
          <w:spacing w:val="-3"/>
          <w:position w:val="2"/>
          <w:sz w:val="24"/>
          <w:vertAlign w:val="baseline"/>
        </w:rPr>
        <w:t>g</w:t>
      </w:r>
      <w:r>
        <w:rPr>
          <w:rFonts w:ascii="Times New Roman" w:eastAsia="Times New Roman"/>
          <w:position w:val="2"/>
          <w:sz w:val="24"/>
          <w:vertAlign w:val="baseline"/>
        </w:rPr>
        <w:t>/</w:t>
      </w:r>
      <w:r>
        <w:rPr>
          <w:rFonts w:ascii="Times New Roman" w:eastAsia="Times New Roman"/>
          <w:spacing w:val="2"/>
          <w:position w:val="2"/>
          <w:sz w:val="24"/>
          <w:vertAlign w:val="baseline"/>
        </w:rPr>
        <w:t>m</w:t>
      </w:r>
      <w:r>
        <w:rPr>
          <w:rFonts w:ascii="Times New Roman" w:eastAsia="Times New Roman"/>
          <w:spacing w:val="-2"/>
          <w:w w:val="103"/>
          <w:position w:val="2"/>
          <w:sz w:val="24"/>
          <w:vertAlign w:val="superscript"/>
        </w:rPr>
        <w:t>3</w:t>
      </w:r>
      <w:r>
        <w:rPr>
          <w:spacing w:val="-4"/>
          <w:position w:val="2"/>
          <w:sz w:val="24"/>
          <w:vertAlign w:val="baseline"/>
        </w:rPr>
        <w:t xml:space="preserve">、 </w:t>
      </w:r>
      <w:r>
        <w:rPr>
          <w:rFonts w:ascii="Times New Roman" w:eastAsia="Times New Roman"/>
          <w:position w:val="2"/>
          <w:sz w:val="24"/>
          <w:vertAlign w:val="baseline"/>
        </w:rPr>
        <w:t>NO</w:t>
      </w:r>
      <w:r>
        <w:rPr>
          <w:rFonts w:ascii="Times New Roman" w:eastAsia="Times New Roman"/>
          <w:position w:val="2"/>
          <w:sz w:val="24"/>
          <w:vertAlign w:val="subscript"/>
        </w:rPr>
        <w:t>x</w:t>
      </w:r>
      <w:r>
        <w:rPr>
          <w:rFonts w:ascii="Times New Roman" w:eastAsia="Times New Roman"/>
          <w:position w:val="2"/>
          <w:sz w:val="24"/>
          <w:vertAlign w:val="baseline"/>
        </w:rPr>
        <w:t>300mg/m</w:t>
      </w:r>
      <w:r>
        <w:rPr>
          <w:rFonts w:ascii="Times New Roman" w:eastAsia="Times New Roman"/>
          <w:position w:val="2"/>
          <w:sz w:val="24"/>
          <w:vertAlign w:val="superscript"/>
        </w:rPr>
        <w:t>3</w:t>
      </w:r>
      <w:r>
        <w:rPr>
          <w:rFonts w:ascii="Times New Roman" w:eastAsia="Times New Roman"/>
          <w:spacing w:val="-22"/>
          <w:position w:val="2"/>
          <w:sz w:val="24"/>
          <w:vertAlign w:val="baseline"/>
        </w:rPr>
        <w:t xml:space="preserve"> </w:t>
      </w:r>
      <w:r>
        <w:rPr>
          <w:spacing w:val="-7"/>
          <w:position w:val="2"/>
          <w:sz w:val="24"/>
          <w:vertAlign w:val="baseline"/>
        </w:rPr>
        <w:t>的标准限值要求。井筒加热采用热风炉，产生的废气经布袋除尘器处理后</w:t>
      </w:r>
      <w:r>
        <w:rPr>
          <w:spacing w:val="-7"/>
          <w:sz w:val="24"/>
          <w:vertAlign w:val="baseline"/>
        </w:rPr>
        <w:t>排放，热风炉污染物排放浓度满足《工业炉窑大气污染物排放</w:t>
      </w:r>
      <w:r>
        <w:rPr>
          <w:spacing w:val="2"/>
          <w:sz w:val="21"/>
          <w:vertAlign w:val="baseline"/>
        </w:rPr>
        <w:t>标准</w:t>
      </w:r>
      <w:r>
        <w:rPr>
          <w:sz w:val="24"/>
          <w:vertAlign w:val="baseline"/>
        </w:rPr>
        <w:t>》（</w:t>
      </w:r>
      <w:r>
        <w:rPr>
          <w:rFonts w:ascii="Times New Roman" w:eastAsia="Times New Roman"/>
          <w:sz w:val="24"/>
          <w:vertAlign w:val="baseline"/>
        </w:rPr>
        <w:t>GB9078-1996</w:t>
      </w:r>
      <w:r>
        <w:rPr>
          <w:sz w:val="24"/>
          <w:vertAlign w:val="baseline"/>
        </w:rPr>
        <w:t>）</w:t>
      </w:r>
      <w:r>
        <w:rPr>
          <w:spacing w:val="-20"/>
          <w:position w:val="2"/>
          <w:sz w:val="24"/>
          <w:vertAlign w:val="baseline"/>
        </w:rPr>
        <w:t xml:space="preserve">中表 </w:t>
      </w:r>
      <w:r>
        <w:rPr>
          <w:rFonts w:ascii="Times New Roman" w:eastAsia="Times New Roman"/>
          <w:position w:val="2"/>
          <w:sz w:val="24"/>
          <w:vertAlign w:val="baseline"/>
        </w:rPr>
        <w:t xml:space="preserve">2 </w:t>
      </w:r>
      <w:r>
        <w:rPr>
          <w:spacing w:val="-20"/>
          <w:position w:val="2"/>
          <w:sz w:val="24"/>
          <w:vertAlign w:val="baseline"/>
        </w:rPr>
        <w:t xml:space="preserve">及表 </w:t>
      </w:r>
      <w:r>
        <w:rPr>
          <w:rFonts w:ascii="Times New Roman" w:eastAsia="Times New Roman"/>
          <w:position w:val="2"/>
          <w:sz w:val="24"/>
          <w:vertAlign w:val="baseline"/>
        </w:rPr>
        <w:t xml:space="preserve">4 </w:t>
      </w:r>
      <w:r>
        <w:rPr>
          <w:spacing w:val="-15"/>
          <w:position w:val="2"/>
          <w:sz w:val="24"/>
          <w:vertAlign w:val="baseline"/>
        </w:rPr>
        <w:t xml:space="preserve">中烟尘 </w:t>
      </w:r>
      <w:r>
        <w:rPr>
          <w:rFonts w:ascii="Times New Roman" w:eastAsia="Times New Roman"/>
          <w:position w:val="2"/>
          <w:sz w:val="24"/>
          <w:vertAlign w:val="baseline"/>
        </w:rPr>
        <w:t>200mg/m</w:t>
      </w:r>
      <w:r>
        <w:rPr>
          <w:rFonts w:ascii="Times New Roman" w:eastAsia="Times New Roman"/>
          <w:position w:val="2"/>
          <w:sz w:val="24"/>
          <w:vertAlign w:val="superscript"/>
        </w:rPr>
        <w:t>3</w:t>
      </w:r>
      <w:r>
        <w:rPr>
          <w:position w:val="2"/>
          <w:sz w:val="24"/>
          <w:vertAlign w:val="baseline"/>
        </w:rPr>
        <w:t>、</w:t>
      </w:r>
      <w:r>
        <w:rPr>
          <w:rFonts w:ascii="Times New Roman" w:eastAsia="Times New Roman"/>
          <w:position w:val="2"/>
          <w:sz w:val="24"/>
          <w:vertAlign w:val="baseline"/>
        </w:rPr>
        <w:t>SO</w:t>
      </w:r>
      <w:r>
        <w:rPr>
          <w:rFonts w:ascii="Times New Roman" w:eastAsia="Times New Roman"/>
          <w:position w:val="2"/>
          <w:sz w:val="24"/>
          <w:vertAlign w:val="subscript"/>
        </w:rPr>
        <w:t>2</w:t>
      </w:r>
      <w:r>
        <w:rPr>
          <w:rFonts w:ascii="Times New Roman" w:eastAsia="Times New Roman"/>
          <w:position w:val="2"/>
          <w:sz w:val="24"/>
          <w:vertAlign w:val="baseline"/>
        </w:rPr>
        <w:t>850mg/m</w:t>
      </w:r>
      <w:r>
        <w:rPr>
          <w:rFonts w:ascii="Times New Roman" w:eastAsia="Times New Roman"/>
          <w:position w:val="2"/>
          <w:sz w:val="24"/>
          <w:vertAlign w:val="superscript"/>
        </w:rPr>
        <w:t>3</w:t>
      </w:r>
      <w:r>
        <w:rPr>
          <w:rFonts w:ascii="Times New Roman" w:eastAsia="Times New Roman"/>
          <w:spacing w:val="-23"/>
          <w:position w:val="2"/>
          <w:sz w:val="24"/>
          <w:vertAlign w:val="baseline"/>
        </w:rPr>
        <w:t xml:space="preserve"> </w:t>
      </w:r>
      <w:r>
        <w:rPr>
          <w:position w:val="2"/>
          <w:sz w:val="24"/>
          <w:vertAlign w:val="baseline"/>
        </w:rPr>
        <w:t>的标准限值要求。</w:t>
      </w:r>
    </w:p>
    <w:p>
      <w:pPr>
        <w:pStyle w:val="13"/>
        <w:numPr>
          <w:ilvl w:val="2"/>
          <w:numId w:val="4"/>
        </w:numPr>
        <w:tabs>
          <w:tab w:val="left" w:pos="1740"/>
        </w:tabs>
        <w:spacing w:before="1" w:after="0" w:line="364" w:lineRule="auto"/>
        <w:ind w:left="658" w:right="577" w:firstLine="480"/>
        <w:jc w:val="left"/>
        <w:rPr>
          <w:sz w:val="24"/>
        </w:rPr>
      </w:pPr>
      <w:r>
        <w:rPr>
          <w:spacing w:val="-3"/>
          <w:sz w:val="24"/>
        </w:rPr>
        <w:t>矿井井下排水经过污水处理站处理后，部分回用于井下生产用水、洗浴用水、洗衣用水和锅炉补水等非饮用生活用水，部分外排，排水水质满足《煤炭工业污染物排放标准》（</w:t>
      </w:r>
      <w:r>
        <w:rPr>
          <w:rFonts w:ascii="Times New Roman" w:eastAsia="Times New Roman"/>
          <w:spacing w:val="-3"/>
          <w:sz w:val="24"/>
        </w:rPr>
        <w:t>GB20426-2006</w:t>
      </w:r>
      <w:r>
        <w:rPr>
          <w:spacing w:val="-3"/>
          <w:sz w:val="24"/>
        </w:rPr>
        <w:t>）</w:t>
      </w:r>
      <w:r>
        <w:rPr>
          <w:spacing w:val="-22"/>
          <w:sz w:val="24"/>
        </w:rPr>
        <w:t xml:space="preserve">中表 </w:t>
      </w:r>
      <w:r>
        <w:rPr>
          <w:rFonts w:ascii="Times New Roman" w:eastAsia="Times New Roman"/>
          <w:sz w:val="24"/>
        </w:rPr>
        <w:t xml:space="preserve">2 </w:t>
      </w:r>
      <w:r>
        <w:rPr>
          <w:sz w:val="24"/>
        </w:rPr>
        <w:t>采煤废水污染物排放限值及《地表水环境质量标准》</w:t>
      </w:r>
    </w:p>
    <w:p>
      <w:pPr>
        <w:pStyle w:val="6"/>
        <w:spacing w:line="304" w:lineRule="exact"/>
        <w:ind w:left="658"/>
      </w:pPr>
      <w:r>
        <w:t>（</w:t>
      </w:r>
      <w:r>
        <w:rPr>
          <w:rFonts w:ascii="Times New Roman" w:hAnsi="Times New Roman" w:eastAsia="Times New Roman"/>
        </w:rPr>
        <w:t>GB3838-2002</w:t>
      </w:r>
      <w:r>
        <w:t>）中Ⅲ类标准限值。</w:t>
      </w:r>
    </w:p>
    <w:p>
      <w:pPr>
        <w:pStyle w:val="6"/>
        <w:spacing w:before="160" w:line="364" w:lineRule="auto"/>
        <w:ind w:left="658" w:right="645" w:firstLine="480"/>
        <w:jc w:val="both"/>
      </w:pPr>
      <w:r>
        <w:rPr>
          <w:spacing w:val="-2"/>
        </w:rPr>
        <w:t>本项目对环境产生的主要影响为营运期产生的废气对大气环境的影响，经分析，本</w:t>
      </w:r>
      <w:r>
        <w:rPr>
          <w:spacing w:val="-3"/>
        </w:rPr>
        <w:t xml:space="preserve">项目产生的废气均能得到有效治理并实现达标排放；产生的污废水经处理后部分回用， </w:t>
      </w:r>
      <w:r>
        <w:rPr>
          <w:spacing w:val="-6"/>
        </w:rPr>
        <w:t>部分外排；产生的固体废物均得到妥善处置；噪声源均经过有效的降噪措施，可以实现达标排放。</w:t>
      </w:r>
    </w:p>
    <w:p>
      <w:pPr>
        <w:pStyle w:val="3"/>
        <w:numPr>
          <w:ilvl w:val="1"/>
          <w:numId w:val="4"/>
        </w:numPr>
        <w:tabs>
          <w:tab w:val="left" w:pos="1108"/>
        </w:tabs>
        <w:spacing w:before="0" w:after="0" w:line="382" w:lineRule="exact"/>
        <w:ind w:left="1107" w:right="0" w:hanging="450"/>
        <w:jc w:val="left"/>
      </w:pPr>
      <w:bookmarkStart w:id="9" w:name="1.3环境影响评价工作过程"/>
      <w:bookmarkEnd w:id="9"/>
      <w:bookmarkStart w:id="10" w:name="_bookmark3"/>
      <w:bookmarkEnd w:id="10"/>
      <w:bookmarkStart w:id="11" w:name="_bookmark3"/>
      <w:bookmarkEnd w:id="11"/>
      <w:r>
        <w:t>环境影响评价工作过程</w:t>
      </w:r>
    </w:p>
    <w:p>
      <w:pPr>
        <w:pStyle w:val="6"/>
        <w:spacing w:before="199"/>
        <w:ind w:left="1138"/>
      </w:pPr>
      <w:r>
        <w:t>根据《中华人民共和国环境保护法》、《中华人民共和国环境影响评价法》及国务</w:t>
      </w:r>
    </w:p>
    <w:p>
      <w:pPr>
        <w:spacing w:after="0"/>
        <w:sectPr>
          <w:pgSz w:w="11910" w:h="16840"/>
          <w:pgMar w:top="1360" w:right="720" w:bottom="1160" w:left="760" w:header="0" w:footer="975" w:gutter="0"/>
        </w:sectPr>
      </w:pPr>
    </w:p>
    <w:p>
      <w:pPr>
        <w:pStyle w:val="6"/>
        <w:spacing w:before="61" w:line="364" w:lineRule="auto"/>
        <w:ind w:left="658" w:right="465"/>
      </w:pPr>
      <w:r>
        <w:rPr>
          <w:spacing w:val="-15"/>
        </w:rPr>
        <w:t xml:space="preserve">院令第 </w:t>
      </w:r>
      <w:r>
        <w:rPr>
          <w:rFonts w:ascii="Times New Roman" w:eastAsia="Times New Roman"/>
        </w:rPr>
        <w:t xml:space="preserve">682 </w:t>
      </w:r>
      <w:r>
        <w:rPr>
          <w:spacing w:val="-6"/>
        </w:rPr>
        <w:t>号《建设项目环境保护管理条例》等有关规定，双鸭山大顺矿业有限公司委</w:t>
      </w:r>
      <w:r>
        <w:rPr>
          <w:spacing w:val="-8"/>
        </w:rPr>
        <w:t>托黑龙江科大欣欣环保科技有限公司开展本项目的环境影响评价工作，根据《建设项目</w:t>
      </w:r>
      <w:r>
        <w:rPr>
          <w:spacing w:val="-13"/>
        </w:rPr>
        <w:t>环境影响评价分类管理名录》</w:t>
      </w:r>
      <w:r>
        <w:t>（</w:t>
      </w:r>
      <w:r>
        <w:rPr>
          <w:spacing w:val="-10"/>
        </w:rPr>
        <w:t xml:space="preserve">生态环境部 </w:t>
      </w:r>
      <w:r>
        <w:rPr>
          <w:rFonts w:ascii="Times New Roman" w:eastAsia="Times New Roman"/>
        </w:rPr>
        <w:t xml:space="preserve">2018 </w:t>
      </w:r>
      <w:r>
        <w:rPr>
          <w:spacing w:val="-20"/>
        </w:rPr>
        <w:t xml:space="preserve">年第 </w:t>
      </w:r>
      <w:r>
        <w:rPr>
          <w:rFonts w:ascii="Times New Roman" w:eastAsia="Times New Roman"/>
        </w:rPr>
        <w:t xml:space="preserve">1 </w:t>
      </w:r>
      <w:r>
        <w:rPr>
          <w:spacing w:val="-2"/>
        </w:rPr>
        <w:t>号令修改，</w:t>
      </w:r>
      <w:r>
        <w:rPr>
          <w:rFonts w:ascii="Times New Roman" w:eastAsia="Times New Roman"/>
          <w:spacing w:val="-7"/>
        </w:rPr>
        <w:t xml:space="preserve">2018 </w:t>
      </w:r>
      <w:r>
        <w:rPr>
          <w:spacing w:val="-30"/>
        </w:rPr>
        <w:t xml:space="preserve">年 </w:t>
      </w:r>
      <w:r>
        <w:rPr>
          <w:rFonts w:ascii="Times New Roman" w:eastAsia="Times New Roman"/>
        </w:rPr>
        <w:t xml:space="preserve">4 </w:t>
      </w:r>
      <w:r>
        <w:rPr>
          <w:spacing w:val="-30"/>
        </w:rPr>
        <w:t xml:space="preserve">月 </w:t>
      </w:r>
      <w:r>
        <w:rPr>
          <w:rFonts w:ascii="Times New Roman" w:eastAsia="Times New Roman"/>
        </w:rPr>
        <w:t xml:space="preserve">28 </w:t>
      </w:r>
      <w:r>
        <w:t>日</w:t>
      </w:r>
      <w:r>
        <w:rPr>
          <w:spacing w:val="-23"/>
        </w:rPr>
        <w:t>），</w:t>
      </w:r>
    </w:p>
    <w:p>
      <w:pPr>
        <w:pStyle w:val="6"/>
        <w:spacing w:line="362" w:lineRule="auto"/>
        <w:ind w:left="658" w:right="697"/>
      </w:pPr>
      <w:r>
        <w:rPr>
          <w:spacing w:val="-8"/>
        </w:rPr>
        <w:t xml:space="preserve">本项目类别为“四十一、煤炭开采和洗选业 </w:t>
      </w:r>
      <w:r>
        <w:rPr>
          <w:rFonts w:ascii="Times New Roman" w:hAnsi="Times New Roman" w:eastAsia="Times New Roman"/>
        </w:rPr>
        <w:t xml:space="preserve">128 </w:t>
      </w:r>
      <w:r>
        <w:rPr>
          <w:spacing w:val="-9"/>
        </w:rPr>
        <w:t>煤炭开采”，因此本项目需编制环境影</w:t>
      </w:r>
      <w:r>
        <w:t>响报告书。</w:t>
      </w:r>
    </w:p>
    <w:p>
      <w:pPr>
        <w:pStyle w:val="6"/>
        <w:spacing w:before="4" w:line="362" w:lineRule="auto"/>
        <w:ind w:left="658" w:right="696" w:firstLine="480"/>
      </w:pPr>
      <w:r>
        <w:t>依据《环境影响评价技术导则总纲》（</w:t>
      </w:r>
      <w:r>
        <w:rPr>
          <w:rFonts w:ascii="Times New Roman" w:eastAsia="Times New Roman"/>
        </w:rPr>
        <w:t>HJ2.1-2016</w:t>
      </w:r>
      <w:r>
        <w:t>）</w:t>
      </w:r>
      <w:r>
        <w:rPr>
          <w:spacing w:val="-1"/>
        </w:rPr>
        <w:t>要求，本次环评工作分为三个</w:t>
      </w:r>
      <w:r>
        <w:t>阶段进行。</w:t>
      </w:r>
    </w:p>
    <w:p>
      <w:pPr>
        <w:pStyle w:val="6"/>
        <w:spacing w:before="5" w:line="364" w:lineRule="auto"/>
        <w:ind w:left="658" w:right="697" w:firstLine="480"/>
        <w:jc w:val="both"/>
      </w:pPr>
      <w:r>
        <w:rPr>
          <w:rFonts w:ascii="Times New Roman" w:eastAsia="Times New Roman"/>
        </w:rPr>
        <w:t>1</w:t>
      </w:r>
      <w:r>
        <w:t>、在研究相关技术及其他有关文件基础上进行初步工程分析，开展了初步环境现</w:t>
      </w:r>
      <w:r>
        <w:rPr>
          <w:spacing w:val="-7"/>
        </w:rPr>
        <w:t>状调查，进行了环境影响识别和评价因子筛选。明确了评价重点为环境空气影响和环境风险评价，确定了保护目标，进一步确定评价工作等级、范围及评价标准，制定出相应</w:t>
      </w:r>
      <w:r>
        <w:t>工作方案。</w:t>
      </w:r>
    </w:p>
    <w:p>
      <w:pPr>
        <w:pStyle w:val="6"/>
        <w:spacing w:line="362" w:lineRule="auto"/>
        <w:ind w:left="658" w:right="696" w:firstLine="480"/>
      </w:pPr>
      <w:r>
        <w:rPr>
          <w:rFonts w:ascii="Times New Roman" w:eastAsia="Times New Roman"/>
        </w:rPr>
        <w:t>2</w:t>
      </w:r>
      <w:r>
        <w:t>、根据第一阶段工作成果，对环境现状进行了监测与评价，详细进行工程分析， 对各环境要素影响进行预测与分析。</w:t>
      </w:r>
    </w:p>
    <w:p>
      <w:pPr>
        <w:pStyle w:val="6"/>
        <w:spacing w:before="3" w:line="364" w:lineRule="auto"/>
        <w:ind w:left="658" w:right="697" w:firstLine="480"/>
        <w:jc w:val="both"/>
      </w:pPr>
      <w:r>
        <w:rPr>
          <w:rFonts w:ascii="Times New Roman" w:eastAsia="Times New Roman"/>
        </w:rPr>
        <w:t>3</w:t>
      </w:r>
      <w:r>
        <w:t>、提出环境保护措施，进行经济技术可行性论证，给出污染物排放清单，并给出评价结论。为工程设计、环保决策提供科学依据。本项目环境影响评价工作程序见图</w:t>
      </w:r>
      <w:r>
        <w:rPr>
          <w:rFonts w:ascii="Times New Roman" w:eastAsia="Times New Roman"/>
        </w:rPr>
        <w:t>1.3-1</w:t>
      </w:r>
      <w:r>
        <w:t>。</w:t>
      </w:r>
    </w:p>
    <w:p>
      <w:pPr>
        <w:spacing w:after="0" w:line="364" w:lineRule="auto"/>
        <w:jc w:val="both"/>
        <w:sectPr>
          <w:pgSz w:w="11910" w:h="16840"/>
          <w:pgMar w:top="1340" w:right="720" w:bottom="1160" w:left="760" w:header="0" w:footer="975" w:gutter="0"/>
        </w:sectPr>
      </w:pPr>
    </w:p>
    <w:p>
      <w:pPr>
        <w:pStyle w:val="6"/>
        <w:ind w:left="1078"/>
        <w:rPr>
          <w:sz w:val="20"/>
        </w:rPr>
      </w:pPr>
      <w:r>
        <w:rPr>
          <w:sz w:val="20"/>
        </w:rPr>
        <w:drawing>
          <wp:inline distT="0" distB="0" distL="0" distR="0">
            <wp:extent cx="5018405" cy="503872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36" cstate="print"/>
                    <a:stretch>
                      <a:fillRect/>
                    </a:stretch>
                  </pic:blipFill>
                  <pic:spPr>
                    <a:xfrm>
                      <a:off x="0" y="0"/>
                      <a:ext cx="5018911" cy="5038725"/>
                    </a:xfrm>
                    <a:prstGeom prst="rect">
                      <a:avLst/>
                    </a:prstGeom>
                  </pic:spPr>
                </pic:pic>
              </a:graphicData>
            </a:graphic>
          </wp:inline>
        </w:drawing>
      </w:r>
    </w:p>
    <w:p>
      <w:pPr>
        <w:pStyle w:val="5"/>
        <w:ind w:left="1553" w:right="1104"/>
        <w:jc w:val="center"/>
      </w:pPr>
      <w:r>
        <w:t xml:space="preserve">图 </w:t>
      </w:r>
      <w:r>
        <w:rPr>
          <w:rFonts w:ascii="Times New Roman" w:eastAsia="Times New Roman"/>
        </w:rPr>
        <w:t xml:space="preserve">1.3-1 </w:t>
      </w:r>
      <w:r>
        <w:t>环境影响评价工作程序</w:t>
      </w:r>
    </w:p>
    <w:p>
      <w:pPr>
        <w:pStyle w:val="3"/>
        <w:numPr>
          <w:ilvl w:val="1"/>
          <w:numId w:val="4"/>
        </w:numPr>
        <w:tabs>
          <w:tab w:val="left" w:pos="1108"/>
        </w:tabs>
        <w:spacing w:before="160" w:after="0" w:line="240" w:lineRule="auto"/>
        <w:ind w:left="1107" w:right="0" w:hanging="450"/>
        <w:jc w:val="left"/>
      </w:pPr>
      <w:bookmarkStart w:id="12" w:name="1.4关注的主要环境问题与环境影响"/>
      <w:bookmarkEnd w:id="12"/>
      <w:bookmarkStart w:id="13" w:name="_bookmark4"/>
      <w:bookmarkEnd w:id="13"/>
      <w:bookmarkStart w:id="14" w:name="_bookmark4"/>
      <w:bookmarkEnd w:id="14"/>
      <w:r>
        <w:t>关注的主要环境问题与环境影响</w:t>
      </w:r>
    </w:p>
    <w:p>
      <w:pPr>
        <w:pStyle w:val="6"/>
        <w:spacing w:before="197" w:line="364" w:lineRule="auto"/>
        <w:ind w:left="658" w:right="696" w:firstLine="480"/>
      </w:pPr>
      <w:r>
        <w:t>本次评价主要关注的环境问题是建设项目建设过程及投入营运后主要污染物的产生、控制。</w:t>
      </w:r>
    </w:p>
    <w:p>
      <w:pPr>
        <w:pStyle w:val="13"/>
        <w:numPr>
          <w:ilvl w:val="0"/>
          <w:numId w:val="6"/>
        </w:numPr>
        <w:tabs>
          <w:tab w:val="left" w:pos="1740"/>
        </w:tabs>
        <w:spacing w:before="1" w:after="0" w:line="240" w:lineRule="auto"/>
        <w:ind w:left="1739" w:right="0" w:hanging="602"/>
        <w:jc w:val="left"/>
        <w:rPr>
          <w:sz w:val="24"/>
        </w:rPr>
      </w:pPr>
      <w:r>
        <w:rPr>
          <w:sz w:val="24"/>
        </w:rPr>
        <w:t>项目施工期扬尘、废水、噪声等对周围环境的影响；</w:t>
      </w:r>
    </w:p>
    <w:p>
      <w:pPr>
        <w:pStyle w:val="13"/>
        <w:numPr>
          <w:ilvl w:val="0"/>
          <w:numId w:val="6"/>
        </w:numPr>
        <w:tabs>
          <w:tab w:val="left" w:pos="1740"/>
        </w:tabs>
        <w:spacing w:before="158" w:after="0" w:line="240" w:lineRule="auto"/>
        <w:ind w:left="1739" w:right="0" w:hanging="602"/>
        <w:jc w:val="left"/>
        <w:rPr>
          <w:sz w:val="24"/>
        </w:rPr>
      </w:pPr>
      <w:r>
        <w:rPr>
          <w:sz w:val="24"/>
        </w:rPr>
        <w:t>营运期污水排放对地表水环境的影响以及采取的污染防治措施；</w:t>
      </w:r>
    </w:p>
    <w:p>
      <w:pPr>
        <w:pStyle w:val="13"/>
        <w:numPr>
          <w:ilvl w:val="0"/>
          <w:numId w:val="6"/>
        </w:numPr>
        <w:tabs>
          <w:tab w:val="left" w:pos="1740"/>
        </w:tabs>
        <w:spacing w:before="158" w:after="0" w:line="240" w:lineRule="auto"/>
        <w:ind w:left="1739" w:right="0" w:hanging="602"/>
        <w:jc w:val="left"/>
        <w:rPr>
          <w:sz w:val="24"/>
        </w:rPr>
      </w:pPr>
      <w:r>
        <w:rPr>
          <w:sz w:val="24"/>
        </w:rPr>
        <w:t>营运期锅炉及热风炉废气对大气环境的影响以及采取的污染防治措施；</w:t>
      </w:r>
    </w:p>
    <w:p>
      <w:pPr>
        <w:pStyle w:val="13"/>
        <w:numPr>
          <w:ilvl w:val="0"/>
          <w:numId w:val="6"/>
        </w:numPr>
        <w:tabs>
          <w:tab w:val="left" w:pos="1740"/>
        </w:tabs>
        <w:spacing w:before="161" w:after="0" w:line="240" w:lineRule="auto"/>
        <w:ind w:left="1739" w:right="0" w:hanging="602"/>
        <w:jc w:val="left"/>
        <w:rPr>
          <w:sz w:val="24"/>
        </w:rPr>
      </w:pPr>
      <w:r>
        <w:rPr>
          <w:sz w:val="24"/>
        </w:rPr>
        <w:t>采空沉陷引起的井田范围生态破坏；</w:t>
      </w:r>
    </w:p>
    <w:p>
      <w:pPr>
        <w:pStyle w:val="13"/>
        <w:numPr>
          <w:ilvl w:val="0"/>
          <w:numId w:val="6"/>
        </w:numPr>
        <w:tabs>
          <w:tab w:val="left" w:pos="1740"/>
        </w:tabs>
        <w:spacing w:before="160" w:after="0" w:line="240" w:lineRule="auto"/>
        <w:ind w:left="1739" w:right="0" w:hanging="602"/>
        <w:jc w:val="left"/>
        <w:rPr>
          <w:sz w:val="24"/>
        </w:rPr>
      </w:pPr>
      <w:r>
        <w:rPr>
          <w:sz w:val="24"/>
        </w:rPr>
        <w:t>煤层开采过程对地下水环境的影响及采取的污染防治措施。</w:t>
      </w:r>
    </w:p>
    <w:p>
      <w:pPr>
        <w:pStyle w:val="3"/>
        <w:numPr>
          <w:ilvl w:val="1"/>
          <w:numId w:val="4"/>
        </w:numPr>
        <w:tabs>
          <w:tab w:val="left" w:pos="1108"/>
        </w:tabs>
        <w:spacing w:before="161" w:after="0" w:line="240" w:lineRule="auto"/>
        <w:ind w:left="1107" w:right="0" w:hanging="450"/>
        <w:jc w:val="left"/>
      </w:pPr>
      <w:bookmarkStart w:id="15" w:name="1.5环境影响评价主要结论"/>
      <w:bookmarkEnd w:id="15"/>
      <w:bookmarkStart w:id="16" w:name="_bookmark5"/>
      <w:bookmarkEnd w:id="16"/>
      <w:bookmarkStart w:id="17" w:name="_bookmark5"/>
      <w:bookmarkEnd w:id="17"/>
      <w:r>
        <w:t>环境影响评价主要结论</w:t>
      </w:r>
    </w:p>
    <w:p>
      <w:pPr>
        <w:pStyle w:val="6"/>
        <w:spacing w:before="196" w:line="364" w:lineRule="auto"/>
        <w:ind w:left="658" w:right="697" w:firstLine="480"/>
      </w:pPr>
      <w:r>
        <w:rPr>
          <w:spacing w:val="-7"/>
        </w:rPr>
        <w:t>综上所述，本工程的建设符合国家产业政策，符合地方规划。在落实本环评报告提</w:t>
      </w:r>
      <w:r>
        <w:rPr>
          <w:spacing w:val="-5"/>
        </w:rPr>
        <w:t>出的各项环保措施后，本工程产生的污染物能够实现达标排放，满足地区污染物总量控</w:t>
      </w:r>
    </w:p>
    <w:p>
      <w:pPr>
        <w:spacing w:after="0" w:line="364" w:lineRule="auto"/>
        <w:sectPr>
          <w:pgSz w:w="11910" w:h="16840"/>
          <w:pgMar w:top="1540" w:right="720" w:bottom="1160" w:left="760" w:header="0" w:footer="975" w:gutter="0"/>
        </w:sectPr>
      </w:pPr>
    </w:p>
    <w:p>
      <w:pPr>
        <w:pStyle w:val="6"/>
        <w:spacing w:before="41" w:line="362" w:lineRule="auto"/>
        <w:ind w:left="1138" w:right="1605" w:hanging="480"/>
      </w:pPr>
      <w:r>
        <w:t>制要求，对周围环境的影响可接受。同时本项目建设得到所在地公众的支持。从环境保护角度分析，本工程建设是可行的。</w:t>
      </w:r>
    </w:p>
    <w:p>
      <w:pPr>
        <w:spacing w:after="0" w:line="362" w:lineRule="auto"/>
        <w:sectPr>
          <w:pgSz w:w="11910" w:h="16840"/>
          <w:pgMar w:top="1360" w:right="720" w:bottom="1160" w:left="760" w:header="0" w:footer="975" w:gutter="0"/>
        </w:sectPr>
      </w:pPr>
    </w:p>
    <w:p>
      <w:pPr>
        <w:pStyle w:val="2"/>
        <w:numPr>
          <w:ilvl w:val="0"/>
          <w:numId w:val="5"/>
        </w:numPr>
        <w:tabs>
          <w:tab w:val="left" w:pos="4969"/>
        </w:tabs>
        <w:spacing w:before="41" w:after="0" w:line="240" w:lineRule="auto"/>
        <w:ind w:left="4968" w:right="37" w:hanging="4969"/>
        <w:jc w:val="left"/>
      </w:pPr>
      <w:bookmarkStart w:id="18" w:name="_bookmark6"/>
      <w:bookmarkEnd w:id="18"/>
      <w:bookmarkStart w:id="19" w:name="_bookmark6"/>
      <w:bookmarkEnd w:id="19"/>
      <w:bookmarkStart w:id="20" w:name="2.总则"/>
      <w:bookmarkEnd w:id="20"/>
      <w:r>
        <w:t>总则</w:t>
      </w:r>
    </w:p>
    <w:p>
      <w:pPr>
        <w:pStyle w:val="3"/>
        <w:numPr>
          <w:ilvl w:val="1"/>
          <w:numId w:val="7"/>
        </w:numPr>
        <w:tabs>
          <w:tab w:val="left" w:pos="1184"/>
        </w:tabs>
        <w:spacing w:before="240" w:after="0" w:line="240" w:lineRule="auto"/>
        <w:ind w:left="1184" w:right="0" w:hanging="526"/>
        <w:jc w:val="left"/>
      </w:pPr>
      <w:bookmarkStart w:id="21" w:name="_bookmark7"/>
      <w:bookmarkEnd w:id="21"/>
      <w:bookmarkStart w:id="22" w:name="2.1 评价目的及指导思想"/>
      <w:bookmarkEnd w:id="22"/>
      <w:bookmarkStart w:id="23" w:name="_bookmark7"/>
      <w:bookmarkEnd w:id="23"/>
      <w:r>
        <w:t>评价目的及指导思想</w:t>
      </w:r>
    </w:p>
    <w:p>
      <w:pPr>
        <w:pStyle w:val="4"/>
        <w:numPr>
          <w:ilvl w:val="2"/>
          <w:numId w:val="7"/>
        </w:numPr>
        <w:tabs>
          <w:tab w:val="left" w:pos="1288"/>
        </w:tabs>
        <w:spacing w:before="199" w:after="0" w:line="240" w:lineRule="auto"/>
        <w:ind w:left="1287" w:right="0" w:hanging="630"/>
        <w:jc w:val="left"/>
      </w:pPr>
      <w:bookmarkStart w:id="24" w:name="2.1.1评价目的"/>
      <w:bookmarkEnd w:id="24"/>
      <w:bookmarkStart w:id="25" w:name="2.1.1评价目的"/>
      <w:bookmarkEnd w:id="25"/>
      <w:r>
        <w:t>评价目的</w:t>
      </w:r>
    </w:p>
    <w:p>
      <w:pPr>
        <w:pStyle w:val="6"/>
        <w:spacing w:before="4"/>
        <w:rPr>
          <w:b/>
          <w:sz w:val="9"/>
        </w:rPr>
      </w:pPr>
    </w:p>
    <w:p>
      <w:pPr>
        <w:pStyle w:val="6"/>
        <w:spacing w:before="66" w:line="364" w:lineRule="auto"/>
        <w:ind w:left="658" w:right="697" w:firstLine="480"/>
        <w:jc w:val="both"/>
      </w:pPr>
      <w:r>
        <w:rPr>
          <w:spacing w:val="-6"/>
        </w:rPr>
        <w:t>在对项目工程特征、环境现状进行详细分析的基础上，根据国家和地方的有关法律</w:t>
      </w:r>
      <w:r>
        <w:rPr>
          <w:spacing w:val="-8"/>
        </w:rPr>
        <w:t>法规、发展规划，分析项目建设是否符合国家产业政策与区域规划，生产工艺过程是否</w:t>
      </w:r>
      <w:r>
        <w:rPr>
          <w:spacing w:val="-5"/>
        </w:rPr>
        <w:t>符合清洁生产和环境保护政策；对项目建成后可能造成的污染和生态影响范围和程度进</w:t>
      </w:r>
      <w:r>
        <w:rPr>
          <w:spacing w:val="-6"/>
        </w:rPr>
        <w:t>行预测分析；分析项目排放的各类污染物是否达标排放、是否满足总量控制的要求；对</w:t>
      </w:r>
      <w:r>
        <w:rPr>
          <w:spacing w:val="-4"/>
        </w:rPr>
        <w:t>可研设计拟采取的环境保护措施进行评价，在此基础上提出技术上可靠、针对性强和可</w:t>
      </w:r>
      <w:r>
        <w:rPr>
          <w:spacing w:val="-7"/>
        </w:rPr>
        <w:t>操作性强、经济上合理的污染防治方案和生态环境减缓、恢复、补偿措施；从环境保护</w:t>
      </w:r>
      <w:r>
        <w:rPr>
          <w:spacing w:val="-4"/>
        </w:rPr>
        <w:t>和生态恢复的角度论证项目建设的可行性，为领导部门决策、工程设计和环境管理提供</w:t>
      </w:r>
      <w:r>
        <w:t>科学依据。</w:t>
      </w:r>
    </w:p>
    <w:p>
      <w:pPr>
        <w:pStyle w:val="4"/>
        <w:numPr>
          <w:ilvl w:val="2"/>
          <w:numId w:val="7"/>
        </w:numPr>
        <w:tabs>
          <w:tab w:val="left" w:pos="1288"/>
        </w:tabs>
        <w:spacing w:before="0" w:after="0" w:line="355" w:lineRule="exact"/>
        <w:ind w:left="1287" w:right="0" w:hanging="630"/>
        <w:jc w:val="left"/>
      </w:pPr>
      <w:bookmarkStart w:id="26" w:name="2.1.2评价指导思想"/>
      <w:bookmarkEnd w:id="26"/>
      <w:bookmarkStart w:id="27" w:name="2.1.2评价指导思想"/>
      <w:bookmarkEnd w:id="27"/>
      <w:r>
        <w:t>评价指导思想</w:t>
      </w:r>
    </w:p>
    <w:p>
      <w:pPr>
        <w:pStyle w:val="13"/>
        <w:numPr>
          <w:ilvl w:val="3"/>
          <w:numId w:val="7"/>
        </w:numPr>
        <w:tabs>
          <w:tab w:val="left" w:pos="1744"/>
        </w:tabs>
        <w:spacing w:before="185" w:after="0" w:line="364" w:lineRule="auto"/>
        <w:ind w:left="658" w:right="577" w:firstLine="480"/>
        <w:jc w:val="left"/>
        <w:rPr>
          <w:sz w:val="24"/>
        </w:rPr>
      </w:pPr>
      <w:r>
        <w:rPr>
          <w:sz w:val="24"/>
        </w:rPr>
        <w:t>依据国家和黑龙江省有关环保法律法规、产业政策以及环境影响评价技术规</w:t>
      </w:r>
      <w:r>
        <w:rPr>
          <w:spacing w:val="-7"/>
          <w:sz w:val="24"/>
        </w:rPr>
        <w:t>定，以预防为主、防治结合、清洁生产、全过程控制的现代环境管理思想和循环经济理</w:t>
      </w:r>
      <w:r>
        <w:rPr>
          <w:spacing w:val="-17"/>
          <w:sz w:val="24"/>
        </w:rPr>
        <w:t xml:space="preserve">念为指导，以建设绿色生态矿区为目的，密切结合项目工程特点和所在区域的环境特征， </w:t>
      </w:r>
      <w:r>
        <w:rPr>
          <w:spacing w:val="-3"/>
          <w:sz w:val="24"/>
        </w:rPr>
        <w:t>在区域总体发展规划和环境功能区划的总原则下，以科学、求实、严谨的工作作风开展评价工作。</w:t>
      </w:r>
    </w:p>
    <w:p>
      <w:pPr>
        <w:pStyle w:val="13"/>
        <w:numPr>
          <w:ilvl w:val="3"/>
          <w:numId w:val="7"/>
        </w:numPr>
        <w:tabs>
          <w:tab w:val="left" w:pos="1740"/>
        </w:tabs>
        <w:spacing w:before="0" w:after="0" w:line="306" w:lineRule="exact"/>
        <w:ind w:left="1739" w:right="0" w:hanging="602"/>
        <w:jc w:val="left"/>
        <w:rPr>
          <w:sz w:val="24"/>
        </w:rPr>
      </w:pPr>
      <w:r>
        <w:rPr>
          <w:spacing w:val="-3"/>
          <w:sz w:val="24"/>
        </w:rPr>
        <w:t>该项目为改扩建项目，项目建设带来的环境问题具有一般传统工业污染特征。</w:t>
      </w:r>
    </w:p>
    <w:p>
      <w:pPr>
        <w:pStyle w:val="13"/>
        <w:numPr>
          <w:ilvl w:val="3"/>
          <w:numId w:val="7"/>
        </w:numPr>
        <w:tabs>
          <w:tab w:val="left" w:pos="1744"/>
        </w:tabs>
        <w:spacing w:before="159" w:after="0" w:line="364" w:lineRule="auto"/>
        <w:ind w:left="658" w:right="696" w:firstLine="480"/>
        <w:jc w:val="both"/>
        <w:rPr>
          <w:sz w:val="24"/>
        </w:rPr>
      </w:pPr>
      <w:r>
        <w:rPr>
          <w:sz w:val="24"/>
        </w:rPr>
        <w:t>本着“以新带老、清洁生产、达标排放、总量控制”的原则，充分论证项目</w:t>
      </w:r>
      <w:r>
        <w:rPr>
          <w:spacing w:val="-2"/>
          <w:sz w:val="24"/>
        </w:rPr>
        <w:t xml:space="preserve">污染防治措施与生态保护措施，体现循环经济的减量、再用、循环的 </w:t>
      </w:r>
      <w:r>
        <w:rPr>
          <w:rFonts w:ascii="Times New Roman" w:hAnsi="Times New Roman" w:eastAsia="Times New Roman"/>
          <w:sz w:val="24"/>
        </w:rPr>
        <w:t>3R</w:t>
      </w:r>
      <w:r>
        <w:rPr>
          <w:rFonts w:ascii="Times New Roman" w:hAnsi="Times New Roman" w:eastAsia="Times New Roman"/>
          <w:spacing w:val="10"/>
          <w:sz w:val="24"/>
        </w:rPr>
        <w:t xml:space="preserve"> </w:t>
      </w:r>
      <w:r>
        <w:rPr>
          <w:spacing w:val="-3"/>
          <w:sz w:val="24"/>
        </w:rPr>
        <w:t>原则。减少煤</w:t>
      </w:r>
      <w:r>
        <w:rPr>
          <w:sz w:val="24"/>
        </w:rPr>
        <w:t>矸石的排放量，充分利用采煤废水，化害为利，变废为宝，保护生态环境。</w:t>
      </w:r>
    </w:p>
    <w:p>
      <w:pPr>
        <w:pStyle w:val="13"/>
        <w:numPr>
          <w:ilvl w:val="3"/>
          <w:numId w:val="7"/>
        </w:numPr>
        <w:tabs>
          <w:tab w:val="left" w:pos="1744"/>
        </w:tabs>
        <w:spacing w:before="0" w:after="0" w:line="364" w:lineRule="auto"/>
        <w:ind w:left="658" w:right="697" w:firstLine="480"/>
        <w:jc w:val="both"/>
        <w:rPr>
          <w:sz w:val="24"/>
        </w:rPr>
      </w:pPr>
      <w:r>
        <w:rPr>
          <w:sz w:val="24"/>
        </w:rPr>
        <w:t>报告书的编制力求条理清晰、论据充分、重点突出、内容全面、客观地反映</w:t>
      </w:r>
      <w:r>
        <w:rPr>
          <w:spacing w:val="-7"/>
          <w:sz w:val="24"/>
        </w:rPr>
        <w:t>实际情况，评价结论科学准确，环保对策实用可行、可操作性强，从而使本次评价真正</w:t>
      </w:r>
      <w:r>
        <w:rPr>
          <w:sz w:val="24"/>
        </w:rPr>
        <w:t>起到为项目审批、环境管理、工程建设服务的作用。</w:t>
      </w:r>
    </w:p>
    <w:p>
      <w:pPr>
        <w:pStyle w:val="4"/>
        <w:numPr>
          <w:ilvl w:val="2"/>
          <w:numId w:val="7"/>
        </w:numPr>
        <w:tabs>
          <w:tab w:val="left" w:pos="1288"/>
        </w:tabs>
        <w:spacing w:before="0" w:after="0" w:line="357" w:lineRule="exact"/>
        <w:ind w:left="1287" w:right="0" w:hanging="630"/>
        <w:jc w:val="left"/>
      </w:pPr>
      <w:bookmarkStart w:id="28" w:name="2.1.3评价重点"/>
      <w:bookmarkEnd w:id="28"/>
      <w:bookmarkStart w:id="29" w:name="2.1.3评价重点"/>
      <w:bookmarkEnd w:id="29"/>
      <w:r>
        <w:t>评价重点</w:t>
      </w:r>
    </w:p>
    <w:p>
      <w:pPr>
        <w:pStyle w:val="6"/>
        <w:spacing w:before="184" w:line="364" w:lineRule="auto"/>
        <w:ind w:left="658" w:right="634" w:firstLine="480"/>
      </w:pPr>
      <w:r>
        <w:t>根据环境影响识别结果，确定本次评价重点为生态环境影响评价（包括地表沉陷预测与影响评价）、水环境影响评价、土壤环境影响评价及大气环境影响评价。</w:t>
      </w:r>
    </w:p>
    <w:p>
      <w:pPr>
        <w:pStyle w:val="6"/>
        <w:spacing w:before="1"/>
        <w:ind w:left="1138"/>
      </w:pPr>
      <w:r>
        <w:t>通过本次评价，重点回答以下几个问题：</w:t>
      </w:r>
    </w:p>
    <w:p>
      <w:pPr>
        <w:pStyle w:val="13"/>
        <w:numPr>
          <w:ilvl w:val="0"/>
          <w:numId w:val="8"/>
        </w:numPr>
        <w:tabs>
          <w:tab w:val="left" w:pos="1744"/>
        </w:tabs>
        <w:spacing w:before="158" w:after="0" w:line="240" w:lineRule="auto"/>
        <w:ind w:left="1743" w:right="0" w:hanging="606"/>
        <w:jc w:val="left"/>
        <w:rPr>
          <w:sz w:val="24"/>
        </w:rPr>
      </w:pPr>
      <w:r>
        <w:rPr>
          <w:sz w:val="24"/>
        </w:rPr>
        <w:t>煤炭开采沉陷引起的生态环境破坏及恢复措施，主要包括：土地利用结构的</w:t>
      </w:r>
    </w:p>
    <w:p>
      <w:pPr>
        <w:spacing w:after="0" w:line="240" w:lineRule="auto"/>
        <w:jc w:val="left"/>
        <w:rPr>
          <w:sz w:val="24"/>
        </w:rPr>
        <w:sectPr>
          <w:pgSz w:w="11910" w:h="16840"/>
          <w:pgMar w:top="1360" w:right="720" w:bottom="1160" w:left="760" w:header="0" w:footer="975" w:gutter="0"/>
        </w:sectPr>
      </w:pPr>
    </w:p>
    <w:p>
      <w:pPr>
        <w:pStyle w:val="6"/>
        <w:spacing w:before="41" w:line="362" w:lineRule="auto"/>
        <w:ind w:left="658" w:right="697"/>
      </w:pPr>
      <w:r>
        <w:rPr>
          <w:spacing w:val="-8"/>
        </w:rPr>
        <w:t>变化，地表植被影响与恢复，沉陷区土地综合整治，浅层地下水影响与保护措施、对地</w:t>
      </w:r>
      <w:r>
        <w:t>面基础设施影响及保护等。</w:t>
      </w:r>
    </w:p>
    <w:p>
      <w:pPr>
        <w:pStyle w:val="13"/>
        <w:numPr>
          <w:ilvl w:val="0"/>
          <w:numId w:val="8"/>
        </w:numPr>
        <w:tabs>
          <w:tab w:val="left" w:pos="1740"/>
        </w:tabs>
        <w:spacing w:before="5" w:after="0" w:line="240" w:lineRule="auto"/>
        <w:ind w:left="1739" w:right="0" w:hanging="602"/>
        <w:jc w:val="left"/>
        <w:rPr>
          <w:sz w:val="24"/>
        </w:rPr>
      </w:pPr>
      <w:r>
        <w:rPr>
          <w:sz w:val="24"/>
        </w:rPr>
        <w:t>项目排水对扁石河的影响。采煤废水资源化途径分析论证。</w:t>
      </w:r>
    </w:p>
    <w:p>
      <w:pPr>
        <w:pStyle w:val="13"/>
        <w:numPr>
          <w:ilvl w:val="0"/>
          <w:numId w:val="8"/>
        </w:numPr>
        <w:tabs>
          <w:tab w:val="left" w:pos="1740"/>
        </w:tabs>
        <w:spacing w:before="161" w:after="0" w:line="240" w:lineRule="auto"/>
        <w:ind w:left="1739" w:right="0" w:hanging="602"/>
        <w:jc w:val="left"/>
        <w:rPr>
          <w:sz w:val="24"/>
        </w:rPr>
      </w:pPr>
      <w:r>
        <w:rPr>
          <w:sz w:val="24"/>
        </w:rPr>
        <w:t>矸石处置措施及综合利用途径分析论证。</w:t>
      </w:r>
    </w:p>
    <w:p>
      <w:pPr>
        <w:pStyle w:val="3"/>
        <w:numPr>
          <w:ilvl w:val="1"/>
          <w:numId w:val="7"/>
        </w:numPr>
        <w:tabs>
          <w:tab w:val="left" w:pos="1184"/>
        </w:tabs>
        <w:spacing w:before="160" w:after="0" w:line="240" w:lineRule="auto"/>
        <w:ind w:left="1184" w:right="0" w:hanging="526"/>
        <w:jc w:val="left"/>
      </w:pPr>
      <w:bookmarkStart w:id="30" w:name="_bookmark8"/>
      <w:bookmarkEnd w:id="30"/>
      <w:bookmarkStart w:id="31" w:name="2.2 编制依据"/>
      <w:bookmarkEnd w:id="31"/>
      <w:bookmarkStart w:id="32" w:name="_bookmark8"/>
      <w:bookmarkEnd w:id="32"/>
      <w:r>
        <w:t>编制依据</w:t>
      </w:r>
    </w:p>
    <w:p>
      <w:pPr>
        <w:pStyle w:val="4"/>
        <w:numPr>
          <w:ilvl w:val="2"/>
          <w:numId w:val="7"/>
        </w:numPr>
        <w:tabs>
          <w:tab w:val="left" w:pos="1288"/>
        </w:tabs>
        <w:spacing w:before="200" w:after="0" w:line="240" w:lineRule="auto"/>
        <w:ind w:left="1287" w:right="0" w:hanging="630"/>
        <w:jc w:val="left"/>
      </w:pPr>
      <w:r>
        <w:t>相关法律、法规</w:t>
      </w:r>
    </w:p>
    <w:p>
      <w:pPr>
        <w:pStyle w:val="13"/>
        <w:numPr>
          <w:ilvl w:val="0"/>
          <w:numId w:val="9"/>
        </w:numPr>
        <w:tabs>
          <w:tab w:val="left" w:pos="1419"/>
        </w:tabs>
        <w:spacing w:before="183" w:after="0" w:line="364" w:lineRule="auto"/>
        <w:ind w:left="658" w:right="693" w:firstLine="480"/>
        <w:jc w:val="left"/>
        <w:rPr>
          <w:sz w:val="24"/>
        </w:rPr>
      </w:pPr>
      <w:r>
        <w:rPr>
          <w:spacing w:val="-4"/>
          <w:sz w:val="24"/>
        </w:rPr>
        <w:t>《中华人民共和国环境保护法》</w:t>
      </w:r>
      <w:r>
        <w:rPr>
          <w:sz w:val="24"/>
        </w:rPr>
        <w:t>（</w:t>
      </w:r>
      <w:r>
        <w:rPr>
          <w:rFonts w:ascii="Times New Roman" w:eastAsia="Times New Roman"/>
          <w:sz w:val="24"/>
        </w:rPr>
        <w:t xml:space="preserve">2014 </w:t>
      </w:r>
      <w:r>
        <w:rPr>
          <w:spacing w:val="-30"/>
          <w:sz w:val="24"/>
        </w:rPr>
        <w:t xml:space="preserve">年 </w:t>
      </w:r>
      <w:r>
        <w:rPr>
          <w:rFonts w:ascii="Times New Roman" w:eastAsia="Times New Roman"/>
          <w:sz w:val="24"/>
        </w:rPr>
        <w:t xml:space="preserve">4 </w:t>
      </w:r>
      <w:r>
        <w:rPr>
          <w:spacing w:val="-30"/>
          <w:sz w:val="24"/>
        </w:rPr>
        <w:t xml:space="preserve">月 </w:t>
      </w:r>
      <w:r>
        <w:rPr>
          <w:rFonts w:ascii="Times New Roman" w:eastAsia="Times New Roman"/>
          <w:sz w:val="24"/>
        </w:rPr>
        <w:t xml:space="preserve">24 </w:t>
      </w:r>
      <w:r>
        <w:rPr>
          <w:spacing w:val="-2"/>
          <w:sz w:val="24"/>
        </w:rPr>
        <w:t>日修订，</w:t>
      </w:r>
      <w:r>
        <w:rPr>
          <w:rFonts w:ascii="Times New Roman" w:eastAsia="Times New Roman"/>
          <w:spacing w:val="-5"/>
          <w:sz w:val="24"/>
        </w:rPr>
        <w:t>2015</w:t>
      </w:r>
      <w:r>
        <w:rPr>
          <w:rFonts w:ascii="Times New Roman" w:eastAsia="Times New Roman"/>
          <w:spacing w:val="1"/>
          <w:sz w:val="24"/>
        </w:rPr>
        <w:t xml:space="preserve"> </w:t>
      </w:r>
      <w:r>
        <w:rPr>
          <w:spacing w:val="-30"/>
          <w:sz w:val="24"/>
        </w:rPr>
        <w:t xml:space="preserve">年 </w:t>
      </w:r>
      <w:r>
        <w:rPr>
          <w:rFonts w:ascii="Times New Roman" w:eastAsia="Times New Roman"/>
          <w:sz w:val="24"/>
        </w:rPr>
        <w:t>1</w:t>
      </w:r>
      <w:r>
        <w:rPr>
          <w:rFonts w:ascii="Times New Roman" w:eastAsia="Times New Roman"/>
          <w:spacing w:val="1"/>
          <w:sz w:val="24"/>
        </w:rPr>
        <w:t xml:space="preserve"> </w:t>
      </w:r>
      <w:r>
        <w:rPr>
          <w:spacing w:val="-30"/>
          <w:sz w:val="24"/>
        </w:rPr>
        <w:t xml:space="preserve">月 </w:t>
      </w:r>
      <w:r>
        <w:rPr>
          <w:rFonts w:ascii="Times New Roman" w:eastAsia="Times New Roman"/>
          <w:sz w:val="24"/>
        </w:rPr>
        <w:t>1</w:t>
      </w:r>
      <w:r>
        <w:rPr>
          <w:rFonts w:ascii="Times New Roman" w:eastAsia="Times New Roman"/>
          <w:spacing w:val="1"/>
          <w:sz w:val="24"/>
        </w:rPr>
        <w:t xml:space="preserve"> </w:t>
      </w:r>
      <w:r>
        <w:rPr>
          <w:spacing w:val="-5"/>
          <w:sz w:val="24"/>
        </w:rPr>
        <w:t>日起施</w:t>
      </w:r>
      <w:r>
        <w:rPr>
          <w:sz w:val="24"/>
        </w:rPr>
        <w:t>行）；</w:t>
      </w:r>
    </w:p>
    <w:p>
      <w:pPr>
        <w:pStyle w:val="13"/>
        <w:numPr>
          <w:ilvl w:val="0"/>
          <w:numId w:val="9"/>
        </w:numPr>
        <w:tabs>
          <w:tab w:val="left" w:pos="1419"/>
        </w:tabs>
        <w:spacing w:before="0" w:after="0" w:line="306" w:lineRule="exact"/>
        <w:ind w:left="1418" w:right="0" w:hanging="281"/>
        <w:jc w:val="left"/>
        <w:rPr>
          <w:sz w:val="24"/>
        </w:rPr>
      </w:pPr>
      <w:r>
        <w:rPr>
          <w:spacing w:val="-1"/>
          <w:sz w:val="24"/>
        </w:rPr>
        <w:t>《中华人民共和国环境影响评价法》</w:t>
      </w:r>
      <w:r>
        <w:rPr>
          <w:sz w:val="24"/>
        </w:rPr>
        <w:t>（</w:t>
      </w:r>
      <w:r>
        <w:rPr>
          <w:rFonts w:ascii="Times New Roman" w:eastAsia="Times New Roman"/>
          <w:sz w:val="24"/>
        </w:rPr>
        <w:t xml:space="preserve">2018 </w:t>
      </w:r>
      <w:r>
        <w:rPr>
          <w:spacing w:val="-30"/>
          <w:sz w:val="24"/>
        </w:rPr>
        <w:t xml:space="preserve">年 </w:t>
      </w:r>
      <w:r>
        <w:rPr>
          <w:rFonts w:ascii="Times New Roman" w:eastAsia="Times New Roman"/>
          <w:sz w:val="24"/>
        </w:rPr>
        <w:t xml:space="preserve">12 </w:t>
      </w:r>
      <w:r>
        <w:rPr>
          <w:spacing w:val="-30"/>
          <w:sz w:val="24"/>
        </w:rPr>
        <w:t xml:space="preserve">月 </w:t>
      </w:r>
      <w:r>
        <w:rPr>
          <w:rFonts w:ascii="Times New Roman" w:eastAsia="Times New Roman"/>
          <w:sz w:val="24"/>
        </w:rPr>
        <w:t xml:space="preserve">29 </w:t>
      </w:r>
      <w:r>
        <w:rPr>
          <w:sz w:val="24"/>
        </w:rPr>
        <w:t>日第二次修正并施行</w:t>
      </w:r>
      <w:r>
        <w:rPr>
          <w:spacing w:val="-4"/>
          <w:sz w:val="24"/>
        </w:rPr>
        <w:t>）；</w:t>
      </w:r>
    </w:p>
    <w:p>
      <w:pPr>
        <w:pStyle w:val="13"/>
        <w:numPr>
          <w:ilvl w:val="0"/>
          <w:numId w:val="9"/>
        </w:numPr>
        <w:tabs>
          <w:tab w:val="left" w:pos="1419"/>
        </w:tabs>
        <w:spacing w:before="160" w:after="0" w:line="240" w:lineRule="auto"/>
        <w:ind w:left="1418" w:right="0" w:hanging="281"/>
        <w:jc w:val="left"/>
        <w:rPr>
          <w:sz w:val="24"/>
        </w:rPr>
      </w:pPr>
      <w:r>
        <w:rPr>
          <w:spacing w:val="-1"/>
          <w:sz w:val="24"/>
        </w:rPr>
        <w:t>《中华人民共和国大气污染防治法》</w:t>
      </w:r>
      <w:r>
        <w:rPr>
          <w:sz w:val="24"/>
        </w:rPr>
        <w:t>（</w:t>
      </w:r>
      <w:r>
        <w:rPr>
          <w:rFonts w:ascii="Times New Roman" w:eastAsia="Times New Roman"/>
          <w:sz w:val="24"/>
        </w:rPr>
        <w:t xml:space="preserve">2018 </w:t>
      </w:r>
      <w:r>
        <w:rPr>
          <w:spacing w:val="-30"/>
          <w:sz w:val="24"/>
        </w:rPr>
        <w:t xml:space="preserve">年 </w:t>
      </w:r>
      <w:r>
        <w:rPr>
          <w:rFonts w:ascii="Times New Roman" w:eastAsia="Times New Roman"/>
          <w:sz w:val="24"/>
        </w:rPr>
        <w:t xml:space="preserve">10 </w:t>
      </w:r>
      <w:r>
        <w:rPr>
          <w:spacing w:val="-30"/>
          <w:sz w:val="24"/>
        </w:rPr>
        <w:t xml:space="preserve">月 </w:t>
      </w:r>
      <w:r>
        <w:rPr>
          <w:rFonts w:ascii="Times New Roman" w:eastAsia="Times New Roman"/>
          <w:sz w:val="24"/>
        </w:rPr>
        <w:t xml:space="preserve">26 </w:t>
      </w:r>
      <w:r>
        <w:rPr>
          <w:sz w:val="24"/>
        </w:rPr>
        <w:t>日第二次修正并施行</w:t>
      </w:r>
      <w:r>
        <w:rPr>
          <w:spacing w:val="-4"/>
          <w:sz w:val="24"/>
        </w:rPr>
        <w:t>）；</w:t>
      </w:r>
    </w:p>
    <w:p>
      <w:pPr>
        <w:pStyle w:val="13"/>
        <w:numPr>
          <w:ilvl w:val="0"/>
          <w:numId w:val="9"/>
        </w:numPr>
        <w:tabs>
          <w:tab w:val="left" w:pos="1419"/>
        </w:tabs>
        <w:spacing w:before="158" w:after="0" w:line="240" w:lineRule="auto"/>
        <w:ind w:left="1418" w:right="0" w:hanging="281"/>
        <w:jc w:val="left"/>
        <w:rPr>
          <w:sz w:val="24"/>
        </w:rPr>
      </w:pPr>
      <w:r>
        <w:rPr>
          <w:sz w:val="24"/>
        </w:rPr>
        <w:t>《中华人民共和国环境噪声污染防治法》（</w:t>
      </w:r>
      <w:r>
        <w:rPr>
          <w:rFonts w:ascii="Times New Roman" w:eastAsia="Times New Roman"/>
          <w:sz w:val="24"/>
        </w:rPr>
        <w:t xml:space="preserve">2018 </w:t>
      </w:r>
      <w:r>
        <w:rPr>
          <w:spacing w:val="-30"/>
          <w:sz w:val="24"/>
        </w:rPr>
        <w:t xml:space="preserve">年 </w:t>
      </w:r>
      <w:r>
        <w:rPr>
          <w:rFonts w:ascii="Times New Roman" w:eastAsia="Times New Roman"/>
          <w:sz w:val="24"/>
        </w:rPr>
        <w:t xml:space="preserve">12 </w:t>
      </w:r>
      <w:r>
        <w:rPr>
          <w:spacing w:val="-30"/>
          <w:sz w:val="24"/>
        </w:rPr>
        <w:t xml:space="preserve">月 </w:t>
      </w:r>
      <w:r>
        <w:rPr>
          <w:rFonts w:ascii="Times New Roman" w:eastAsia="Times New Roman"/>
          <w:sz w:val="24"/>
        </w:rPr>
        <w:t xml:space="preserve">29 </w:t>
      </w:r>
      <w:r>
        <w:rPr>
          <w:sz w:val="24"/>
        </w:rPr>
        <w:t>日修正并施行）；</w:t>
      </w:r>
    </w:p>
    <w:p>
      <w:pPr>
        <w:pStyle w:val="13"/>
        <w:numPr>
          <w:ilvl w:val="0"/>
          <w:numId w:val="9"/>
        </w:numPr>
        <w:tabs>
          <w:tab w:val="left" w:pos="1419"/>
        </w:tabs>
        <w:spacing w:before="161" w:after="0" w:line="240" w:lineRule="auto"/>
        <w:ind w:left="1418" w:right="0" w:hanging="281"/>
        <w:jc w:val="left"/>
        <w:rPr>
          <w:sz w:val="24"/>
        </w:rPr>
      </w:pPr>
      <w:r>
        <w:rPr>
          <w:spacing w:val="-4"/>
          <w:sz w:val="24"/>
        </w:rPr>
        <w:t>《中华人民共和国水污染防治法》</w:t>
      </w:r>
      <w:r>
        <w:rPr>
          <w:sz w:val="24"/>
        </w:rPr>
        <w:t>（</w:t>
      </w:r>
      <w:r>
        <w:rPr>
          <w:rFonts w:ascii="Times New Roman" w:eastAsia="Times New Roman"/>
          <w:sz w:val="24"/>
        </w:rPr>
        <w:t xml:space="preserve">2017 </w:t>
      </w:r>
      <w:r>
        <w:rPr>
          <w:spacing w:val="-30"/>
          <w:sz w:val="24"/>
        </w:rPr>
        <w:t xml:space="preserve">年 </w:t>
      </w:r>
      <w:r>
        <w:rPr>
          <w:rFonts w:ascii="Times New Roman" w:eastAsia="Times New Roman"/>
          <w:sz w:val="24"/>
        </w:rPr>
        <w:t xml:space="preserve">6 </w:t>
      </w:r>
      <w:r>
        <w:rPr>
          <w:spacing w:val="-30"/>
          <w:sz w:val="24"/>
        </w:rPr>
        <w:t xml:space="preserve">月 </w:t>
      </w:r>
      <w:r>
        <w:rPr>
          <w:rFonts w:ascii="Times New Roman" w:eastAsia="Times New Roman"/>
          <w:sz w:val="24"/>
        </w:rPr>
        <w:t xml:space="preserve">27 </w:t>
      </w:r>
      <w:r>
        <w:rPr>
          <w:spacing w:val="-1"/>
          <w:sz w:val="24"/>
        </w:rPr>
        <w:t>日第二次修正，</w:t>
      </w:r>
      <w:r>
        <w:rPr>
          <w:rFonts w:ascii="Times New Roman" w:eastAsia="Times New Roman"/>
          <w:spacing w:val="-5"/>
          <w:sz w:val="24"/>
        </w:rPr>
        <w:t>2018</w:t>
      </w:r>
      <w:r>
        <w:rPr>
          <w:rFonts w:ascii="Times New Roman" w:eastAsia="Times New Roman"/>
          <w:sz w:val="24"/>
        </w:rPr>
        <w:t xml:space="preserve"> </w:t>
      </w:r>
      <w:r>
        <w:rPr>
          <w:spacing w:val="-30"/>
          <w:sz w:val="24"/>
        </w:rPr>
        <w:t xml:space="preserve">年 </w:t>
      </w:r>
      <w:r>
        <w:rPr>
          <w:rFonts w:ascii="Times New Roman" w:eastAsia="Times New Roman"/>
          <w:sz w:val="24"/>
        </w:rPr>
        <w:t>1</w:t>
      </w:r>
      <w:r>
        <w:rPr>
          <w:rFonts w:ascii="Times New Roman" w:eastAsia="Times New Roman"/>
          <w:spacing w:val="3"/>
          <w:sz w:val="24"/>
        </w:rPr>
        <w:t xml:space="preserve"> </w:t>
      </w:r>
      <w:r>
        <w:rPr>
          <w:sz w:val="24"/>
        </w:rPr>
        <w:t>月</w:t>
      </w:r>
    </w:p>
    <w:p>
      <w:pPr>
        <w:pStyle w:val="6"/>
        <w:spacing w:before="160"/>
        <w:ind w:left="658"/>
      </w:pPr>
      <w:r>
        <w:rPr>
          <w:rFonts w:ascii="Times New Roman" w:eastAsia="Times New Roman"/>
        </w:rPr>
        <w:t xml:space="preserve">1 </w:t>
      </w:r>
      <w:r>
        <w:t>日起施行）；</w:t>
      </w:r>
    </w:p>
    <w:p>
      <w:pPr>
        <w:pStyle w:val="13"/>
        <w:numPr>
          <w:ilvl w:val="0"/>
          <w:numId w:val="9"/>
        </w:numPr>
        <w:tabs>
          <w:tab w:val="left" w:pos="1419"/>
        </w:tabs>
        <w:spacing w:before="158" w:after="0" w:line="240" w:lineRule="auto"/>
        <w:ind w:left="1418" w:right="0" w:hanging="281"/>
        <w:jc w:val="left"/>
        <w:rPr>
          <w:sz w:val="24"/>
        </w:rPr>
      </w:pPr>
      <w:r>
        <w:rPr>
          <w:spacing w:val="-4"/>
          <w:sz w:val="24"/>
        </w:rPr>
        <w:t>《中华人民共和国固体废物污染环境防治法》</w:t>
      </w:r>
      <w:r>
        <w:rPr>
          <w:rFonts w:ascii="Times New Roman" w:eastAsia="Times New Roman"/>
          <w:sz w:val="24"/>
        </w:rPr>
        <w:t xml:space="preserve">(2020 </w:t>
      </w:r>
      <w:r>
        <w:rPr>
          <w:spacing w:val="-29"/>
          <w:sz w:val="24"/>
        </w:rPr>
        <w:t xml:space="preserve">年 </w:t>
      </w:r>
      <w:r>
        <w:rPr>
          <w:rFonts w:ascii="Times New Roman" w:eastAsia="Times New Roman"/>
          <w:sz w:val="24"/>
        </w:rPr>
        <w:t xml:space="preserve">4 </w:t>
      </w:r>
      <w:r>
        <w:rPr>
          <w:spacing w:val="-30"/>
          <w:sz w:val="24"/>
        </w:rPr>
        <w:t xml:space="preserve">月 </w:t>
      </w:r>
      <w:r>
        <w:rPr>
          <w:rFonts w:ascii="Times New Roman" w:eastAsia="Times New Roman"/>
          <w:sz w:val="24"/>
        </w:rPr>
        <w:t xml:space="preserve">29 </w:t>
      </w:r>
      <w:r>
        <w:rPr>
          <w:sz w:val="24"/>
        </w:rPr>
        <w:t>日第十三届全国人</w:t>
      </w:r>
    </w:p>
    <w:p>
      <w:pPr>
        <w:pStyle w:val="6"/>
        <w:spacing w:before="158"/>
        <w:ind w:left="658"/>
      </w:pPr>
      <w:r>
        <w:t>民代表大会常务委员会第十七次会议第二次修订</w:t>
      </w:r>
      <w:r>
        <w:rPr>
          <w:rFonts w:ascii="Times New Roman" w:eastAsia="Times New Roman"/>
        </w:rPr>
        <w:t xml:space="preserve">,2020 </w:t>
      </w:r>
      <w:r>
        <w:t xml:space="preserve">年 </w:t>
      </w:r>
      <w:r>
        <w:rPr>
          <w:rFonts w:ascii="Times New Roman" w:eastAsia="Times New Roman"/>
        </w:rPr>
        <w:t xml:space="preserve">09 </w:t>
      </w:r>
      <w:r>
        <w:t xml:space="preserve">月 </w:t>
      </w:r>
      <w:r>
        <w:rPr>
          <w:rFonts w:ascii="Times New Roman" w:eastAsia="Times New Roman"/>
        </w:rPr>
        <w:t xml:space="preserve">1 </w:t>
      </w:r>
      <w:r>
        <w:t>日施行）；</w:t>
      </w:r>
    </w:p>
    <w:p>
      <w:pPr>
        <w:pStyle w:val="13"/>
        <w:numPr>
          <w:ilvl w:val="0"/>
          <w:numId w:val="9"/>
        </w:numPr>
        <w:tabs>
          <w:tab w:val="left" w:pos="1419"/>
        </w:tabs>
        <w:spacing w:before="161" w:after="0" w:line="240" w:lineRule="auto"/>
        <w:ind w:left="1418" w:right="0" w:hanging="281"/>
        <w:jc w:val="left"/>
        <w:rPr>
          <w:sz w:val="24"/>
        </w:rPr>
      </w:pPr>
      <w:r>
        <w:rPr>
          <w:sz w:val="24"/>
        </w:rPr>
        <w:t>《中华人民共和国土壤污染防治法》</w:t>
      </w:r>
      <w:r>
        <w:rPr>
          <w:rFonts w:ascii="Times New Roman" w:eastAsia="Times New Roman"/>
          <w:sz w:val="24"/>
        </w:rPr>
        <w:t>(2019</w:t>
      </w:r>
      <w:r>
        <w:rPr>
          <w:rFonts w:ascii="Times New Roman" w:eastAsia="Times New Roman"/>
          <w:spacing w:val="-1"/>
          <w:sz w:val="24"/>
        </w:rPr>
        <w:t xml:space="preserve"> </w:t>
      </w:r>
      <w:r>
        <w:rPr>
          <w:spacing w:val="-30"/>
          <w:sz w:val="24"/>
        </w:rPr>
        <w:t xml:space="preserve">年 </w:t>
      </w:r>
      <w:r>
        <w:rPr>
          <w:rFonts w:ascii="Times New Roman" w:eastAsia="Times New Roman"/>
          <w:sz w:val="24"/>
        </w:rPr>
        <w:t xml:space="preserve">1 </w:t>
      </w:r>
      <w:r>
        <w:rPr>
          <w:spacing w:val="-30"/>
          <w:sz w:val="24"/>
        </w:rPr>
        <w:t xml:space="preserve">月 </w:t>
      </w:r>
      <w:r>
        <w:rPr>
          <w:rFonts w:ascii="Times New Roman" w:eastAsia="Times New Roman"/>
          <w:sz w:val="24"/>
        </w:rPr>
        <w:t xml:space="preserve">1 </w:t>
      </w:r>
      <w:r>
        <w:rPr>
          <w:sz w:val="24"/>
        </w:rPr>
        <w:t>日施行）；</w:t>
      </w:r>
    </w:p>
    <w:p>
      <w:pPr>
        <w:pStyle w:val="13"/>
        <w:numPr>
          <w:ilvl w:val="0"/>
          <w:numId w:val="9"/>
        </w:numPr>
        <w:tabs>
          <w:tab w:val="left" w:pos="1420"/>
        </w:tabs>
        <w:spacing w:before="160" w:after="0" w:line="362" w:lineRule="auto"/>
        <w:ind w:left="658" w:right="693" w:firstLine="480"/>
        <w:jc w:val="left"/>
        <w:rPr>
          <w:sz w:val="24"/>
        </w:rPr>
      </w:pPr>
      <w:r>
        <w:rPr>
          <w:sz w:val="24"/>
        </w:rPr>
        <w:t>《中华人民共和国水土保持法》（</w:t>
      </w:r>
      <w:r>
        <w:rPr>
          <w:rFonts w:ascii="Times New Roman" w:eastAsia="Times New Roman"/>
          <w:sz w:val="24"/>
        </w:rPr>
        <w:t>2010</w:t>
      </w:r>
      <w:r>
        <w:rPr>
          <w:rFonts w:ascii="Times New Roman" w:eastAsia="Times New Roman"/>
          <w:spacing w:val="3"/>
          <w:sz w:val="24"/>
        </w:rPr>
        <w:t xml:space="preserve"> </w:t>
      </w:r>
      <w:r>
        <w:rPr>
          <w:spacing w:val="-29"/>
          <w:sz w:val="24"/>
        </w:rPr>
        <w:t xml:space="preserve">年 </w:t>
      </w:r>
      <w:r>
        <w:rPr>
          <w:rFonts w:ascii="Times New Roman" w:eastAsia="Times New Roman"/>
          <w:sz w:val="24"/>
        </w:rPr>
        <w:t>12</w:t>
      </w:r>
      <w:r>
        <w:rPr>
          <w:rFonts w:ascii="Times New Roman" w:eastAsia="Times New Roman"/>
          <w:spacing w:val="1"/>
          <w:sz w:val="24"/>
        </w:rPr>
        <w:t xml:space="preserve"> </w:t>
      </w:r>
      <w:r>
        <w:rPr>
          <w:spacing w:val="-28"/>
          <w:sz w:val="24"/>
        </w:rPr>
        <w:t xml:space="preserve">月 </w:t>
      </w:r>
      <w:r>
        <w:rPr>
          <w:rFonts w:ascii="Times New Roman" w:eastAsia="Times New Roman"/>
          <w:sz w:val="24"/>
        </w:rPr>
        <w:t>25</w:t>
      </w:r>
      <w:r>
        <w:rPr>
          <w:rFonts w:ascii="Times New Roman" w:eastAsia="Times New Roman"/>
          <w:spacing w:val="4"/>
          <w:sz w:val="24"/>
        </w:rPr>
        <w:t xml:space="preserve"> </w:t>
      </w:r>
      <w:r>
        <w:rPr>
          <w:sz w:val="24"/>
        </w:rPr>
        <w:t>日修订，</w:t>
      </w:r>
      <w:r>
        <w:rPr>
          <w:rFonts w:ascii="Times New Roman" w:eastAsia="Times New Roman"/>
          <w:sz w:val="24"/>
        </w:rPr>
        <w:t>2011</w:t>
      </w:r>
      <w:r>
        <w:rPr>
          <w:rFonts w:ascii="Times New Roman" w:eastAsia="Times New Roman"/>
          <w:spacing w:val="-2"/>
          <w:sz w:val="24"/>
        </w:rPr>
        <w:t xml:space="preserve"> </w:t>
      </w:r>
      <w:r>
        <w:rPr>
          <w:spacing w:val="-29"/>
          <w:sz w:val="24"/>
        </w:rPr>
        <w:t xml:space="preserve">年 </w:t>
      </w:r>
      <w:r>
        <w:rPr>
          <w:rFonts w:ascii="Times New Roman" w:eastAsia="Times New Roman"/>
          <w:sz w:val="24"/>
        </w:rPr>
        <w:t>3</w:t>
      </w:r>
      <w:r>
        <w:rPr>
          <w:rFonts w:ascii="Times New Roman" w:eastAsia="Times New Roman"/>
          <w:spacing w:val="4"/>
          <w:sz w:val="24"/>
        </w:rPr>
        <w:t xml:space="preserve"> </w:t>
      </w:r>
      <w:r>
        <w:rPr>
          <w:spacing w:val="-29"/>
          <w:sz w:val="24"/>
        </w:rPr>
        <w:t xml:space="preserve">月 </w:t>
      </w:r>
      <w:r>
        <w:rPr>
          <w:rFonts w:ascii="Times New Roman" w:eastAsia="Times New Roman"/>
          <w:sz w:val="24"/>
        </w:rPr>
        <w:t>1</w:t>
      </w:r>
      <w:r>
        <w:rPr>
          <w:rFonts w:ascii="Times New Roman" w:eastAsia="Times New Roman"/>
          <w:spacing w:val="2"/>
          <w:sz w:val="24"/>
        </w:rPr>
        <w:t xml:space="preserve"> </w:t>
      </w:r>
      <w:r>
        <w:rPr>
          <w:sz w:val="24"/>
        </w:rPr>
        <w:t>日起施行）；</w:t>
      </w:r>
    </w:p>
    <w:p>
      <w:pPr>
        <w:pStyle w:val="13"/>
        <w:numPr>
          <w:ilvl w:val="0"/>
          <w:numId w:val="9"/>
        </w:numPr>
        <w:tabs>
          <w:tab w:val="left" w:pos="1419"/>
        </w:tabs>
        <w:spacing w:before="5" w:after="0" w:line="362" w:lineRule="auto"/>
        <w:ind w:left="658" w:right="691" w:firstLine="480"/>
        <w:jc w:val="left"/>
        <w:rPr>
          <w:sz w:val="24"/>
        </w:rPr>
      </w:pPr>
      <w:r>
        <w:rPr>
          <w:spacing w:val="-3"/>
          <w:sz w:val="24"/>
        </w:rPr>
        <w:t>《中华人民共和国清洁生产促进法》</w:t>
      </w:r>
      <w:r>
        <w:rPr>
          <w:sz w:val="24"/>
        </w:rPr>
        <w:t>（</w:t>
      </w:r>
      <w:r>
        <w:rPr>
          <w:rFonts w:ascii="Times New Roman" w:eastAsia="Times New Roman"/>
          <w:sz w:val="24"/>
        </w:rPr>
        <w:t>2012</w:t>
      </w:r>
      <w:r>
        <w:rPr>
          <w:rFonts w:ascii="Times New Roman" w:eastAsia="Times New Roman"/>
          <w:spacing w:val="7"/>
          <w:sz w:val="24"/>
        </w:rPr>
        <w:t xml:space="preserve"> </w:t>
      </w:r>
      <w:r>
        <w:rPr>
          <w:spacing w:val="-27"/>
          <w:sz w:val="24"/>
        </w:rPr>
        <w:t xml:space="preserve">年 </w:t>
      </w:r>
      <w:r>
        <w:rPr>
          <w:rFonts w:ascii="Times New Roman" w:eastAsia="Times New Roman"/>
          <w:sz w:val="24"/>
        </w:rPr>
        <w:t>2</w:t>
      </w:r>
      <w:r>
        <w:rPr>
          <w:rFonts w:ascii="Times New Roman" w:eastAsia="Times New Roman"/>
          <w:spacing w:val="8"/>
          <w:sz w:val="24"/>
        </w:rPr>
        <w:t xml:space="preserve"> </w:t>
      </w:r>
      <w:r>
        <w:rPr>
          <w:spacing w:val="-27"/>
          <w:sz w:val="24"/>
        </w:rPr>
        <w:t xml:space="preserve">月 </w:t>
      </w:r>
      <w:r>
        <w:rPr>
          <w:rFonts w:ascii="Times New Roman" w:eastAsia="Times New Roman"/>
          <w:sz w:val="24"/>
        </w:rPr>
        <w:t>29</w:t>
      </w:r>
      <w:r>
        <w:rPr>
          <w:rFonts w:ascii="Times New Roman" w:eastAsia="Times New Roman"/>
          <w:spacing w:val="8"/>
          <w:sz w:val="24"/>
        </w:rPr>
        <w:t xml:space="preserve"> </w:t>
      </w:r>
      <w:r>
        <w:rPr>
          <w:spacing w:val="-2"/>
          <w:sz w:val="24"/>
        </w:rPr>
        <w:t>日修正，</w:t>
      </w:r>
      <w:r>
        <w:rPr>
          <w:rFonts w:ascii="Times New Roman" w:eastAsia="Times New Roman"/>
          <w:spacing w:val="-5"/>
          <w:sz w:val="24"/>
        </w:rPr>
        <w:t>2012</w:t>
      </w:r>
      <w:r>
        <w:rPr>
          <w:rFonts w:ascii="Times New Roman" w:eastAsia="Times New Roman"/>
          <w:spacing w:val="7"/>
          <w:sz w:val="24"/>
        </w:rPr>
        <w:t xml:space="preserve"> </w:t>
      </w:r>
      <w:r>
        <w:rPr>
          <w:spacing w:val="-26"/>
          <w:sz w:val="24"/>
        </w:rPr>
        <w:t xml:space="preserve">年 </w:t>
      </w:r>
      <w:r>
        <w:rPr>
          <w:rFonts w:ascii="Times New Roman" w:eastAsia="Times New Roman"/>
          <w:sz w:val="24"/>
        </w:rPr>
        <w:t>7</w:t>
      </w:r>
      <w:r>
        <w:rPr>
          <w:rFonts w:ascii="Times New Roman" w:eastAsia="Times New Roman"/>
          <w:spacing w:val="7"/>
          <w:sz w:val="24"/>
        </w:rPr>
        <w:t xml:space="preserve"> </w:t>
      </w:r>
      <w:r>
        <w:rPr>
          <w:spacing w:val="-26"/>
          <w:sz w:val="24"/>
        </w:rPr>
        <w:t xml:space="preserve">月 </w:t>
      </w:r>
      <w:r>
        <w:rPr>
          <w:rFonts w:ascii="Times New Roman" w:eastAsia="Times New Roman"/>
          <w:sz w:val="24"/>
        </w:rPr>
        <w:t xml:space="preserve">1 </w:t>
      </w:r>
      <w:r>
        <w:rPr>
          <w:spacing w:val="-5"/>
          <w:sz w:val="24"/>
        </w:rPr>
        <w:t>日起施行</w:t>
      </w:r>
      <w:r>
        <w:rPr>
          <w:sz w:val="24"/>
        </w:rPr>
        <w:t>）；</w:t>
      </w:r>
    </w:p>
    <w:p>
      <w:pPr>
        <w:pStyle w:val="13"/>
        <w:numPr>
          <w:ilvl w:val="0"/>
          <w:numId w:val="9"/>
        </w:numPr>
        <w:tabs>
          <w:tab w:val="left" w:pos="1539"/>
        </w:tabs>
        <w:spacing w:before="5" w:after="0" w:line="362" w:lineRule="auto"/>
        <w:ind w:left="658" w:right="697" w:firstLine="480"/>
        <w:jc w:val="left"/>
        <w:rPr>
          <w:sz w:val="24"/>
        </w:rPr>
      </w:pPr>
      <w:r>
        <w:rPr>
          <w:sz w:val="24"/>
        </w:rPr>
        <w:t>《中华人民共和国土地管理法》（主席令〔</w:t>
      </w:r>
      <w:r>
        <w:rPr>
          <w:rFonts w:ascii="Times New Roman" w:eastAsia="Times New Roman"/>
          <w:sz w:val="24"/>
        </w:rPr>
        <w:t>2004</w:t>
      </w:r>
      <w:r>
        <w:rPr>
          <w:sz w:val="24"/>
        </w:rPr>
        <w:t>〕</w:t>
      </w:r>
      <w:r>
        <w:rPr>
          <w:rFonts w:ascii="Times New Roman" w:eastAsia="Times New Roman"/>
          <w:sz w:val="24"/>
        </w:rPr>
        <w:t>28</w:t>
      </w:r>
      <w:r>
        <w:rPr>
          <w:rFonts w:ascii="Times New Roman" w:eastAsia="Times New Roman"/>
          <w:spacing w:val="3"/>
          <w:sz w:val="24"/>
        </w:rPr>
        <w:t xml:space="preserve"> </w:t>
      </w:r>
      <w:r>
        <w:rPr>
          <w:sz w:val="24"/>
        </w:rPr>
        <w:t>号，</w:t>
      </w:r>
      <w:r>
        <w:rPr>
          <w:rFonts w:ascii="Times New Roman" w:eastAsia="Times New Roman"/>
          <w:sz w:val="24"/>
        </w:rPr>
        <w:t>2019</w:t>
      </w:r>
      <w:r>
        <w:rPr>
          <w:rFonts w:ascii="Times New Roman" w:eastAsia="Times New Roman"/>
          <w:spacing w:val="3"/>
          <w:sz w:val="24"/>
        </w:rPr>
        <w:t xml:space="preserve"> </w:t>
      </w:r>
      <w:r>
        <w:rPr>
          <w:spacing w:val="-28"/>
          <w:sz w:val="24"/>
        </w:rPr>
        <w:t xml:space="preserve">年 </w:t>
      </w:r>
      <w:r>
        <w:rPr>
          <w:rFonts w:ascii="Times New Roman" w:eastAsia="Times New Roman"/>
          <w:sz w:val="24"/>
        </w:rPr>
        <w:t>8</w:t>
      </w:r>
      <w:r>
        <w:rPr>
          <w:rFonts w:ascii="Times New Roman" w:eastAsia="Times New Roman"/>
          <w:spacing w:val="4"/>
          <w:sz w:val="24"/>
        </w:rPr>
        <w:t xml:space="preserve"> </w:t>
      </w:r>
      <w:r>
        <w:rPr>
          <w:spacing w:val="-28"/>
          <w:sz w:val="24"/>
        </w:rPr>
        <w:t xml:space="preserve">月 </w:t>
      </w:r>
      <w:r>
        <w:rPr>
          <w:rFonts w:ascii="Times New Roman" w:eastAsia="Times New Roman"/>
          <w:sz w:val="24"/>
        </w:rPr>
        <w:t>28</w:t>
      </w:r>
      <w:r>
        <w:rPr>
          <w:rFonts w:ascii="Times New Roman" w:eastAsia="Times New Roman"/>
          <w:spacing w:val="3"/>
          <w:sz w:val="24"/>
        </w:rPr>
        <w:t xml:space="preserve"> </w:t>
      </w:r>
      <w:r>
        <w:rPr>
          <w:spacing w:val="-6"/>
          <w:sz w:val="24"/>
        </w:rPr>
        <w:t>日第</w:t>
      </w:r>
      <w:r>
        <w:rPr>
          <w:sz w:val="24"/>
        </w:rPr>
        <w:t>三次修订，</w:t>
      </w:r>
      <w:r>
        <w:rPr>
          <w:rFonts w:ascii="Times New Roman" w:eastAsia="Times New Roman"/>
          <w:sz w:val="24"/>
        </w:rPr>
        <w:t xml:space="preserve">2020 </w:t>
      </w:r>
      <w:r>
        <w:rPr>
          <w:spacing w:val="-30"/>
          <w:sz w:val="24"/>
        </w:rPr>
        <w:t xml:space="preserve">年 </w:t>
      </w:r>
      <w:r>
        <w:rPr>
          <w:rFonts w:ascii="Times New Roman" w:eastAsia="Times New Roman"/>
          <w:sz w:val="24"/>
        </w:rPr>
        <w:t xml:space="preserve">1 </w:t>
      </w:r>
      <w:r>
        <w:rPr>
          <w:spacing w:val="-30"/>
          <w:sz w:val="24"/>
        </w:rPr>
        <w:t xml:space="preserve">月 </w:t>
      </w:r>
      <w:r>
        <w:rPr>
          <w:rFonts w:ascii="Times New Roman" w:eastAsia="Times New Roman"/>
          <w:sz w:val="24"/>
        </w:rPr>
        <w:t xml:space="preserve">1 </w:t>
      </w:r>
      <w:r>
        <w:rPr>
          <w:sz w:val="24"/>
        </w:rPr>
        <w:t>日起施行）；</w:t>
      </w:r>
    </w:p>
    <w:p>
      <w:pPr>
        <w:pStyle w:val="13"/>
        <w:numPr>
          <w:ilvl w:val="0"/>
          <w:numId w:val="9"/>
        </w:numPr>
        <w:tabs>
          <w:tab w:val="left" w:pos="1532"/>
        </w:tabs>
        <w:spacing w:before="5" w:after="0" w:line="240" w:lineRule="auto"/>
        <w:ind w:left="1531" w:right="0" w:hanging="394"/>
        <w:jc w:val="left"/>
        <w:rPr>
          <w:sz w:val="24"/>
        </w:rPr>
      </w:pPr>
      <w:r>
        <w:rPr>
          <w:sz w:val="24"/>
        </w:rPr>
        <w:t>《中华人民共和国矿产资源法》（</w:t>
      </w:r>
      <w:r>
        <w:rPr>
          <w:rFonts w:ascii="Times New Roman" w:eastAsia="Times New Roman"/>
          <w:sz w:val="24"/>
        </w:rPr>
        <w:t xml:space="preserve">2009 </w:t>
      </w:r>
      <w:r>
        <w:rPr>
          <w:spacing w:val="-30"/>
          <w:sz w:val="24"/>
        </w:rPr>
        <w:t xml:space="preserve">年 </w:t>
      </w:r>
      <w:r>
        <w:rPr>
          <w:rFonts w:ascii="Times New Roman" w:eastAsia="Times New Roman"/>
          <w:sz w:val="24"/>
        </w:rPr>
        <w:t xml:space="preserve">8 </w:t>
      </w:r>
      <w:r>
        <w:rPr>
          <w:spacing w:val="-30"/>
          <w:sz w:val="24"/>
        </w:rPr>
        <w:t xml:space="preserve">月 </w:t>
      </w:r>
      <w:r>
        <w:rPr>
          <w:rFonts w:ascii="Times New Roman" w:eastAsia="Times New Roman"/>
          <w:sz w:val="24"/>
        </w:rPr>
        <w:t xml:space="preserve">27 </w:t>
      </w:r>
      <w:r>
        <w:rPr>
          <w:sz w:val="24"/>
        </w:rPr>
        <w:t>日第二次修正，</w:t>
      </w:r>
      <w:r>
        <w:rPr>
          <w:rFonts w:ascii="Times New Roman" w:eastAsia="Times New Roman"/>
          <w:sz w:val="24"/>
        </w:rPr>
        <w:t xml:space="preserve">2009 </w:t>
      </w:r>
      <w:r>
        <w:rPr>
          <w:spacing w:val="-30"/>
          <w:sz w:val="24"/>
        </w:rPr>
        <w:t xml:space="preserve">年 </w:t>
      </w:r>
      <w:r>
        <w:rPr>
          <w:rFonts w:ascii="Times New Roman" w:eastAsia="Times New Roman"/>
          <w:sz w:val="24"/>
        </w:rPr>
        <w:t xml:space="preserve">8 </w:t>
      </w:r>
      <w:r>
        <w:rPr>
          <w:sz w:val="24"/>
        </w:rPr>
        <w:t>月</w:t>
      </w:r>
    </w:p>
    <w:p>
      <w:pPr>
        <w:pStyle w:val="6"/>
        <w:spacing w:before="158"/>
        <w:ind w:left="658"/>
      </w:pPr>
      <w:r>
        <w:rPr>
          <w:rFonts w:ascii="Times New Roman" w:eastAsia="Times New Roman"/>
        </w:rPr>
        <w:t xml:space="preserve">27 </w:t>
      </w:r>
      <w:r>
        <w:t>日起施行）；</w:t>
      </w:r>
    </w:p>
    <w:p>
      <w:pPr>
        <w:pStyle w:val="13"/>
        <w:numPr>
          <w:ilvl w:val="0"/>
          <w:numId w:val="9"/>
        </w:numPr>
        <w:tabs>
          <w:tab w:val="left" w:pos="1539"/>
        </w:tabs>
        <w:spacing w:before="161" w:after="0" w:line="362" w:lineRule="auto"/>
        <w:ind w:left="658" w:right="693" w:firstLine="480"/>
        <w:jc w:val="left"/>
        <w:rPr>
          <w:sz w:val="24"/>
        </w:rPr>
      </w:pPr>
      <w:r>
        <w:rPr>
          <w:spacing w:val="-4"/>
          <w:sz w:val="24"/>
        </w:rPr>
        <w:t>《中华人民共和国煤炭法》</w:t>
      </w:r>
      <w:r>
        <w:rPr>
          <w:sz w:val="24"/>
        </w:rPr>
        <w:t>（</w:t>
      </w:r>
      <w:r>
        <w:rPr>
          <w:rFonts w:ascii="Times New Roman" w:eastAsia="Times New Roman"/>
          <w:sz w:val="24"/>
        </w:rPr>
        <w:t>2016</w:t>
      </w:r>
      <w:r>
        <w:rPr>
          <w:rFonts w:ascii="Times New Roman" w:eastAsia="Times New Roman"/>
          <w:spacing w:val="6"/>
          <w:sz w:val="24"/>
        </w:rPr>
        <w:t xml:space="preserve"> </w:t>
      </w:r>
      <w:r>
        <w:rPr>
          <w:spacing w:val="-27"/>
          <w:sz w:val="24"/>
        </w:rPr>
        <w:t xml:space="preserve">年 </w:t>
      </w:r>
      <w:r>
        <w:rPr>
          <w:rFonts w:ascii="Times New Roman" w:eastAsia="Times New Roman"/>
          <w:sz w:val="24"/>
        </w:rPr>
        <w:t>6</w:t>
      </w:r>
      <w:r>
        <w:rPr>
          <w:rFonts w:ascii="Times New Roman" w:eastAsia="Times New Roman"/>
          <w:spacing w:val="7"/>
          <w:sz w:val="24"/>
        </w:rPr>
        <w:t xml:space="preserve"> </w:t>
      </w:r>
      <w:r>
        <w:rPr>
          <w:spacing w:val="-27"/>
          <w:sz w:val="24"/>
        </w:rPr>
        <w:t xml:space="preserve">月 </w:t>
      </w:r>
      <w:r>
        <w:rPr>
          <w:rFonts w:ascii="Times New Roman" w:eastAsia="Times New Roman"/>
          <w:sz w:val="24"/>
        </w:rPr>
        <w:t>17</w:t>
      </w:r>
      <w:r>
        <w:rPr>
          <w:rFonts w:ascii="Times New Roman" w:eastAsia="Times New Roman"/>
          <w:spacing w:val="7"/>
          <w:sz w:val="24"/>
        </w:rPr>
        <w:t xml:space="preserve"> </w:t>
      </w:r>
      <w:r>
        <w:rPr>
          <w:spacing w:val="-1"/>
          <w:sz w:val="24"/>
        </w:rPr>
        <w:t>日第四次修正，</w:t>
      </w:r>
      <w:r>
        <w:rPr>
          <w:rFonts w:ascii="Times New Roman" w:eastAsia="Times New Roman"/>
          <w:spacing w:val="-5"/>
          <w:sz w:val="24"/>
        </w:rPr>
        <w:t>2016</w:t>
      </w:r>
      <w:r>
        <w:rPr>
          <w:rFonts w:ascii="Times New Roman" w:eastAsia="Times New Roman"/>
          <w:spacing w:val="7"/>
          <w:sz w:val="24"/>
        </w:rPr>
        <w:t xml:space="preserve"> </w:t>
      </w:r>
      <w:r>
        <w:rPr>
          <w:spacing w:val="-27"/>
          <w:sz w:val="24"/>
        </w:rPr>
        <w:t xml:space="preserve">年 </w:t>
      </w:r>
      <w:r>
        <w:rPr>
          <w:rFonts w:ascii="Times New Roman" w:eastAsia="Times New Roman"/>
          <w:sz w:val="24"/>
        </w:rPr>
        <w:t>6</w:t>
      </w:r>
      <w:r>
        <w:rPr>
          <w:rFonts w:ascii="Times New Roman" w:eastAsia="Times New Roman"/>
          <w:spacing w:val="7"/>
          <w:sz w:val="24"/>
        </w:rPr>
        <w:t xml:space="preserve"> </w:t>
      </w:r>
      <w:r>
        <w:rPr>
          <w:spacing w:val="-27"/>
          <w:sz w:val="24"/>
        </w:rPr>
        <w:t xml:space="preserve">月 </w:t>
      </w:r>
      <w:r>
        <w:rPr>
          <w:rFonts w:ascii="Times New Roman" w:eastAsia="Times New Roman"/>
          <w:sz w:val="24"/>
        </w:rPr>
        <w:t xml:space="preserve">17 </w:t>
      </w:r>
      <w:r>
        <w:rPr>
          <w:spacing w:val="-4"/>
          <w:sz w:val="24"/>
        </w:rPr>
        <w:t>日起施行</w:t>
      </w:r>
      <w:r>
        <w:rPr>
          <w:sz w:val="24"/>
        </w:rPr>
        <w:t>）；</w:t>
      </w:r>
    </w:p>
    <w:p>
      <w:pPr>
        <w:pStyle w:val="13"/>
        <w:numPr>
          <w:ilvl w:val="0"/>
          <w:numId w:val="9"/>
        </w:numPr>
        <w:tabs>
          <w:tab w:val="left" w:pos="1539"/>
        </w:tabs>
        <w:spacing w:before="5" w:after="0" w:line="240" w:lineRule="auto"/>
        <w:ind w:left="1538" w:right="0" w:hanging="401"/>
        <w:jc w:val="left"/>
        <w:rPr>
          <w:rFonts w:ascii="Times New Roman" w:eastAsia="Times New Roman"/>
          <w:sz w:val="24"/>
        </w:rPr>
      </w:pPr>
      <w:r>
        <w:rPr>
          <w:spacing w:val="-1"/>
          <w:sz w:val="24"/>
        </w:rPr>
        <w:t>《中华人民共和国循环经济促进法》</w:t>
      </w:r>
      <w:r>
        <w:rPr>
          <w:sz w:val="24"/>
        </w:rPr>
        <w:t>（</w:t>
      </w:r>
      <w:r>
        <w:rPr>
          <w:rFonts w:ascii="Times New Roman" w:eastAsia="Times New Roman"/>
          <w:sz w:val="24"/>
        </w:rPr>
        <w:t>2018</w:t>
      </w:r>
      <w:r>
        <w:rPr>
          <w:rFonts w:ascii="Times New Roman" w:eastAsia="Times New Roman"/>
          <w:spacing w:val="-1"/>
          <w:sz w:val="24"/>
        </w:rPr>
        <w:t xml:space="preserve"> </w:t>
      </w:r>
      <w:r>
        <w:rPr>
          <w:spacing w:val="-30"/>
          <w:sz w:val="24"/>
        </w:rPr>
        <w:t xml:space="preserve">年 </w:t>
      </w:r>
      <w:r>
        <w:rPr>
          <w:rFonts w:ascii="Times New Roman" w:eastAsia="Times New Roman"/>
          <w:sz w:val="24"/>
        </w:rPr>
        <w:t xml:space="preserve">10 </w:t>
      </w:r>
      <w:r>
        <w:rPr>
          <w:spacing w:val="-31"/>
          <w:sz w:val="24"/>
        </w:rPr>
        <w:t xml:space="preserve">月 </w:t>
      </w:r>
      <w:r>
        <w:rPr>
          <w:rFonts w:ascii="Times New Roman" w:eastAsia="Times New Roman"/>
          <w:sz w:val="24"/>
        </w:rPr>
        <w:t xml:space="preserve">26 </w:t>
      </w:r>
      <w:r>
        <w:rPr>
          <w:sz w:val="24"/>
        </w:rPr>
        <w:t>日修正，</w:t>
      </w:r>
      <w:r>
        <w:rPr>
          <w:rFonts w:ascii="Times New Roman" w:eastAsia="Times New Roman"/>
          <w:sz w:val="24"/>
        </w:rPr>
        <w:t xml:space="preserve">2019 </w:t>
      </w:r>
      <w:r>
        <w:rPr>
          <w:spacing w:val="-31"/>
          <w:sz w:val="24"/>
        </w:rPr>
        <w:t xml:space="preserve">年 </w:t>
      </w:r>
      <w:r>
        <w:rPr>
          <w:rFonts w:ascii="Times New Roman" w:eastAsia="Times New Roman"/>
          <w:sz w:val="24"/>
        </w:rPr>
        <w:t xml:space="preserve">1 </w:t>
      </w:r>
      <w:r>
        <w:rPr>
          <w:spacing w:val="-31"/>
          <w:sz w:val="24"/>
        </w:rPr>
        <w:t xml:space="preserve">月 </w:t>
      </w:r>
      <w:r>
        <w:rPr>
          <w:rFonts w:ascii="Times New Roman" w:eastAsia="Times New Roman"/>
          <w:sz w:val="24"/>
        </w:rPr>
        <w:t>1</w:t>
      </w:r>
    </w:p>
    <w:p>
      <w:pPr>
        <w:pStyle w:val="6"/>
        <w:spacing w:before="160"/>
        <w:ind w:left="658"/>
      </w:pPr>
      <w:r>
        <w:t>日起施行）；</w:t>
      </w:r>
    </w:p>
    <w:p>
      <w:pPr>
        <w:pStyle w:val="13"/>
        <w:numPr>
          <w:ilvl w:val="0"/>
          <w:numId w:val="9"/>
        </w:numPr>
        <w:tabs>
          <w:tab w:val="left" w:pos="1539"/>
        </w:tabs>
        <w:spacing w:before="158" w:after="0" w:line="240" w:lineRule="auto"/>
        <w:ind w:left="1538" w:right="0" w:hanging="401"/>
        <w:jc w:val="left"/>
        <w:rPr>
          <w:rFonts w:ascii="Times New Roman" w:eastAsia="Times New Roman"/>
          <w:sz w:val="24"/>
        </w:rPr>
      </w:pPr>
      <w:r>
        <w:rPr>
          <w:spacing w:val="-5"/>
          <w:sz w:val="24"/>
        </w:rPr>
        <w:t xml:space="preserve">中华人民共和国国务院令第 </w:t>
      </w:r>
      <w:r>
        <w:rPr>
          <w:rFonts w:ascii="Times New Roman" w:eastAsia="Times New Roman"/>
          <w:sz w:val="24"/>
        </w:rPr>
        <w:t xml:space="preserve">682 </w:t>
      </w:r>
      <w:r>
        <w:rPr>
          <w:sz w:val="24"/>
        </w:rPr>
        <w:t>号《建设项目环境保护管理条例》（</w:t>
      </w:r>
      <w:r>
        <w:rPr>
          <w:rFonts w:ascii="Times New Roman" w:eastAsia="Times New Roman"/>
          <w:sz w:val="24"/>
        </w:rPr>
        <w:t xml:space="preserve">2017 </w:t>
      </w:r>
      <w:r>
        <w:rPr>
          <w:spacing w:val="-30"/>
          <w:sz w:val="24"/>
        </w:rPr>
        <w:t xml:space="preserve">年 </w:t>
      </w:r>
      <w:r>
        <w:rPr>
          <w:rFonts w:ascii="Times New Roman" w:eastAsia="Times New Roman"/>
          <w:sz w:val="24"/>
        </w:rPr>
        <w:t>7</w:t>
      </w:r>
    </w:p>
    <w:p>
      <w:pPr>
        <w:spacing w:after="0" w:line="240" w:lineRule="auto"/>
        <w:jc w:val="left"/>
        <w:rPr>
          <w:rFonts w:ascii="Times New Roman" w:eastAsia="Times New Roman"/>
          <w:sz w:val="24"/>
        </w:rPr>
        <w:sectPr>
          <w:pgSz w:w="11910" w:h="16840"/>
          <w:pgMar w:top="1360" w:right="720" w:bottom="1160" w:left="760" w:header="0" w:footer="975" w:gutter="0"/>
        </w:sectPr>
      </w:pPr>
    </w:p>
    <w:p>
      <w:pPr>
        <w:pStyle w:val="6"/>
        <w:spacing w:before="61"/>
        <w:ind w:left="658"/>
      </w:pPr>
      <w:r>
        <w:t xml:space="preserve">月 </w:t>
      </w:r>
      <w:r>
        <w:rPr>
          <w:rFonts w:ascii="Times New Roman" w:eastAsia="Times New Roman"/>
        </w:rPr>
        <w:t xml:space="preserve">16 </w:t>
      </w:r>
      <w:r>
        <w:t>日修订，</w:t>
      </w:r>
      <w:r>
        <w:rPr>
          <w:rFonts w:ascii="Times New Roman" w:eastAsia="Times New Roman"/>
        </w:rPr>
        <w:t xml:space="preserve">2017 </w:t>
      </w:r>
      <w:r>
        <w:t xml:space="preserve">年 </w:t>
      </w:r>
      <w:r>
        <w:rPr>
          <w:rFonts w:ascii="Times New Roman" w:eastAsia="Times New Roman"/>
        </w:rPr>
        <w:t xml:space="preserve">10 </w:t>
      </w:r>
      <w:r>
        <w:t xml:space="preserve">月 </w:t>
      </w:r>
      <w:r>
        <w:rPr>
          <w:rFonts w:ascii="Times New Roman" w:eastAsia="Times New Roman"/>
        </w:rPr>
        <w:t xml:space="preserve">1 </w:t>
      </w:r>
      <w:r>
        <w:t>日起实施）；</w:t>
      </w:r>
    </w:p>
    <w:p>
      <w:pPr>
        <w:pStyle w:val="13"/>
        <w:numPr>
          <w:ilvl w:val="0"/>
          <w:numId w:val="9"/>
        </w:numPr>
        <w:tabs>
          <w:tab w:val="left" w:pos="1539"/>
        </w:tabs>
        <w:spacing w:before="158" w:after="0" w:line="240" w:lineRule="auto"/>
        <w:ind w:left="1538" w:right="0" w:hanging="401"/>
        <w:jc w:val="left"/>
        <w:rPr>
          <w:sz w:val="24"/>
        </w:rPr>
      </w:pPr>
      <w:r>
        <w:rPr>
          <w:sz w:val="24"/>
        </w:rPr>
        <w:t>《建设项目环境影响评价分类管理名录》（</w:t>
      </w:r>
      <w:r>
        <w:rPr>
          <w:rFonts w:ascii="Times New Roman" w:eastAsia="Times New Roman"/>
          <w:sz w:val="24"/>
        </w:rPr>
        <w:t xml:space="preserve">2018 </w:t>
      </w:r>
      <w:r>
        <w:rPr>
          <w:spacing w:val="-30"/>
          <w:sz w:val="24"/>
        </w:rPr>
        <w:t xml:space="preserve">年 </w:t>
      </w:r>
      <w:r>
        <w:rPr>
          <w:rFonts w:ascii="Times New Roman" w:eastAsia="Times New Roman"/>
          <w:sz w:val="24"/>
        </w:rPr>
        <w:t xml:space="preserve">4 </w:t>
      </w:r>
      <w:r>
        <w:rPr>
          <w:spacing w:val="-30"/>
          <w:sz w:val="24"/>
        </w:rPr>
        <w:t xml:space="preserve">月 </w:t>
      </w:r>
      <w:r>
        <w:rPr>
          <w:rFonts w:ascii="Times New Roman" w:eastAsia="Times New Roman"/>
          <w:sz w:val="24"/>
        </w:rPr>
        <w:t xml:space="preserve">28 </w:t>
      </w:r>
      <w:r>
        <w:rPr>
          <w:sz w:val="24"/>
        </w:rPr>
        <w:t>日修订）；</w:t>
      </w:r>
    </w:p>
    <w:p>
      <w:pPr>
        <w:pStyle w:val="13"/>
        <w:numPr>
          <w:ilvl w:val="0"/>
          <w:numId w:val="9"/>
        </w:numPr>
        <w:tabs>
          <w:tab w:val="left" w:pos="1539"/>
        </w:tabs>
        <w:spacing w:before="161" w:after="0" w:line="364" w:lineRule="auto"/>
        <w:ind w:left="658" w:right="691" w:firstLine="480"/>
        <w:jc w:val="left"/>
        <w:rPr>
          <w:sz w:val="24"/>
        </w:rPr>
      </w:pPr>
      <w:r>
        <w:rPr>
          <w:spacing w:val="-5"/>
          <w:sz w:val="24"/>
        </w:rPr>
        <w:t xml:space="preserve">国家发展和改革委员会文件第 </w:t>
      </w:r>
      <w:r>
        <w:rPr>
          <w:rFonts w:ascii="Times New Roman" w:eastAsia="Times New Roman"/>
          <w:sz w:val="24"/>
        </w:rPr>
        <w:t>29</w:t>
      </w:r>
      <w:r>
        <w:rPr>
          <w:rFonts w:ascii="Times New Roman" w:eastAsia="Times New Roman"/>
          <w:spacing w:val="1"/>
          <w:sz w:val="24"/>
        </w:rPr>
        <w:t xml:space="preserve"> </w:t>
      </w:r>
      <w:r>
        <w:rPr>
          <w:spacing w:val="-11"/>
          <w:sz w:val="24"/>
        </w:rPr>
        <w:t>号令《产业结构调整指导目录</w:t>
      </w:r>
      <w:r>
        <w:rPr>
          <w:rFonts w:ascii="Times New Roman" w:eastAsia="Times New Roman"/>
          <w:sz w:val="24"/>
        </w:rPr>
        <w:t>(2019</w:t>
      </w:r>
      <w:r>
        <w:rPr>
          <w:rFonts w:ascii="Times New Roman" w:eastAsia="Times New Roman"/>
          <w:spacing w:val="1"/>
          <w:sz w:val="24"/>
        </w:rPr>
        <w:t xml:space="preserve"> </w:t>
      </w:r>
      <w:r>
        <w:rPr>
          <w:sz w:val="24"/>
        </w:rPr>
        <w:t>年本</w:t>
      </w:r>
      <w:r>
        <w:rPr>
          <w:rFonts w:ascii="Times New Roman" w:eastAsia="Times New Roman"/>
          <w:sz w:val="24"/>
        </w:rPr>
        <w:t>)</w:t>
      </w:r>
      <w:r>
        <w:rPr>
          <w:spacing w:val="-204"/>
          <w:sz w:val="24"/>
        </w:rPr>
        <w:t>》</w:t>
      </w:r>
      <w:r>
        <w:rPr>
          <w:sz w:val="24"/>
        </w:rPr>
        <w:t>（</w:t>
      </w:r>
      <w:r>
        <w:rPr>
          <w:spacing w:val="-13"/>
          <w:sz w:val="24"/>
        </w:rPr>
        <w:t>修</w:t>
      </w:r>
      <w:r>
        <w:rPr>
          <w:sz w:val="24"/>
        </w:rPr>
        <w:t>正）（</w:t>
      </w:r>
      <w:r>
        <w:rPr>
          <w:rFonts w:ascii="Times New Roman" w:eastAsia="Times New Roman"/>
          <w:sz w:val="24"/>
        </w:rPr>
        <w:t>2020.1.1</w:t>
      </w:r>
      <w:r>
        <w:rPr>
          <w:sz w:val="24"/>
        </w:rPr>
        <w:t>）；</w:t>
      </w:r>
    </w:p>
    <w:p>
      <w:pPr>
        <w:pStyle w:val="6"/>
        <w:spacing w:line="306" w:lineRule="exact"/>
        <w:ind w:left="1138"/>
      </w:pPr>
      <w:r>
        <w:rPr>
          <w:rFonts w:ascii="Times New Roman" w:eastAsia="Times New Roman"/>
          <w:spacing w:val="-1"/>
        </w:rPr>
        <w:t>(</w:t>
      </w:r>
      <w:r>
        <w:rPr>
          <w:rFonts w:ascii="Times New Roman" w:eastAsia="Times New Roman"/>
        </w:rPr>
        <w:t>1</w:t>
      </w:r>
      <w:r>
        <w:rPr>
          <w:rFonts w:ascii="Times New Roman" w:eastAsia="Times New Roman"/>
          <w:spacing w:val="-39"/>
        </w:rPr>
        <w:t>7</w:t>
      </w:r>
      <w:r>
        <w:rPr>
          <w:spacing w:val="-202"/>
        </w:rPr>
        <w:t>《</w:t>
      </w:r>
      <w:r>
        <w:rPr>
          <w:rFonts w:ascii="Times New Roman" w:eastAsia="Times New Roman"/>
          <w:spacing w:val="-1"/>
        </w:rPr>
        <w:t xml:space="preserve">)  </w:t>
      </w:r>
      <w:r>
        <w:rPr>
          <w:spacing w:val="-7"/>
        </w:rPr>
        <w:t>建设项目环境影响评价信息公开机制方案》</w:t>
      </w:r>
      <w:r>
        <w:rPr>
          <w:spacing w:val="-238"/>
        </w:rPr>
        <w:t>，</w:t>
      </w:r>
      <w:r>
        <w:rPr>
          <w:spacing w:val="-3"/>
        </w:rPr>
        <w:t>（</w:t>
      </w:r>
      <w:r>
        <w:rPr>
          <w:spacing w:val="-41"/>
        </w:rPr>
        <w:t>环发〔</w:t>
      </w:r>
      <w:r>
        <w:rPr>
          <w:rFonts w:ascii="Times New Roman" w:eastAsia="Times New Roman"/>
        </w:rPr>
        <w:t>2015</w:t>
      </w:r>
      <w:r>
        <w:rPr>
          <w:spacing w:val="-120"/>
        </w:rPr>
        <w:t>〕</w:t>
      </w:r>
      <w:r>
        <w:rPr>
          <w:rFonts w:ascii="Times New Roman" w:eastAsia="Times New Roman"/>
        </w:rPr>
        <w:t>162</w:t>
      </w:r>
      <w:r>
        <w:rPr>
          <w:rFonts w:ascii="Times New Roman" w:eastAsia="Times New Roman"/>
          <w:spacing w:val="-22"/>
        </w:rPr>
        <w:t xml:space="preserve"> </w:t>
      </w:r>
      <w:r>
        <w:t>号</w:t>
      </w:r>
      <w:r>
        <w:rPr>
          <w:spacing w:val="-236"/>
        </w:rPr>
        <w:t>）</w:t>
      </w:r>
      <w:r>
        <w:rPr>
          <w:spacing w:val="-5"/>
        </w:rPr>
        <w:t>（</w:t>
      </w:r>
      <w:r>
        <w:rPr>
          <w:rFonts w:ascii="Times New Roman" w:eastAsia="Times New Roman"/>
        </w:rPr>
        <w:t>2015.12.</w:t>
      </w:r>
      <w:r>
        <w:rPr>
          <w:rFonts w:ascii="Times New Roman" w:eastAsia="Times New Roman"/>
          <w:spacing w:val="-5"/>
        </w:rPr>
        <w:t>1</w:t>
      </w:r>
      <w:r>
        <w:rPr>
          <w:rFonts w:ascii="Times New Roman" w:eastAsia="Times New Roman"/>
          <w:spacing w:val="-3"/>
        </w:rPr>
        <w:t>1</w:t>
      </w:r>
      <w:r>
        <w:rPr>
          <w:spacing w:val="-120"/>
        </w:rPr>
        <w:t>）</w:t>
      </w:r>
      <w:r>
        <w:t>；</w:t>
      </w:r>
    </w:p>
    <w:p>
      <w:pPr>
        <w:pStyle w:val="13"/>
        <w:numPr>
          <w:ilvl w:val="0"/>
          <w:numId w:val="10"/>
        </w:numPr>
        <w:tabs>
          <w:tab w:val="left" w:pos="1539"/>
        </w:tabs>
        <w:spacing w:before="160" w:after="0" w:line="362" w:lineRule="auto"/>
        <w:ind w:left="658" w:right="697" w:firstLine="480"/>
        <w:jc w:val="left"/>
        <w:rPr>
          <w:sz w:val="24"/>
        </w:rPr>
      </w:pPr>
      <w:r>
        <w:rPr>
          <w:spacing w:val="-1"/>
          <w:sz w:val="24"/>
        </w:rPr>
        <w:t>《环境影响评价公众参与办法》</w:t>
      </w:r>
      <w:r>
        <w:rPr>
          <w:sz w:val="24"/>
        </w:rPr>
        <w:t>（</w:t>
      </w:r>
      <w:r>
        <w:rPr>
          <w:spacing w:val="-8"/>
          <w:sz w:val="24"/>
        </w:rPr>
        <w:t xml:space="preserve">生态环境部令第 </w:t>
      </w:r>
      <w:r>
        <w:rPr>
          <w:rFonts w:ascii="Times New Roman" w:eastAsia="Times New Roman"/>
          <w:sz w:val="24"/>
        </w:rPr>
        <w:t>4</w:t>
      </w:r>
      <w:r>
        <w:rPr>
          <w:rFonts w:ascii="Times New Roman" w:eastAsia="Times New Roman"/>
          <w:spacing w:val="1"/>
          <w:sz w:val="24"/>
        </w:rPr>
        <w:t xml:space="preserve"> </w:t>
      </w:r>
      <w:r>
        <w:rPr>
          <w:sz w:val="24"/>
        </w:rPr>
        <w:t>号</w:t>
      </w:r>
      <w:r>
        <w:rPr>
          <w:spacing w:val="-3"/>
          <w:sz w:val="24"/>
        </w:rPr>
        <w:t>）（</w:t>
      </w:r>
      <w:r>
        <w:rPr>
          <w:rFonts w:ascii="Times New Roman" w:eastAsia="Times New Roman"/>
          <w:spacing w:val="-3"/>
          <w:sz w:val="24"/>
        </w:rPr>
        <w:t>2019</w:t>
      </w:r>
      <w:r>
        <w:rPr>
          <w:rFonts w:ascii="Times New Roman" w:eastAsia="Times New Roman"/>
          <w:spacing w:val="1"/>
          <w:sz w:val="24"/>
        </w:rPr>
        <w:t xml:space="preserve"> </w:t>
      </w:r>
      <w:r>
        <w:rPr>
          <w:spacing w:val="-30"/>
          <w:sz w:val="24"/>
        </w:rPr>
        <w:t xml:space="preserve">年 </w:t>
      </w:r>
      <w:r>
        <w:rPr>
          <w:rFonts w:ascii="Times New Roman" w:eastAsia="Times New Roman"/>
          <w:sz w:val="24"/>
        </w:rPr>
        <w:t>1</w:t>
      </w:r>
      <w:r>
        <w:rPr>
          <w:rFonts w:ascii="Times New Roman" w:eastAsia="Times New Roman"/>
          <w:spacing w:val="1"/>
          <w:sz w:val="24"/>
        </w:rPr>
        <w:t xml:space="preserve"> </w:t>
      </w:r>
      <w:r>
        <w:rPr>
          <w:spacing w:val="-30"/>
          <w:sz w:val="24"/>
        </w:rPr>
        <w:t xml:space="preserve">月 </w:t>
      </w:r>
      <w:r>
        <w:rPr>
          <w:rFonts w:ascii="Times New Roman" w:eastAsia="Times New Roman"/>
          <w:sz w:val="24"/>
        </w:rPr>
        <w:t xml:space="preserve">1 </w:t>
      </w:r>
      <w:r>
        <w:rPr>
          <w:spacing w:val="-9"/>
          <w:sz w:val="24"/>
        </w:rPr>
        <w:t>日起</w:t>
      </w:r>
      <w:r>
        <w:rPr>
          <w:sz w:val="24"/>
        </w:rPr>
        <w:t>施行）；</w:t>
      </w:r>
    </w:p>
    <w:p>
      <w:pPr>
        <w:pStyle w:val="13"/>
        <w:numPr>
          <w:ilvl w:val="0"/>
          <w:numId w:val="10"/>
        </w:numPr>
        <w:tabs>
          <w:tab w:val="left" w:pos="1539"/>
        </w:tabs>
        <w:spacing w:before="5" w:after="0" w:line="362" w:lineRule="auto"/>
        <w:ind w:left="658" w:right="693" w:firstLine="480"/>
        <w:jc w:val="left"/>
        <w:rPr>
          <w:sz w:val="24"/>
        </w:rPr>
      </w:pPr>
      <w:r>
        <w:rPr>
          <w:sz w:val="24"/>
        </w:rPr>
        <w:t>《关于以改善环境质量为核心加强环境影响评价管理的通知》（</w:t>
      </w:r>
      <w:r>
        <w:rPr>
          <w:spacing w:val="-2"/>
          <w:sz w:val="24"/>
        </w:rPr>
        <w:t>环境保护部文</w:t>
      </w:r>
      <w:r>
        <w:rPr>
          <w:sz w:val="24"/>
        </w:rPr>
        <w:t>件，环环评〔</w:t>
      </w:r>
      <w:r>
        <w:rPr>
          <w:rFonts w:ascii="Times New Roman" w:eastAsia="Times New Roman"/>
          <w:sz w:val="24"/>
        </w:rPr>
        <w:t>2016</w:t>
      </w:r>
      <w:r>
        <w:rPr>
          <w:sz w:val="24"/>
        </w:rPr>
        <w:t>〕</w:t>
      </w:r>
      <w:r>
        <w:rPr>
          <w:rFonts w:ascii="Times New Roman" w:eastAsia="Times New Roman"/>
          <w:sz w:val="24"/>
        </w:rPr>
        <w:t xml:space="preserve">150 </w:t>
      </w:r>
      <w:r>
        <w:rPr>
          <w:sz w:val="24"/>
        </w:rPr>
        <w:t>号）（</w:t>
      </w:r>
      <w:r>
        <w:rPr>
          <w:rFonts w:ascii="Times New Roman" w:eastAsia="Times New Roman"/>
          <w:sz w:val="24"/>
        </w:rPr>
        <w:t>2016.10.27</w:t>
      </w:r>
      <w:r>
        <w:rPr>
          <w:sz w:val="24"/>
        </w:rPr>
        <w:t>）；</w:t>
      </w:r>
    </w:p>
    <w:p>
      <w:pPr>
        <w:pStyle w:val="13"/>
        <w:numPr>
          <w:ilvl w:val="0"/>
          <w:numId w:val="10"/>
        </w:numPr>
        <w:tabs>
          <w:tab w:val="left" w:pos="1539"/>
        </w:tabs>
        <w:spacing w:before="5" w:after="0" w:line="240" w:lineRule="auto"/>
        <w:ind w:left="1538" w:right="0" w:hanging="401"/>
        <w:jc w:val="left"/>
        <w:rPr>
          <w:sz w:val="24"/>
        </w:rPr>
      </w:pPr>
      <w:r>
        <w:rPr>
          <w:spacing w:val="-7"/>
          <w:sz w:val="24"/>
        </w:rPr>
        <w:t>《矿山生态环境保护与污染防治技术政策》</w:t>
      </w:r>
      <w:r>
        <w:rPr>
          <w:spacing w:val="-3"/>
          <w:sz w:val="24"/>
        </w:rPr>
        <w:t>（</w:t>
      </w:r>
      <w:r>
        <w:rPr>
          <w:spacing w:val="-16"/>
          <w:sz w:val="24"/>
        </w:rPr>
        <w:t>环发〔</w:t>
      </w:r>
      <w:r>
        <w:rPr>
          <w:rFonts w:ascii="Times New Roman" w:eastAsia="Times New Roman"/>
          <w:sz w:val="24"/>
        </w:rPr>
        <w:t>2005</w:t>
      </w:r>
      <w:r>
        <w:rPr>
          <w:spacing w:val="-48"/>
          <w:sz w:val="24"/>
        </w:rPr>
        <w:t>〕</w:t>
      </w:r>
      <w:r>
        <w:rPr>
          <w:rFonts w:ascii="Times New Roman" w:eastAsia="Times New Roman"/>
          <w:sz w:val="24"/>
        </w:rPr>
        <w:t xml:space="preserve">109  </w:t>
      </w:r>
      <w:r>
        <w:rPr>
          <w:sz w:val="24"/>
        </w:rPr>
        <w:t>号</w:t>
      </w:r>
      <w:r>
        <w:rPr>
          <w:spacing w:val="-94"/>
          <w:sz w:val="24"/>
        </w:rPr>
        <w:t>）</w:t>
      </w:r>
      <w:r>
        <w:rPr>
          <w:sz w:val="24"/>
        </w:rPr>
        <w:t>（</w:t>
      </w:r>
      <w:r>
        <w:rPr>
          <w:rFonts w:ascii="Times New Roman" w:eastAsia="Times New Roman"/>
          <w:sz w:val="24"/>
        </w:rPr>
        <w:t>2005.9.7</w:t>
      </w:r>
      <w:r>
        <w:rPr>
          <w:spacing w:val="-120"/>
          <w:sz w:val="24"/>
        </w:rPr>
        <w:t>）</w:t>
      </w:r>
      <w:r>
        <w:rPr>
          <w:sz w:val="24"/>
        </w:rPr>
        <w:t>；</w:t>
      </w:r>
    </w:p>
    <w:p>
      <w:pPr>
        <w:pStyle w:val="13"/>
        <w:numPr>
          <w:ilvl w:val="0"/>
          <w:numId w:val="10"/>
        </w:numPr>
        <w:tabs>
          <w:tab w:val="left" w:pos="1539"/>
        </w:tabs>
        <w:spacing w:before="158" w:after="0" w:line="240" w:lineRule="auto"/>
        <w:ind w:left="1538" w:right="0" w:hanging="401"/>
        <w:jc w:val="left"/>
        <w:rPr>
          <w:sz w:val="24"/>
        </w:rPr>
      </w:pPr>
      <w:r>
        <w:rPr>
          <w:sz w:val="24"/>
        </w:rPr>
        <w:t>《矿山生态环境保护与恢复治理技术规范（试行）》（</w:t>
      </w:r>
      <w:r>
        <w:rPr>
          <w:rFonts w:ascii="Times New Roman" w:eastAsia="Times New Roman"/>
          <w:sz w:val="24"/>
        </w:rPr>
        <w:t>HJ651-2013</w:t>
      </w:r>
      <w:r>
        <w:rPr>
          <w:sz w:val="24"/>
        </w:rPr>
        <w:t>）；</w:t>
      </w:r>
    </w:p>
    <w:p>
      <w:pPr>
        <w:pStyle w:val="13"/>
        <w:numPr>
          <w:ilvl w:val="0"/>
          <w:numId w:val="10"/>
        </w:numPr>
        <w:tabs>
          <w:tab w:val="left" w:pos="1539"/>
        </w:tabs>
        <w:spacing w:before="161" w:after="0" w:line="240" w:lineRule="auto"/>
        <w:ind w:left="1538" w:right="0" w:hanging="401"/>
        <w:jc w:val="left"/>
        <w:rPr>
          <w:sz w:val="24"/>
        </w:rPr>
      </w:pPr>
      <w:r>
        <w:rPr>
          <w:spacing w:val="-10"/>
          <w:sz w:val="24"/>
        </w:rPr>
        <w:t>中共中央国务院《关于全面加强生态环境保护坚决打好污染防治攻坚战的意见》</w:t>
      </w:r>
    </w:p>
    <w:p>
      <w:pPr>
        <w:pStyle w:val="6"/>
        <w:spacing w:before="158"/>
        <w:ind w:left="658"/>
      </w:pPr>
      <w:r>
        <w:t>（</w:t>
      </w:r>
      <w:r>
        <w:rPr>
          <w:rFonts w:ascii="Times New Roman" w:eastAsia="Times New Roman"/>
        </w:rPr>
        <w:t>2018.6.16</w:t>
      </w:r>
      <w:r>
        <w:t>）；</w:t>
      </w:r>
    </w:p>
    <w:p>
      <w:pPr>
        <w:pStyle w:val="6"/>
        <w:spacing w:before="160"/>
        <w:ind w:left="1138"/>
      </w:pPr>
      <w:r>
        <w:rPr>
          <w:rFonts w:ascii="Times New Roman" w:eastAsia="Times New Roman"/>
          <w:spacing w:val="-1"/>
        </w:rPr>
        <w:t>(</w:t>
      </w:r>
      <w:r>
        <w:rPr>
          <w:rFonts w:ascii="Times New Roman" w:eastAsia="Times New Roman"/>
        </w:rPr>
        <w:t>2</w:t>
      </w:r>
      <w:r>
        <w:rPr>
          <w:rFonts w:ascii="Times New Roman" w:eastAsia="Times New Roman"/>
          <w:spacing w:val="-10"/>
        </w:rPr>
        <w:t>3</w:t>
      </w:r>
      <w:r>
        <w:rPr>
          <w:spacing w:val="-231"/>
        </w:rPr>
        <w:t>《</w:t>
      </w:r>
      <w:r>
        <w:rPr>
          <w:rFonts w:ascii="Times New Roman" w:eastAsia="Times New Roman"/>
          <w:spacing w:val="-8"/>
        </w:rPr>
        <w:t xml:space="preserve">)   </w:t>
      </w:r>
      <w:r>
        <w:t>国务院关于印发水污染防治行动计划的通知</w:t>
      </w:r>
      <w:r>
        <w:rPr>
          <w:spacing w:val="-180"/>
        </w:rPr>
        <w:t>》</w:t>
      </w:r>
      <w:r>
        <w:t>（</w:t>
      </w:r>
      <w:r>
        <w:rPr>
          <w:spacing w:val="-31"/>
        </w:rPr>
        <w:t>国发〔</w:t>
      </w:r>
      <w:r>
        <w:rPr>
          <w:rFonts w:ascii="Times New Roman" w:eastAsia="Times New Roman"/>
        </w:rPr>
        <w:t>2015</w:t>
      </w:r>
      <w:r>
        <w:rPr>
          <w:spacing w:val="-89"/>
        </w:rPr>
        <w:t>〕</w:t>
      </w:r>
      <w:r>
        <w:rPr>
          <w:rFonts w:ascii="Times New Roman" w:eastAsia="Times New Roman"/>
        </w:rPr>
        <w:t xml:space="preserve">17 </w:t>
      </w:r>
      <w:r>
        <w:t>号</w:t>
      </w:r>
      <w:r>
        <w:rPr>
          <w:spacing w:val="-180"/>
        </w:rPr>
        <w:t>）</w:t>
      </w:r>
      <w:r>
        <w:t>（</w:t>
      </w:r>
      <w:r>
        <w:rPr>
          <w:rFonts w:ascii="Times New Roman" w:eastAsia="Times New Roman"/>
        </w:rPr>
        <w:t>2015.4.2</w:t>
      </w:r>
      <w:r>
        <w:rPr>
          <w:spacing w:val="-120"/>
        </w:rPr>
        <w:t>）</w:t>
      </w:r>
      <w:r>
        <w:t>；</w:t>
      </w:r>
    </w:p>
    <w:p>
      <w:pPr>
        <w:pStyle w:val="13"/>
        <w:numPr>
          <w:ilvl w:val="0"/>
          <w:numId w:val="11"/>
        </w:numPr>
        <w:tabs>
          <w:tab w:val="left" w:pos="1539"/>
        </w:tabs>
        <w:spacing w:before="161" w:after="0" w:line="240" w:lineRule="auto"/>
        <w:ind w:left="1538" w:right="0" w:hanging="401"/>
        <w:jc w:val="left"/>
        <w:rPr>
          <w:sz w:val="24"/>
        </w:rPr>
      </w:pPr>
      <w:r>
        <w:rPr>
          <w:sz w:val="24"/>
        </w:rPr>
        <w:t>《黑龙江省环境保护条例》（</w:t>
      </w:r>
      <w:r>
        <w:rPr>
          <w:rFonts w:ascii="Times New Roman" w:eastAsia="Times New Roman"/>
          <w:sz w:val="24"/>
        </w:rPr>
        <w:t xml:space="preserve">2018 </w:t>
      </w:r>
      <w:r>
        <w:rPr>
          <w:spacing w:val="-30"/>
          <w:sz w:val="24"/>
        </w:rPr>
        <w:t xml:space="preserve">年 </w:t>
      </w:r>
      <w:r>
        <w:rPr>
          <w:rFonts w:ascii="Times New Roman" w:eastAsia="Times New Roman"/>
          <w:sz w:val="24"/>
        </w:rPr>
        <w:t xml:space="preserve">4 </w:t>
      </w:r>
      <w:r>
        <w:rPr>
          <w:spacing w:val="-30"/>
          <w:sz w:val="24"/>
        </w:rPr>
        <w:t xml:space="preserve">月 </w:t>
      </w:r>
      <w:r>
        <w:rPr>
          <w:rFonts w:ascii="Times New Roman" w:eastAsia="Times New Roman"/>
          <w:sz w:val="24"/>
        </w:rPr>
        <w:t xml:space="preserve">17 </w:t>
      </w:r>
      <w:r>
        <w:rPr>
          <w:sz w:val="24"/>
        </w:rPr>
        <w:t>日修正版）；</w:t>
      </w:r>
    </w:p>
    <w:p>
      <w:pPr>
        <w:pStyle w:val="13"/>
        <w:numPr>
          <w:ilvl w:val="0"/>
          <w:numId w:val="11"/>
        </w:numPr>
        <w:tabs>
          <w:tab w:val="left" w:pos="1539"/>
        </w:tabs>
        <w:spacing w:before="158" w:after="0" w:line="240" w:lineRule="auto"/>
        <w:ind w:left="1538" w:right="0" w:hanging="401"/>
        <w:jc w:val="left"/>
        <w:rPr>
          <w:sz w:val="24"/>
        </w:rPr>
      </w:pPr>
      <w:r>
        <w:rPr>
          <w:sz w:val="24"/>
        </w:rPr>
        <w:t>《黑龙江省大气污染防治条例》（</w:t>
      </w:r>
      <w:r>
        <w:rPr>
          <w:rFonts w:ascii="Times New Roman" w:eastAsia="Times New Roman"/>
          <w:sz w:val="24"/>
        </w:rPr>
        <w:t xml:space="preserve">2018 </w:t>
      </w:r>
      <w:r>
        <w:rPr>
          <w:spacing w:val="-30"/>
          <w:sz w:val="24"/>
        </w:rPr>
        <w:t xml:space="preserve">年 </w:t>
      </w:r>
      <w:r>
        <w:rPr>
          <w:rFonts w:ascii="Times New Roman" w:eastAsia="Times New Roman"/>
          <w:sz w:val="24"/>
        </w:rPr>
        <w:t xml:space="preserve">12 </w:t>
      </w:r>
      <w:r>
        <w:rPr>
          <w:spacing w:val="-30"/>
          <w:sz w:val="24"/>
        </w:rPr>
        <w:t xml:space="preserve">月 </w:t>
      </w:r>
      <w:r>
        <w:rPr>
          <w:rFonts w:ascii="Times New Roman" w:eastAsia="Times New Roman"/>
          <w:sz w:val="24"/>
        </w:rPr>
        <w:t xml:space="preserve">27 </w:t>
      </w:r>
      <w:r>
        <w:rPr>
          <w:sz w:val="24"/>
        </w:rPr>
        <w:t>日修正）；</w:t>
      </w:r>
    </w:p>
    <w:p>
      <w:pPr>
        <w:pStyle w:val="13"/>
        <w:numPr>
          <w:ilvl w:val="0"/>
          <w:numId w:val="11"/>
        </w:numPr>
        <w:tabs>
          <w:tab w:val="left" w:pos="1539"/>
        </w:tabs>
        <w:spacing w:before="160" w:after="0" w:line="362" w:lineRule="auto"/>
        <w:ind w:left="658" w:right="696" w:firstLine="480"/>
        <w:jc w:val="left"/>
        <w:rPr>
          <w:sz w:val="24"/>
        </w:rPr>
      </w:pPr>
      <w:r>
        <w:rPr>
          <w:spacing w:val="-1"/>
          <w:sz w:val="24"/>
        </w:rPr>
        <w:t>中共黑龙江省委黑龙江省人民政府《关于全面加强生态环境保护坚决打好污染</w:t>
      </w:r>
      <w:r>
        <w:rPr>
          <w:sz w:val="24"/>
        </w:rPr>
        <w:t>防治攻坚战的实施意见》（</w:t>
      </w:r>
      <w:r>
        <w:rPr>
          <w:rFonts w:ascii="Times New Roman" w:eastAsia="Times New Roman"/>
          <w:sz w:val="24"/>
        </w:rPr>
        <w:t>2018.9.14</w:t>
      </w:r>
      <w:r>
        <w:rPr>
          <w:sz w:val="24"/>
        </w:rPr>
        <w:t>）；</w:t>
      </w:r>
    </w:p>
    <w:p>
      <w:pPr>
        <w:pStyle w:val="13"/>
        <w:numPr>
          <w:ilvl w:val="0"/>
          <w:numId w:val="11"/>
        </w:numPr>
        <w:tabs>
          <w:tab w:val="left" w:pos="1539"/>
        </w:tabs>
        <w:spacing w:before="3" w:after="0" w:line="240" w:lineRule="auto"/>
        <w:ind w:left="1538" w:right="0" w:hanging="401"/>
        <w:jc w:val="left"/>
        <w:rPr>
          <w:sz w:val="24"/>
        </w:rPr>
      </w:pPr>
      <w:r>
        <w:rPr>
          <w:sz w:val="24"/>
        </w:rPr>
        <w:t>《黑龙江省人民政府关于印发黑龙江省水污染防治工作方案的通知》（黑政发</w:t>
      </w:r>
    </w:p>
    <w:p>
      <w:pPr>
        <w:pStyle w:val="6"/>
        <w:spacing w:before="160"/>
        <w:ind w:left="658"/>
      </w:pPr>
      <w:r>
        <w:t>〔</w:t>
      </w:r>
      <w:r>
        <w:rPr>
          <w:rFonts w:ascii="Times New Roman" w:eastAsia="Times New Roman"/>
        </w:rPr>
        <w:t>2016</w:t>
      </w:r>
      <w:r>
        <w:t>〕</w:t>
      </w:r>
      <w:r>
        <w:rPr>
          <w:rFonts w:ascii="Times New Roman" w:eastAsia="Times New Roman"/>
        </w:rPr>
        <w:t xml:space="preserve">3 </w:t>
      </w:r>
      <w:r>
        <w:t>号）（</w:t>
      </w:r>
      <w:r>
        <w:rPr>
          <w:rFonts w:ascii="Times New Roman" w:eastAsia="Times New Roman"/>
        </w:rPr>
        <w:t>2016.1.10</w:t>
      </w:r>
      <w:r>
        <w:t>）；</w:t>
      </w:r>
    </w:p>
    <w:p>
      <w:pPr>
        <w:pStyle w:val="13"/>
        <w:numPr>
          <w:ilvl w:val="0"/>
          <w:numId w:val="11"/>
        </w:numPr>
        <w:tabs>
          <w:tab w:val="left" w:pos="1539"/>
        </w:tabs>
        <w:spacing w:before="161" w:after="0" w:line="362" w:lineRule="auto"/>
        <w:ind w:left="658" w:right="693" w:firstLine="480"/>
        <w:jc w:val="left"/>
        <w:rPr>
          <w:sz w:val="24"/>
        </w:rPr>
      </w:pPr>
      <w:r>
        <w:rPr>
          <w:spacing w:val="-9"/>
          <w:sz w:val="24"/>
        </w:rPr>
        <w:t>关于印发《黑龙江省重点生态功能区产业准入负面清单</w:t>
      </w:r>
      <w:r>
        <w:rPr>
          <w:sz w:val="24"/>
        </w:rPr>
        <w:t>（试行版</w:t>
      </w:r>
      <w:r>
        <w:rPr>
          <w:spacing w:val="-44"/>
          <w:sz w:val="24"/>
        </w:rPr>
        <w:t>）</w:t>
      </w:r>
      <w:r>
        <w:rPr>
          <w:spacing w:val="-21"/>
          <w:sz w:val="24"/>
        </w:rPr>
        <w:t>》的通知</w:t>
      </w:r>
      <w:r>
        <w:rPr>
          <w:sz w:val="24"/>
        </w:rPr>
        <w:t>（</w:t>
      </w:r>
      <w:r>
        <w:rPr>
          <w:spacing w:val="-14"/>
          <w:sz w:val="24"/>
        </w:rPr>
        <w:t>黑</w:t>
      </w:r>
      <w:r>
        <w:rPr>
          <w:sz w:val="24"/>
        </w:rPr>
        <w:t>发改规〔</w:t>
      </w:r>
      <w:r>
        <w:rPr>
          <w:rFonts w:ascii="Times New Roman" w:eastAsia="Times New Roman"/>
          <w:sz w:val="24"/>
        </w:rPr>
        <w:t>2017</w:t>
      </w:r>
      <w:r>
        <w:rPr>
          <w:sz w:val="24"/>
        </w:rPr>
        <w:t>〕</w:t>
      </w:r>
      <w:r>
        <w:rPr>
          <w:rFonts w:ascii="Times New Roman" w:eastAsia="Times New Roman"/>
          <w:sz w:val="24"/>
        </w:rPr>
        <w:t xml:space="preserve">4 </w:t>
      </w:r>
      <w:r>
        <w:rPr>
          <w:sz w:val="24"/>
        </w:rPr>
        <w:t>号）；</w:t>
      </w:r>
    </w:p>
    <w:p>
      <w:pPr>
        <w:pStyle w:val="13"/>
        <w:numPr>
          <w:ilvl w:val="0"/>
          <w:numId w:val="11"/>
        </w:numPr>
        <w:tabs>
          <w:tab w:val="left" w:pos="1539"/>
        </w:tabs>
        <w:spacing w:before="5" w:after="0" w:line="240" w:lineRule="auto"/>
        <w:ind w:left="1538" w:right="0" w:hanging="401"/>
        <w:jc w:val="left"/>
        <w:rPr>
          <w:sz w:val="24"/>
        </w:rPr>
      </w:pPr>
      <w:r>
        <w:rPr>
          <w:sz w:val="24"/>
        </w:rPr>
        <w:t>《黑龙江省矿产资源总体规划（</w:t>
      </w:r>
      <w:r>
        <w:rPr>
          <w:rFonts w:ascii="Times New Roman" w:eastAsia="Times New Roman"/>
          <w:sz w:val="24"/>
        </w:rPr>
        <w:t>2016~2020</w:t>
      </w:r>
      <w:r>
        <w:rPr>
          <w:sz w:val="24"/>
        </w:rPr>
        <w:t>）》（黑政规〔</w:t>
      </w:r>
      <w:r>
        <w:rPr>
          <w:rFonts w:ascii="Times New Roman" w:eastAsia="Times New Roman"/>
          <w:sz w:val="24"/>
        </w:rPr>
        <w:t>2018</w:t>
      </w:r>
      <w:r>
        <w:rPr>
          <w:sz w:val="24"/>
        </w:rPr>
        <w:t>〕</w:t>
      </w:r>
      <w:r>
        <w:rPr>
          <w:rFonts w:ascii="Times New Roman" w:eastAsia="Times New Roman"/>
          <w:sz w:val="24"/>
        </w:rPr>
        <w:t>1</w:t>
      </w:r>
      <w:r>
        <w:rPr>
          <w:rFonts w:ascii="Times New Roman" w:eastAsia="Times New Roman"/>
          <w:spacing w:val="-2"/>
          <w:sz w:val="24"/>
        </w:rPr>
        <w:t xml:space="preserve"> </w:t>
      </w:r>
      <w:r>
        <w:rPr>
          <w:sz w:val="24"/>
        </w:rPr>
        <w:t>号）。</w:t>
      </w:r>
    </w:p>
    <w:p>
      <w:pPr>
        <w:pStyle w:val="4"/>
        <w:numPr>
          <w:ilvl w:val="2"/>
          <w:numId w:val="7"/>
        </w:numPr>
        <w:tabs>
          <w:tab w:val="left" w:pos="1288"/>
        </w:tabs>
        <w:spacing w:before="159" w:after="0" w:line="240" w:lineRule="auto"/>
        <w:ind w:left="1287" w:right="0" w:hanging="630"/>
        <w:jc w:val="left"/>
      </w:pPr>
      <w:r>
        <w:t>相关技术规范</w:t>
      </w:r>
    </w:p>
    <w:p>
      <w:pPr>
        <w:pStyle w:val="13"/>
        <w:numPr>
          <w:ilvl w:val="0"/>
          <w:numId w:val="12"/>
        </w:numPr>
        <w:tabs>
          <w:tab w:val="left" w:pos="1419"/>
        </w:tabs>
        <w:spacing w:before="185" w:after="0" w:line="240" w:lineRule="auto"/>
        <w:ind w:left="1418" w:right="0" w:hanging="281"/>
        <w:jc w:val="left"/>
        <w:rPr>
          <w:sz w:val="24"/>
        </w:rPr>
      </w:pPr>
      <w:r>
        <w:rPr>
          <w:spacing w:val="-1"/>
          <w:sz w:val="24"/>
        </w:rPr>
        <w:t>《建设项目环境影响评价技术导则 总纲》</w:t>
      </w:r>
      <w:r>
        <w:rPr>
          <w:rFonts w:ascii="Times New Roman" w:eastAsia="Times New Roman"/>
          <w:sz w:val="24"/>
        </w:rPr>
        <w:t>(HJ2.1-2016)</w:t>
      </w:r>
      <w:r>
        <w:rPr>
          <w:sz w:val="24"/>
        </w:rPr>
        <w:t>；</w:t>
      </w:r>
    </w:p>
    <w:p>
      <w:pPr>
        <w:pStyle w:val="13"/>
        <w:numPr>
          <w:ilvl w:val="0"/>
          <w:numId w:val="12"/>
        </w:numPr>
        <w:tabs>
          <w:tab w:val="left" w:pos="1419"/>
        </w:tabs>
        <w:spacing w:before="161" w:after="0" w:line="364" w:lineRule="auto"/>
        <w:ind w:left="1138" w:right="3280" w:firstLine="0"/>
        <w:jc w:val="left"/>
        <w:rPr>
          <w:sz w:val="24"/>
        </w:rPr>
      </w:pPr>
      <w:r>
        <w:rPr>
          <w:spacing w:val="-1"/>
          <w:sz w:val="24"/>
        </w:rPr>
        <w:t>《环境影响评价技术导则 大气环境》</w:t>
      </w:r>
      <w:r>
        <w:rPr>
          <w:rFonts w:ascii="Times New Roman" w:eastAsia="Times New Roman"/>
          <w:sz w:val="24"/>
        </w:rPr>
        <w:t>(HJ2.2-2018)</w:t>
      </w:r>
      <w:r>
        <w:rPr>
          <w:sz w:val="24"/>
        </w:rPr>
        <w:t xml:space="preserve">； </w:t>
      </w:r>
      <w:r>
        <w:rPr>
          <w:rFonts w:ascii="Times New Roman" w:eastAsia="Times New Roman"/>
          <w:sz w:val="24"/>
        </w:rPr>
        <w:t>(3)</w:t>
      </w:r>
      <w:r>
        <w:rPr>
          <w:sz w:val="24"/>
        </w:rPr>
        <w:t>《环境影响评价技术导则 地表水环境》</w:t>
      </w:r>
      <w:r>
        <w:rPr>
          <w:rFonts w:ascii="Times New Roman" w:eastAsia="Times New Roman"/>
          <w:spacing w:val="-3"/>
          <w:sz w:val="24"/>
        </w:rPr>
        <w:t>(HJ2.3-2018)</w:t>
      </w:r>
      <w:r>
        <w:rPr>
          <w:spacing w:val="-3"/>
          <w:sz w:val="24"/>
        </w:rPr>
        <w:t xml:space="preserve">； </w:t>
      </w:r>
      <w:r>
        <w:rPr>
          <w:rFonts w:ascii="Times New Roman" w:eastAsia="Times New Roman"/>
          <w:sz w:val="24"/>
        </w:rPr>
        <w:t>(4)</w:t>
      </w:r>
      <w:r>
        <w:rPr>
          <w:spacing w:val="-1"/>
          <w:sz w:val="24"/>
        </w:rPr>
        <w:t>《环境影响评价技术导则 声环境》</w:t>
      </w:r>
      <w:r>
        <w:rPr>
          <w:rFonts w:ascii="Times New Roman" w:eastAsia="Times New Roman"/>
          <w:sz w:val="24"/>
        </w:rPr>
        <w:t>(HJ2.4-2009)</w:t>
      </w:r>
      <w:r>
        <w:rPr>
          <w:sz w:val="24"/>
        </w:rPr>
        <w:t>；</w:t>
      </w:r>
    </w:p>
    <w:p>
      <w:pPr>
        <w:pStyle w:val="13"/>
        <w:numPr>
          <w:ilvl w:val="0"/>
          <w:numId w:val="13"/>
        </w:numPr>
        <w:tabs>
          <w:tab w:val="left" w:pos="1419"/>
        </w:tabs>
        <w:spacing w:before="0" w:after="0" w:line="305" w:lineRule="exact"/>
        <w:ind w:left="1418" w:right="0" w:hanging="281"/>
        <w:jc w:val="left"/>
        <w:rPr>
          <w:sz w:val="24"/>
        </w:rPr>
      </w:pPr>
      <w:r>
        <w:rPr>
          <w:spacing w:val="-1"/>
          <w:sz w:val="24"/>
        </w:rPr>
        <w:t>《环境影响评价技术导则 地下水环境》</w:t>
      </w:r>
      <w:r>
        <w:rPr>
          <w:rFonts w:ascii="Times New Roman" w:eastAsia="Times New Roman"/>
          <w:sz w:val="24"/>
        </w:rPr>
        <w:t>(HJ610-2016)</w:t>
      </w:r>
      <w:r>
        <w:rPr>
          <w:sz w:val="24"/>
        </w:rPr>
        <w:t>；</w:t>
      </w:r>
    </w:p>
    <w:p>
      <w:pPr>
        <w:pStyle w:val="13"/>
        <w:numPr>
          <w:ilvl w:val="0"/>
          <w:numId w:val="13"/>
        </w:numPr>
        <w:tabs>
          <w:tab w:val="left" w:pos="1419"/>
        </w:tabs>
        <w:spacing w:before="160" w:after="0" w:line="240" w:lineRule="auto"/>
        <w:ind w:left="1418" w:right="0" w:hanging="281"/>
        <w:jc w:val="left"/>
        <w:rPr>
          <w:sz w:val="24"/>
        </w:rPr>
      </w:pPr>
      <w:r>
        <w:rPr>
          <w:spacing w:val="-1"/>
          <w:sz w:val="24"/>
        </w:rPr>
        <w:t>《环境影响评价技术导则 生态影响》</w:t>
      </w:r>
      <w:r>
        <w:rPr>
          <w:rFonts w:ascii="Times New Roman" w:eastAsia="Times New Roman"/>
          <w:sz w:val="24"/>
        </w:rPr>
        <w:t>(HJ19-2011)</w:t>
      </w:r>
      <w:r>
        <w:rPr>
          <w:sz w:val="24"/>
        </w:rPr>
        <w:t>；</w:t>
      </w:r>
    </w:p>
    <w:p>
      <w:pPr>
        <w:spacing w:after="0" w:line="240" w:lineRule="auto"/>
        <w:jc w:val="left"/>
        <w:rPr>
          <w:sz w:val="24"/>
        </w:rPr>
        <w:sectPr>
          <w:pgSz w:w="11910" w:h="16840"/>
          <w:pgMar w:top="1340" w:right="720" w:bottom="1160" w:left="760" w:header="0" w:footer="975" w:gutter="0"/>
        </w:sectPr>
      </w:pPr>
    </w:p>
    <w:p>
      <w:pPr>
        <w:pStyle w:val="13"/>
        <w:numPr>
          <w:ilvl w:val="0"/>
          <w:numId w:val="13"/>
        </w:numPr>
        <w:tabs>
          <w:tab w:val="left" w:pos="1419"/>
        </w:tabs>
        <w:spacing w:before="61" w:after="0" w:line="240" w:lineRule="auto"/>
        <w:ind w:left="1418" w:right="0" w:hanging="281"/>
        <w:jc w:val="left"/>
        <w:rPr>
          <w:sz w:val="24"/>
        </w:rPr>
      </w:pPr>
      <w:r>
        <w:rPr>
          <w:sz w:val="24"/>
        </w:rPr>
        <w:t>《环境影响评价技术导则 土壤环境（试行）》（</w:t>
      </w:r>
      <w:r>
        <w:rPr>
          <w:rFonts w:ascii="Times New Roman" w:eastAsia="Times New Roman"/>
          <w:sz w:val="24"/>
        </w:rPr>
        <w:t>HJ964-2018</w:t>
      </w:r>
      <w:r>
        <w:rPr>
          <w:sz w:val="24"/>
        </w:rPr>
        <w:t>）；</w:t>
      </w:r>
    </w:p>
    <w:p>
      <w:pPr>
        <w:pStyle w:val="13"/>
        <w:numPr>
          <w:ilvl w:val="0"/>
          <w:numId w:val="13"/>
        </w:numPr>
        <w:tabs>
          <w:tab w:val="left" w:pos="1419"/>
        </w:tabs>
        <w:spacing w:before="158" w:after="0" w:line="240" w:lineRule="auto"/>
        <w:ind w:left="1418" w:right="0" w:hanging="281"/>
        <w:jc w:val="left"/>
        <w:rPr>
          <w:sz w:val="24"/>
        </w:rPr>
      </w:pPr>
      <w:r>
        <w:rPr>
          <w:sz w:val="24"/>
        </w:rPr>
        <w:t>《建设项目环境风险评价技术导则》</w:t>
      </w:r>
      <w:r>
        <w:rPr>
          <w:rFonts w:ascii="Times New Roman" w:eastAsia="Times New Roman"/>
          <w:sz w:val="24"/>
        </w:rPr>
        <w:t>(HJ169-2018)</w:t>
      </w:r>
      <w:r>
        <w:rPr>
          <w:sz w:val="24"/>
        </w:rPr>
        <w:t>；</w:t>
      </w:r>
    </w:p>
    <w:p>
      <w:pPr>
        <w:pStyle w:val="13"/>
        <w:numPr>
          <w:ilvl w:val="0"/>
          <w:numId w:val="13"/>
        </w:numPr>
        <w:tabs>
          <w:tab w:val="left" w:pos="1419"/>
        </w:tabs>
        <w:spacing w:before="161" w:after="0" w:line="240" w:lineRule="auto"/>
        <w:ind w:left="1418" w:right="0" w:hanging="281"/>
        <w:jc w:val="left"/>
        <w:rPr>
          <w:sz w:val="24"/>
        </w:rPr>
      </w:pPr>
      <w:r>
        <w:rPr>
          <w:spacing w:val="-1"/>
          <w:sz w:val="24"/>
        </w:rPr>
        <w:t>《环境影响评价技术导则 煤炭采选工程》</w:t>
      </w:r>
      <w:r>
        <w:rPr>
          <w:sz w:val="24"/>
        </w:rPr>
        <w:t>（</w:t>
      </w:r>
      <w:r>
        <w:rPr>
          <w:rFonts w:ascii="Times New Roman" w:eastAsia="Times New Roman"/>
          <w:sz w:val="24"/>
        </w:rPr>
        <w:t>HJ619-2011</w:t>
      </w:r>
      <w:r>
        <w:rPr>
          <w:sz w:val="24"/>
        </w:rPr>
        <w:t>）；</w:t>
      </w:r>
    </w:p>
    <w:p>
      <w:pPr>
        <w:pStyle w:val="13"/>
        <w:numPr>
          <w:ilvl w:val="0"/>
          <w:numId w:val="13"/>
        </w:numPr>
        <w:tabs>
          <w:tab w:val="left" w:pos="1539"/>
        </w:tabs>
        <w:spacing w:before="160" w:after="0" w:line="240" w:lineRule="auto"/>
        <w:ind w:left="1538" w:right="0" w:hanging="401"/>
        <w:jc w:val="left"/>
        <w:rPr>
          <w:sz w:val="24"/>
        </w:rPr>
      </w:pPr>
      <w:r>
        <w:rPr>
          <w:sz w:val="24"/>
        </w:rPr>
        <w:t>《建设项目危险废物环境影响评价指南》（</w:t>
      </w:r>
      <w:r>
        <w:rPr>
          <w:spacing w:val="-8"/>
          <w:sz w:val="24"/>
        </w:rPr>
        <w:t xml:space="preserve">环境保护部公告 </w:t>
      </w:r>
      <w:r>
        <w:rPr>
          <w:rFonts w:ascii="Times New Roman" w:eastAsia="Times New Roman"/>
          <w:sz w:val="24"/>
        </w:rPr>
        <w:t>2017</w:t>
      </w:r>
      <w:r>
        <w:rPr>
          <w:rFonts w:ascii="Times New Roman" w:eastAsia="Times New Roman"/>
          <w:spacing w:val="3"/>
          <w:sz w:val="24"/>
        </w:rPr>
        <w:t xml:space="preserve"> </w:t>
      </w:r>
      <w:r>
        <w:rPr>
          <w:spacing w:val="-19"/>
          <w:sz w:val="24"/>
        </w:rPr>
        <w:t xml:space="preserve">年第 </w:t>
      </w:r>
      <w:r>
        <w:rPr>
          <w:rFonts w:ascii="Times New Roman" w:eastAsia="Times New Roman"/>
          <w:sz w:val="24"/>
        </w:rPr>
        <w:t>43</w:t>
      </w:r>
      <w:r>
        <w:rPr>
          <w:rFonts w:ascii="Times New Roman" w:eastAsia="Times New Roman"/>
          <w:spacing w:val="2"/>
          <w:sz w:val="24"/>
        </w:rPr>
        <w:t xml:space="preserve"> </w:t>
      </w:r>
      <w:r>
        <w:rPr>
          <w:sz w:val="24"/>
        </w:rPr>
        <w:t>号）</w:t>
      </w:r>
    </w:p>
    <w:p>
      <w:pPr>
        <w:pStyle w:val="6"/>
        <w:spacing w:before="158"/>
        <w:ind w:left="658"/>
      </w:pPr>
      <w:r>
        <w:t>（</w:t>
      </w:r>
      <w:r>
        <w:rPr>
          <w:rFonts w:ascii="Times New Roman" w:eastAsia="Times New Roman"/>
        </w:rPr>
        <w:t>2017.10.01</w:t>
      </w:r>
      <w:r>
        <w:t>）；</w:t>
      </w:r>
    </w:p>
    <w:p>
      <w:pPr>
        <w:pStyle w:val="13"/>
        <w:numPr>
          <w:ilvl w:val="0"/>
          <w:numId w:val="13"/>
        </w:numPr>
        <w:tabs>
          <w:tab w:val="left" w:pos="1532"/>
        </w:tabs>
        <w:spacing w:before="161" w:after="0" w:line="364" w:lineRule="auto"/>
        <w:ind w:left="1138" w:right="3321" w:firstLine="0"/>
        <w:jc w:val="left"/>
        <w:rPr>
          <w:sz w:val="24"/>
        </w:rPr>
      </w:pPr>
      <w:r>
        <w:rPr>
          <w:spacing w:val="-1"/>
          <w:sz w:val="24"/>
        </w:rPr>
        <w:t>《危险化学品重大危险源辨识》</w:t>
      </w:r>
      <w:r>
        <w:rPr>
          <w:sz w:val="24"/>
        </w:rPr>
        <w:t>（</w:t>
      </w:r>
      <w:r>
        <w:rPr>
          <w:rFonts w:ascii="Times New Roman" w:eastAsia="Times New Roman"/>
          <w:sz w:val="24"/>
        </w:rPr>
        <w:t>GB18218-2018</w:t>
      </w:r>
      <w:r>
        <w:rPr>
          <w:sz w:val="24"/>
        </w:rPr>
        <w:t xml:space="preserve">）； </w:t>
      </w:r>
      <w:r>
        <w:rPr>
          <w:rFonts w:ascii="Times New Roman" w:eastAsia="Times New Roman"/>
          <w:sz w:val="24"/>
        </w:rPr>
        <w:t>(12)</w:t>
      </w:r>
      <w:r>
        <w:rPr>
          <w:sz w:val="24"/>
        </w:rPr>
        <w:t>《清洁生产标准 煤炭采选业》（</w:t>
      </w:r>
      <w:r>
        <w:rPr>
          <w:rFonts w:ascii="Times New Roman" w:eastAsia="Times New Roman"/>
          <w:sz w:val="24"/>
        </w:rPr>
        <w:t>HJ446-2008</w:t>
      </w:r>
      <w:r>
        <w:rPr>
          <w:sz w:val="24"/>
        </w:rPr>
        <w:t xml:space="preserve">）； </w:t>
      </w:r>
      <w:r>
        <w:rPr>
          <w:rFonts w:ascii="Times New Roman" w:eastAsia="Times New Roman"/>
          <w:sz w:val="24"/>
        </w:rPr>
        <w:t>(13)</w:t>
      </w:r>
      <w:r>
        <w:rPr>
          <w:sz w:val="24"/>
        </w:rPr>
        <w:t>《煤炭工业矿井设计规范》（</w:t>
      </w:r>
      <w:r>
        <w:rPr>
          <w:rFonts w:ascii="Times New Roman" w:eastAsia="Times New Roman"/>
          <w:sz w:val="24"/>
        </w:rPr>
        <w:t>GB50215-2015</w:t>
      </w:r>
      <w:r>
        <w:rPr>
          <w:sz w:val="24"/>
        </w:rPr>
        <w:t>）；</w:t>
      </w:r>
    </w:p>
    <w:p>
      <w:pPr>
        <w:pStyle w:val="6"/>
        <w:spacing w:line="304" w:lineRule="exact"/>
        <w:ind w:left="1138"/>
      </w:pPr>
      <w:r>
        <w:rPr>
          <w:rFonts w:ascii="Times New Roman" w:eastAsia="Times New Roman"/>
        </w:rPr>
        <w:t>(14)</w:t>
      </w:r>
      <w:r>
        <w:t>《开发建设项目水土保持方案技术规范》（</w:t>
      </w:r>
      <w:r>
        <w:rPr>
          <w:rFonts w:ascii="Times New Roman" w:eastAsia="Times New Roman"/>
        </w:rPr>
        <w:t>SL204-98</w:t>
      </w:r>
      <w:r>
        <w:t>）。</w:t>
      </w:r>
    </w:p>
    <w:p>
      <w:pPr>
        <w:pStyle w:val="3"/>
        <w:numPr>
          <w:ilvl w:val="1"/>
          <w:numId w:val="7"/>
        </w:numPr>
        <w:tabs>
          <w:tab w:val="left" w:pos="1184"/>
        </w:tabs>
        <w:spacing w:before="160" w:after="0" w:line="240" w:lineRule="auto"/>
        <w:ind w:left="1184" w:right="0" w:hanging="526"/>
        <w:jc w:val="left"/>
      </w:pPr>
      <w:bookmarkStart w:id="33" w:name="2.3 评价标准"/>
      <w:bookmarkEnd w:id="33"/>
      <w:bookmarkStart w:id="34" w:name="_bookmark9"/>
      <w:bookmarkEnd w:id="34"/>
      <w:bookmarkStart w:id="35" w:name="_bookmark9"/>
      <w:bookmarkEnd w:id="35"/>
      <w:r>
        <w:t>评价标准</w:t>
      </w:r>
    </w:p>
    <w:p>
      <w:pPr>
        <w:pStyle w:val="6"/>
        <w:spacing w:before="199"/>
        <w:ind w:left="1138"/>
      </w:pPr>
      <w:r>
        <w:t xml:space="preserve">本次环评执行的环境保护标准见表 </w:t>
      </w:r>
      <w:r>
        <w:rPr>
          <w:rFonts w:ascii="Times New Roman" w:eastAsia="Times New Roman"/>
        </w:rPr>
        <w:t>2.3-1</w:t>
      </w:r>
      <w:r>
        <w:t xml:space="preserve">，表 </w:t>
      </w:r>
      <w:r>
        <w:rPr>
          <w:rFonts w:ascii="Times New Roman" w:eastAsia="Times New Roman"/>
        </w:rPr>
        <w:t xml:space="preserve">2.3-2 </w:t>
      </w:r>
      <w:r>
        <w:t xml:space="preserve">和表 </w:t>
      </w:r>
      <w:r>
        <w:rPr>
          <w:rFonts w:ascii="Times New Roman" w:eastAsia="Times New Roman"/>
        </w:rPr>
        <w:t>2.3-3</w:t>
      </w:r>
      <w:r>
        <w:t>。</w:t>
      </w:r>
    </w:p>
    <w:p>
      <w:pPr>
        <w:pStyle w:val="5"/>
        <w:spacing w:before="161" w:after="32"/>
        <w:ind w:left="1553" w:right="1108"/>
        <w:jc w:val="center"/>
      </w:pPr>
      <w:r>
        <w:t xml:space="preserve">表 </w:t>
      </w:r>
      <w:r>
        <w:rPr>
          <w:rFonts w:ascii="Times New Roman" w:eastAsia="Times New Roman"/>
        </w:rPr>
        <w:t xml:space="preserve">2.3-1  </w:t>
      </w:r>
      <w:r>
        <w:t>环境质量标准</w:t>
      </w:r>
    </w:p>
    <w:tbl>
      <w:tblPr>
        <w:tblStyle w:val="10"/>
        <w:tblW w:w="0" w:type="auto"/>
        <w:tblInd w:w="9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5"/>
        <w:gridCol w:w="2920"/>
        <w:gridCol w:w="1763"/>
        <w:gridCol w:w="1350"/>
        <w:gridCol w:w="812"/>
        <w:gridCol w:w="10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restart"/>
          </w:tcPr>
          <w:p>
            <w:pPr>
              <w:pStyle w:val="14"/>
              <w:spacing w:before="141"/>
              <w:ind w:left="126"/>
              <w:jc w:val="left"/>
              <w:rPr>
                <w:sz w:val="21"/>
              </w:rPr>
            </w:pPr>
            <w:r>
              <w:rPr>
                <w:sz w:val="21"/>
              </w:rPr>
              <w:t>类别</w:t>
            </w:r>
          </w:p>
        </w:tc>
        <w:tc>
          <w:tcPr>
            <w:tcW w:w="2920" w:type="dxa"/>
            <w:vMerge w:val="restart"/>
          </w:tcPr>
          <w:p>
            <w:pPr>
              <w:pStyle w:val="14"/>
              <w:spacing w:before="141"/>
              <w:ind w:left="409"/>
              <w:jc w:val="left"/>
              <w:rPr>
                <w:sz w:val="21"/>
              </w:rPr>
            </w:pPr>
            <w:r>
              <w:rPr>
                <w:sz w:val="21"/>
              </w:rPr>
              <w:t>标准名称及级（类）别</w:t>
            </w:r>
          </w:p>
        </w:tc>
        <w:tc>
          <w:tcPr>
            <w:tcW w:w="1763" w:type="dxa"/>
            <w:vMerge w:val="restart"/>
          </w:tcPr>
          <w:p>
            <w:pPr>
              <w:pStyle w:val="14"/>
              <w:spacing w:before="141"/>
              <w:ind w:left="460"/>
              <w:jc w:val="left"/>
              <w:rPr>
                <w:sz w:val="21"/>
              </w:rPr>
            </w:pPr>
            <w:r>
              <w:rPr>
                <w:sz w:val="21"/>
              </w:rPr>
              <w:t>污染因子</w:t>
            </w:r>
          </w:p>
        </w:tc>
        <w:tc>
          <w:tcPr>
            <w:tcW w:w="3164" w:type="dxa"/>
            <w:gridSpan w:val="3"/>
          </w:tcPr>
          <w:p>
            <w:pPr>
              <w:pStyle w:val="14"/>
              <w:spacing w:line="252" w:lineRule="exact"/>
              <w:ind w:left="1245" w:right="1239"/>
              <w:rPr>
                <w:sz w:val="21"/>
              </w:rPr>
            </w:pPr>
            <w:r>
              <w:rPr>
                <w:sz w:val="21"/>
              </w:rPr>
              <w:t>标准值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vMerge w:val="continue"/>
            <w:tcBorders>
              <w:top w:val="nil"/>
            </w:tcBorders>
          </w:tcPr>
          <w:p>
            <w:pPr>
              <w:rPr>
                <w:sz w:val="2"/>
                <w:szCs w:val="2"/>
              </w:rPr>
            </w:pPr>
          </w:p>
        </w:tc>
        <w:tc>
          <w:tcPr>
            <w:tcW w:w="2162" w:type="dxa"/>
            <w:gridSpan w:val="2"/>
          </w:tcPr>
          <w:p>
            <w:pPr>
              <w:pStyle w:val="14"/>
              <w:spacing w:line="251" w:lineRule="exact"/>
              <w:ind w:left="741" w:right="736"/>
              <w:rPr>
                <w:sz w:val="21"/>
              </w:rPr>
            </w:pPr>
            <w:r>
              <w:rPr>
                <w:sz w:val="21"/>
              </w:rPr>
              <w:t>单位</w:t>
            </w:r>
          </w:p>
        </w:tc>
        <w:tc>
          <w:tcPr>
            <w:tcW w:w="1002" w:type="dxa"/>
          </w:tcPr>
          <w:p>
            <w:pPr>
              <w:pStyle w:val="14"/>
              <w:spacing w:line="251" w:lineRule="exact"/>
              <w:ind w:left="291"/>
              <w:jc w:val="left"/>
              <w:rPr>
                <w:sz w:val="21"/>
              </w:rPr>
            </w:pPr>
            <w:r>
              <w:rPr>
                <w:sz w:val="21"/>
              </w:rPr>
              <w:t>数值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675"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3"/>
              <w:jc w:val="left"/>
              <w:rPr>
                <w:b/>
                <w:sz w:val="29"/>
              </w:rPr>
            </w:pPr>
          </w:p>
          <w:p>
            <w:pPr>
              <w:pStyle w:val="14"/>
              <w:spacing w:line="242" w:lineRule="auto"/>
              <w:ind w:left="126" w:right="118"/>
              <w:jc w:val="left"/>
              <w:rPr>
                <w:sz w:val="21"/>
              </w:rPr>
            </w:pPr>
            <w:r>
              <w:rPr>
                <w:sz w:val="21"/>
              </w:rPr>
              <w:t>环境空气</w:t>
            </w:r>
          </w:p>
        </w:tc>
        <w:tc>
          <w:tcPr>
            <w:tcW w:w="2920"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7"/>
              <w:jc w:val="left"/>
              <w:rPr>
                <w:b/>
                <w:sz w:val="18"/>
              </w:rPr>
            </w:pPr>
          </w:p>
          <w:p>
            <w:pPr>
              <w:pStyle w:val="14"/>
              <w:ind w:left="118" w:right="112"/>
              <w:rPr>
                <w:sz w:val="21"/>
              </w:rPr>
            </w:pPr>
            <w:r>
              <w:rPr>
                <w:sz w:val="21"/>
              </w:rPr>
              <w:t>《环境空气质量标准》</w:t>
            </w:r>
          </w:p>
          <w:p>
            <w:pPr>
              <w:pStyle w:val="14"/>
              <w:spacing w:before="5" w:line="242" w:lineRule="auto"/>
              <w:ind w:left="123" w:right="112"/>
              <w:rPr>
                <w:sz w:val="21"/>
              </w:rPr>
            </w:pPr>
            <w:r>
              <w:rPr>
                <w:sz w:val="21"/>
              </w:rPr>
              <w:t>（</w:t>
            </w:r>
            <w:r>
              <w:rPr>
                <w:rFonts w:ascii="Times New Roman" w:eastAsia="Times New Roman"/>
                <w:sz w:val="21"/>
              </w:rPr>
              <w:t>GB3095-2012</w:t>
            </w:r>
            <w:r>
              <w:rPr>
                <w:sz w:val="21"/>
              </w:rPr>
              <w:t>）及其修改单二级标准</w:t>
            </w:r>
          </w:p>
        </w:tc>
        <w:tc>
          <w:tcPr>
            <w:tcW w:w="1763" w:type="dxa"/>
            <w:vMerge w:val="restart"/>
          </w:tcPr>
          <w:p>
            <w:pPr>
              <w:pStyle w:val="14"/>
              <w:spacing w:before="6"/>
              <w:jc w:val="left"/>
              <w:rPr>
                <w:b/>
                <w:sz w:val="28"/>
              </w:rPr>
            </w:pPr>
          </w:p>
          <w:p>
            <w:pPr>
              <w:pStyle w:val="14"/>
              <w:ind w:left="116" w:right="107"/>
              <w:rPr>
                <w:rFonts w:ascii="Times New Roman"/>
                <w:sz w:val="21"/>
              </w:rPr>
            </w:pPr>
            <w:r>
              <w:rPr>
                <w:rFonts w:ascii="Times New Roman"/>
                <w:position w:val="2"/>
                <w:sz w:val="21"/>
              </w:rPr>
              <w:t>SO</w:t>
            </w:r>
            <w:r>
              <w:rPr>
                <w:rFonts w:ascii="Times New Roman"/>
                <w:position w:val="2"/>
                <w:sz w:val="21"/>
                <w:vertAlign w:val="subscript"/>
              </w:rPr>
              <w:t>2</w:t>
            </w:r>
          </w:p>
        </w:tc>
        <w:tc>
          <w:tcPr>
            <w:tcW w:w="1350" w:type="dxa"/>
          </w:tcPr>
          <w:p>
            <w:pPr>
              <w:pStyle w:val="14"/>
              <w:spacing w:before="71"/>
              <w:ind w:left="101" w:right="95"/>
              <w:rPr>
                <w:sz w:val="21"/>
              </w:rPr>
            </w:pPr>
            <w:r>
              <w:rPr>
                <w:rFonts w:ascii="Times New Roman" w:eastAsia="Times New Roman"/>
                <w:sz w:val="21"/>
              </w:rPr>
              <w:t xml:space="preserve">1 </w:t>
            </w:r>
            <w:r>
              <w:rPr>
                <w:sz w:val="21"/>
              </w:rPr>
              <w:t>小时平均</w:t>
            </w:r>
          </w:p>
        </w:tc>
        <w:tc>
          <w:tcPr>
            <w:tcW w:w="812" w:type="dxa"/>
          </w:tcPr>
          <w:p>
            <w:pPr>
              <w:pStyle w:val="14"/>
              <w:spacing w:before="87"/>
              <w:ind w:left="108" w:right="98"/>
              <w:rPr>
                <w:rFonts w:ascii="Times New Roman"/>
                <w:sz w:val="13"/>
              </w:rPr>
            </w:pPr>
            <w:r>
              <w:rPr>
                <w:rFonts w:ascii="Times New Roman"/>
                <w:sz w:val="21"/>
              </w:rPr>
              <w:t>ug/m</w:t>
            </w:r>
            <w:r>
              <w:rPr>
                <w:rFonts w:ascii="Times New Roman"/>
                <w:position w:val="7"/>
                <w:sz w:val="13"/>
              </w:rPr>
              <w:t>3</w:t>
            </w:r>
          </w:p>
        </w:tc>
        <w:tc>
          <w:tcPr>
            <w:tcW w:w="1002" w:type="dxa"/>
          </w:tcPr>
          <w:p>
            <w:pPr>
              <w:pStyle w:val="14"/>
              <w:spacing w:before="87"/>
              <w:ind w:left="190" w:right="182"/>
              <w:rPr>
                <w:rFonts w:ascii="Times New Roman"/>
                <w:sz w:val="21"/>
              </w:rPr>
            </w:pPr>
            <w:r>
              <w:rPr>
                <w:rFonts w:ascii="Times New Roman"/>
                <w:sz w:val="21"/>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vMerge w:val="continue"/>
            <w:tcBorders>
              <w:top w:val="nil"/>
            </w:tcBorders>
          </w:tcPr>
          <w:p>
            <w:pPr>
              <w:rPr>
                <w:sz w:val="2"/>
                <w:szCs w:val="2"/>
              </w:rPr>
            </w:pPr>
          </w:p>
        </w:tc>
        <w:tc>
          <w:tcPr>
            <w:tcW w:w="1350" w:type="dxa"/>
          </w:tcPr>
          <w:p>
            <w:pPr>
              <w:pStyle w:val="14"/>
              <w:spacing w:line="252" w:lineRule="exact"/>
              <w:ind w:left="101" w:right="95"/>
              <w:rPr>
                <w:sz w:val="21"/>
              </w:rPr>
            </w:pPr>
            <w:r>
              <w:rPr>
                <w:rFonts w:ascii="Times New Roman" w:eastAsia="Times New Roman"/>
                <w:sz w:val="21"/>
              </w:rPr>
              <w:t xml:space="preserve">24 </w:t>
            </w:r>
            <w:r>
              <w:rPr>
                <w:sz w:val="21"/>
              </w:rPr>
              <w:t>小时平均</w:t>
            </w:r>
          </w:p>
        </w:tc>
        <w:tc>
          <w:tcPr>
            <w:tcW w:w="812" w:type="dxa"/>
          </w:tcPr>
          <w:p>
            <w:pPr>
              <w:pStyle w:val="14"/>
              <w:spacing w:before="14" w:line="238" w:lineRule="exact"/>
              <w:ind w:left="108" w:right="98"/>
              <w:rPr>
                <w:rFonts w:ascii="Times New Roman"/>
                <w:sz w:val="13"/>
              </w:rPr>
            </w:pPr>
            <w:r>
              <w:rPr>
                <w:rFonts w:ascii="Times New Roman"/>
                <w:sz w:val="21"/>
              </w:rPr>
              <w:t>ug/m</w:t>
            </w:r>
            <w:r>
              <w:rPr>
                <w:rFonts w:ascii="Times New Roman"/>
                <w:position w:val="7"/>
                <w:sz w:val="13"/>
              </w:rPr>
              <w:t>3</w:t>
            </w:r>
          </w:p>
        </w:tc>
        <w:tc>
          <w:tcPr>
            <w:tcW w:w="1002" w:type="dxa"/>
          </w:tcPr>
          <w:p>
            <w:pPr>
              <w:pStyle w:val="14"/>
              <w:spacing w:before="14" w:line="238" w:lineRule="exact"/>
              <w:ind w:left="190" w:right="182"/>
              <w:rPr>
                <w:rFonts w:ascii="Times New Roman"/>
                <w:sz w:val="21"/>
              </w:rPr>
            </w:pPr>
            <w:r>
              <w:rPr>
                <w:rFonts w:ascii="Times New Roman"/>
                <w:sz w:val="21"/>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vMerge w:val="continue"/>
            <w:tcBorders>
              <w:top w:val="nil"/>
            </w:tcBorders>
          </w:tcPr>
          <w:p>
            <w:pPr>
              <w:rPr>
                <w:sz w:val="2"/>
                <w:szCs w:val="2"/>
              </w:rPr>
            </w:pPr>
          </w:p>
        </w:tc>
        <w:tc>
          <w:tcPr>
            <w:tcW w:w="1350" w:type="dxa"/>
          </w:tcPr>
          <w:p>
            <w:pPr>
              <w:pStyle w:val="14"/>
              <w:spacing w:line="251" w:lineRule="exact"/>
              <w:ind w:left="101" w:right="95"/>
              <w:rPr>
                <w:sz w:val="21"/>
              </w:rPr>
            </w:pPr>
            <w:r>
              <w:rPr>
                <w:sz w:val="21"/>
              </w:rPr>
              <w:t>年平均</w:t>
            </w:r>
          </w:p>
        </w:tc>
        <w:tc>
          <w:tcPr>
            <w:tcW w:w="812" w:type="dxa"/>
          </w:tcPr>
          <w:p>
            <w:pPr>
              <w:pStyle w:val="14"/>
              <w:spacing w:before="14" w:line="237" w:lineRule="exact"/>
              <w:ind w:left="108" w:right="98"/>
              <w:rPr>
                <w:rFonts w:ascii="Times New Roman"/>
                <w:sz w:val="13"/>
              </w:rPr>
            </w:pPr>
            <w:r>
              <w:rPr>
                <w:rFonts w:ascii="Times New Roman"/>
                <w:sz w:val="21"/>
              </w:rPr>
              <w:t>ug/m</w:t>
            </w:r>
            <w:r>
              <w:rPr>
                <w:rFonts w:ascii="Times New Roman"/>
                <w:position w:val="7"/>
                <w:sz w:val="13"/>
              </w:rPr>
              <w:t>3</w:t>
            </w:r>
          </w:p>
        </w:tc>
        <w:tc>
          <w:tcPr>
            <w:tcW w:w="1002" w:type="dxa"/>
          </w:tcPr>
          <w:p>
            <w:pPr>
              <w:pStyle w:val="14"/>
              <w:spacing w:before="14" w:line="237" w:lineRule="exact"/>
              <w:ind w:left="190" w:right="182"/>
              <w:rPr>
                <w:rFonts w:ascii="Times New Roman"/>
                <w:sz w:val="21"/>
              </w:rPr>
            </w:pPr>
            <w:r>
              <w:rPr>
                <w:rFonts w:ascii="Times New Roman"/>
                <w:sz w:val="21"/>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vMerge w:val="restart"/>
          </w:tcPr>
          <w:p>
            <w:pPr>
              <w:pStyle w:val="14"/>
              <w:spacing w:before="11"/>
              <w:jc w:val="left"/>
              <w:rPr>
                <w:b/>
                <w:sz w:val="22"/>
              </w:rPr>
            </w:pPr>
          </w:p>
          <w:p>
            <w:pPr>
              <w:pStyle w:val="14"/>
              <w:ind w:left="116" w:right="107"/>
              <w:rPr>
                <w:rFonts w:ascii="Times New Roman"/>
                <w:sz w:val="21"/>
              </w:rPr>
            </w:pPr>
            <w:r>
              <w:rPr>
                <w:rFonts w:ascii="Times New Roman"/>
                <w:position w:val="2"/>
                <w:sz w:val="21"/>
              </w:rPr>
              <w:t>NO</w:t>
            </w:r>
            <w:r>
              <w:rPr>
                <w:rFonts w:ascii="Times New Roman"/>
                <w:position w:val="2"/>
                <w:sz w:val="21"/>
                <w:vertAlign w:val="subscript"/>
              </w:rPr>
              <w:t>2</w:t>
            </w:r>
          </w:p>
        </w:tc>
        <w:tc>
          <w:tcPr>
            <w:tcW w:w="1350" w:type="dxa"/>
          </w:tcPr>
          <w:p>
            <w:pPr>
              <w:pStyle w:val="14"/>
              <w:spacing w:before="2" w:line="250" w:lineRule="exact"/>
              <w:ind w:left="101" w:right="95"/>
              <w:rPr>
                <w:sz w:val="21"/>
              </w:rPr>
            </w:pPr>
            <w:r>
              <w:rPr>
                <w:rFonts w:ascii="Times New Roman" w:eastAsia="Times New Roman"/>
                <w:sz w:val="21"/>
              </w:rPr>
              <w:t xml:space="preserve">1 </w:t>
            </w:r>
            <w:r>
              <w:rPr>
                <w:sz w:val="21"/>
              </w:rPr>
              <w:t>小时平均</w:t>
            </w:r>
          </w:p>
        </w:tc>
        <w:tc>
          <w:tcPr>
            <w:tcW w:w="812" w:type="dxa"/>
          </w:tcPr>
          <w:p>
            <w:pPr>
              <w:pStyle w:val="14"/>
              <w:spacing w:before="16" w:line="236" w:lineRule="exact"/>
              <w:ind w:left="108" w:right="98"/>
              <w:rPr>
                <w:rFonts w:ascii="Times New Roman"/>
                <w:sz w:val="13"/>
              </w:rPr>
            </w:pPr>
            <w:r>
              <w:rPr>
                <w:rFonts w:ascii="Times New Roman"/>
                <w:sz w:val="21"/>
              </w:rPr>
              <w:t>ug/m</w:t>
            </w:r>
            <w:r>
              <w:rPr>
                <w:rFonts w:ascii="Times New Roman"/>
                <w:position w:val="7"/>
                <w:sz w:val="13"/>
              </w:rPr>
              <w:t>3</w:t>
            </w:r>
          </w:p>
        </w:tc>
        <w:tc>
          <w:tcPr>
            <w:tcW w:w="1002" w:type="dxa"/>
          </w:tcPr>
          <w:p>
            <w:pPr>
              <w:pStyle w:val="14"/>
              <w:spacing w:before="16" w:line="236" w:lineRule="exact"/>
              <w:ind w:left="190" w:right="182"/>
              <w:rPr>
                <w:rFonts w:ascii="Times New Roman"/>
                <w:sz w:val="21"/>
              </w:rPr>
            </w:pPr>
            <w:r>
              <w:rPr>
                <w:rFonts w:ascii="Times New Roman"/>
                <w:sz w:val="21"/>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vMerge w:val="continue"/>
            <w:tcBorders>
              <w:top w:val="nil"/>
            </w:tcBorders>
          </w:tcPr>
          <w:p>
            <w:pPr>
              <w:rPr>
                <w:sz w:val="2"/>
                <w:szCs w:val="2"/>
              </w:rPr>
            </w:pPr>
          </w:p>
        </w:tc>
        <w:tc>
          <w:tcPr>
            <w:tcW w:w="1350" w:type="dxa"/>
          </w:tcPr>
          <w:p>
            <w:pPr>
              <w:pStyle w:val="14"/>
              <w:spacing w:before="1" w:line="252" w:lineRule="exact"/>
              <w:ind w:left="101" w:right="95"/>
              <w:rPr>
                <w:sz w:val="21"/>
              </w:rPr>
            </w:pPr>
            <w:r>
              <w:rPr>
                <w:rFonts w:ascii="Times New Roman" w:eastAsia="Times New Roman"/>
                <w:sz w:val="21"/>
              </w:rPr>
              <w:t xml:space="preserve">24 </w:t>
            </w:r>
            <w:r>
              <w:rPr>
                <w:sz w:val="21"/>
              </w:rPr>
              <w:t>小时平均</w:t>
            </w:r>
          </w:p>
        </w:tc>
        <w:tc>
          <w:tcPr>
            <w:tcW w:w="812" w:type="dxa"/>
          </w:tcPr>
          <w:p>
            <w:pPr>
              <w:pStyle w:val="14"/>
              <w:spacing w:before="14" w:line="238" w:lineRule="exact"/>
              <w:ind w:left="108" w:right="98"/>
              <w:rPr>
                <w:rFonts w:ascii="Times New Roman"/>
                <w:sz w:val="13"/>
              </w:rPr>
            </w:pPr>
            <w:r>
              <w:rPr>
                <w:rFonts w:ascii="Times New Roman"/>
                <w:sz w:val="21"/>
              </w:rPr>
              <w:t>ug/m</w:t>
            </w:r>
            <w:r>
              <w:rPr>
                <w:rFonts w:ascii="Times New Roman"/>
                <w:position w:val="7"/>
                <w:sz w:val="13"/>
              </w:rPr>
              <w:t>3</w:t>
            </w:r>
          </w:p>
        </w:tc>
        <w:tc>
          <w:tcPr>
            <w:tcW w:w="1002" w:type="dxa"/>
          </w:tcPr>
          <w:p>
            <w:pPr>
              <w:pStyle w:val="14"/>
              <w:spacing w:before="14" w:line="238" w:lineRule="exact"/>
              <w:ind w:left="190" w:right="182"/>
              <w:rPr>
                <w:rFonts w:ascii="Times New Roman"/>
                <w:sz w:val="21"/>
              </w:rPr>
            </w:pPr>
            <w:r>
              <w:rPr>
                <w:rFonts w:ascii="Times New Roman"/>
                <w:sz w:val="21"/>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vMerge w:val="continue"/>
            <w:tcBorders>
              <w:top w:val="nil"/>
            </w:tcBorders>
          </w:tcPr>
          <w:p>
            <w:pPr>
              <w:rPr>
                <w:sz w:val="2"/>
                <w:szCs w:val="2"/>
              </w:rPr>
            </w:pPr>
          </w:p>
        </w:tc>
        <w:tc>
          <w:tcPr>
            <w:tcW w:w="1350" w:type="dxa"/>
          </w:tcPr>
          <w:p>
            <w:pPr>
              <w:pStyle w:val="14"/>
              <w:spacing w:before="1" w:line="251" w:lineRule="exact"/>
              <w:ind w:left="101" w:right="95"/>
              <w:rPr>
                <w:sz w:val="21"/>
              </w:rPr>
            </w:pPr>
            <w:r>
              <w:rPr>
                <w:sz w:val="21"/>
              </w:rPr>
              <w:t>年平均</w:t>
            </w:r>
          </w:p>
        </w:tc>
        <w:tc>
          <w:tcPr>
            <w:tcW w:w="812" w:type="dxa"/>
          </w:tcPr>
          <w:p>
            <w:pPr>
              <w:pStyle w:val="14"/>
              <w:spacing w:before="15" w:line="237" w:lineRule="exact"/>
              <w:ind w:left="108" w:right="98"/>
              <w:rPr>
                <w:rFonts w:ascii="Times New Roman"/>
                <w:sz w:val="13"/>
              </w:rPr>
            </w:pPr>
            <w:r>
              <w:rPr>
                <w:rFonts w:ascii="Times New Roman"/>
                <w:sz w:val="21"/>
              </w:rPr>
              <w:t>ug/m</w:t>
            </w:r>
            <w:r>
              <w:rPr>
                <w:rFonts w:ascii="Times New Roman"/>
                <w:position w:val="7"/>
                <w:sz w:val="13"/>
              </w:rPr>
              <w:t>3</w:t>
            </w:r>
          </w:p>
        </w:tc>
        <w:tc>
          <w:tcPr>
            <w:tcW w:w="1002" w:type="dxa"/>
          </w:tcPr>
          <w:p>
            <w:pPr>
              <w:pStyle w:val="14"/>
              <w:spacing w:before="15" w:line="237" w:lineRule="exact"/>
              <w:ind w:left="190" w:right="182"/>
              <w:rPr>
                <w:rFonts w:ascii="Times New Roman"/>
                <w:sz w:val="21"/>
              </w:rPr>
            </w:pPr>
            <w:r>
              <w:rPr>
                <w:rFonts w:ascii="Times New Roman"/>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vMerge w:val="restart"/>
          </w:tcPr>
          <w:p>
            <w:pPr>
              <w:pStyle w:val="14"/>
              <w:spacing w:before="152"/>
              <w:ind w:left="116" w:right="104"/>
              <w:rPr>
                <w:rFonts w:ascii="Times New Roman"/>
                <w:sz w:val="21"/>
              </w:rPr>
            </w:pPr>
            <w:r>
              <w:rPr>
                <w:rFonts w:ascii="Times New Roman"/>
                <w:position w:val="2"/>
                <w:sz w:val="21"/>
              </w:rPr>
              <w:t>PM</w:t>
            </w:r>
            <w:r>
              <w:rPr>
                <w:rFonts w:ascii="Times New Roman"/>
                <w:position w:val="2"/>
                <w:sz w:val="21"/>
                <w:vertAlign w:val="subscript"/>
              </w:rPr>
              <w:t>10</w:t>
            </w:r>
          </w:p>
        </w:tc>
        <w:tc>
          <w:tcPr>
            <w:tcW w:w="1350" w:type="dxa"/>
          </w:tcPr>
          <w:p>
            <w:pPr>
              <w:pStyle w:val="14"/>
              <w:spacing w:before="2" w:line="250" w:lineRule="exact"/>
              <w:ind w:left="101" w:right="95"/>
              <w:rPr>
                <w:sz w:val="21"/>
              </w:rPr>
            </w:pPr>
            <w:r>
              <w:rPr>
                <w:sz w:val="21"/>
              </w:rPr>
              <w:t>日平均</w:t>
            </w:r>
          </w:p>
        </w:tc>
        <w:tc>
          <w:tcPr>
            <w:tcW w:w="812" w:type="dxa"/>
          </w:tcPr>
          <w:p>
            <w:pPr>
              <w:pStyle w:val="14"/>
              <w:spacing w:before="16" w:line="236" w:lineRule="exact"/>
              <w:ind w:left="108" w:right="98"/>
              <w:rPr>
                <w:rFonts w:ascii="Times New Roman"/>
                <w:sz w:val="13"/>
              </w:rPr>
            </w:pPr>
            <w:r>
              <w:rPr>
                <w:rFonts w:ascii="Times New Roman"/>
                <w:sz w:val="21"/>
              </w:rPr>
              <w:t>ug/m</w:t>
            </w:r>
            <w:r>
              <w:rPr>
                <w:rFonts w:ascii="Times New Roman"/>
                <w:position w:val="7"/>
                <w:sz w:val="13"/>
              </w:rPr>
              <w:t>3</w:t>
            </w:r>
          </w:p>
        </w:tc>
        <w:tc>
          <w:tcPr>
            <w:tcW w:w="1002" w:type="dxa"/>
          </w:tcPr>
          <w:p>
            <w:pPr>
              <w:pStyle w:val="14"/>
              <w:spacing w:before="16" w:line="236" w:lineRule="exact"/>
              <w:ind w:left="190" w:right="182"/>
              <w:rPr>
                <w:rFonts w:ascii="Times New Roman"/>
                <w:sz w:val="21"/>
              </w:rPr>
            </w:pPr>
            <w:r>
              <w:rPr>
                <w:rFonts w:ascii="Times New Roman"/>
                <w:sz w:val="21"/>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vMerge w:val="continue"/>
            <w:tcBorders>
              <w:top w:val="nil"/>
            </w:tcBorders>
          </w:tcPr>
          <w:p>
            <w:pPr>
              <w:rPr>
                <w:sz w:val="2"/>
                <w:szCs w:val="2"/>
              </w:rPr>
            </w:pPr>
          </w:p>
        </w:tc>
        <w:tc>
          <w:tcPr>
            <w:tcW w:w="1350" w:type="dxa"/>
          </w:tcPr>
          <w:p>
            <w:pPr>
              <w:pStyle w:val="14"/>
              <w:spacing w:before="1" w:line="252" w:lineRule="exact"/>
              <w:ind w:left="101" w:right="95"/>
              <w:rPr>
                <w:sz w:val="21"/>
              </w:rPr>
            </w:pPr>
            <w:r>
              <w:rPr>
                <w:sz w:val="21"/>
              </w:rPr>
              <w:t>年平均</w:t>
            </w:r>
          </w:p>
        </w:tc>
        <w:tc>
          <w:tcPr>
            <w:tcW w:w="812" w:type="dxa"/>
          </w:tcPr>
          <w:p>
            <w:pPr>
              <w:pStyle w:val="14"/>
              <w:spacing w:before="15" w:line="238" w:lineRule="exact"/>
              <w:ind w:left="108" w:right="98"/>
              <w:rPr>
                <w:rFonts w:ascii="Times New Roman"/>
                <w:sz w:val="13"/>
              </w:rPr>
            </w:pPr>
            <w:r>
              <w:rPr>
                <w:rFonts w:ascii="Times New Roman"/>
                <w:sz w:val="21"/>
              </w:rPr>
              <w:t>ug/m</w:t>
            </w:r>
            <w:r>
              <w:rPr>
                <w:rFonts w:ascii="Times New Roman"/>
                <w:position w:val="7"/>
                <w:sz w:val="13"/>
              </w:rPr>
              <w:t>3</w:t>
            </w:r>
          </w:p>
        </w:tc>
        <w:tc>
          <w:tcPr>
            <w:tcW w:w="1002" w:type="dxa"/>
          </w:tcPr>
          <w:p>
            <w:pPr>
              <w:pStyle w:val="14"/>
              <w:spacing w:before="15" w:line="238" w:lineRule="exact"/>
              <w:ind w:left="190" w:right="182"/>
              <w:rPr>
                <w:rFonts w:ascii="Times New Roman"/>
                <w:sz w:val="21"/>
              </w:rPr>
            </w:pPr>
            <w:r>
              <w:rPr>
                <w:rFonts w:ascii="Times New Roman"/>
                <w:sz w:val="21"/>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vMerge w:val="restart"/>
          </w:tcPr>
          <w:p>
            <w:pPr>
              <w:pStyle w:val="14"/>
              <w:spacing w:before="151"/>
              <w:ind w:left="116" w:right="104"/>
              <w:rPr>
                <w:rFonts w:ascii="Times New Roman"/>
                <w:sz w:val="13"/>
              </w:rPr>
            </w:pPr>
            <w:r>
              <w:rPr>
                <w:rFonts w:ascii="Times New Roman"/>
                <w:w w:val="105"/>
                <w:position w:val="2"/>
                <w:sz w:val="21"/>
              </w:rPr>
              <w:t>PM</w:t>
            </w:r>
            <w:r>
              <w:rPr>
                <w:rFonts w:ascii="Times New Roman"/>
                <w:w w:val="105"/>
                <w:sz w:val="13"/>
              </w:rPr>
              <w:t>2.5</w:t>
            </w:r>
          </w:p>
        </w:tc>
        <w:tc>
          <w:tcPr>
            <w:tcW w:w="1350" w:type="dxa"/>
          </w:tcPr>
          <w:p>
            <w:pPr>
              <w:pStyle w:val="14"/>
              <w:spacing w:before="1" w:line="251" w:lineRule="exact"/>
              <w:ind w:left="101" w:right="95"/>
              <w:rPr>
                <w:sz w:val="21"/>
              </w:rPr>
            </w:pPr>
            <w:r>
              <w:rPr>
                <w:sz w:val="21"/>
              </w:rPr>
              <w:t>日平均</w:t>
            </w:r>
          </w:p>
        </w:tc>
        <w:tc>
          <w:tcPr>
            <w:tcW w:w="812" w:type="dxa"/>
          </w:tcPr>
          <w:p>
            <w:pPr>
              <w:pStyle w:val="14"/>
              <w:spacing w:before="15" w:line="237" w:lineRule="exact"/>
              <w:ind w:left="108" w:right="98"/>
              <w:rPr>
                <w:rFonts w:ascii="Times New Roman"/>
                <w:sz w:val="13"/>
              </w:rPr>
            </w:pPr>
            <w:r>
              <w:rPr>
                <w:rFonts w:ascii="Times New Roman"/>
                <w:sz w:val="21"/>
              </w:rPr>
              <w:t>ug/m</w:t>
            </w:r>
            <w:r>
              <w:rPr>
                <w:rFonts w:ascii="Times New Roman"/>
                <w:position w:val="7"/>
                <w:sz w:val="13"/>
              </w:rPr>
              <w:t>3</w:t>
            </w:r>
          </w:p>
        </w:tc>
        <w:tc>
          <w:tcPr>
            <w:tcW w:w="1002" w:type="dxa"/>
          </w:tcPr>
          <w:p>
            <w:pPr>
              <w:pStyle w:val="14"/>
              <w:spacing w:before="15" w:line="237" w:lineRule="exact"/>
              <w:ind w:left="190" w:right="182"/>
              <w:rPr>
                <w:rFonts w:ascii="Times New Roman"/>
                <w:sz w:val="21"/>
              </w:rPr>
            </w:pPr>
            <w:r>
              <w:rPr>
                <w:rFonts w:ascii="Times New Roman"/>
                <w:sz w:val="21"/>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vMerge w:val="continue"/>
            <w:tcBorders>
              <w:top w:val="nil"/>
            </w:tcBorders>
          </w:tcPr>
          <w:p>
            <w:pPr>
              <w:rPr>
                <w:sz w:val="2"/>
                <w:szCs w:val="2"/>
              </w:rPr>
            </w:pPr>
          </w:p>
        </w:tc>
        <w:tc>
          <w:tcPr>
            <w:tcW w:w="1350" w:type="dxa"/>
          </w:tcPr>
          <w:p>
            <w:pPr>
              <w:pStyle w:val="14"/>
              <w:spacing w:line="253" w:lineRule="exact"/>
              <w:ind w:left="101" w:right="95"/>
              <w:rPr>
                <w:sz w:val="21"/>
              </w:rPr>
            </w:pPr>
            <w:r>
              <w:rPr>
                <w:sz w:val="21"/>
              </w:rPr>
              <w:t>年平均</w:t>
            </w:r>
          </w:p>
        </w:tc>
        <w:tc>
          <w:tcPr>
            <w:tcW w:w="812" w:type="dxa"/>
          </w:tcPr>
          <w:p>
            <w:pPr>
              <w:pStyle w:val="14"/>
              <w:spacing w:before="14" w:line="239" w:lineRule="exact"/>
              <w:ind w:left="108" w:right="98"/>
              <w:rPr>
                <w:rFonts w:ascii="Times New Roman"/>
                <w:sz w:val="13"/>
              </w:rPr>
            </w:pPr>
            <w:r>
              <w:rPr>
                <w:rFonts w:ascii="Times New Roman"/>
                <w:sz w:val="21"/>
              </w:rPr>
              <w:t>ug/m</w:t>
            </w:r>
            <w:r>
              <w:rPr>
                <w:rFonts w:ascii="Times New Roman"/>
                <w:position w:val="7"/>
                <w:sz w:val="13"/>
              </w:rPr>
              <w:t>3</w:t>
            </w:r>
          </w:p>
        </w:tc>
        <w:tc>
          <w:tcPr>
            <w:tcW w:w="1002" w:type="dxa"/>
          </w:tcPr>
          <w:p>
            <w:pPr>
              <w:pStyle w:val="14"/>
              <w:spacing w:before="14" w:line="239" w:lineRule="exact"/>
              <w:ind w:left="190" w:right="182"/>
              <w:rPr>
                <w:rFonts w:ascii="Times New Roman"/>
                <w:sz w:val="21"/>
              </w:rPr>
            </w:pPr>
            <w:r>
              <w:rPr>
                <w:rFonts w:ascii="Times New Roman"/>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1" w:line="241" w:lineRule="exact"/>
              <w:ind w:left="116" w:right="107"/>
              <w:rPr>
                <w:rFonts w:ascii="Times New Roman"/>
                <w:sz w:val="21"/>
              </w:rPr>
            </w:pPr>
            <w:r>
              <w:rPr>
                <w:rFonts w:ascii="Times New Roman"/>
                <w:position w:val="2"/>
                <w:sz w:val="21"/>
              </w:rPr>
              <w:t>O</w:t>
            </w:r>
            <w:r>
              <w:rPr>
                <w:rFonts w:ascii="Times New Roman"/>
                <w:position w:val="2"/>
                <w:sz w:val="21"/>
                <w:vertAlign w:val="subscript"/>
              </w:rPr>
              <w:t>3</w:t>
            </w:r>
          </w:p>
        </w:tc>
        <w:tc>
          <w:tcPr>
            <w:tcW w:w="1350" w:type="dxa"/>
          </w:tcPr>
          <w:p>
            <w:pPr>
              <w:pStyle w:val="14"/>
              <w:spacing w:line="252" w:lineRule="exact"/>
              <w:ind w:left="101" w:right="95"/>
              <w:rPr>
                <w:sz w:val="21"/>
              </w:rPr>
            </w:pPr>
            <w:r>
              <w:rPr>
                <w:rFonts w:ascii="Times New Roman" w:eastAsia="Times New Roman"/>
                <w:sz w:val="21"/>
              </w:rPr>
              <w:t xml:space="preserve">1 </w:t>
            </w:r>
            <w:r>
              <w:rPr>
                <w:sz w:val="21"/>
              </w:rPr>
              <w:t>小时平均</w:t>
            </w:r>
          </w:p>
        </w:tc>
        <w:tc>
          <w:tcPr>
            <w:tcW w:w="812" w:type="dxa"/>
          </w:tcPr>
          <w:p>
            <w:pPr>
              <w:pStyle w:val="14"/>
              <w:spacing w:before="14" w:line="238" w:lineRule="exact"/>
              <w:ind w:left="108" w:right="98"/>
              <w:rPr>
                <w:rFonts w:ascii="Times New Roman"/>
                <w:sz w:val="13"/>
              </w:rPr>
            </w:pPr>
            <w:r>
              <w:rPr>
                <w:rFonts w:ascii="Times New Roman"/>
                <w:sz w:val="21"/>
              </w:rPr>
              <w:t>ug/m</w:t>
            </w:r>
            <w:r>
              <w:rPr>
                <w:rFonts w:ascii="Times New Roman"/>
                <w:position w:val="7"/>
                <w:sz w:val="13"/>
              </w:rPr>
              <w:t>3</w:t>
            </w:r>
          </w:p>
        </w:tc>
        <w:tc>
          <w:tcPr>
            <w:tcW w:w="1002" w:type="dxa"/>
          </w:tcPr>
          <w:p>
            <w:pPr>
              <w:pStyle w:val="14"/>
              <w:spacing w:before="14" w:line="238" w:lineRule="exact"/>
              <w:ind w:left="190" w:right="182"/>
              <w:rPr>
                <w:rFonts w:ascii="Times New Roman"/>
                <w:sz w:val="21"/>
              </w:rPr>
            </w:pPr>
            <w:r>
              <w:rPr>
                <w:rFonts w:ascii="Times New Roman"/>
                <w:sz w:val="21"/>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vMerge w:val="restart"/>
          </w:tcPr>
          <w:p>
            <w:pPr>
              <w:pStyle w:val="14"/>
              <w:spacing w:before="154"/>
              <w:ind w:left="116" w:right="106"/>
              <w:rPr>
                <w:rFonts w:ascii="Times New Roman"/>
                <w:sz w:val="21"/>
              </w:rPr>
            </w:pPr>
            <w:r>
              <w:rPr>
                <w:rFonts w:ascii="Times New Roman"/>
                <w:sz w:val="21"/>
              </w:rPr>
              <w:t>CO</w:t>
            </w:r>
          </w:p>
        </w:tc>
        <w:tc>
          <w:tcPr>
            <w:tcW w:w="1350" w:type="dxa"/>
          </w:tcPr>
          <w:p>
            <w:pPr>
              <w:pStyle w:val="14"/>
              <w:spacing w:line="252" w:lineRule="exact"/>
              <w:ind w:left="101" w:right="95"/>
              <w:rPr>
                <w:sz w:val="21"/>
              </w:rPr>
            </w:pPr>
            <w:r>
              <w:rPr>
                <w:rFonts w:ascii="Times New Roman" w:eastAsia="Times New Roman"/>
                <w:sz w:val="21"/>
              </w:rPr>
              <w:t xml:space="preserve">1 </w:t>
            </w:r>
            <w:r>
              <w:rPr>
                <w:sz w:val="21"/>
              </w:rPr>
              <w:t>小时平均</w:t>
            </w:r>
          </w:p>
        </w:tc>
        <w:tc>
          <w:tcPr>
            <w:tcW w:w="812" w:type="dxa"/>
          </w:tcPr>
          <w:p>
            <w:pPr>
              <w:pStyle w:val="14"/>
              <w:spacing w:before="13" w:line="239" w:lineRule="exact"/>
              <w:ind w:left="108" w:right="98"/>
              <w:rPr>
                <w:rFonts w:ascii="Times New Roman"/>
                <w:sz w:val="13"/>
              </w:rPr>
            </w:pPr>
            <w:r>
              <w:rPr>
                <w:rFonts w:ascii="Times New Roman"/>
                <w:sz w:val="21"/>
              </w:rPr>
              <w:t>mg/m</w:t>
            </w:r>
            <w:r>
              <w:rPr>
                <w:rFonts w:ascii="Times New Roman"/>
                <w:position w:val="7"/>
                <w:sz w:val="13"/>
              </w:rPr>
              <w:t>3</w:t>
            </w:r>
          </w:p>
        </w:tc>
        <w:tc>
          <w:tcPr>
            <w:tcW w:w="1002" w:type="dxa"/>
          </w:tcPr>
          <w:p>
            <w:pPr>
              <w:pStyle w:val="14"/>
              <w:spacing w:before="13" w:line="239" w:lineRule="exact"/>
              <w:ind w:left="8"/>
              <w:rPr>
                <w:rFonts w:ascii="Times New Roman"/>
                <w:sz w:val="21"/>
              </w:rPr>
            </w:pPr>
            <w:r>
              <w:rPr>
                <w:rFonts w:ascii="Times New Roman"/>
                <w:w w:val="99"/>
                <w:sz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vMerge w:val="continue"/>
            <w:tcBorders>
              <w:top w:val="nil"/>
            </w:tcBorders>
          </w:tcPr>
          <w:p>
            <w:pPr>
              <w:rPr>
                <w:sz w:val="2"/>
                <w:szCs w:val="2"/>
              </w:rPr>
            </w:pPr>
          </w:p>
        </w:tc>
        <w:tc>
          <w:tcPr>
            <w:tcW w:w="1350" w:type="dxa"/>
          </w:tcPr>
          <w:p>
            <w:pPr>
              <w:pStyle w:val="14"/>
              <w:spacing w:line="253" w:lineRule="exact"/>
              <w:ind w:left="101" w:right="95"/>
              <w:rPr>
                <w:sz w:val="21"/>
              </w:rPr>
            </w:pPr>
            <w:r>
              <w:rPr>
                <w:rFonts w:ascii="Times New Roman" w:eastAsia="Times New Roman"/>
                <w:sz w:val="21"/>
              </w:rPr>
              <w:t xml:space="preserve">24 </w:t>
            </w:r>
            <w:r>
              <w:rPr>
                <w:sz w:val="21"/>
              </w:rPr>
              <w:t>小时平均</w:t>
            </w:r>
          </w:p>
        </w:tc>
        <w:tc>
          <w:tcPr>
            <w:tcW w:w="812" w:type="dxa"/>
          </w:tcPr>
          <w:p>
            <w:pPr>
              <w:pStyle w:val="14"/>
              <w:spacing w:before="14" w:line="239" w:lineRule="exact"/>
              <w:ind w:left="108" w:right="98"/>
              <w:rPr>
                <w:rFonts w:ascii="Times New Roman"/>
                <w:sz w:val="13"/>
              </w:rPr>
            </w:pPr>
            <w:r>
              <w:rPr>
                <w:rFonts w:ascii="Times New Roman"/>
                <w:sz w:val="21"/>
              </w:rPr>
              <w:t>mg/m</w:t>
            </w:r>
            <w:r>
              <w:rPr>
                <w:rFonts w:ascii="Times New Roman"/>
                <w:position w:val="7"/>
                <w:sz w:val="13"/>
              </w:rPr>
              <w:t>3</w:t>
            </w:r>
          </w:p>
        </w:tc>
        <w:tc>
          <w:tcPr>
            <w:tcW w:w="1002" w:type="dxa"/>
          </w:tcPr>
          <w:p>
            <w:pPr>
              <w:pStyle w:val="14"/>
              <w:spacing w:before="14" w:line="239" w:lineRule="exact"/>
              <w:ind w:left="190" w:right="182"/>
              <w:rPr>
                <w:rFonts w:ascii="Times New Roman"/>
                <w:sz w:val="21"/>
              </w:rPr>
            </w:pPr>
            <w:r>
              <w:rPr>
                <w:rFonts w:ascii="Times New Roman"/>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vMerge w:val="restart"/>
          </w:tcPr>
          <w:p>
            <w:pPr>
              <w:pStyle w:val="14"/>
              <w:spacing w:before="156"/>
              <w:ind w:left="116" w:right="107"/>
              <w:rPr>
                <w:rFonts w:ascii="Times New Roman"/>
                <w:sz w:val="21"/>
              </w:rPr>
            </w:pPr>
            <w:r>
              <w:rPr>
                <w:rFonts w:ascii="Times New Roman"/>
                <w:sz w:val="21"/>
              </w:rPr>
              <w:t>TSP</w:t>
            </w:r>
          </w:p>
        </w:tc>
        <w:tc>
          <w:tcPr>
            <w:tcW w:w="1350" w:type="dxa"/>
          </w:tcPr>
          <w:p>
            <w:pPr>
              <w:pStyle w:val="14"/>
              <w:spacing w:line="252" w:lineRule="exact"/>
              <w:ind w:left="101" w:right="95"/>
              <w:rPr>
                <w:sz w:val="21"/>
              </w:rPr>
            </w:pPr>
            <w:r>
              <w:rPr>
                <w:sz w:val="21"/>
              </w:rPr>
              <w:t>年平均</w:t>
            </w:r>
          </w:p>
        </w:tc>
        <w:tc>
          <w:tcPr>
            <w:tcW w:w="812" w:type="dxa"/>
          </w:tcPr>
          <w:p>
            <w:pPr>
              <w:pStyle w:val="14"/>
              <w:spacing w:before="14" w:line="238" w:lineRule="exact"/>
              <w:ind w:left="108" w:right="98"/>
              <w:rPr>
                <w:rFonts w:ascii="Times New Roman"/>
                <w:sz w:val="13"/>
              </w:rPr>
            </w:pPr>
            <w:r>
              <w:rPr>
                <w:rFonts w:ascii="Times New Roman"/>
                <w:sz w:val="21"/>
              </w:rPr>
              <w:t>ug/m</w:t>
            </w:r>
            <w:r>
              <w:rPr>
                <w:rFonts w:ascii="Times New Roman"/>
                <w:position w:val="7"/>
                <w:sz w:val="13"/>
              </w:rPr>
              <w:t>3</w:t>
            </w:r>
          </w:p>
        </w:tc>
        <w:tc>
          <w:tcPr>
            <w:tcW w:w="1002" w:type="dxa"/>
          </w:tcPr>
          <w:p>
            <w:pPr>
              <w:pStyle w:val="14"/>
              <w:spacing w:before="14" w:line="238" w:lineRule="exact"/>
              <w:ind w:left="190" w:right="182"/>
              <w:rPr>
                <w:rFonts w:ascii="Times New Roman"/>
                <w:sz w:val="21"/>
              </w:rPr>
            </w:pPr>
            <w:r>
              <w:rPr>
                <w:rFonts w:ascii="Times New Roman"/>
                <w:sz w:val="21"/>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vMerge w:val="continue"/>
            <w:tcBorders>
              <w:top w:val="nil"/>
            </w:tcBorders>
          </w:tcPr>
          <w:p>
            <w:pPr>
              <w:rPr>
                <w:sz w:val="2"/>
                <w:szCs w:val="2"/>
              </w:rPr>
            </w:pPr>
          </w:p>
        </w:tc>
        <w:tc>
          <w:tcPr>
            <w:tcW w:w="1350" w:type="dxa"/>
          </w:tcPr>
          <w:p>
            <w:pPr>
              <w:pStyle w:val="14"/>
              <w:spacing w:line="252" w:lineRule="exact"/>
              <w:ind w:left="101" w:right="95"/>
              <w:rPr>
                <w:sz w:val="21"/>
              </w:rPr>
            </w:pPr>
            <w:r>
              <w:rPr>
                <w:rFonts w:ascii="Times New Roman" w:eastAsia="Times New Roman"/>
                <w:sz w:val="21"/>
              </w:rPr>
              <w:t>24</w:t>
            </w:r>
            <w:r>
              <w:rPr>
                <w:sz w:val="21"/>
              </w:rPr>
              <w:t>小时平均</w:t>
            </w:r>
          </w:p>
        </w:tc>
        <w:tc>
          <w:tcPr>
            <w:tcW w:w="812" w:type="dxa"/>
          </w:tcPr>
          <w:p>
            <w:pPr>
              <w:pStyle w:val="14"/>
              <w:spacing w:before="13" w:line="239" w:lineRule="exact"/>
              <w:ind w:left="108" w:right="98"/>
              <w:rPr>
                <w:rFonts w:ascii="Times New Roman"/>
                <w:sz w:val="13"/>
              </w:rPr>
            </w:pPr>
            <w:r>
              <w:rPr>
                <w:rFonts w:ascii="Times New Roman"/>
                <w:sz w:val="21"/>
              </w:rPr>
              <w:t>ug/m</w:t>
            </w:r>
            <w:r>
              <w:rPr>
                <w:rFonts w:ascii="Times New Roman"/>
                <w:position w:val="7"/>
                <w:sz w:val="13"/>
              </w:rPr>
              <w:t>3</w:t>
            </w:r>
          </w:p>
        </w:tc>
        <w:tc>
          <w:tcPr>
            <w:tcW w:w="1002" w:type="dxa"/>
          </w:tcPr>
          <w:p>
            <w:pPr>
              <w:pStyle w:val="14"/>
              <w:spacing w:before="13" w:line="239" w:lineRule="exact"/>
              <w:ind w:left="190" w:right="182"/>
              <w:rPr>
                <w:rFonts w:ascii="Times New Roman"/>
                <w:sz w:val="21"/>
              </w:rPr>
            </w:pPr>
            <w:r>
              <w:rPr>
                <w:rFonts w:ascii="Times New Roman"/>
                <w:sz w:val="21"/>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75"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6"/>
              </w:rPr>
            </w:pPr>
          </w:p>
          <w:p>
            <w:pPr>
              <w:pStyle w:val="14"/>
              <w:spacing w:line="242" w:lineRule="auto"/>
              <w:ind w:left="232" w:right="118" w:hanging="106"/>
              <w:jc w:val="left"/>
              <w:rPr>
                <w:sz w:val="21"/>
              </w:rPr>
            </w:pPr>
            <w:r>
              <w:rPr>
                <w:sz w:val="21"/>
              </w:rPr>
              <w:t>地表水</w:t>
            </w:r>
          </w:p>
        </w:tc>
        <w:tc>
          <w:tcPr>
            <w:tcW w:w="2920"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6"/>
              </w:rPr>
            </w:pPr>
          </w:p>
          <w:p>
            <w:pPr>
              <w:pStyle w:val="14"/>
              <w:ind w:left="303"/>
              <w:jc w:val="left"/>
              <w:rPr>
                <w:sz w:val="21"/>
              </w:rPr>
            </w:pPr>
            <w:r>
              <w:rPr>
                <w:sz w:val="21"/>
              </w:rPr>
              <w:t>《地表水环境质量标准》</w:t>
            </w:r>
          </w:p>
          <w:p>
            <w:pPr>
              <w:pStyle w:val="14"/>
              <w:spacing w:before="3"/>
              <w:ind w:left="229"/>
              <w:jc w:val="left"/>
              <w:rPr>
                <w:sz w:val="21"/>
              </w:rPr>
            </w:pPr>
            <w:r>
              <w:rPr>
                <w:sz w:val="21"/>
              </w:rPr>
              <w:t>（</w:t>
            </w:r>
            <w:r>
              <w:rPr>
                <w:rFonts w:ascii="Times New Roman" w:hAnsi="Times New Roman" w:eastAsia="Times New Roman"/>
                <w:sz w:val="21"/>
              </w:rPr>
              <w:t>GB3838-2002</w:t>
            </w:r>
            <w:r>
              <w:rPr>
                <w:sz w:val="21"/>
              </w:rPr>
              <w:t>）Ⅲ类标准</w:t>
            </w:r>
          </w:p>
        </w:tc>
        <w:tc>
          <w:tcPr>
            <w:tcW w:w="1763" w:type="dxa"/>
          </w:tcPr>
          <w:p>
            <w:pPr>
              <w:pStyle w:val="14"/>
              <w:spacing w:line="220" w:lineRule="exact"/>
              <w:ind w:left="116" w:right="106"/>
              <w:rPr>
                <w:rFonts w:ascii="Times New Roman"/>
                <w:sz w:val="21"/>
              </w:rPr>
            </w:pPr>
            <w:r>
              <w:rPr>
                <w:rFonts w:ascii="Times New Roman"/>
                <w:sz w:val="21"/>
              </w:rPr>
              <w:t>pH</w:t>
            </w:r>
          </w:p>
        </w:tc>
        <w:tc>
          <w:tcPr>
            <w:tcW w:w="2162" w:type="dxa"/>
            <w:gridSpan w:val="2"/>
          </w:tcPr>
          <w:p>
            <w:pPr>
              <w:pStyle w:val="14"/>
              <w:spacing w:line="220" w:lineRule="exact"/>
              <w:ind w:left="746" w:right="736"/>
              <w:rPr>
                <w:sz w:val="21"/>
              </w:rPr>
            </w:pPr>
            <w:r>
              <w:rPr>
                <w:sz w:val="21"/>
              </w:rPr>
              <w:t>无量纲</w:t>
            </w:r>
          </w:p>
        </w:tc>
        <w:tc>
          <w:tcPr>
            <w:tcW w:w="1002" w:type="dxa"/>
          </w:tcPr>
          <w:p>
            <w:pPr>
              <w:pStyle w:val="14"/>
              <w:spacing w:line="220" w:lineRule="exact"/>
              <w:ind w:left="291"/>
              <w:jc w:val="left"/>
              <w:rPr>
                <w:rFonts w:ascii="Times New Roman" w:eastAsia="Times New Roman"/>
                <w:sz w:val="21"/>
              </w:rPr>
            </w:pPr>
            <w:r>
              <w:rPr>
                <w:rFonts w:ascii="Times New Roman" w:eastAsia="Times New Roman"/>
                <w:sz w:val="21"/>
              </w:rPr>
              <w:t>6</w:t>
            </w:r>
            <w:r>
              <w:rPr>
                <w:sz w:val="21"/>
              </w:rPr>
              <w:t>～</w:t>
            </w:r>
            <w:r>
              <w:rPr>
                <w:rFonts w:ascii="Times New Roman" w:eastAsia="Times New Roman"/>
                <w:sz w:val="21"/>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20" w:lineRule="exact"/>
              <w:ind w:left="116" w:right="108"/>
              <w:rPr>
                <w:rFonts w:ascii="Times New Roman"/>
                <w:sz w:val="21"/>
              </w:rPr>
            </w:pPr>
            <w:r>
              <w:rPr>
                <w:rFonts w:ascii="Times New Roman"/>
                <w:sz w:val="21"/>
              </w:rPr>
              <w:t>COD</w:t>
            </w:r>
          </w:p>
        </w:tc>
        <w:tc>
          <w:tcPr>
            <w:tcW w:w="2162" w:type="dxa"/>
            <w:gridSpan w:val="2"/>
            <w:vMerge w:val="restart"/>
          </w:tcPr>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spacing w:before="11"/>
              <w:jc w:val="left"/>
              <w:rPr>
                <w:b/>
                <w:sz w:val="19"/>
              </w:rPr>
            </w:pPr>
          </w:p>
          <w:p>
            <w:pPr>
              <w:pStyle w:val="14"/>
              <w:ind w:left="744" w:right="736"/>
              <w:rPr>
                <w:rFonts w:ascii="Times New Roman"/>
                <w:sz w:val="21"/>
              </w:rPr>
            </w:pPr>
            <w:r>
              <w:rPr>
                <w:rFonts w:ascii="Times New Roman"/>
                <w:sz w:val="21"/>
              </w:rPr>
              <w:t>mg/L</w:t>
            </w:r>
          </w:p>
        </w:tc>
        <w:tc>
          <w:tcPr>
            <w:tcW w:w="1002" w:type="dxa"/>
          </w:tcPr>
          <w:p>
            <w:pPr>
              <w:pStyle w:val="14"/>
              <w:spacing w:line="220" w:lineRule="exact"/>
              <w:ind w:left="291"/>
              <w:jc w:val="left"/>
              <w:rPr>
                <w:rFonts w:ascii="Times New Roman" w:hAnsi="Times New Roman"/>
                <w:sz w:val="21"/>
              </w:rPr>
            </w:pPr>
            <w:r>
              <w:rPr>
                <w:sz w:val="21"/>
              </w:rPr>
              <w:t>≤</w:t>
            </w:r>
            <w:r>
              <w:rPr>
                <w:rFonts w:ascii="Times New Roman" w:hAnsi="Times New Roman"/>
                <w:sz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20" w:lineRule="exact"/>
              <w:ind w:left="116" w:right="108"/>
              <w:rPr>
                <w:sz w:val="21"/>
              </w:rPr>
            </w:pPr>
            <w:r>
              <w:rPr>
                <w:sz w:val="21"/>
              </w:rPr>
              <w:t>石油类</w:t>
            </w:r>
          </w:p>
        </w:tc>
        <w:tc>
          <w:tcPr>
            <w:tcW w:w="2162" w:type="dxa"/>
            <w:gridSpan w:val="2"/>
            <w:vMerge w:val="continue"/>
            <w:tcBorders>
              <w:top w:val="nil"/>
            </w:tcBorders>
          </w:tcPr>
          <w:p>
            <w:pPr>
              <w:rPr>
                <w:sz w:val="2"/>
                <w:szCs w:val="2"/>
              </w:rPr>
            </w:pPr>
          </w:p>
        </w:tc>
        <w:tc>
          <w:tcPr>
            <w:tcW w:w="1002" w:type="dxa"/>
          </w:tcPr>
          <w:p>
            <w:pPr>
              <w:pStyle w:val="14"/>
              <w:spacing w:line="220" w:lineRule="exact"/>
              <w:ind w:right="200"/>
              <w:jc w:val="right"/>
              <w:rPr>
                <w:rFonts w:ascii="Times New Roman" w:hAnsi="Times New Roman"/>
                <w:sz w:val="21"/>
              </w:rPr>
            </w:pPr>
            <w:r>
              <w:rPr>
                <w:w w:val="95"/>
                <w:sz w:val="21"/>
              </w:rPr>
              <w:t>≤</w:t>
            </w:r>
            <w:r>
              <w:rPr>
                <w:rFonts w:ascii="Times New Roman" w:hAnsi="Times New Roman"/>
                <w:w w:val="95"/>
                <w:sz w:val="21"/>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20" w:lineRule="exact"/>
              <w:ind w:left="111" w:right="108"/>
              <w:rPr>
                <w:sz w:val="21"/>
              </w:rPr>
            </w:pPr>
            <w:r>
              <w:rPr>
                <w:sz w:val="21"/>
              </w:rPr>
              <w:t>总铁</w:t>
            </w:r>
          </w:p>
        </w:tc>
        <w:tc>
          <w:tcPr>
            <w:tcW w:w="2162" w:type="dxa"/>
            <w:gridSpan w:val="2"/>
            <w:vMerge w:val="continue"/>
            <w:tcBorders>
              <w:top w:val="nil"/>
            </w:tcBorders>
          </w:tcPr>
          <w:p>
            <w:pPr>
              <w:rPr>
                <w:sz w:val="2"/>
                <w:szCs w:val="2"/>
              </w:rPr>
            </w:pPr>
          </w:p>
        </w:tc>
        <w:tc>
          <w:tcPr>
            <w:tcW w:w="1002" w:type="dxa"/>
          </w:tcPr>
          <w:p>
            <w:pPr>
              <w:pStyle w:val="14"/>
              <w:spacing w:line="220" w:lineRule="exact"/>
              <w:ind w:left="265"/>
              <w:jc w:val="left"/>
              <w:rPr>
                <w:rFonts w:ascii="Times New Roman" w:hAnsi="Times New Roman"/>
                <w:sz w:val="21"/>
              </w:rPr>
            </w:pPr>
            <w:r>
              <w:rPr>
                <w:sz w:val="21"/>
              </w:rPr>
              <w:t>≤</w:t>
            </w:r>
            <w:r>
              <w:rPr>
                <w:rFonts w:ascii="Times New Roman" w:hAnsi="Times New Roman"/>
                <w:sz w:val="21"/>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20" w:lineRule="exact"/>
              <w:ind w:left="111" w:right="108"/>
              <w:rPr>
                <w:sz w:val="21"/>
              </w:rPr>
            </w:pPr>
            <w:r>
              <w:rPr>
                <w:sz w:val="21"/>
              </w:rPr>
              <w:t>总锰</w:t>
            </w:r>
          </w:p>
        </w:tc>
        <w:tc>
          <w:tcPr>
            <w:tcW w:w="2162" w:type="dxa"/>
            <w:gridSpan w:val="2"/>
            <w:vMerge w:val="continue"/>
            <w:tcBorders>
              <w:top w:val="nil"/>
            </w:tcBorders>
          </w:tcPr>
          <w:p>
            <w:pPr>
              <w:rPr>
                <w:sz w:val="2"/>
                <w:szCs w:val="2"/>
              </w:rPr>
            </w:pPr>
          </w:p>
        </w:tc>
        <w:tc>
          <w:tcPr>
            <w:tcW w:w="1002" w:type="dxa"/>
          </w:tcPr>
          <w:p>
            <w:pPr>
              <w:pStyle w:val="14"/>
              <w:spacing w:line="220" w:lineRule="exact"/>
              <w:ind w:left="265"/>
              <w:jc w:val="left"/>
              <w:rPr>
                <w:rFonts w:ascii="Times New Roman" w:hAnsi="Times New Roman"/>
                <w:sz w:val="21"/>
              </w:rPr>
            </w:pPr>
            <w:r>
              <w:rPr>
                <w:sz w:val="21"/>
              </w:rPr>
              <w:t>≤</w:t>
            </w:r>
            <w:r>
              <w:rPr>
                <w:rFonts w:ascii="Times New Roman" w:hAnsi="Times New Roman"/>
                <w:sz w:val="21"/>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01"/>
              <w:ind w:left="111" w:right="108"/>
              <w:rPr>
                <w:sz w:val="21"/>
              </w:rPr>
            </w:pPr>
            <w:r>
              <w:rPr>
                <w:sz w:val="21"/>
              </w:rPr>
              <w:t>总汞</w:t>
            </w:r>
          </w:p>
        </w:tc>
        <w:tc>
          <w:tcPr>
            <w:tcW w:w="2162" w:type="dxa"/>
            <w:gridSpan w:val="2"/>
            <w:vMerge w:val="continue"/>
            <w:tcBorders>
              <w:top w:val="nil"/>
            </w:tcBorders>
          </w:tcPr>
          <w:p>
            <w:pPr>
              <w:rPr>
                <w:sz w:val="2"/>
                <w:szCs w:val="2"/>
              </w:rPr>
            </w:pPr>
          </w:p>
        </w:tc>
        <w:tc>
          <w:tcPr>
            <w:tcW w:w="1002" w:type="dxa"/>
          </w:tcPr>
          <w:p>
            <w:pPr>
              <w:pStyle w:val="14"/>
              <w:spacing w:line="243" w:lineRule="exact"/>
              <w:ind w:left="6"/>
              <w:rPr>
                <w:sz w:val="21"/>
              </w:rPr>
            </w:pPr>
            <w:r>
              <w:rPr>
                <w:w w:val="99"/>
                <w:sz w:val="21"/>
              </w:rPr>
              <w:t>≤</w:t>
            </w:r>
          </w:p>
          <w:p>
            <w:pPr>
              <w:pStyle w:val="14"/>
              <w:spacing w:line="217" w:lineRule="exact"/>
              <w:ind w:left="192" w:right="182"/>
              <w:rPr>
                <w:rFonts w:ascii="Times New Roman"/>
                <w:sz w:val="21"/>
              </w:rPr>
            </w:pPr>
            <w:r>
              <w:rPr>
                <w:rFonts w:ascii="Times New Roman"/>
                <w:sz w:val="21"/>
              </w:rPr>
              <w:t>0.0001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20" w:lineRule="exact"/>
              <w:ind w:left="111" w:right="108"/>
              <w:rPr>
                <w:sz w:val="21"/>
              </w:rPr>
            </w:pPr>
            <w:r>
              <w:rPr>
                <w:sz w:val="21"/>
              </w:rPr>
              <w:t>总镉</w:t>
            </w:r>
          </w:p>
        </w:tc>
        <w:tc>
          <w:tcPr>
            <w:tcW w:w="2162" w:type="dxa"/>
            <w:gridSpan w:val="2"/>
            <w:vMerge w:val="continue"/>
            <w:tcBorders>
              <w:top w:val="nil"/>
            </w:tcBorders>
          </w:tcPr>
          <w:p>
            <w:pPr>
              <w:rPr>
                <w:sz w:val="2"/>
                <w:szCs w:val="2"/>
              </w:rPr>
            </w:pPr>
          </w:p>
        </w:tc>
        <w:tc>
          <w:tcPr>
            <w:tcW w:w="1002" w:type="dxa"/>
          </w:tcPr>
          <w:p>
            <w:pPr>
              <w:pStyle w:val="14"/>
              <w:spacing w:line="220" w:lineRule="exact"/>
              <w:ind w:right="147"/>
              <w:jc w:val="right"/>
              <w:rPr>
                <w:rFonts w:ascii="Times New Roman" w:hAnsi="Times New Roman"/>
                <w:sz w:val="21"/>
              </w:rPr>
            </w:pPr>
            <w:r>
              <w:rPr>
                <w:w w:val="95"/>
                <w:sz w:val="21"/>
              </w:rPr>
              <w:t>≤</w:t>
            </w:r>
            <w:r>
              <w:rPr>
                <w:rFonts w:ascii="Times New Roman" w:hAnsi="Times New Roman"/>
                <w:w w:val="95"/>
                <w:sz w:val="21"/>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20" w:lineRule="exact"/>
              <w:ind w:left="116" w:right="108"/>
              <w:rPr>
                <w:sz w:val="21"/>
              </w:rPr>
            </w:pPr>
            <w:r>
              <w:rPr>
                <w:sz w:val="21"/>
              </w:rPr>
              <w:t>六价铬</w:t>
            </w:r>
          </w:p>
        </w:tc>
        <w:tc>
          <w:tcPr>
            <w:tcW w:w="2162" w:type="dxa"/>
            <w:gridSpan w:val="2"/>
            <w:vMerge w:val="continue"/>
            <w:tcBorders>
              <w:top w:val="nil"/>
            </w:tcBorders>
          </w:tcPr>
          <w:p>
            <w:pPr>
              <w:rPr>
                <w:sz w:val="2"/>
                <w:szCs w:val="2"/>
              </w:rPr>
            </w:pPr>
          </w:p>
        </w:tc>
        <w:tc>
          <w:tcPr>
            <w:tcW w:w="1002" w:type="dxa"/>
          </w:tcPr>
          <w:p>
            <w:pPr>
              <w:pStyle w:val="14"/>
              <w:spacing w:line="220" w:lineRule="exact"/>
              <w:ind w:right="200"/>
              <w:jc w:val="right"/>
              <w:rPr>
                <w:rFonts w:ascii="Times New Roman" w:hAnsi="Times New Roman"/>
                <w:sz w:val="21"/>
              </w:rPr>
            </w:pPr>
            <w:r>
              <w:rPr>
                <w:w w:val="95"/>
                <w:sz w:val="21"/>
              </w:rPr>
              <w:t>≤</w:t>
            </w:r>
            <w:r>
              <w:rPr>
                <w:rFonts w:ascii="Times New Roman" w:hAnsi="Times New Roman"/>
                <w:w w:val="95"/>
                <w:sz w:val="21"/>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20" w:lineRule="exact"/>
              <w:ind w:left="111" w:right="108"/>
              <w:rPr>
                <w:sz w:val="21"/>
              </w:rPr>
            </w:pPr>
            <w:r>
              <w:rPr>
                <w:sz w:val="21"/>
              </w:rPr>
              <w:t>总铅</w:t>
            </w:r>
          </w:p>
        </w:tc>
        <w:tc>
          <w:tcPr>
            <w:tcW w:w="2162" w:type="dxa"/>
            <w:gridSpan w:val="2"/>
            <w:vMerge w:val="continue"/>
            <w:tcBorders>
              <w:top w:val="nil"/>
            </w:tcBorders>
          </w:tcPr>
          <w:p>
            <w:pPr>
              <w:rPr>
                <w:sz w:val="2"/>
                <w:szCs w:val="2"/>
              </w:rPr>
            </w:pPr>
          </w:p>
        </w:tc>
        <w:tc>
          <w:tcPr>
            <w:tcW w:w="1002" w:type="dxa"/>
          </w:tcPr>
          <w:p>
            <w:pPr>
              <w:pStyle w:val="14"/>
              <w:spacing w:line="220" w:lineRule="exact"/>
              <w:ind w:right="200"/>
              <w:jc w:val="right"/>
              <w:rPr>
                <w:rFonts w:ascii="Times New Roman" w:hAnsi="Times New Roman"/>
                <w:sz w:val="21"/>
              </w:rPr>
            </w:pPr>
            <w:r>
              <w:rPr>
                <w:w w:val="95"/>
                <w:sz w:val="21"/>
              </w:rPr>
              <w:t>≤</w:t>
            </w:r>
            <w:r>
              <w:rPr>
                <w:rFonts w:ascii="Times New Roman" w:hAnsi="Times New Roman"/>
                <w:w w:val="95"/>
                <w:sz w:val="21"/>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20" w:lineRule="exact"/>
              <w:ind w:left="111" w:right="108"/>
              <w:rPr>
                <w:sz w:val="21"/>
              </w:rPr>
            </w:pPr>
            <w:r>
              <w:rPr>
                <w:sz w:val="21"/>
              </w:rPr>
              <w:t>总砷</w:t>
            </w:r>
          </w:p>
        </w:tc>
        <w:tc>
          <w:tcPr>
            <w:tcW w:w="2162" w:type="dxa"/>
            <w:gridSpan w:val="2"/>
            <w:vMerge w:val="continue"/>
            <w:tcBorders>
              <w:top w:val="nil"/>
            </w:tcBorders>
          </w:tcPr>
          <w:p>
            <w:pPr>
              <w:rPr>
                <w:sz w:val="2"/>
                <w:szCs w:val="2"/>
              </w:rPr>
            </w:pPr>
          </w:p>
        </w:tc>
        <w:tc>
          <w:tcPr>
            <w:tcW w:w="1002" w:type="dxa"/>
          </w:tcPr>
          <w:p>
            <w:pPr>
              <w:pStyle w:val="14"/>
              <w:spacing w:line="220" w:lineRule="exact"/>
              <w:ind w:right="200"/>
              <w:jc w:val="right"/>
              <w:rPr>
                <w:rFonts w:ascii="Times New Roman" w:hAnsi="Times New Roman"/>
                <w:sz w:val="21"/>
              </w:rPr>
            </w:pPr>
            <w:r>
              <w:rPr>
                <w:w w:val="95"/>
                <w:sz w:val="21"/>
              </w:rPr>
              <w:t>≤</w:t>
            </w:r>
            <w:r>
              <w:rPr>
                <w:rFonts w:ascii="Times New Roman" w:hAnsi="Times New Roman"/>
                <w:w w:val="95"/>
                <w:sz w:val="21"/>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20" w:lineRule="exact"/>
              <w:ind w:left="111" w:right="108"/>
              <w:rPr>
                <w:sz w:val="21"/>
              </w:rPr>
            </w:pPr>
            <w:r>
              <w:rPr>
                <w:sz w:val="21"/>
              </w:rPr>
              <w:t>总锌</w:t>
            </w:r>
          </w:p>
        </w:tc>
        <w:tc>
          <w:tcPr>
            <w:tcW w:w="2162" w:type="dxa"/>
            <w:gridSpan w:val="2"/>
            <w:vMerge w:val="continue"/>
            <w:tcBorders>
              <w:top w:val="nil"/>
            </w:tcBorders>
          </w:tcPr>
          <w:p>
            <w:pPr>
              <w:rPr>
                <w:sz w:val="2"/>
                <w:szCs w:val="2"/>
              </w:rPr>
            </w:pPr>
          </w:p>
        </w:tc>
        <w:tc>
          <w:tcPr>
            <w:tcW w:w="1002" w:type="dxa"/>
          </w:tcPr>
          <w:p>
            <w:pPr>
              <w:pStyle w:val="14"/>
              <w:spacing w:line="220" w:lineRule="exact"/>
              <w:ind w:left="265"/>
              <w:jc w:val="left"/>
              <w:rPr>
                <w:rFonts w:ascii="Times New Roman" w:hAnsi="Times New Roman"/>
                <w:sz w:val="21"/>
              </w:rPr>
            </w:pPr>
            <w:r>
              <w:rPr>
                <w:sz w:val="21"/>
              </w:rPr>
              <w:t>≤</w:t>
            </w:r>
            <w:r>
              <w:rPr>
                <w:rFonts w:ascii="Times New Roman" w:hAnsi="Times New Roman"/>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0" w:lineRule="exact"/>
              <w:ind w:left="116" w:right="108"/>
              <w:rPr>
                <w:sz w:val="21"/>
              </w:rPr>
            </w:pPr>
            <w:r>
              <w:rPr>
                <w:sz w:val="21"/>
              </w:rPr>
              <w:t>氟化物</w:t>
            </w:r>
          </w:p>
        </w:tc>
        <w:tc>
          <w:tcPr>
            <w:tcW w:w="2162" w:type="dxa"/>
            <w:gridSpan w:val="2"/>
            <w:vMerge w:val="continue"/>
            <w:tcBorders>
              <w:top w:val="nil"/>
            </w:tcBorders>
          </w:tcPr>
          <w:p>
            <w:pPr>
              <w:rPr>
                <w:sz w:val="2"/>
                <w:szCs w:val="2"/>
              </w:rPr>
            </w:pPr>
          </w:p>
        </w:tc>
        <w:tc>
          <w:tcPr>
            <w:tcW w:w="1002" w:type="dxa"/>
          </w:tcPr>
          <w:p>
            <w:pPr>
              <w:pStyle w:val="14"/>
              <w:spacing w:line="251" w:lineRule="exact"/>
              <w:ind w:left="265"/>
              <w:jc w:val="left"/>
              <w:rPr>
                <w:rFonts w:ascii="Times New Roman" w:hAnsi="Times New Roman"/>
                <w:sz w:val="21"/>
              </w:rPr>
            </w:pPr>
            <w:r>
              <w:rPr>
                <w:sz w:val="21"/>
              </w:rPr>
              <w:t>≤</w:t>
            </w:r>
            <w:r>
              <w:rPr>
                <w:rFonts w:ascii="Times New Roman" w:hAnsi="Times New Roman"/>
                <w:sz w:val="21"/>
              </w:rPr>
              <w:t>1.0</w:t>
            </w:r>
          </w:p>
        </w:tc>
      </w:tr>
    </w:tbl>
    <w:p>
      <w:pPr>
        <w:spacing w:after="0" w:line="251" w:lineRule="exact"/>
        <w:jc w:val="left"/>
        <w:rPr>
          <w:rFonts w:ascii="Times New Roman" w:hAnsi="Times New Roman"/>
          <w:sz w:val="21"/>
        </w:rPr>
        <w:sectPr>
          <w:pgSz w:w="11910" w:h="16840"/>
          <w:pgMar w:top="1340" w:right="720" w:bottom="1160" w:left="760" w:header="0" w:footer="975" w:gutter="0"/>
        </w:sectPr>
      </w:pPr>
    </w:p>
    <w:tbl>
      <w:tblPr>
        <w:tblStyle w:val="10"/>
        <w:tblW w:w="0" w:type="auto"/>
        <w:tblInd w:w="9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5"/>
        <w:gridCol w:w="2920"/>
        <w:gridCol w:w="1763"/>
        <w:gridCol w:w="1350"/>
        <w:gridCol w:w="812"/>
        <w:gridCol w:w="10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restart"/>
          </w:tcPr>
          <w:p>
            <w:pPr>
              <w:pStyle w:val="14"/>
              <w:jc w:val="left"/>
              <w:rPr>
                <w:rFonts w:ascii="Times New Roman"/>
                <w:sz w:val="20"/>
              </w:rPr>
            </w:pPr>
          </w:p>
        </w:tc>
        <w:tc>
          <w:tcPr>
            <w:tcW w:w="2920" w:type="dxa"/>
            <w:vMerge w:val="restart"/>
          </w:tcPr>
          <w:p>
            <w:pPr>
              <w:pStyle w:val="14"/>
              <w:jc w:val="left"/>
              <w:rPr>
                <w:rFonts w:ascii="Times New Roman"/>
                <w:sz w:val="20"/>
              </w:rPr>
            </w:pPr>
          </w:p>
        </w:tc>
        <w:tc>
          <w:tcPr>
            <w:tcW w:w="1763" w:type="dxa"/>
          </w:tcPr>
          <w:p>
            <w:pPr>
              <w:pStyle w:val="14"/>
              <w:spacing w:line="252" w:lineRule="exact"/>
              <w:ind w:left="116" w:right="108"/>
              <w:rPr>
                <w:sz w:val="21"/>
              </w:rPr>
            </w:pPr>
            <w:r>
              <w:rPr>
                <w:sz w:val="21"/>
              </w:rPr>
              <w:t>溶解氧</w:t>
            </w:r>
          </w:p>
        </w:tc>
        <w:tc>
          <w:tcPr>
            <w:tcW w:w="2162" w:type="dxa"/>
            <w:gridSpan w:val="2"/>
            <w:vMerge w:val="restart"/>
          </w:tcPr>
          <w:p>
            <w:pPr>
              <w:pStyle w:val="14"/>
              <w:jc w:val="left"/>
              <w:rPr>
                <w:rFonts w:ascii="Times New Roman"/>
                <w:sz w:val="20"/>
              </w:rPr>
            </w:pPr>
          </w:p>
        </w:tc>
        <w:tc>
          <w:tcPr>
            <w:tcW w:w="1002" w:type="dxa"/>
          </w:tcPr>
          <w:p>
            <w:pPr>
              <w:pStyle w:val="14"/>
              <w:spacing w:line="252" w:lineRule="exact"/>
              <w:ind w:left="190" w:right="182"/>
              <w:rPr>
                <w:rFonts w:ascii="Times New Roman" w:hAnsi="Times New Roman"/>
                <w:sz w:val="21"/>
              </w:rPr>
            </w:pPr>
            <w:r>
              <w:rPr>
                <w:sz w:val="21"/>
              </w:rPr>
              <w:t>≥</w:t>
            </w:r>
            <w:r>
              <w:rPr>
                <w:rFonts w:ascii="Times New Roman" w:hAnsi="Times New Roman"/>
                <w:sz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20" w:lineRule="exact"/>
              <w:ind w:left="116" w:right="107"/>
              <w:rPr>
                <w:rFonts w:ascii="Times New Roman"/>
                <w:sz w:val="21"/>
              </w:rPr>
            </w:pPr>
            <w:r>
              <w:rPr>
                <w:rFonts w:ascii="Times New Roman"/>
                <w:position w:val="2"/>
                <w:sz w:val="21"/>
              </w:rPr>
              <w:t>BOD</w:t>
            </w:r>
            <w:r>
              <w:rPr>
                <w:rFonts w:ascii="Times New Roman"/>
                <w:position w:val="2"/>
                <w:sz w:val="21"/>
                <w:vertAlign w:val="subscript"/>
              </w:rPr>
              <w:t>5</w:t>
            </w:r>
          </w:p>
        </w:tc>
        <w:tc>
          <w:tcPr>
            <w:tcW w:w="2162" w:type="dxa"/>
            <w:gridSpan w:val="2"/>
            <w:vMerge w:val="continue"/>
            <w:tcBorders>
              <w:top w:val="nil"/>
            </w:tcBorders>
          </w:tcPr>
          <w:p>
            <w:pPr>
              <w:rPr>
                <w:sz w:val="2"/>
                <w:szCs w:val="2"/>
              </w:rPr>
            </w:pPr>
          </w:p>
        </w:tc>
        <w:tc>
          <w:tcPr>
            <w:tcW w:w="1002" w:type="dxa"/>
          </w:tcPr>
          <w:p>
            <w:pPr>
              <w:pStyle w:val="14"/>
              <w:spacing w:line="220" w:lineRule="exact"/>
              <w:ind w:left="190" w:right="182"/>
              <w:rPr>
                <w:rFonts w:ascii="Times New Roman" w:hAnsi="Times New Roman"/>
                <w:sz w:val="21"/>
              </w:rPr>
            </w:pPr>
            <w:r>
              <w:rPr>
                <w:sz w:val="21"/>
              </w:rPr>
              <w:t>≤</w:t>
            </w:r>
            <w:r>
              <w:rPr>
                <w:rFonts w:ascii="Times New Roman" w:hAnsi="Times New Roman"/>
                <w:sz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20" w:lineRule="exact"/>
              <w:ind w:left="111" w:right="108"/>
              <w:rPr>
                <w:sz w:val="21"/>
              </w:rPr>
            </w:pPr>
            <w:r>
              <w:rPr>
                <w:sz w:val="21"/>
              </w:rPr>
              <w:t>氨氮</w:t>
            </w:r>
          </w:p>
        </w:tc>
        <w:tc>
          <w:tcPr>
            <w:tcW w:w="2162" w:type="dxa"/>
            <w:gridSpan w:val="2"/>
            <w:vMerge w:val="continue"/>
            <w:tcBorders>
              <w:top w:val="nil"/>
            </w:tcBorders>
          </w:tcPr>
          <w:p>
            <w:pPr>
              <w:rPr>
                <w:sz w:val="2"/>
                <w:szCs w:val="2"/>
              </w:rPr>
            </w:pPr>
          </w:p>
        </w:tc>
        <w:tc>
          <w:tcPr>
            <w:tcW w:w="1002" w:type="dxa"/>
          </w:tcPr>
          <w:p>
            <w:pPr>
              <w:pStyle w:val="14"/>
              <w:spacing w:line="220" w:lineRule="exact"/>
              <w:ind w:left="265"/>
              <w:jc w:val="left"/>
              <w:rPr>
                <w:rFonts w:ascii="Times New Roman" w:hAnsi="Times New Roman"/>
                <w:sz w:val="21"/>
              </w:rPr>
            </w:pPr>
            <w:r>
              <w:rPr>
                <w:sz w:val="21"/>
              </w:rPr>
              <w:t>≤</w:t>
            </w:r>
            <w:r>
              <w:rPr>
                <w:rFonts w:ascii="Times New Roman" w:hAnsi="Times New Roman"/>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restart"/>
          </w:tcPr>
          <w:p>
            <w:pPr>
              <w:pStyle w:val="14"/>
              <w:spacing w:before="4" w:line="270" w:lineRule="atLeast"/>
              <w:ind w:left="232" w:right="118" w:hanging="106"/>
              <w:jc w:val="left"/>
              <w:rPr>
                <w:sz w:val="21"/>
              </w:rPr>
            </w:pPr>
            <w:r>
              <w:rPr>
                <w:sz w:val="21"/>
              </w:rPr>
              <w:t>声环境</w:t>
            </w:r>
          </w:p>
        </w:tc>
        <w:tc>
          <w:tcPr>
            <w:tcW w:w="2920" w:type="dxa"/>
            <w:vMerge w:val="restart"/>
          </w:tcPr>
          <w:p>
            <w:pPr>
              <w:pStyle w:val="14"/>
              <w:spacing w:before="5"/>
              <w:ind w:left="121" w:right="112"/>
              <w:rPr>
                <w:sz w:val="21"/>
              </w:rPr>
            </w:pPr>
            <w:r>
              <w:rPr>
                <w:sz w:val="21"/>
              </w:rPr>
              <w:t>《声环境质量标准》</w:t>
            </w:r>
          </w:p>
          <w:p>
            <w:pPr>
              <w:pStyle w:val="14"/>
              <w:spacing w:before="2" w:line="259" w:lineRule="exact"/>
              <w:ind w:left="123" w:right="112"/>
              <w:rPr>
                <w:sz w:val="21"/>
              </w:rPr>
            </w:pPr>
            <w:r>
              <w:rPr>
                <w:rFonts w:ascii="Times New Roman" w:eastAsia="Times New Roman"/>
                <w:sz w:val="21"/>
              </w:rPr>
              <w:t>(GB3096-2008)</w:t>
            </w:r>
            <w:r>
              <w:rPr>
                <w:sz w:val="21"/>
              </w:rPr>
              <w:t xml:space="preserve">中 </w:t>
            </w:r>
            <w:r>
              <w:rPr>
                <w:rFonts w:ascii="Times New Roman" w:eastAsia="Times New Roman"/>
                <w:sz w:val="21"/>
              </w:rPr>
              <w:t xml:space="preserve">2 </w:t>
            </w:r>
            <w:r>
              <w:rPr>
                <w:sz w:val="21"/>
              </w:rPr>
              <w:t>类标准</w:t>
            </w:r>
          </w:p>
        </w:tc>
        <w:tc>
          <w:tcPr>
            <w:tcW w:w="1763" w:type="dxa"/>
            <w:vMerge w:val="restart"/>
          </w:tcPr>
          <w:p>
            <w:pPr>
              <w:pStyle w:val="14"/>
              <w:spacing w:before="142"/>
              <w:ind w:left="111" w:right="108"/>
              <w:rPr>
                <w:sz w:val="21"/>
              </w:rPr>
            </w:pPr>
            <w:r>
              <w:rPr>
                <w:sz w:val="21"/>
              </w:rPr>
              <w:t>噪声</w:t>
            </w:r>
          </w:p>
        </w:tc>
        <w:tc>
          <w:tcPr>
            <w:tcW w:w="1350" w:type="dxa"/>
            <w:vMerge w:val="restart"/>
          </w:tcPr>
          <w:p>
            <w:pPr>
              <w:pStyle w:val="14"/>
              <w:spacing w:before="142"/>
              <w:ind w:left="267"/>
              <w:jc w:val="left"/>
              <w:rPr>
                <w:sz w:val="21"/>
              </w:rPr>
            </w:pPr>
            <w:r>
              <w:rPr>
                <w:rFonts w:ascii="Times New Roman" w:eastAsia="Times New Roman"/>
                <w:sz w:val="21"/>
              </w:rPr>
              <w:t>dB</w:t>
            </w:r>
            <w:r>
              <w:rPr>
                <w:sz w:val="21"/>
              </w:rPr>
              <w:t>（</w:t>
            </w:r>
            <w:r>
              <w:rPr>
                <w:rFonts w:ascii="Times New Roman" w:eastAsia="Times New Roman"/>
                <w:sz w:val="21"/>
              </w:rPr>
              <w:t>A</w:t>
            </w:r>
            <w:r>
              <w:rPr>
                <w:sz w:val="21"/>
              </w:rPr>
              <w:t>）</w:t>
            </w:r>
          </w:p>
        </w:tc>
        <w:tc>
          <w:tcPr>
            <w:tcW w:w="812" w:type="dxa"/>
          </w:tcPr>
          <w:p>
            <w:pPr>
              <w:pStyle w:val="14"/>
              <w:spacing w:line="253" w:lineRule="exact"/>
              <w:ind w:left="106" w:right="98"/>
              <w:rPr>
                <w:sz w:val="21"/>
              </w:rPr>
            </w:pPr>
            <w:r>
              <w:rPr>
                <w:sz w:val="21"/>
              </w:rPr>
              <w:t>昼间</w:t>
            </w:r>
          </w:p>
        </w:tc>
        <w:tc>
          <w:tcPr>
            <w:tcW w:w="1002" w:type="dxa"/>
          </w:tcPr>
          <w:p>
            <w:pPr>
              <w:pStyle w:val="14"/>
              <w:spacing w:before="14" w:line="239" w:lineRule="exact"/>
              <w:ind w:left="190" w:right="182"/>
              <w:rPr>
                <w:rFonts w:ascii="Times New Roman"/>
                <w:sz w:val="21"/>
              </w:rPr>
            </w:pPr>
            <w:r>
              <w:rPr>
                <w:rFonts w:ascii="Times New Roman"/>
                <w:sz w:val="21"/>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vMerge w:val="continue"/>
            <w:tcBorders>
              <w:top w:val="nil"/>
            </w:tcBorders>
          </w:tcPr>
          <w:p>
            <w:pPr>
              <w:rPr>
                <w:sz w:val="2"/>
                <w:szCs w:val="2"/>
              </w:rPr>
            </w:pPr>
          </w:p>
        </w:tc>
        <w:tc>
          <w:tcPr>
            <w:tcW w:w="1350" w:type="dxa"/>
            <w:vMerge w:val="continue"/>
            <w:tcBorders>
              <w:top w:val="nil"/>
            </w:tcBorders>
          </w:tcPr>
          <w:p>
            <w:pPr>
              <w:rPr>
                <w:sz w:val="2"/>
                <w:szCs w:val="2"/>
              </w:rPr>
            </w:pPr>
          </w:p>
        </w:tc>
        <w:tc>
          <w:tcPr>
            <w:tcW w:w="812" w:type="dxa"/>
          </w:tcPr>
          <w:p>
            <w:pPr>
              <w:pStyle w:val="14"/>
              <w:spacing w:line="251" w:lineRule="exact"/>
              <w:ind w:left="106" w:right="98"/>
              <w:rPr>
                <w:sz w:val="21"/>
              </w:rPr>
            </w:pPr>
            <w:r>
              <w:rPr>
                <w:sz w:val="21"/>
              </w:rPr>
              <w:t>夜间</w:t>
            </w:r>
          </w:p>
        </w:tc>
        <w:tc>
          <w:tcPr>
            <w:tcW w:w="1002" w:type="dxa"/>
          </w:tcPr>
          <w:p>
            <w:pPr>
              <w:pStyle w:val="14"/>
              <w:spacing w:before="14" w:line="237" w:lineRule="exact"/>
              <w:ind w:left="190" w:right="182"/>
              <w:rPr>
                <w:rFonts w:ascii="Times New Roman"/>
                <w:sz w:val="21"/>
              </w:rPr>
            </w:pPr>
            <w:r>
              <w:rPr>
                <w:rFonts w:ascii="Times New Roman"/>
                <w:sz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675"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1"/>
              <w:jc w:val="left"/>
              <w:rPr>
                <w:b/>
                <w:sz w:val="27"/>
              </w:rPr>
            </w:pPr>
          </w:p>
          <w:p>
            <w:pPr>
              <w:pStyle w:val="14"/>
              <w:spacing w:line="242" w:lineRule="auto"/>
              <w:ind w:left="232" w:right="118" w:hanging="106"/>
              <w:jc w:val="left"/>
              <w:rPr>
                <w:sz w:val="21"/>
              </w:rPr>
            </w:pPr>
            <w:r>
              <w:rPr>
                <w:sz w:val="21"/>
              </w:rPr>
              <w:t>地下水</w:t>
            </w:r>
          </w:p>
        </w:tc>
        <w:tc>
          <w:tcPr>
            <w:tcW w:w="2920"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1"/>
              <w:jc w:val="left"/>
              <w:rPr>
                <w:b/>
                <w:sz w:val="27"/>
              </w:rPr>
            </w:pPr>
          </w:p>
          <w:p>
            <w:pPr>
              <w:pStyle w:val="14"/>
              <w:ind w:left="121" w:right="112"/>
              <w:rPr>
                <w:sz w:val="21"/>
              </w:rPr>
            </w:pPr>
            <w:r>
              <w:rPr>
                <w:sz w:val="21"/>
              </w:rPr>
              <w:t>《地下水质量标准》</w:t>
            </w:r>
          </w:p>
          <w:p>
            <w:pPr>
              <w:pStyle w:val="14"/>
              <w:spacing w:before="2"/>
              <w:ind w:left="64" w:right="53"/>
              <w:rPr>
                <w:sz w:val="21"/>
              </w:rPr>
            </w:pPr>
            <w:r>
              <w:rPr>
                <w:spacing w:val="2"/>
                <w:w w:val="99"/>
                <w:sz w:val="21"/>
              </w:rPr>
              <w:t>（</w:t>
            </w:r>
            <w:r>
              <w:rPr>
                <w:rFonts w:ascii="Times New Roman" w:eastAsia="Times New Roman"/>
                <w:w w:val="99"/>
                <w:sz w:val="21"/>
              </w:rPr>
              <w:t>G</w:t>
            </w:r>
            <w:r>
              <w:rPr>
                <w:rFonts w:ascii="Times New Roman" w:eastAsia="Times New Roman"/>
                <w:spacing w:val="-1"/>
                <w:w w:val="99"/>
                <w:sz w:val="21"/>
              </w:rPr>
              <w:t>B/T</w:t>
            </w:r>
            <w:r>
              <w:rPr>
                <w:rFonts w:ascii="Times New Roman" w:eastAsia="Times New Roman"/>
                <w:spacing w:val="1"/>
                <w:w w:val="99"/>
                <w:sz w:val="21"/>
              </w:rPr>
              <w:t>14848</w:t>
            </w:r>
            <w:r>
              <w:rPr>
                <w:rFonts w:ascii="Times New Roman" w:eastAsia="Times New Roman"/>
                <w:spacing w:val="-3"/>
                <w:w w:val="99"/>
                <w:sz w:val="21"/>
              </w:rPr>
              <w:t>-</w:t>
            </w:r>
            <w:r>
              <w:rPr>
                <w:rFonts w:ascii="Times New Roman" w:eastAsia="Times New Roman"/>
                <w:spacing w:val="1"/>
                <w:w w:val="99"/>
                <w:sz w:val="21"/>
              </w:rPr>
              <w:t>2017</w:t>
            </w:r>
            <w:r>
              <w:rPr>
                <w:spacing w:val="-101"/>
                <w:w w:val="99"/>
                <w:sz w:val="21"/>
              </w:rPr>
              <w:t>）</w:t>
            </w:r>
            <w:r>
              <w:rPr>
                <w:rFonts w:ascii="Times New Roman" w:eastAsia="Times New Roman"/>
                <w:spacing w:val="-3"/>
                <w:w w:val="99"/>
                <w:sz w:val="21"/>
              </w:rPr>
              <w:t>I</w:t>
            </w:r>
            <w:r>
              <w:rPr>
                <w:rFonts w:ascii="Times New Roman" w:eastAsia="Times New Roman"/>
                <w:w w:val="99"/>
                <w:sz w:val="21"/>
              </w:rPr>
              <w:t>II</w:t>
            </w:r>
            <w:r>
              <w:rPr>
                <w:rFonts w:ascii="Times New Roman" w:eastAsia="Times New Roman"/>
                <w:spacing w:val="2"/>
                <w:sz w:val="21"/>
              </w:rPr>
              <w:t xml:space="preserve"> </w:t>
            </w:r>
            <w:r>
              <w:rPr>
                <w:w w:val="99"/>
                <w:sz w:val="21"/>
              </w:rPr>
              <w:t>类标准</w:t>
            </w:r>
          </w:p>
        </w:tc>
        <w:tc>
          <w:tcPr>
            <w:tcW w:w="1763" w:type="dxa"/>
          </w:tcPr>
          <w:p>
            <w:pPr>
              <w:pStyle w:val="14"/>
              <w:spacing w:line="222" w:lineRule="exact"/>
              <w:ind w:left="116" w:right="106"/>
              <w:rPr>
                <w:rFonts w:ascii="Times New Roman"/>
                <w:sz w:val="21"/>
              </w:rPr>
            </w:pPr>
            <w:r>
              <w:rPr>
                <w:rFonts w:ascii="Times New Roman"/>
                <w:sz w:val="21"/>
              </w:rPr>
              <w:t>pH</w:t>
            </w:r>
          </w:p>
        </w:tc>
        <w:tc>
          <w:tcPr>
            <w:tcW w:w="2162" w:type="dxa"/>
            <w:gridSpan w:val="2"/>
          </w:tcPr>
          <w:p>
            <w:pPr>
              <w:pStyle w:val="14"/>
              <w:spacing w:line="222" w:lineRule="exact"/>
              <w:ind w:left="746" w:right="736"/>
              <w:rPr>
                <w:sz w:val="21"/>
              </w:rPr>
            </w:pPr>
            <w:r>
              <w:rPr>
                <w:sz w:val="21"/>
              </w:rPr>
              <w:t>无量纲</w:t>
            </w:r>
          </w:p>
        </w:tc>
        <w:tc>
          <w:tcPr>
            <w:tcW w:w="1002" w:type="dxa"/>
          </w:tcPr>
          <w:p>
            <w:pPr>
              <w:pStyle w:val="14"/>
              <w:spacing w:line="222" w:lineRule="exact"/>
              <w:ind w:right="168"/>
              <w:jc w:val="right"/>
              <w:rPr>
                <w:rFonts w:ascii="Times New Roman"/>
                <w:sz w:val="21"/>
              </w:rPr>
            </w:pPr>
            <w:r>
              <w:rPr>
                <w:rFonts w:ascii="Times New Roman"/>
                <w:w w:val="95"/>
                <w:sz w:val="21"/>
              </w:rPr>
              <w:t>6.5~8.5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2" w:lineRule="exact"/>
              <w:ind w:left="111" w:right="108"/>
              <w:rPr>
                <w:sz w:val="21"/>
              </w:rPr>
            </w:pPr>
            <w:r>
              <w:rPr>
                <w:sz w:val="21"/>
              </w:rPr>
              <w:t>氨氮</w:t>
            </w:r>
          </w:p>
        </w:tc>
        <w:tc>
          <w:tcPr>
            <w:tcW w:w="2162" w:type="dxa"/>
            <w:gridSpan w:val="2"/>
            <w:vMerge w:val="restart"/>
          </w:tcPr>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spacing w:before="8"/>
              <w:jc w:val="left"/>
              <w:rPr>
                <w:b/>
                <w:sz w:val="24"/>
              </w:rPr>
            </w:pPr>
          </w:p>
          <w:p>
            <w:pPr>
              <w:pStyle w:val="14"/>
              <w:ind w:left="744" w:right="736"/>
              <w:rPr>
                <w:rFonts w:ascii="Times New Roman"/>
                <w:sz w:val="21"/>
              </w:rPr>
            </w:pPr>
            <w:r>
              <w:rPr>
                <w:rFonts w:ascii="Times New Roman"/>
                <w:sz w:val="21"/>
              </w:rPr>
              <w:t>mg/L</w:t>
            </w:r>
          </w:p>
        </w:tc>
        <w:tc>
          <w:tcPr>
            <w:tcW w:w="1002" w:type="dxa"/>
          </w:tcPr>
          <w:p>
            <w:pPr>
              <w:pStyle w:val="14"/>
              <w:spacing w:line="252" w:lineRule="exact"/>
              <w:ind w:right="200"/>
              <w:jc w:val="right"/>
              <w:rPr>
                <w:rFonts w:ascii="Times New Roman" w:hAnsi="Times New Roman"/>
                <w:sz w:val="21"/>
              </w:rPr>
            </w:pPr>
            <w:r>
              <w:rPr>
                <w:w w:val="95"/>
                <w:sz w:val="21"/>
              </w:rPr>
              <w:t>≤</w:t>
            </w:r>
            <w:r>
              <w:rPr>
                <w:rFonts w:ascii="Times New Roman" w:hAnsi="Times New Roman"/>
                <w:w w:val="95"/>
                <w:sz w:val="21"/>
              </w:rPr>
              <w:t>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1" w:lineRule="exact"/>
              <w:ind w:left="116" w:right="108"/>
              <w:rPr>
                <w:sz w:val="21"/>
              </w:rPr>
            </w:pPr>
            <w:r>
              <w:rPr>
                <w:sz w:val="21"/>
              </w:rPr>
              <w:t>硝酸盐</w:t>
            </w:r>
          </w:p>
        </w:tc>
        <w:tc>
          <w:tcPr>
            <w:tcW w:w="2162" w:type="dxa"/>
            <w:gridSpan w:val="2"/>
            <w:vMerge w:val="continue"/>
            <w:tcBorders>
              <w:top w:val="nil"/>
            </w:tcBorders>
          </w:tcPr>
          <w:p>
            <w:pPr>
              <w:rPr>
                <w:sz w:val="2"/>
                <w:szCs w:val="2"/>
              </w:rPr>
            </w:pPr>
          </w:p>
        </w:tc>
        <w:tc>
          <w:tcPr>
            <w:tcW w:w="1002" w:type="dxa"/>
          </w:tcPr>
          <w:p>
            <w:pPr>
              <w:pStyle w:val="14"/>
              <w:spacing w:line="251" w:lineRule="exact"/>
              <w:ind w:right="200"/>
              <w:jc w:val="right"/>
              <w:rPr>
                <w:rFonts w:ascii="Times New Roman" w:hAnsi="Times New Roman"/>
                <w:sz w:val="21"/>
              </w:rPr>
            </w:pPr>
            <w:r>
              <w:rPr>
                <w:w w:val="95"/>
                <w:sz w:val="21"/>
              </w:rPr>
              <w:t>≤</w:t>
            </w:r>
            <w:r>
              <w:rPr>
                <w:rFonts w:ascii="Times New Roman" w:hAnsi="Times New Roman"/>
                <w:w w:val="95"/>
                <w:sz w:val="21"/>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1" w:lineRule="exact"/>
              <w:ind w:left="114" w:right="108"/>
              <w:rPr>
                <w:sz w:val="21"/>
              </w:rPr>
            </w:pPr>
            <w:r>
              <w:rPr>
                <w:sz w:val="21"/>
              </w:rPr>
              <w:t>亚硝酸盐</w:t>
            </w:r>
          </w:p>
        </w:tc>
        <w:tc>
          <w:tcPr>
            <w:tcW w:w="2162" w:type="dxa"/>
            <w:gridSpan w:val="2"/>
            <w:vMerge w:val="continue"/>
            <w:tcBorders>
              <w:top w:val="nil"/>
            </w:tcBorders>
          </w:tcPr>
          <w:p>
            <w:pPr>
              <w:rPr>
                <w:sz w:val="2"/>
                <w:szCs w:val="2"/>
              </w:rPr>
            </w:pPr>
          </w:p>
        </w:tc>
        <w:tc>
          <w:tcPr>
            <w:tcW w:w="1002" w:type="dxa"/>
          </w:tcPr>
          <w:p>
            <w:pPr>
              <w:pStyle w:val="14"/>
              <w:spacing w:before="1" w:line="251" w:lineRule="exact"/>
              <w:ind w:right="200"/>
              <w:jc w:val="right"/>
              <w:rPr>
                <w:rFonts w:ascii="Times New Roman" w:hAnsi="Times New Roman"/>
                <w:sz w:val="21"/>
              </w:rPr>
            </w:pPr>
            <w:r>
              <w:rPr>
                <w:w w:val="95"/>
                <w:sz w:val="21"/>
              </w:rPr>
              <w:t>≤</w:t>
            </w:r>
            <w:r>
              <w:rPr>
                <w:rFonts w:ascii="Times New Roman" w:hAnsi="Times New Roman"/>
                <w:w w:val="95"/>
                <w:sz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2" w:lineRule="exact"/>
              <w:ind w:left="116" w:right="108"/>
              <w:rPr>
                <w:sz w:val="21"/>
              </w:rPr>
            </w:pPr>
            <w:r>
              <w:rPr>
                <w:sz w:val="21"/>
              </w:rPr>
              <w:t>总硬度</w:t>
            </w:r>
          </w:p>
        </w:tc>
        <w:tc>
          <w:tcPr>
            <w:tcW w:w="2162" w:type="dxa"/>
            <w:gridSpan w:val="2"/>
            <w:vMerge w:val="continue"/>
            <w:tcBorders>
              <w:top w:val="nil"/>
            </w:tcBorders>
          </w:tcPr>
          <w:p>
            <w:pPr>
              <w:rPr>
                <w:sz w:val="2"/>
                <w:szCs w:val="2"/>
              </w:rPr>
            </w:pPr>
          </w:p>
        </w:tc>
        <w:tc>
          <w:tcPr>
            <w:tcW w:w="1002" w:type="dxa"/>
          </w:tcPr>
          <w:p>
            <w:pPr>
              <w:pStyle w:val="14"/>
              <w:spacing w:line="252" w:lineRule="exact"/>
              <w:ind w:right="226"/>
              <w:jc w:val="right"/>
              <w:rPr>
                <w:rFonts w:ascii="Times New Roman" w:hAnsi="Times New Roman"/>
                <w:sz w:val="21"/>
              </w:rPr>
            </w:pPr>
            <w:r>
              <w:rPr>
                <w:sz w:val="21"/>
              </w:rPr>
              <w:t>≤</w:t>
            </w:r>
            <w:r>
              <w:rPr>
                <w:rFonts w:ascii="Times New Roman" w:hAnsi="Times New Roman"/>
                <w:sz w:val="21"/>
              </w:rPr>
              <w:t>450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1" w:lineRule="exact"/>
              <w:ind w:left="111" w:right="108"/>
              <w:rPr>
                <w:sz w:val="21"/>
              </w:rPr>
            </w:pPr>
            <w:r>
              <w:rPr>
                <w:sz w:val="21"/>
              </w:rPr>
              <w:t>高锰酸盐指数</w:t>
            </w:r>
          </w:p>
        </w:tc>
        <w:tc>
          <w:tcPr>
            <w:tcW w:w="2162" w:type="dxa"/>
            <w:gridSpan w:val="2"/>
            <w:vMerge w:val="continue"/>
            <w:tcBorders>
              <w:top w:val="nil"/>
            </w:tcBorders>
          </w:tcPr>
          <w:p>
            <w:pPr>
              <w:rPr>
                <w:sz w:val="2"/>
                <w:szCs w:val="2"/>
              </w:rPr>
            </w:pPr>
          </w:p>
        </w:tc>
        <w:tc>
          <w:tcPr>
            <w:tcW w:w="1002" w:type="dxa"/>
          </w:tcPr>
          <w:p>
            <w:pPr>
              <w:pStyle w:val="14"/>
              <w:spacing w:line="252" w:lineRule="exact"/>
              <w:ind w:left="265"/>
              <w:jc w:val="left"/>
              <w:rPr>
                <w:rFonts w:ascii="Times New Roman" w:hAnsi="Times New Roman"/>
                <w:sz w:val="21"/>
              </w:rPr>
            </w:pPr>
            <w:r>
              <w:rPr>
                <w:sz w:val="21"/>
              </w:rPr>
              <w:t>≤</w:t>
            </w:r>
            <w:r>
              <w:rPr>
                <w:rFonts w:ascii="Times New Roman" w:hAnsi="Times New Roman"/>
                <w:sz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2" w:line="251" w:lineRule="exact"/>
              <w:ind w:left="111" w:right="108"/>
              <w:rPr>
                <w:sz w:val="21"/>
              </w:rPr>
            </w:pPr>
            <w:r>
              <w:rPr>
                <w:sz w:val="21"/>
              </w:rPr>
              <w:t>溶解性总固体</w:t>
            </w:r>
          </w:p>
        </w:tc>
        <w:tc>
          <w:tcPr>
            <w:tcW w:w="2162" w:type="dxa"/>
            <w:gridSpan w:val="2"/>
            <w:vMerge w:val="continue"/>
            <w:tcBorders>
              <w:top w:val="nil"/>
            </w:tcBorders>
          </w:tcPr>
          <w:p>
            <w:pPr>
              <w:rPr>
                <w:sz w:val="2"/>
                <w:szCs w:val="2"/>
              </w:rPr>
            </w:pPr>
          </w:p>
        </w:tc>
        <w:tc>
          <w:tcPr>
            <w:tcW w:w="1002" w:type="dxa"/>
          </w:tcPr>
          <w:p>
            <w:pPr>
              <w:pStyle w:val="14"/>
              <w:spacing w:before="2" w:line="251" w:lineRule="exact"/>
              <w:ind w:right="173"/>
              <w:jc w:val="right"/>
              <w:rPr>
                <w:rFonts w:ascii="Times New Roman" w:hAnsi="Times New Roman"/>
                <w:sz w:val="21"/>
              </w:rPr>
            </w:pPr>
            <w:r>
              <w:rPr>
                <w:w w:val="95"/>
                <w:sz w:val="21"/>
              </w:rPr>
              <w:t>≤</w:t>
            </w:r>
            <w:r>
              <w:rPr>
                <w:rFonts w:ascii="Times New Roman" w:hAnsi="Times New Roman"/>
                <w:w w:val="95"/>
                <w:sz w:val="21"/>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2" w:lineRule="exact"/>
              <w:ind w:left="6"/>
              <w:rPr>
                <w:sz w:val="21"/>
              </w:rPr>
            </w:pPr>
            <w:r>
              <w:rPr>
                <w:w w:val="99"/>
                <w:sz w:val="21"/>
              </w:rPr>
              <w:t>铁</w:t>
            </w:r>
          </w:p>
        </w:tc>
        <w:tc>
          <w:tcPr>
            <w:tcW w:w="2162" w:type="dxa"/>
            <w:gridSpan w:val="2"/>
            <w:vMerge w:val="continue"/>
            <w:tcBorders>
              <w:top w:val="nil"/>
            </w:tcBorders>
          </w:tcPr>
          <w:p>
            <w:pPr>
              <w:rPr>
                <w:sz w:val="2"/>
                <w:szCs w:val="2"/>
              </w:rPr>
            </w:pPr>
          </w:p>
        </w:tc>
        <w:tc>
          <w:tcPr>
            <w:tcW w:w="1002" w:type="dxa"/>
          </w:tcPr>
          <w:p>
            <w:pPr>
              <w:pStyle w:val="14"/>
              <w:spacing w:line="252" w:lineRule="exact"/>
              <w:ind w:left="265"/>
              <w:jc w:val="left"/>
              <w:rPr>
                <w:rFonts w:ascii="Times New Roman" w:hAnsi="Times New Roman"/>
                <w:sz w:val="21"/>
              </w:rPr>
            </w:pPr>
            <w:r>
              <w:rPr>
                <w:sz w:val="21"/>
              </w:rPr>
              <w:t>≤</w:t>
            </w:r>
            <w:r>
              <w:rPr>
                <w:rFonts w:ascii="Times New Roman" w:hAnsi="Times New Roman"/>
                <w:sz w:val="21"/>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1" w:lineRule="exact"/>
              <w:ind w:left="6"/>
              <w:rPr>
                <w:sz w:val="21"/>
              </w:rPr>
            </w:pPr>
            <w:r>
              <w:rPr>
                <w:w w:val="99"/>
                <w:sz w:val="21"/>
              </w:rPr>
              <w:t>锰</w:t>
            </w:r>
          </w:p>
        </w:tc>
        <w:tc>
          <w:tcPr>
            <w:tcW w:w="2162" w:type="dxa"/>
            <w:gridSpan w:val="2"/>
            <w:vMerge w:val="continue"/>
            <w:tcBorders>
              <w:top w:val="nil"/>
            </w:tcBorders>
          </w:tcPr>
          <w:p>
            <w:pPr>
              <w:rPr>
                <w:sz w:val="2"/>
                <w:szCs w:val="2"/>
              </w:rPr>
            </w:pPr>
          </w:p>
        </w:tc>
        <w:tc>
          <w:tcPr>
            <w:tcW w:w="1002" w:type="dxa"/>
          </w:tcPr>
          <w:p>
            <w:pPr>
              <w:pStyle w:val="14"/>
              <w:spacing w:before="1" w:line="251" w:lineRule="exact"/>
              <w:ind w:right="200"/>
              <w:jc w:val="right"/>
              <w:rPr>
                <w:rFonts w:ascii="Times New Roman" w:hAnsi="Times New Roman"/>
                <w:sz w:val="21"/>
              </w:rPr>
            </w:pPr>
            <w:r>
              <w:rPr>
                <w:w w:val="95"/>
                <w:sz w:val="21"/>
              </w:rPr>
              <w:t>≤</w:t>
            </w:r>
            <w:r>
              <w:rPr>
                <w:rFonts w:ascii="Times New Roman" w:hAnsi="Times New Roman"/>
                <w:w w:val="95"/>
                <w:sz w:val="21"/>
              </w:rPr>
              <w: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2" w:line="251" w:lineRule="exact"/>
              <w:ind w:left="6"/>
              <w:rPr>
                <w:sz w:val="21"/>
              </w:rPr>
            </w:pPr>
            <w:r>
              <w:rPr>
                <w:w w:val="99"/>
                <w:sz w:val="21"/>
              </w:rPr>
              <w:t>铅</w:t>
            </w:r>
          </w:p>
        </w:tc>
        <w:tc>
          <w:tcPr>
            <w:tcW w:w="2162" w:type="dxa"/>
            <w:gridSpan w:val="2"/>
            <w:vMerge w:val="continue"/>
            <w:tcBorders>
              <w:top w:val="nil"/>
            </w:tcBorders>
          </w:tcPr>
          <w:p>
            <w:pPr>
              <w:rPr>
                <w:sz w:val="2"/>
                <w:szCs w:val="2"/>
              </w:rPr>
            </w:pPr>
          </w:p>
        </w:tc>
        <w:tc>
          <w:tcPr>
            <w:tcW w:w="1002" w:type="dxa"/>
          </w:tcPr>
          <w:p>
            <w:pPr>
              <w:pStyle w:val="14"/>
              <w:spacing w:line="253" w:lineRule="exact"/>
              <w:ind w:right="200"/>
              <w:jc w:val="right"/>
              <w:rPr>
                <w:rFonts w:ascii="Times New Roman" w:hAnsi="Times New Roman"/>
                <w:sz w:val="21"/>
              </w:rPr>
            </w:pPr>
            <w:r>
              <w:rPr>
                <w:w w:val="95"/>
                <w:sz w:val="21"/>
              </w:rPr>
              <w:t>≤</w:t>
            </w:r>
            <w:r>
              <w:rPr>
                <w:rFonts w:ascii="Times New Roman" w:hAnsi="Times New Roman"/>
                <w:w w:val="95"/>
                <w:sz w:val="21"/>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2" w:lineRule="exact"/>
              <w:ind w:left="116" w:right="108"/>
              <w:rPr>
                <w:sz w:val="21"/>
              </w:rPr>
            </w:pPr>
            <w:r>
              <w:rPr>
                <w:sz w:val="21"/>
              </w:rPr>
              <w:t>六价铬</w:t>
            </w:r>
          </w:p>
        </w:tc>
        <w:tc>
          <w:tcPr>
            <w:tcW w:w="2162" w:type="dxa"/>
            <w:gridSpan w:val="2"/>
            <w:vMerge w:val="continue"/>
            <w:tcBorders>
              <w:top w:val="nil"/>
            </w:tcBorders>
          </w:tcPr>
          <w:p>
            <w:pPr>
              <w:rPr>
                <w:sz w:val="2"/>
                <w:szCs w:val="2"/>
              </w:rPr>
            </w:pPr>
          </w:p>
        </w:tc>
        <w:tc>
          <w:tcPr>
            <w:tcW w:w="1002" w:type="dxa"/>
          </w:tcPr>
          <w:p>
            <w:pPr>
              <w:pStyle w:val="14"/>
              <w:spacing w:line="252" w:lineRule="exact"/>
              <w:ind w:right="200"/>
              <w:jc w:val="right"/>
              <w:rPr>
                <w:rFonts w:ascii="Times New Roman" w:hAnsi="Times New Roman"/>
                <w:sz w:val="21"/>
              </w:rPr>
            </w:pPr>
            <w:r>
              <w:rPr>
                <w:w w:val="95"/>
                <w:sz w:val="21"/>
              </w:rPr>
              <w:t>≤</w:t>
            </w:r>
            <w:r>
              <w:rPr>
                <w:rFonts w:ascii="Times New Roman" w:hAnsi="Times New Roman"/>
                <w:w w:val="95"/>
                <w:sz w:val="21"/>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1" w:lineRule="exact"/>
              <w:ind w:left="116" w:right="108"/>
              <w:rPr>
                <w:sz w:val="21"/>
              </w:rPr>
            </w:pPr>
            <w:r>
              <w:rPr>
                <w:sz w:val="21"/>
              </w:rPr>
              <w:t>氯化物</w:t>
            </w:r>
          </w:p>
        </w:tc>
        <w:tc>
          <w:tcPr>
            <w:tcW w:w="2162" w:type="dxa"/>
            <w:gridSpan w:val="2"/>
            <w:vMerge w:val="continue"/>
            <w:tcBorders>
              <w:top w:val="nil"/>
            </w:tcBorders>
          </w:tcPr>
          <w:p>
            <w:pPr>
              <w:rPr>
                <w:sz w:val="2"/>
                <w:szCs w:val="2"/>
              </w:rPr>
            </w:pPr>
          </w:p>
        </w:tc>
        <w:tc>
          <w:tcPr>
            <w:tcW w:w="1002" w:type="dxa"/>
          </w:tcPr>
          <w:p>
            <w:pPr>
              <w:pStyle w:val="14"/>
              <w:spacing w:before="1" w:line="251" w:lineRule="exact"/>
              <w:ind w:right="226"/>
              <w:jc w:val="right"/>
              <w:rPr>
                <w:rFonts w:ascii="Times New Roman" w:hAnsi="Times New Roman"/>
                <w:sz w:val="21"/>
              </w:rPr>
            </w:pPr>
            <w:r>
              <w:rPr>
                <w:sz w:val="21"/>
              </w:rPr>
              <w:t>≤</w:t>
            </w:r>
            <w:r>
              <w:rPr>
                <w:rFonts w:ascii="Times New Roman" w:hAnsi="Times New Roman"/>
                <w:sz w:val="21"/>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3" w:lineRule="exact"/>
              <w:ind w:left="116" w:right="108"/>
              <w:rPr>
                <w:sz w:val="21"/>
              </w:rPr>
            </w:pPr>
            <w:r>
              <w:rPr>
                <w:sz w:val="21"/>
              </w:rPr>
              <w:t>硫酸盐</w:t>
            </w:r>
          </w:p>
        </w:tc>
        <w:tc>
          <w:tcPr>
            <w:tcW w:w="2162" w:type="dxa"/>
            <w:gridSpan w:val="2"/>
            <w:vMerge w:val="continue"/>
            <w:tcBorders>
              <w:top w:val="nil"/>
            </w:tcBorders>
          </w:tcPr>
          <w:p>
            <w:pPr>
              <w:rPr>
                <w:sz w:val="2"/>
                <w:szCs w:val="2"/>
              </w:rPr>
            </w:pPr>
          </w:p>
        </w:tc>
        <w:tc>
          <w:tcPr>
            <w:tcW w:w="1002" w:type="dxa"/>
          </w:tcPr>
          <w:p>
            <w:pPr>
              <w:pStyle w:val="14"/>
              <w:spacing w:line="253" w:lineRule="exact"/>
              <w:ind w:right="226"/>
              <w:jc w:val="right"/>
              <w:rPr>
                <w:rFonts w:ascii="Times New Roman" w:hAnsi="Times New Roman"/>
                <w:sz w:val="21"/>
              </w:rPr>
            </w:pPr>
            <w:r>
              <w:rPr>
                <w:sz w:val="21"/>
              </w:rPr>
              <w:t>≤</w:t>
            </w:r>
            <w:r>
              <w:rPr>
                <w:rFonts w:ascii="Times New Roman" w:hAnsi="Times New Roman"/>
                <w:sz w:val="21"/>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2" w:lineRule="exact"/>
              <w:ind w:left="114" w:right="108"/>
              <w:rPr>
                <w:sz w:val="21"/>
              </w:rPr>
            </w:pPr>
            <w:r>
              <w:rPr>
                <w:sz w:val="21"/>
              </w:rPr>
              <w:t>菌落总数</w:t>
            </w:r>
          </w:p>
        </w:tc>
        <w:tc>
          <w:tcPr>
            <w:tcW w:w="2162" w:type="dxa"/>
            <w:gridSpan w:val="2"/>
          </w:tcPr>
          <w:p>
            <w:pPr>
              <w:pStyle w:val="14"/>
              <w:spacing w:line="252" w:lineRule="exact"/>
              <w:ind w:left="492"/>
              <w:jc w:val="left"/>
              <w:rPr>
                <w:sz w:val="21"/>
              </w:rPr>
            </w:pPr>
            <w:r>
              <w:rPr>
                <w:sz w:val="21"/>
              </w:rPr>
              <w:t>（</w:t>
            </w:r>
            <w:r>
              <w:rPr>
                <w:rFonts w:ascii="Times New Roman" w:eastAsia="Times New Roman"/>
                <w:sz w:val="21"/>
              </w:rPr>
              <w:t>CFU/mL</w:t>
            </w:r>
            <w:r>
              <w:rPr>
                <w:sz w:val="21"/>
              </w:rPr>
              <w:t>）</w:t>
            </w:r>
          </w:p>
        </w:tc>
        <w:tc>
          <w:tcPr>
            <w:tcW w:w="1002" w:type="dxa"/>
          </w:tcPr>
          <w:p>
            <w:pPr>
              <w:pStyle w:val="14"/>
              <w:spacing w:line="252" w:lineRule="exact"/>
              <w:ind w:right="226"/>
              <w:jc w:val="right"/>
              <w:rPr>
                <w:rFonts w:ascii="Times New Roman" w:hAnsi="Times New Roman"/>
                <w:sz w:val="21"/>
              </w:rPr>
            </w:pPr>
            <w:r>
              <w:rPr>
                <w:sz w:val="21"/>
              </w:rPr>
              <w:t>≤</w:t>
            </w:r>
            <w:r>
              <w:rPr>
                <w:rFonts w:ascii="Times New Roman" w:hAnsi="Times New Roman"/>
                <w:sz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2" w:lineRule="exact"/>
              <w:ind w:left="114" w:right="108"/>
              <w:rPr>
                <w:sz w:val="21"/>
              </w:rPr>
            </w:pPr>
            <w:r>
              <w:rPr>
                <w:sz w:val="21"/>
              </w:rPr>
              <w:t>总大肠菌群</w:t>
            </w:r>
          </w:p>
        </w:tc>
        <w:tc>
          <w:tcPr>
            <w:tcW w:w="2162" w:type="dxa"/>
            <w:gridSpan w:val="2"/>
          </w:tcPr>
          <w:p>
            <w:pPr>
              <w:pStyle w:val="14"/>
              <w:spacing w:line="252" w:lineRule="exact"/>
              <w:ind w:left="310"/>
              <w:jc w:val="left"/>
              <w:rPr>
                <w:sz w:val="21"/>
              </w:rPr>
            </w:pPr>
            <w:r>
              <w:rPr>
                <w:sz w:val="21"/>
              </w:rPr>
              <w:t>（</w:t>
            </w:r>
            <w:r>
              <w:rPr>
                <w:rFonts w:ascii="Times New Roman" w:eastAsia="Times New Roman"/>
                <w:sz w:val="21"/>
              </w:rPr>
              <w:t>MPN/100mL</w:t>
            </w:r>
            <w:r>
              <w:rPr>
                <w:sz w:val="21"/>
              </w:rPr>
              <w:t>）</w:t>
            </w:r>
          </w:p>
        </w:tc>
        <w:tc>
          <w:tcPr>
            <w:tcW w:w="1002" w:type="dxa"/>
          </w:tcPr>
          <w:p>
            <w:pPr>
              <w:pStyle w:val="14"/>
              <w:spacing w:line="252" w:lineRule="exact"/>
              <w:ind w:left="265"/>
              <w:jc w:val="left"/>
              <w:rPr>
                <w:rFonts w:ascii="Times New Roman" w:hAnsi="Times New Roman"/>
                <w:sz w:val="21"/>
              </w:rPr>
            </w:pPr>
            <w:r>
              <w:rPr>
                <w:sz w:val="21"/>
              </w:rPr>
              <w:t>≤</w:t>
            </w:r>
            <w:r>
              <w:rPr>
                <w:rFonts w:ascii="Times New Roman" w:hAnsi="Times New Roman"/>
                <w:sz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3" w:lineRule="exact"/>
              <w:ind w:left="114" w:right="108"/>
              <w:rPr>
                <w:sz w:val="21"/>
              </w:rPr>
            </w:pPr>
            <w:r>
              <w:rPr>
                <w:sz w:val="21"/>
              </w:rPr>
              <w:t>挥发性酚类</w:t>
            </w:r>
          </w:p>
        </w:tc>
        <w:tc>
          <w:tcPr>
            <w:tcW w:w="2162" w:type="dxa"/>
            <w:gridSpan w:val="2"/>
            <w:vMerge w:val="restart"/>
          </w:tcPr>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spacing w:before="193"/>
              <w:ind w:left="744" w:right="736"/>
              <w:rPr>
                <w:rFonts w:ascii="Times New Roman"/>
                <w:sz w:val="21"/>
              </w:rPr>
            </w:pPr>
            <w:r>
              <w:rPr>
                <w:rFonts w:ascii="Times New Roman"/>
                <w:sz w:val="21"/>
              </w:rPr>
              <w:t>mg/L</w:t>
            </w:r>
          </w:p>
        </w:tc>
        <w:tc>
          <w:tcPr>
            <w:tcW w:w="1002" w:type="dxa"/>
          </w:tcPr>
          <w:p>
            <w:pPr>
              <w:pStyle w:val="14"/>
              <w:spacing w:line="253" w:lineRule="exact"/>
              <w:ind w:right="147"/>
              <w:jc w:val="right"/>
              <w:rPr>
                <w:rFonts w:ascii="Times New Roman" w:hAnsi="Times New Roman"/>
                <w:sz w:val="21"/>
              </w:rPr>
            </w:pPr>
            <w:r>
              <w:rPr>
                <w:w w:val="95"/>
                <w:sz w:val="21"/>
              </w:rPr>
              <w:t>≤</w:t>
            </w:r>
            <w:r>
              <w:rPr>
                <w:rFonts w:ascii="Times New Roman" w:hAnsi="Times New Roman"/>
                <w:w w:val="95"/>
                <w:sz w:val="21"/>
              </w:rPr>
              <w:t>0.002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2" w:lineRule="exact"/>
              <w:ind w:left="116" w:right="108"/>
              <w:rPr>
                <w:sz w:val="21"/>
              </w:rPr>
            </w:pPr>
            <w:r>
              <w:rPr>
                <w:sz w:val="21"/>
              </w:rPr>
              <w:t>氰化物</w:t>
            </w:r>
          </w:p>
        </w:tc>
        <w:tc>
          <w:tcPr>
            <w:tcW w:w="2162" w:type="dxa"/>
            <w:gridSpan w:val="2"/>
            <w:vMerge w:val="continue"/>
            <w:tcBorders>
              <w:top w:val="nil"/>
            </w:tcBorders>
          </w:tcPr>
          <w:p>
            <w:pPr>
              <w:rPr>
                <w:sz w:val="2"/>
                <w:szCs w:val="2"/>
              </w:rPr>
            </w:pPr>
          </w:p>
        </w:tc>
        <w:tc>
          <w:tcPr>
            <w:tcW w:w="1002" w:type="dxa"/>
          </w:tcPr>
          <w:p>
            <w:pPr>
              <w:pStyle w:val="14"/>
              <w:spacing w:line="252" w:lineRule="exact"/>
              <w:ind w:right="200"/>
              <w:jc w:val="right"/>
              <w:rPr>
                <w:rFonts w:ascii="Times New Roman" w:hAnsi="Times New Roman"/>
                <w:sz w:val="21"/>
              </w:rPr>
            </w:pPr>
            <w:r>
              <w:rPr>
                <w:w w:val="95"/>
                <w:sz w:val="21"/>
              </w:rPr>
              <w:t>≤</w:t>
            </w:r>
            <w:r>
              <w:rPr>
                <w:rFonts w:ascii="Times New Roman" w:hAnsi="Times New Roman"/>
                <w:w w:val="95"/>
                <w:sz w:val="21"/>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0" w:lineRule="exact"/>
              <w:ind w:left="6"/>
              <w:rPr>
                <w:sz w:val="21"/>
              </w:rPr>
            </w:pPr>
            <w:r>
              <w:rPr>
                <w:w w:val="99"/>
                <w:sz w:val="21"/>
              </w:rPr>
              <w:t>砷</w:t>
            </w:r>
          </w:p>
        </w:tc>
        <w:tc>
          <w:tcPr>
            <w:tcW w:w="2162" w:type="dxa"/>
            <w:gridSpan w:val="2"/>
            <w:vMerge w:val="continue"/>
            <w:tcBorders>
              <w:top w:val="nil"/>
            </w:tcBorders>
          </w:tcPr>
          <w:p>
            <w:pPr>
              <w:rPr>
                <w:sz w:val="2"/>
                <w:szCs w:val="2"/>
              </w:rPr>
            </w:pPr>
          </w:p>
        </w:tc>
        <w:tc>
          <w:tcPr>
            <w:tcW w:w="1002" w:type="dxa"/>
          </w:tcPr>
          <w:p>
            <w:pPr>
              <w:pStyle w:val="14"/>
              <w:spacing w:before="1" w:line="250" w:lineRule="exact"/>
              <w:ind w:right="200"/>
              <w:jc w:val="right"/>
              <w:rPr>
                <w:rFonts w:ascii="Times New Roman" w:hAnsi="Times New Roman"/>
                <w:sz w:val="21"/>
              </w:rPr>
            </w:pPr>
            <w:r>
              <w:rPr>
                <w:w w:val="95"/>
                <w:sz w:val="21"/>
              </w:rPr>
              <w:t>≤</w:t>
            </w:r>
            <w:r>
              <w:rPr>
                <w:rFonts w:ascii="Times New Roman" w:hAnsi="Times New Roman"/>
                <w:w w:val="95"/>
                <w:sz w:val="21"/>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3" w:lineRule="exact"/>
              <w:ind w:left="6"/>
              <w:rPr>
                <w:sz w:val="21"/>
              </w:rPr>
            </w:pPr>
            <w:r>
              <w:rPr>
                <w:w w:val="99"/>
                <w:sz w:val="21"/>
              </w:rPr>
              <w:t>汞</w:t>
            </w:r>
          </w:p>
        </w:tc>
        <w:tc>
          <w:tcPr>
            <w:tcW w:w="2162" w:type="dxa"/>
            <w:gridSpan w:val="2"/>
            <w:vMerge w:val="continue"/>
            <w:tcBorders>
              <w:top w:val="nil"/>
            </w:tcBorders>
          </w:tcPr>
          <w:p>
            <w:pPr>
              <w:rPr>
                <w:sz w:val="2"/>
                <w:szCs w:val="2"/>
              </w:rPr>
            </w:pPr>
          </w:p>
        </w:tc>
        <w:tc>
          <w:tcPr>
            <w:tcW w:w="1002" w:type="dxa"/>
          </w:tcPr>
          <w:p>
            <w:pPr>
              <w:pStyle w:val="14"/>
              <w:spacing w:line="253" w:lineRule="exact"/>
              <w:ind w:right="147"/>
              <w:jc w:val="right"/>
              <w:rPr>
                <w:rFonts w:ascii="Times New Roman" w:hAnsi="Times New Roman"/>
                <w:sz w:val="21"/>
              </w:rPr>
            </w:pPr>
            <w:r>
              <w:rPr>
                <w:w w:val="95"/>
                <w:sz w:val="21"/>
              </w:rPr>
              <w:t>≤</w:t>
            </w:r>
            <w:r>
              <w:rPr>
                <w:rFonts w:ascii="Times New Roman" w:hAnsi="Times New Roman"/>
                <w:w w:val="95"/>
                <w:sz w:val="21"/>
              </w:rPr>
              <w:t>0.001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1" w:lineRule="exact"/>
              <w:ind w:left="116" w:right="108"/>
              <w:rPr>
                <w:sz w:val="21"/>
              </w:rPr>
            </w:pPr>
            <w:r>
              <w:rPr>
                <w:sz w:val="21"/>
              </w:rPr>
              <w:t>氟化物</w:t>
            </w:r>
          </w:p>
        </w:tc>
        <w:tc>
          <w:tcPr>
            <w:tcW w:w="2162" w:type="dxa"/>
            <w:gridSpan w:val="2"/>
            <w:vMerge w:val="continue"/>
            <w:tcBorders>
              <w:top w:val="nil"/>
            </w:tcBorders>
          </w:tcPr>
          <w:p>
            <w:pPr>
              <w:rPr>
                <w:sz w:val="2"/>
                <w:szCs w:val="2"/>
              </w:rPr>
            </w:pPr>
          </w:p>
        </w:tc>
        <w:tc>
          <w:tcPr>
            <w:tcW w:w="1002" w:type="dxa"/>
          </w:tcPr>
          <w:p>
            <w:pPr>
              <w:pStyle w:val="14"/>
              <w:spacing w:line="251" w:lineRule="exact"/>
              <w:ind w:left="265"/>
              <w:jc w:val="left"/>
              <w:rPr>
                <w:rFonts w:ascii="Times New Roman" w:hAnsi="Times New Roman"/>
                <w:sz w:val="21"/>
              </w:rPr>
            </w:pPr>
            <w:r>
              <w:rPr>
                <w:sz w:val="21"/>
              </w:rPr>
              <w:t>≤</w:t>
            </w:r>
            <w:r>
              <w:rPr>
                <w:rFonts w:ascii="Times New Roman" w:hAnsi="Times New Roman"/>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2" w:line="250" w:lineRule="exact"/>
              <w:ind w:left="6"/>
              <w:rPr>
                <w:sz w:val="21"/>
              </w:rPr>
            </w:pPr>
            <w:r>
              <w:rPr>
                <w:w w:val="99"/>
                <w:sz w:val="21"/>
              </w:rPr>
              <w:t>镉</w:t>
            </w:r>
          </w:p>
        </w:tc>
        <w:tc>
          <w:tcPr>
            <w:tcW w:w="2162" w:type="dxa"/>
            <w:gridSpan w:val="2"/>
            <w:vMerge w:val="continue"/>
            <w:tcBorders>
              <w:top w:val="nil"/>
            </w:tcBorders>
          </w:tcPr>
          <w:p>
            <w:pPr>
              <w:rPr>
                <w:sz w:val="2"/>
                <w:szCs w:val="2"/>
              </w:rPr>
            </w:pPr>
          </w:p>
        </w:tc>
        <w:tc>
          <w:tcPr>
            <w:tcW w:w="1002" w:type="dxa"/>
          </w:tcPr>
          <w:p>
            <w:pPr>
              <w:pStyle w:val="14"/>
              <w:spacing w:before="2" w:line="250" w:lineRule="exact"/>
              <w:ind w:right="147"/>
              <w:jc w:val="right"/>
              <w:rPr>
                <w:rFonts w:ascii="Times New Roman" w:hAnsi="Times New Roman"/>
                <w:sz w:val="21"/>
              </w:rPr>
            </w:pPr>
            <w:r>
              <w:rPr>
                <w:w w:val="95"/>
                <w:sz w:val="21"/>
              </w:rPr>
              <w:t>≤</w:t>
            </w:r>
            <w:r>
              <w:rPr>
                <w:rFonts w:ascii="Times New Roman" w:hAnsi="Times New Roman"/>
                <w:w w:val="95"/>
                <w:sz w:val="21"/>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21" w:lineRule="exact"/>
              <w:ind w:left="116" w:right="105"/>
              <w:rPr>
                <w:rFonts w:ascii="Times New Roman"/>
                <w:sz w:val="13"/>
              </w:rPr>
            </w:pPr>
            <w:r>
              <w:rPr>
                <w:rFonts w:ascii="Times New Roman"/>
                <w:position w:val="-6"/>
                <w:sz w:val="21"/>
              </w:rPr>
              <w:t>K</w:t>
            </w:r>
            <w:r>
              <w:rPr>
                <w:rFonts w:ascii="Times New Roman"/>
                <w:sz w:val="13"/>
              </w:rPr>
              <w:t>+</w:t>
            </w:r>
          </w:p>
        </w:tc>
        <w:tc>
          <w:tcPr>
            <w:tcW w:w="2162" w:type="dxa"/>
            <w:gridSpan w:val="2"/>
            <w:vMerge w:val="continue"/>
            <w:tcBorders>
              <w:top w:val="nil"/>
            </w:tcBorders>
          </w:tcPr>
          <w:p>
            <w:pPr>
              <w:rPr>
                <w:sz w:val="2"/>
                <w:szCs w:val="2"/>
              </w:rPr>
            </w:pPr>
          </w:p>
        </w:tc>
        <w:tc>
          <w:tcPr>
            <w:tcW w:w="1002" w:type="dxa"/>
          </w:tcPr>
          <w:p>
            <w:pPr>
              <w:pStyle w:val="14"/>
              <w:spacing w:line="222" w:lineRule="exact"/>
              <w:ind w:left="9"/>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21" w:lineRule="exact"/>
              <w:ind w:left="116" w:right="107"/>
              <w:rPr>
                <w:rFonts w:ascii="Times New Roman"/>
                <w:sz w:val="13"/>
              </w:rPr>
            </w:pPr>
            <w:r>
              <w:rPr>
                <w:rFonts w:ascii="Times New Roman"/>
                <w:sz w:val="21"/>
              </w:rPr>
              <w:t>Na</w:t>
            </w:r>
            <w:r>
              <w:rPr>
                <w:rFonts w:ascii="Times New Roman"/>
                <w:position w:val="7"/>
                <w:sz w:val="13"/>
              </w:rPr>
              <w:t>+</w:t>
            </w:r>
          </w:p>
        </w:tc>
        <w:tc>
          <w:tcPr>
            <w:tcW w:w="2162" w:type="dxa"/>
            <w:gridSpan w:val="2"/>
            <w:vMerge w:val="continue"/>
            <w:tcBorders>
              <w:top w:val="nil"/>
            </w:tcBorders>
          </w:tcPr>
          <w:p>
            <w:pPr>
              <w:rPr>
                <w:sz w:val="2"/>
                <w:szCs w:val="2"/>
              </w:rPr>
            </w:pPr>
          </w:p>
        </w:tc>
        <w:tc>
          <w:tcPr>
            <w:tcW w:w="1002" w:type="dxa"/>
          </w:tcPr>
          <w:p>
            <w:pPr>
              <w:pStyle w:val="14"/>
              <w:spacing w:line="221" w:lineRule="exact"/>
              <w:ind w:right="226"/>
              <w:jc w:val="right"/>
              <w:rPr>
                <w:rFonts w:ascii="Times New Roman" w:hAnsi="Times New Roman"/>
                <w:sz w:val="21"/>
              </w:rPr>
            </w:pPr>
            <w:r>
              <w:rPr>
                <w:sz w:val="21"/>
              </w:rPr>
              <w:t>≤</w:t>
            </w:r>
            <w:r>
              <w:rPr>
                <w:rFonts w:ascii="Times New Roman" w:hAnsi="Times New Roman"/>
                <w:sz w:val="21"/>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20" w:lineRule="exact"/>
              <w:ind w:left="116" w:right="103"/>
              <w:rPr>
                <w:rFonts w:ascii="Times New Roman"/>
                <w:sz w:val="13"/>
              </w:rPr>
            </w:pPr>
            <w:r>
              <w:rPr>
                <w:rFonts w:ascii="Times New Roman"/>
                <w:position w:val="-6"/>
                <w:sz w:val="21"/>
              </w:rPr>
              <w:t>Ca</w:t>
            </w:r>
            <w:r>
              <w:rPr>
                <w:rFonts w:ascii="Times New Roman"/>
                <w:sz w:val="13"/>
              </w:rPr>
              <w:t>2+</w:t>
            </w:r>
          </w:p>
        </w:tc>
        <w:tc>
          <w:tcPr>
            <w:tcW w:w="2162" w:type="dxa"/>
            <w:gridSpan w:val="2"/>
            <w:vMerge w:val="continue"/>
            <w:tcBorders>
              <w:top w:val="nil"/>
            </w:tcBorders>
          </w:tcPr>
          <w:p>
            <w:pPr>
              <w:rPr>
                <w:sz w:val="2"/>
                <w:szCs w:val="2"/>
              </w:rPr>
            </w:pPr>
          </w:p>
        </w:tc>
        <w:tc>
          <w:tcPr>
            <w:tcW w:w="1002" w:type="dxa"/>
          </w:tcPr>
          <w:p>
            <w:pPr>
              <w:pStyle w:val="14"/>
              <w:spacing w:before="1" w:line="221" w:lineRule="exact"/>
              <w:ind w:left="9"/>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21" w:lineRule="exact"/>
              <w:ind w:left="116" w:right="103"/>
              <w:rPr>
                <w:rFonts w:ascii="Times New Roman"/>
                <w:sz w:val="13"/>
              </w:rPr>
            </w:pPr>
            <w:r>
              <w:rPr>
                <w:rFonts w:ascii="Times New Roman"/>
                <w:position w:val="-6"/>
                <w:sz w:val="21"/>
              </w:rPr>
              <w:t>Mg</w:t>
            </w:r>
            <w:r>
              <w:rPr>
                <w:rFonts w:ascii="Times New Roman"/>
                <w:sz w:val="13"/>
              </w:rPr>
              <w:t>2+</w:t>
            </w:r>
          </w:p>
        </w:tc>
        <w:tc>
          <w:tcPr>
            <w:tcW w:w="2162" w:type="dxa"/>
            <w:gridSpan w:val="2"/>
            <w:vMerge w:val="continue"/>
            <w:tcBorders>
              <w:top w:val="nil"/>
            </w:tcBorders>
          </w:tcPr>
          <w:p>
            <w:pPr>
              <w:rPr>
                <w:sz w:val="2"/>
                <w:szCs w:val="2"/>
              </w:rPr>
            </w:pPr>
          </w:p>
        </w:tc>
        <w:tc>
          <w:tcPr>
            <w:tcW w:w="1002" w:type="dxa"/>
          </w:tcPr>
          <w:p>
            <w:pPr>
              <w:pStyle w:val="14"/>
              <w:spacing w:line="221" w:lineRule="exact"/>
              <w:ind w:left="9"/>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5" w:line="71" w:lineRule="exact"/>
              <w:ind w:left="476" w:right="108"/>
              <w:rPr>
                <w:rFonts w:ascii="Times New Roman"/>
                <w:sz w:val="13"/>
              </w:rPr>
            </w:pPr>
            <w:r>
              <w:rPr>
                <w:rFonts w:ascii="Times New Roman"/>
                <w:w w:val="105"/>
                <w:sz w:val="13"/>
              </w:rPr>
              <w:t>2-</w:t>
            </w:r>
          </w:p>
          <w:p>
            <w:pPr>
              <w:pStyle w:val="14"/>
              <w:spacing w:line="147" w:lineRule="exact"/>
              <w:ind w:left="8" w:right="108"/>
              <w:rPr>
                <w:rFonts w:ascii="Times New Roman"/>
                <w:sz w:val="21"/>
              </w:rPr>
            </w:pPr>
            <w:r>
              <w:rPr>
                <w:rFonts w:ascii="Times New Roman"/>
                <w:position w:val="2"/>
                <w:sz w:val="21"/>
              </w:rPr>
              <w:t>CO</w:t>
            </w:r>
            <w:r>
              <w:rPr>
                <w:rFonts w:ascii="Times New Roman"/>
                <w:position w:val="2"/>
                <w:sz w:val="21"/>
                <w:vertAlign w:val="subscript"/>
              </w:rPr>
              <w:t>3</w:t>
            </w:r>
          </w:p>
        </w:tc>
        <w:tc>
          <w:tcPr>
            <w:tcW w:w="2162" w:type="dxa"/>
            <w:gridSpan w:val="2"/>
            <w:vMerge w:val="continue"/>
            <w:tcBorders>
              <w:top w:val="nil"/>
            </w:tcBorders>
          </w:tcPr>
          <w:p>
            <w:pPr>
              <w:rPr>
                <w:sz w:val="2"/>
                <w:szCs w:val="2"/>
              </w:rPr>
            </w:pPr>
          </w:p>
        </w:tc>
        <w:tc>
          <w:tcPr>
            <w:tcW w:w="1002" w:type="dxa"/>
          </w:tcPr>
          <w:p>
            <w:pPr>
              <w:pStyle w:val="14"/>
              <w:spacing w:line="222" w:lineRule="exact"/>
              <w:ind w:left="9"/>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5" w:line="71" w:lineRule="exact"/>
              <w:ind w:left="519"/>
              <w:rPr>
                <w:rFonts w:ascii="Times New Roman"/>
                <w:sz w:val="13"/>
              </w:rPr>
            </w:pPr>
            <w:r>
              <w:rPr>
                <w:rFonts w:ascii="Times New Roman"/>
                <w:w w:val="105"/>
                <w:sz w:val="13"/>
              </w:rPr>
              <w:t>-</w:t>
            </w:r>
          </w:p>
          <w:p>
            <w:pPr>
              <w:pStyle w:val="14"/>
              <w:spacing w:line="146" w:lineRule="exact"/>
              <w:ind w:left="77" w:right="108"/>
              <w:rPr>
                <w:rFonts w:ascii="Times New Roman"/>
                <w:sz w:val="21"/>
              </w:rPr>
            </w:pPr>
            <w:r>
              <w:rPr>
                <w:rFonts w:ascii="Times New Roman"/>
                <w:position w:val="2"/>
                <w:sz w:val="21"/>
              </w:rPr>
              <w:t>HCO</w:t>
            </w:r>
            <w:r>
              <w:rPr>
                <w:rFonts w:ascii="Times New Roman"/>
                <w:position w:val="2"/>
                <w:sz w:val="21"/>
                <w:vertAlign w:val="subscript"/>
              </w:rPr>
              <w:t>3</w:t>
            </w:r>
          </w:p>
        </w:tc>
        <w:tc>
          <w:tcPr>
            <w:tcW w:w="2162" w:type="dxa"/>
            <w:gridSpan w:val="2"/>
            <w:vMerge w:val="continue"/>
            <w:tcBorders>
              <w:top w:val="nil"/>
            </w:tcBorders>
          </w:tcPr>
          <w:p>
            <w:pPr>
              <w:rPr>
                <w:sz w:val="2"/>
                <w:szCs w:val="2"/>
              </w:rPr>
            </w:pPr>
          </w:p>
        </w:tc>
        <w:tc>
          <w:tcPr>
            <w:tcW w:w="1002" w:type="dxa"/>
          </w:tcPr>
          <w:p>
            <w:pPr>
              <w:pStyle w:val="14"/>
              <w:spacing w:line="221" w:lineRule="exact"/>
              <w:ind w:left="9"/>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21" w:lineRule="exact"/>
              <w:ind w:left="116" w:right="105"/>
              <w:rPr>
                <w:rFonts w:ascii="Times New Roman"/>
                <w:sz w:val="13"/>
              </w:rPr>
            </w:pPr>
            <w:r>
              <w:rPr>
                <w:rFonts w:ascii="Times New Roman"/>
                <w:sz w:val="21"/>
              </w:rPr>
              <w:t>Cl</w:t>
            </w:r>
            <w:r>
              <w:rPr>
                <w:rFonts w:ascii="Times New Roman"/>
                <w:position w:val="7"/>
                <w:sz w:val="13"/>
              </w:rPr>
              <w:t>-</w:t>
            </w:r>
          </w:p>
        </w:tc>
        <w:tc>
          <w:tcPr>
            <w:tcW w:w="2162" w:type="dxa"/>
            <w:gridSpan w:val="2"/>
            <w:vMerge w:val="continue"/>
            <w:tcBorders>
              <w:top w:val="nil"/>
            </w:tcBorders>
          </w:tcPr>
          <w:p>
            <w:pPr>
              <w:rPr>
                <w:sz w:val="2"/>
                <w:szCs w:val="2"/>
              </w:rPr>
            </w:pPr>
          </w:p>
        </w:tc>
        <w:tc>
          <w:tcPr>
            <w:tcW w:w="1002" w:type="dxa"/>
          </w:tcPr>
          <w:p>
            <w:pPr>
              <w:pStyle w:val="14"/>
              <w:spacing w:line="222" w:lineRule="exact"/>
              <w:ind w:left="9"/>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21" w:lineRule="exact"/>
              <w:ind w:left="116" w:right="105"/>
              <w:rPr>
                <w:rFonts w:ascii="Times New Roman"/>
                <w:sz w:val="13"/>
              </w:rPr>
            </w:pPr>
            <w:r>
              <w:rPr>
                <w:rFonts w:ascii="Times New Roman"/>
                <w:w w:val="105"/>
                <w:position w:val="2"/>
                <w:sz w:val="21"/>
              </w:rPr>
              <w:t>SO</w:t>
            </w:r>
            <w:r>
              <w:rPr>
                <w:rFonts w:ascii="Times New Roman"/>
                <w:w w:val="105"/>
                <w:sz w:val="13"/>
              </w:rPr>
              <w:t>4</w:t>
            </w:r>
            <w:r>
              <w:rPr>
                <w:rFonts w:ascii="Times New Roman"/>
                <w:w w:val="105"/>
                <w:position w:val="8"/>
                <w:sz w:val="13"/>
              </w:rPr>
              <w:t>2-</w:t>
            </w:r>
          </w:p>
        </w:tc>
        <w:tc>
          <w:tcPr>
            <w:tcW w:w="2162" w:type="dxa"/>
            <w:gridSpan w:val="2"/>
            <w:vMerge w:val="continue"/>
            <w:tcBorders>
              <w:top w:val="nil"/>
            </w:tcBorders>
          </w:tcPr>
          <w:p>
            <w:pPr>
              <w:rPr>
                <w:sz w:val="2"/>
                <w:szCs w:val="2"/>
              </w:rPr>
            </w:pPr>
          </w:p>
        </w:tc>
        <w:tc>
          <w:tcPr>
            <w:tcW w:w="1002" w:type="dxa"/>
          </w:tcPr>
          <w:p>
            <w:pPr>
              <w:pStyle w:val="14"/>
              <w:spacing w:line="221" w:lineRule="exact"/>
              <w:ind w:left="9"/>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4"/>
              <w:jc w:val="left"/>
              <w:rPr>
                <w:b/>
                <w:sz w:val="25"/>
              </w:rPr>
            </w:pPr>
          </w:p>
          <w:p>
            <w:pPr>
              <w:pStyle w:val="14"/>
              <w:spacing w:before="1"/>
              <w:ind w:left="126"/>
              <w:jc w:val="left"/>
              <w:rPr>
                <w:sz w:val="21"/>
              </w:rPr>
            </w:pPr>
            <w:r>
              <w:rPr>
                <w:sz w:val="21"/>
              </w:rPr>
              <w:t>土壤</w:t>
            </w:r>
          </w:p>
        </w:tc>
        <w:tc>
          <w:tcPr>
            <w:tcW w:w="2920"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4"/>
              </w:rPr>
            </w:pPr>
          </w:p>
          <w:p>
            <w:pPr>
              <w:pStyle w:val="14"/>
              <w:spacing w:line="242" w:lineRule="auto"/>
              <w:ind w:left="107" w:right="-44" w:firstLine="38"/>
              <w:jc w:val="left"/>
              <w:rPr>
                <w:sz w:val="21"/>
              </w:rPr>
            </w:pPr>
            <w:r>
              <w:rPr>
                <w:spacing w:val="-1"/>
                <w:sz w:val="21"/>
              </w:rPr>
              <w:t>《土壤环境质量 建设用地土</w:t>
            </w:r>
            <w:r>
              <w:rPr>
                <w:spacing w:val="-7"/>
                <w:sz w:val="21"/>
              </w:rPr>
              <w:t>壤污染风险管控标准</w:t>
            </w:r>
            <w:r>
              <w:rPr>
                <w:sz w:val="21"/>
              </w:rPr>
              <w:t>（试行</w:t>
            </w:r>
            <w:r>
              <w:rPr>
                <w:spacing w:val="-51"/>
                <w:sz w:val="21"/>
              </w:rPr>
              <w:t>）</w:t>
            </w:r>
            <w:r>
              <w:rPr>
                <w:sz w:val="21"/>
              </w:rPr>
              <w:t>》</w:t>
            </w:r>
          </w:p>
          <w:p>
            <w:pPr>
              <w:pStyle w:val="14"/>
              <w:spacing w:before="1"/>
              <w:ind w:left="596"/>
              <w:jc w:val="left"/>
              <w:rPr>
                <w:sz w:val="21"/>
              </w:rPr>
            </w:pPr>
            <w:r>
              <w:rPr>
                <w:sz w:val="21"/>
              </w:rPr>
              <w:t>（</w:t>
            </w:r>
            <w:r>
              <w:rPr>
                <w:rFonts w:ascii="Times New Roman" w:eastAsia="Times New Roman"/>
                <w:sz w:val="21"/>
              </w:rPr>
              <w:t>GB36600-2018</w:t>
            </w:r>
            <w:r>
              <w:rPr>
                <w:sz w:val="21"/>
              </w:rPr>
              <w:t>）</w:t>
            </w:r>
          </w:p>
        </w:tc>
        <w:tc>
          <w:tcPr>
            <w:tcW w:w="1763" w:type="dxa"/>
          </w:tcPr>
          <w:p>
            <w:pPr>
              <w:pStyle w:val="14"/>
              <w:spacing w:before="2" w:line="251" w:lineRule="exact"/>
              <w:ind w:left="6"/>
              <w:rPr>
                <w:sz w:val="21"/>
              </w:rPr>
            </w:pPr>
            <w:r>
              <w:rPr>
                <w:w w:val="99"/>
                <w:sz w:val="21"/>
              </w:rPr>
              <w:t>砷</w:t>
            </w:r>
          </w:p>
        </w:tc>
        <w:tc>
          <w:tcPr>
            <w:tcW w:w="2162" w:type="dxa"/>
            <w:gridSpan w:val="2"/>
          </w:tcPr>
          <w:p>
            <w:pPr>
              <w:pStyle w:val="14"/>
              <w:spacing w:before="16" w:line="237" w:lineRule="exact"/>
              <w:ind w:left="742" w:right="736"/>
              <w:rPr>
                <w:rFonts w:ascii="Times New Roman"/>
                <w:sz w:val="21"/>
              </w:rPr>
            </w:pPr>
            <w:r>
              <w:rPr>
                <w:rFonts w:ascii="Times New Roman"/>
                <w:sz w:val="21"/>
              </w:rPr>
              <w:t>mg/kg</w:t>
            </w:r>
          </w:p>
        </w:tc>
        <w:tc>
          <w:tcPr>
            <w:tcW w:w="1002" w:type="dxa"/>
          </w:tcPr>
          <w:p>
            <w:pPr>
              <w:pStyle w:val="14"/>
              <w:spacing w:before="16" w:line="237" w:lineRule="exact"/>
              <w:ind w:left="190" w:right="182"/>
              <w:rPr>
                <w:rFonts w:ascii="Times New Roman"/>
                <w:sz w:val="21"/>
              </w:rPr>
            </w:pPr>
            <w:r>
              <w:rPr>
                <w:rFonts w:ascii="Times New Roman"/>
                <w:sz w:val="21"/>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2" w:lineRule="exact"/>
              <w:ind w:left="6"/>
              <w:rPr>
                <w:sz w:val="21"/>
              </w:rPr>
            </w:pPr>
            <w:r>
              <w:rPr>
                <w:w w:val="99"/>
                <w:sz w:val="21"/>
              </w:rPr>
              <w:t>镉</w:t>
            </w:r>
          </w:p>
        </w:tc>
        <w:tc>
          <w:tcPr>
            <w:tcW w:w="2162" w:type="dxa"/>
            <w:gridSpan w:val="2"/>
          </w:tcPr>
          <w:p>
            <w:pPr>
              <w:pStyle w:val="14"/>
              <w:spacing w:before="14" w:line="238" w:lineRule="exact"/>
              <w:ind w:left="742" w:right="736"/>
              <w:rPr>
                <w:rFonts w:ascii="Times New Roman"/>
                <w:sz w:val="21"/>
              </w:rPr>
            </w:pPr>
            <w:r>
              <w:rPr>
                <w:rFonts w:ascii="Times New Roman"/>
                <w:sz w:val="21"/>
              </w:rPr>
              <w:t>mg/kg</w:t>
            </w:r>
          </w:p>
        </w:tc>
        <w:tc>
          <w:tcPr>
            <w:tcW w:w="1002" w:type="dxa"/>
          </w:tcPr>
          <w:p>
            <w:pPr>
              <w:pStyle w:val="14"/>
              <w:spacing w:before="14" w:line="238" w:lineRule="exact"/>
              <w:ind w:left="190" w:right="182"/>
              <w:rPr>
                <w:rFonts w:ascii="Times New Roman"/>
                <w:sz w:val="21"/>
              </w:rPr>
            </w:pPr>
            <w:r>
              <w:rPr>
                <w:rFonts w:ascii="Times New Roman"/>
                <w:sz w:val="21"/>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1" w:lineRule="exact"/>
              <w:ind w:left="116" w:right="108"/>
              <w:rPr>
                <w:sz w:val="21"/>
              </w:rPr>
            </w:pPr>
            <w:r>
              <w:rPr>
                <w:sz w:val="21"/>
              </w:rPr>
              <w:t>六价铬</w:t>
            </w:r>
          </w:p>
        </w:tc>
        <w:tc>
          <w:tcPr>
            <w:tcW w:w="2162" w:type="dxa"/>
            <w:gridSpan w:val="2"/>
          </w:tcPr>
          <w:p>
            <w:pPr>
              <w:pStyle w:val="14"/>
              <w:spacing w:before="15" w:line="237" w:lineRule="exact"/>
              <w:ind w:left="742" w:right="736"/>
              <w:rPr>
                <w:rFonts w:ascii="Times New Roman"/>
                <w:sz w:val="21"/>
              </w:rPr>
            </w:pPr>
            <w:r>
              <w:rPr>
                <w:rFonts w:ascii="Times New Roman"/>
                <w:sz w:val="21"/>
              </w:rPr>
              <w:t>mg/kg</w:t>
            </w:r>
          </w:p>
        </w:tc>
        <w:tc>
          <w:tcPr>
            <w:tcW w:w="1002" w:type="dxa"/>
          </w:tcPr>
          <w:p>
            <w:pPr>
              <w:pStyle w:val="14"/>
              <w:spacing w:before="15" w:line="237" w:lineRule="exact"/>
              <w:ind w:left="190" w:right="182"/>
              <w:rPr>
                <w:rFonts w:ascii="Times New Roman"/>
                <w:sz w:val="21"/>
              </w:rPr>
            </w:pPr>
            <w:r>
              <w:rPr>
                <w:rFonts w:ascii="Times New Roman"/>
                <w:sz w:val="21"/>
              </w:rPr>
              <w:t>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3" w:lineRule="exact"/>
              <w:ind w:left="6"/>
              <w:rPr>
                <w:sz w:val="21"/>
              </w:rPr>
            </w:pPr>
            <w:r>
              <w:rPr>
                <w:w w:val="99"/>
                <w:sz w:val="21"/>
              </w:rPr>
              <w:t>铜</w:t>
            </w:r>
          </w:p>
        </w:tc>
        <w:tc>
          <w:tcPr>
            <w:tcW w:w="2162" w:type="dxa"/>
            <w:gridSpan w:val="2"/>
          </w:tcPr>
          <w:p>
            <w:pPr>
              <w:pStyle w:val="14"/>
              <w:spacing w:before="14" w:line="239" w:lineRule="exact"/>
              <w:ind w:left="742" w:right="736"/>
              <w:rPr>
                <w:rFonts w:ascii="Times New Roman"/>
                <w:sz w:val="21"/>
              </w:rPr>
            </w:pPr>
            <w:r>
              <w:rPr>
                <w:rFonts w:ascii="Times New Roman"/>
                <w:sz w:val="21"/>
              </w:rPr>
              <w:t>mg/kg</w:t>
            </w:r>
          </w:p>
        </w:tc>
        <w:tc>
          <w:tcPr>
            <w:tcW w:w="1002" w:type="dxa"/>
          </w:tcPr>
          <w:p>
            <w:pPr>
              <w:pStyle w:val="14"/>
              <w:spacing w:before="14" w:line="239" w:lineRule="exact"/>
              <w:ind w:right="228"/>
              <w:jc w:val="right"/>
              <w:rPr>
                <w:rFonts w:ascii="Times New Roman"/>
                <w:sz w:val="21"/>
              </w:rPr>
            </w:pPr>
            <w:r>
              <w:rPr>
                <w:rFonts w:ascii="Times New Roman"/>
                <w:w w:val="95"/>
                <w:sz w:val="21"/>
              </w:rPr>
              <w:t>18000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2" w:lineRule="exact"/>
              <w:ind w:left="6"/>
              <w:rPr>
                <w:sz w:val="21"/>
              </w:rPr>
            </w:pPr>
            <w:r>
              <w:rPr>
                <w:w w:val="99"/>
                <w:sz w:val="21"/>
              </w:rPr>
              <w:t>汞</w:t>
            </w:r>
          </w:p>
        </w:tc>
        <w:tc>
          <w:tcPr>
            <w:tcW w:w="2162" w:type="dxa"/>
            <w:gridSpan w:val="2"/>
          </w:tcPr>
          <w:p>
            <w:pPr>
              <w:pStyle w:val="14"/>
              <w:spacing w:before="14" w:line="238" w:lineRule="exact"/>
              <w:ind w:left="742" w:right="736"/>
              <w:rPr>
                <w:rFonts w:ascii="Times New Roman"/>
                <w:sz w:val="21"/>
              </w:rPr>
            </w:pPr>
            <w:r>
              <w:rPr>
                <w:rFonts w:ascii="Times New Roman"/>
                <w:sz w:val="21"/>
              </w:rPr>
              <w:t>mg/kg</w:t>
            </w:r>
          </w:p>
        </w:tc>
        <w:tc>
          <w:tcPr>
            <w:tcW w:w="1002" w:type="dxa"/>
          </w:tcPr>
          <w:p>
            <w:pPr>
              <w:pStyle w:val="14"/>
              <w:spacing w:before="14" w:line="238" w:lineRule="exact"/>
              <w:ind w:left="190" w:right="182"/>
              <w:rPr>
                <w:rFonts w:ascii="Times New Roman"/>
                <w:sz w:val="21"/>
              </w:rPr>
            </w:pPr>
            <w:r>
              <w:rPr>
                <w:rFonts w:ascii="Times New Roman"/>
                <w:sz w:val="21"/>
              </w:rPr>
              <w:t>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2" w:lineRule="exact"/>
              <w:ind w:left="6"/>
              <w:rPr>
                <w:sz w:val="21"/>
              </w:rPr>
            </w:pPr>
            <w:r>
              <w:rPr>
                <w:w w:val="99"/>
                <w:sz w:val="21"/>
              </w:rPr>
              <w:t>镍</w:t>
            </w:r>
          </w:p>
        </w:tc>
        <w:tc>
          <w:tcPr>
            <w:tcW w:w="2162" w:type="dxa"/>
            <w:gridSpan w:val="2"/>
          </w:tcPr>
          <w:p>
            <w:pPr>
              <w:pStyle w:val="14"/>
              <w:spacing w:before="13" w:line="239" w:lineRule="exact"/>
              <w:ind w:left="742" w:right="736"/>
              <w:rPr>
                <w:rFonts w:ascii="Times New Roman"/>
                <w:sz w:val="21"/>
              </w:rPr>
            </w:pPr>
            <w:r>
              <w:rPr>
                <w:rFonts w:ascii="Times New Roman"/>
                <w:sz w:val="21"/>
              </w:rPr>
              <w:t>mg/kg</w:t>
            </w:r>
          </w:p>
        </w:tc>
        <w:tc>
          <w:tcPr>
            <w:tcW w:w="1002" w:type="dxa"/>
          </w:tcPr>
          <w:p>
            <w:pPr>
              <w:pStyle w:val="14"/>
              <w:spacing w:before="13" w:line="239" w:lineRule="exact"/>
              <w:ind w:left="190" w:right="182"/>
              <w:rPr>
                <w:rFonts w:ascii="Times New Roman"/>
                <w:sz w:val="21"/>
              </w:rPr>
            </w:pPr>
            <w:r>
              <w:rPr>
                <w:rFonts w:ascii="Times New Roman"/>
                <w:sz w:val="21"/>
              </w:rPr>
              <w:t>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3" w:lineRule="exact"/>
              <w:ind w:left="6"/>
              <w:rPr>
                <w:sz w:val="21"/>
              </w:rPr>
            </w:pPr>
            <w:r>
              <w:rPr>
                <w:w w:val="99"/>
                <w:sz w:val="21"/>
              </w:rPr>
              <w:t>铅</w:t>
            </w:r>
          </w:p>
        </w:tc>
        <w:tc>
          <w:tcPr>
            <w:tcW w:w="2162" w:type="dxa"/>
            <w:gridSpan w:val="2"/>
          </w:tcPr>
          <w:p>
            <w:pPr>
              <w:pStyle w:val="14"/>
              <w:spacing w:before="14" w:line="239" w:lineRule="exact"/>
              <w:ind w:left="742" w:right="736"/>
              <w:rPr>
                <w:rFonts w:ascii="Times New Roman"/>
                <w:sz w:val="21"/>
              </w:rPr>
            </w:pPr>
            <w:r>
              <w:rPr>
                <w:rFonts w:ascii="Times New Roman"/>
                <w:sz w:val="21"/>
              </w:rPr>
              <w:t>mg/kg</w:t>
            </w:r>
          </w:p>
        </w:tc>
        <w:tc>
          <w:tcPr>
            <w:tcW w:w="1002" w:type="dxa"/>
          </w:tcPr>
          <w:p>
            <w:pPr>
              <w:pStyle w:val="14"/>
              <w:spacing w:before="14" w:line="239" w:lineRule="exact"/>
              <w:ind w:left="190" w:right="182"/>
              <w:rPr>
                <w:rFonts w:ascii="Times New Roman"/>
                <w:sz w:val="21"/>
              </w:rPr>
            </w:pPr>
            <w:r>
              <w:rPr>
                <w:rFonts w:ascii="Times New Roman"/>
                <w:sz w:val="21"/>
              </w:rPr>
              <w:t>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2" w:lineRule="exact"/>
              <w:ind w:left="116" w:right="108"/>
              <w:rPr>
                <w:sz w:val="21"/>
              </w:rPr>
            </w:pPr>
            <w:r>
              <w:rPr>
                <w:sz w:val="21"/>
              </w:rPr>
              <w:t>氯乙烯</w:t>
            </w:r>
          </w:p>
        </w:tc>
        <w:tc>
          <w:tcPr>
            <w:tcW w:w="2162" w:type="dxa"/>
            <w:gridSpan w:val="2"/>
          </w:tcPr>
          <w:p>
            <w:pPr>
              <w:pStyle w:val="14"/>
              <w:spacing w:before="14" w:line="238" w:lineRule="exact"/>
              <w:ind w:left="742" w:right="736"/>
              <w:rPr>
                <w:rFonts w:ascii="Times New Roman"/>
                <w:sz w:val="21"/>
              </w:rPr>
            </w:pPr>
            <w:r>
              <w:rPr>
                <w:rFonts w:ascii="Times New Roman"/>
                <w:sz w:val="21"/>
              </w:rPr>
              <w:t>mg/kg</w:t>
            </w:r>
          </w:p>
        </w:tc>
        <w:tc>
          <w:tcPr>
            <w:tcW w:w="1002" w:type="dxa"/>
          </w:tcPr>
          <w:p>
            <w:pPr>
              <w:pStyle w:val="14"/>
              <w:spacing w:before="14" w:line="238" w:lineRule="exact"/>
              <w:ind w:left="265"/>
              <w:jc w:val="left"/>
              <w:rPr>
                <w:rFonts w:ascii="Times New Roman"/>
                <w:sz w:val="21"/>
              </w:rPr>
            </w:pPr>
            <w:r>
              <w:rPr>
                <w:rFonts w:ascii="Times New Roman"/>
                <w:sz w:val="21"/>
              </w:rPr>
              <w:t>0.430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0" w:lineRule="exact"/>
              <w:ind w:left="116" w:right="108"/>
              <w:rPr>
                <w:sz w:val="21"/>
              </w:rPr>
            </w:pPr>
            <w:r>
              <w:rPr>
                <w:rFonts w:ascii="Times New Roman" w:eastAsia="Times New Roman"/>
                <w:sz w:val="21"/>
              </w:rPr>
              <w:t>1,1-</w:t>
            </w:r>
            <w:r>
              <w:rPr>
                <w:sz w:val="21"/>
              </w:rPr>
              <w:t>二氯乙烯</w:t>
            </w:r>
          </w:p>
        </w:tc>
        <w:tc>
          <w:tcPr>
            <w:tcW w:w="2162" w:type="dxa"/>
            <w:gridSpan w:val="2"/>
          </w:tcPr>
          <w:p>
            <w:pPr>
              <w:pStyle w:val="14"/>
              <w:spacing w:before="13" w:line="239" w:lineRule="exact"/>
              <w:ind w:left="742" w:right="736"/>
              <w:rPr>
                <w:rFonts w:ascii="Times New Roman"/>
                <w:sz w:val="21"/>
              </w:rPr>
            </w:pPr>
            <w:r>
              <w:rPr>
                <w:rFonts w:ascii="Times New Roman"/>
                <w:sz w:val="21"/>
              </w:rPr>
              <w:t>mg/kg</w:t>
            </w:r>
          </w:p>
        </w:tc>
        <w:tc>
          <w:tcPr>
            <w:tcW w:w="1002" w:type="dxa"/>
          </w:tcPr>
          <w:p>
            <w:pPr>
              <w:pStyle w:val="14"/>
              <w:spacing w:before="13" w:line="239" w:lineRule="exact"/>
              <w:ind w:left="190" w:right="182"/>
              <w:rPr>
                <w:rFonts w:ascii="Times New Roman"/>
                <w:sz w:val="21"/>
              </w:rPr>
            </w:pPr>
            <w:r>
              <w:rPr>
                <w:rFonts w:ascii="Times New Roman"/>
                <w:sz w:val="21"/>
              </w:rPr>
              <w:t>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3" w:lineRule="exact"/>
              <w:ind w:left="114" w:right="108"/>
              <w:rPr>
                <w:sz w:val="21"/>
              </w:rPr>
            </w:pPr>
            <w:r>
              <w:rPr>
                <w:sz w:val="21"/>
              </w:rPr>
              <w:t>二氯甲烷</w:t>
            </w:r>
          </w:p>
        </w:tc>
        <w:tc>
          <w:tcPr>
            <w:tcW w:w="2162" w:type="dxa"/>
            <w:gridSpan w:val="2"/>
          </w:tcPr>
          <w:p>
            <w:pPr>
              <w:pStyle w:val="14"/>
              <w:spacing w:before="14" w:line="239" w:lineRule="exact"/>
              <w:ind w:left="742" w:right="736"/>
              <w:rPr>
                <w:rFonts w:ascii="Times New Roman"/>
                <w:sz w:val="21"/>
              </w:rPr>
            </w:pPr>
            <w:r>
              <w:rPr>
                <w:rFonts w:ascii="Times New Roman"/>
                <w:sz w:val="21"/>
              </w:rPr>
              <w:t>mg/kg</w:t>
            </w:r>
          </w:p>
        </w:tc>
        <w:tc>
          <w:tcPr>
            <w:tcW w:w="1002" w:type="dxa"/>
          </w:tcPr>
          <w:p>
            <w:pPr>
              <w:pStyle w:val="14"/>
              <w:spacing w:before="14" w:line="239" w:lineRule="exact"/>
              <w:ind w:left="190" w:right="182"/>
              <w:rPr>
                <w:rFonts w:ascii="Times New Roman"/>
                <w:sz w:val="21"/>
              </w:rPr>
            </w:pPr>
            <w:r>
              <w:rPr>
                <w:rFonts w:ascii="Times New Roman"/>
                <w:sz w:val="21"/>
              </w:rPr>
              <w:t>616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1" w:lineRule="exact"/>
              <w:ind w:left="116" w:right="108"/>
              <w:rPr>
                <w:sz w:val="21"/>
              </w:rPr>
            </w:pPr>
            <w:r>
              <w:rPr>
                <w:sz w:val="21"/>
              </w:rPr>
              <w:t>反</w:t>
            </w:r>
            <w:r>
              <w:rPr>
                <w:rFonts w:ascii="Times New Roman" w:eastAsia="Times New Roman"/>
                <w:sz w:val="21"/>
              </w:rPr>
              <w:t>-1,2-</w:t>
            </w:r>
            <w:r>
              <w:rPr>
                <w:sz w:val="21"/>
              </w:rPr>
              <w:t>二氯乙烯</w:t>
            </w:r>
          </w:p>
        </w:tc>
        <w:tc>
          <w:tcPr>
            <w:tcW w:w="2162" w:type="dxa"/>
            <w:gridSpan w:val="2"/>
          </w:tcPr>
          <w:p>
            <w:pPr>
              <w:pStyle w:val="14"/>
              <w:spacing w:before="14" w:line="237" w:lineRule="exact"/>
              <w:ind w:left="742" w:right="736"/>
              <w:rPr>
                <w:rFonts w:ascii="Times New Roman"/>
                <w:sz w:val="21"/>
              </w:rPr>
            </w:pPr>
            <w:r>
              <w:rPr>
                <w:rFonts w:ascii="Times New Roman"/>
                <w:sz w:val="21"/>
              </w:rPr>
              <w:t>mg/kg</w:t>
            </w:r>
          </w:p>
        </w:tc>
        <w:tc>
          <w:tcPr>
            <w:tcW w:w="1002" w:type="dxa"/>
          </w:tcPr>
          <w:p>
            <w:pPr>
              <w:pStyle w:val="14"/>
              <w:spacing w:before="14" w:line="237" w:lineRule="exact"/>
              <w:ind w:left="190" w:right="182"/>
              <w:rPr>
                <w:rFonts w:ascii="Times New Roman"/>
                <w:sz w:val="21"/>
              </w:rPr>
            </w:pPr>
            <w:r>
              <w:rPr>
                <w:rFonts w:ascii="Times New Roman"/>
                <w:sz w:val="21"/>
              </w:rPr>
              <w:t>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0" w:lineRule="exact"/>
              <w:ind w:left="116" w:right="108"/>
              <w:rPr>
                <w:sz w:val="21"/>
              </w:rPr>
            </w:pPr>
            <w:r>
              <w:rPr>
                <w:rFonts w:ascii="Times New Roman" w:eastAsia="Times New Roman"/>
                <w:sz w:val="21"/>
              </w:rPr>
              <w:t>1,1-</w:t>
            </w:r>
            <w:r>
              <w:rPr>
                <w:sz w:val="21"/>
              </w:rPr>
              <w:t>二氯乙烷</w:t>
            </w:r>
          </w:p>
        </w:tc>
        <w:tc>
          <w:tcPr>
            <w:tcW w:w="2162" w:type="dxa"/>
            <w:gridSpan w:val="2"/>
          </w:tcPr>
          <w:p>
            <w:pPr>
              <w:pStyle w:val="14"/>
              <w:spacing w:before="15" w:line="236" w:lineRule="exact"/>
              <w:ind w:left="742" w:right="736"/>
              <w:rPr>
                <w:rFonts w:ascii="Times New Roman"/>
                <w:sz w:val="21"/>
              </w:rPr>
            </w:pPr>
            <w:r>
              <w:rPr>
                <w:rFonts w:ascii="Times New Roman"/>
                <w:sz w:val="21"/>
              </w:rPr>
              <w:t>mg/kg</w:t>
            </w:r>
          </w:p>
        </w:tc>
        <w:tc>
          <w:tcPr>
            <w:tcW w:w="1002" w:type="dxa"/>
          </w:tcPr>
          <w:p>
            <w:pPr>
              <w:pStyle w:val="14"/>
              <w:spacing w:before="15" w:line="236" w:lineRule="exact"/>
              <w:ind w:left="8"/>
              <w:rPr>
                <w:rFonts w:ascii="Times New Roman"/>
                <w:sz w:val="21"/>
              </w:rPr>
            </w:pPr>
            <w:r>
              <w:rPr>
                <w:rFonts w:ascii="Times New Roman"/>
                <w:w w:val="99"/>
                <w:sz w:val="21"/>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3" w:line="250" w:lineRule="exact"/>
              <w:ind w:left="116" w:right="108"/>
              <w:rPr>
                <w:sz w:val="21"/>
              </w:rPr>
            </w:pPr>
            <w:r>
              <w:rPr>
                <w:sz w:val="21"/>
              </w:rPr>
              <w:t>顺</w:t>
            </w:r>
            <w:r>
              <w:rPr>
                <w:rFonts w:ascii="Times New Roman" w:eastAsia="Times New Roman"/>
                <w:sz w:val="21"/>
              </w:rPr>
              <w:t>-1,2-</w:t>
            </w:r>
            <w:r>
              <w:rPr>
                <w:sz w:val="21"/>
              </w:rPr>
              <w:t>二氯乙烯</w:t>
            </w:r>
          </w:p>
        </w:tc>
        <w:tc>
          <w:tcPr>
            <w:tcW w:w="2162" w:type="dxa"/>
            <w:gridSpan w:val="2"/>
          </w:tcPr>
          <w:p>
            <w:pPr>
              <w:pStyle w:val="14"/>
              <w:spacing w:before="14" w:line="238" w:lineRule="exact"/>
              <w:ind w:left="742" w:right="736"/>
              <w:rPr>
                <w:rFonts w:ascii="Times New Roman"/>
                <w:sz w:val="21"/>
              </w:rPr>
            </w:pPr>
            <w:r>
              <w:rPr>
                <w:rFonts w:ascii="Times New Roman"/>
                <w:sz w:val="21"/>
              </w:rPr>
              <w:t>mg/kg</w:t>
            </w:r>
          </w:p>
        </w:tc>
        <w:tc>
          <w:tcPr>
            <w:tcW w:w="1002" w:type="dxa"/>
          </w:tcPr>
          <w:p>
            <w:pPr>
              <w:pStyle w:val="14"/>
              <w:spacing w:before="14" w:line="238" w:lineRule="exact"/>
              <w:ind w:left="190" w:right="182"/>
              <w:rPr>
                <w:rFonts w:ascii="Times New Roman"/>
                <w:sz w:val="21"/>
              </w:rPr>
            </w:pPr>
            <w:r>
              <w:rPr>
                <w:rFonts w:ascii="Times New Roman"/>
                <w:sz w:val="21"/>
              </w:rPr>
              <w:t>596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1" w:lineRule="exact"/>
              <w:ind w:left="111" w:right="108"/>
              <w:rPr>
                <w:sz w:val="21"/>
              </w:rPr>
            </w:pPr>
            <w:r>
              <w:rPr>
                <w:sz w:val="21"/>
              </w:rPr>
              <w:t>氯仿</w:t>
            </w:r>
          </w:p>
        </w:tc>
        <w:tc>
          <w:tcPr>
            <w:tcW w:w="2162" w:type="dxa"/>
            <w:gridSpan w:val="2"/>
          </w:tcPr>
          <w:p>
            <w:pPr>
              <w:pStyle w:val="14"/>
              <w:spacing w:before="14" w:line="237" w:lineRule="exact"/>
              <w:ind w:left="742" w:right="736"/>
              <w:rPr>
                <w:rFonts w:ascii="Times New Roman"/>
                <w:sz w:val="21"/>
              </w:rPr>
            </w:pPr>
            <w:r>
              <w:rPr>
                <w:rFonts w:ascii="Times New Roman"/>
                <w:sz w:val="21"/>
              </w:rPr>
              <w:t>mg/kg</w:t>
            </w:r>
          </w:p>
        </w:tc>
        <w:tc>
          <w:tcPr>
            <w:tcW w:w="1002" w:type="dxa"/>
          </w:tcPr>
          <w:p>
            <w:pPr>
              <w:pStyle w:val="14"/>
              <w:spacing w:before="14" w:line="237" w:lineRule="exact"/>
              <w:ind w:left="190" w:right="182"/>
              <w:rPr>
                <w:rFonts w:ascii="Times New Roman"/>
                <w:sz w:val="21"/>
              </w:rPr>
            </w:pPr>
            <w:r>
              <w:rPr>
                <w:rFonts w:ascii="Times New Roman"/>
                <w:sz w:val="21"/>
              </w:rPr>
              <w:t>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2" w:line="250" w:lineRule="exact"/>
              <w:ind w:left="114" w:right="108"/>
              <w:rPr>
                <w:sz w:val="21"/>
              </w:rPr>
            </w:pPr>
            <w:r>
              <w:rPr>
                <w:rFonts w:ascii="Times New Roman" w:eastAsia="Times New Roman"/>
                <w:sz w:val="21"/>
              </w:rPr>
              <w:t>1,1,1-</w:t>
            </w:r>
            <w:r>
              <w:rPr>
                <w:sz w:val="21"/>
              </w:rPr>
              <w:t>三氯乙烷</w:t>
            </w:r>
          </w:p>
        </w:tc>
        <w:tc>
          <w:tcPr>
            <w:tcW w:w="2162" w:type="dxa"/>
            <w:gridSpan w:val="2"/>
          </w:tcPr>
          <w:p>
            <w:pPr>
              <w:pStyle w:val="14"/>
              <w:spacing w:before="16" w:line="236" w:lineRule="exact"/>
              <w:ind w:left="742" w:right="736"/>
              <w:rPr>
                <w:rFonts w:ascii="Times New Roman"/>
                <w:sz w:val="21"/>
              </w:rPr>
            </w:pPr>
            <w:r>
              <w:rPr>
                <w:rFonts w:ascii="Times New Roman"/>
                <w:sz w:val="21"/>
              </w:rPr>
              <w:t>mg/kg</w:t>
            </w:r>
          </w:p>
        </w:tc>
        <w:tc>
          <w:tcPr>
            <w:tcW w:w="1002" w:type="dxa"/>
          </w:tcPr>
          <w:p>
            <w:pPr>
              <w:pStyle w:val="14"/>
              <w:spacing w:before="16" w:line="236" w:lineRule="exact"/>
              <w:ind w:left="190" w:right="182"/>
              <w:rPr>
                <w:rFonts w:ascii="Times New Roman"/>
                <w:sz w:val="21"/>
              </w:rPr>
            </w:pPr>
            <w:r>
              <w:rPr>
                <w:rFonts w:ascii="Times New Roman"/>
                <w:sz w:val="21"/>
              </w:rPr>
              <w:t>840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0" w:lineRule="exact"/>
              <w:ind w:left="114" w:right="108"/>
              <w:rPr>
                <w:sz w:val="21"/>
              </w:rPr>
            </w:pPr>
            <w:r>
              <w:rPr>
                <w:sz w:val="21"/>
              </w:rPr>
              <w:t>四氯化碳</w:t>
            </w:r>
          </w:p>
        </w:tc>
        <w:tc>
          <w:tcPr>
            <w:tcW w:w="2162" w:type="dxa"/>
            <w:gridSpan w:val="2"/>
          </w:tcPr>
          <w:p>
            <w:pPr>
              <w:pStyle w:val="14"/>
              <w:spacing w:before="14" w:line="236" w:lineRule="exact"/>
              <w:ind w:left="742" w:right="736"/>
              <w:rPr>
                <w:rFonts w:ascii="Times New Roman"/>
                <w:sz w:val="21"/>
              </w:rPr>
            </w:pPr>
            <w:r>
              <w:rPr>
                <w:rFonts w:ascii="Times New Roman"/>
                <w:sz w:val="21"/>
              </w:rPr>
              <w:t>mg/kg</w:t>
            </w:r>
          </w:p>
        </w:tc>
        <w:tc>
          <w:tcPr>
            <w:tcW w:w="1002" w:type="dxa"/>
          </w:tcPr>
          <w:p>
            <w:pPr>
              <w:pStyle w:val="14"/>
              <w:spacing w:before="14" w:line="236" w:lineRule="exact"/>
              <w:ind w:left="190" w:right="182"/>
              <w:rPr>
                <w:rFonts w:ascii="Times New Roman"/>
                <w:sz w:val="21"/>
              </w:rPr>
            </w:pPr>
            <w:r>
              <w:rPr>
                <w:rFonts w:ascii="Times New Roman"/>
                <w:sz w:val="21"/>
              </w:rPr>
              <w:t>2.8</w:t>
            </w:r>
          </w:p>
        </w:tc>
      </w:tr>
    </w:tbl>
    <w:p>
      <w:pPr>
        <w:spacing w:after="0" w:line="236" w:lineRule="exact"/>
        <w:rPr>
          <w:rFonts w:ascii="Times New Roman"/>
          <w:sz w:val="21"/>
        </w:rPr>
        <w:sectPr>
          <w:footerReference r:id="rId5" w:type="default"/>
          <w:pgSz w:w="11910" w:h="16840"/>
          <w:pgMar w:top="1400" w:right="720" w:bottom="1080" w:left="760" w:header="0" w:footer="895" w:gutter="0"/>
          <w:pgNumType w:start="10"/>
        </w:sectPr>
      </w:pPr>
    </w:p>
    <w:tbl>
      <w:tblPr>
        <w:tblStyle w:val="10"/>
        <w:tblW w:w="0" w:type="auto"/>
        <w:tblInd w:w="9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5"/>
        <w:gridCol w:w="2920"/>
        <w:gridCol w:w="1763"/>
        <w:gridCol w:w="2162"/>
        <w:gridCol w:w="10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restart"/>
          </w:tcPr>
          <w:p>
            <w:pPr>
              <w:pStyle w:val="14"/>
              <w:jc w:val="left"/>
              <w:rPr>
                <w:rFonts w:ascii="Times New Roman"/>
                <w:sz w:val="20"/>
              </w:rPr>
            </w:pPr>
          </w:p>
        </w:tc>
        <w:tc>
          <w:tcPr>
            <w:tcW w:w="2920" w:type="dxa"/>
            <w:vMerge w:val="restart"/>
          </w:tcPr>
          <w:p>
            <w:pPr>
              <w:pStyle w:val="14"/>
              <w:jc w:val="left"/>
              <w:rPr>
                <w:rFonts w:ascii="Times New Roman"/>
                <w:sz w:val="20"/>
              </w:rPr>
            </w:pPr>
          </w:p>
        </w:tc>
        <w:tc>
          <w:tcPr>
            <w:tcW w:w="1763" w:type="dxa"/>
          </w:tcPr>
          <w:p>
            <w:pPr>
              <w:pStyle w:val="14"/>
              <w:spacing w:line="252" w:lineRule="exact"/>
              <w:ind w:left="6"/>
              <w:rPr>
                <w:sz w:val="21"/>
              </w:rPr>
            </w:pPr>
            <w:r>
              <w:rPr>
                <w:w w:val="99"/>
                <w:sz w:val="21"/>
              </w:rPr>
              <w:t>苯</w:t>
            </w:r>
          </w:p>
        </w:tc>
        <w:tc>
          <w:tcPr>
            <w:tcW w:w="2162" w:type="dxa"/>
          </w:tcPr>
          <w:p>
            <w:pPr>
              <w:pStyle w:val="14"/>
              <w:spacing w:before="14" w:line="238" w:lineRule="exact"/>
              <w:ind w:left="812"/>
              <w:jc w:val="left"/>
              <w:rPr>
                <w:rFonts w:ascii="Times New Roman"/>
                <w:sz w:val="21"/>
              </w:rPr>
            </w:pPr>
            <w:r>
              <w:rPr>
                <w:rFonts w:ascii="Times New Roman"/>
                <w:sz w:val="21"/>
              </w:rPr>
              <w:t>mg/kg</w:t>
            </w:r>
          </w:p>
        </w:tc>
        <w:tc>
          <w:tcPr>
            <w:tcW w:w="1002" w:type="dxa"/>
          </w:tcPr>
          <w:p>
            <w:pPr>
              <w:pStyle w:val="14"/>
              <w:spacing w:before="14" w:line="238" w:lineRule="exact"/>
              <w:ind w:left="8"/>
              <w:rPr>
                <w:rFonts w:ascii="Times New Roman"/>
                <w:sz w:val="21"/>
              </w:rPr>
            </w:pPr>
            <w:r>
              <w:rPr>
                <w:rFonts w:ascii="Times New Roman"/>
                <w:w w:val="99"/>
                <w:sz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2" w:lineRule="exact"/>
              <w:ind w:left="116" w:right="108"/>
              <w:rPr>
                <w:sz w:val="21"/>
              </w:rPr>
            </w:pPr>
            <w:r>
              <w:rPr>
                <w:rFonts w:ascii="Times New Roman" w:eastAsia="Times New Roman"/>
                <w:sz w:val="21"/>
              </w:rPr>
              <w:t>1,2-</w:t>
            </w:r>
            <w:r>
              <w:rPr>
                <w:sz w:val="21"/>
              </w:rPr>
              <w:t>二氯乙烷</w:t>
            </w:r>
          </w:p>
        </w:tc>
        <w:tc>
          <w:tcPr>
            <w:tcW w:w="2162" w:type="dxa"/>
          </w:tcPr>
          <w:p>
            <w:pPr>
              <w:pStyle w:val="14"/>
              <w:spacing w:before="15" w:line="238" w:lineRule="exact"/>
              <w:ind w:left="812"/>
              <w:jc w:val="left"/>
              <w:rPr>
                <w:rFonts w:ascii="Times New Roman"/>
                <w:sz w:val="21"/>
              </w:rPr>
            </w:pPr>
            <w:r>
              <w:rPr>
                <w:rFonts w:ascii="Times New Roman"/>
                <w:sz w:val="21"/>
              </w:rPr>
              <w:t>mg/kg</w:t>
            </w:r>
          </w:p>
        </w:tc>
        <w:tc>
          <w:tcPr>
            <w:tcW w:w="1002" w:type="dxa"/>
          </w:tcPr>
          <w:p>
            <w:pPr>
              <w:pStyle w:val="14"/>
              <w:spacing w:before="15" w:line="238" w:lineRule="exact"/>
              <w:ind w:left="8"/>
              <w:rPr>
                <w:rFonts w:ascii="Times New Roman"/>
                <w:sz w:val="21"/>
              </w:rPr>
            </w:pPr>
            <w:r>
              <w:rPr>
                <w:rFonts w:ascii="Times New Roman"/>
                <w:w w:val="99"/>
                <w:sz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2" w:lineRule="exact"/>
              <w:ind w:left="114" w:right="108"/>
              <w:rPr>
                <w:sz w:val="21"/>
              </w:rPr>
            </w:pPr>
            <w:r>
              <w:rPr>
                <w:sz w:val="21"/>
              </w:rPr>
              <w:t>三氯乙烯</w:t>
            </w:r>
          </w:p>
        </w:tc>
        <w:tc>
          <w:tcPr>
            <w:tcW w:w="2162" w:type="dxa"/>
          </w:tcPr>
          <w:p>
            <w:pPr>
              <w:pStyle w:val="14"/>
              <w:spacing w:before="13" w:line="239" w:lineRule="exact"/>
              <w:ind w:left="812"/>
              <w:jc w:val="left"/>
              <w:rPr>
                <w:rFonts w:ascii="Times New Roman"/>
                <w:sz w:val="21"/>
              </w:rPr>
            </w:pPr>
            <w:r>
              <w:rPr>
                <w:rFonts w:ascii="Times New Roman"/>
                <w:sz w:val="21"/>
              </w:rPr>
              <w:t>mg/kg</w:t>
            </w:r>
          </w:p>
        </w:tc>
        <w:tc>
          <w:tcPr>
            <w:tcW w:w="1002" w:type="dxa"/>
          </w:tcPr>
          <w:p>
            <w:pPr>
              <w:pStyle w:val="14"/>
              <w:spacing w:before="13" w:line="239" w:lineRule="exact"/>
              <w:ind w:left="190" w:right="182"/>
              <w:rPr>
                <w:rFonts w:ascii="Times New Roman"/>
                <w:sz w:val="21"/>
              </w:rPr>
            </w:pPr>
            <w:r>
              <w:rPr>
                <w:rFonts w:ascii="Times New Roman"/>
                <w:sz w:val="21"/>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2" w:line="249" w:lineRule="exact"/>
              <w:ind w:left="116" w:right="108"/>
              <w:rPr>
                <w:sz w:val="21"/>
              </w:rPr>
            </w:pPr>
            <w:r>
              <w:rPr>
                <w:rFonts w:ascii="Times New Roman" w:eastAsia="Times New Roman"/>
                <w:sz w:val="21"/>
              </w:rPr>
              <w:t>1,2-</w:t>
            </w:r>
            <w:r>
              <w:rPr>
                <w:sz w:val="21"/>
              </w:rPr>
              <w:t>二氯丙烷</w:t>
            </w:r>
          </w:p>
        </w:tc>
        <w:tc>
          <w:tcPr>
            <w:tcW w:w="2162" w:type="dxa"/>
          </w:tcPr>
          <w:p>
            <w:pPr>
              <w:pStyle w:val="14"/>
              <w:spacing w:before="14" w:line="238" w:lineRule="exact"/>
              <w:ind w:left="812"/>
              <w:jc w:val="left"/>
              <w:rPr>
                <w:rFonts w:ascii="Times New Roman"/>
                <w:sz w:val="21"/>
              </w:rPr>
            </w:pPr>
            <w:r>
              <w:rPr>
                <w:rFonts w:ascii="Times New Roman"/>
                <w:sz w:val="21"/>
              </w:rPr>
              <w:t>mg/kg</w:t>
            </w:r>
          </w:p>
        </w:tc>
        <w:tc>
          <w:tcPr>
            <w:tcW w:w="1002" w:type="dxa"/>
          </w:tcPr>
          <w:p>
            <w:pPr>
              <w:pStyle w:val="14"/>
              <w:spacing w:before="14" w:line="238" w:lineRule="exact"/>
              <w:ind w:left="8"/>
              <w:rPr>
                <w:rFonts w:ascii="Times New Roman"/>
                <w:sz w:val="21"/>
              </w:rPr>
            </w:pPr>
            <w:r>
              <w:rPr>
                <w:rFonts w:ascii="Times New Roman"/>
                <w:w w:val="99"/>
                <w:sz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2" w:lineRule="exact"/>
              <w:ind w:left="111" w:right="108"/>
              <w:rPr>
                <w:sz w:val="21"/>
              </w:rPr>
            </w:pPr>
            <w:r>
              <w:rPr>
                <w:sz w:val="21"/>
              </w:rPr>
              <w:t>甲苯</w:t>
            </w:r>
          </w:p>
        </w:tc>
        <w:tc>
          <w:tcPr>
            <w:tcW w:w="2162" w:type="dxa"/>
          </w:tcPr>
          <w:p>
            <w:pPr>
              <w:pStyle w:val="14"/>
              <w:spacing w:before="15" w:line="238" w:lineRule="exact"/>
              <w:ind w:left="812"/>
              <w:jc w:val="left"/>
              <w:rPr>
                <w:rFonts w:ascii="Times New Roman"/>
                <w:sz w:val="21"/>
              </w:rPr>
            </w:pPr>
            <w:r>
              <w:rPr>
                <w:rFonts w:ascii="Times New Roman"/>
                <w:sz w:val="21"/>
              </w:rPr>
              <w:t>mg/kg</w:t>
            </w:r>
          </w:p>
        </w:tc>
        <w:tc>
          <w:tcPr>
            <w:tcW w:w="1002" w:type="dxa"/>
          </w:tcPr>
          <w:p>
            <w:pPr>
              <w:pStyle w:val="14"/>
              <w:spacing w:before="15" w:line="238" w:lineRule="exact"/>
              <w:ind w:right="279"/>
              <w:jc w:val="right"/>
              <w:rPr>
                <w:rFonts w:ascii="Times New Roman"/>
                <w:sz w:val="21"/>
              </w:rPr>
            </w:pPr>
            <w:r>
              <w:rPr>
                <w:rFonts w:ascii="Times New Roman"/>
                <w:w w:val="95"/>
                <w:sz w:val="21"/>
              </w:rPr>
              <w:t>1200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0" w:lineRule="exact"/>
              <w:ind w:left="114" w:right="108"/>
              <w:rPr>
                <w:sz w:val="21"/>
              </w:rPr>
            </w:pPr>
            <w:r>
              <w:rPr>
                <w:rFonts w:ascii="Times New Roman" w:eastAsia="Times New Roman"/>
                <w:sz w:val="21"/>
              </w:rPr>
              <w:t>1,1,2-</w:t>
            </w:r>
            <w:r>
              <w:rPr>
                <w:sz w:val="21"/>
              </w:rPr>
              <w:t>三氯乙烷</w:t>
            </w:r>
          </w:p>
        </w:tc>
        <w:tc>
          <w:tcPr>
            <w:tcW w:w="2162" w:type="dxa"/>
          </w:tcPr>
          <w:p>
            <w:pPr>
              <w:pStyle w:val="14"/>
              <w:spacing w:before="13" w:line="239" w:lineRule="exact"/>
              <w:ind w:left="812"/>
              <w:jc w:val="left"/>
              <w:rPr>
                <w:rFonts w:ascii="Times New Roman"/>
                <w:sz w:val="21"/>
              </w:rPr>
            </w:pPr>
            <w:r>
              <w:rPr>
                <w:rFonts w:ascii="Times New Roman"/>
                <w:sz w:val="21"/>
              </w:rPr>
              <w:t>mg/kg</w:t>
            </w:r>
          </w:p>
        </w:tc>
        <w:tc>
          <w:tcPr>
            <w:tcW w:w="1002" w:type="dxa"/>
          </w:tcPr>
          <w:p>
            <w:pPr>
              <w:pStyle w:val="14"/>
              <w:spacing w:before="13" w:line="239" w:lineRule="exact"/>
              <w:ind w:left="190" w:right="182"/>
              <w:rPr>
                <w:rFonts w:ascii="Times New Roman"/>
                <w:sz w:val="21"/>
              </w:rPr>
            </w:pPr>
            <w:r>
              <w:rPr>
                <w:rFonts w:ascii="Times New Roman"/>
                <w:sz w:val="21"/>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2" w:lineRule="exact"/>
              <w:ind w:left="114" w:right="108"/>
              <w:rPr>
                <w:sz w:val="21"/>
              </w:rPr>
            </w:pPr>
            <w:r>
              <w:rPr>
                <w:sz w:val="21"/>
              </w:rPr>
              <w:t>四氯乙烯</w:t>
            </w:r>
          </w:p>
        </w:tc>
        <w:tc>
          <w:tcPr>
            <w:tcW w:w="2162" w:type="dxa"/>
          </w:tcPr>
          <w:p>
            <w:pPr>
              <w:pStyle w:val="14"/>
              <w:spacing w:before="14" w:line="238" w:lineRule="exact"/>
              <w:ind w:left="812"/>
              <w:jc w:val="left"/>
              <w:rPr>
                <w:rFonts w:ascii="Times New Roman"/>
                <w:sz w:val="21"/>
              </w:rPr>
            </w:pPr>
            <w:r>
              <w:rPr>
                <w:rFonts w:ascii="Times New Roman"/>
                <w:sz w:val="21"/>
              </w:rPr>
              <w:t>mg/kg</w:t>
            </w:r>
          </w:p>
        </w:tc>
        <w:tc>
          <w:tcPr>
            <w:tcW w:w="1002" w:type="dxa"/>
          </w:tcPr>
          <w:p>
            <w:pPr>
              <w:pStyle w:val="14"/>
              <w:spacing w:before="14" w:line="238" w:lineRule="exact"/>
              <w:ind w:left="190" w:right="182"/>
              <w:rPr>
                <w:rFonts w:ascii="Times New Roman"/>
                <w:sz w:val="21"/>
              </w:rPr>
            </w:pPr>
            <w:r>
              <w:rPr>
                <w:rFonts w:ascii="Times New Roman"/>
                <w:sz w:val="21"/>
              </w:rPr>
              <w:t>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1" w:lineRule="exact"/>
              <w:ind w:left="111" w:right="108"/>
              <w:rPr>
                <w:sz w:val="21"/>
              </w:rPr>
            </w:pPr>
            <w:r>
              <w:rPr>
                <w:sz w:val="21"/>
              </w:rPr>
              <w:t>氯苯</w:t>
            </w:r>
          </w:p>
        </w:tc>
        <w:tc>
          <w:tcPr>
            <w:tcW w:w="2162" w:type="dxa"/>
          </w:tcPr>
          <w:p>
            <w:pPr>
              <w:pStyle w:val="14"/>
              <w:spacing w:before="15" w:line="237" w:lineRule="exact"/>
              <w:ind w:left="812"/>
              <w:jc w:val="left"/>
              <w:rPr>
                <w:rFonts w:ascii="Times New Roman"/>
                <w:sz w:val="21"/>
              </w:rPr>
            </w:pPr>
            <w:r>
              <w:rPr>
                <w:rFonts w:ascii="Times New Roman"/>
                <w:sz w:val="21"/>
              </w:rPr>
              <w:t>mg/kg</w:t>
            </w:r>
          </w:p>
        </w:tc>
        <w:tc>
          <w:tcPr>
            <w:tcW w:w="1002" w:type="dxa"/>
          </w:tcPr>
          <w:p>
            <w:pPr>
              <w:pStyle w:val="14"/>
              <w:spacing w:before="15" w:line="237" w:lineRule="exact"/>
              <w:ind w:left="190" w:right="182"/>
              <w:rPr>
                <w:rFonts w:ascii="Times New Roman"/>
                <w:sz w:val="21"/>
              </w:rPr>
            </w:pPr>
            <w:r>
              <w:rPr>
                <w:rFonts w:ascii="Times New Roman"/>
                <w:sz w:val="21"/>
              </w:rPr>
              <w:t>270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2" w:line="250" w:lineRule="exact"/>
              <w:ind w:left="116" w:right="108"/>
              <w:rPr>
                <w:sz w:val="21"/>
              </w:rPr>
            </w:pPr>
            <w:r>
              <w:rPr>
                <w:rFonts w:ascii="Times New Roman" w:eastAsia="Times New Roman"/>
                <w:sz w:val="21"/>
              </w:rPr>
              <w:t>1,1,1,2-</w:t>
            </w:r>
            <w:r>
              <w:rPr>
                <w:sz w:val="21"/>
              </w:rPr>
              <w:t>四氯乙烷</w:t>
            </w:r>
          </w:p>
        </w:tc>
        <w:tc>
          <w:tcPr>
            <w:tcW w:w="2162" w:type="dxa"/>
          </w:tcPr>
          <w:p>
            <w:pPr>
              <w:pStyle w:val="14"/>
              <w:spacing w:before="13" w:line="239" w:lineRule="exact"/>
              <w:ind w:left="812"/>
              <w:jc w:val="left"/>
              <w:rPr>
                <w:rFonts w:ascii="Times New Roman"/>
                <w:sz w:val="21"/>
              </w:rPr>
            </w:pPr>
            <w:r>
              <w:rPr>
                <w:rFonts w:ascii="Times New Roman"/>
                <w:sz w:val="21"/>
              </w:rPr>
              <w:t>mg/kg</w:t>
            </w:r>
          </w:p>
        </w:tc>
        <w:tc>
          <w:tcPr>
            <w:tcW w:w="1002" w:type="dxa"/>
          </w:tcPr>
          <w:p>
            <w:pPr>
              <w:pStyle w:val="14"/>
              <w:spacing w:before="13" w:line="239" w:lineRule="exact"/>
              <w:ind w:left="190" w:right="182"/>
              <w:rPr>
                <w:rFonts w:ascii="Times New Roman"/>
                <w:sz w:val="21"/>
              </w:rPr>
            </w:pPr>
            <w:r>
              <w:rPr>
                <w:rFonts w:ascii="Times New Roman"/>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1" w:lineRule="exact"/>
              <w:ind w:left="111" w:right="108"/>
              <w:rPr>
                <w:sz w:val="21"/>
              </w:rPr>
            </w:pPr>
            <w:r>
              <w:rPr>
                <w:sz w:val="21"/>
              </w:rPr>
              <w:t>乙苯</w:t>
            </w:r>
          </w:p>
        </w:tc>
        <w:tc>
          <w:tcPr>
            <w:tcW w:w="2162" w:type="dxa"/>
          </w:tcPr>
          <w:p>
            <w:pPr>
              <w:pStyle w:val="14"/>
              <w:spacing w:before="14" w:line="237" w:lineRule="exact"/>
              <w:ind w:left="812"/>
              <w:jc w:val="left"/>
              <w:rPr>
                <w:rFonts w:ascii="Times New Roman"/>
                <w:sz w:val="21"/>
              </w:rPr>
            </w:pPr>
            <w:r>
              <w:rPr>
                <w:rFonts w:ascii="Times New Roman"/>
                <w:sz w:val="21"/>
              </w:rPr>
              <w:t>mg/kg</w:t>
            </w:r>
          </w:p>
        </w:tc>
        <w:tc>
          <w:tcPr>
            <w:tcW w:w="1002" w:type="dxa"/>
          </w:tcPr>
          <w:p>
            <w:pPr>
              <w:pStyle w:val="14"/>
              <w:spacing w:before="14" w:line="237" w:lineRule="exact"/>
              <w:ind w:left="190" w:right="182"/>
              <w:rPr>
                <w:rFonts w:ascii="Times New Roman"/>
                <w:sz w:val="21"/>
              </w:rPr>
            </w:pPr>
            <w:r>
              <w:rPr>
                <w:rFonts w:ascii="Times New Roman"/>
                <w:sz w:val="21"/>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1" w:lineRule="exact"/>
              <w:ind w:left="116" w:right="108"/>
              <w:rPr>
                <w:sz w:val="21"/>
              </w:rPr>
            </w:pPr>
            <w:r>
              <w:rPr>
                <w:sz w:val="21"/>
              </w:rPr>
              <w:t>间</w:t>
            </w:r>
            <w:r>
              <w:rPr>
                <w:rFonts w:ascii="Times New Roman" w:eastAsia="Times New Roman"/>
                <w:sz w:val="21"/>
              </w:rPr>
              <w:t>/</w:t>
            </w:r>
            <w:r>
              <w:rPr>
                <w:sz w:val="21"/>
              </w:rPr>
              <w:t>对</w:t>
            </w:r>
            <w:r>
              <w:rPr>
                <w:rFonts w:ascii="Times New Roman" w:eastAsia="Times New Roman"/>
                <w:sz w:val="21"/>
              </w:rPr>
              <w:t>-</w:t>
            </w:r>
            <w:r>
              <w:rPr>
                <w:sz w:val="21"/>
              </w:rPr>
              <w:t>二甲苯</w:t>
            </w:r>
          </w:p>
        </w:tc>
        <w:tc>
          <w:tcPr>
            <w:tcW w:w="2162" w:type="dxa"/>
          </w:tcPr>
          <w:p>
            <w:pPr>
              <w:pStyle w:val="14"/>
              <w:spacing w:before="15" w:line="237" w:lineRule="exact"/>
              <w:ind w:left="812"/>
              <w:jc w:val="left"/>
              <w:rPr>
                <w:rFonts w:ascii="Times New Roman"/>
                <w:sz w:val="21"/>
              </w:rPr>
            </w:pPr>
            <w:r>
              <w:rPr>
                <w:rFonts w:ascii="Times New Roman"/>
                <w:sz w:val="21"/>
              </w:rPr>
              <w:t>mg/kg</w:t>
            </w:r>
          </w:p>
        </w:tc>
        <w:tc>
          <w:tcPr>
            <w:tcW w:w="1002" w:type="dxa"/>
          </w:tcPr>
          <w:p>
            <w:pPr>
              <w:pStyle w:val="14"/>
              <w:spacing w:before="15" w:line="237" w:lineRule="exact"/>
              <w:ind w:left="190" w:right="182"/>
              <w:rPr>
                <w:rFonts w:ascii="Times New Roman"/>
                <w:sz w:val="21"/>
              </w:rPr>
            </w:pPr>
            <w:r>
              <w:rPr>
                <w:rFonts w:ascii="Times New Roman"/>
                <w:sz w:val="21"/>
              </w:rPr>
              <w:t>570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2" w:line="250" w:lineRule="exact"/>
              <w:ind w:left="116" w:right="108"/>
              <w:rPr>
                <w:sz w:val="21"/>
              </w:rPr>
            </w:pPr>
            <w:r>
              <w:rPr>
                <w:sz w:val="21"/>
              </w:rPr>
              <w:t>邻</w:t>
            </w:r>
            <w:r>
              <w:rPr>
                <w:rFonts w:ascii="Times New Roman" w:eastAsia="Times New Roman"/>
                <w:sz w:val="21"/>
              </w:rPr>
              <w:t>-</w:t>
            </w:r>
            <w:r>
              <w:rPr>
                <w:sz w:val="21"/>
              </w:rPr>
              <w:t>二甲苯</w:t>
            </w:r>
          </w:p>
        </w:tc>
        <w:tc>
          <w:tcPr>
            <w:tcW w:w="2162" w:type="dxa"/>
          </w:tcPr>
          <w:p>
            <w:pPr>
              <w:pStyle w:val="14"/>
              <w:spacing w:before="13" w:line="238" w:lineRule="exact"/>
              <w:ind w:left="812"/>
              <w:jc w:val="left"/>
              <w:rPr>
                <w:rFonts w:ascii="Times New Roman"/>
                <w:sz w:val="21"/>
              </w:rPr>
            </w:pPr>
            <w:r>
              <w:rPr>
                <w:rFonts w:ascii="Times New Roman"/>
                <w:sz w:val="21"/>
              </w:rPr>
              <w:t>mg/kg</w:t>
            </w:r>
          </w:p>
        </w:tc>
        <w:tc>
          <w:tcPr>
            <w:tcW w:w="1002" w:type="dxa"/>
          </w:tcPr>
          <w:p>
            <w:pPr>
              <w:pStyle w:val="14"/>
              <w:spacing w:before="13" w:line="238" w:lineRule="exact"/>
              <w:ind w:left="190" w:right="182"/>
              <w:rPr>
                <w:rFonts w:ascii="Times New Roman"/>
                <w:sz w:val="21"/>
              </w:rPr>
            </w:pPr>
            <w:r>
              <w:rPr>
                <w:rFonts w:ascii="Times New Roman"/>
                <w:sz w:val="21"/>
              </w:rPr>
              <w:t>640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1" w:lineRule="exact"/>
              <w:ind w:left="116" w:right="108"/>
              <w:rPr>
                <w:sz w:val="21"/>
              </w:rPr>
            </w:pPr>
            <w:r>
              <w:rPr>
                <w:sz w:val="21"/>
              </w:rPr>
              <w:t>苯乙烯</w:t>
            </w:r>
          </w:p>
        </w:tc>
        <w:tc>
          <w:tcPr>
            <w:tcW w:w="2162" w:type="dxa"/>
          </w:tcPr>
          <w:p>
            <w:pPr>
              <w:pStyle w:val="14"/>
              <w:spacing w:before="14" w:line="237" w:lineRule="exact"/>
              <w:ind w:left="812"/>
              <w:jc w:val="left"/>
              <w:rPr>
                <w:rFonts w:ascii="Times New Roman"/>
                <w:sz w:val="21"/>
              </w:rPr>
            </w:pPr>
            <w:r>
              <w:rPr>
                <w:rFonts w:ascii="Times New Roman"/>
                <w:sz w:val="21"/>
              </w:rPr>
              <w:t>mg/kg</w:t>
            </w:r>
          </w:p>
        </w:tc>
        <w:tc>
          <w:tcPr>
            <w:tcW w:w="1002" w:type="dxa"/>
          </w:tcPr>
          <w:p>
            <w:pPr>
              <w:pStyle w:val="14"/>
              <w:spacing w:before="14" w:line="237" w:lineRule="exact"/>
              <w:ind w:right="279"/>
              <w:jc w:val="right"/>
              <w:rPr>
                <w:rFonts w:ascii="Times New Roman"/>
                <w:sz w:val="21"/>
              </w:rPr>
            </w:pPr>
            <w:r>
              <w:rPr>
                <w:rFonts w:ascii="Times New Roman"/>
                <w:w w:val="95"/>
                <w:sz w:val="21"/>
              </w:rPr>
              <w:t>1290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2" w:line="251" w:lineRule="exact"/>
              <w:ind w:left="116" w:right="108"/>
              <w:rPr>
                <w:sz w:val="21"/>
              </w:rPr>
            </w:pPr>
            <w:r>
              <w:rPr>
                <w:rFonts w:ascii="Times New Roman" w:eastAsia="Times New Roman"/>
                <w:sz w:val="21"/>
              </w:rPr>
              <w:t>1,1,2,2-</w:t>
            </w:r>
            <w:r>
              <w:rPr>
                <w:sz w:val="21"/>
              </w:rPr>
              <w:t>四氯乙烷</w:t>
            </w:r>
          </w:p>
        </w:tc>
        <w:tc>
          <w:tcPr>
            <w:tcW w:w="2162" w:type="dxa"/>
          </w:tcPr>
          <w:p>
            <w:pPr>
              <w:pStyle w:val="14"/>
              <w:spacing w:before="16" w:line="237" w:lineRule="exact"/>
              <w:ind w:left="812"/>
              <w:jc w:val="left"/>
              <w:rPr>
                <w:rFonts w:ascii="Times New Roman"/>
                <w:sz w:val="21"/>
              </w:rPr>
            </w:pPr>
            <w:r>
              <w:rPr>
                <w:rFonts w:ascii="Times New Roman"/>
                <w:sz w:val="21"/>
              </w:rPr>
              <w:t>mg/kg</w:t>
            </w:r>
          </w:p>
        </w:tc>
        <w:tc>
          <w:tcPr>
            <w:tcW w:w="1002" w:type="dxa"/>
          </w:tcPr>
          <w:p>
            <w:pPr>
              <w:pStyle w:val="14"/>
              <w:spacing w:before="16" w:line="237" w:lineRule="exact"/>
              <w:ind w:left="190" w:right="182"/>
              <w:rPr>
                <w:rFonts w:ascii="Times New Roman"/>
                <w:sz w:val="21"/>
              </w:rPr>
            </w:pPr>
            <w:r>
              <w:rPr>
                <w:rFonts w:ascii="Times New Roman"/>
                <w:sz w:val="21"/>
              </w:rPr>
              <w:t>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2" w:line="250" w:lineRule="exact"/>
              <w:ind w:left="114" w:right="108"/>
              <w:rPr>
                <w:sz w:val="21"/>
              </w:rPr>
            </w:pPr>
            <w:r>
              <w:rPr>
                <w:rFonts w:ascii="Times New Roman" w:eastAsia="Times New Roman"/>
                <w:sz w:val="21"/>
              </w:rPr>
              <w:t>1,2,3-</w:t>
            </w:r>
            <w:r>
              <w:rPr>
                <w:sz w:val="21"/>
              </w:rPr>
              <w:t>三氯丙烷</w:t>
            </w:r>
          </w:p>
        </w:tc>
        <w:tc>
          <w:tcPr>
            <w:tcW w:w="2162" w:type="dxa"/>
          </w:tcPr>
          <w:p>
            <w:pPr>
              <w:pStyle w:val="14"/>
              <w:spacing w:before="13" w:line="238" w:lineRule="exact"/>
              <w:ind w:left="812"/>
              <w:jc w:val="left"/>
              <w:rPr>
                <w:rFonts w:ascii="Times New Roman"/>
                <w:sz w:val="21"/>
              </w:rPr>
            </w:pPr>
            <w:r>
              <w:rPr>
                <w:rFonts w:ascii="Times New Roman"/>
                <w:sz w:val="21"/>
              </w:rPr>
              <w:t>mg/kg</w:t>
            </w:r>
          </w:p>
        </w:tc>
        <w:tc>
          <w:tcPr>
            <w:tcW w:w="1002" w:type="dxa"/>
          </w:tcPr>
          <w:p>
            <w:pPr>
              <w:pStyle w:val="14"/>
              <w:spacing w:before="13" w:line="238" w:lineRule="exact"/>
              <w:ind w:left="190" w:right="182"/>
              <w:rPr>
                <w:rFonts w:ascii="Times New Roman"/>
                <w:sz w:val="21"/>
              </w:rPr>
            </w:pPr>
            <w:r>
              <w:rPr>
                <w:rFonts w:ascii="Times New Roman"/>
                <w:sz w:val="21"/>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2" w:lineRule="exact"/>
              <w:ind w:left="116" w:right="108"/>
              <w:rPr>
                <w:sz w:val="21"/>
              </w:rPr>
            </w:pPr>
            <w:r>
              <w:rPr>
                <w:rFonts w:ascii="Times New Roman" w:eastAsia="Times New Roman"/>
                <w:sz w:val="21"/>
              </w:rPr>
              <w:t>1,2-</w:t>
            </w:r>
            <w:r>
              <w:rPr>
                <w:sz w:val="21"/>
              </w:rPr>
              <w:t>二氯苯</w:t>
            </w:r>
          </w:p>
        </w:tc>
        <w:tc>
          <w:tcPr>
            <w:tcW w:w="2162" w:type="dxa"/>
          </w:tcPr>
          <w:p>
            <w:pPr>
              <w:pStyle w:val="14"/>
              <w:spacing w:before="15" w:line="238" w:lineRule="exact"/>
              <w:ind w:left="812"/>
              <w:jc w:val="left"/>
              <w:rPr>
                <w:rFonts w:ascii="Times New Roman"/>
                <w:sz w:val="21"/>
              </w:rPr>
            </w:pPr>
            <w:r>
              <w:rPr>
                <w:rFonts w:ascii="Times New Roman"/>
                <w:sz w:val="21"/>
              </w:rPr>
              <w:t>mg/kg</w:t>
            </w:r>
          </w:p>
        </w:tc>
        <w:tc>
          <w:tcPr>
            <w:tcW w:w="1002" w:type="dxa"/>
          </w:tcPr>
          <w:p>
            <w:pPr>
              <w:pStyle w:val="14"/>
              <w:spacing w:before="15" w:line="238" w:lineRule="exact"/>
              <w:ind w:left="190" w:right="182"/>
              <w:rPr>
                <w:rFonts w:ascii="Times New Roman"/>
                <w:sz w:val="21"/>
              </w:rPr>
            </w:pPr>
            <w:r>
              <w:rPr>
                <w:rFonts w:ascii="Times New Roman"/>
                <w:sz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1" w:lineRule="exact"/>
              <w:ind w:left="116" w:right="108"/>
              <w:rPr>
                <w:sz w:val="21"/>
              </w:rPr>
            </w:pPr>
            <w:r>
              <w:rPr>
                <w:rFonts w:ascii="Times New Roman" w:eastAsia="Times New Roman"/>
                <w:sz w:val="21"/>
              </w:rPr>
              <w:t>1,4-</w:t>
            </w:r>
            <w:r>
              <w:rPr>
                <w:sz w:val="21"/>
              </w:rPr>
              <w:t>二氯苯</w:t>
            </w:r>
          </w:p>
        </w:tc>
        <w:tc>
          <w:tcPr>
            <w:tcW w:w="2162" w:type="dxa"/>
          </w:tcPr>
          <w:p>
            <w:pPr>
              <w:pStyle w:val="14"/>
              <w:spacing w:before="15" w:line="237" w:lineRule="exact"/>
              <w:ind w:left="812"/>
              <w:jc w:val="left"/>
              <w:rPr>
                <w:rFonts w:ascii="Times New Roman"/>
                <w:sz w:val="21"/>
              </w:rPr>
            </w:pPr>
            <w:r>
              <w:rPr>
                <w:rFonts w:ascii="Times New Roman"/>
                <w:sz w:val="21"/>
              </w:rPr>
              <w:t>mg/kg</w:t>
            </w:r>
          </w:p>
        </w:tc>
        <w:tc>
          <w:tcPr>
            <w:tcW w:w="1002" w:type="dxa"/>
          </w:tcPr>
          <w:p>
            <w:pPr>
              <w:pStyle w:val="14"/>
              <w:spacing w:before="15" w:line="237" w:lineRule="exact"/>
              <w:ind w:left="190" w:right="182"/>
              <w:rPr>
                <w:rFonts w:ascii="Times New Roman"/>
                <w:sz w:val="21"/>
              </w:rPr>
            </w:pPr>
            <w:r>
              <w:rPr>
                <w:rFonts w:ascii="Times New Roman"/>
                <w:sz w:val="21"/>
              </w:rPr>
              <w:t>560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2" w:lineRule="exact"/>
              <w:ind w:left="116" w:right="108"/>
              <w:rPr>
                <w:sz w:val="21"/>
              </w:rPr>
            </w:pPr>
            <w:r>
              <w:rPr>
                <w:sz w:val="21"/>
              </w:rPr>
              <w:t>氯甲烷</w:t>
            </w:r>
          </w:p>
        </w:tc>
        <w:tc>
          <w:tcPr>
            <w:tcW w:w="2162" w:type="dxa"/>
          </w:tcPr>
          <w:p>
            <w:pPr>
              <w:pStyle w:val="14"/>
              <w:spacing w:before="14" w:line="238" w:lineRule="exact"/>
              <w:ind w:left="812"/>
              <w:jc w:val="left"/>
              <w:rPr>
                <w:rFonts w:ascii="Times New Roman"/>
                <w:sz w:val="21"/>
              </w:rPr>
            </w:pPr>
            <w:r>
              <w:rPr>
                <w:rFonts w:ascii="Times New Roman"/>
                <w:sz w:val="21"/>
              </w:rPr>
              <w:t>mg/kg</w:t>
            </w:r>
          </w:p>
        </w:tc>
        <w:tc>
          <w:tcPr>
            <w:tcW w:w="1002" w:type="dxa"/>
          </w:tcPr>
          <w:p>
            <w:pPr>
              <w:pStyle w:val="14"/>
              <w:spacing w:before="14" w:line="238" w:lineRule="exact"/>
              <w:ind w:left="190" w:right="182"/>
              <w:rPr>
                <w:rFonts w:ascii="Times New Roman"/>
                <w:sz w:val="21"/>
              </w:rPr>
            </w:pPr>
            <w:r>
              <w:rPr>
                <w:rFonts w:ascii="Times New Roman"/>
                <w:sz w:val="21"/>
              </w:rPr>
              <w:t>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2" w:lineRule="exact"/>
              <w:ind w:left="6"/>
              <w:rPr>
                <w:sz w:val="21"/>
              </w:rPr>
            </w:pPr>
            <w:r>
              <w:rPr>
                <w:w w:val="99"/>
                <w:sz w:val="21"/>
              </w:rPr>
              <w:t>萘</w:t>
            </w:r>
          </w:p>
        </w:tc>
        <w:tc>
          <w:tcPr>
            <w:tcW w:w="2162" w:type="dxa"/>
          </w:tcPr>
          <w:p>
            <w:pPr>
              <w:pStyle w:val="14"/>
              <w:spacing w:before="15" w:line="238" w:lineRule="exact"/>
              <w:ind w:left="812"/>
              <w:jc w:val="left"/>
              <w:rPr>
                <w:rFonts w:ascii="Times New Roman"/>
                <w:sz w:val="21"/>
              </w:rPr>
            </w:pPr>
            <w:r>
              <w:rPr>
                <w:rFonts w:ascii="Times New Roman"/>
                <w:sz w:val="21"/>
              </w:rPr>
              <w:t>mg/kg</w:t>
            </w:r>
          </w:p>
        </w:tc>
        <w:tc>
          <w:tcPr>
            <w:tcW w:w="1002" w:type="dxa"/>
          </w:tcPr>
          <w:p>
            <w:pPr>
              <w:pStyle w:val="14"/>
              <w:spacing w:before="15" w:line="238" w:lineRule="exact"/>
              <w:ind w:left="190" w:right="182"/>
              <w:rPr>
                <w:rFonts w:ascii="Times New Roman"/>
                <w:sz w:val="21"/>
              </w:rPr>
            </w:pPr>
            <w:r>
              <w:rPr>
                <w:rFonts w:ascii="Times New Roman"/>
                <w:sz w:val="21"/>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1" w:lineRule="exact"/>
              <w:ind w:left="116" w:right="105"/>
              <w:rPr>
                <w:sz w:val="21"/>
              </w:rPr>
            </w:pPr>
            <w:r>
              <w:rPr>
                <w:sz w:val="21"/>
              </w:rPr>
              <w:t>苯并</w:t>
            </w:r>
            <w:r>
              <w:rPr>
                <w:rFonts w:ascii="Times New Roman" w:eastAsia="Times New Roman"/>
                <w:sz w:val="21"/>
              </w:rPr>
              <w:t>[a]</w:t>
            </w:r>
            <w:r>
              <w:rPr>
                <w:sz w:val="21"/>
              </w:rPr>
              <w:t>蒽</w:t>
            </w:r>
          </w:p>
        </w:tc>
        <w:tc>
          <w:tcPr>
            <w:tcW w:w="2162" w:type="dxa"/>
          </w:tcPr>
          <w:p>
            <w:pPr>
              <w:pStyle w:val="14"/>
              <w:spacing w:before="13" w:line="239" w:lineRule="exact"/>
              <w:ind w:left="812"/>
              <w:jc w:val="left"/>
              <w:rPr>
                <w:rFonts w:ascii="Times New Roman"/>
                <w:sz w:val="21"/>
              </w:rPr>
            </w:pPr>
            <w:r>
              <w:rPr>
                <w:rFonts w:ascii="Times New Roman"/>
                <w:sz w:val="21"/>
              </w:rPr>
              <w:t>mg/kg</w:t>
            </w:r>
          </w:p>
        </w:tc>
        <w:tc>
          <w:tcPr>
            <w:tcW w:w="1002" w:type="dxa"/>
          </w:tcPr>
          <w:p>
            <w:pPr>
              <w:pStyle w:val="14"/>
              <w:spacing w:before="13" w:line="239" w:lineRule="exact"/>
              <w:ind w:left="190" w:right="182"/>
              <w:rPr>
                <w:rFonts w:ascii="Times New Roman"/>
                <w:sz w:val="21"/>
              </w:rPr>
            </w:pPr>
            <w:r>
              <w:rPr>
                <w:rFonts w:ascii="Times New Roman"/>
                <w:sz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2" w:lineRule="exact"/>
              <w:ind w:left="6"/>
              <w:rPr>
                <w:sz w:val="21"/>
              </w:rPr>
            </w:pPr>
            <w:r>
              <w:rPr>
                <w:w w:val="99"/>
                <w:sz w:val="21"/>
              </w:rPr>
              <w:t>䓛</w:t>
            </w:r>
          </w:p>
        </w:tc>
        <w:tc>
          <w:tcPr>
            <w:tcW w:w="2162" w:type="dxa"/>
          </w:tcPr>
          <w:p>
            <w:pPr>
              <w:pStyle w:val="14"/>
              <w:spacing w:before="14" w:line="238" w:lineRule="exact"/>
              <w:ind w:left="812"/>
              <w:jc w:val="left"/>
              <w:rPr>
                <w:rFonts w:ascii="Times New Roman"/>
                <w:sz w:val="21"/>
              </w:rPr>
            </w:pPr>
            <w:r>
              <w:rPr>
                <w:rFonts w:ascii="Times New Roman"/>
                <w:sz w:val="21"/>
              </w:rPr>
              <w:t>mg/kg</w:t>
            </w:r>
          </w:p>
        </w:tc>
        <w:tc>
          <w:tcPr>
            <w:tcW w:w="1002" w:type="dxa"/>
          </w:tcPr>
          <w:p>
            <w:pPr>
              <w:pStyle w:val="14"/>
              <w:spacing w:before="14" w:line="238" w:lineRule="exact"/>
              <w:ind w:right="279"/>
              <w:jc w:val="right"/>
              <w:rPr>
                <w:rFonts w:ascii="Times New Roman"/>
                <w:sz w:val="21"/>
              </w:rPr>
            </w:pPr>
            <w:r>
              <w:rPr>
                <w:rFonts w:ascii="Times New Roman"/>
                <w:w w:val="95"/>
                <w:sz w:val="21"/>
              </w:rPr>
              <w:t>1293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2" w:lineRule="exact"/>
              <w:ind w:left="116" w:right="108"/>
              <w:rPr>
                <w:sz w:val="21"/>
              </w:rPr>
            </w:pPr>
            <w:r>
              <w:rPr>
                <w:sz w:val="21"/>
              </w:rPr>
              <w:t>苯并</w:t>
            </w:r>
            <w:r>
              <w:rPr>
                <w:rFonts w:ascii="Times New Roman" w:eastAsia="Times New Roman"/>
                <w:sz w:val="21"/>
              </w:rPr>
              <w:t>[b]</w:t>
            </w:r>
            <w:r>
              <w:rPr>
                <w:sz w:val="21"/>
              </w:rPr>
              <w:t>荧蒽</w:t>
            </w:r>
          </w:p>
        </w:tc>
        <w:tc>
          <w:tcPr>
            <w:tcW w:w="2162" w:type="dxa"/>
          </w:tcPr>
          <w:p>
            <w:pPr>
              <w:pStyle w:val="14"/>
              <w:spacing w:before="15" w:line="238" w:lineRule="exact"/>
              <w:ind w:left="812"/>
              <w:jc w:val="left"/>
              <w:rPr>
                <w:rFonts w:ascii="Times New Roman"/>
                <w:sz w:val="21"/>
              </w:rPr>
            </w:pPr>
            <w:r>
              <w:rPr>
                <w:rFonts w:ascii="Times New Roman"/>
                <w:sz w:val="21"/>
              </w:rPr>
              <w:t>mg/kg</w:t>
            </w:r>
          </w:p>
        </w:tc>
        <w:tc>
          <w:tcPr>
            <w:tcW w:w="1002" w:type="dxa"/>
          </w:tcPr>
          <w:p>
            <w:pPr>
              <w:pStyle w:val="14"/>
              <w:spacing w:before="15" w:line="238" w:lineRule="exact"/>
              <w:ind w:left="190" w:right="182"/>
              <w:rPr>
                <w:rFonts w:ascii="Times New Roman"/>
                <w:sz w:val="21"/>
              </w:rPr>
            </w:pPr>
            <w:r>
              <w:rPr>
                <w:rFonts w:ascii="Times New Roman"/>
                <w:sz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0" w:lineRule="exact"/>
              <w:ind w:left="116" w:right="108"/>
              <w:rPr>
                <w:sz w:val="21"/>
              </w:rPr>
            </w:pPr>
            <w:r>
              <w:rPr>
                <w:sz w:val="21"/>
              </w:rPr>
              <w:t>苯并</w:t>
            </w:r>
            <w:r>
              <w:rPr>
                <w:rFonts w:ascii="Times New Roman" w:eastAsia="Times New Roman"/>
                <w:sz w:val="21"/>
              </w:rPr>
              <w:t>[k]</w:t>
            </w:r>
            <w:r>
              <w:rPr>
                <w:sz w:val="21"/>
              </w:rPr>
              <w:t>荧蒽</w:t>
            </w:r>
          </w:p>
        </w:tc>
        <w:tc>
          <w:tcPr>
            <w:tcW w:w="2162" w:type="dxa"/>
          </w:tcPr>
          <w:p>
            <w:pPr>
              <w:pStyle w:val="14"/>
              <w:spacing w:before="13" w:line="239" w:lineRule="exact"/>
              <w:ind w:left="812"/>
              <w:jc w:val="left"/>
              <w:rPr>
                <w:rFonts w:ascii="Times New Roman"/>
                <w:sz w:val="21"/>
              </w:rPr>
            </w:pPr>
            <w:r>
              <w:rPr>
                <w:rFonts w:ascii="Times New Roman"/>
                <w:sz w:val="21"/>
              </w:rPr>
              <w:t>mg/kg</w:t>
            </w:r>
          </w:p>
        </w:tc>
        <w:tc>
          <w:tcPr>
            <w:tcW w:w="1002" w:type="dxa"/>
          </w:tcPr>
          <w:p>
            <w:pPr>
              <w:pStyle w:val="14"/>
              <w:spacing w:before="13" w:line="239" w:lineRule="exact"/>
              <w:ind w:left="190" w:right="182"/>
              <w:rPr>
                <w:rFonts w:ascii="Times New Roman"/>
                <w:sz w:val="21"/>
              </w:rPr>
            </w:pPr>
            <w:r>
              <w:rPr>
                <w:rFonts w:ascii="Times New Roman"/>
                <w:sz w:val="21"/>
              </w:rPr>
              <w:t>151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2" w:lineRule="exact"/>
              <w:ind w:left="116" w:right="105"/>
              <w:rPr>
                <w:sz w:val="21"/>
              </w:rPr>
            </w:pPr>
            <w:r>
              <w:rPr>
                <w:sz w:val="21"/>
              </w:rPr>
              <w:t>苯并</w:t>
            </w:r>
            <w:r>
              <w:rPr>
                <w:rFonts w:ascii="Times New Roman" w:eastAsia="Times New Roman"/>
                <w:sz w:val="21"/>
              </w:rPr>
              <w:t>[a]</w:t>
            </w:r>
            <w:r>
              <w:rPr>
                <w:sz w:val="21"/>
              </w:rPr>
              <w:t>芘</w:t>
            </w:r>
          </w:p>
        </w:tc>
        <w:tc>
          <w:tcPr>
            <w:tcW w:w="2162" w:type="dxa"/>
          </w:tcPr>
          <w:p>
            <w:pPr>
              <w:pStyle w:val="14"/>
              <w:spacing w:before="14" w:line="238" w:lineRule="exact"/>
              <w:ind w:left="812"/>
              <w:jc w:val="left"/>
              <w:rPr>
                <w:rFonts w:ascii="Times New Roman"/>
                <w:sz w:val="21"/>
              </w:rPr>
            </w:pPr>
            <w:r>
              <w:rPr>
                <w:rFonts w:ascii="Times New Roman"/>
                <w:sz w:val="21"/>
              </w:rPr>
              <w:t>mg/kg</w:t>
            </w:r>
          </w:p>
        </w:tc>
        <w:tc>
          <w:tcPr>
            <w:tcW w:w="1002" w:type="dxa"/>
          </w:tcPr>
          <w:p>
            <w:pPr>
              <w:pStyle w:val="14"/>
              <w:spacing w:before="14" w:line="238" w:lineRule="exact"/>
              <w:ind w:left="190" w:right="182"/>
              <w:rPr>
                <w:rFonts w:ascii="Times New Roman"/>
                <w:sz w:val="21"/>
              </w:rPr>
            </w:pPr>
            <w:r>
              <w:rPr>
                <w:rFonts w:ascii="Times New Roman"/>
                <w:sz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1" w:lineRule="exact"/>
              <w:ind w:left="116" w:right="105"/>
              <w:rPr>
                <w:sz w:val="21"/>
              </w:rPr>
            </w:pPr>
            <w:r>
              <w:rPr>
                <w:sz w:val="21"/>
              </w:rPr>
              <w:t>茚并</w:t>
            </w:r>
            <w:r>
              <w:rPr>
                <w:rFonts w:ascii="Times New Roman" w:eastAsia="Times New Roman"/>
                <w:sz w:val="21"/>
              </w:rPr>
              <w:t>[1,2,3-cd]</w:t>
            </w:r>
            <w:r>
              <w:rPr>
                <w:sz w:val="21"/>
              </w:rPr>
              <w:t>芘</w:t>
            </w:r>
          </w:p>
        </w:tc>
        <w:tc>
          <w:tcPr>
            <w:tcW w:w="2162" w:type="dxa"/>
          </w:tcPr>
          <w:p>
            <w:pPr>
              <w:pStyle w:val="14"/>
              <w:spacing w:before="15" w:line="237" w:lineRule="exact"/>
              <w:ind w:left="812"/>
              <w:jc w:val="left"/>
              <w:rPr>
                <w:rFonts w:ascii="Times New Roman"/>
                <w:sz w:val="21"/>
              </w:rPr>
            </w:pPr>
            <w:r>
              <w:rPr>
                <w:rFonts w:ascii="Times New Roman"/>
                <w:sz w:val="21"/>
              </w:rPr>
              <w:t>mg/kg</w:t>
            </w:r>
          </w:p>
        </w:tc>
        <w:tc>
          <w:tcPr>
            <w:tcW w:w="1002" w:type="dxa"/>
          </w:tcPr>
          <w:p>
            <w:pPr>
              <w:pStyle w:val="14"/>
              <w:spacing w:before="15" w:line="237" w:lineRule="exact"/>
              <w:ind w:left="190" w:right="182"/>
              <w:rPr>
                <w:rFonts w:ascii="Times New Roman"/>
                <w:sz w:val="21"/>
              </w:rPr>
            </w:pPr>
            <w:r>
              <w:rPr>
                <w:rFonts w:ascii="Times New Roman"/>
                <w:sz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0" w:lineRule="exact"/>
              <w:ind w:left="116" w:right="108"/>
              <w:rPr>
                <w:sz w:val="21"/>
              </w:rPr>
            </w:pPr>
            <w:r>
              <w:rPr>
                <w:sz w:val="21"/>
              </w:rPr>
              <w:t>二苯并</w:t>
            </w:r>
            <w:r>
              <w:rPr>
                <w:rFonts w:ascii="Times New Roman" w:eastAsia="Times New Roman"/>
                <w:sz w:val="21"/>
              </w:rPr>
              <w:t>[a,h]</w:t>
            </w:r>
            <w:r>
              <w:rPr>
                <w:sz w:val="21"/>
              </w:rPr>
              <w:t>蒽</w:t>
            </w:r>
          </w:p>
        </w:tc>
        <w:tc>
          <w:tcPr>
            <w:tcW w:w="2162" w:type="dxa"/>
          </w:tcPr>
          <w:p>
            <w:pPr>
              <w:pStyle w:val="14"/>
              <w:spacing w:before="13" w:line="239" w:lineRule="exact"/>
              <w:ind w:left="812"/>
              <w:jc w:val="left"/>
              <w:rPr>
                <w:rFonts w:ascii="Times New Roman"/>
                <w:sz w:val="21"/>
              </w:rPr>
            </w:pPr>
            <w:r>
              <w:rPr>
                <w:rFonts w:ascii="Times New Roman"/>
                <w:sz w:val="21"/>
              </w:rPr>
              <w:t>mg/kg</w:t>
            </w:r>
          </w:p>
        </w:tc>
        <w:tc>
          <w:tcPr>
            <w:tcW w:w="1002" w:type="dxa"/>
          </w:tcPr>
          <w:p>
            <w:pPr>
              <w:pStyle w:val="14"/>
              <w:spacing w:before="13" w:line="239" w:lineRule="exact"/>
              <w:ind w:left="190" w:right="182"/>
              <w:rPr>
                <w:rFonts w:ascii="Times New Roman"/>
                <w:sz w:val="21"/>
              </w:rPr>
            </w:pPr>
            <w:r>
              <w:rPr>
                <w:rFonts w:ascii="Times New Roman"/>
                <w:sz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1" w:lineRule="exact"/>
              <w:ind w:left="114" w:right="108"/>
              <w:rPr>
                <w:sz w:val="21"/>
              </w:rPr>
            </w:pPr>
            <w:r>
              <w:rPr>
                <w:rFonts w:ascii="Times New Roman" w:eastAsia="Times New Roman"/>
                <w:sz w:val="21"/>
              </w:rPr>
              <w:t>2-</w:t>
            </w:r>
            <w:r>
              <w:rPr>
                <w:sz w:val="21"/>
              </w:rPr>
              <w:t>氯酚</w:t>
            </w:r>
          </w:p>
        </w:tc>
        <w:tc>
          <w:tcPr>
            <w:tcW w:w="2162" w:type="dxa"/>
          </w:tcPr>
          <w:p>
            <w:pPr>
              <w:pStyle w:val="14"/>
              <w:spacing w:before="14" w:line="237" w:lineRule="exact"/>
              <w:ind w:left="812"/>
              <w:jc w:val="left"/>
              <w:rPr>
                <w:rFonts w:ascii="Times New Roman"/>
                <w:sz w:val="21"/>
              </w:rPr>
            </w:pPr>
            <w:r>
              <w:rPr>
                <w:rFonts w:ascii="Times New Roman"/>
                <w:sz w:val="21"/>
              </w:rPr>
              <w:t>mg/kg</w:t>
            </w:r>
          </w:p>
        </w:tc>
        <w:tc>
          <w:tcPr>
            <w:tcW w:w="1002" w:type="dxa"/>
          </w:tcPr>
          <w:p>
            <w:pPr>
              <w:pStyle w:val="14"/>
              <w:spacing w:before="14" w:line="237" w:lineRule="exact"/>
              <w:ind w:right="279"/>
              <w:jc w:val="right"/>
              <w:rPr>
                <w:rFonts w:ascii="Times New Roman"/>
                <w:sz w:val="21"/>
              </w:rPr>
            </w:pPr>
            <w:r>
              <w:rPr>
                <w:rFonts w:ascii="Times New Roman"/>
                <w:w w:val="95"/>
                <w:sz w:val="21"/>
              </w:rPr>
              <w:t>2256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2" w:line="251" w:lineRule="exact"/>
              <w:ind w:left="116" w:right="108"/>
              <w:rPr>
                <w:sz w:val="21"/>
              </w:rPr>
            </w:pPr>
            <w:r>
              <w:rPr>
                <w:sz w:val="21"/>
              </w:rPr>
              <w:t>硝基苯</w:t>
            </w:r>
          </w:p>
        </w:tc>
        <w:tc>
          <w:tcPr>
            <w:tcW w:w="2162" w:type="dxa"/>
          </w:tcPr>
          <w:p>
            <w:pPr>
              <w:pStyle w:val="14"/>
              <w:spacing w:before="15" w:line="237" w:lineRule="exact"/>
              <w:ind w:left="812"/>
              <w:jc w:val="left"/>
              <w:rPr>
                <w:rFonts w:ascii="Times New Roman"/>
                <w:sz w:val="21"/>
              </w:rPr>
            </w:pPr>
            <w:r>
              <w:rPr>
                <w:rFonts w:ascii="Times New Roman"/>
                <w:sz w:val="21"/>
              </w:rPr>
              <w:t>mg/kg</w:t>
            </w:r>
          </w:p>
        </w:tc>
        <w:tc>
          <w:tcPr>
            <w:tcW w:w="1002" w:type="dxa"/>
          </w:tcPr>
          <w:p>
            <w:pPr>
              <w:pStyle w:val="14"/>
              <w:spacing w:before="15" w:line="237" w:lineRule="exact"/>
              <w:ind w:right="252"/>
              <w:jc w:val="right"/>
              <w:rPr>
                <w:rFonts w:ascii="Times New Roman"/>
                <w:sz w:val="21"/>
              </w:rPr>
            </w:pPr>
            <w:r>
              <w:rPr>
                <w:rFonts w:ascii="Times New Roman"/>
                <w:w w:val="95"/>
                <w:sz w:val="21"/>
              </w:rPr>
              <w:t>0.076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2" w:lineRule="exact"/>
              <w:ind w:left="111" w:right="108"/>
              <w:rPr>
                <w:sz w:val="21"/>
              </w:rPr>
            </w:pPr>
            <w:r>
              <w:rPr>
                <w:sz w:val="21"/>
              </w:rPr>
              <w:t>苯胺</w:t>
            </w:r>
          </w:p>
        </w:tc>
        <w:tc>
          <w:tcPr>
            <w:tcW w:w="2162" w:type="dxa"/>
          </w:tcPr>
          <w:p>
            <w:pPr>
              <w:pStyle w:val="14"/>
              <w:spacing w:before="13" w:line="238" w:lineRule="exact"/>
              <w:ind w:left="812"/>
              <w:jc w:val="left"/>
              <w:rPr>
                <w:rFonts w:ascii="Times New Roman"/>
                <w:sz w:val="21"/>
              </w:rPr>
            </w:pPr>
            <w:r>
              <w:rPr>
                <w:rFonts w:ascii="Times New Roman"/>
                <w:sz w:val="21"/>
              </w:rPr>
              <w:t>mg/kg</w:t>
            </w:r>
          </w:p>
        </w:tc>
        <w:tc>
          <w:tcPr>
            <w:tcW w:w="1002" w:type="dxa"/>
          </w:tcPr>
          <w:p>
            <w:pPr>
              <w:pStyle w:val="14"/>
              <w:spacing w:before="13" w:line="238" w:lineRule="exact"/>
              <w:ind w:left="315"/>
              <w:jc w:val="left"/>
              <w:rPr>
                <w:rFonts w:ascii="Times New Roman"/>
                <w:sz w:val="21"/>
              </w:rPr>
            </w:pPr>
            <w:r>
              <w:rPr>
                <w:rFonts w:ascii="Times New Roman"/>
                <w:sz w:val="21"/>
              </w:rPr>
              <w:t>0.26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ind w:left="114" w:right="108"/>
              <w:rPr>
                <w:sz w:val="21"/>
              </w:rPr>
            </w:pPr>
            <w:r>
              <w:rPr>
                <w:sz w:val="21"/>
              </w:rPr>
              <w:t>石油烃（</w:t>
            </w:r>
            <w:r>
              <w:rPr>
                <w:rFonts w:ascii="Times New Roman" w:eastAsia="Times New Roman"/>
                <w:sz w:val="21"/>
              </w:rPr>
              <w:t>C10</w:t>
            </w:r>
            <w:r>
              <w:rPr>
                <w:sz w:val="21"/>
              </w:rPr>
              <w:t>～</w:t>
            </w:r>
          </w:p>
          <w:p>
            <w:pPr>
              <w:pStyle w:val="14"/>
              <w:spacing w:before="3" w:line="253" w:lineRule="exact"/>
              <w:ind w:left="114" w:right="108"/>
              <w:rPr>
                <w:sz w:val="21"/>
              </w:rPr>
            </w:pPr>
            <w:r>
              <w:rPr>
                <w:rFonts w:ascii="Times New Roman" w:eastAsia="Times New Roman"/>
                <w:sz w:val="21"/>
              </w:rPr>
              <w:t>C40</w:t>
            </w:r>
            <w:r>
              <w:rPr>
                <w:sz w:val="21"/>
              </w:rPr>
              <w:t>）</w:t>
            </w:r>
          </w:p>
        </w:tc>
        <w:tc>
          <w:tcPr>
            <w:tcW w:w="2162" w:type="dxa"/>
          </w:tcPr>
          <w:p>
            <w:pPr>
              <w:pStyle w:val="14"/>
              <w:spacing w:before="149"/>
              <w:ind w:left="812"/>
              <w:jc w:val="left"/>
              <w:rPr>
                <w:rFonts w:ascii="Times New Roman"/>
                <w:sz w:val="21"/>
              </w:rPr>
            </w:pPr>
            <w:r>
              <w:rPr>
                <w:rFonts w:ascii="Times New Roman"/>
                <w:sz w:val="21"/>
              </w:rPr>
              <w:t>mg/kg</w:t>
            </w:r>
          </w:p>
        </w:tc>
        <w:tc>
          <w:tcPr>
            <w:tcW w:w="1002" w:type="dxa"/>
          </w:tcPr>
          <w:p>
            <w:pPr>
              <w:pStyle w:val="14"/>
              <w:spacing w:before="149"/>
              <w:ind w:right="279"/>
              <w:jc w:val="right"/>
              <w:rPr>
                <w:rFonts w:ascii="Times New Roman"/>
                <w:sz w:val="21"/>
              </w:rPr>
            </w:pPr>
            <w:r>
              <w:rPr>
                <w:rFonts w:ascii="Times New Roman"/>
                <w:w w:val="95"/>
                <w:sz w:val="21"/>
              </w:rPr>
              <w:t>4500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75"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166" w:line="242" w:lineRule="auto"/>
              <w:ind w:left="126" w:right="118"/>
              <w:jc w:val="both"/>
              <w:rPr>
                <w:sz w:val="21"/>
              </w:rPr>
            </w:pPr>
            <w:r>
              <w:rPr>
                <w:sz w:val="21"/>
              </w:rPr>
              <w:t>矸石山淋溶液</w:t>
            </w:r>
          </w:p>
        </w:tc>
        <w:tc>
          <w:tcPr>
            <w:tcW w:w="2920"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8"/>
              <w:jc w:val="left"/>
              <w:rPr>
                <w:b/>
                <w:sz w:val="23"/>
              </w:rPr>
            </w:pPr>
          </w:p>
          <w:p>
            <w:pPr>
              <w:pStyle w:val="14"/>
              <w:spacing w:before="1"/>
              <w:ind w:left="86" w:right="53"/>
              <w:rPr>
                <w:sz w:val="21"/>
              </w:rPr>
            </w:pPr>
            <w:r>
              <w:rPr>
                <w:sz w:val="21"/>
              </w:rPr>
              <w:t>《煤炭工业污染物排放标准》</w:t>
            </w:r>
          </w:p>
          <w:p>
            <w:pPr>
              <w:pStyle w:val="14"/>
              <w:spacing w:before="2"/>
              <w:ind w:left="121" w:right="112"/>
              <w:rPr>
                <w:sz w:val="21"/>
              </w:rPr>
            </w:pPr>
            <w:r>
              <w:rPr>
                <w:sz w:val="21"/>
              </w:rPr>
              <w:t>（</w:t>
            </w:r>
            <w:r>
              <w:rPr>
                <w:rFonts w:ascii="Times New Roman" w:eastAsia="Times New Roman"/>
                <w:sz w:val="21"/>
              </w:rPr>
              <w:t>GB20426-2006</w:t>
            </w:r>
            <w:r>
              <w:rPr>
                <w:sz w:val="21"/>
              </w:rPr>
              <w:t>）</w:t>
            </w:r>
          </w:p>
        </w:tc>
        <w:tc>
          <w:tcPr>
            <w:tcW w:w="1763" w:type="dxa"/>
          </w:tcPr>
          <w:p>
            <w:pPr>
              <w:pStyle w:val="14"/>
              <w:spacing w:before="14" w:line="238" w:lineRule="exact"/>
              <w:ind w:left="116" w:right="106"/>
              <w:rPr>
                <w:rFonts w:ascii="Times New Roman"/>
                <w:sz w:val="21"/>
              </w:rPr>
            </w:pPr>
            <w:r>
              <w:rPr>
                <w:rFonts w:ascii="Times New Roman"/>
                <w:sz w:val="21"/>
              </w:rPr>
              <w:t>pH</w:t>
            </w:r>
          </w:p>
        </w:tc>
        <w:tc>
          <w:tcPr>
            <w:tcW w:w="2162" w:type="dxa"/>
          </w:tcPr>
          <w:p>
            <w:pPr>
              <w:pStyle w:val="14"/>
              <w:spacing w:line="252" w:lineRule="exact"/>
              <w:ind w:left="766"/>
              <w:jc w:val="left"/>
              <w:rPr>
                <w:sz w:val="21"/>
              </w:rPr>
            </w:pPr>
            <w:r>
              <w:rPr>
                <w:sz w:val="21"/>
              </w:rPr>
              <w:t>无量纲</w:t>
            </w:r>
          </w:p>
        </w:tc>
        <w:tc>
          <w:tcPr>
            <w:tcW w:w="1002" w:type="dxa"/>
          </w:tcPr>
          <w:p>
            <w:pPr>
              <w:pStyle w:val="14"/>
              <w:spacing w:before="14" w:line="238" w:lineRule="exact"/>
              <w:ind w:left="339"/>
              <w:jc w:val="left"/>
              <w:rPr>
                <w:rFonts w:ascii="Times New Roman"/>
                <w:sz w:val="21"/>
              </w:rPr>
            </w:pPr>
            <w:r>
              <w:rPr>
                <w:rFonts w:ascii="Times New Roman"/>
                <w:sz w:val="21"/>
              </w:rPr>
              <w:t>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1" w:lineRule="exact"/>
              <w:ind w:left="111" w:right="108"/>
              <w:rPr>
                <w:sz w:val="21"/>
              </w:rPr>
            </w:pPr>
            <w:r>
              <w:rPr>
                <w:sz w:val="21"/>
              </w:rPr>
              <w:t>总汞</w:t>
            </w:r>
          </w:p>
        </w:tc>
        <w:tc>
          <w:tcPr>
            <w:tcW w:w="2162" w:type="dxa"/>
          </w:tcPr>
          <w:p>
            <w:pPr>
              <w:pStyle w:val="14"/>
              <w:spacing w:before="13" w:line="239" w:lineRule="exact"/>
              <w:ind w:left="852"/>
              <w:jc w:val="left"/>
              <w:rPr>
                <w:rFonts w:ascii="Times New Roman"/>
                <w:sz w:val="21"/>
              </w:rPr>
            </w:pPr>
            <w:r>
              <w:rPr>
                <w:rFonts w:ascii="Times New Roman"/>
                <w:sz w:val="21"/>
              </w:rPr>
              <w:t>mg/L</w:t>
            </w:r>
          </w:p>
        </w:tc>
        <w:tc>
          <w:tcPr>
            <w:tcW w:w="1002" w:type="dxa"/>
          </w:tcPr>
          <w:p>
            <w:pPr>
              <w:pStyle w:val="14"/>
              <w:spacing w:before="15" w:line="237" w:lineRule="exact"/>
              <w:ind w:left="315"/>
              <w:jc w:val="left"/>
              <w:rPr>
                <w:rFonts w:ascii="Times New Roman"/>
                <w:sz w:val="21"/>
              </w:rPr>
            </w:pPr>
            <w:r>
              <w:rPr>
                <w:rFonts w:ascii="Times New Roman"/>
                <w:sz w:val="21"/>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3" w:lineRule="exact"/>
              <w:ind w:left="111" w:right="108"/>
              <w:rPr>
                <w:sz w:val="21"/>
              </w:rPr>
            </w:pPr>
            <w:r>
              <w:rPr>
                <w:sz w:val="21"/>
              </w:rPr>
              <w:t>总镉</w:t>
            </w:r>
          </w:p>
        </w:tc>
        <w:tc>
          <w:tcPr>
            <w:tcW w:w="2162" w:type="dxa"/>
          </w:tcPr>
          <w:p>
            <w:pPr>
              <w:pStyle w:val="14"/>
              <w:spacing w:before="11" w:line="241" w:lineRule="exact"/>
              <w:ind w:left="852"/>
              <w:jc w:val="left"/>
              <w:rPr>
                <w:rFonts w:ascii="Times New Roman"/>
                <w:sz w:val="21"/>
              </w:rPr>
            </w:pPr>
            <w:r>
              <w:rPr>
                <w:rFonts w:ascii="Times New Roman"/>
                <w:sz w:val="21"/>
              </w:rPr>
              <w:t>mg/L</w:t>
            </w:r>
          </w:p>
        </w:tc>
        <w:tc>
          <w:tcPr>
            <w:tcW w:w="1002" w:type="dxa"/>
          </w:tcPr>
          <w:p>
            <w:pPr>
              <w:pStyle w:val="14"/>
              <w:spacing w:before="14" w:line="239" w:lineRule="exact"/>
              <w:ind w:left="190" w:right="182"/>
              <w:rPr>
                <w:rFonts w:ascii="Times New Roman"/>
                <w:sz w:val="21"/>
              </w:rPr>
            </w:pPr>
            <w:r>
              <w:rPr>
                <w:rFonts w:ascii="Times New Roman"/>
                <w:sz w:val="21"/>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2" w:lineRule="exact"/>
              <w:ind w:left="111" w:right="108"/>
              <w:rPr>
                <w:sz w:val="21"/>
              </w:rPr>
            </w:pPr>
            <w:r>
              <w:rPr>
                <w:sz w:val="21"/>
              </w:rPr>
              <w:t>总铬</w:t>
            </w:r>
          </w:p>
        </w:tc>
        <w:tc>
          <w:tcPr>
            <w:tcW w:w="2162" w:type="dxa"/>
          </w:tcPr>
          <w:p>
            <w:pPr>
              <w:pStyle w:val="14"/>
              <w:spacing w:before="12" w:line="240" w:lineRule="exact"/>
              <w:ind w:left="852"/>
              <w:jc w:val="left"/>
              <w:rPr>
                <w:rFonts w:ascii="Times New Roman"/>
                <w:sz w:val="21"/>
              </w:rPr>
            </w:pPr>
            <w:r>
              <w:rPr>
                <w:rFonts w:ascii="Times New Roman"/>
                <w:sz w:val="21"/>
              </w:rPr>
              <w:t>mg/L</w:t>
            </w:r>
          </w:p>
        </w:tc>
        <w:tc>
          <w:tcPr>
            <w:tcW w:w="1002" w:type="dxa"/>
          </w:tcPr>
          <w:p>
            <w:pPr>
              <w:pStyle w:val="14"/>
              <w:spacing w:before="14" w:line="238" w:lineRule="exact"/>
              <w:ind w:left="190" w:right="182"/>
              <w:rPr>
                <w:rFonts w:ascii="Times New Roman"/>
                <w:sz w:val="21"/>
              </w:rPr>
            </w:pPr>
            <w:r>
              <w:rPr>
                <w:rFonts w:ascii="Times New Roman"/>
                <w:sz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0" w:lineRule="exact"/>
              <w:ind w:left="116" w:right="108"/>
              <w:rPr>
                <w:sz w:val="21"/>
              </w:rPr>
            </w:pPr>
            <w:r>
              <w:rPr>
                <w:sz w:val="21"/>
              </w:rPr>
              <w:t>六价铬</w:t>
            </w:r>
          </w:p>
        </w:tc>
        <w:tc>
          <w:tcPr>
            <w:tcW w:w="2162" w:type="dxa"/>
          </w:tcPr>
          <w:p>
            <w:pPr>
              <w:pStyle w:val="14"/>
              <w:spacing w:before="13" w:line="239" w:lineRule="exact"/>
              <w:ind w:left="852"/>
              <w:jc w:val="left"/>
              <w:rPr>
                <w:rFonts w:ascii="Times New Roman"/>
                <w:sz w:val="21"/>
              </w:rPr>
            </w:pPr>
            <w:r>
              <w:rPr>
                <w:rFonts w:ascii="Times New Roman"/>
                <w:sz w:val="21"/>
              </w:rPr>
              <w:t>mg/L</w:t>
            </w:r>
          </w:p>
        </w:tc>
        <w:tc>
          <w:tcPr>
            <w:tcW w:w="1002" w:type="dxa"/>
          </w:tcPr>
          <w:p>
            <w:pPr>
              <w:pStyle w:val="14"/>
              <w:spacing w:before="15" w:line="236" w:lineRule="exact"/>
              <w:ind w:left="190" w:right="182"/>
              <w:rPr>
                <w:rFonts w:ascii="Times New Roman"/>
                <w:sz w:val="21"/>
              </w:rPr>
            </w:pPr>
            <w:r>
              <w:rPr>
                <w:rFonts w:ascii="Times New Roman"/>
                <w:sz w:val="21"/>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3" w:lineRule="exact"/>
              <w:ind w:left="114" w:right="108"/>
              <w:rPr>
                <w:sz w:val="21"/>
              </w:rPr>
            </w:pPr>
            <w:r>
              <w:rPr>
                <w:sz w:val="21"/>
              </w:rPr>
              <w:t>总铅</w:t>
            </w:r>
          </w:p>
        </w:tc>
        <w:tc>
          <w:tcPr>
            <w:tcW w:w="2162" w:type="dxa"/>
          </w:tcPr>
          <w:p>
            <w:pPr>
              <w:pStyle w:val="14"/>
              <w:spacing w:before="12" w:line="241" w:lineRule="exact"/>
              <w:ind w:left="852"/>
              <w:jc w:val="left"/>
              <w:rPr>
                <w:rFonts w:ascii="Times New Roman"/>
                <w:sz w:val="21"/>
              </w:rPr>
            </w:pPr>
            <w:r>
              <w:rPr>
                <w:rFonts w:ascii="Times New Roman"/>
                <w:sz w:val="21"/>
              </w:rPr>
              <w:t>mg/L</w:t>
            </w:r>
          </w:p>
        </w:tc>
        <w:tc>
          <w:tcPr>
            <w:tcW w:w="1002" w:type="dxa"/>
          </w:tcPr>
          <w:p>
            <w:pPr>
              <w:pStyle w:val="14"/>
              <w:spacing w:before="14" w:line="239" w:lineRule="exact"/>
              <w:ind w:left="190" w:right="182"/>
              <w:rPr>
                <w:rFonts w:ascii="Times New Roman"/>
                <w:sz w:val="21"/>
              </w:rPr>
            </w:pPr>
            <w:r>
              <w:rPr>
                <w:rFonts w:ascii="Times New Roman"/>
                <w:sz w:val="21"/>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1" w:lineRule="exact"/>
              <w:ind w:left="111" w:right="108"/>
              <w:rPr>
                <w:sz w:val="21"/>
              </w:rPr>
            </w:pPr>
            <w:r>
              <w:rPr>
                <w:sz w:val="21"/>
              </w:rPr>
              <w:t>总砷</w:t>
            </w:r>
          </w:p>
        </w:tc>
        <w:tc>
          <w:tcPr>
            <w:tcW w:w="2162" w:type="dxa"/>
          </w:tcPr>
          <w:p>
            <w:pPr>
              <w:pStyle w:val="14"/>
              <w:spacing w:before="12" w:line="240" w:lineRule="exact"/>
              <w:ind w:left="852"/>
              <w:jc w:val="left"/>
              <w:rPr>
                <w:rFonts w:ascii="Times New Roman"/>
                <w:sz w:val="21"/>
              </w:rPr>
            </w:pPr>
            <w:r>
              <w:rPr>
                <w:rFonts w:ascii="Times New Roman"/>
                <w:sz w:val="21"/>
              </w:rPr>
              <w:t>mg/L</w:t>
            </w:r>
          </w:p>
        </w:tc>
        <w:tc>
          <w:tcPr>
            <w:tcW w:w="1002" w:type="dxa"/>
          </w:tcPr>
          <w:p>
            <w:pPr>
              <w:pStyle w:val="14"/>
              <w:spacing w:before="14" w:line="237" w:lineRule="exact"/>
              <w:ind w:left="190" w:right="182"/>
              <w:rPr>
                <w:rFonts w:ascii="Times New Roman"/>
                <w:sz w:val="21"/>
              </w:rPr>
            </w:pPr>
            <w:r>
              <w:rPr>
                <w:rFonts w:ascii="Times New Roman"/>
                <w:sz w:val="21"/>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0" w:lineRule="exact"/>
              <w:ind w:left="111" w:right="108"/>
              <w:rPr>
                <w:sz w:val="21"/>
              </w:rPr>
            </w:pPr>
            <w:r>
              <w:rPr>
                <w:sz w:val="21"/>
              </w:rPr>
              <w:t>总锌</w:t>
            </w:r>
          </w:p>
        </w:tc>
        <w:tc>
          <w:tcPr>
            <w:tcW w:w="2162" w:type="dxa"/>
          </w:tcPr>
          <w:p>
            <w:pPr>
              <w:pStyle w:val="14"/>
              <w:spacing w:before="11" w:line="241" w:lineRule="exact"/>
              <w:ind w:left="852"/>
              <w:jc w:val="left"/>
              <w:rPr>
                <w:rFonts w:ascii="Times New Roman"/>
                <w:sz w:val="21"/>
              </w:rPr>
            </w:pPr>
            <w:r>
              <w:rPr>
                <w:rFonts w:ascii="Times New Roman"/>
                <w:sz w:val="21"/>
              </w:rPr>
              <w:t>mg/L</w:t>
            </w:r>
          </w:p>
        </w:tc>
        <w:tc>
          <w:tcPr>
            <w:tcW w:w="1002" w:type="dxa"/>
          </w:tcPr>
          <w:p>
            <w:pPr>
              <w:pStyle w:val="14"/>
              <w:spacing w:before="15" w:line="236" w:lineRule="exact"/>
              <w:ind w:left="190" w:right="182"/>
              <w:rPr>
                <w:rFonts w:ascii="Times New Roman"/>
                <w:sz w:val="21"/>
              </w:rPr>
            </w:pPr>
            <w:r>
              <w:rPr>
                <w:rFonts w:ascii="Times New Roman"/>
                <w:sz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2" w:lineRule="exact"/>
              <w:ind w:left="116" w:right="108"/>
              <w:rPr>
                <w:sz w:val="21"/>
              </w:rPr>
            </w:pPr>
            <w:r>
              <w:rPr>
                <w:sz w:val="21"/>
              </w:rPr>
              <w:t>氟化物</w:t>
            </w:r>
          </w:p>
        </w:tc>
        <w:tc>
          <w:tcPr>
            <w:tcW w:w="2162" w:type="dxa"/>
          </w:tcPr>
          <w:p>
            <w:pPr>
              <w:pStyle w:val="14"/>
              <w:spacing w:before="12" w:line="241" w:lineRule="exact"/>
              <w:ind w:left="852"/>
              <w:jc w:val="left"/>
              <w:rPr>
                <w:rFonts w:ascii="Times New Roman"/>
                <w:sz w:val="21"/>
              </w:rPr>
            </w:pPr>
            <w:r>
              <w:rPr>
                <w:rFonts w:ascii="Times New Roman"/>
                <w:sz w:val="21"/>
              </w:rPr>
              <w:t>mg/L</w:t>
            </w:r>
          </w:p>
        </w:tc>
        <w:tc>
          <w:tcPr>
            <w:tcW w:w="1002" w:type="dxa"/>
          </w:tcPr>
          <w:p>
            <w:pPr>
              <w:pStyle w:val="14"/>
              <w:spacing w:before="14" w:line="238" w:lineRule="exact"/>
              <w:ind w:left="190" w:right="182"/>
              <w:rPr>
                <w:rFonts w:ascii="Times New Roman"/>
                <w:sz w:val="21"/>
              </w:rPr>
            </w:pPr>
            <w:r>
              <w:rPr>
                <w:rFonts w:ascii="Times New Roman"/>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1" w:lineRule="exact"/>
              <w:ind w:left="114" w:right="108"/>
              <w:rPr>
                <w:sz w:val="21"/>
              </w:rPr>
            </w:pPr>
            <w:r>
              <w:rPr>
                <w:sz w:val="21"/>
              </w:rPr>
              <w:t>总铜</w:t>
            </w:r>
          </w:p>
        </w:tc>
        <w:tc>
          <w:tcPr>
            <w:tcW w:w="2162" w:type="dxa"/>
          </w:tcPr>
          <w:p>
            <w:pPr>
              <w:pStyle w:val="14"/>
              <w:spacing w:before="10"/>
              <w:ind w:left="852"/>
              <w:jc w:val="left"/>
              <w:rPr>
                <w:rFonts w:ascii="Times New Roman"/>
                <w:sz w:val="21"/>
              </w:rPr>
            </w:pPr>
            <w:r>
              <w:rPr>
                <w:rFonts w:ascii="Times New Roman"/>
                <w:sz w:val="21"/>
              </w:rPr>
              <w:t>mg/L</w:t>
            </w:r>
          </w:p>
        </w:tc>
        <w:tc>
          <w:tcPr>
            <w:tcW w:w="1002" w:type="dxa"/>
          </w:tcPr>
          <w:p>
            <w:pPr>
              <w:pStyle w:val="14"/>
              <w:spacing w:before="10"/>
              <w:ind w:left="9"/>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2" w:line="250" w:lineRule="exact"/>
              <w:ind w:left="116" w:right="108"/>
              <w:rPr>
                <w:sz w:val="21"/>
              </w:rPr>
            </w:pPr>
            <w:r>
              <w:rPr>
                <w:sz w:val="21"/>
              </w:rPr>
              <w:t>烷基汞</w:t>
            </w:r>
          </w:p>
        </w:tc>
        <w:tc>
          <w:tcPr>
            <w:tcW w:w="2162" w:type="dxa"/>
          </w:tcPr>
          <w:p>
            <w:pPr>
              <w:pStyle w:val="14"/>
              <w:spacing w:before="11" w:line="241" w:lineRule="exact"/>
              <w:ind w:left="852"/>
              <w:jc w:val="left"/>
              <w:rPr>
                <w:rFonts w:ascii="Times New Roman"/>
                <w:sz w:val="21"/>
              </w:rPr>
            </w:pPr>
            <w:r>
              <w:rPr>
                <w:rFonts w:ascii="Times New Roman"/>
                <w:sz w:val="21"/>
              </w:rPr>
              <w:t>mg/L</w:t>
            </w:r>
          </w:p>
        </w:tc>
        <w:tc>
          <w:tcPr>
            <w:tcW w:w="1002" w:type="dxa"/>
          </w:tcPr>
          <w:p>
            <w:pPr>
              <w:pStyle w:val="14"/>
              <w:spacing w:before="11" w:line="241" w:lineRule="exact"/>
              <w:ind w:left="9"/>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2" w:lineRule="exact"/>
              <w:ind w:left="114" w:right="108"/>
              <w:rPr>
                <w:sz w:val="21"/>
              </w:rPr>
            </w:pPr>
            <w:r>
              <w:rPr>
                <w:sz w:val="21"/>
              </w:rPr>
              <w:t>总铍</w:t>
            </w:r>
          </w:p>
        </w:tc>
        <w:tc>
          <w:tcPr>
            <w:tcW w:w="2162" w:type="dxa"/>
          </w:tcPr>
          <w:p>
            <w:pPr>
              <w:pStyle w:val="14"/>
              <w:spacing w:before="12" w:line="241" w:lineRule="exact"/>
              <w:ind w:left="852"/>
              <w:jc w:val="left"/>
              <w:rPr>
                <w:rFonts w:ascii="Times New Roman"/>
                <w:sz w:val="21"/>
              </w:rPr>
            </w:pPr>
            <w:r>
              <w:rPr>
                <w:rFonts w:ascii="Times New Roman"/>
                <w:sz w:val="21"/>
              </w:rPr>
              <w:t>mg/L</w:t>
            </w:r>
          </w:p>
        </w:tc>
        <w:tc>
          <w:tcPr>
            <w:tcW w:w="1002" w:type="dxa"/>
          </w:tcPr>
          <w:p>
            <w:pPr>
              <w:pStyle w:val="14"/>
              <w:spacing w:before="12" w:line="241" w:lineRule="exact"/>
              <w:ind w:left="9"/>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1" w:lineRule="exact"/>
              <w:ind w:left="111" w:right="108"/>
              <w:rPr>
                <w:sz w:val="21"/>
              </w:rPr>
            </w:pPr>
            <w:r>
              <w:rPr>
                <w:sz w:val="21"/>
              </w:rPr>
              <w:t>总镍</w:t>
            </w:r>
          </w:p>
        </w:tc>
        <w:tc>
          <w:tcPr>
            <w:tcW w:w="2162" w:type="dxa"/>
          </w:tcPr>
          <w:p>
            <w:pPr>
              <w:pStyle w:val="14"/>
              <w:spacing w:before="10"/>
              <w:ind w:left="852"/>
              <w:jc w:val="left"/>
              <w:rPr>
                <w:rFonts w:ascii="Times New Roman"/>
                <w:sz w:val="21"/>
              </w:rPr>
            </w:pPr>
            <w:r>
              <w:rPr>
                <w:rFonts w:ascii="Times New Roman"/>
                <w:sz w:val="21"/>
              </w:rPr>
              <w:t>mg/L</w:t>
            </w:r>
          </w:p>
        </w:tc>
        <w:tc>
          <w:tcPr>
            <w:tcW w:w="1002" w:type="dxa"/>
          </w:tcPr>
          <w:p>
            <w:pPr>
              <w:pStyle w:val="14"/>
              <w:spacing w:before="10"/>
              <w:ind w:left="9"/>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2" w:line="250" w:lineRule="exact"/>
              <w:ind w:left="111" w:right="108"/>
              <w:rPr>
                <w:sz w:val="21"/>
              </w:rPr>
            </w:pPr>
            <w:r>
              <w:rPr>
                <w:sz w:val="21"/>
              </w:rPr>
              <w:t>总银</w:t>
            </w:r>
          </w:p>
        </w:tc>
        <w:tc>
          <w:tcPr>
            <w:tcW w:w="2162" w:type="dxa"/>
          </w:tcPr>
          <w:p>
            <w:pPr>
              <w:pStyle w:val="14"/>
              <w:spacing w:before="11" w:line="241" w:lineRule="exact"/>
              <w:ind w:left="852"/>
              <w:jc w:val="left"/>
              <w:rPr>
                <w:rFonts w:ascii="Times New Roman"/>
                <w:sz w:val="21"/>
              </w:rPr>
            </w:pPr>
            <w:r>
              <w:rPr>
                <w:rFonts w:ascii="Times New Roman"/>
                <w:sz w:val="21"/>
              </w:rPr>
              <w:t>mg/L</w:t>
            </w:r>
          </w:p>
        </w:tc>
        <w:tc>
          <w:tcPr>
            <w:tcW w:w="1002" w:type="dxa"/>
          </w:tcPr>
          <w:p>
            <w:pPr>
              <w:pStyle w:val="14"/>
              <w:spacing w:before="11" w:line="241" w:lineRule="exact"/>
              <w:ind w:left="9"/>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2" w:lineRule="exact"/>
              <w:ind w:left="111" w:right="108"/>
              <w:rPr>
                <w:sz w:val="21"/>
              </w:rPr>
            </w:pPr>
            <w:r>
              <w:rPr>
                <w:sz w:val="21"/>
              </w:rPr>
              <w:t>总硒</w:t>
            </w:r>
          </w:p>
        </w:tc>
        <w:tc>
          <w:tcPr>
            <w:tcW w:w="2162" w:type="dxa"/>
          </w:tcPr>
          <w:p>
            <w:pPr>
              <w:pStyle w:val="14"/>
              <w:spacing w:before="12" w:line="240" w:lineRule="exact"/>
              <w:ind w:left="852"/>
              <w:jc w:val="left"/>
              <w:rPr>
                <w:rFonts w:ascii="Times New Roman"/>
                <w:sz w:val="21"/>
              </w:rPr>
            </w:pPr>
            <w:r>
              <w:rPr>
                <w:rFonts w:ascii="Times New Roman"/>
                <w:sz w:val="21"/>
              </w:rPr>
              <w:t>mg/L</w:t>
            </w:r>
          </w:p>
        </w:tc>
        <w:tc>
          <w:tcPr>
            <w:tcW w:w="1002" w:type="dxa"/>
          </w:tcPr>
          <w:p>
            <w:pPr>
              <w:pStyle w:val="14"/>
              <w:spacing w:before="12" w:line="240" w:lineRule="exact"/>
              <w:ind w:left="9"/>
              <w:rPr>
                <w:rFonts w:ascii="Times New Roman"/>
                <w:sz w:val="21"/>
              </w:rPr>
            </w:pPr>
            <w:r>
              <w:rPr>
                <w:rFonts w:ascii="Times New Roman"/>
                <w:w w:val="99"/>
                <w:sz w:val="21"/>
              </w:rPr>
              <w:t>/</w:t>
            </w:r>
          </w:p>
        </w:tc>
      </w:tr>
    </w:tbl>
    <w:p>
      <w:pPr>
        <w:pStyle w:val="6"/>
        <w:spacing w:before="7"/>
        <w:rPr>
          <w:b/>
          <w:sz w:val="6"/>
        </w:rPr>
      </w:pPr>
    </w:p>
    <w:p>
      <w:pPr>
        <w:tabs>
          <w:tab w:val="left" w:pos="1039"/>
        </w:tabs>
        <w:spacing w:before="77" w:after="32"/>
        <w:ind w:left="0" w:right="20" w:firstLine="0"/>
        <w:jc w:val="center"/>
        <w:rPr>
          <w:b/>
          <w:sz w:val="24"/>
        </w:rPr>
      </w:pPr>
      <w:r>
        <w:rPr>
          <w:b/>
          <w:sz w:val="24"/>
        </w:rPr>
        <w:t>表</w:t>
      </w:r>
      <w:r>
        <w:rPr>
          <w:b/>
          <w:spacing w:val="-62"/>
          <w:sz w:val="24"/>
        </w:rPr>
        <w:t xml:space="preserve"> </w:t>
      </w:r>
      <w:r>
        <w:rPr>
          <w:rFonts w:ascii="Times New Roman" w:eastAsia="Times New Roman"/>
          <w:b/>
          <w:sz w:val="24"/>
        </w:rPr>
        <w:t>2.3-2</w:t>
      </w:r>
      <w:r>
        <w:rPr>
          <w:rFonts w:ascii="Times New Roman" w:eastAsia="Times New Roman"/>
          <w:b/>
          <w:sz w:val="24"/>
        </w:rPr>
        <w:tab/>
      </w:r>
      <w:r>
        <w:rPr>
          <w:b/>
          <w:sz w:val="24"/>
        </w:rPr>
        <w:t>农用地土壤环境质量标准（单位：</w:t>
      </w:r>
      <w:r>
        <w:rPr>
          <w:rFonts w:ascii="Times New Roman" w:eastAsia="Times New Roman"/>
          <w:b/>
          <w:sz w:val="24"/>
        </w:rPr>
        <w:t>mg/kg</w:t>
      </w:r>
      <w:r>
        <w:rPr>
          <w:b/>
          <w:sz w:val="24"/>
        </w:rPr>
        <w:t>）</w:t>
      </w:r>
    </w:p>
    <w:tbl>
      <w:tblPr>
        <w:tblStyle w:val="10"/>
        <w:tblW w:w="0" w:type="auto"/>
        <w:tblInd w:w="12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4"/>
        <w:gridCol w:w="1530"/>
        <w:gridCol w:w="55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744" w:type="dxa"/>
          </w:tcPr>
          <w:p>
            <w:pPr>
              <w:pStyle w:val="14"/>
              <w:spacing w:before="45" w:line="252" w:lineRule="exact"/>
              <w:ind w:left="161"/>
              <w:jc w:val="left"/>
              <w:rPr>
                <w:sz w:val="21"/>
              </w:rPr>
            </w:pPr>
            <w:r>
              <w:rPr>
                <w:sz w:val="21"/>
              </w:rPr>
              <w:t>序号</w:t>
            </w:r>
          </w:p>
        </w:tc>
        <w:tc>
          <w:tcPr>
            <w:tcW w:w="1530" w:type="dxa"/>
          </w:tcPr>
          <w:p>
            <w:pPr>
              <w:pStyle w:val="14"/>
              <w:spacing w:before="45" w:line="252" w:lineRule="exact"/>
              <w:ind w:left="238"/>
              <w:jc w:val="left"/>
              <w:rPr>
                <w:sz w:val="21"/>
              </w:rPr>
            </w:pPr>
            <w:r>
              <w:rPr>
                <w:sz w:val="21"/>
              </w:rPr>
              <w:t>污染物项目</w:t>
            </w:r>
          </w:p>
        </w:tc>
        <w:tc>
          <w:tcPr>
            <w:tcW w:w="5526" w:type="dxa"/>
          </w:tcPr>
          <w:p>
            <w:pPr>
              <w:pStyle w:val="14"/>
              <w:spacing w:before="45" w:line="252" w:lineRule="exact"/>
              <w:ind w:left="2216" w:right="2210"/>
              <w:rPr>
                <w:sz w:val="21"/>
              </w:rPr>
            </w:pPr>
            <w:r>
              <w:rPr>
                <w:sz w:val="21"/>
              </w:rPr>
              <w:t>风险筛选值</w:t>
            </w:r>
          </w:p>
        </w:tc>
      </w:tr>
    </w:tbl>
    <w:p>
      <w:pPr>
        <w:spacing w:after="0" w:line="252" w:lineRule="exact"/>
        <w:rPr>
          <w:sz w:val="21"/>
        </w:rPr>
        <w:sectPr>
          <w:pgSz w:w="11910" w:h="16840"/>
          <w:pgMar w:top="1400" w:right="720" w:bottom="1080" w:left="760" w:header="0" w:footer="895" w:gutter="0"/>
        </w:sectPr>
      </w:pPr>
    </w:p>
    <w:tbl>
      <w:tblPr>
        <w:tblStyle w:val="10"/>
        <w:tblW w:w="0" w:type="auto"/>
        <w:tblInd w:w="12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4"/>
        <w:gridCol w:w="720"/>
        <w:gridCol w:w="810"/>
        <w:gridCol w:w="1381"/>
        <w:gridCol w:w="1381"/>
        <w:gridCol w:w="1381"/>
        <w:gridCol w:w="13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744" w:type="dxa"/>
          </w:tcPr>
          <w:p>
            <w:pPr>
              <w:pStyle w:val="14"/>
              <w:jc w:val="left"/>
              <w:rPr>
                <w:rFonts w:ascii="Times New Roman"/>
                <w:sz w:val="20"/>
              </w:rPr>
            </w:pPr>
          </w:p>
        </w:tc>
        <w:tc>
          <w:tcPr>
            <w:tcW w:w="1530" w:type="dxa"/>
            <w:gridSpan w:val="2"/>
          </w:tcPr>
          <w:p>
            <w:pPr>
              <w:pStyle w:val="14"/>
              <w:jc w:val="left"/>
              <w:rPr>
                <w:rFonts w:ascii="Times New Roman"/>
                <w:sz w:val="20"/>
              </w:rPr>
            </w:pPr>
          </w:p>
        </w:tc>
        <w:tc>
          <w:tcPr>
            <w:tcW w:w="1381" w:type="dxa"/>
          </w:tcPr>
          <w:p>
            <w:pPr>
              <w:pStyle w:val="14"/>
              <w:spacing w:before="1"/>
              <w:jc w:val="left"/>
              <w:rPr>
                <w:b/>
                <w:sz w:val="16"/>
              </w:rPr>
            </w:pPr>
          </w:p>
          <w:p>
            <w:pPr>
              <w:pStyle w:val="14"/>
              <w:ind w:left="199" w:right="189"/>
              <w:rPr>
                <w:rFonts w:ascii="Times New Roman" w:hAnsi="Times New Roman"/>
                <w:sz w:val="21"/>
              </w:rPr>
            </w:pPr>
            <w:r>
              <w:rPr>
                <w:rFonts w:ascii="Times New Roman" w:hAnsi="Times New Roman"/>
                <w:sz w:val="21"/>
              </w:rPr>
              <w:t>pH</w:t>
            </w:r>
            <w:r>
              <w:rPr>
                <w:sz w:val="21"/>
              </w:rPr>
              <w:t>≤</w:t>
            </w:r>
            <w:r>
              <w:rPr>
                <w:rFonts w:ascii="Times New Roman" w:hAnsi="Times New Roman"/>
                <w:sz w:val="21"/>
              </w:rPr>
              <w:t>5.5</w:t>
            </w:r>
          </w:p>
        </w:tc>
        <w:tc>
          <w:tcPr>
            <w:tcW w:w="1381" w:type="dxa"/>
          </w:tcPr>
          <w:p>
            <w:pPr>
              <w:pStyle w:val="14"/>
              <w:spacing w:before="45"/>
              <w:ind w:left="197" w:right="190"/>
              <w:rPr>
                <w:sz w:val="21"/>
              </w:rPr>
            </w:pPr>
            <w:r>
              <w:rPr>
                <w:rFonts w:ascii="Times New Roman" w:hAnsi="Times New Roman" w:eastAsia="Times New Roman"/>
                <w:sz w:val="21"/>
              </w:rPr>
              <w:t>5.5</w:t>
            </w:r>
            <w:r>
              <w:rPr>
                <w:sz w:val="21"/>
              </w:rPr>
              <w:t>＜</w:t>
            </w:r>
            <w:r>
              <w:rPr>
                <w:rFonts w:ascii="Times New Roman" w:hAnsi="Times New Roman" w:eastAsia="Times New Roman"/>
                <w:sz w:val="21"/>
              </w:rPr>
              <w:t>pH</w:t>
            </w:r>
            <w:r>
              <w:rPr>
                <w:sz w:val="21"/>
              </w:rPr>
              <w:t>≤</w:t>
            </w:r>
          </w:p>
          <w:p>
            <w:pPr>
              <w:pStyle w:val="14"/>
              <w:spacing w:before="67" w:line="239" w:lineRule="exact"/>
              <w:ind w:left="198" w:right="190"/>
              <w:rPr>
                <w:rFonts w:ascii="Times New Roman"/>
                <w:sz w:val="21"/>
              </w:rPr>
            </w:pPr>
            <w:r>
              <w:rPr>
                <w:rFonts w:ascii="Times New Roman"/>
                <w:sz w:val="21"/>
              </w:rPr>
              <w:t>6.5</w:t>
            </w:r>
          </w:p>
        </w:tc>
        <w:tc>
          <w:tcPr>
            <w:tcW w:w="1381" w:type="dxa"/>
          </w:tcPr>
          <w:p>
            <w:pPr>
              <w:pStyle w:val="14"/>
              <w:spacing w:before="45"/>
              <w:ind w:left="199" w:right="189"/>
              <w:rPr>
                <w:sz w:val="21"/>
              </w:rPr>
            </w:pPr>
            <w:r>
              <w:rPr>
                <w:rFonts w:ascii="Times New Roman" w:hAnsi="Times New Roman" w:eastAsia="Times New Roman"/>
                <w:sz w:val="21"/>
              </w:rPr>
              <w:t>6.5</w:t>
            </w:r>
            <w:r>
              <w:rPr>
                <w:sz w:val="21"/>
              </w:rPr>
              <w:t>＜</w:t>
            </w:r>
            <w:r>
              <w:rPr>
                <w:rFonts w:ascii="Times New Roman" w:hAnsi="Times New Roman" w:eastAsia="Times New Roman"/>
                <w:sz w:val="21"/>
              </w:rPr>
              <w:t>pH</w:t>
            </w:r>
            <w:r>
              <w:rPr>
                <w:sz w:val="21"/>
              </w:rPr>
              <w:t>≤</w:t>
            </w:r>
          </w:p>
          <w:p>
            <w:pPr>
              <w:pStyle w:val="14"/>
              <w:spacing w:before="67" w:line="239" w:lineRule="exact"/>
              <w:ind w:left="199" w:right="188"/>
              <w:rPr>
                <w:rFonts w:ascii="Times New Roman"/>
                <w:sz w:val="21"/>
              </w:rPr>
            </w:pPr>
            <w:r>
              <w:rPr>
                <w:rFonts w:ascii="Times New Roman"/>
                <w:sz w:val="21"/>
              </w:rPr>
              <w:t>7.5</w:t>
            </w:r>
          </w:p>
        </w:tc>
        <w:tc>
          <w:tcPr>
            <w:tcW w:w="1383" w:type="dxa"/>
          </w:tcPr>
          <w:p>
            <w:pPr>
              <w:pStyle w:val="14"/>
              <w:spacing w:before="1"/>
              <w:jc w:val="left"/>
              <w:rPr>
                <w:b/>
                <w:sz w:val="16"/>
              </w:rPr>
            </w:pPr>
          </w:p>
          <w:p>
            <w:pPr>
              <w:pStyle w:val="14"/>
              <w:ind w:left="306" w:right="297"/>
              <w:rPr>
                <w:rFonts w:ascii="Times New Roman" w:eastAsia="Times New Roman"/>
                <w:sz w:val="21"/>
              </w:rPr>
            </w:pPr>
            <w:r>
              <w:rPr>
                <w:rFonts w:ascii="Times New Roman" w:eastAsia="Times New Roman"/>
                <w:sz w:val="21"/>
              </w:rPr>
              <w:t>pH</w:t>
            </w:r>
            <w:r>
              <w:rPr>
                <w:sz w:val="21"/>
              </w:rPr>
              <w:t>＞</w:t>
            </w:r>
            <w:r>
              <w:rPr>
                <w:rFonts w:ascii="Times New Roman" w:eastAsia="Times New Roman"/>
                <w:sz w:val="21"/>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44" w:type="dxa"/>
            <w:vMerge w:val="restart"/>
          </w:tcPr>
          <w:p>
            <w:pPr>
              <w:pStyle w:val="14"/>
              <w:spacing w:before="7"/>
              <w:jc w:val="left"/>
              <w:rPr>
                <w:b/>
                <w:sz w:val="17"/>
              </w:rPr>
            </w:pPr>
          </w:p>
          <w:p>
            <w:pPr>
              <w:pStyle w:val="14"/>
              <w:ind w:left="6"/>
              <w:rPr>
                <w:rFonts w:ascii="Times New Roman"/>
                <w:sz w:val="21"/>
              </w:rPr>
            </w:pPr>
            <w:r>
              <w:rPr>
                <w:rFonts w:ascii="Times New Roman"/>
                <w:w w:val="99"/>
                <w:sz w:val="21"/>
              </w:rPr>
              <w:t>1</w:t>
            </w:r>
          </w:p>
        </w:tc>
        <w:tc>
          <w:tcPr>
            <w:tcW w:w="720" w:type="dxa"/>
            <w:vMerge w:val="restart"/>
          </w:tcPr>
          <w:p>
            <w:pPr>
              <w:pStyle w:val="14"/>
              <w:spacing w:before="6"/>
              <w:jc w:val="left"/>
              <w:rPr>
                <w:b/>
                <w:sz w:val="16"/>
              </w:rPr>
            </w:pPr>
          </w:p>
          <w:p>
            <w:pPr>
              <w:pStyle w:val="14"/>
              <w:ind w:left="10"/>
              <w:rPr>
                <w:sz w:val="21"/>
              </w:rPr>
            </w:pPr>
            <w:r>
              <w:rPr>
                <w:w w:val="99"/>
                <w:sz w:val="21"/>
              </w:rPr>
              <w:t>镉</w:t>
            </w:r>
          </w:p>
        </w:tc>
        <w:tc>
          <w:tcPr>
            <w:tcW w:w="810" w:type="dxa"/>
          </w:tcPr>
          <w:p>
            <w:pPr>
              <w:pStyle w:val="14"/>
              <w:spacing w:before="46" w:line="254" w:lineRule="exact"/>
              <w:ind w:left="174" w:right="166"/>
              <w:rPr>
                <w:sz w:val="21"/>
              </w:rPr>
            </w:pPr>
            <w:r>
              <w:rPr>
                <w:sz w:val="21"/>
              </w:rPr>
              <w:t>水田</w:t>
            </w:r>
          </w:p>
        </w:tc>
        <w:tc>
          <w:tcPr>
            <w:tcW w:w="1381" w:type="dxa"/>
          </w:tcPr>
          <w:p>
            <w:pPr>
              <w:pStyle w:val="14"/>
              <w:spacing w:before="60" w:line="240" w:lineRule="exact"/>
              <w:ind w:left="199" w:right="189"/>
              <w:rPr>
                <w:rFonts w:ascii="Times New Roman"/>
                <w:sz w:val="21"/>
              </w:rPr>
            </w:pPr>
            <w:r>
              <w:rPr>
                <w:rFonts w:ascii="Times New Roman"/>
                <w:sz w:val="21"/>
              </w:rPr>
              <w:t>0.3</w:t>
            </w:r>
          </w:p>
        </w:tc>
        <w:tc>
          <w:tcPr>
            <w:tcW w:w="1381" w:type="dxa"/>
          </w:tcPr>
          <w:p>
            <w:pPr>
              <w:pStyle w:val="14"/>
              <w:spacing w:before="60" w:line="240" w:lineRule="exact"/>
              <w:ind w:left="558"/>
              <w:jc w:val="left"/>
              <w:rPr>
                <w:rFonts w:ascii="Times New Roman"/>
                <w:sz w:val="21"/>
              </w:rPr>
            </w:pPr>
            <w:r>
              <w:rPr>
                <w:rFonts w:ascii="Times New Roman"/>
                <w:sz w:val="21"/>
              </w:rPr>
              <w:t>0.4</w:t>
            </w:r>
          </w:p>
        </w:tc>
        <w:tc>
          <w:tcPr>
            <w:tcW w:w="1381" w:type="dxa"/>
          </w:tcPr>
          <w:p>
            <w:pPr>
              <w:pStyle w:val="14"/>
              <w:spacing w:before="60" w:line="240" w:lineRule="exact"/>
              <w:ind w:left="559"/>
              <w:jc w:val="left"/>
              <w:rPr>
                <w:rFonts w:ascii="Times New Roman"/>
                <w:sz w:val="21"/>
              </w:rPr>
            </w:pPr>
            <w:r>
              <w:rPr>
                <w:rFonts w:ascii="Times New Roman"/>
                <w:sz w:val="21"/>
              </w:rPr>
              <w:t>0.6</w:t>
            </w:r>
          </w:p>
        </w:tc>
        <w:tc>
          <w:tcPr>
            <w:tcW w:w="1383" w:type="dxa"/>
          </w:tcPr>
          <w:p>
            <w:pPr>
              <w:pStyle w:val="14"/>
              <w:spacing w:before="60" w:line="240" w:lineRule="exact"/>
              <w:ind w:left="304" w:right="297"/>
              <w:rPr>
                <w:rFonts w:ascii="Times New Roman"/>
                <w:sz w:val="21"/>
              </w:rPr>
            </w:pPr>
            <w:r>
              <w:rPr>
                <w:rFonts w:ascii="Times New Roman"/>
                <w:sz w:val="21"/>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44" w:type="dxa"/>
            <w:vMerge w:val="continue"/>
            <w:tcBorders>
              <w:top w:val="nil"/>
            </w:tcBorders>
          </w:tcPr>
          <w:p>
            <w:pPr>
              <w:rPr>
                <w:sz w:val="2"/>
                <w:szCs w:val="2"/>
              </w:rPr>
            </w:pPr>
          </w:p>
        </w:tc>
        <w:tc>
          <w:tcPr>
            <w:tcW w:w="720" w:type="dxa"/>
            <w:vMerge w:val="continue"/>
            <w:tcBorders>
              <w:top w:val="nil"/>
            </w:tcBorders>
          </w:tcPr>
          <w:p>
            <w:pPr>
              <w:rPr>
                <w:sz w:val="2"/>
                <w:szCs w:val="2"/>
              </w:rPr>
            </w:pPr>
          </w:p>
        </w:tc>
        <w:tc>
          <w:tcPr>
            <w:tcW w:w="810" w:type="dxa"/>
          </w:tcPr>
          <w:p>
            <w:pPr>
              <w:pStyle w:val="14"/>
              <w:spacing w:before="47" w:line="253" w:lineRule="exact"/>
              <w:ind w:left="174" w:right="166"/>
              <w:rPr>
                <w:sz w:val="21"/>
              </w:rPr>
            </w:pPr>
            <w:r>
              <w:rPr>
                <w:sz w:val="21"/>
              </w:rPr>
              <w:t>其他</w:t>
            </w:r>
          </w:p>
        </w:tc>
        <w:tc>
          <w:tcPr>
            <w:tcW w:w="1381" w:type="dxa"/>
          </w:tcPr>
          <w:p>
            <w:pPr>
              <w:pStyle w:val="14"/>
              <w:spacing w:before="61" w:line="239" w:lineRule="exact"/>
              <w:ind w:left="199" w:right="189"/>
              <w:rPr>
                <w:rFonts w:ascii="Times New Roman"/>
                <w:sz w:val="21"/>
              </w:rPr>
            </w:pPr>
            <w:r>
              <w:rPr>
                <w:rFonts w:ascii="Times New Roman"/>
                <w:sz w:val="21"/>
              </w:rPr>
              <w:t>0.3</w:t>
            </w:r>
          </w:p>
        </w:tc>
        <w:tc>
          <w:tcPr>
            <w:tcW w:w="1381" w:type="dxa"/>
          </w:tcPr>
          <w:p>
            <w:pPr>
              <w:pStyle w:val="14"/>
              <w:spacing w:before="61" w:line="239" w:lineRule="exact"/>
              <w:ind w:left="558"/>
              <w:jc w:val="left"/>
              <w:rPr>
                <w:rFonts w:ascii="Times New Roman"/>
                <w:sz w:val="21"/>
              </w:rPr>
            </w:pPr>
            <w:r>
              <w:rPr>
                <w:rFonts w:ascii="Times New Roman"/>
                <w:sz w:val="21"/>
              </w:rPr>
              <w:t>0.3</w:t>
            </w:r>
          </w:p>
        </w:tc>
        <w:tc>
          <w:tcPr>
            <w:tcW w:w="1381" w:type="dxa"/>
          </w:tcPr>
          <w:p>
            <w:pPr>
              <w:pStyle w:val="14"/>
              <w:spacing w:before="61" w:line="239" w:lineRule="exact"/>
              <w:ind w:left="559"/>
              <w:jc w:val="left"/>
              <w:rPr>
                <w:rFonts w:ascii="Times New Roman"/>
                <w:sz w:val="21"/>
              </w:rPr>
            </w:pPr>
            <w:r>
              <w:rPr>
                <w:rFonts w:ascii="Times New Roman"/>
                <w:sz w:val="21"/>
              </w:rPr>
              <w:t>0.3</w:t>
            </w:r>
          </w:p>
        </w:tc>
        <w:tc>
          <w:tcPr>
            <w:tcW w:w="1383" w:type="dxa"/>
          </w:tcPr>
          <w:p>
            <w:pPr>
              <w:pStyle w:val="14"/>
              <w:spacing w:before="61" w:line="239" w:lineRule="exact"/>
              <w:ind w:left="304" w:right="297"/>
              <w:rPr>
                <w:rFonts w:ascii="Times New Roman"/>
                <w:sz w:val="21"/>
              </w:rPr>
            </w:pPr>
            <w:r>
              <w:rPr>
                <w:rFonts w:ascii="Times New Roman"/>
                <w:sz w:val="21"/>
              </w:rPr>
              <w:t>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44" w:type="dxa"/>
            <w:vMerge w:val="restart"/>
          </w:tcPr>
          <w:p>
            <w:pPr>
              <w:pStyle w:val="14"/>
              <w:spacing w:before="7"/>
              <w:jc w:val="left"/>
              <w:rPr>
                <w:b/>
                <w:sz w:val="17"/>
              </w:rPr>
            </w:pPr>
          </w:p>
          <w:p>
            <w:pPr>
              <w:pStyle w:val="14"/>
              <w:ind w:left="6"/>
              <w:rPr>
                <w:rFonts w:ascii="Times New Roman"/>
                <w:sz w:val="21"/>
              </w:rPr>
            </w:pPr>
            <w:r>
              <w:rPr>
                <w:rFonts w:ascii="Times New Roman"/>
                <w:w w:val="99"/>
                <w:sz w:val="21"/>
              </w:rPr>
              <w:t>2</w:t>
            </w:r>
          </w:p>
        </w:tc>
        <w:tc>
          <w:tcPr>
            <w:tcW w:w="720" w:type="dxa"/>
            <w:vMerge w:val="restart"/>
          </w:tcPr>
          <w:p>
            <w:pPr>
              <w:pStyle w:val="14"/>
              <w:spacing w:before="6"/>
              <w:jc w:val="left"/>
              <w:rPr>
                <w:b/>
                <w:sz w:val="16"/>
              </w:rPr>
            </w:pPr>
          </w:p>
          <w:p>
            <w:pPr>
              <w:pStyle w:val="14"/>
              <w:ind w:left="10"/>
              <w:rPr>
                <w:sz w:val="21"/>
              </w:rPr>
            </w:pPr>
            <w:r>
              <w:rPr>
                <w:w w:val="99"/>
                <w:sz w:val="21"/>
              </w:rPr>
              <w:t>汞</w:t>
            </w:r>
          </w:p>
        </w:tc>
        <w:tc>
          <w:tcPr>
            <w:tcW w:w="810" w:type="dxa"/>
          </w:tcPr>
          <w:p>
            <w:pPr>
              <w:pStyle w:val="14"/>
              <w:spacing w:before="46" w:line="254" w:lineRule="exact"/>
              <w:ind w:left="174" w:right="166"/>
              <w:rPr>
                <w:sz w:val="21"/>
              </w:rPr>
            </w:pPr>
            <w:r>
              <w:rPr>
                <w:sz w:val="21"/>
              </w:rPr>
              <w:t>水田</w:t>
            </w:r>
          </w:p>
        </w:tc>
        <w:tc>
          <w:tcPr>
            <w:tcW w:w="1381" w:type="dxa"/>
          </w:tcPr>
          <w:p>
            <w:pPr>
              <w:pStyle w:val="14"/>
              <w:spacing w:before="60" w:line="240" w:lineRule="exact"/>
              <w:ind w:left="199" w:right="189"/>
              <w:rPr>
                <w:rFonts w:ascii="Times New Roman"/>
                <w:sz w:val="21"/>
              </w:rPr>
            </w:pPr>
            <w:r>
              <w:rPr>
                <w:rFonts w:ascii="Times New Roman"/>
                <w:sz w:val="21"/>
              </w:rPr>
              <w:t>0.5</w:t>
            </w:r>
          </w:p>
        </w:tc>
        <w:tc>
          <w:tcPr>
            <w:tcW w:w="1381" w:type="dxa"/>
          </w:tcPr>
          <w:p>
            <w:pPr>
              <w:pStyle w:val="14"/>
              <w:spacing w:before="60" w:line="240" w:lineRule="exact"/>
              <w:ind w:left="558"/>
              <w:jc w:val="left"/>
              <w:rPr>
                <w:rFonts w:ascii="Times New Roman"/>
                <w:sz w:val="21"/>
              </w:rPr>
            </w:pPr>
            <w:r>
              <w:rPr>
                <w:rFonts w:ascii="Times New Roman"/>
                <w:sz w:val="21"/>
              </w:rPr>
              <w:t>0.5</w:t>
            </w:r>
          </w:p>
        </w:tc>
        <w:tc>
          <w:tcPr>
            <w:tcW w:w="1381" w:type="dxa"/>
          </w:tcPr>
          <w:p>
            <w:pPr>
              <w:pStyle w:val="14"/>
              <w:spacing w:before="60" w:line="240" w:lineRule="exact"/>
              <w:ind w:left="559"/>
              <w:jc w:val="left"/>
              <w:rPr>
                <w:rFonts w:ascii="Times New Roman"/>
                <w:sz w:val="21"/>
              </w:rPr>
            </w:pPr>
            <w:r>
              <w:rPr>
                <w:rFonts w:ascii="Times New Roman"/>
                <w:sz w:val="21"/>
              </w:rPr>
              <w:t>0.6</w:t>
            </w:r>
          </w:p>
        </w:tc>
        <w:tc>
          <w:tcPr>
            <w:tcW w:w="1383" w:type="dxa"/>
          </w:tcPr>
          <w:p>
            <w:pPr>
              <w:pStyle w:val="14"/>
              <w:spacing w:before="60" w:line="240" w:lineRule="exact"/>
              <w:ind w:left="304" w:right="297"/>
              <w:rPr>
                <w:rFonts w:ascii="Times New Roman"/>
                <w:sz w:val="21"/>
              </w:rPr>
            </w:pPr>
            <w:r>
              <w:rPr>
                <w:rFonts w:ascii="Times New Roman"/>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44" w:type="dxa"/>
            <w:vMerge w:val="continue"/>
            <w:tcBorders>
              <w:top w:val="nil"/>
            </w:tcBorders>
          </w:tcPr>
          <w:p>
            <w:pPr>
              <w:rPr>
                <w:sz w:val="2"/>
                <w:szCs w:val="2"/>
              </w:rPr>
            </w:pPr>
          </w:p>
        </w:tc>
        <w:tc>
          <w:tcPr>
            <w:tcW w:w="720" w:type="dxa"/>
            <w:vMerge w:val="continue"/>
            <w:tcBorders>
              <w:top w:val="nil"/>
            </w:tcBorders>
          </w:tcPr>
          <w:p>
            <w:pPr>
              <w:rPr>
                <w:sz w:val="2"/>
                <w:szCs w:val="2"/>
              </w:rPr>
            </w:pPr>
          </w:p>
        </w:tc>
        <w:tc>
          <w:tcPr>
            <w:tcW w:w="810" w:type="dxa"/>
          </w:tcPr>
          <w:p>
            <w:pPr>
              <w:pStyle w:val="14"/>
              <w:spacing w:before="47" w:line="253" w:lineRule="exact"/>
              <w:ind w:left="174" w:right="166"/>
              <w:rPr>
                <w:sz w:val="21"/>
              </w:rPr>
            </w:pPr>
            <w:r>
              <w:rPr>
                <w:sz w:val="21"/>
              </w:rPr>
              <w:t>其他</w:t>
            </w:r>
          </w:p>
        </w:tc>
        <w:tc>
          <w:tcPr>
            <w:tcW w:w="1381" w:type="dxa"/>
          </w:tcPr>
          <w:p>
            <w:pPr>
              <w:pStyle w:val="14"/>
              <w:spacing w:before="61" w:line="239" w:lineRule="exact"/>
              <w:ind w:left="199" w:right="189"/>
              <w:rPr>
                <w:rFonts w:ascii="Times New Roman"/>
                <w:sz w:val="21"/>
              </w:rPr>
            </w:pPr>
            <w:r>
              <w:rPr>
                <w:rFonts w:ascii="Times New Roman"/>
                <w:sz w:val="21"/>
              </w:rPr>
              <w:t>1.3</w:t>
            </w:r>
          </w:p>
        </w:tc>
        <w:tc>
          <w:tcPr>
            <w:tcW w:w="1381" w:type="dxa"/>
          </w:tcPr>
          <w:p>
            <w:pPr>
              <w:pStyle w:val="14"/>
              <w:spacing w:before="61" w:line="239" w:lineRule="exact"/>
              <w:ind w:left="558"/>
              <w:jc w:val="left"/>
              <w:rPr>
                <w:rFonts w:ascii="Times New Roman"/>
                <w:sz w:val="21"/>
              </w:rPr>
            </w:pPr>
            <w:r>
              <w:rPr>
                <w:rFonts w:ascii="Times New Roman"/>
                <w:sz w:val="21"/>
              </w:rPr>
              <w:t>1.8</w:t>
            </w:r>
          </w:p>
        </w:tc>
        <w:tc>
          <w:tcPr>
            <w:tcW w:w="1381" w:type="dxa"/>
          </w:tcPr>
          <w:p>
            <w:pPr>
              <w:pStyle w:val="14"/>
              <w:spacing w:before="61" w:line="239" w:lineRule="exact"/>
              <w:ind w:left="559"/>
              <w:jc w:val="left"/>
              <w:rPr>
                <w:rFonts w:ascii="Times New Roman"/>
                <w:sz w:val="21"/>
              </w:rPr>
            </w:pPr>
            <w:r>
              <w:rPr>
                <w:rFonts w:ascii="Times New Roman"/>
                <w:sz w:val="21"/>
              </w:rPr>
              <w:t>2.4</w:t>
            </w:r>
          </w:p>
        </w:tc>
        <w:tc>
          <w:tcPr>
            <w:tcW w:w="1383" w:type="dxa"/>
          </w:tcPr>
          <w:p>
            <w:pPr>
              <w:pStyle w:val="14"/>
              <w:spacing w:before="61" w:line="239" w:lineRule="exact"/>
              <w:ind w:left="304" w:right="297"/>
              <w:rPr>
                <w:rFonts w:ascii="Times New Roman"/>
                <w:sz w:val="21"/>
              </w:rPr>
            </w:pPr>
            <w:r>
              <w:rPr>
                <w:rFonts w:ascii="Times New Roman"/>
                <w:sz w:val="21"/>
              </w:rPr>
              <w:t>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44" w:type="dxa"/>
            <w:vMerge w:val="restart"/>
          </w:tcPr>
          <w:p>
            <w:pPr>
              <w:pStyle w:val="14"/>
              <w:spacing w:before="7"/>
              <w:jc w:val="left"/>
              <w:rPr>
                <w:b/>
                <w:sz w:val="17"/>
              </w:rPr>
            </w:pPr>
          </w:p>
          <w:p>
            <w:pPr>
              <w:pStyle w:val="14"/>
              <w:ind w:left="6"/>
              <w:rPr>
                <w:rFonts w:ascii="Times New Roman"/>
                <w:sz w:val="21"/>
              </w:rPr>
            </w:pPr>
            <w:r>
              <w:rPr>
                <w:rFonts w:ascii="Times New Roman"/>
                <w:w w:val="99"/>
                <w:sz w:val="21"/>
              </w:rPr>
              <w:t>3</w:t>
            </w:r>
          </w:p>
        </w:tc>
        <w:tc>
          <w:tcPr>
            <w:tcW w:w="720" w:type="dxa"/>
            <w:vMerge w:val="restart"/>
          </w:tcPr>
          <w:p>
            <w:pPr>
              <w:pStyle w:val="14"/>
              <w:spacing w:before="6"/>
              <w:jc w:val="left"/>
              <w:rPr>
                <w:b/>
                <w:sz w:val="16"/>
              </w:rPr>
            </w:pPr>
          </w:p>
          <w:p>
            <w:pPr>
              <w:pStyle w:val="14"/>
              <w:ind w:left="10"/>
              <w:rPr>
                <w:sz w:val="21"/>
              </w:rPr>
            </w:pPr>
            <w:r>
              <w:rPr>
                <w:w w:val="99"/>
                <w:sz w:val="21"/>
              </w:rPr>
              <w:t>砷</w:t>
            </w:r>
          </w:p>
        </w:tc>
        <w:tc>
          <w:tcPr>
            <w:tcW w:w="810" w:type="dxa"/>
          </w:tcPr>
          <w:p>
            <w:pPr>
              <w:pStyle w:val="14"/>
              <w:spacing w:before="46" w:line="254" w:lineRule="exact"/>
              <w:ind w:left="174" w:right="166"/>
              <w:rPr>
                <w:sz w:val="21"/>
              </w:rPr>
            </w:pPr>
            <w:r>
              <w:rPr>
                <w:sz w:val="21"/>
              </w:rPr>
              <w:t>水田</w:t>
            </w:r>
          </w:p>
        </w:tc>
        <w:tc>
          <w:tcPr>
            <w:tcW w:w="1381" w:type="dxa"/>
          </w:tcPr>
          <w:p>
            <w:pPr>
              <w:pStyle w:val="14"/>
              <w:spacing w:before="60" w:line="240" w:lineRule="exact"/>
              <w:ind w:left="199" w:right="189"/>
              <w:rPr>
                <w:rFonts w:ascii="Times New Roman"/>
                <w:sz w:val="21"/>
              </w:rPr>
            </w:pPr>
            <w:r>
              <w:rPr>
                <w:rFonts w:ascii="Times New Roman"/>
                <w:sz w:val="21"/>
              </w:rPr>
              <w:t>30</w:t>
            </w:r>
          </w:p>
        </w:tc>
        <w:tc>
          <w:tcPr>
            <w:tcW w:w="1381" w:type="dxa"/>
          </w:tcPr>
          <w:p>
            <w:pPr>
              <w:pStyle w:val="14"/>
              <w:spacing w:before="60" w:line="240" w:lineRule="exact"/>
              <w:ind w:left="584"/>
              <w:jc w:val="left"/>
              <w:rPr>
                <w:rFonts w:ascii="Times New Roman"/>
                <w:sz w:val="21"/>
              </w:rPr>
            </w:pPr>
            <w:r>
              <w:rPr>
                <w:rFonts w:ascii="Times New Roman"/>
                <w:sz w:val="21"/>
              </w:rPr>
              <w:t>30</w:t>
            </w:r>
          </w:p>
        </w:tc>
        <w:tc>
          <w:tcPr>
            <w:tcW w:w="1381" w:type="dxa"/>
          </w:tcPr>
          <w:p>
            <w:pPr>
              <w:pStyle w:val="14"/>
              <w:spacing w:before="60" w:line="240" w:lineRule="exact"/>
              <w:ind w:left="583"/>
              <w:jc w:val="left"/>
              <w:rPr>
                <w:rFonts w:ascii="Times New Roman"/>
                <w:sz w:val="21"/>
              </w:rPr>
            </w:pPr>
            <w:r>
              <w:rPr>
                <w:rFonts w:ascii="Times New Roman"/>
                <w:sz w:val="21"/>
              </w:rPr>
              <w:t>25</w:t>
            </w:r>
          </w:p>
        </w:tc>
        <w:tc>
          <w:tcPr>
            <w:tcW w:w="1383" w:type="dxa"/>
          </w:tcPr>
          <w:p>
            <w:pPr>
              <w:pStyle w:val="14"/>
              <w:spacing w:before="60" w:line="240" w:lineRule="exact"/>
              <w:ind w:left="304" w:right="297"/>
              <w:rPr>
                <w:rFonts w:ascii="Times New Roman"/>
                <w:sz w:val="21"/>
              </w:rPr>
            </w:pPr>
            <w:r>
              <w:rPr>
                <w:rFonts w:ascii="Times New Roman"/>
                <w:sz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44" w:type="dxa"/>
            <w:vMerge w:val="continue"/>
            <w:tcBorders>
              <w:top w:val="nil"/>
            </w:tcBorders>
          </w:tcPr>
          <w:p>
            <w:pPr>
              <w:rPr>
                <w:sz w:val="2"/>
                <w:szCs w:val="2"/>
              </w:rPr>
            </w:pPr>
          </w:p>
        </w:tc>
        <w:tc>
          <w:tcPr>
            <w:tcW w:w="720" w:type="dxa"/>
            <w:vMerge w:val="continue"/>
            <w:tcBorders>
              <w:top w:val="nil"/>
            </w:tcBorders>
          </w:tcPr>
          <w:p>
            <w:pPr>
              <w:rPr>
                <w:sz w:val="2"/>
                <w:szCs w:val="2"/>
              </w:rPr>
            </w:pPr>
          </w:p>
        </w:tc>
        <w:tc>
          <w:tcPr>
            <w:tcW w:w="810" w:type="dxa"/>
          </w:tcPr>
          <w:p>
            <w:pPr>
              <w:pStyle w:val="14"/>
              <w:spacing w:before="47" w:line="253" w:lineRule="exact"/>
              <w:ind w:left="174" w:right="166"/>
              <w:rPr>
                <w:sz w:val="21"/>
              </w:rPr>
            </w:pPr>
            <w:r>
              <w:rPr>
                <w:sz w:val="21"/>
              </w:rPr>
              <w:t>其他</w:t>
            </w:r>
          </w:p>
        </w:tc>
        <w:tc>
          <w:tcPr>
            <w:tcW w:w="1381" w:type="dxa"/>
          </w:tcPr>
          <w:p>
            <w:pPr>
              <w:pStyle w:val="14"/>
              <w:spacing w:before="61" w:line="239" w:lineRule="exact"/>
              <w:ind w:left="199" w:right="189"/>
              <w:rPr>
                <w:rFonts w:ascii="Times New Roman"/>
                <w:sz w:val="21"/>
              </w:rPr>
            </w:pPr>
            <w:r>
              <w:rPr>
                <w:rFonts w:ascii="Times New Roman"/>
                <w:sz w:val="21"/>
              </w:rPr>
              <w:t>40</w:t>
            </w:r>
          </w:p>
        </w:tc>
        <w:tc>
          <w:tcPr>
            <w:tcW w:w="1381" w:type="dxa"/>
          </w:tcPr>
          <w:p>
            <w:pPr>
              <w:pStyle w:val="14"/>
              <w:spacing w:before="61" w:line="239" w:lineRule="exact"/>
              <w:ind w:left="584"/>
              <w:jc w:val="left"/>
              <w:rPr>
                <w:rFonts w:ascii="Times New Roman"/>
                <w:sz w:val="21"/>
              </w:rPr>
            </w:pPr>
            <w:r>
              <w:rPr>
                <w:rFonts w:ascii="Times New Roman"/>
                <w:sz w:val="21"/>
              </w:rPr>
              <w:t>40</w:t>
            </w:r>
          </w:p>
        </w:tc>
        <w:tc>
          <w:tcPr>
            <w:tcW w:w="1381" w:type="dxa"/>
          </w:tcPr>
          <w:p>
            <w:pPr>
              <w:pStyle w:val="14"/>
              <w:spacing w:before="61" w:line="239" w:lineRule="exact"/>
              <w:ind w:left="583"/>
              <w:jc w:val="left"/>
              <w:rPr>
                <w:rFonts w:ascii="Times New Roman"/>
                <w:sz w:val="21"/>
              </w:rPr>
            </w:pPr>
            <w:r>
              <w:rPr>
                <w:rFonts w:ascii="Times New Roman"/>
                <w:sz w:val="21"/>
              </w:rPr>
              <w:t>30</w:t>
            </w:r>
          </w:p>
        </w:tc>
        <w:tc>
          <w:tcPr>
            <w:tcW w:w="1383" w:type="dxa"/>
          </w:tcPr>
          <w:p>
            <w:pPr>
              <w:pStyle w:val="14"/>
              <w:spacing w:before="61" w:line="239" w:lineRule="exact"/>
              <w:ind w:left="304" w:right="297"/>
              <w:rPr>
                <w:rFonts w:ascii="Times New Roman"/>
                <w:sz w:val="21"/>
              </w:rPr>
            </w:pPr>
            <w:r>
              <w:rPr>
                <w:rFonts w:ascii="Times New Roman"/>
                <w:sz w:val="21"/>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44" w:type="dxa"/>
            <w:vMerge w:val="restart"/>
          </w:tcPr>
          <w:p>
            <w:pPr>
              <w:pStyle w:val="14"/>
              <w:spacing w:before="7"/>
              <w:jc w:val="left"/>
              <w:rPr>
                <w:b/>
                <w:sz w:val="17"/>
              </w:rPr>
            </w:pPr>
          </w:p>
          <w:p>
            <w:pPr>
              <w:pStyle w:val="14"/>
              <w:ind w:left="6"/>
              <w:rPr>
                <w:rFonts w:ascii="Times New Roman"/>
                <w:sz w:val="21"/>
              </w:rPr>
            </w:pPr>
            <w:r>
              <w:rPr>
                <w:rFonts w:ascii="Times New Roman"/>
                <w:w w:val="99"/>
                <w:sz w:val="21"/>
              </w:rPr>
              <w:t>4</w:t>
            </w:r>
          </w:p>
        </w:tc>
        <w:tc>
          <w:tcPr>
            <w:tcW w:w="720" w:type="dxa"/>
            <w:vMerge w:val="restart"/>
          </w:tcPr>
          <w:p>
            <w:pPr>
              <w:pStyle w:val="14"/>
              <w:spacing w:before="6"/>
              <w:jc w:val="left"/>
              <w:rPr>
                <w:b/>
                <w:sz w:val="16"/>
              </w:rPr>
            </w:pPr>
          </w:p>
          <w:p>
            <w:pPr>
              <w:pStyle w:val="14"/>
              <w:ind w:left="10"/>
              <w:rPr>
                <w:sz w:val="21"/>
              </w:rPr>
            </w:pPr>
            <w:r>
              <w:rPr>
                <w:w w:val="99"/>
                <w:sz w:val="21"/>
              </w:rPr>
              <w:t>铅</w:t>
            </w:r>
          </w:p>
        </w:tc>
        <w:tc>
          <w:tcPr>
            <w:tcW w:w="810" w:type="dxa"/>
          </w:tcPr>
          <w:p>
            <w:pPr>
              <w:pStyle w:val="14"/>
              <w:spacing w:before="46" w:line="254" w:lineRule="exact"/>
              <w:ind w:left="174" w:right="166"/>
              <w:rPr>
                <w:sz w:val="21"/>
              </w:rPr>
            </w:pPr>
            <w:r>
              <w:rPr>
                <w:sz w:val="21"/>
              </w:rPr>
              <w:t>水田</w:t>
            </w:r>
          </w:p>
        </w:tc>
        <w:tc>
          <w:tcPr>
            <w:tcW w:w="1381" w:type="dxa"/>
          </w:tcPr>
          <w:p>
            <w:pPr>
              <w:pStyle w:val="14"/>
              <w:spacing w:before="60" w:line="240" w:lineRule="exact"/>
              <w:ind w:left="199" w:right="189"/>
              <w:rPr>
                <w:rFonts w:ascii="Times New Roman"/>
                <w:sz w:val="21"/>
              </w:rPr>
            </w:pPr>
            <w:r>
              <w:rPr>
                <w:rFonts w:ascii="Times New Roman"/>
                <w:sz w:val="21"/>
              </w:rPr>
              <w:t>80</w:t>
            </w:r>
          </w:p>
        </w:tc>
        <w:tc>
          <w:tcPr>
            <w:tcW w:w="1381" w:type="dxa"/>
          </w:tcPr>
          <w:p>
            <w:pPr>
              <w:pStyle w:val="14"/>
              <w:spacing w:before="60" w:line="240" w:lineRule="exact"/>
              <w:ind w:left="531"/>
              <w:jc w:val="left"/>
              <w:rPr>
                <w:rFonts w:ascii="Times New Roman"/>
                <w:sz w:val="21"/>
              </w:rPr>
            </w:pPr>
            <w:r>
              <w:rPr>
                <w:rFonts w:ascii="Times New Roman"/>
                <w:sz w:val="21"/>
              </w:rPr>
              <w:t>100</w:t>
            </w:r>
          </w:p>
        </w:tc>
        <w:tc>
          <w:tcPr>
            <w:tcW w:w="1381" w:type="dxa"/>
          </w:tcPr>
          <w:p>
            <w:pPr>
              <w:pStyle w:val="14"/>
              <w:spacing w:before="60" w:line="240" w:lineRule="exact"/>
              <w:ind w:left="533"/>
              <w:jc w:val="left"/>
              <w:rPr>
                <w:rFonts w:ascii="Times New Roman"/>
                <w:sz w:val="21"/>
              </w:rPr>
            </w:pPr>
            <w:r>
              <w:rPr>
                <w:rFonts w:ascii="Times New Roman"/>
                <w:sz w:val="21"/>
              </w:rPr>
              <w:t>140</w:t>
            </w:r>
          </w:p>
        </w:tc>
        <w:tc>
          <w:tcPr>
            <w:tcW w:w="1383" w:type="dxa"/>
          </w:tcPr>
          <w:p>
            <w:pPr>
              <w:pStyle w:val="14"/>
              <w:spacing w:before="60" w:line="240" w:lineRule="exact"/>
              <w:ind w:left="306" w:right="295"/>
              <w:rPr>
                <w:rFonts w:ascii="Times New Roman"/>
                <w:sz w:val="21"/>
              </w:rPr>
            </w:pPr>
            <w:r>
              <w:rPr>
                <w:rFonts w:ascii="Times New Roman"/>
                <w:sz w:val="21"/>
              </w:rPr>
              <w:t>240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44" w:type="dxa"/>
            <w:vMerge w:val="continue"/>
            <w:tcBorders>
              <w:top w:val="nil"/>
            </w:tcBorders>
          </w:tcPr>
          <w:p>
            <w:pPr>
              <w:rPr>
                <w:sz w:val="2"/>
                <w:szCs w:val="2"/>
              </w:rPr>
            </w:pPr>
          </w:p>
        </w:tc>
        <w:tc>
          <w:tcPr>
            <w:tcW w:w="720" w:type="dxa"/>
            <w:vMerge w:val="continue"/>
            <w:tcBorders>
              <w:top w:val="nil"/>
            </w:tcBorders>
          </w:tcPr>
          <w:p>
            <w:pPr>
              <w:rPr>
                <w:sz w:val="2"/>
                <w:szCs w:val="2"/>
              </w:rPr>
            </w:pPr>
          </w:p>
        </w:tc>
        <w:tc>
          <w:tcPr>
            <w:tcW w:w="810" w:type="dxa"/>
          </w:tcPr>
          <w:p>
            <w:pPr>
              <w:pStyle w:val="14"/>
              <w:spacing w:before="47" w:line="253" w:lineRule="exact"/>
              <w:ind w:left="174" w:right="166"/>
              <w:rPr>
                <w:sz w:val="21"/>
              </w:rPr>
            </w:pPr>
            <w:r>
              <w:rPr>
                <w:sz w:val="21"/>
              </w:rPr>
              <w:t>其他</w:t>
            </w:r>
          </w:p>
        </w:tc>
        <w:tc>
          <w:tcPr>
            <w:tcW w:w="1381" w:type="dxa"/>
          </w:tcPr>
          <w:p>
            <w:pPr>
              <w:pStyle w:val="14"/>
              <w:spacing w:before="61" w:line="239" w:lineRule="exact"/>
              <w:ind w:left="199" w:right="189"/>
              <w:rPr>
                <w:rFonts w:ascii="Times New Roman"/>
                <w:sz w:val="21"/>
              </w:rPr>
            </w:pPr>
            <w:r>
              <w:rPr>
                <w:rFonts w:ascii="Times New Roman"/>
                <w:sz w:val="21"/>
              </w:rPr>
              <w:t>70</w:t>
            </w:r>
          </w:p>
        </w:tc>
        <w:tc>
          <w:tcPr>
            <w:tcW w:w="1381" w:type="dxa"/>
          </w:tcPr>
          <w:p>
            <w:pPr>
              <w:pStyle w:val="14"/>
              <w:spacing w:before="61" w:line="239" w:lineRule="exact"/>
              <w:ind w:left="584"/>
              <w:jc w:val="left"/>
              <w:rPr>
                <w:rFonts w:ascii="Times New Roman"/>
                <w:sz w:val="21"/>
              </w:rPr>
            </w:pPr>
            <w:r>
              <w:rPr>
                <w:rFonts w:ascii="Times New Roman"/>
                <w:sz w:val="21"/>
              </w:rPr>
              <w:t>90</w:t>
            </w:r>
          </w:p>
        </w:tc>
        <w:tc>
          <w:tcPr>
            <w:tcW w:w="1381" w:type="dxa"/>
          </w:tcPr>
          <w:p>
            <w:pPr>
              <w:pStyle w:val="14"/>
              <w:spacing w:before="61" w:line="239" w:lineRule="exact"/>
              <w:ind w:left="533"/>
              <w:jc w:val="left"/>
              <w:rPr>
                <w:rFonts w:ascii="Times New Roman"/>
                <w:sz w:val="21"/>
              </w:rPr>
            </w:pPr>
            <w:r>
              <w:rPr>
                <w:rFonts w:ascii="Times New Roman"/>
                <w:sz w:val="21"/>
              </w:rPr>
              <w:t>120</w:t>
            </w:r>
          </w:p>
        </w:tc>
        <w:tc>
          <w:tcPr>
            <w:tcW w:w="1383" w:type="dxa"/>
          </w:tcPr>
          <w:p>
            <w:pPr>
              <w:pStyle w:val="14"/>
              <w:spacing w:before="61" w:line="239" w:lineRule="exact"/>
              <w:ind w:left="306" w:right="295"/>
              <w:rPr>
                <w:rFonts w:ascii="Times New Roman"/>
                <w:sz w:val="21"/>
              </w:rPr>
            </w:pPr>
            <w:r>
              <w:rPr>
                <w:rFonts w:ascii="Times New Roman"/>
                <w:sz w:val="21"/>
              </w:rPr>
              <w:t>170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44" w:type="dxa"/>
            <w:vMerge w:val="restart"/>
          </w:tcPr>
          <w:p>
            <w:pPr>
              <w:pStyle w:val="14"/>
              <w:spacing w:before="7"/>
              <w:jc w:val="left"/>
              <w:rPr>
                <w:b/>
                <w:sz w:val="17"/>
              </w:rPr>
            </w:pPr>
          </w:p>
          <w:p>
            <w:pPr>
              <w:pStyle w:val="14"/>
              <w:ind w:left="6"/>
              <w:rPr>
                <w:rFonts w:ascii="Times New Roman"/>
                <w:sz w:val="21"/>
              </w:rPr>
            </w:pPr>
            <w:r>
              <w:rPr>
                <w:rFonts w:ascii="Times New Roman"/>
                <w:w w:val="99"/>
                <w:sz w:val="21"/>
              </w:rPr>
              <w:t>5</w:t>
            </w:r>
          </w:p>
        </w:tc>
        <w:tc>
          <w:tcPr>
            <w:tcW w:w="720" w:type="dxa"/>
            <w:vMerge w:val="restart"/>
          </w:tcPr>
          <w:p>
            <w:pPr>
              <w:pStyle w:val="14"/>
              <w:spacing w:before="6"/>
              <w:jc w:val="left"/>
              <w:rPr>
                <w:b/>
                <w:sz w:val="16"/>
              </w:rPr>
            </w:pPr>
          </w:p>
          <w:p>
            <w:pPr>
              <w:pStyle w:val="14"/>
              <w:ind w:left="10"/>
              <w:rPr>
                <w:sz w:val="21"/>
              </w:rPr>
            </w:pPr>
            <w:r>
              <w:rPr>
                <w:w w:val="99"/>
                <w:sz w:val="21"/>
              </w:rPr>
              <w:t>铬</w:t>
            </w:r>
          </w:p>
        </w:tc>
        <w:tc>
          <w:tcPr>
            <w:tcW w:w="810" w:type="dxa"/>
          </w:tcPr>
          <w:p>
            <w:pPr>
              <w:pStyle w:val="14"/>
              <w:spacing w:before="46" w:line="254" w:lineRule="exact"/>
              <w:ind w:left="174" w:right="166"/>
              <w:rPr>
                <w:sz w:val="21"/>
              </w:rPr>
            </w:pPr>
            <w:r>
              <w:rPr>
                <w:sz w:val="21"/>
              </w:rPr>
              <w:t>水田</w:t>
            </w:r>
          </w:p>
        </w:tc>
        <w:tc>
          <w:tcPr>
            <w:tcW w:w="1381" w:type="dxa"/>
          </w:tcPr>
          <w:p>
            <w:pPr>
              <w:pStyle w:val="14"/>
              <w:spacing w:before="60" w:line="240" w:lineRule="exact"/>
              <w:ind w:left="199" w:right="189"/>
              <w:rPr>
                <w:rFonts w:ascii="Times New Roman"/>
                <w:sz w:val="21"/>
              </w:rPr>
            </w:pPr>
            <w:r>
              <w:rPr>
                <w:rFonts w:ascii="Times New Roman"/>
                <w:sz w:val="21"/>
              </w:rPr>
              <w:t>250</w:t>
            </w:r>
          </w:p>
        </w:tc>
        <w:tc>
          <w:tcPr>
            <w:tcW w:w="1381" w:type="dxa"/>
          </w:tcPr>
          <w:p>
            <w:pPr>
              <w:pStyle w:val="14"/>
              <w:spacing w:before="60" w:line="240" w:lineRule="exact"/>
              <w:ind w:left="531"/>
              <w:jc w:val="left"/>
              <w:rPr>
                <w:rFonts w:ascii="Times New Roman"/>
                <w:sz w:val="21"/>
              </w:rPr>
            </w:pPr>
            <w:r>
              <w:rPr>
                <w:rFonts w:ascii="Times New Roman"/>
                <w:sz w:val="21"/>
              </w:rPr>
              <w:t>250</w:t>
            </w:r>
          </w:p>
        </w:tc>
        <w:tc>
          <w:tcPr>
            <w:tcW w:w="1381" w:type="dxa"/>
          </w:tcPr>
          <w:p>
            <w:pPr>
              <w:pStyle w:val="14"/>
              <w:spacing w:before="60" w:line="240" w:lineRule="exact"/>
              <w:ind w:left="533"/>
              <w:jc w:val="left"/>
              <w:rPr>
                <w:rFonts w:ascii="Times New Roman"/>
                <w:sz w:val="21"/>
              </w:rPr>
            </w:pPr>
            <w:r>
              <w:rPr>
                <w:rFonts w:ascii="Times New Roman"/>
                <w:sz w:val="21"/>
              </w:rPr>
              <w:t>300</w:t>
            </w:r>
          </w:p>
        </w:tc>
        <w:tc>
          <w:tcPr>
            <w:tcW w:w="1383" w:type="dxa"/>
          </w:tcPr>
          <w:p>
            <w:pPr>
              <w:pStyle w:val="14"/>
              <w:spacing w:before="60" w:line="240" w:lineRule="exact"/>
              <w:ind w:left="306" w:right="295"/>
              <w:rPr>
                <w:rFonts w:ascii="Times New Roman"/>
                <w:sz w:val="21"/>
              </w:rPr>
            </w:pPr>
            <w:r>
              <w:rPr>
                <w:rFonts w:ascii="Times New Roman"/>
                <w:sz w:val="21"/>
              </w:rPr>
              <w:t>350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44" w:type="dxa"/>
            <w:vMerge w:val="continue"/>
            <w:tcBorders>
              <w:top w:val="nil"/>
            </w:tcBorders>
          </w:tcPr>
          <w:p>
            <w:pPr>
              <w:rPr>
                <w:sz w:val="2"/>
                <w:szCs w:val="2"/>
              </w:rPr>
            </w:pPr>
          </w:p>
        </w:tc>
        <w:tc>
          <w:tcPr>
            <w:tcW w:w="720" w:type="dxa"/>
            <w:vMerge w:val="continue"/>
            <w:tcBorders>
              <w:top w:val="nil"/>
            </w:tcBorders>
          </w:tcPr>
          <w:p>
            <w:pPr>
              <w:rPr>
                <w:sz w:val="2"/>
                <w:szCs w:val="2"/>
              </w:rPr>
            </w:pPr>
          </w:p>
        </w:tc>
        <w:tc>
          <w:tcPr>
            <w:tcW w:w="810" w:type="dxa"/>
          </w:tcPr>
          <w:p>
            <w:pPr>
              <w:pStyle w:val="14"/>
              <w:spacing w:before="47" w:line="253" w:lineRule="exact"/>
              <w:ind w:left="174" w:right="166"/>
              <w:rPr>
                <w:sz w:val="21"/>
              </w:rPr>
            </w:pPr>
            <w:r>
              <w:rPr>
                <w:sz w:val="21"/>
              </w:rPr>
              <w:t>其他</w:t>
            </w:r>
          </w:p>
        </w:tc>
        <w:tc>
          <w:tcPr>
            <w:tcW w:w="1381" w:type="dxa"/>
          </w:tcPr>
          <w:p>
            <w:pPr>
              <w:pStyle w:val="14"/>
              <w:spacing w:before="61" w:line="239" w:lineRule="exact"/>
              <w:ind w:left="199" w:right="189"/>
              <w:rPr>
                <w:rFonts w:ascii="Times New Roman"/>
                <w:sz w:val="21"/>
              </w:rPr>
            </w:pPr>
            <w:r>
              <w:rPr>
                <w:rFonts w:ascii="Times New Roman"/>
                <w:sz w:val="21"/>
              </w:rPr>
              <w:t>150</w:t>
            </w:r>
          </w:p>
        </w:tc>
        <w:tc>
          <w:tcPr>
            <w:tcW w:w="1381" w:type="dxa"/>
          </w:tcPr>
          <w:p>
            <w:pPr>
              <w:pStyle w:val="14"/>
              <w:spacing w:before="61" w:line="239" w:lineRule="exact"/>
              <w:ind w:left="531"/>
              <w:jc w:val="left"/>
              <w:rPr>
                <w:rFonts w:ascii="Times New Roman"/>
                <w:sz w:val="21"/>
              </w:rPr>
            </w:pPr>
            <w:r>
              <w:rPr>
                <w:rFonts w:ascii="Times New Roman"/>
                <w:sz w:val="21"/>
              </w:rPr>
              <w:t>150</w:t>
            </w:r>
          </w:p>
        </w:tc>
        <w:tc>
          <w:tcPr>
            <w:tcW w:w="1381" w:type="dxa"/>
          </w:tcPr>
          <w:p>
            <w:pPr>
              <w:pStyle w:val="14"/>
              <w:spacing w:before="61" w:line="239" w:lineRule="exact"/>
              <w:ind w:left="533"/>
              <w:jc w:val="left"/>
              <w:rPr>
                <w:rFonts w:ascii="Times New Roman"/>
                <w:sz w:val="21"/>
              </w:rPr>
            </w:pPr>
            <w:r>
              <w:rPr>
                <w:rFonts w:ascii="Times New Roman"/>
                <w:sz w:val="21"/>
              </w:rPr>
              <w:t>200</w:t>
            </w:r>
          </w:p>
        </w:tc>
        <w:tc>
          <w:tcPr>
            <w:tcW w:w="1383" w:type="dxa"/>
          </w:tcPr>
          <w:p>
            <w:pPr>
              <w:pStyle w:val="14"/>
              <w:spacing w:before="61" w:line="239" w:lineRule="exact"/>
              <w:ind w:left="306" w:right="295"/>
              <w:rPr>
                <w:rFonts w:ascii="Times New Roman"/>
                <w:sz w:val="21"/>
              </w:rPr>
            </w:pPr>
            <w:r>
              <w:rPr>
                <w:rFonts w:ascii="Times New Roman"/>
                <w:sz w:val="21"/>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44" w:type="dxa"/>
            <w:vMerge w:val="restart"/>
          </w:tcPr>
          <w:p>
            <w:pPr>
              <w:pStyle w:val="14"/>
              <w:spacing w:before="7"/>
              <w:jc w:val="left"/>
              <w:rPr>
                <w:b/>
                <w:sz w:val="17"/>
              </w:rPr>
            </w:pPr>
          </w:p>
          <w:p>
            <w:pPr>
              <w:pStyle w:val="14"/>
              <w:ind w:left="6"/>
              <w:rPr>
                <w:rFonts w:ascii="Times New Roman"/>
                <w:sz w:val="21"/>
              </w:rPr>
            </w:pPr>
            <w:r>
              <w:rPr>
                <w:rFonts w:ascii="Times New Roman"/>
                <w:w w:val="99"/>
                <w:sz w:val="21"/>
              </w:rPr>
              <w:t>6</w:t>
            </w:r>
          </w:p>
        </w:tc>
        <w:tc>
          <w:tcPr>
            <w:tcW w:w="720" w:type="dxa"/>
            <w:vMerge w:val="restart"/>
          </w:tcPr>
          <w:p>
            <w:pPr>
              <w:pStyle w:val="14"/>
              <w:spacing w:before="6"/>
              <w:jc w:val="left"/>
              <w:rPr>
                <w:b/>
                <w:sz w:val="16"/>
              </w:rPr>
            </w:pPr>
          </w:p>
          <w:p>
            <w:pPr>
              <w:pStyle w:val="14"/>
              <w:ind w:left="10"/>
              <w:rPr>
                <w:sz w:val="21"/>
              </w:rPr>
            </w:pPr>
            <w:r>
              <w:rPr>
                <w:w w:val="99"/>
                <w:sz w:val="21"/>
              </w:rPr>
              <w:t>铜</w:t>
            </w:r>
          </w:p>
        </w:tc>
        <w:tc>
          <w:tcPr>
            <w:tcW w:w="810" w:type="dxa"/>
          </w:tcPr>
          <w:p>
            <w:pPr>
              <w:pStyle w:val="14"/>
              <w:spacing w:before="46" w:line="254" w:lineRule="exact"/>
              <w:ind w:left="174" w:right="166"/>
              <w:rPr>
                <w:sz w:val="21"/>
              </w:rPr>
            </w:pPr>
            <w:r>
              <w:rPr>
                <w:sz w:val="21"/>
              </w:rPr>
              <w:t>水田</w:t>
            </w:r>
          </w:p>
        </w:tc>
        <w:tc>
          <w:tcPr>
            <w:tcW w:w="1381" w:type="dxa"/>
          </w:tcPr>
          <w:p>
            <w:pPr>
              <w:pStyle w:val="14"/>
              <w:spacing w:before="60" w:line="240" w:lineRule="exact"/>
              <w:ind w:left="199" w:right="189"/>
              <w:rPr>
                <w:rFonts w:ascii="Times New Roman"/>
                <w:sz w:val="21"/>
              </w:rPr>
            </w:pPr>
            <w:r>
              <w:rPr>
                <w:rFonts w:ascii="Times New Roman"/>
                <w:sz w:val="21"/>
              </w:rPr>
              <w:t>150</w:t>
            </w:r>
          </w:p>
        </w:tc>
        <w:tc>
          <w:tcPr>
            <w:tcW w:w="1381" w:type="dxa"/>
          </w:tcPr>
          <w:p>
            <w:pPr>
              <w:pStyle w:val="14"/>
              <w:spacing w:before="60" w:line="240" w:lineRule="exact"/>
              <w:ind w:left="531"/>
              <w:jc w:val="left"/>
              <w:rPr>
                <w:rFonts w:ascii="Times New Roman"/>
                <w:sz w:val="21"/>
              </w:rPr>
            </w:pPr>
            <w:r>
              <w:rPr>
                <w:rFonts w:ascii="Times New Roman"/>
                <w:sz w:val="21"/>
              </w:rPr>
              <w:t>150</w:t>
            </w:r>
          </w:p>
        </w:tc>
        <w:tc>
          <w:tcPr>
            <w:tcW w:w="1381" w:type="dxa"/>
          </w:tcPr>
          <w:p>
            <w:pPr>
              <w:pStyle w:val="14"/>
              <w:spacing w:before="60" w:line="240" w:lineRule="exact"/>
              <w:ind w:left="533"/>
              <w:jc w:val="left"/>
              <w:rPr>
                <w:rFonts w:ascii="Times New Roman"/>
                <w:sz w:val="21"/>
              </w:rPr>
            </w:pPr>
            <w:r>
              <w:rPr>
                <w:rFonts w:ascii="Times New Roman"/>
                <w:sz w:val="21"/>
              </w:rPr>
              <w:t>200</w:t>
            </w:r>
          </w:p>
        </w:tc>
        <w:tc>
          <w:tcPr>
            <w:tcW w:w="1383" w:type="dxa"/>
          </w:tcPr>
          <w:p>
            <w:pPr>
              <w:pStyle w:val="14"/>
              <w:spacing w:before="60" w:line="240" w:lineRule="exact"/>
              <w:ind w:left="306" w:right="295"/>
              <w:rPr>
                <w:rFonts w:ascii="Times New Roman"/>
                <w:sz w:val="21"/>
              </w:rPr>
            </w:pPr>
            <w:r>
              <w:rPr>
                <w:rFonts w:ascii="Times New Roman"/>
                <w:sz w:val="21"/>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44" w:type="dxa"/>
            <w:vMerge w:val="continue"/>
            <w:tcBorders>
              <w:top w:val="nil"/>
            </w:tcBorders>
          </w:tcPr>
          <w:p>
            <w:pPr>
              <w:rPr>
                <w:sz w:val="2"/>
                <w:szCs w:val="2"/>
              </w:rPr>
            </w:pPr>
          </w:p>
        </w:tc>
        <w:tc>
          <w:tcPr>
            <w:tcW w:w="720" w:type="dxa"/>
            <w:vMerge w:val="continue"/>
            <w:tcBorders>
              <w:top w:val="nil"/>
            </w:tcBorders>
          </w:tcPr>
          <w:p>
            <w:pPr>
              <w:rPr>
                <w:sz w:val="2"/>
                <w:szCs w:val="2"/>
              </w:rPr>
            </w:pPr>
          </w:p>
        </w:tc>
        <w:tc>
          <w:tcPr>
            <w:tcW w:w="810" w:type="dxa"/>
          </w:tcPr>
          <w:p>
            <w:pPr>
              <w:pStyle w:val="14"/>
              <w:spacing w:before="47" w:line="253" w:lineRule="exact"/>
              <w:ind w:left="174" w:right="166"/>
              <w:rPr>
                <w:sz w:val="21"/>
              </w:rPr>
            </w:pPr>
            <w:r>
              <w:rPr>
                <w:sz w:val="21"/>
              </w:rPr>
              <w:t>其他</w:t>
            </w:r>
          </w:p>
        </w:tc>
        <w:tc>
          <w:tcPr>
            <w:tcW w:w="1381" w:type="dxa"/>
          </w:tcPr>
          <w:p>
            <w:pPr>
              <w:pStyle w:val="14"/>
              <w:spacing w:before="61" w:line="239" w:lineRule="exact"/>
              <w:ind w:left="199" w:right="189"/>
              <w:rPr>
                <w:rFonts w:ascii="Times New Roman"/>
                <w:sz w:val="21"/>
              </w:rPr>
            </w:pPr>
            <w:r>
              <w:rPr>
                <w:rFonts w:ascii="Times New Roman"/>
                <w:sz w:val="21"/>
              </w:rPr>
              <w:t>50</w:t>
            </w:r>
          </w:p>
        </w:tc>
        <w:tc>
          <w:tcPr>
            <w:tcW w:w="1381" w:type="dxa"/>
          </w:tcPr>
          <w:p>
            <w:pPr>
              <w:pStyle w:val="14"/>
              <w:spacing w:before="61" w:line="239" w:lineRule="exact"/>
              <w:ind w:left="584"/>
              <w:jc w:val="left"/>
              <w:rPr>
                <w:rFonts w:ascii="Times New Roman"/>
                <w:sz w:val="21"/>
              </w:rPr>
            </w:pPr>
            <w:r>
              <w:rPr>
                <w:rFonts w:ascii="Times New Roman"/>
                <w:sz w:val="21"/>
              </w:rPr>
              <w:t>50</w:t>
            </w:r>
          </w:p>
        </w:tc>
        <w:tc>
          <w:tcPr>
            <w:tcW w:w="1381" w:type="dxa"/>
          </w:tcPr>
          <w:p>
            <w:pPr>
              <w:pStyle w:val="14"/>
              <w:spacing w:before="61" w:line="239" w:lineRule="exact"/>
              <w:ind w:left="533"/>
              <w:jc w:val="left"/>
              <w:rPr>
                <w:rFonts w:ascii="Times New Roman"/>
                <w:sz w:val="21"/>
              </w:rPr>
            </w:pPr>
            <w:r>
              <w:rPr>
                <w:rFonts w:ascii="Times New Roman"/>
                <w:sz w:val="21"/>
              </w:rPr>
              <w:t>100</w:t>
            </w:r>
          </w:p>
        </w:tc>
        <w:tc>
          <w:tcPr>
            <w:tcW w:w="1383" w:type="dxa"/>
          </w:tcPr>
          <w:p>
            <w:pPr>
              <w:pStyle w:val="14"/>
              <w:spacing w:before="61" w:line="239" w:lineRule="exact"/>
              <w:ind w:left="306" w:right="295"/>
              <w:rPr>
                <w:rFonts w:ascii="Times New Roman"/>
                <w:sz w:val="21"/>
              </w:rPr>
            </w:pPr>
            <w:r>
              <w:rPr>
                <w:rFonts w:ascii="Times New Roman"/>
                <w:sz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44" w:type="dxa"/>
          </w:tcPr>
          <w:p>
            <w:pPr>
              <w:pStyle w:val="14"/>
              <w:spacing w:before="60" w:line="240" w:lineRule="exact"/>
              <w:ind w:left="6"/>
              <w:rPr>
                <w:rFonts w:ascii="Times New Roman"/>
                <w:sz w:val="21"/>
              </w:rPr>
            </w:pPr>
            <w:r>
              <w:rPr>
                <w:rFonts w:ascii="Times New Roman"/>
                <w:w w:val="99"/>
                <w:sz w:val="21"/>
              </w:rPr>
              <w:t>7</w:t>
            </w:r>
          </w:p>
        </w:tc>
        <w:tc>
          <w:tcPr>
            <w:tcW w:w="1530" w:type="dxa"/>
            <w:gridSpan w:val="2"/>
          </w:tcPr>
          <w:p>
            <w:pPr>
              <w:pStyle w:val="14"/>
              <w:spacing w:before="46" w:line="254" w:lineRule="exact"/>
              <w:ind w:left="6"/>
              <w:rPr>
                <w:sz w:val="21"/>
              </w:rPr>
            </w:pPr>
            <w:r>
              <w:rPr>
                <w:w w:val="99"/>
                <w:sz w:val="21"/>
              </w:rPr>
              <w:t>镍</w:t>
            </w:r>
          </w:p>
        </w:tc>
        <w:tc>
          <w:tcPr>
            <w:tcW w:w="1381" w:type="dxa"/>
          </w:tcPr>
          <w:p>
            <w:pPr>
              <w:pStyle w:val="14"/>
              <w:spacing w:before="60" w:line="240" w:lineRule="exact"/>
              <w:ind w:left="199" w:right="189"/>
              <w:rPr>
                <w:rFonts w:ascii="Times New Roman"/>
                <w:sz w:val="21"/>
              </w:rPr>
            </w:pPr>
            <w:r>
              <w:rPr>
                <w:rFonts w:ascii="Times New Roman"/>
                <w:sz w:val="21"/>
              </w:rPr>
              <w:t>60</w:t>
            </w:r>
          </w:p>
        </w:tc>
        <w:tc>
          <w:tcPr>
            <w:tcW w:w="1381" w:type="dxa"/>
          </w:tcPr>
          <w:p>
            <w:pPr>
              <w:pStyle w:val="14"/>
              <w:spacing w:before="60" w:line="240" w:lineRule="exact"/>
              <w:ind w:left="584"/>
              <w:jc w:val="left"/>
              <w:rPr>
                <w:rFonts w:ascii="Times New Roman"/>
                <w:sz w:val="21"/>
              </w:rPr>
            </w:pPr>
            <w:r>
              <w:rPr>
                <w:rFonts w:ascii="Times New Roman"/>
                <w:sz w:val="21"/>
              </w:rPr>
              <w:t>70</w:t>
            </w:r>
          </w:p>
        </w:tc>
        <w:tc>
          <w:tcPr>
            <w:tcW w:w="1381" w:type="dxa"/>
          </w:tcPr>
          <w:p>
            <w:pPr>
              <w:pStyle w:val="14"/>
              <w:spacing w:before="60" w:line="240" w:lineRule="exact"/>
              <w:ind w:left="533"/>
              <w:jc w:val="left"/>
              <w:rPr>
                <w:rFonts w:ascii="Times New Roman"/>
                <w:sz w:val="21"/>
              </w:rPr>
            </w:pPr>
            <w:r>
              <w:rPr>
                <w:rFonts w:ascii="Times New Roman"/>
                <w:sz w:val="21"/>
              </w:rPr>
              <w:t>100</w:t>
            </w:r>
          </w:p>
        </w:tc>
        <w:tc>
          <w:tcPr>
            <w:tcW w:w="1383" w:type="dxa"/>
          </w:tcPr>
          <w:p>
            <w:pPr>
              <w:pStyle w:val="14"/>
              <w:spacing w:before="60" w:line="240" w:lineRule="exact"/>
              <w:ind w:left="306" w:right="295"/>
              <w:rPr>
                <w:rFonts w:ascii="Times New Roman"/>
                <w:sz w:val="21"/>
              </w:rPr>
            </w:pPr>
            <w:r>
              <w:rPr>
                <w:rFonts w:ascii="Times New Roman"/>
                <w:sz w:val="21"/>
              </w:rPr>
              <w:t>190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44" w:type="dxa"/>
          </w:tcPr>
          <w:p>
            <w:pPr>
              <w:pStyle w:val="14"/>
              <w:spacing w:before="61" w:line="239" w:lineRule="exact"/>
              <w:ind w:left="6"/>
              <w:rPr>
                <w:rFonts w:ascii="Times New Roman"/>
                <w:sz w:val="21"/>
              </w:rPr>
            </w:pPr>
            <w:r>
              <w:rPr>
                <w:rFonts w:ascii="Times New Roman"/>
                <w:w w:val="99"/>
                <w:sz w:val="21"/>
              </w:rPr>
              <w:t>8</w:t>
            </w:r>
          </w:p>
        </w:tc>
        <w:tc>
          <w:tcPr>
            <w:tcW w:w="1530" w:type="dxa"/>
            <w:gridSpan w:val="2"/>
          </w:tcPr>
          <w:p>
            <w:pPr>
              <w:pStyle w:val="14"/>
              <w:spacing w:before="47" w:line="253" w:lineRule="exact"/>
              <w:ind w:left="6"/>
              <w:rPr>
                <w:sz w:val="21"/>
              </w:rPr>
            </w:pPr>
            <w:r>
              <w:rPr>
                <w:w w:val="99"/>
                <w:sz w:val="21"/>
              </w:rPr>
              <w:t>锌</w:t>
            </w:r>
          </w:p>
        </w:tc>
        <w:tc>
          <w:tcPr>
            <w:tcW w:w="1381" w:type="dxa"/>
          </w:tcPr>
          <w:p>
            <w:pPr>
              <w:pStyle w:val="14"/>
              <w:spacing w:before="61" w:line="239" w:lineRule="exact"/>
              <w:ind w:left="199" w:right="189"/>
              <w:rPr>
                <w:rFonts w:ascii="Times New Roman"/>
                <w:sz w:val="21"/>
              </w:rPr>
            </w:pPr>
            <w:r>
              <w:rPr>
                <w:rFonts w:ascii="Times New Roman"/>
                <w:sz w:val="21"/>
              </w:rPr>
              <w:t>200</w:t>
            </w:r>
          </w:p>
        </w:tc>
        <w:tc>
          <w:tcPr>
            <w:tcW w:w="1381" w:type="dxa"/>
          </w:tcPr>
          <w:p>
            <w:pPr>
              <w:pStyle w:val="14"/>
              <w:spacing w:before="61" w:line="239" w:lineRule="exact"/>
              <w:ind w:left="531"/>
              <w:jc w:val="left"/>
              <w:rPr>
                <w:rFonts w:ascii="Times New Roman"/>
                <w:sz w:val="21"/>
              </w:rPr>
            </w:pPr>
            <w:r>
              <w:rPr>
                <w:rFonts w:ascii="Times New Roman"/>
                <w:sz w:val="21"/>
              </w:rPr>
              <w:t>200</w:t>
            </w:r>
          </w:p>
        </w:tc>
        <w:tc>
          <w:tcPr>
            <w:tcW w:w="1381" w:type="dxa"/>
          </w:tcPr>
          <w:p>
            <w:pPr>
              <w:pStyle w:val="14"/>
              <w:spacing w:before="61" w:line="239" w:lineRule="exact"/>
              <w:ind w:left="533"/>
              <w:jc w:val="left"/>
              <w:rPr>
                <w:rFonts w:ascii="Times New Roman"/>
                <w:sz w:val="21"/>
              </w:rPr>
            </w:pPr>
            <w:r>
              <w:rPr>
                <w:rFonts w:ascii="Times New Roman"/>
                <w:sz w:val="21"/>
              </w:rPr>
              <w:t>250</w:t>
            </w:r>
          </w:p>
        </w:tc>
        <w:tc>
          <w:tcPr>
            <w:tcW w:w="1383" w:type="dxa"/>
          </w:tcPr>
          <w:p>
            <w:pPr>
              <w:pStyle w:val="14"/>
              <w:spacing w:before="61" w:line="239" w:lineRule="exact"/>
              <w:ind w:left="306" w:right="295"/>
              <w:rPr>
                <w:rFonts w:ascii="Times New Roman"/>
                <w:sz w:val="21"/>
              </w:rPr>
            </w:pPr>
            <w:r>
              <w:rPr>
                <w:rFonts w:ascii="Times New Roman"/>
                <w:sz w:val="21"/>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7800" w:type="dxa"/>
            <w:gridSpan w:val="7"/>
          </w:tcPr>
          <w:p>
            <w:pPr>
              <w:pStyle w:val="14"/>
              <w:spacing w:before="46"/>
              <w:ind w:left="106"/>
              <w:jc w:val="left"/>
              <w:rPr>
                <w:sz w:val="21"/>
              </w:rPr>
            </w:pPr>
            <w:r>
              <w:rPr>
                <w:sz w:val="21"/>
              </w:rPr>
              <w:t>注：①重金属和类金属砷均按元素总量计。</w:t>
            </w:r>
          </w:p>
          <w:p>
            <w:pPr>
              <w:pStyle w:val="14"/>
              <w:spacing w:before="50" w:line="255" w:lineRule="exact"/>
              <w:ind w:left="526"/>
              <w:jc w:val="left"/>
              <w:rPr>
                <w:sz w:val="21"/>
              </w:rPr>
            </w:pPr>
            <w:r>
              <w:rPr>
                <w:sz w:val="21"/>
              </w:rPr>
              <w:t>②对于水旱轮作地，采用其中较严格的风险筛选值。</w:t>
            </w:r>
          </w:p>
        </w:tc>
      </w:tr>
    </w:tbl>
    <w:p>
      <w:pPr>
        <w:spacing w:before="122"/>
        <w:ind w:left="1553" w:right="1585" w:firstLine="0"/>
        <w:jc w:val="center"/>
        <w:rPr>
          <w:b/>
          <w:sz w:val="24"/>
        </w:rPr>
      </w:pPr>
      <w:r>
        <w:rPr>
          <w:b/>
          <w:sz w:val="24"/>
        </w:rPr>
        <w:t xml:space="preserve">表 </w:t>
      </w:r>
      <w:r>
        <w:rPr>
          <w:rFonts w:ascii="Times New Roman" w:eastAsia="Times New Roman"/>
          <w:b/>
          <w:sz w:val="24"/>
        </w:rPr>
        <w:t xml:space="preserve">2.3-3  </w:t>
      </w:r>
      <w:r>
        <w:rPr>
          <w:b/>
          <w:sz w:val="24"/>
        </w:rPr>
        <w:t>污染物排放标准</w:t>
      </w:r>
    </w:p>
    <w:tbl>
      <w:tblPr>
        <w:tblStyle w:val="10"/>
        <w:tblW w:w="0" w:type="auto"/>
        <w:tblInd w:w="9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6"/>
        <w:gridCol w:w="4238"/>
        <w:gridCol w:w="1209"/>
        <w:gridCol w:w="979"/>
        <w:gridCol w:w="521"/>
        <w:gridCol w:w="9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66" w:type="dxa"/>
            <w:vMerge w:val="restart"/>
          </w:tcPr>
          <w:p>
            <w:pPr>
              <w:pStyle w:val="14"/>
              <w:spacing w:before="140"/>
              <w:ind w:left="122"/>
              <w:jc w:val="left"/>
              <w:rPr>
                <w:sz w:val="21"/>
              </w:rPr>
            </w:pPr>
            <w:r>
              <w:rPr>
                <w:sz w:val="21"/>
              </w:rPr>
              <w:t>类别</w:t>
            </w:r>
          </w:p>
        </w:tc>
        <w:tc>
          <w:tcPr>
            <w:tcW w:w="4238" w:type="dxa"/>
            <w:vMerge w:val="restart"/>
          </w:tcPr>
          <w:p>
            <w:pPr>
              <w:pStyle w:val="14"/>
              <w:spacing w:before="140"/>
              <w:ind w:left="1068"/>
              <w:jc w:val="left"/>
              <w:rPr>
                <w:sz w:val="21"/>
              </w:rPr>
            </w:pPr>
            <w:r>
              <w:rPr>
                <w:sz w:val="21"/>
              </w:rPr>
              <w:t>标准名称及级（类）别</w:t>
            </w:r>
          </w:p>
        </w:tc>
        <w:tc>
          <w:tcPr>
            <w:tcW w:w="1209" w:type="dxa"/>
            <w:vMerge w:val="restart"/>
          </w:tcPr>
          <w:p>
            <w:pPr>
              <w:pStyle w:val="14"/>
              <w:spacing w:before="140"/>
              <w:ind w:left="183"/>
              <w:jc w:val="left"/>
              <w:rPr>
                <w:sz w:val="21"/>
              </w:rPr>
            </w:pPr>
            <w:r>
              <w:rPr>
                <w:sz w:val="21"/>
              </w:rPr>
              <w:t>污染因子</w:t>
            </w:r>
          </w:p>
        </w:tc>
        <w:tc>
          <w:tcPr>
            <w:tcW w:w="2409" w:type="dxa"/>
            <w:gridSpan w:val="3"/>
          </w:tcPr>
          <w:p>
            <w:pPr>
              <w:pStyle w:val="14"/>
              <w:spacing w:before="1" w:line="252" w:lineRule="exact"/>
              <w:ind w:left="867" w:right="862"/>
              <w:rPr>
                <w:sz w:val="21"/>
              </w:rPr>
            </w:pPr>
            <w:r>
              <w:rPr>
                <w:sz w:val="21"/>
              </w:rPr>
              <w:t>标准值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vMerge w:val="continue"/>
            <w:tcBorders>
              <w:top w:val="nil"/>
            </w:tcBorders>
          </w:tcPr>
          <w:p>
            <w:pPr>
              <w:rPr>
                <w:sz w:val="2"/>
                <w:szCs w:val="2"/>
              </w:rPr>
            </w:pPr>
          </w:p>
        </w:tc>
        <w:tc>
          <w:tcPr>
            <w:tcW w:w="979" w:type="dxa"/>
          </w:tcPr>
          <w:p>
            <w:pPr>
              <w:pStyle w:val="14"/>
              <w:spacing w:line="252" w:lineRule="exact"/>
              <w:ind w:left="154" w:right="145"/>
              <w:rPr>
                <w:sz w:val="21"/>
              </w:rPr>
            </w:pPr>
            <w:r>
              <w:rPr>
                <w:sz w:val="21"/>
              </w:rPr>
              <w:t>单 位</w:t>
            </w:r>
          </w:p>
        </w:tc>
        <w:tc>
          <w:tcPr>
            <w:tcW w:w="1430" w:type="dxa"/>
            <w:gridSpan w:val="2"/>
          </w:tcPr>
          <w:p>
            <w:pPr>
              <w:pStyle w:val="14"/>
              <w:spacing w:line="252" w:lineRule="exact"/>
              <w:ind w:left="308" w:right="303"/>
              <w:rPr>
                <w:sz w:val="21"/>
              </w:rPr>
            </w:pPr>
            <w:r>
              <w:rPr>
                <w:sz w:val="21"/>
              </w:rPr>
              <w:t>数值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666"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2"/>
              <w:jc w:val="left"/>
              <w:rPr>
                <w:b/>
                <w:sz w:val="17"/>
              </w:rPr>
            </w:pPr>
          </w:p>
          <w:p>
            <w:pPr>
              <w:pStyle w:val="14"/>
              <w:ind w:left="122"/>
              <w:jc w:val="left"/>
              <w:rPr>
                <w:sz w:val="21"/>
              </w:rPr>
            </w:pPr>
            <w:r>
              <w:rPr>
                <w:sz w:val="21"/>
              </w:rPr>
              <w:t>废气</w:t>
            </w:r>
          </w:p>
        </w:tc>
        <w:tc>
          <w:tcPr>
            <w:tcW w:w="4238" w:type="dxa"/>
            <w:vMerge w:val="restart"/>
          </w:tcPr>
          <w:p>
            <w:pPr>
              <w:pStyle w:val="14"/>
              <w:jc w:val="left"/>
              <w:rPr>
                <w:b/>
                <w:sz w:val="20"/>
              </w:rPr>
            </w:pPr>
          </w:p>
          <w:p>
            <w:pPr>
              <w:pStyle w:val="14"/>
              <w:spacing w:before="1"/>
              <w:ind w:left="102" w:right="95"/>
              <w:rPr>
                <w:sz w:val="21"/>
              </w:rPr>
            </w:pPr>
            <w:r>
              <w:rPr>
                <w:sz w:val="21"/>
              </w:rPr>
              <w:t>锅炉参照执行《锅炉大气污染物排放标准》</w:t>
            </w:r>
          </w:p>
          <w:p>
            <w:pPr>
              <w:pStyle w:val="14"/>
              <w:spacing w:before="2"/>
              <w:ind w:left="102" w:right="95"/>
              <w:rPr>
                <w:sz w:val="21"/>
              </w:rPr>
            </w:pPr>
            <w:r>
              <w:rPr>
                <w:sz w:val="21"/>
              </w:rPr>
              <w:t>（</w:t>
            </w:r>
            <w:r>
              <w:rPr>
                <w:rFonts w:ascii="Times New Roman" w:eastAsia="Times New Roman"/>
                <w:sz w:val="21"/>
              </w:rPr>
              <w:t>GB13271-2014</w:t>
            </w:r>
            <w:r>
              <w:rPr>
                <w:sz w:val="21"/>
              </w:rPr>
              <w:t xml:space="preserve">）表 </w:t>
            </w:r>
            <w:r>
              <w:rPr>
                <w:rFonts w:ascii="Times New Roman" w:eastAsia="Times New Roman"/>
                <w:sz w:val="21"/>
              </w:rPr>
              <w:t xml:space="preserve">2 </w:t>
            </w:r>
            <w:r>
              <w:rPr>
                <w:sz w:val="21"/>
              </w:rPr>
              <w:t>燃煤锅炉标准</w:t>
            </w:r>
          </w:p>
        </w:tc>
        <w:tc>
          <w:tcPr>
            <w:tcW w:w="1209" w:type="dxa"/>
          </w:tcPr>
          <w:p>
            <w:pPr>
              <w:pStyle w:val="14"/>
              <w:spacing w:before="29"/>
              <w:ind w:left="178" w:right="175"/>
              <w:rPr>
                <w:sz w:val="21"/>
              </w:rPr>
            </w:pPr>
            <w:r>
              <w:rPr>
                <w:sz w:val="21"/>
              </w:rPr>
              <w:t>烟尘</w:t>
            </w:r>
          </w:p>
        </w:tc>
        <w:tc>
          <w:tcPr>
            <w:tcW w:w="979" w:type="dxa"/>
            <w:vMerge w:val="restart"/>
          </w:tcPr>
          <w:p>
            <w:pPr>
              <w:pStyle w:val="14"/>
              <w:spacing w:before="10"/>
              <w:jc w:val="left"/>
              <w:rPr>
                <w:b/>
                <w:sz w:val="31"/>
              </w:rPr>
            </w:pPr>
          </w:p>
          <w:p>
            <w:pPr>
              <w:pStyle w:val="14"/>
              <w:ind w:left="210"/>
              <w:jc w:val="left"/>
              <w:rPr>
                <w:rFonts w:ascii="Times New Roman"/>
                <w:sz w:val="13"/>
              </w:rPr>
            </w:pPr>
            <w:r>
              <w:rPr>
                <w:rFonts w:ascii="Times New Roman"/>
                <w:sz w:val="21"/>
              </w:rPr>
              <w:t>mg/m</w:t>
            </w:r>
            <w:r>
              <w:rPr>
                <w:rFonts w:ascii="Times New Roman"/>
                <w:position w:val="7"/>
                <w:sz w:val="13"/>
              </w:rPr>
              <w:t>3</w:t>
            </w:r>
          </w:p>
        </w:tc>
        <w:tc>
          <w:tcPr>
            <w:tcW w:w="1430" w:type="dxa"/>
            <w:gridSpan w:val="2"/>
          </w:tcPr>
          <w:p>
            <w:pPr>
              <w:pStyle w:val="14"/>
              <w:spacing w:before="45"/>
              <w:ind w:left="311" w:right="303"/>
              <w:rPr>
                <w:rFonts w:ascii="Times New Roman"/>
                <w:sz w:val="21"/>
              </w:rPr>
            </w:pPr>
            <w:r>
              <w:rPr>
                <w:rFonts w:ascii="Times New Roman"/>
                <w:sz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before="51"/>
              <w:ind w:left="183" w:right="174"/>
              <w:rPr>
                <w:rFonts w:ascii="Times New Roman"/>
                <w:sz w:val="21"/>
              </w:rPr>
            </w:pPr>
            <w:r>
              <w:rPr>
                <w:rFonts w:ascii="Times New Roman"/>
                <w:position w:val="2"/>
                <w:sz w:val="21"/>
              </w:rPr>
              <w:t>SO</w:t>
            </w:r>
            <w:r>
              <w:rPr>
                <w:rFonts w:ascii="Times New Roman"/>
                <w:position w:val="2"/>
                <w:sz w:val="21"/>
                <w:vertAlign w:val="subscript"/>
              </w:rPr>
              <w:t>2</w:t>
            </w:r>
          </w:p>
        </w:tc>
        <w:tc>
          <w:tcPr>
            <w:tcW w:w="979" w:type="dxa"/>
            <w:vMerge w:val="continue"/>
            <w:tcBorders>
              <w:top w:val="nil"/>
            </w:tcBorders>
          </w:tcPr>
          <w:p>
            <w:pPr>
              <w:rPr>
                <w:sz w:val="2"/>
                <w:szCs w:val="2"/>
              </w:rPr>
            </w:pPr>
          </w:p>
        </w:tc>
        <w:tc>
          <w:tcPr>
            <w:tcW w:w="1430" w:type="dxa"/>
            <w:gridSpan w:val="2"/>
          </w:tcPr>
          <w:p>
            <w:pPr>
              <w:pStyle w:val="14"/>
              <w:spacing w:before="54"/>
              <w:ind w:left="311" w:right="303"/>
              <w:rPr>
                <w:rFonts w:ascii="Times New Roman"/>
                <w:sz w:val="21"/>
              </w:rPr>
            </w:pPr>
            <w:r>
              <w:rPr>
                <w:rFonts w:ascii="Times New Roman"/>
                <w:sz w:val="21"/>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before="53"/>
              <w:ind w:left="182" w:right="175"/>
              <w:rPr>
                <w:rFonts w:ascii="Times New Roman"/>
                <w:sz w:val="21"/>
              </w:rPr>
            </w:pPr>
            <w:r>
              <w:rPr>
                <w:rFonts w:ascii="Times New Roman"/>
                <w:sz w:val="21"/>
              </w:rPr>
              <w:t>NOx</w:t>
            </w:r>
          </w:p>
        </w:tc>
        <w:tc>
          <w:tcPr>
            <w:tcW w:w="979" w:type="dxa"/>
            <w:vMerge w:val="continue"/>
            <w:tcBorders>
              <w:top w:val="nil"/>
            </w:tcBorders>
          </w:tcPr>
          <w:p>
            <w:pPr>
              <w:rPr>
                <w:sz w:val="2"/>
                <w:szCs w:val="2"/>
              </w:rPr>
            </w:pPr>
          </w:p>
        </w:tc>
        <w:tc>
          <w:tcPr>
            <w:tcW w:w="1430" w:type="dxa"/>
            <w:gridSpan w:val="2"/>
          </w:tcPr>
          <w:p>
            <w:pPr>
              <w:pStyle w:val="14"/>
              <w:spacing w:before="53"/>
              <w:ind w:left="311" w:right="303"/>
              <w:rPr>
                <w:rFonts w:ascii="Times New Roman"/>
                <w:sz w:val="21"/>
              </w:rPr>
            </w:pPr>
            <w:r>
              <w:rPr>
                <w:rFonts w:ascii="Times New Roman"/>
                <w:sz w:val="21"/>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666" w:type="dxa"/>
            <w:vMerge w:val="continue"/>
            <w:tcBorders>
              <w:top w:val="nil"/>
            </w:tcBorders>
          </w:tcPr>
          <w:p>
            <w:pPr>
              <w:rPr>
                <w:sz w:val="2"/>
                <w:szCs w:val="2"/>
              </w:rPr>
            </w:pPr>
          </w:p>
        </w:tc>
        <w:tc>
          <w:tcPr>
            <w:tcW w:w="4238" w:type="dxa"/>
            <w:vMerge w:val="restart"/>
          </w:tcPr>
          <w:p>
            <w:pPr>
              <w:pStyle w:val="14"/>
              <w:spacing w:before="84"/>
              <w:ind w:left="102" w:right="95"/>
              <w:rPr>
                <w:sz w:val="21"/>
              </w:rPr>
            </w:pPr>
            <w:r>
              <w:rPr>
                <w:sz w:val="21"/>
              </w:rPr>
              <w:t>《工业炉窑大气污染物排放标准》</w:t>
            </w:r>
          </w:p>
          <w:p>
            <w:pPr>
              <w:pStyle w:val="14"/>
              <w:spacing w:before="3"/>
              <w:ind w:left="102" w:right="89"/>
              <w:rPr>
                <w:rFonts w:ascii="Times New Roman" w:eastAsia="Times New Roman"/>
                <w:sz w:val="21"/>
              </w:rPr>
            </w:pPr>
            <w:r>
              <w:rPr>
                <w:sz w:val="21"/>
              </w:rPr>
              <w:t>（</w:t>
            </w:r>
            <w:r>
              <w:rPr>
                <w:rFonts w:ascii="Times New Roman" w:eastAsia="Times New Roman"/>
                <w:sz w:val="21"/>
              </w:rPr>
              <w:t>GB9078-1996</w:t>
            </w:r>
            <w:r>
              <w:rPr>
                <w:sz w:val="21"/>
              </w:rPr>
              <w:t xml:space="preserve">）中表 </w:t>
            </w:r>
            <w:r>
              <w:rPr>
                <w:rFonts w:ascii="Times New Roman" w:eastAsia="Times New Roman"/>
                <w:sz w:val="21"/>
              </w:rPr>
              <w:t xml:space="preserve">2 </w:t>
            </w:r>
            <w:r>
              <w:rPr>
                <w:sz w:val="21"/>
              </w:rPr>
              <w:t xml:space="preserve">及表 </w:t>
            </w:r>
            <w:r>
              <w:rPr>
                <w:rFonts w:ascii="Times New Roman" w:eastAsia="Times New Roman"/>
                <w:sz w:val="21"/>
              </w:rPr>
              <w:t>4</w:t>
            </w:r>
          </w:p>
        </w:tc>
        <w:tc>
          <w:tcPr>
            <w:tcW w:w="1209" w:type="dxa"/>
          </w:tcPr>
          <w:p>
            <w:pPr>
              <w:pStyle w:val="14"/>
              <w:spacing w:before="39"/>
              <w:ind w:left="178" w:right="175"/>
              <w:rPr>
                <w:sz w:val="21"/>
              </w:rPr>
            </w:pPr>
            <w:r>
              <w:rPr>
                <w:sz w:val="21"/>
              </w:rPr>
              <w:t>烟尘</w:t>
            </w:r>
          </w:p>
        </w:tc>
        <w:tc>
          <w:tcPr>
            <w:tcW w:w="979" w:type="dxa"/>
            <w:vMerge w:val="restart"/>
          </w:tcPr>
          <w:p>
            <w:pPr>
              <w:pStyle w:val="14"/>
              <w:spacing w:before="4"/>
              <w:jc w:val="left"/>
              <w:rPr>
                <w:b/>
                <w:sz w:val="18"/>
              </w:rPr>
            </w:pPr>
          </w:p>
          <w:p>
            <w:pPr>
              <w:pStyle w:val="14"/>
              <w:spacing w:before="1"/>
              <w:ind w:left="210"/>
              <w:jc w:val="left"/>
              <w:rPr>
                <w:rFonts w:ascii="Times New Roman"/>
                <w:sz w:val="13"/>
              </w:rPr>
            </w:pPr>
            <w:r>
              <w:rPr>
                <w:rFonts w:ascii="Times New Roman"/>
                <w:sz w:val="21"/>
              </w:rPr>
              <w:t>mg/m</w:t>
            </w:r>
            <w:r>
              <w:rPr>
                <w:rFonts w:ascii="Times New Roman"/>
                <w:position w:val="7"/>
                <w:sz w:val="13"/>
              </w:rPr>
              <w:t>3</w:t>
            </w:r>
          </w:p>
        </w:tc>
        <w:tc>
          <w:tcPr>
            <w:tcW w:w="1430" w:type="dxa"/>
            <w:gridSpan w:val="2"/>
          </w:tcPr>
          <w:p>
            <w:pPr>
              <w:pStyle w:val="14"/>
              <w:spacing w:before="29"/>
              <w:ind w:left="311" w:right="303"/>
              <w:rPr>
                <w:rFonts w:ascii="Times New Roman"/>
                <w:sz w:val="21"/>
              </w:rPr>
            </w:pPr>
            <w:r>
              <w:rPr>
                <w:rFonts w:ascii="Times New Roman"/>
                <w:sz w:val="21"/>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before="51"/>
              <w:ind w:left="183" w:right="174"/>
              <w:rPr>
                <w:rFonts w:ascii="Times New Roman"/>
                <w:sz w:val="21"/>
              </w:rPr>
            </w:pPr>
            <w:r>
              <w:rPr>
                <w:rFonts w:ascii="Times New Roman"/>
                <w:position w:val="2"/>
                <w:sz w:val="21"/>
              </w:rPr>
              <w:t>SO</w:t>
            </w:r>
            <w:r>
              <w:rPr>
                <w:rFonts w:ascii="Times New Roman"/>
                <w:position w:val="2"/>
                <w:sz w:val="21"/>
                <w:vertAlign w:val="subscript"/>
              </w:rPr>
              <w:t>2</w:t>
            </w:r>
          </w:p>
        </w:tc>
        <w:tc>
          <w:tcPr>
            <w:tcW w:w="979" w:type="dxa"/>
            <w:vMerge w:val="continue"/>
            <w:tcBorders>
              <w:top w:val="nil"/>
            </w:tcBorders>
          </w:tcPr>
          <w:p>
            <w:pPr>
              <w:rPr>
                <w:sz w:val="2"/>
                <w:szCs w:val="2"/>
              </w:rPr>
            </w:pPr>
          </w:p>
        </w:tc>
        <w:tc>
          <w:tcPr>
            <w:tcW w:w="1430" w:type="dxa"/>
            <w:gridSpan w:val="2"/>
          </w:tcPr>
          <w:p>
            <w:pPr>
              <w:pStyle w:val="14"/>
              <w:spacing w:before="31"/>
              <w:ind w:left="311" w:right="303"/>
              <w:rPr>
                <w:rFonts w:ascii="Times New Roman"/>
                <w:sz w:val="21"/>
              </w:rPr>
            </w:pPr>
            <w:r>
              <w:rPr>
                <w:rFonts w:ascii="Times New Roman"/>
                <w:sz w:val="21"/>
              </w:rPr>
              <w:t>850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666" w:type="dxa"/>
            <w:vMerge w:val="continue"/>
            <w:tcBorders>
              <w:top w:val="nil"/>
            </w:tcBorders>
          </w:tcPr>
          <w:p>
            <w:pPr>
              <w:rPr>
                <w:sz w:val="2"/>
                <w:szCs w:val="2"/>
              </w:rPr>
            </w:pPr>
          </w:p>
        </w:tc>
        <w:tc>
          <w:tcPr>
            <w:tcW w:w="4238" w:type="dxa"/>
          </w:tcPr>
          <w:p>
            <w:pPr>
              <w:pStyle w:val="14"/>
              <w:spacing w:line="269" w:lineRule="exact"/>
              <w:ind w:left="102" w:right="92"/>
              <w:rPr>
                <w:sz w:val="21"/>
              </w:rPr>
            </w:pPr>
            <w:r>
              <w:rPr>
                <w:sz w:val="21"/>
              </w:rPr>
              <w:t>《煤炭工业污染物排放标准》</w:t>
            </w:r>
          </w:p>
          <w:p>
            <w:pPr>
              <w:pStyle w:val="14"/>
              <w:spacing w:before="4" w:line="252" w:lineRule="exact"/>
              <w:ind w:left="102" w:right="92"/>
              <w:rPr>
                <w:sz w:val="21"/>
              </w:rPr>
            </w:pPr>
            <w:r>
              <w:rPr>
                <w:sz w:val="21"/>
              </w:rPr>
              <w:t>（</w:t>
            </w:r>
            <w:r>
              <w:rPr>
                <w:rFonts w:ascii="Times New Roman" w:eastAsia="Times New Roman"/>
                <w:sz w:val="21"/>
              </w:rPr>
              <w:t>GB20426-2006</w:t>
            </w:r>
            <w:r>
              <w:rPr>
                <w:sz w:val="21"/>
              </w:rPr>
              <w:t xml:space="preserve">）表 </w:t>
            </w:r>
            <w:r>
              <w:rPr>
                <w:rFonts w:ascii="Times New Roman" w:eastAsia="Times New Roman"/>
                <w:sz w:val="21"/>
              </w:rPr>
              <w:t xml:space="preserve">4 </w:t>
            </w:r>
            <w:r>
              <w:rPr>
                <w:sz w:val="21"/>
              </w:rPr>
              <w:t>标准限值</w:t>
            </w:r>
          </w:p>
        </w:tc>
        <w:tc>
          <w:tcPr>
            <w:tcW w:w="1209" w:type="dxa"/>
          </w:tcPr>
          <w:p>
            <w:pPr>
              <w:pStyle w:val="14"/>
              <w:spacing w:before="134"/>
              <w:ind w:left="183" w:right="175"/>
              <w:rPr>
                <w:sz w:val="21"/>
              </w:rPr>
            </w:pPr>
            <w:r>
              <w:rPr>
                <w:sz w:val="21"/>
              </w:rPr>
              <w:t>颗粒物</w:t>
            </w:r>
          </w:p>
        </w:tc>
        <w:tc>
          <w:tcPr>
            <w:tcW w:w="979" w:type="dxa"/>
          </w:tcPr>
          <w:p>
            <w:pPr>
              <w:pStyle w:val="14"/>
              <w:spacing w:before="150"/>
              <w:ind w:left="154" w:right="144"/>
              <w:rPr>
                <w:rFonts w:ascii="Times New Roman"/>
                <w:sz w:val="13"/>
              </w:rPr>
            </w:pPr>
            <w:r>
              <w:rPr>
                <w:rFonts w:ascii="Times New Roman"/>
                <w:sz w:val="21"/>
              </w:rPr>
              <w:t>mg/m</w:t>
            </w:r>
            <w:r>
              <w:rPr>
                <w:rFonts w:ascii="Times New Roman"/>
                <w:position w:val="7"/>
                <w:sz w:val="13"/>
              </w:rPr>
              <w:t>3</w:t>
            </w:r>
          </w:p>
        </w:tc>
        <w:tc>
          <w:tcPr>
            <w:tcW w:w="1430" w:type="dxa"/>
            <w:gridSpan w:val="2"/>
          </w:tcPr>
          <w:p>
            <w:pPr>
              <w:pStyle w:val="14"/>
              <w:spacing w:before="150"/>
              <w:ind w:left="311" w:right="303"/>
              <w:rPr>
                <w:rFonts w:ascii="Times New Roman"/>
                <w:sz w:val="21"/>
              </w:rPr>
            </w:pPr>
            <w:r>
              <w:rPr>
                <w:rFonts w:ascii="Times New Roman"/>
                <w:sz w:val="21"/>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0" w:hRule="atLeast"/>
        </w:trPr>
        <w:tc>
          <w:tcPr>
            <w:tcW w:w="666" w:type="dxa"/>
            <w:vMerge w:val="continue"/>
            <w:tcBorders>
              <w:top w:val="nil"/>
            </w:tcBorders>
          </w:tcPr>
          <w:p>
            <w:pPr>
              <w:rPr>
                <w:sz w:val="2"/>
                <w:szCs w:val="2"/>
              </w:rPr>
            </w:pPr>
          </w:p>
        </w:tc>
        <w:tc>
          <w:tcPr>
            <w:tcW w:w="4238" w:type="dxa"/>
          </w:tcPr>
          <w:p>
            <w:pPr>
              <w:pStyle w:val="14"/>
              <w:jc w:val="left"/>
              <w:rPr>
                <w:b/>
                <w:sz w:val="20"/>
              </w:rPr>
            </w:pPr>
          </w:p>
          <w:p>
            <w:pPr>
              <w:pStyle w:val="14"/>
              <w:spacing w:before="136"/>
              <w:ind w:left="102" w:right="92"/>
              <w:rPr>
                <w:sz w:val="21"/>
              </w:rPr>
            </w:pPr>
            <w:r>
              <w:rPr>
                <w:sz w:val="21"/>
              </w:rPr>
              <w:t>《煤炭工业污染物排放标准》</w:t>
            </w:r>
          </w:p>
          <w:p>
            <w:pPr>
              <w:pStyle w:val="14"/>
              <w:spacing w:before="2"/>
              <w:ind w:left="102" w:right="92"/>
              <w:rPr>
                <w:sz w:val="21"/>
              </w:rPr>
            </w:pPr>
            <w:r>
              <w:rPr>
                <w:sz w:val="21"/>
              </w:rPr>
              <w:t>（</w:t>
            </w:r>
            <w:r>
              <w:rPr>
                <w:rFonts w:ascii="Times New Roman" w:eastAsia="Times New Roman"/>
                <w:sz w:val="21"/>
              </w:rPr>
              <w:t>GB20426-2006</w:t>
            </w:r>
            <w:r>
              <w:rPr>
                <w:sz w:val="21"/>
              </w:rPr>
              <w:t xml:space="preserve">）表 </w:t>
            </w:r>
            <w:r>
              <w:rPr>
                <w:rFonts w:ascii="Times New Roman" w:eastAsia="Times New Roman"/>
                <w:sz w:val="21"/>
              </w:rPr>
              <w:t xml:space="preserve">5 </w:t>
            </w:r>
            <w:r>
              <w:rPr>
                <w:sz w:val="21"/>
              </w:rPr>
              <w:t>标准限值</w:t>
            </w:r>
          </w:p>
        </w:tc>
        <w:tc>
          <w:tcPr>
            <w:tcW w:w="1209" w:type="dxa"/>
          </w:tcPr>
          <w:p>
            <w:pPr>
              <w:pStyle w:val="14"/>
              <w:jc w:val="left"/>
              <w:rPr>
                <w:b/>
                <w:sz w:val="20"/>
              </w:rPr>
            </w:pPr>
          </w:p>
          <w:p>
            <w:pPr>
              <w:pStyle w:val="14"/>
              <w:spacing w:before="1"/>
              <w:jc w:val="left"/>
              <w:rPr>
                <w:b/>
                <w:sz w:val="21"/>
              </w:rPr>
            </w:pPr>
          </w:p>
          <w:p>
            <w:pPr>
              <w:pStyle w:val="14"/>
              <w:ind w:left="183" w:right="175"/>
              <w:rPr>
                <w:sz w:val="21"/>
              </w:rPr>
            </w:pPr>
            <w:r>
              <w:rPr>
                <w:sz w:val="21"/>
              </w:rPr>
              <w:t>颗粒物</w:t>
            </w:r>
          </w:p>
        </w:tc>
        <w:tc>
          <w:tcPr>
            <w:tcW w:w="979" w:type="dxa"/>
          </w:tcPr>
          <w:p>
            <w:pPr>
              <w:pStyle w:val="14"/>
              <w:jc w:val="left"/>
              <w:rPr>
                <w:b/>
                <w:sz w:val="24"/>
              </w:rPr>
            </w:pPr>
          </w:p>
          <w:p>
            <w:pPr>
              <w:pStyle w:val="14"/>
              <w:spacing w:before="5"/>
              <w:jc w:val="left"/>
              <w:rPr>
                <w:b/>
                <w:sz w:val="18"/>
              </w:rPr>
            </w:pPr>
          </w:p>
          <w:p>
            <w:pPr>
              <w:pStyle w:val="14"/>
              <w:ind w:left="154" w:right="144"/>
              <w:rPr>
                <w:rFonts w:ascii="Times New Roman"/>
                <w:sz w:val="13"/>
              </w:rPr>
            </w:pPr>
            <w:r>
              <w:rPr>
                <w:rFonts w:ascii="Times New Roman"/>
                <w:sz w:val="21"/>
              </w:rPr>
              <w:t>mg/m</w:t>
            </w:r>
            <w:r>
              <w:rPr>
                <w:rFonts w:ascii="Times New Roman"/>
                <w:position w:val="7"/>
                <w:sz w:val="13"/>
              </w:rPr>
              <w:t>3</w:t>
            </w:r>
          </w:p>
        </w:tc>
        <w:tc>
          <w:tcPr>
            <w:tcW w:w="1430" w:type="dxa"/>
            <w:gridSpan w:val="2"/>
          </w:tcPr>
          <w:p>
            <w:pPr>
              <w:pStyle w:val="14"/>
              <w:spacing w:line="242" w:lineRule="auto"/>
              <w:ind w:left="107" w:right="98"/>
              <w:jc w:val="both"/>
              <w:rPr>
                <w:sz w:val="21"/>
              </w:rPr>
            </w:pPr>
            <w:r>
              <w:rPr>
                <w:spacing w:val="28"/>
                <w:sz w:val="21"/>
              </w:rPr>
              <w:t>煤炭储存场</w:t>
            </w:r>
            <w:r>
              <w:rPr>
                <w:spacing w:val="-11"/>
                <w:sz w:val="21"/>
              </w:rPr>
              <w:t>所、煤矸石堆</w:t>
            </w:r>
            <w:r>
              <w:rPr>
                <w:spacing w:val="28"/>
                <w:sz w:val="21"/>
              </w:rPr>
              <w:t>置场周界外浓度最高点</w:t>
            </w:r>
          </w:p>
          <w:p>
            <w:pPr>
              <w:pStyle w:val="14"/>
              <w:spacing w:before="1" w:line="222" w:lineRule="exact"/>
              <w:ind w:left="107"/>
              <w:jc w:val="left"/>
              <w:rPr>
                <w:rFonts w:ascii="Times New Roman"/>
                <w:sz w:val="21"/>
              </w:rPr>
            </w:pPr>
            <w:r>
              <w:rPr>
                <w:rFonts w:ascii="Times New Roman"/>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666" w:type="dxa"/>
            <w:vMerge w:val="continue"/>
            <w:tcBorders>
              <w:top w:val="nil"/>
            </w:tcBorders>
          </w:tcPr>
          <w:p>
            <w:pPr>
              <w:rPr>
                <w:sz w:val="2"/>
                <w:szCs w:val="2"/>
              </w:rPr>
            </w:pPr>
          </w:p>
        </w:tc>
        <w:tc>
          <w:tcPr>
            <w:tcW w:w="4238" w:type="dxa"/>
          </w:tcPr>
          <w:p>
            <w:pPr>
              <w:pStyle w:val="14"/>
              <w:ind w:left="102" w:right="95"/>
              <w:rPr>
                <w:sz w:val="21"/>
              </w:rPr>
            </w:pPr>
            <w:r>
              <w:rPr>
                <w:sz w:val="21"/>
              </w:rPr>
              <w:t>建设期执行《大气污染物综合排放标准》</w:t>
            </w:r>
          </w:p>
          <w:p>
            <w:pPr>
              <w:pStyle w:val="14"/>
              <w:spacing w:before="5" w:line="251" w:lineRule="exact"/>
              <w:ind w:left="102" w:right="95"/>
              <w:rPr>
                <w:sz w:val="21"/>
              </w:rPr>
            </w:pPr>
            <w:r>
              <w:rPr>
                <w:sz w:val="21"/>
              </w:rPr>
              <w:t>（</w:t>
            </w:r>
            <w:r>
              <w:rPr>
                <w:rFonts w:ascii="Times New Roman" w:eastAsia="Times New Roman"/>
                <w:sz w:val="21"/>
              </w:rPr>
              <w:t>GB16297-1996</w:t>
            </w:r>
            <w:r>
              <w:rPr>
                <w:sz w:val="21"/>
              </w:rPr>
              <w:t>）标准限值</w:t>
            </w:r>
          </w:p>
        </w:tc>
        <w:tc>
          <w:tcPr>
            <w:tcW w:w="1209" w:type="dxa"/>
          </w:tcPr>
          <w:p>
            <w:pPr>
              <w:pStyle w:val="14"/>
              <w:spacing w:before="135"/>
              <w:ind w:left="183" w:right="175"/>
              <w:rPr>
                <w:sz w:val="21"/>
              </w:rPr>
            </w:pPr>
            <w:r>
              <w:rPr>
                <w:sz w:val="21"/>
              </w:rPr>
              <w:t>颗粒物</w:t>
            </w:r>
          </w:p>
        </w:tc>
        <w:tc>
          <w:tcPr>
            <w:tcW w:w="979" w:type="dxa"/>
          </w:tcPr>
          <w:p>
            <w:pPr>
              <w:pStyle w:val="14"/>
              <w:spacing w:before="151"/>
              <w:ind w:left="154" w:right="144"/>
              <w:rPr>
                <w:rFonts w:ascii="Times New Roman"/>
                <w:sz w:val="13"/>
              </w:rPr>
            </w:pPr>
            <w:r>
              <w:rPr>
                <w:rFonts w:ascii="Times New Roman"/>
                <w:sz w:val="21"/>
              </w:rPr>
              <w:t>mg/m</w:t>
            </w:r>
            <w:r>
              <w:rPr>
                <w:rFonts w:ascii="Times New Roman"/>
                <w:position w:val="7"/>
                <w:sz w:val="13"/>
              </w:rPr>
              <w:t>3</w:t>
            </w:r>
          </w:p>
        </w:tc>
        <w:tc>
          <w:tcPr>
            <w:tcW w:w="1430" w:type="dxa"/>
            <w:gridSpan w:val="2"/>
          </w:tcPr>
          <w:p>
            <w:pPr>
              <w:pStyle w:val="14"/>
              <w:ind w:left="189"/>
              <w:jc w:val="left"/>
              <w:rPr>
                <w:sz w:val="21"/>
              </w:rPr>
            </w:pPr>
            <w:r>
              <w:rPr>
                <w:sz w:val="21"/>
              </w:rPr>
              <w:t>周界外浓度</w:t>
            </w:r>
          </w:p>
          <w:p>
            <w:pPr>
              <w:pStyle w:val="14"/>
              <w:spacing w:before="5" w:line="251" w:lineRule="exact"/>
              <w:ind w:left="242"/>
              <w:jc w:val="left"/>
              <w:rPr>
                <w:rFonts w:ascii="Times New Roman" w:eastAsia="Times New Roman"/>
                <w:sz w:val="21"/>
              </w:rPr>
            </w:pPr>
            <w:r>
              <w:rPr>
                <w:sz w:val="21"/>
              </w:rPr>
              <w:t xml:space="preserve">最高点 </w:t>
            </w:r>
            <w:r>
              <w:rPr>
                <w:rFonts w:ascii="Times New Roman" w:eastAsia="Times New Roman"/>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7" w:hRule="atLeast"/>
        </w:trPr>
        <w:tc>
          <w:tcPr>
            <w:tcW w:w="666" w:type="dxa"/>
            <w:vMerge w:val="continue"/>
            <w:tcBorders>
              <w:top w:val="nil"/>
            </w:tcBorders>
          </w:tcPr>
          <w:p>
            <w:pPr>
              <w:rPr>
                <w:sz w:val="2"/>
                <w:szCs w:val="2"/>
              </w:rPr>
            </w:pPr>
          </w:p>
        </w:tc>
        <w:tc>
          <w:tcPr>
            <w:tcW w:w="4238" w:type="dxa"/>
            <w:vMerge w:val="restart"/>
          </w:tcPr>
          <w:p>
            <w:pPr>
              <w:pStyle w:val="14"/>
              <w:jc w:val="left"/>
              <w:rPr>
                <w:b/>
                <w:sz w:val="20"/>
              </w:rPr>
            </w:pPr>
          </w:p>
          <w:p>
            <w:pPr>
              <w:pStyle w:val="14"/>
              <w:spacing w:before="10"/>
              <w:jc w:val="left"/>
              <w:rPr>
                <w:b/>
                <w:sz w:val="26"/>
              </w:rPr>
            </w:pPr>
          </w:p>
          <w:p>
            <w:pPr>
              <w:pStyle w:val="14"/>
              <w:ind w:left="102" w:right="95"/>
              <w:rPr>
                <w:sz w:val="21"/>
              </w:rPr>
            </w:pPr>
            <w:r>
              <w:rPr>
                <w:sz w:val="21"/>
              </w:rPr>
              <w:t>《煤层气（煤矿瓦斯）排放标准（暂行）》</w:t>
            </w:r>
          </w:p>
          <w:p>
            <w:pPr>
              <w:pStyle w:val="14"/>
              <w:spacing w:before="2"/>
              <w:ind w:left="102" w:right="95"/>
              <w:rPr>
                <w:sz w:val="21"/>
              </w:rPr>
            </w:pPr>
            <w:r>
              <w:rPr>
                <w:sz w:val="21"/>
              </w:rPr>
              <w:t>（</w:t>
            </w:r>
            <w:r>
              <w:rPr>
                <w:rFonts w:ascii="Times New Roman" w:eastAsia="Times New Roman"/>
                <w:sz w:val="21"/>
              </w:rPr>
              <w:t>GB21522-2008</w:t>
            </w:r>
            <w:r>
              <w:rPr>
                <w:sz w:val="21"/>
              </w:rPr>
              <w:t>）</w:t>
            </w:r>
          </w:p>
        </w:tc>
        <w:tc>
          <w:tcPr>
            <w:tcW w:w="1209" w:type="dxa"/>
          </w:tcPr>
          <w:p>
            <w:pPr>
              <w:pStyle w:val="14"/>
              <w:spacing w:line="290" w:lineRule="auto"/>
              <w:ind w:left="183" w:right="175"/>
              <w:rPr>
                <w:sz w:val="21"/>
              </w:rPr>
            </w:pPr>
            <w:r>
              <w:rPr>
                <w:sz w:val="21"/>
              </w:rPr>
              <w:t>低浓度瓦斯</w:t>
            </w:r>
          </w:p>
          <w:p>
            <w:pPr>
              <w:pStyle w:val="14"/>
              <w:spacing w:before="4"/>
              <w:ind w:left="128" w:right="120"/>
              <w:rPr>
                <w:sz w:val="21"/>
              </w:rPr>
            </w:pPr>
            <w:r>
              <w:rPr>
                <w:rFonts w:ascii="Times New Roman" w:eastAsia="Times New Roman"/>
                <w:sz w:val="21"/>
              </w:rPr>
              <w:t>(</w:t>
            </w:r>
            <w:r>
              <w:rPr>
                <w:sz w:val="21"/>
              </w:rPr>
              <w:t>甲烷浓度</w:t>
            </w:r>
          </w:p>
          <w:p>
            <w:pPr>
              <w:pStyle w:val="14"/>
              <w:spacing w:before="57"/>
              <w:ind w:left="183" w:right="173"/>
              <w:rPr>
                <w:rFonts w:ascii="Times New Roman" w:eastAsia="Times New Roman"/>
                <w:sz w:val="21"/>
              </w:rPr>
            </w:pPr>
            <w:r>
              <w:rPr>
                <w:sz w:val="21"/>
              </w:rPr>
              <w:t>＜</w:t>
            </w:r>
            <w:r>
              <w:rPr>
                <w:rFonts w:ascii="Times New Roman" w:eastAsia="Times New Roman"/>
                <w:sz w:val="21"/>
              </w:rPr>
              <w:t>30%)</w:t>
            </w:r>
          </w:p>
        </w:tc>
        <w:tc>
          <w:tcPr>
            <w:tcW w:w="979" w:type="dxa"/>
          </w:tcPr>
          <w:p>
            <w:pPr>
              <w:pStyle w:val="14"/>
              <w:jc w:val="left"/>
              <w:rPr>
                <w:b/>
                <w:sz w:val="22"/>
              </w:rPr>
            </w:pPr>
          </w:p>
          <w:p>
            <w:pPr>
              <w:pStyle w:val="14"/>
              <w:spacing w:before="8"/>
              <w:jc w:val="left"/>
              <w:rPr>
                <w:b/>
                <w:sz w:val="17"/>
              </w:rPr>
            </w:pPr>
          </w:p>
          <w:p>
            <w:pPr>
              <w:pStyle w:val="14"/>
              <w:ind w:left="9"/>
              <w:rPr>
                <w:rFonts w:ascii="Times New Roman"/>
                <w:sz w:val="21"/>
              </w:rPr>
            </w:pPr>
            <w:r>
              <w:rPr>
                <w:rFonts w:ascii="Times New Roman"/>
                <w:w w:val="99"/>
                <w:sz w:val="21"/>
              </w:rPr>
              <w:t>/</w:t>
            </w:r>
          </w:p>
        </w:tc>
        <w:tc>
          <w:tcPr>
            <w:tcW w:w="1430" w:type="dxa"/>
            <w:gridSpan w:val="2"/>
            <w:vMerge w:val="restart"/>
          </w:tcPr>
          <w:p>
            <w:pPr>
              <w:pStyle w:val="14"/>
              <w:jc w:val="left"/>
              <w:rPr>
                <w:b/>
                <w:sz w:val="20"/>
              </w:rPr>
            </w:pPr>
          </w:p>
          <w:p>
            <w:pPr>
              <w:pStyle w:val="14"/>
              <w:jc w:val="left"/>
              <w:rPr>
                <w:b/>
                <w:sz w:val="20"/>
              </w:rPr>
            </w:pPr>
          </w:p>
          <w:p>
            <w:pPr>
              <w:pStyle w:val="14"/>
              <w:spacing w:before="6"/>
              <w:jc w:val="left"/>
              <w:rPr>
                <w:b/>
                <w:sz w:val="17"/>
              </w:rPr>
            </w:pPr>
          </w:p>
          <w:p>
            <w:pPr>
              <w:pStyle w:val="14"/>
              <w:ind w:left="189"/>
              <w:jc w:val="left"/>
              <w:rPr>
                <w:sz w:val="21"/>
              </w:rPr>
            </w:pPr>
            <w:r>
              <w:rPr>
                <w:sz w:val="21"/>
              </w:rPr>
              <w:t>煤矿回风井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before="51"/>
              <w:ind w:left="126" w:right="120"/>
              <w:rPr>
                <w:sz w:val="21"/>
              </w:rPr>
            </w:pPr>
            <w:r>
              <w:rPr>
                <w:sz w:val="21"/>
              </w:rPr>
              <w:t>风排瓦斯</w:t>
            </w:r>
          </w:p>
        </w:tc>
        <w:tc>
          <w:tcPr>
            <w:tcW w:w="979" w:type="dxa"/>
          </w:tcPr>
          <w:p>
            <w:pPr>
              <w:pStyle w:val="14"/>
              <w:spacing w:before="67"/>
              <w:ind w:left="9"/>
              <w:rPr>
                <w:rFonts w:ascii="Times New Roman"/>
                <w:sz w:val="21"/>
              </w:rPr>
            </w:pPr>
            <w:r>
              <w:rPr>
                <w:rFonts w:ascii="Times New Roman"/>
                <w:w w:val="99"/>
                <w:sz w:val="21"/>
              </w:rPr>
              <w:t>/</w:t>
            </w:r>
          </w:p>
        </w:tc>
        <w:tc>
          <w:tcPr>
            <w:tcW w:w="1430" w:type="dxa"/>
            <w:gridSpan w:val="2"/>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666" w:type="dxa"/>
            <w:vMerge w:val="continue"/>
            <w:tcBorders>
              <w:top w:val="nil"/>
            </w:tcBorders>
          </w:tcPr>
          <w:p>
            <w:pPr>
              <w:rPr>
                <w:sz w:val="2"/>
                <w:szCs w:val="2"/>
              </w:rPr>
            </w:pPr>
          </w:p>
        </w:tc>
        <w:tc>
          <w:tcPr>
            <w:tcW w:w="4238" w:type="dxa"/>
            <w:vMerge w:val="restart"/>
          </w:tcPr>
          <w:p>
            <w:pPr>
              <w:pStyle w:val="14"/>
              <w:spacing w:before="161"/>
              <w:ind w:left="102" w:right="95"/>
              <w:rPr>
                <w:sz w:val="21"/>
              </w:rPr>
            </w:pPr>
            <w:r>
              <w:rPr>
                <w:sz w:val="21"/>
              </w:rPr>
              <w:t>《饮食业油烟排放标准（试行）》</w:t>
            </w:r>
          </w:p>
          <w:p>
            <w:pPr>
              <w:pStyle w:val="14"/>
              <w:spacing w:before="2"/>
              <w:ind w:left="102" w:right="95"/>
              <w:rPr>
                <w:sz w:val="21"/>
              </w:rPr>
            </w:pPr>
            <w:r>
              <w:rPr>
                <w:sz w:val="21"/>
              </w:rPr>
              <w:t>（</w:t>
            </w:r>
            <w:r>
              <w:rPr>
                <w:rFonts w:ascii="Times New Roman" w:eastAsia="Times New Roman"/>
                <w:sz w:val="21"/>
              </w:rPr>
              <w:t>GB18483-2001</w:t>
            </w:r>
            <w:r>
              <w:rPr>
                <w:sz w:val="21"/>
              </w:rPr>
              <w:t>）大型</w:t>
            </w:r>
          </w:p>
        </w:tc>
        <w:tc>
          <w:tcPr>
            <w:tcW w:w="2709" w:type="dxa"/>
            <w:gridSpan w:val="3"/>
          </w:tcPr>
          <w:p>
            <w:pPr>
              <w:pStyle w:val="14"/>
              <w:spacing w:before="77"/>
              <w:ind w:left="109" w:right="-15"/>
              <w:jc w:val="left"/>
              <w:rPr>
                <w:sz w:val="21"/>
              </w:rPr>
            </w:pPr>
            <w:r>
              <w:rPr>
                <w:spacing w:val="-8"/>
                <w:sz w:val="21"/>
              </w:rPr>
              <w:t>最高允许排放浓度</w:t>
            </w:r>
            <w:r>
              <w:rPr>
                <w:sz w:val="21"/>
              </w:rPr>
              <w:t>（</w:t>
            </w:r>
            <w:r>
              <w:rPr>
                <w:rFonts w:ascii="Times New Roman" w:eastAsia="Times New Roman"/>
                <w:sz w:val="21"/>
              </w:rPr>
              <w:t>mg/m</w:t>
            </w:r>
            <w:r>
              <w:rPr>
                <w:rFonts w:ascii="Times New Roman" w:eastAsia="Times New Roman"/>
                <w:position w:val="7"/>
                <w:sz w:val="13"/>
              </w:rPr>
              <w:t>3</w:t>
            </w:r>
            <w:r>
              <w:rPr>
                <w:sz w:val="21"/>
              </w:rPr>
              <w:t>）</w:t>
            </w:r>
          </w:p>
        </w:tc>
        <w:tc>
          <w:tcPr>
            <w:tcW w:w="909" w:type="dxa"/>
          </w:tcPr>
          <w:p>
            <w:pPr>
              <w:pStyle w:val="14"/>
              <w:spacing w:before="91"/>
              <w:ind w:left="11"/>
              <w:rPr>
                <w:rFonts w:ascii="Times New Roman"/>
                <w:sz w:val="21"/>
              </w:rPr>
            </w:pPr>
            <w:r>
              <w:rPr>
                <w:rFonts w:ascii="Times New Roman"/>
                <w:w w:val="99"/>
                <w:sz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2709" w:type="dxa"/>
            <w:gridSpan w:val="3"/>
          </w:tcPr>
          <w:p>
            <w:pPr>
              <w:pStyle w:val="14"/>
              <w:spacing w:before="77"/>
              <w:ind w:left="106" w:right="-15"/>
              <w:jc w:val="left"/>
              <w:rPr>
                <w:sz w:val="21"/>
              </w:rPr>
            </w:pPr>
            <w:r>
              <w:rPr>
                <w:spacing w:val="-10"/>
                <w:sz w:val="21"/>
              </w:rPr>
              <w:t>净化设施最低去除效率</w:t>
            </w:r>
            <w:r>
              <w:rPr>
                <w:sz w:val="21"/>
              </w:rPr>
              <w:t>（</w:t>
            </w:r>
            <w:r>
              <w:rPr>
                <w:rFonts w:ascii="Times New Roman" w:eastAsia="Times New Roman"/>
                <w:sz w:val="21"/>
              </w:rPr>
              <w:t>%</w:t>
            </w:r>
            <w:r>
              <w:rPr>
                <w:sz w:val="21"/>
              </w:rPr>
              <w:t>）</w:t>
            </w:r>
          </w:p>
        </w:tc>
        <w:tc>
          <w:tcPr>
            <w:tcW w:w="909" w:type="dxa"/>
          </w:tcPr>
          <w:p>
            <w:pPr>
              <w:pStyle w:val="14"/>
              <w:spacing w:before="91"/>
              <w:ind w:left="327" w:right="321"/>
              <w:rPr>
                <w:rFonts w:ascii="Times New Roman"/>
                <w:sz w:val="21"/>
              </w:rPr>
            </w:pPr>
            <w:r>
              <w:rPr>
                <w:rFonts w:ascii="Times New Roman"/>
                <w:sz w:val="21"/>
              </w:rPr>
              <w:t>85</w:t>
            </w:r>
          </w:p>
        </w:tc>
      </w:tr>
    </w:tbl>
    <w:p>
      <w:pPr>
        <w:spacing w:after="0"/>
        <w:rPr>
          <w:rFonts w:ascii="Times New Roman"/>
          <w:sz w:val="21"/>
        </w:rPr>
        <w:sectPr>
          <w:pgSz w:w="11910" w:h="16840"/>
          <w:pgMar w:top="1400" w:right="720" w:bottom="1160" w:left="760" w:header="0" w:footer="895" w:gutter="0"/>
        </w:sectPr>
      </w:pPr>
    </w:p>
    <w:tbl>
      <w:tblPr>
        <w:tblStyle w:val="10"/>
        <w:tblW w:w="0" w:type="auto"/>
        <w:tblInd w:w="9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6"/>
        <w:gridCol w:w="4238"/>
        <w:gridCol w:w="1209"/>
        <w:gridCol w:w="979"/>
        <w:gridCol w:w="14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666"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8"/>
              <w:jc w:val="left"/>
              <w:rPr>
                <w:b/>
                <w:sz w:val="18"/>
              </w:rPr>
            </w:pPr>
          </w:p>
          <w:p>
            <w:pPr>
              <w:pStyle w:val="14"/>
              <w:ind w:left="122"/>
              <w:jc w:val="left"/>
              <w:rPr>
                <w:sz w:val="21"/>
              </w:rPr>
            </w:pPr>
            <w:r>
              <w:rPr>
                <w:sz w:val="21"/>
              </w:rPr>
              <w:t>废水</w:t>
            </w:r>
          </w:p>
        </w:tc>
        <w:tc>
          <w:tcPr>
            <w:tcW w:w="4238" w:type="dxa"/>
            <w:vMerge w:val="restart"/>
          </w:tcPr>
          <w:p>
            <w:pPr>
              <w:pStyle w:val="14"/>
              <w:jc w:val="left"/>
              <w:rPr>
                <w:b/>
                <w:sz w:val="20"/>
              </w:rPr>
            </w:pPr>
          </w:p>
          <w:p>
            <w:pPr>
              <w:pStyle w:val="14"/>
              <w:jc w:val="left"/>
              <w:rPr>
                <w:b/>
                <w:sz w:val="20"/>
              </w:rPr>
            </w:pPr>
          </w:p>
          <w:p>
            <w:pPr>
              <w:pStyle w:val="14"/>
              <w:spacing w:before="3"/>
              <w:jc w:val="left"/>
              <w:rPr>
                <w:b/>
                <w:sz w:val="15"/>
              </w:rPr>
            </w:pPr>
          </w:p>
          <w:p>
            <w:pPr>
              <w:pStyle w:val="14"/>
              <w:ind w:left="102" w:right="92"/>
              <w:rPr>
                <w:sz w:val="21"/>
              </w:rPr>
            </w:pPr>
            <w:r>
              <w:rPr>
                <w:sz w:val="21"/>
              </w:rPr>
              <w:t>《煤炭工业污染物排放标准》</w:t>
            </w:r>
          </w:p>
          <w:p>
            <w:pPr>
              <w:pStyle w:val="14"/>
              <w:spacing w:before="5"/>
              <w:ind w:left="102" w:right="95"/>
              <w:rPr>
                <w:sz w:val="21"/>
              </w:rPr>
            </w:pPr>
            <w:r>
              <w:rPr>
                <w:sz w:val="21"/>
              </w:rPr>
              <w:t>（</w:t>
            </w:r>
            <w:r>
              <w:rPr>
                <w:rFonts w:ascii="Times New Roman" w:eastAsia="Times New Roman"/>
                <w:sz w:val="21"/>
              </w:rPr>
              <w:t>GB20426-2006</w:t>
            </w:r>
            <w:r>
              <w:rPr>
                <w:sz w:val="21"/>
              </w:rPr>
              <w:t xml:space="preserve">）表 </w:t>
            </w:r>
            <w:r>
              <w:rPr>
                <w:rFonts w:ascii="Times New Roman" w:eastAsia="Times New Roman"/>
                <w:sz w:val="21"/>
              </w:rPr>
              <w:t>1</w:t>
            </w:r>
            <w:r>
              <w:rPr>
                <w:sz w:val="21"/>
              </w:rPr>
              <w:t>、</w:t>
            </w:r>
            <w:r>
              <w:rPr>
                <w:rFonts w:ascii="Times New Roman" w:eastAsia="Times New Roman"/>
                <w:sz w:val="21"/>
              </w:rPr>
              <w:t xml:space="preserve">2 </w:t>
            </w:r>
            <w:r>
              <w:rPr>
                <w:sz w:val="21"/>
              </w:rPr>
              <w:t>标准限值</w:t>
            </w:r>
          </w:p>
        </w:tc>
        <w:tc>
          <w:tcPr>
            <w:tcW w:w="1209" w:type="dxa"/>
          </w:tcPr>
          <w:p>
            <w:pPr>
              <w:pStyle w:val="14"/>
              <w:spacing w:before="42"/>
              <w:ind w:left="183" w:right="175"/>
              <w:rPr>
                <w:rFonts w:ascii="Times New Roman"/>
                <w:sz w:val="21"/>
              </w:rPr>
            </w:pPr>
            <w:r>
              <w:rPr>
                <w:rFonts w:ascii="Times New Roman"/>
                <w:sz w:val="21"/>
              </w:rPr>
              <w:t>pH</w:t>
            </w:r>
          </w:p>
        </w:tc>
        <w:tc>
          <w:tcPr>
            <w:tcW w:w="979" w:type="dxa"/>
          </w:tcPr>
          <w:p>
            <w:pPr>
              <w:pStyle w:val="14"/>
              <w:spacing w:before="28"/>
              <w:ind w:left="154" w:right="145"/>
              <w:rPr>
                <w:sz w:val="21"/>
              </w:rPr>
            </w:pPr>
            <w:r>
              <w:rPr>
                <w:sz w:val="21"/>
              </w:rPr>
              <w:t>无量纲</w:t>
            </w:r>
          </w:p>
        </w:tc>
        <w:tc>
          <w:tcPr>
            <w:tcW w:w="1430" w:type="dxa"/>
          </w:tcPr>
          <w:p>
            <w:pPr>
              <w:pStyle w:val="14"/>
              <w:spacing w:before="42"/>
              <w:ind w:left="311" w:right="303"/>
              <w:rPr>
                <w:rFonts w:ascii="Times New Roman"/>
                <w:sz w:val="21"/>
              </w:rPr>
            </w:pPr>
            <w:r>
              <w:rPr>
                <w:rFonts w:ascii="Times New Roman"/>
                <w:sz w:val="21"/>
              </w:rPr>
              <w:t>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line="221" w:lineRule="exact"/>
              <w:ind w:left="183" w:right="174"/>
              <w:rPr>
                <w:rFonts w:ascii="Times New Roman"/>
                <w:sz w:val="21"/>
              </w:rPr>
            </w:pPr>
            <w:r>
              <w:rPr>
                <w:rFonts w:ascii="Times New Roman"/>
                <w:sz w:val="21"/>
              </w:rPr>
              <w:t>SS</w:t>
            </w:r>
          </w:p>
        </w:tc>
        <w:tc>
          <w:tcPr>
            <w:tcW w:w="979" w:type="dxa"/>
            <w:vMerge w:val="restart"/>
          </w:tcPr>
          <w:p>
            <w:pPr>
              <w:pStyle w:val="14"/>
              <w:jc w:val="left"/>
              <w:rPr>
                <w:b/>
                <w:sz w:val="22"/>
              </w:rPr>
            </w:pPr>
          </w:p>
          <w:p>
            <w:pPr>
              <w:pStyle w:val="14"/>
              <w:spacing w:before="11"/>
              <w:jc w:val="left"/>
              <w:rPr>
                <w:b/>
                <w:sz w:val="31"/>
              </w:rPr>
            </w:pPr>
          </w:p>
          <w:p>
            <w:pPr>
              <w:pStyle w:val="14"/>
              <w:ind w:left="261"/>
              <w:jc w:val="left"/>
              <w:rPr>
                <w:rFonts w:ascii="Times New Roman"/>
                <w:sz w:val="21"/>
              </w:rPr>
            </w:pPr>
            <w:r>
              <w:rPr>
                <w:rFonts w:ascii="Times New Roman"/>
                <w:sz w:val="21"/>
              </w:rPr>
              <w:t>mg/L</w:t>
            </w:r>
          </w:p>
        </w:tc>
        <w:tc>
          <w:tcPr>
            <w:tcW w:w="1430" w:type="dxa"/>
          </w:tcPr>
          <w:p>
            <w:pPr>
              <w:pStyle w:val="14"/>
              <w:spacing w:line="221" w:lineRule="exact"/>
              <w:ind w:left="311" w:right="303"/>
              <w:rPr>
                <w:rFonts w:ascii="Times New Roman"/>
                <w:sz w:val="21"/>
              </w:rPr>
            </w:pPr>
            <w:r>
              <w:rPr>
                <w:rFonts w:ascii="Times New Roman"/>
                <w:sz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line="222" w:lineRule="exact"/>
              <w:ind w:left="183" w:right="175"/>
              <w:rPr>
                <w:rFonts w:ascii="Times New Roman"/>
                <w:sz w:val="21"/>
              </w:rPr>
            </w:pPr>
            <w:r>
              <w:rPr>
                <w:rFonts w:ascii="Times New Roman"/>
                <w:sz w:val="21"/>
              </w:rPr>
              <w:t>COD</w:t>
            </w:r>
          </w:p>
        </w:tc>
        <w:tc>
          <w:tcPr>
            <w:tcW w:w="979" w:type="dxa"/>
            <w:vMerge w:val="continue"/>
            <w:tcBorders>
              <w:top w:val="nil"/>
            </w:tcBorders>
          </w:tcPr>
          <w:p>
            <w:pPr>
              <w:rPr>
                <w:sz w:val="2"/>
                <w:szCs w:val="2"/>
              </w:rPr>
            </w:pPr>
          </w:p>
        </w:tc>
        <w:tc>
          <w:tcPr>
            <w:tcW w:w="1430" w:type="dxa"/>
          </w:tcPr>
          <w:p>
            <w:pPr>
              <w:pStyle w:val="14"/>
              <w:spacing w:line="222" w:lineRule="exact"/>
              <w:ind w:left="311" w:right="303"/>
              <w:rPr>
                <w:rFonts w:ascii="Times New Roman"/>
                <w:sz w:val="21"/>
              </w:rPr>
            </w:pPr>
            <w:r>
              <w:rPr>
                <w:rFonts w:ascii="Times New Roman"/>
                <w:sz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line="252" w:lineRule="exact"/>
              <w:ind w:left="183" w:right="175"/>
              <w:rPr>
                <w:sz w:val="21"/>
              </w:rPr>
            </w:pPr>
            <w:r>
              <w:rPr>
                <w:sz w:val="21"/>
              </w:rPr>
              <w:t>石油类</w:t>
            </w:r>
          </w:p>
        </w:tc>
        <w:tc>
          <w:tcPr>
            <w:tcW w:w="979" w:type="dxa"/>
            <w:vMerge w:val="continue"/>
            <w:tcBorders>
              <w:top w:val="nil"/>
            </w:tcBorders>
          </w:tcPr>
          <w:p>
            <w:pPr>
              <w:rPr>
                <w:sz w:val="2"/>
                <w:szCs w:val="2"/>
              </w:rPr>
            </w:pPr>
          </w:p>
        </w:tc>
        <w:tc>
          <w:tcPr>
            <w:tcW w:w="1430" w:type="dxa"/>
          </w:tcPr>
          <w:p>
            <w:pPr>
              <w:pStyle w:val="14"/>
              <w:spacing w:before="14" w:line="238" w:lineRule="exact"/>
              <w:ind w:left="8"/>
              <w:rPr>
                <w:rFonts w:ascii="Times New Roman"/>
                <w:sz w:val="21"/>
              </w:rPr>
            </w:pPr>
            <w:r>
              <w:rPr>
                <w:rFonts w:ascii="Times New Roman"/>
                <w:w w:val="99"/>
                <w:sz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before="1" w:line="251" w:lineRule="exact"/>
              <w:ind w:left="178" w:right="175"/>
              <w:rPr>
                <w:sz w:val="21"/>
              </w:rPr>
            </w:pPr>
            <w:r>
              <w:rPr>
                <w:sz w:val="21"/>
              </w:rPr>
              <w:t>总铁</w:t>
            </w:r>
          </w:p>
        </w:tc>
        <w:tc>
          <w:tcPr>
            <w:tcW w:w="979" w:type="dxa"/>
            <w:vMerge w:val="continue"/>
            <w:tcBorders>
              <w:top w:val="nil"/>
            </w:tcBorders>
          </w:tcPr>
          <w:p>
            <w:pPr>
              <w:rPr>
                <w:sz w:val="2"/>
                <w:szCs w:val="2"/>
              </w:rPr>
            </w:pPr>
          </w:p>
        </w:tc>
        <w:tc>
          <w:tcPr>
            <w:tcW w:w="1430" w:type="dxa"/>
          </w:tcPr>
          <w:p>
            <w:pPr>
              <w:pStyle w:val="14"/>
              <w:spacing w:before="15" w:line="237" w:lineRule="exact"/>
              <w:ind w:left="8"/>
              <w:rPr>
                <w:rFonts w:ascii="Times New Roman"/>
                <w:sz w:val="21"/>
              </w:rPr>
            </w:pPr>
            <w:r>
              <w:rPr>
                <w:rFonts w:ascii="Times New Roman"/>
                <w:w w:val="99"/>
                <w:sz w:val="21"/>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line="252" w:lineRule="exact"/>
              <w:ind w:left="178" w:right="175"/>
              <w:rPr>
                <w:sz w:val="21"/>
              </w:rPr>
            </w:pPr>
            <w:r>
              <w:rPr>
                <w:sz w:val="21"/>
              </w:rPr>
              <w:t>总锰</w:t>
            </w:r>
          </w:p>
        </w:tc>
        <w:tc>
          <w:tcPr>
            <w:tcW w:w="979" w:type="dxa"/>
            <w:vMerge w:val="continue"/>
            <w:tcBorders>
              <w:top w:val="nil"/>
            </w:tcBorders>
          </w:tcPr>
          <w:p>
            <w:pPr>
              <w:rPr>
                <w:sz w:val="2"/>
                <w:szCs w:val="2"/>
              </w:rPr>
            </w:pPr>
          </w:p>
        </w:tc>
        <w:tc>
          <w:tcPr>
            <w:tcW w:w="1430" w:type="dxa"/>
          </w:tcPr>
          <w:p>
            <w:pPr>
              <w:pStyle w:val="14"/>
              <w:spacing w:before="13" w:line="239" w:lineRule="exact"/>
              <w:ind w:left="8"/>
              <w:rPr>
                <w:rFonts w:ascii="Times New Roman"/>
                <w:sz w:val="21"/>
              </w:rPr>
            </w:pPr>
            <w:r>
              <w:rPr>
                <w:rFonts w:ascii="Times New Roman"/>
                <w:w w:val="99"/>
                <w:sz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line="251" w:lineRule="exact"/>
              <w:ind w:left="183" w:right="175"/>
              <w:rPr>
                <w:sz w:val="21"/>
              </w:rPr>
            </w:pPr>
            <w:r>
              <w:rPr>
                <w:sz w:val="21"/>
              </w:rPr>
              <w:t>氟化物</w:t>
            </w:r>
          </w:p>
        </w:tc>
        <w:tc>
          <w:tcPr>
            <w:tcW w:w="979" w:type="dxa"/>
            <w:vMerge w:val="continue"/>
            <w:tcBorders>
              <w:top w:val="nil"/>
            </w:tcBorders>
          </w:tcPr>
          <w:p>
            <w:pPr>
              <w:rPr>
                <w:sz w:val="2"/>
                <w:szCs w:val="2"/>
              </w:rPr>
            </w:pPr>
          </w:p>
        </w:tc>
        <w:tc>
          <w:tcPr>
            <w:tcW w:w="1430" w:type="dxa"/>
          </w:tcPr>
          <w:p>
            <w:pPr>
              <w:pStyle w:val="14"/>
              <w:spacing w:before="14" w:line="237" w:lineRule="exact"/>
              <w:ind w:left="311" w:right="303"/>
              <w:rPr>
                <w:rFonts w:ascii="Times New Roman"/>
                <w:sz w:val="21"/>
              </w:rPr>
            </w:pPr>
            <w:r>
              <w:rPr>
                <w:rFonts w:ascii="Times New Roman"/>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666" w:type="dxa"/>
            <w:vMerge w:val="continue"/>
            <w:tcBorders>
              <w:top w:val="nil"/>
            </w:tcBorders>
          </w:tcPr>
          <w:p>
            <w:pPr>
              <w:rPr>
                <w:sz w:val="2"/>
                <w:szCs w:val="2"/>
              </w:rPr>
            </w:pPr>
          </w:p>
        </w:tc>
        <w:tc>
          <w:tcPr>
            <w:tcW w:w="4238" w:type="dxa"/>
            <w:vMerge w:val="restart"/>
          </w:tcPr>
          <w:p>
            <w:pPr>
              <w:pStyle w:val="14"/>
              <w:spacing w:before="162"/>
              <w:ind w:left="102" w:right="95"/>
              <w:rPr>
                <w:sz w:val="21"/>
              </w:rPr>
            </w:pPr>
            <w:r>
              <w:rPr>
                <w:sz w:val="21"/>
              </w:rPr>
              <w:t>《煤矿井下消防、洒水设计规范》</w:t>
            </w:r>
          </w:p>
          <w:p>
            <w:pPr>
              <w:pStyle w:val="14"/>
              <w:spacing w:before="2"/>
              <w:ind w:left="102" w:right="88"/>
              <w:rPr>
                <w:rFonts w:ascii="Times New Roman"/>
                <w:sz w:val="21"/>
              </w:rPr>
            </w:pPr>
            <w:r>
              <w:rPr>
                <w:rFonts w:ascii="Times New Roman"/>
                <w:sz w:val="21"/>
              </w:rPr>
              <w:t>(GB50383-2006)</w:t>
            </w:r>
          </w:p>
        </w:tc>
        <w:tc>
          <w:tcPr>
            <w:tcW w:w="1209" w:type="dxa"/>
          </w:tcPr>
          <w:p>
            <w:pPr>
              <w:pStyle w:val="14"/>
              <w:spacing w:before="15" w:line="237" w:lineRule="exact"/>
              <w:ind w:left="183" w:right="173"/>
              <w:rPr>
                <w:rFonts w:ascii="Times New Roman"/>
                <w:sz w:val="21"/>
              </w:rPr>
            </w:pPr>
            <w:r>
              <w:rPr>
                <w:rFonts w:ascii="Times New Roman"/>
                <w:sz w:val="21"/>
              </w:rPr>
              <w:t>pH</w:t>
            </w:r>
          </w:p>
        </w:tc>
        <w:tc>
          <w:tcPr>
            <w:tcW w:w="979" w:type="dxa"/>
          </w:tcPr>
          <w:p>
            <w:pPr>
              <w:pStyle w:val="14"/>
              <w:spacing w:before="2" w:line="251" w:lineRule="exact"/>
              <w:ind w:left="154" w:right="145"/>
              <w:rPr>
                <w:sz w:val="21"/>
              </w:rPr>
            </w:pPr>
            <w:r>
              <w:rPr>
                <w:sz w:val="21"/>
              </w:rPr>
              <w:t>无量纲</w:t>
            </w:r>
          </w:p>
        </w:tc>
        <w:tc>
          <w:tcPr>
            <w:tcW w:w="1430" w:type="dxa"/>
          </w:tcPr>
          <w:p>
            <w:pPr>
              <w:pStyle w:val="14"/>
              <w:spacing w:before="2" w:line="251" w:lineRule="exact"/>
              <w:ind w:left="311" w:right="303"/>
              <w:rPr>
                <w:rFonts w:ascii="Times New Roman" w:eastAsia="Times New Roman"/>
                <w:sz w:val="21"/>
              </w:rPr>
            </w:pPr>
            <w:r>
              <w:rPr>
                <w:rFonts w:ascii="Times New Roman" w:eastAsia="Times New Roman"/>
                <w:sz w:val="21"/>
              </w:rPr>
              <w:t>6</w:t>
            </w:r>
            <w:r>
              <w:rPr>
                <w:sz w:val="21"/>
              </w:rPr>
              <w:t>～</w:t>
            </w:r>
            <w:r>
              <w:rPr>
                <w:rFonts w:ascii="Times New Roman" w:eastAsia="Times New Roman"/>
                <w:sz w:val="21"/>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line="252" w:lineRule="exact"/>
              <w:ind w:left="183" w:right="175"/>
              <w:rPr>
                <w:sz w:val="21"/>
              </w:rPr>
            </w:pPr>
            <w:r>
              <w:rPr>
                <w:sz w:val="21"/>
              </w:rPr>
              <w:t>悬浮物</w:t>
            </w:r>
          </w:p>
        </w:tc>
        <w:tc>
          <w:tcPr>
            <w:tcW w:w="979" w:type="dxa"/>
            <w:vMerge w:val="restart"/>
          </w:tcPr>
          <w:p>
            <w:pPr>
              <w:pStyle w:val="14"/>
              <w:spacing w:before="155"/>
              <w:ind w:left="261"/>
              <w:jc w:val="left"/>
              <w:rPr>
                <w:rFonts w:ascii="Times New Roman"/>
                <w:sz w:val="21"/>
              </w:rPr>
            </w:pPr>
            <w:r>
              <w:rPr>
                <w:rFonts w:ascii="Times New Roman"/>
                <w:sz w:val="21"/>
              </w:rPr>
              <w:t>mg/L</w:t>
            </w:r>
          </w:p>
        </w:tc>
        <w:tc>
          <w:tcPr>
            <w:tcW w:w="1430" w:type="dxa"/>
          </w:tcPr>
          <w:p>
            <w:pPr>
              <w:pStyle w:val="14"/>
              <w:spacing w:before="13" w:line="238" w:lineRule="exact"/>
              <w:ind w:left="311" w:right="303"/>
              <w:rPr>
                <w:rFonts w:ascii="Times New Roman"/>
                <w:sz w:val="21"/>
              </w:rPr>
            </w:pPr>
            <w:r>
              <w:rPr>
                <w:rFonts w:ascii="Times New Roman"/>
                <w:sz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before="1" w:line="251" w:lineRule="exact"/>
              <w:ind w:left="126" w:right="120"/>
              <w:rPr>
                <w:sz w:val="21"/>
              </w:rPr>
            </w:pPr>
            <w:r>
              <w:rPr>
                <w:sz w:val="21"/>
              </w:rPr>
              <w:t>大肠菌群</w:t>
            </w:r>
          </w:p>
        </w:tc>
        <w:tc>
          <w:tcPr>
            <w:tcW w:w="979" w:type="dxa"/>
            <w:vMerge w:val="continue"/>
            <w:tcBorders>
              <w:top w:val="nil"/>
            </w:tcBorders>
          </w:tcPr>
          <w:p>
            <w:pPr>
              <w:rPr>
                <w:sz w:val="2"/>
                <w:szCs w:val="2"/>
              </w:rPr>
            </w:pPr>
          </w:p>
        </w:tc>
        <w:tc>
          <w:tcPr>
            <w:tcW w:w="1430" w:type="dxa"/>
          </w:tcPr>
          <w:p>
            <w:pPr>
              <w:pStyle w:val="14"/>
              <w:spacing w:before="1" w:line="251" w:lineRule="exact"/>
              <w:ind w:left="311" w:right="303"/>
              <w:rPr>
                <w:rFonts w:ascii="Times New Roman" w:hAnsi="Times New Roman" w:eastAsia="Times New Roman"/>
                <w:sz w:val="21"/>
              </w:rPr>
            </w:pPr>
            <w:r>
              <w:rPr>
                <w:sz w:val="21"/>
              </w:rPr>
              <w:t>≤</w:t>
            </w:r>
            <w:r>
              <w:rPr>
                <w:rFonts w:ascii="Times New Roman" w:hAnsi="Times New Roman" w:eastAsia="Times New Roman"/>
                <w:sz w:val="21"/>
              </w:rPr>
              <w:t xml:space="preserve">3 </w:t>
            </w:r>
            <w:r>
              <w:rPr>
                <w:sz w:val="21"/>
              </w:rPr>
              <w:t>个</w:t>
            </w:r>
            <w:r>
              <w:rPr>
                <w:rFonts w:ascii="Times New Roman" w:hAnsi="Times New Roman" w:eastAsia="Times New Roman"/>
                <w:sz w:val="21"/>
              </w:rPr>
              <w:t>/L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666" w:type="dxa"/>
            <w:vMerge w:val="continue"/>
            <w:tcBorders>
              <w:top w:val="nil"/>
            </w:tcBorders>
          </w:tcPr>
          <w:p>
            <w:pPr>
              <w:rPr>
                <w:sz w:val="2"/>
                <w:szCs w:val="2"/>
              </w:rPr>
            </w:pPr>
          </w:p>
        </w:tc>
        <w:tc>
          <w:tcPr>
            <w:tcW w:w="4238" w:type="dxa"/>
            <w:vMerge w:val="restart"/>
          </w:tcPr>
          <w:p>
            <w:pPr>
              <w:pStyle w:val="14"/>
              <w:spacing w:before="4"/>
              <w:jc w:val="left"/>
              <w:rPr>
                <w:b/>
                <w:sz w:val="17"/>
              </w:rPr>
            </w:pPr>
          </w:p>
          <w:p>
            <w:pPr>
              <w:pStyle w:val="14"/>
              <w:spacing w:before="1" w:line="242" w:lineRule="auto"/>
              <w:ind w:left="1383" w:right="142" w:hanging="1229"/>
              <w:jc w:val="left"/>
              <w:rPr>
                <w:sz w:val="21"/>
              </w:rPr>
            </w:pPr>
            <w:r>
              <w:rPr>
                <w:w w:val="95"/>
                <w:sz w:val="21"/>
              </w:rPr>
              <w:t>《地表水环境质量标准》（</w:t>
            </w:r>
            <w:r>
              <w:rPr>
                <w:rFonts w:ascii="Times New Roman" w:hAnsi="Times New Roman" w:eastAsia="Times New Roman"/>
                <w:w w:val="95"/>
                <w:sz w:val="21"/>
              </w:rPr>
              <w:t>GB3838-2002</w:t>
            </w:r>
            <w:r>
              <w:rPr>
                <w:w w:val="95"/>
                <w:sz w:val="21"/>
              </w:rPr>
              <w:t xml:space="preserve">） </w:t>
            </w:r>
            <w:r>
              <w:rPr>
                <w:sz w:val="21"/>
              </w:rPr>
              <w:t>中Ⅲ类标准限值</w:t>
            </w:r>
          </w:p>
        </w:tc>
        <w:tc>
          <w:tcPr>
            <w:tcW w:w="1209" w:type="dxa"/>
          </w:tcPr>
          <w:p>
            <w:pPr>
              <w:pStyle w:val="14"/>
              <w:spacing w:before="2"/>
              <w:ind w:left="126" w:right="120"/>
              <w:rPr>
                <w:sz w:val="21"/>
              </w:rPr>
            </w:pPr>
            <w:r>
              <w:rPr>
                <w:sz w:val="21"/>
              </w:rPr>
              <w:t>化学需氧</w:t>
            </w:r>
          </w:p>
          <w:p>
            <w:pPr>
              <w:pStyle w:val="14"/>
              <w:spacing w:before="55"/>
              <w:ind w:left="6"/>
              <w:rPr>
                <w:sz w:val="21"/>
              </w:rPr>
            </w:pPr>
            <w:r>
              <w:rPr>
                <w:w w:val="99"/>
                <w:sz w:val="21"/>
              </w:rPr>
              <w:t>量</w:t>
            </w:r>
          </w:p>
        </w:tc>
        <w:tc>
          <w:tcPr>
            <w:tcW w:w="979" w:type="dxa"/>
            <w:vMerge w:val="restart"/>
          </w:tcPr>
          <w:p>
            <w:pPr>
              <w:pStyle w:val="14"/>
              <w:spacing w:before="1"/>
              <w:jc w:val="left"/>
              <w:rPr>
                <w:b/>
                <w:sz w:val="29"/>
              </w:rPr>
            </w:pPr>
          </w:p>
          <w:p>
            <w:pPr>
              <w:pStyle w:val="14"/>
              <w:spacing w:before="1"/>
              <w:ind w:left="261"/>
              <w:jc w:val="left"/>
              <w:rPr>
                <w:rFonts w:ascii="Times New Roman"/>
                <w:sz w:val="21"/>
              </w:rPr>
            </w:pPr>
            <w:r>
              <w:rPr>
                <w:rFonts w:ascii="Times New Roman"/>
                <w:sz w:val="21"/>
              </w:rPr>
              <w:t>mg/L</w:t>
            </w:r>
          </w:p>
        </w:tc>
        <w:tc>
          <w:tcPr>
            <w:tcW w:w="1430" w:type="dxa"/>
          </w:tcPr>
          <w:p>
            <w:pPr>
              <w:pStyle w:val="14"/>
              <w:jc w:val="left"/>
              <w:rPr>
                <w:b/>
                <w:sz w:val="16"/>
              </w:rPr>
            </w:pPr>
          </w:p>
          <w:p>
            <w:pPr>
              <w:pStyle w:val="14"/>
              <w:ind w:left="311" w:right="303"/>
              <w:rPr>
                <w:rFonts w:ascii="Times New Roman"/>
                <w:sz w:val="21"/>
              </w:rPr>
            </w:pPr>
            <w:r>
              <w:rPr>
                <w:rFonts w:ascii="Times New Roman"/>
                <w:sz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ind w:left="183" w:right="175"/>
              <w:rPr>
                <w:sz w:val="21"/>
              </w:rPr>
            </w:pPr>
            <w:r>
              <w:rPr>
                <w:sz w:val="21"/>
              </w:rPr>
              <w:t>石油类</w:t>
            </w:r>
          </w:p>
        </w:tc>
        <w:tc>
          <w:tcPr>
            <w:tcW w:w="979" w:type="dxa"/>
            <w:vMerge w:val="continue"/>
            <w:tcBorders>
              <w:top w:val="nil"/>
            </w:tcBorders>
          </w:tcPr>
          <w:p>
            <w:pPr>
              <w:rPr>
                <w:sz w:val="2"/>
                <w:szCs w:val="2"/>
              </w:rPr>
            </w:pPr>
          </w:p>
        </w:tc>
        <w:tc>
          <w:tcPr>
            <w:tcW w:w="1430" w:type="dxa"/>
          </w:tcPr>
          <w:p>
            <w:pPr>
              <w:pStyle w:val="14"/>
              <w:spacing w:before="40"/>
              <w:ind w:left="311" w:right="303"/>
              <w:rPr>
                <w:rFonts w:ascii="Times New Roman"/>
                <w:sz w:val="21"/>
              </w:rPr>
            </w:pPr>
            <w:r>
              <w:rPr>
                <w:rFonts w:ascii="Times New Roman"/>
                <w:sz w:val="21"/>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66" w:type="dxa"/>
            <w:vMerge w:val="continue"/>
            <w:tcBorders>
              <w:top w:val="nil"/>
            </w:tcBorders>
          </w:tcPr>
          <w:p>
            <w:pPr>
              <w:rPr>
                <w:sz w:val="2"/>
                <w:szCs w:val="2"/>
              </w:rPr>
            </w:pPr>
          </w:p>
        </w:tc>
        <w:tc>
          <w:tcPr>
            <w:tcW w:w="4238"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4"/>
              <w:jc w:val="left"/>
              <w:rPr>
                <w:b/>
                <w:sz w:val="26"/>
              </w:rPr>
            </w:pPr>
          </w:p>
          <w:p>
            <w:pPr>
              <w:pStyle w:val="14"/>
              <w:ind w:left="102" w:right="95"/>
              <w:rPr>
                <w:sz w:val="21"/>
              </w:rPr>
            </w:pPr>
            <w:r>
              <w:rPr>
                <w:sz w:val="21"/>
              </w:rPr>
              <w:t>《城市污水再生利用 城市杂用水水质》</w:t>
            </w:r>
          </w:p>
          <w:p>
            <w:pPr>
              <w:pStyle w:val="14"/>
              <w:spacing w:before="2"/>
              <w:ind w:left="102" w:right="92"/>
              <w:rPr>
                <w:sz w:val="21"/>
              </w:rPr>
            </w:pPr>
            <w:r>
              <w:rPr>
                <w:sz w:val="21"/>
              </w:rPr>
              <w:t>（</w:t>
            </w:r>
            <w:r>
              <w:rPr>
                <w:rFonts w:ascii="Times New Roman" w:eastAsia="Times New Roman"/>
                <w:sz w:val="21"/>
              </w:rPr>
              <w:t>GB/T18920-2002</w:t>
            </w:r>
            <w:r>
              <w:rPr>
                <w:sz w:val="21"/>
              </w:rPr>
              <w:t>）城市绿化</w:t>
            </w:r>
          </w:p>
        </w:tc>
        <w:tc>
          <w:tcPr>
            <w:tcW w:w="1209" w:type="dxa"/>
          </w:tcPr>
          <w:p>
            <w:pPr>
              <w:pStyle w:val="14"/>
              <w:spacing w:before="18"/>
              <w:ind w:left="183" w:right="173"/>
              <w:rPr>
                <w:rFonts w:ascii="Times New Roman"/>
                <w:sz w:val="21"/>
              </w:rPr>
            </w:pPr>
            <w:r>
              <w:rPr>
                <w:rFonts w:ascii="Times New Roman"/>
                <w:sz w:val="21"/>
              </w:rPr>
              <w:t>pH</w:t>
            </w:r>
          </w:p>
        </w:tc>
        <w:tc>
          <w:tcPr>
            <w:tcW w:w="979" w:type="dxa"/>
          </w:tcPr>
          <w:p>
            <w:pPr>
              <w:pStyle w:val="14"/>
              <w:spacing w:line="268" w:lineRule="exact"/>
              <w:ind w:left="154" w:right="145"/>
              <w:rPr>
                <w:sz w:val="21"/>
              </w:rPr>
            </w:pPr>
            <w:r>
              <w:rPr>
                <w:sz w:val="21"/>
              </w:rPr>
              <w:t>无量纲</w:t>
            </w:r>
          </w:p>
        </w:tc>
        <w:tc>
          <w:tcPr>
            <w:tcW w:w="1430" w:type="dxa"/>
          </w:tcPr>
          <w:p>
            <w:pPr>
              <w:pStyle w:val="14"/>
              <w:spacing w:line="268" w:lineRule="exact"/>
              <w:ind w:left="311" w:right="303"/>
              <w:rPr>
                <w:rFonts w:ascii="Times New Roman" w:eastAsia="Times New Roman"/>
                <w:sz w:val="21"/>
              </w:rPr>
            </w:pPr>
            <w:r>
              <w:rPr>
                <w:rFonts w:ascii="Times New Roman" w:eastAsia="Times New Roman"/>
                <w:sz w:val="21"/>
              </w:rPr>
              <w:t>6</w:t>
            </w:r>
            <w:r>
              <w:rPr>
                <w:sz w:val="21"/>
              </w:rPr>
              <w:t>～</w:t>
            </w:r>
            <w:r>
              <w:rPr>
                <w:rFonts w:ascii="Times New Roman" w:eastAsia="Times New Roman"/>
                <w:sz w:val="21"/>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before="1"/>
              <w:ind w:left="178" w:right="175"/>
              <w:rPr>
                <w:sz w:val="21"/>
              </w:rPr>
            </w:pPr>
            <w:r>
              <w:rPr>
                <w:sz w:val="21"/>
              </w:rPr>
              <w:t>色度</w:t>
            </w:r>
          </w:p>
        </w:tc>
        <w:tc>
          <w:tcPr>
            <w:tcW w:w="979" w:type="dxa"/>
          </w:tcPr>
          <w:p>
            <w:pPr>
              <w:pStyle w:val="14"/>
              <w:spacing w:before="1"/>
              <w:ind w:left="7"/>
              <w:rPr>
                <w:sz w:val="21"/>
              </w:rPr>
            </w:pPr>
            <w:r>
              <w:rPr>
                <w:w w:val="99"/>
                <w:sz w:val="21"/>
              </w:rPr>
              <w:t>度</w:t>
            </w:r>
          </w:p>
        </w:tc>
        <w:tc>
          <w:tcPr>
            <w:tcW w:w="1430" w:type="dxa"/>
          </w:tcPr>
          <w:p>
            <w:pPr>
              <w:pStyle w:val="14"/>
              <w:spacing w:before="17"/>
              <w:ind w:left="311" w:right="303"/>
              <w:rPr>
                <w:rFonts w:ascii="Times New Roman"/>
                <w:sz w:val="21"/>
              </w:rPr>
            </w:pPr>
            <w:r>
              <w:rPr>
                <w:rFonts w:ascii="Times New Roman"/>
                <w:sz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before="1"/>
              <w:ind w:left="178" w:right="175"/>
              <w:rPr>
                <w:sz w:val="21"/>
              </w:rPr>
            </w:pPr>
            <w:r>
              <w:rPr>
                <w:sz w:val="21"/>
              </w:rPr>
              <w:t>浊度</w:t>
            </w:r>
          </w:p>
        </w:tc>
        <w:tc>
          <w:tcPr>
            <w:tcW w:w="979" w:type="dxa"/>
          </w:tcPr>
          <w:p>
            <w:pPr>
              <w:pStyle w:val="14"/>
              <w:spacing w:before="17"/>
              <w:ind w:left="151" w:right="145"/>
              <w:rPr>
                <w:rFonts w:ascii="Times New Roman"/>
                <w:sz w:val="21"/>
              </w:rPr>
            </w:pPr>
            <w:r>
              <w:rPr>
                <w:rFonts w:ascii="Times New Roman"/>
                <w:sz w:val="21"/>
              </w:rPr>
              <w:t>NTU</w:t>
            </w:r>
          </w:p>
        </w:tc>
        <w:tc>
          <w:tcPr>
            <w:tcW w:w="1430" w:type="dxa"/>
          </w:tcPr>
          <w:p>
            <w:pPr>
              <w:pStyle w:val="14"/>
              <w:spacing w:before="17"/>
              <w:ind w:left="311" w:right="303"/>
              <w:rPr>
                <w:rFonts w:ascii="Times New Roman"/>
                <w:sz w:val="21"/>
              </w:rPr>
            </w:pPr>
            <w:r>
              <w:rPr>
                <w:rFonts w:ascii="Times New Roman"/>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before="2"/>
              <w:ind w:left="126" w:right="120"/>
              <w:rPr>
                <w:sz w:val="21"/>
              </w:rPr>
            </w:pPr>
            <w:r>
              <w:rPr>
                <w:sz w:val="21"/>
              </w:rPr>
              <w:t>溶解性总</w:t>
            </w:r>
          </w:p>
          <w:p>
            <w:pPr>
              <w:pStyle w:val="14"/>
              <w:spacing w:before="55"/>
              <w:ind w:left="178" w:right="175"/>
              <w:rPr>
                <w:sz w:val="21"/>
              </w:rPr>
            </w:pPr>
            <w:r>
              <w:rPr>
                <w:sz w:val="21"/>
              </w:rPr>
              <w:t>固体</w:t>
            </w:r>
          </w:p>
        </w:tc>
        <w:tc>
          <w:tcPr>
            <w:tcW w:w="979" w:type="dxa"/>
            <w:vMerge w:val="restart"/>
          </w:tcPr>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spacing w:before="11"/>
              <w:jc w:val="left"/>
              <w:rPr>
                <w:b/>
                <w:sz w:val="20"/>
              </w:rPr>
            </w:pPr>
          </w:p>
          <w:p>
            <w:pPr>
              <w:pStyle w:val="14"/>
              <w:ind w:left="261"/>
              <w:jc w:val="left"/>
              <w:rPr>
                <w:rFonts w:ascii="Times New Roman"/>
                <w:sz w:val="21"/>
              </w:rPr>
            </w:pPr>
            <w:r>
              <w:rPr>
                <w:rFonts w:ascii="Times New Roman"/>
                <w:sz w:val="21"/>
              </w:rPr>
              <w:t>mg/L</w:t>
            </w:r>
          </w:p>
        </w:tc>
        <w:tc>
          <w:tcPr>
            <w:tcW w:w="1430" w:type="dxa"/>
          </w:tcPr>
          <w:p>
            <w:pPr>
              <w:pStyle w:val="14"/>
              <w:spacing w:before="181"/>
              <w:ind w:left="311" w:right="303"/>
              <w:rPr>
                <w:rFonts w:ascii="Times New Roman"/>
                <w:sz w:val="21"/>
              </w:rPr>
            </w:pPr>
            <w:r>
              <w:rPr>
                <w:rFonts w:ascii="Times New Roman"/>
                <w:sz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ind w:left="126" w:right="120"/>
              <w:rPr>
                <w:sz w:val="21"/>
              </w:rPr>
            </w:pPr>
            <w:r>
              <w:rPr>
                <w:sz w:val="21"/>
              </w:rPr>
              <w:t>五日生化</w:t>
            </w:r>
          </w:p>
          <w:p>
            <w:pPr>
              <w:pStyle w:val="14"/>
              <w:spacing w:before="58"/>
              <w:ind w:left="183" w:right="175"/>
              <w:rPr>
                <w:sz w:val="21"/>
              </w:rPr>
            </w:pPr>
            <w:r>
              <w:rPr>
                <w:sz w:val="21"/>
              </w:rPr>
              <w:t>需氧量</w:t>
            </w:r>
          </w:p>
        </w:tc>
        <w:tc>
          <w:tcPr>
            <w:tcW w:w="979" w:type="dxa"/>
            <w:vMerge w:val="continue"/>
            <w:tcBorders>
              <w:top w:val="nil"/>
            </w:tcBorders>
          </w:tcPr>
          <w:p>
            <w:pPr>
              <w:rPr>
                <w:sz w:val="2"/>
                <w:szCs w:val="2"/>
              </w:rPr>
            </w:pPr>
          </w:p>
        </w:tc>
        <w:tc>
          <w:tcPr>
            <w:tcW w:w="1430" w:type="dxa"/>
          </w:tcPr>
          <w:p>
            <w:pPr>
              <w:pStyle w:val="14"/>
              <w:spacing w:before="180"/>
              <w:ind w:left="311" w:right="303"/>
              <w:rPr>
                <w:rFonts w:ascii="Times New Roman"/>
                <w:sz w:val="21"/>
              </w:rPr>
            </w:pPr>
            <w:r>
              <w:rPr>
                <w:rFonts w:ascii="Times New Roman"/>
                <w:sz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ind w:left="178" w:right="175"/>
              <w:rPr>
                <w:sz w:val="21"/>
              </w:rPr>
            </w:pPr>
            <w:r>
              <w:rPr>
                <w:sz w:val="21"/>
              </w:rPr>
              <w:t>氨氮</w:t>
            </w:r>
          </w:p>
        </w:tc>
        <w:tc>
          <w:tcPr>
            <w:tcW w:w="979" w:type="dxa"/>
            <w:vMerge w:val="continue"/>
            <w:tcBorders>
              <w:top w:val="nil"/>
            </w:tcBorders>
          </w:tcPr>
          <w:p>
            <w:pPr>
              <w:rPr>
                <w:sz w:val="2"/>
                <w:szCs w:val="2"/>
              </w:rPr>
            </w:pPr>
          </w:p>
        </w:tc>
        <w:tc>
          <w:tcPr>
            <w:tcW w:w="1430" w:type="dxa"/>
          </w:tcPr>
          <w:p>
            <w:pPr>
              <w:pStyle w:val="14"/>
              <w:spacing w:before="18"/>
              <w:ind w:left="311" w:right="303"/>
              <w:rPr>
                <w:rFonts w:ascii="Times New Roman"/>
                <w:sz w:val="21"/>
              </w:rPr>
            </w:pPr>
            <w:r>
              <w:rPr>
                <w:rFonts w:ascii="Times New Roman"/>
                <w:sz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before="1"/>
              <w:ind w:left="183"/>
              <w:jc w:val="left"/>
              <w:rPr>
                <w:sz w:val="21"/>
              </w:rPr>
            </w:pPr>
            <w:r>
              <w:rPr>
                <w:w w:val="95"/>
                <w:sz w:val="21"/>
              </w:rPr>
              <w:t>阴离子表</w:t>
            </w:r>
          </w:p>
          <w:p>
            <w:pPr>
              <w:pStyle w:val="14"/>
              <w:spacing w:before="57"/>
              <w:ind w:left="183"/>
              <w:jc w:val="left"/>
              <w:rPr>
                <w:sz w:val="21"/>
              </w:rPr>
            </w:pPr>
            <w:r>
              <w:rPr>
                <w:w w:val="95"/>
                <w:sz w:val="21"/>
              </w:rPr>
              <w:t>面活性剂</w:t>
            </w:r>
          </w:p>
        </w:tc>
        <w:tc>
          <w:tcPr>
            <w:tcW w:w="979" w:type="dxa"/>
            <w:vMerge w:val="continue"/>
            <w:tcBorders>
              <w:top w:val="nil"/>
            </w:tcBorders>
          </w:tcPr>
          <w:p>
            <w:pPr>
              <w:rPr>
                <w:sz w:val="2"/>
                <w:szCs w:val="2"/>
              </w:rPr>
            </w:pPr>
          </w:p>
        </w:tc>
        <w:tc>
          <w:tcPr>
            <w:tcW w:w="1430" w:type="dxa"/>
          </w:tcPr>
          <w:p>
            <w:pPr>
              <w:pStyle w:val="14"/>
              <w:spacing w:before="181"/>
              <w:ind w:left="311" w:right="303"/>
              <w:rPr>
                <w:rFonts w:ascii="Times New Roman"/>
                <w:sz w:val="21"/>
              </w:rPr>
            </w:pPr>
            <w:r>
              <w:rPr>
                <w:rFonts w:ascii="Times New Roman"/>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line="269" w:lineRule="exact"/>
              <w:ind w:left="183" w:right="175"/>
              <w:rPr>
                <w:sz w:val="21"/>
              </w:rPr>
            </w:pPr>
            <w:r>
              <w:rPr>
                <w:sz w:val="21"/>
              </w:rPr>
              <w:t>溶解氧</w:t>
            </w:r>
          </w:p>
        </w:tc>
        <w:tc>
          <w:tcPr>
            <w:tcW w:w="979" w:type="dxa"/>
            <w:vMerge w:val="continue"/>
            <w:tcBorders>
              <w:top w:val="nil"/>
            </w:tcBorders>
          </w:tcPr>
          <w:p>
            <w:pPr>
              <w:rPr>
                <w:sz w:val="2"/>
                <w:szCs w:val="2"/>
              </w:rPr>
            </w:pPr>
          </w:p>
        </w:tc>
        <w:tc>
          <w:tcPr>
            <w:tcW w:w="1430" w:type="dxa"/>
          </w:tcPr>
          <w:p>
            <w:pPr>
              <w:pStyle w:val="14"/>
              <w:spacing w:before="16"/>
              <w:ind w:left="311" w:right="303"/>
              <w:rPr>
                <w:rFonts w:ascii="Times New Roman"/>
                <w:sz w:val="21"/>
              </w:rPr>
            </w:pPr>
            <w:r>
              <w:rPr>
                <w:rFonts w:ascii="Times New Roman"/>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0"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before="4"/>
              <w:jc w:val="left"/>
              <w:rPr>
                <w:b/>
                <w:sz w:val="25"/>
              </w:rPr>
            </w:pPr>
          </w:p>
          <w:p>
            <w:pPr>
              <w:pStyle w:val="14"/>
              <w:spacing w:before="1"/>
              <w:ind w:left="183" w:right="175"/>
              <w:rPr>
                <w:sz w:val="21"/>
              </w:rPr>
            </w:pPr>
            <w:r>
              <w:rPr>
                <w:sz w:val="21"/>
              </w:rPr>
              <w:t>总余氯</w:t>
            </w:r>
          </w:p>
        </w:tc>
        <w:tc>
          <w:tcPr>
            <w:tcW w:w="979" w:type="dxa"/>
            <w:vMerge w:val="continue"/>
            <w:tcBorders>
              <w:top w:val="nil"/>
            </w:tcBorders>
          </w:tcPr>
          <w:p>
            <w:pPr>
              <w:rPr>
                <w:sz w:val="2"/>
                <w:szCs w:val="2"/>
              </w:rPr>
            </w:pPr>
          </w:p>
        </w:tc>
        <w:tc>
          <w:tcPr>
            <w:tcW w:w="1430" w:type="dxa"/>
          </w:tcPr>
          <w:p>
            <w:pPr>
              <w:pStyle w:val="14"/>
              <w:spacing w:before="1"/>
              <w:ind w:left="210"/>
              <w:jc w:val="left"/>
              <w:rPr>
                <w:rFonts w:ascii="Times New Roman" w:eastAsia="Times New Roman"/>
                <w:sz w:val="21"/>
              </w:rPr>
            </w:pPr>
            <w:r>
              <w:rPr>
                <w:sz w:val="21"/>
              </w:rPr>
              <w:t xml:space="preserve">接触 </w:t>
            </w:r>
            <w:r>
              <w:rPr>
                <w:rFonts w:ascii="Times New Roman" w:eastAsia="Times New Roman"/>
                <w:sz w:val="21"/>
              </w:rPr>
              <w:t>30min</w:t>
            </w:r>
          </w:p>
          <w:p>
            <w:pPr>
              <w:pStyle w:val="14"/>
              <w:spacing w:before="2" w:line="328" w:lineRule="exact"/>
              <w:ind w:left="316" w:right="56" w:hanging="209"/>
              <w:jc w:val="left"/>
              <w:rPr>
                <w:rFonts w:ascii="Times New Roman" w:hAnsi="Times New Roman" w:eastAsia="Times New Roman"/>
                <w:sz w:val="21"/>
              </w:rPr>
            </w:pPr>
            <w:r>
              <w:rPr>
                <w:sz w:val="21"/>
              </w:rPr>
              <w:t>后</w:t>
            </w:r>
            <w:r>
              <w:rPr>
                <w:rFonts w:ascii="Times New Roman" w:hAnsi="Times New Roman" w:eastAsia="Times New Roman"/>
                <w:sz w:val="21"/>
              </w:rPr>
              <w:t>≥1.0</w:t>
            </w:r>
            <w:r>
              <w:rPr>
                <w:sz w:val="21"/>
              </w:rPr>
              <w:t>，管网末端</w:t>
            </w:r>
            <w:r>
              <w:rPr>
                <w:rFonts w:ascii="Times New Roman" w:hAnsi="Times New Roman" w:eastAsia="Times New Roman"/>
                <w:sz w:val="21"/>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ind w:left="126" w:right="120"/>
              <w:rPr>
                <w:sz w:val="21"/>
              </w:rPr>
            </w:pPr>
            <w:r>
              <w:rPr>
                <w:sz w:val="21"/>
              </w:rPr>
              <w:t>总大肠菌</w:t>
            </w:r>
          </w:p>
          <w:p>
            <w:pPr>
              <w:pStyle w:val="14"/>
              <w:spacing w:before="57"/>
              <w:ind w:left="6"/>
              <w:rPr>
                <w:sz w:val="21"/>
              </w:rPr>
            </w:pPr>
            <w:r>
              <w:rPr>
                <w:w w:val="99"/>
                <w:sz w:val="21"/>
              </w:rPr>
              <w:t>群</w:t>
            </w:r>
          </w:p>
        </w:tc>
        <w:tc>
          <w:tcPr>
            <w:tcW w:w="979" w:type="dxa"/>
          </w:tcPr>
          <w:p>
            <w:pPr>
              <w:pStyle w:val="14"/>
              <w:spacing w:before="163"/>
              <w:ind w:left="152" w:right="145"/>
              <w:rPr>
                <w:rFonts w:ascii="Times New Roman" w:eastAsia="Times New Roman"/>
                <w:sz w:val="21"/>
              </w:rPr>
            </w:pPr>
            <w:r>
              <w:rPr>
                <w:sz w:val="21"/>
              </w:rPr>
              <w:t>个</w:t>
            </w:r>
            <w:r>
              <w:rPr>
                <w:rFonts w:ascii="Times New Roman" w:eastAsia="Times New Roman"/>
                <w:sz w:val="21"/>
              </w:rPr>
              <w:t>/L</w:t>
            </w:r>
          </w:p>
        </w:tc>
        <w:tc>
          <w:tcPr>
            <w:tcW w:w="1430" w:type="dxa"/>
          </w:tcPr>
          <w:p>
            <w:pPr>
              <w:pStyle w:val="14"/>
              <w:spacing w:before="182"/>
              <w:ind w:left="8"/>
              <w:rPr>
                <w:rFonts w:ascii="Times New Roman"/>
                <w:sz w:val="21"/>
              </w:rPr>
            </w:pPr>
            <w:r>
              <w:rPr>
                <w:rFonts w:ascii="Times New Roman"/>
                <w:w w:val="99"/>
                <w:sz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66" w:type="dxa"/>
            <w:vMerge w:val="continue"/>
            <w:tcBorders>
              <w:top w:val="nil"/>
            </w:tcBorders>
          </w:tcPr>
          <w:p>
            <w:pPr>
              <w:rPr>
                <w:sz w:val="2"/>
                <w:szCs w:val="2"/>
              </w:rPr>
            </w:pPr>
          </w:p>
        </w:tc>
        <w:tc>
          <w:tcPr>
            <w:tcW w:w="4238"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5"/>
              <w:jc w:val="left"/>
              <w:rPr>
                <w:b/>
                <w:sz w:val="20"/>
              </w:rPr>
            </w:pPr>
          </w:p>
          <w:p>
            <w:pPr>
              <w:pStyle w:val="14"/>
              <w:ind w:left="102" w:right="95"/>
              <w:rPr>
                <w:sz w:val="21"/>
              </w:rPr>
            </w:pPr>
            <w:r>
              <w:rPr>
                <w:sz w:val="21"/>
              </w:rPr>
              <w:t>《城市污水再生利用 城市杂用水水质》</w:t>
            </w:r>
          </w:p>
          <w:p>
            <w:pPr>
              <w:pStyle w:val="14"/>
              <w:spacing w:before="2"/>
              <w:ind w:left="102" w:right="92"/>
              <w:rPr>
                <w:sz w:val="21"/>
              </w:rPr>
            </w:pPr>
            <w:r>
              <w:rPr>
                <w:sz w:val="21"/>
              </w:rPr>
              <w:t>（</w:t>
            </w:r>
            <w:r>
              <w:rPr>
                <w:rFonts w:ascii="Times New Roman" w:eastAsia="Times New Roman"/>
                <w:sz w:val="21"/>
              </w:rPr>
              <w:t>GB/T18920-2002</w:t>
            </w:r>
            <w:r>
              <w:rPr>
                <w:sz w:val="21"/>
              </w:rPr>
              <w:t>）道路清扫</w:t>
            </w:r>
          </w:p>
        </w:tc>
        <w:tc>
          <w:tcPr>
            <w:tcW w:w="1209" w:type="dxa"/>
          </w:tcPr>
          <w:p>
            <w:pPr>
              <w:pStyle w:val="14"/>
              <w:spacing w:before="17"/>
              <w:ind w:left="183" w:right="173"/>
              <w:rPr>
                <w:rFonts w:ascii="Times New Roman"/>
                <w:sz w:val="21"/>
              </w:rPr>
            </w:pPr>
            <w:r>
              <w:rPr>
                <w:rFonts w:ascii="Times New Roman"/>
                <w:sz w:val="21"/>
              </w:rPr>
              <w:t>pH</w:t>
            </w:r>
          </w:p>
        </w:tc>
        <w:tc>
          <w:tcPr>
            <w:tcW w:w="979" w:type="dxa"/>
          </w:tcPr>
          <w:p>
            <w:pPr>
              <w:pStyle w:val="14"/>
              <w:ind w:left="154" w:right="145"/>
              <w:rPr>
                <w:sz w:val="21"/>
              </w:rPr>
            </w:pPr>
            <w:r>
              <w:rPr>
                <w:sz w:val="21"/>
              </w:rPr>
              <w:t>无量纲</w:t>
            </w:r>
          </w:p>
        </w:tc>
        <w:tc>
          <w:tcPr>
            <w:tcW w:w="1430" w:type="dxa"/>
          </w:tcPr>
          <w:p>
            <w:pPr>
              <w:pStyle w:val="14"/>
              <w:ind w:left="311" w:right="303"/>
              <w:rPr>
                <w:rFonts w:ascii="Times New Roman" w:eastAsia="Times New Roman"/>
                <w:sz w:val="21"/>
              </w:rPr>
            </w:pPr>
            <w:r>
              <w:rPr>
                <w:rFonts w:ascii="Times New Roman" w:eastAsia="Times New Roman"/>
                <w:sz w:val="21"/>
              </w:rPr>
              <w:t>6</w:t>
            </w:r>
            <w:r>
              <w:rPr>
                <w:sz w:val="21"/>
              </w:rPr>
              <w:t>～</w:t>
            </w:r>
            <w:r>
              <w:rPr>
                <w:rFonts w:ascii="Times New Roman" w:eastAsia="Times New Roman"/>
                <w:sz w:val="21"/>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ind w:left="178" w:right="175"/>
              <w:rPr>
                <w:sz w:val="21"/>
              </w:rPr>
            </w:pPr>
            <w:r>
              <w:rPr>
                <w:sz w:val="21"/>
              </w:rPr>
              <w:t>色度</w:t>
            </w:r>
          </w:p>
        </w:tc>
        <w:tc>
          <w:tcPr>
            <w:tcW w:w="979" w:type="dxa"/>
          </w:tcPr>
          <w:p>
            <w:pPr>
              <w:pStyle w:val="14"/>
              <w:ind w:left="7"/>
              <w:rPr>
                <w:sz w:val="21"/>
              </w:rPr>
            </w:pPr>
            <w:r>
              <w:rPr>
                <w:w w:val="99"/>
                <w:sz w:val="21"/>
              </w:rPr>
              <w:t>度</w:t>
            </w:r>
          </w:p>
        </w:tc>
        <w:tc>
          <w:tcPr>
            <w:tcW w:w="1430" w:type="dxa"/>
          </w:tcPr>
          <w:p>
            <w:pPr>
              <w:pStyle w:val="14"/>
              <w:spacing w:before="16"/>
              <w:ind w:left="311" w:right="303"/>
              <w:rPr>
                <w:rFonts w:ascii="Times New Roman"/>
                <w:sz w:val="21"/>
              </w:rPr>
            </w:pPr>
            <w:r>
              <w:rPr>
                <w:rFonts w:ascii="Times New Roman"/>
                <w:sz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before="2"/>
              <w:ind w:left="178" w:right="175"/>
              <w:rPr>
                <w:sz w:val="21"/>
              </w:rPr>
            </w:pPr>
            <w:r>
              <w:rPr>
                <w:sz w:val="21"/>
              </w:rPr>
              <w:t>浊度</w:t>
            </w:r>
          </w:p>
        </w:tc>
        <w:tc>
          <w:tcPr>
            <w:tcW w:w="979" w:type="dxa"/>
          </w:tcPr>
          <w:p>
            <w:pPr>
              <w:pStyle w:val="14"/>
              <w:spacing w:before="18"/>
              <w:ind w:left="151" w:right="145"/>
              <w:rPr>
                <w:rFonts w:ascii="Times New Roman"/>
                <w:sz w:val="21"/>
              </w:rPr>
            </w:pPr>
            <w:r>
              <w:rPr>
                <w:rFonts w:ascii="Times New Roman"/>
                <w:sz w:val="21"/>
              </w:rPr>
              <w:t>NTU</w:t>
            </w:r>
          </w:p>
        </w:tc>
        <w:tc>
          <w:tcPr>
            <w:tcW w:w="1430" w:type="dxa"/>
          </w:tcPr>
          <w:p>
            <w:pPr>
              <w:pStyle w:val="14"/>
              <w:spacing w:before="18"/>
              <w:ind w:left="311" w:right="303"/>
              <w:rPr>
                <w:rFonts w:ascii="Times New Roman"/>
                <w:sz w:val="21"/>
              </w:rPr>
            </w:pPr>
            <w:r>
              <w:rPr>
                <w:rFonts w:ascii="Times New Roman"/>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before="1"/>
              <w:ind w:left="126" w:right="120"/>
              <w:rPr>
                <w:sz w:val="21"/>
              </w:rPr>
            </w:pPr>
            <w:r>
              <w:rPr>
                <w:sz w:val="21"/>
              </w:rPr>
              <w:t>溶解性总</w:t>
            </w:r>
          </w:p>
          <w:p>
            <w:pPr>
              <w:pStyle w:val="14"/>
              <w:spacing w:before="57"/>
              <w:ind w:left="178" w:right="175"/>
              <w:rPr>
                <w:sz w:val="21"/>
              </w:rPr>
            </w:pPr>
            <w:r>
              <w:rPr>
                <w:sz w:val="21"/>
              </w:rPr>
              <w:t>固体</w:t>
            </w:r>
          </w:p>
        </w:tc>
        <w:tc>
          <w:tcPr>
            <w:tcW w:w="979" w:type="dxa"/>
            <w:vMerge w:val="restart"/>
          </w:tcPr>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spacing w:before="10"/>
              <w:jc w:val="left"/>
              <w:rPr>
                <w:b/>
                <w:sz w:val="20"/>
              </w:rPr>
            </w:pPr>
          </w:p>
          <w:p>
            <w:pPr>
              <w:pStyle w:val="14"/>
              <w:ind w:left="261"/>
              <w:jc w:val="left"/>
              <w:rPr>
                <w:rFonts w:ascii="Times New Roman"/>
                <w:sz w:val="21"/>
              </w:rPr>
            </w:pPr>
            <w:r>
              <w:rPr>
                <w:rFonts w:ascii="Times New Roman"/>
                <w:sz w:val="21"/>
              </w:rPr>
              <w:t>mg/L</w:t>
            </w:r>
          </w:p>
        </w:tc>
        <w:tc>
          <w:tcPr>
            <w:tcW w:w="1430" w:type="dxa"/>
          </w:tcPr>
          <w:p>
            <w:pPr>
              <w:pStyle w:val="14"/>
              <w:spacing w:before="180"/>
              <w:ind w:left="311" w:right="303"/>
              <w:rPr>
                <w:rFonts w:ascii="Times New Roman"/>
                <w:sz w:val="21"/>
              </w:rPr>
            </w:pPr>
            <w:r>
              <w:rPr>
                <w:rFonts w:ascii="Times New Roman"/>
                <w:sz w:val="21"/>
              </w:rPr>
              <w:t>1500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line="269" w:lineRule="exact"/>
              <w:ind w:left="126" w:right="120"/>
              <w:rPr>
                <w:sz w:val="21"/>
              </w:rPr>
            </w:pPr>
            <w:r>
              <w:rPr>
                <w:sz w:val="21"/>
              </w:rPr>
              <w:t>五日生化</w:t>
            </w:r>
          </w:p>
          <w:p>
            <w:pPr>
              <w:pStyle w:val="14"/>
              <w:spacing w:before="57"/>
              <w:ind w:left="183" w:right="175"/>
              <w:rPr>
                <w:sz w:val="21"/>
              </w:rPr>
            </w:pPr>
            <w:r>
              <w:rPr>
                <w:sz w:val="21"/>
              </w:rPr>
              <w:t>需氧量</w:t>
            </w:r>
          </w:p>
        </w:tc>
        <w:tc>
          <w:tcPr>
            <w:tcW w:w="979" w:type="dxa"/>
            <w:vMerge w:val="continue"/>
            <w:tcBorders>
              <w:top w:val="nil"/>
            </w:tcBorders>
          </w:tcPr>
          <w:p>
            <w:pPr>
              <w:rPr>
                <w:sz w:val="2"/>
                <w:szCs w:val="2"/>
              </w:rPr>
            </w:pPr>
          </w:p>
        </w:tc>
        <w:tc>
          <w:tcPr>
            <w:tcW w:w="1430" w:type="dxa"/>
          </w:tcPr>
          <w:p>
            <w:pPr>
              <w:pStyle w:val="14"/>
              <w:spacing w:before="179"/>
              <w:ind w:left="311" w:right="303"/>
              <w:rPr>
                <w:rFonts w:ascii="Times New Roman"/>
                <w:sz w:val="21"/>
              </w:rPr>
            </w:pPr>
            <w:r>
              <w:rPr>
                <w:rFonts w:ascii="Times New Roman"/>
                <w:sz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before="1"/>
              <w:ind w:left="178" w:right="175"/>
              <w:rPr>
                <w:sz w:val="21"/>
              </w:rPr>
            </w:pPr>
            <w:r>
              <w:rPr>
                <w:sz w:val="21"/>
              </w:rPr>
              <w:t>氨氮</w:t>
            </w:r>
          </w:p>
        </w:tc>
        <w:tc>
          <w:tcPr>
            <w:tcW w:w="979" w:type="dxa"/>
            <w:vMerge w:val="continue"/>
            <w:tcBorders>
              <w:top w:val="nil"/>
            </w:tcBorders>
          </w:tcPr>
          <w:p>
            <w:pPr>
              <w:rPr>
                <w:sz w:val="2"/>
                <w:szCs w:val="2"/>
              </w:rPr>
            </w:pPr>
          </w:p>
        </w:tc>
        <w:tc>
          <w:tcPr>
            <w:tcW w:w="1430" w:type="dxa"/>
          </w:tcPr>
          <w:p>
            <w:pPr>
              <w:pStyle w:val="14"/>
              <w:spacing w:before="17"/>
              <w:ind w:left="311" w:right="303"/>
              <w:rPr>
                <w:rFonts w:ascii="Times New Roman"/>
                <w:sz w:val="21"/>
              </w:rPr>
            </w:pPr>
            <w:r>
              <w:rPr>
                <w:rFonts w:ascii="Times New Roman"/>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ind w:left="183"/>
              <w:jc w:val="left"/>
              <w:rPr>
                <w:sz w:val="21"/>
              </w:rPr>
            </w:pPr>
            <w:r>
              <w:rPr>
                <w:w w:val="95"/>
                <w:sz w:val="21"/>
              </w:rPr>
              <w:t>阴离子表</w:t>
            </w:r>
          </w:p>
          <w:p>
            <w:pPr>
              <w:pStyle w:val="14"/>
              <w:spacing w:before="57"/>
              <w:ind w:left="183"/>
              <w:jc w:val="left"/>
              <w:rPr>
                <w:sz w:val="21"/>
              </w:rPr>
            </w:pPr>
            <w:r>
              <w:rPr>
                <w:w w:val="95"/>
                <w:sz w:val="21"/>
              </w:rPr>
              <w:t>面活性剂</w:t>
            </w:r>
          </w:p>
        </w:tc>
        <w:tc>
          <w:tcPr>
            <w:tcW w:w="979" w:type="dxa"/>
            <w:vMerge w:val="continue"/>
            <w:tcBorders>
              <w:top w:val="nil"/>
            </w:tcBorders>
          </w:tcPr>
          <w:p>
            <w:pPr>
              <w:rPr>
                <w:sz w:val="2"/>
                <w:szCs w:val="2"/>
              </w:rPr>
            </w:pPr>
          </w:p>
        </w:tc>
        <w:tc>
          <w:tcPr>
            <w:tcW w:w="1430" w:type="dxa"/>
          </w:tcPr>
          <w:p>
            <w:pPr>
              <w:pStyle w:val="14"/>
              <w:spacing w:before="180"/>
              <w:ind w:left="311" w:right="303"/>
              <w:rPr>
                <w:rFonts w:ascii="Times New Roman"/>
                <w:sz w:val="21"/>
              </w:rPr>
            </w:pPr>
            <w:r>
              <w:rPr>
                <w:rFonts w:ascii="Times New Roman"/>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before="1"/>
              <w:ind w:left="183" w:right="175"/>
              <w:rPr>
                <w:sz w:val="21"/>
              </w:rPr>
            </w:pPr>
            <w:r>
              <w:rPr>
                <w:sz w:val="21"/>
              </w:rPr>
              <w:t>溶解氧</w:t>
            </w:r>
          </w:p>
        </w:tc>
        <w:tc>
          <w:tcPr>
            <w:tcW w:w="979" w:type="dxa"/>
            <w:vMerge w:val="continue"/>
            <w:tcBorders>
              <w:top w:val="nil"/>
            </w:tcBorders>
          </w:tcPr>
          <w:p>
            <w:pPr>
              <w:rPr>
                <w:sz w:val="2"/>
                <w:szCs w:val="2"/>
              </w:rPr>
            </w:pPr>
          </w:p>
        </w:tc>
        <w:tc>
          <w:tcPr>
            <w:tcW w:w="1430" w:type="dxa"/>
          </w:tcPr>
          <w:p>
            <w:pPr>
              <w:pStyle w:val="14"/>
              <w:spacing w:before="17"/>
              <w:ind w:left="311" w:right="303"/>
              <w:rPr>
                <w:rFonts w:ascii="Times New Roman"/>
                <w:sz w:val="21"/>
              </w:rPr>
            </w:pPr>
            <w:r>
              <w:rPr>
                <w:rFonts w:ascii="Times New Roman"/>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8"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before="6"/>
              <w:jc w:val="left"/>
              <w:rPr>
                <w:b/>
                <w:sz w:val="25"/>
              </w:rPr>
            </w:pPr>
          </w:p>
          <w:p>
            <w:pPr>
              <w:pStyle w:val="14"/>
              <w:ind w:left="183" w:right="175"/>
              <w:rPr>
                <w:sz w:val="21"/>
              </w:rPr>
            </w:pPr>
            <w:r>
              <w:rPr>
                <w:sz w:val="21"/>
              </w:rPr>
              <w:t>总余氯</w:t>
            </w:r>
          </w:p>
        </w:tc>
        <w:tc>
          <w:tcPr>
            <w:tcW w:w="979" w:type="dxa"/>
            <w:vMerge w:val="continue"/>
            <w:tcBorders>
              <w:top w:val="nil"/>
            </w:tcBorders>
          </w:tcPr>
          <w:p>
            <w:pPr>
              <w:rPr>
                <w:sz w:val="2"/>
                <w:szCs w:val="2"/>
              </w:rPr>
            </w:pPr>
          </w:p>
        </w:tc>
        <w:tc>
          <w:tcPr>
            <w:tcW w:w="1430" w:type="dxa"/>
          </w:tcPr>
          <w:p>
            <w:pPr>
              <w:pStyle w:val="14"/>
              <w:ind w:left="210"/>
              <w:jc w:val="left"/>
              <w:rPr>
                <w:rFonts w:ascii="Times New Roman" w:eastAsia="Times New Roman"/>
                <w:sz w:val="21"/>
              </w:rPr>
            </w:pPr>
            <w:r>
              <w:rPr>
                <w:sz w:val="21"/>
              </w:rPr>
              <w:t xml:space="preserve">接触 </w:t>
            </w:r>
            <w:r>
              <w:rPr>
                <w:rFonts w:ascii="Times New Roman" w:eastAsia="Times New Roman"/>
                <w:sz w:val="21"/>
              </w:rPr>
              <w:t>30min</w:t>
            </w:r>
          </w:p>
          <w:p>
            <w:pPr>
              <w:pStyle w:val="14"/>
              <w:spacing w:before="6" w:line="320" w:lineRule="atLeast"/>
              <w:ind w:left="316" w:right="56" w:hanging="209"/>
              <w:jc w:val="left"/>
              <w:rPr>
                <w:rFonts w:ascii="Times New Roman" w:hAnsi="Times New Roman" w:eastAsia="Times New Roman"/>
                <w:sz w:val="21"/>
              </w:rPr>
            </w:pPr>
            <w:r>
              <w:rPr>
                <w:sz w:val="21"/>
              </w:rPr>
              <w:t>后</w:t>
            </w:r>
            <w:r>
              <w:rPr>
                <w:rFonts w:ascii="Times New Roman" w:hAnsi="Times New Roman" w:eastAsia="Times New Roman"/>
                <w:sz w:val="21"/>
              </w:rPr>
              <w:t>≥1.0</w:t>
            </w:r>
            <w:r>
              <w:rPr>
                <w:sz w:val="21"/>
              </w:rPr>
              <w:t>，管网末端</w:t>
            </w:r>
            <w:r>
              <w:rPr>
                <w:rFonts w:ascii="Times New Roman" w:hAnsi="Times New Roman" w:eastAsia="Times New Roman"/>
                <w:sz w:val="21"/>
              </w:rPr>
              <w:t>≥0.2</w:t>
            </w:r>
          </w:p>
        </w:tc>
      </w:tr>
    </w:tbl>
    <w:p>
      <w:pPr>
        <w:spacing w:after="0" w:line="320" w:lineRule="atLeast"/>
        <w:jc w:val="left"/>
        <w:rPr>
          <w:rFonts w:ascii="Times New Roman" w:hAnsi="Times New Roman" w:eastAsia="Times New Roman"/>
          <w:sz w:val="21"/>
        </w:rPr>
        <w:sectPr>
          <w:pgSz w:w="11910" w:h="16840"/>
          <w:pgMar w:top="1400" w:right="720" w:bottom="1080" w:left="760" w:header="0" w:footer="895" w:gutter="0"/>
        </w:sectPr>
      </w:pPr>
    </w:p>
    <w:tbl>
      <w:tblPr>
        <w:tblStyle w:val="10"/>
        <w:tblW w:w="0" w:type="auto"/>
        <w:tblInd w:w="9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6"/>
        <w:gridCol w:w="4238"/>
        <w:gridCol w:w="673"/>
        <w:gridCol w:w="536"/>
        <w:gridCol w:w="979"/>
        <w:gridCol w:w="842"/>
        <w:gridCol w:w="5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666" w:type="dxa"/>
          </w:tcPr>
          <w:p>
            <w:pPr>
              <w:pStyle w:val="14"/>
              <w:jc w:val="left"/>
              <w:rPr>
                <w:rFonts w:ascii="Times New Roman"/>
                <w:sz w:val="22"/>
              </w:rPr>
            </w:pPr>
          </w:p>
        </w:tc>
        <w:tc>
          <w:tcPr>
            <w:tcW w:w="4238" w:type="dxa"/>
          </w:tcPr>
          <w:p>
            <w:pPr>
              <w:pStyle w:val="14"/>
              <w:jc w:val="left"/>
              <w:rPr>
                <w:rFonts w:ascii="Times New Roman"/>
                <w:sz w:val="22"/>
              </w:rPr>
            </w:pPr>
          </w:p>
        </w:tc>
        <w:tc>
          <w:tcPr>
            <w:tcW w:w="1209" w:type="dxa"/>
            <w:gridSpan w:val="2"/>
          </w:tcPr>
          <w:p>
            <w:pPr>
              <w:pStyle w:val="14"/>
              <w:ind w:left="126" w:right="120"/>
              <w:rPr>
                <w:sz w:val="21"/>
              </w:rPr>
            </w:pPr>
            <w:r>
              <w:rPr>
                <w:sz w:val="21"/>
              </w:rPr>
              <w:t>总大肠菌</w:t>
            </w:r>
          </w:p>
          <w:p>
            <w:pPr>
              <w:pStyle w:val="14"/>
              <w:spacing w:before="57"/>
              <w:ind w:left="6"/>
              <w:rPr>
                <w:sz w:val="21"/>
              </w:rPr>
            </w:pPr>
            <w:r>
              <w:rPr>
                <w:w w:val="99"/>
                <w:sz w:val="21"/>
              </w:rPr>
              <w:t>群</w:t>
            </w:r>
          </w:p>
        </w:tc>
        <w:tc>
          <w:tcPr>
            <w:tcW w:w="979" w:type="dxa"/>
          </w:tcPr>
          <w:p>
            <w:pPr>
              <w:pStyle w:val="14"/>
              <w:spacing w:before="163"/>
              <w:ind w:left="289"/>
              <w:jc w:val="left"/>
              <w:rPr>
                <w:rFonts w:ascii="Times New Roman" w:eastAsia="Times New Roman"/>
                <w:sz w:val="21"/>
              </w:rPr>
            </w:pPr>
            <w:r>
              <w:rPr>
                <w:sz w:val="21"/>
              </w:rPr>
              <w:t>个</w:t>
            </w:r>
            <w:r>
              <w:rPr>
                <w:rFonts w:ascii="Times New Roman" w:eastAsia="Times New Roman"/>
                <w:sz w:val="21"/>
              </w:rPr>
              <w:t>/L</w:t>
            </w:r>
          </w:p>
        </w:tc>
        <w:tc>
          <w:tcPr>
            <w:tcW w:w="1430" w:type="dxa"/>
            <w:gridSpan w:val="2"/>
          </w:tcPr>
          <w:p>
            <w:pPr>
              <w:pStyle w:val="14"/>
              <w:spacing w:before="182"/>
              <w:ind w:left="8"/>
              <w:rPr>
                <w:rFonts w:ascii="Times New Roman"/>
                <w:sz w:val="21"/>
              </w:rPr>
            </w:pPr>
            <w:r>
              <w:rPr>
                <w:rFonts w:ascii="Times New Roman"/>
                <w:w w:val="99"/>
                <w:sz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666" w:type="dxa"/>
            <w:vMerge w:val="restart"/>
          </w:tcPr>
          <w:p>
            <w:pPr>
              <w:pStyle w:val="14"/>
              <w:jc w:val="left"/>
              <w:rPr>
                <w:b/>
                <w:sz w:val="20"/>
              </w:rPr>
            </w:pPr>
          </w:p>
          <w:p>
            <w:pPr>
              <w:pStyle w:val="14"/>
              <w:jc w:val="left"/>
              <w:rPr>
                <w:b/>
                <w:sz w:val="20"/>
              </w:rPr>
            </w:pPr>
          </w:p>
          <w:p>
            <w:pPr>
              <w:pStyle w:val="14"/>
              <w:spacing w:before="11"/>
              <w:jc w:val="left"/>
              <w:rPr>
                <w:b/>
                <w:sz w:val="26"/>
              </w:rPr>
            </w:pPr>
          </w:p>
          <w:p>
            <w:pPr>
              <w:pStyle w:val="14"/>
              <w:spacing w:before="1"/>
              <w:ind w:left="122"/>
              <w:jc w:val="left"/>
              <w:rPr>
                <w:sz w:val="21"/>
              </w:rPr>
            </w:pPr>
            <w:r>
              <w:rPr>
                <w:sz w:val="21"/>
              </w:rPr>
              <w:t>噪声</w:t>
            </w:r>
          </w:p>
        </w:tc>
        <w:tc>
          <w:tcPr>
            <w:tcW w:w="4238" w:type="dxa"/>
            <w:vMerge w:val="restart"/>
          </w:tcPr>
          <w:p>
            <w:pPr>
              <w:pStyle w:val="14"/>
              <w:spacing w:before="2"/>
              <w:jc w:val="left"/>
              <w:rPr>
                <w:b/>
                <w:sz w:val="25"/>
              </w:rPr>
            </w:pPr>
          </w:p>
          <w:p>
            <w:pPr>
              <w:pStyle w:val="14"/>
              <w:ind w:left="100" w:right="95"/>
              <w:rPr>
                <w:sz w:val="21"/>
              </w:rPr>
            </w:pPr>
            <w:r>
              <w:rPr>
                <w:sz w:val="21"/>
              </w:rPr>
              <w:t>《工业企业厂界环境噪声排放标准》</w:t>
            </w:r>
          </w:p>
          <w:p>
            <w:pPr>
              <w:pStyle w:val="14"/>
              <w:spacing w:before="4"/>
              <w:ind w:left="102" w:right="92"/>
              <w:rPr>
                <w:sz w:val="21"/>
              </w:rPr>
            </w:pPr>
            <w:r>
              <w:rPr>
                <w:sz w:val="21"/>
              </w:rPr>
              <w:t>（</w:t>
            </w:r>
            <w:r>
              <w:rPr>
                <w:rFonts w:ascii="Times New Roman" w:eastAsia="Times New Roman"/>
                <w:sz w:val="21"/>
              </w:rPr>
              <w:t>GB12348-2008</w:t>
            </w:r>
            <w:r>
              <w:rPr>
                <w:sz w:val="21"/>
              </w:rPr>
              <w:t>）</w:t>
            </w:r>
            <w:r>
              <w:rPr>
                <w:rFonts w:ascii="Times New Roman" w:eastAsia="Times New Roman"/>
                <w:sz w:val="21"/>
              </w:rPr>
              <w:t xml:space="preserve">2 </w:t>
            </w:r>
            <w:r>
              <w:rPr>
                <w:sz w:val="21"/>
              </w:rPr>
              <w:t>类标准</w:t>
            </w:r>
          </w:p>
        </w:tc>
        <w:tc>
          <w:tcPr>
            <w:tcW w:w="673" w:type="dxa"/>
            <w:vMerge w:val="restart"/>
          </w:tcPr>
          <w:p>
            <w:pPr>
              <w:pStyle w:val="14"/>
              <w:spacing w:before="2"/>
              <w:jc w:val="left"/>
              <w:rPr>
                <w:b/>
                <w:sz w:val="25"/>
              </w:rPr>
            </w:pPr>
          </w:p>
          <w:p>
            <w:pPr>
              <w:pStyle w:val="14"/>
              <w:spacing w:line="244" w:lineRule="auto"/>
              <w:ind w:left="126" w:right="117"/>
              <w:jc w:val="left"/>
              <w:rPr>
                <w:sz w:val="21"/>
              </w:rPr>
            </w:pPr>
            <w:r>
              <w:rPr>
                <w:sz w:val="21"/>
              </w:rPr>
              <w:t>厂界噪声</w:t>
            </w:r>
          </w:p>
        </w:tc>
        <w:tc>
          <w:tcPr>
            <w:tcW w:w="536" w:type="dxa"/>
            <w:vMerge w:val="restart"/>
          </w:tcPr>
          <w:p>
            <w:pPr>
              <w:pStyle w:val="14"/>
              <w:spacing w:before="5"/>
              <w:jc w:val="left"/>
              <w:rPr>
                <w:b/>
                <w:sz w:val="26"/>
              </w:rPr>
            </w:pPr>
          </w:p>
          <w:p>
            <w:pPr>
              <w:pStyle w:val="14"/>
              <w:spacing w:line="241" w:lineRule="exact"/>
              <w:ind w:left="64"/>
              <w:rPr>
                <w:rFonts w:ascii="Times New Roman"/>
                <w:sz w:val="21"/>
              </w:rPr>
            </w:pPr>
            <w:r>
              <w:rPr>
                <w:rFonts w:ascii="Times New Roman"/>
                <w:w w:val="99"/>
                <w:sz w:val="21"/>
              </w:rPr>
              <w:t>2</w:t>
            </w:r>
          </w:p>
          <w:p>
            <w:pPr>
              <w:pStyle w:val="14"/>
              <w:spacing w:line="269" w:lineRule="exact"/>
              <w:ind w:left="10"/>
              <w:rPr>
                <w:sz w:val="21"/>
              </w:rPr>
            </w:pPr>
            <w:r>
              <w:rPr>
                <w:w w:val="99"/>
                <w:sz w:val="21"/>
              </w:rPr>
              <w:t>类</w:t>
            </w:r>
          </w:p>
        </w:tc>
        <w:tc>
          <w:tcPr>
            <w:tcW w:w="979" w:type="dxa"/>
            <w:vMerge w:val="restart"/>
          </w:tcPr>
          <w:p>
            <w:pPr>
              <w:pStyle w:val="14"/>
              <w:jc w:val="left"/>
              <w:rPr>
                <w:b/>
                <w:sz w:val="22"/>
              </w:rPr>
            </w:pPr>
          </w:p>
          <w:p>
            <w:pPr>
              <w:pStyle w:val="14"/>
              <w:spacing w:before="191"/>
              <w:ind w:left="222"/>
              <w:jc w:val="left"/>
              <w:rPr>
                <w:rFonts w:ascii="Times New Roman"/>
                <w:sz w:val="21"/>
              </w:rPr>
            </w:pPr>
            <w:r>
              <w:rPr>
                <w:rFonts w:ascii="Times New Roman"/>
                <w:sz w:val="21"/>
              </w:rPr>
              <w:t>dB(A)</w:t>
            </w:r>
          </w:p>
        </w:tc>
        <w:tc>
          <w:tcPr>
            <w:tcW w:w="842" w:type="dxa"/>
          </w:tcPr>
          <w:p>
            <w:pPr>
              <w:pStyle w:val="14"/>
              <w:spacing w:before="171"/>
              <w:ind w:left="189" w:right="182"/>
              <w:rPr>
                <w:sz w:val="21"/>
              </w:rPr>
            </w:pPr>
            <w:r>
              <w:rPr>
                <w:sz w:val="21"/>
              </w:rPr>
              <w:t>昼间</w:t>
            </w:r>
          </w:p>
        </w:tc>
        <w:tc>
          <w:tcPr>
            <w:tcW w:w="588" w:type="dxa"/>
          </w:tcPr>
          <w:p>
            <w:pPr>
              <w:pStyle w:val="14"/>
              <w:spacing w:before="185"/>
              <w:ind w:left="167" w:right="158"/>
              <w:rPr>
                <w:rFonts w:ascii="Times New Roman"/>
                <w:sz w:val="21"/>
              </w:rPr>
            </w:pPr>
            <w:r>
              <w:rPr>
                <w:rFonts w:ascii="Times New Roman"/>
                <w:sz w:val="21"/>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673" w:type="dxa"/>
            <w:vMerge w:val="continue"/>
            <w:tcBorders>
              <w:top w:val="nil"/>
            </w:tcBorders>
          </w:tcPr>
          <w:p>
            <w:pPr>
              <w:rPr>
                <w:sz w:val="2"/>
                <w:szCs w:val="2"/>
              </w:rPr>
            </w:pPr>
          </w:p>
        </w:tc>
        <w:tc>
          <w:tcPr>
            <w:tcW w:w="536" w:type="dxa"/>
            <w:vMerge w:val="continue"/>
            <w:tcBorders>
              <w:top w:val="nil"/>
            </w:tcBorders>
          </w:tcPr>
          <w:p>
            <w:pPr>
              <w:rPr>
                <w:sz w:val="2"/>
                <w:szCs w:val="2"/>
              </w:rPr>
            </w:pPr>
          </w:p>
        </w:tc>
        <w:tc>
          <w:tcPr>
            <w:tcW w:w="979" w:type="dxa"/>
            <w:vMerge w:val="continue"/>
            <w:tcBorders>
              <w:top w:val="nil"/>
            </w:tcBorders>
          </w:tcPr>
          <w:p>
            <w:pPr>
              <w:rPr>
                <w:sz w:val="2"/>
                <w:szCs w:val="2"/>
              </w:rPr>
            </w:pPr>
          </w:p>
        </w:tc>
        <w:tc>
          <w:tcPr>
            <w:tcW w:w="842" w:type="dxa"/>
          </w:tcPr>
          <w:p>
            <w:pPr>
              <w:pStyle w:val="14"/>
              <w:spacing w:before="146"/>
              <w:ind w:left="189" w:right="182"/>
              <w:rPr>
                <w:sz w:val="21"/>
              </w:rPr>
            </w:pPr>
            <w:r>
              <w:rPr>
                <w:sz w:val="21"/>
              </w:rPr>
              <w:t>夜间</w:t>
            </w:r>
          </w:p>
        </w:tc>
        <w:tc>
          <w:tcPr>
            <w:tcW w:w="588" w:type="dxa"/>
          </w:tcPr>
          <w:p>
            <w:pPr>
              <w:pStyle w:val="14"/>
              <w:spacing w:before="160"/>
              <w:ind w:left="167" w:right="158"/>
              <w:rPr>
                <w:rFonts w:ascii="Times New Roman"/>
                <w:sz w:val="21"/>
              </w:rPr>
            </w:pPr>
            <w:r>
              <w:rPr>
                <w:rFonts w:ascii="Times New Roman"/>
                <w:sz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666" w:type="dxa"/>
            <w:vMerge w:val="continue"/>
            <w:tcBorders>
              <w:top w:val="nil"/>
            </w:tcBorders>
          </w:tcPr>
          <w:p>
            <w:pPr>
              <w:rPr>
                <w:sz w:val="2"/>
                <w:szCs w:val="2"/>
              </w:rPr>
            </w:pPr>
          </w:p>
        </w:tc>
        <w:tc>
          <w:tcPr>
            <w:tcW w:w="4238" w:type="dxa"/>
            <w:vMerge w:val="restart"/>
          </w:tcPr>
          <w:p>
            <w:pPr>
              <w:pStyle w:val="14"/>
              <w:spacing w:before="121"/>
              <w:ind w:left="100" w:right="95"/>
              <w:rPr>
                <w:sz w:val="21"/>
              </w:rPr>
            </w:pPr>
            <w:r>
              <w:rPr>
                <w:sz w:val="21"/>
              </w:rPr>
              <w:t>《建筑施工场界环境噪声排放标准》</w:t>
            </w:r>
          </w:p>
          <w:p>
            <w:pPr>
              <w:pStyle w:val="14"/>
              <w:spacing w:before="2"/>
              <w:ind w:left="102" w:right="95"/>
              <w:rPr>
                <w:sz w:val="21"/>
              </w:rPr>
            </w:pPr>
            <w:r>
              <w:rPr>
                <w:sz w:val="21"/>
              </w:rPr>
              <w:t>（</w:t>
            </w:r>
            <w:r>
              <w:rPr>
                <w:rFonts w:ascii="Times New Roman" w:eastAsia="Times New Roman"/>
                <w:sz w:val="21"/>
              </w:rPr>
              <w:t>GB12523-2011</w:t>
            </w:r>
            <w:r>
              <w:rPr>
                <w:sz w:val="21"/>
              </w:rPr>
              <w:t>）</w:t>
            </w:r>
          </w:p>
        </w:tc>
        <w:tc>
          <w:tcPr>
            <w:tcW w:w="673" w:type="dxa"/>
            <w:vMerge w:val="restart"/>
          </w:tcPr>
          <w:p>
            <w:pPr>
              <w:pStyle w:val="14"/>
              <w:spacing w:before="121" w:line="242" w:lineRule="auto"/>
              <w:ind w:left="126" w:right="117"/>
              <w:jc w:val="left"/>
              <w:rPr>
                <w:sz w:val="21"/>
              </w:rPr>
            </w:pPr>
            <w:r>
              <w:rPr>
                <w:sz w:val="21"/>
              </w:rPr>
              <w:t>厂界噪声</w:t>
            </w:r>
          </w:p>
        </w:tc>
        <w:tc>
          <w:tcPr>
            <w:tcW w:w="1515" w:type="dxa"/>
            <w:gridSpan w:val="2"/>
            <w:vMerge w:val="restart"/>
          </w:tcPr>
          <w:p>
            <w:pPr>
              <w:pStyle w:val="14"/>
              <w:jc w:val="left"/>
              <w:rPr>
                <w:b/>
                <w:sz w:val="21"/>
              </w:rPr>
            </w:pPr>
          </w:p>
          <w:p>
            <w:pPr>
              <w:pStyle w:val="14"/>
              <w:ind w:left="489"/>
              <w:jc w:val="left"/>
              <w:rPr>
                <w:rFonts w:ascii="Times New Roman"/>
                <w:sz w:val="21"/>
              </w:rPr>
            </w:pPr>
            <w:r>
              <w:rPr>
                <w:rFonts w:ascii="Times New Roman"/>
                <w:sz w:val="21"/>
              </w:rPr>
              <w:t>dB(A)</w:t>
            </w:r>
          </w:p>
        </w:tc>
        <w:tc>
          <w:tcPr>
            <w:tcW w:w="842" w:type="dxa"/>
          </w:tcPr>
          <w:p>
            <w:pPr>
              <w:pStyle w:val="14"/>
              <w:spacing w:before="66"/>
              <w:ind w:left="189" w:right="182"/>
              <w:rPr>
                <w:sz w:val="21"/>
              </w:rPr>
            </w:pPr>
            <w:r>
              <w:rPr>
                <w:sz w:val="21"/>
              </w:rPr>
              <w:t>昼间</w:t>
            </w:r>
          </w:p>
        </w:tc>
        <w:tc>
          <w:tcPr>
            <w:tcW w:w="588" w:type="dxa"/>
          </w:tcPr>
          <w:p>
            <w:pPr>
              <w:pStyle w:val="14"/>
              <w:spacing w:before="80"/>
              <w:ind w:left="168" w:right="157"/>
              <w:rPr>
                <w:rFonts w:ascii="Times New Roman"/>
                <w:sz w:val="21"/>
              </w:rPr>
            </w:pPr>
            <w:r>
              <w:rPr>
                <w:rFonts w:ascii="Times New Roman"/>
                <w:sz w:val="21"/>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673" w:type="dxa"/>
            <w:vMerge w:val="continue"/>
            <w:tcBorders>
              <w:top w:val="nil"/>
            </w:tcBorders>
          </w:tcPr>
          <w:p>
            <w:pPr>
              <w:rPr>
                <w:sz w:val="2"/>
                <w:szCs w:val="2"/>
              </w:rPr>
            </w:pPr>
          </w:p>
        </w:tc>
        <w:tc>
          <w:tcPr>
            <w:tcW w:w="1515" w:type="dxa"/>
            <w:gridSpan w:val="2"/>
            <w:vMerge w:val="continue"/>
            <w:tcBorders>
              <w:top w:val="nil"/>
            </w:tcBorders>
          </w:tcPr>
          <w:p>
            <w:pPr>
              <w:rPr>
                <w:sz w:val="2"/>
                <w:szCs w:val="2"/>
              </w:rPr>
            </w:pPr>
          </w:p>
        </w:tc>
        <w:tc>
          <w:tcPr>
            <w:tcW w:w="842" w:type="dxa"/>
          </w:tcPr>
          <w:p>
            <w:pPr>
              <w:pStyle w:val="14"/>
              <w:spacing w:before="47"/>
              <w:ind w:left="189" w:right="182"/>
              <w:rPr>
                <w:sz w:val="21"/>
              </w:rPr>
            </w:pPr>
            <w:r>
              <w:rPr>
                <w:sz w:val="21"/>
              </w:rPr>
              <w:t>夜间</w:t>
            </w:r>
          </w:p>
        </w:tc>
        <w:tc>
          <w:tcPr>
            <w:tcW w:w="588" w:type="dxa"/>
          </w:tcPr>
          <w:p>
            <w:pPr>
              <w:pStyle w:val="14"/>
              <w:spacing w:before="61"/>
              <w:ind w:left="168" w:right="157"/>
              <w:rPr>
                <w:rFonts w:ascii="Times New Roman"/>
                <w:sz w:val="21"/>
              </w:rPr>
            </w:pPr>
            <w:r>
              <w:rPr>
                <w:rFonts w:ascii="Times New Roman"/>
                <w:sz w:val="21"/>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9" w:hRule="atLeast"/>
        </w:trPr>
        <w:tc>
          <w:tcPr>
            <w:tcW w:w="666" w:type="dxa"/>
          </w:tcPr>
          <w:p>
            <w:pPr>
              <w:pStyle w:val="14"/>
              <w:spacing w:before="2"/>
              <w:jc w:val="left"/>
              <w:rPr>
                <w:b/>
                <w:sz w:val="21"/>
              </w:rPr>
            </w:pPr>
          </w:p>
          <w:p>
            <w:pPr>
              <w:pStyle w:val="14"/>
              <w:spacing w:line="242" w:lineRule="auto"/>
              <w:ind w:left="122" w:right="114"/>
              <w:jc w:val="left"/>
              <w:rPr>
                <w:sz w:val="21"/>
              </w:rPr>
            </w:pPr>
            <w:r>
              <w:rPr>
                <w:sz w:val="21"/>
              </w:rPr>
              <w:t>固体废物</w:t>
            </w:r>
          </w:p>
        </w:tc>
        <w:tc>
          <w:tcPr>
            <w:tcW w:w="7856" w:type="dxa"/>
            <w:gridSpan w:val="6"/>
          </w:tcPr>
          <w:p>
            <w:pPr>
              <w:pStyle w:val="14"/>
              <w:ind w:left="101" w:right="95"/>
              <w:rPr>
                <w:sz w:val="21"/>
              </w:rPr>
            </w:pPr>
            <w:r>
              <w:rPr>
                <w:sz w:val="21"/>
              </w:rPr>
              <w:t>一般工业固体废物执行《一般工业固体废物贮存、处置场污染控制标准》</w:t>
            </w:r>
          </w:p>
          <w:p>
            <w:pPr>
              <w:pStyle w:val="14"/>
              <w:spacing w:before="2" w:line="242" w:lineRule="auto"/>
              <w:ind w:left="108" w:right="95"/>
              <w:rPr>
                <w:sz w:val="21"/>
              </w:rPr>
            </w:pPr>
            <w:r>
              <w:rPr>
                <w:w w:val="95"/>
                <w:sz w:val="21"/>
              </w:rPr>
              <w:t>（</w:t>
            </w:r>
            <w:r>
              <w:rPr>
                <w:rFonts w:ascii="Times New Roman" w:eastAsia="Times New Roman"/>
                <w:w w:val="95"/>
                <w:sz w:val="21"/>
              </w:rPr>
              <w:t>GB18599-2001</w:t>
            </w:r>
            <w:r>
              <w:rPr>
                <w:w w:val="95"/>
                <w:sz w:val="21"/>
              </w:rPr>
              <w:t>）</w:t>
            </w:r>
            <w:r>
              <w:rPr>
                <w:spacing w:val="-1"/>
                <w:w w:val="95"/>
                <w:sz w:val="21"/>
              </w:rPr>
              <w:t>中有关规定及《煤炭工业污染物排放标准》</w:t>
            </w:r>
            <w:r>
              <w:rPr>
                <w:w w:val="95"/>
                <w:sz w:val="21"/>
              </w:rPr>
              <w:t>（</w:t>
            </w:r>
            <w:r>
              <w:rPr>
                <w:rFonts w:ascii="Times New Roman" w:eastAsia="Times New Roman"/>
                <w:w w:val="95"/>
                <w:sz w:val="21"/>
              </w:rPr>
              <w:t>GB20426-2006</w:t>
            </w:r>
            <w:r>
              <w:rPr>
                <w:w w:val="95"/>
                <w:sz w:val="21"/>
              </w:rPr>
              <w:t xml:space="preserve">）中  </w:t>
            </w:r>
            <w:r>
              <w:rPr>
                <w:spacing w:val="-2"/>
                <w:sz w:val="21"/>
              </w:rPr>
              <w:t>的有关标准；危险废物执行《危险废物贮存污染控制标准》</w:t>
            </w:r>
            <w:r>
              <w:rPr>
                <w:sz w:val="21"/>
              </w:rPr>
              <w:t>（</w:t>
            </w:r>
            <w:r>
              <w:rPr>
                <w:rFonts w:ascii="Times New Roman" w:eastAsia="Times New Roman"/>
                <w:sz w:val="21"/>
              </w:rPr>
              <w:t>GB</w:t>
            </w:r>
            <w:r>
              <w:rPr>
                <w:rFonts w:ascii="Times New Roman" w:eastAsia="Times New Roman"/>
                <w:spacing w:val="-27"/>
                <w:sz w:val="21"/>
              </w:rPr>
              <w:t xml:space="preserve"> </w:t>
            </w:r>
            <w:r>
              <w:rPr>
                <w:rFonts w:ascii="Times New Roman" w:eastAsia="Times New Roman"/>
                <w:sz w:val="21"/>
              </w:rPr>
              <w:t>18597-2001</w:t>
            </w:r>
            <w:r>
              <w:rPr>
                <w:sz w:val="21"/>
              </w:rPr>
              <w:t>）中相</w:t>
            </w:r>
          </w:p>
          <w:p>
            <w:pPr>
              <w:pStyle w:val="14"/>
              <w:spacing w:before="2" w:line="252" w:lineRule="exact"/>
              <w:ind w:left="103" w:right="95"/>
              <w:rPr>
                <w:sz w:val="21"/>
              </w:rPr>
            </w:pPr>
            <w:r>
              <w:rPr>
                <w:sz w:val="21"/>
              </w:rPr>
              <w:t>关标准</w:t>
            </w:r>
          </w:p>
        </w:tc>
      </w:tr>
    </w:tbl>
    <w:p>
      <w:pPr>
        <w:pStyle w:val="3"/>
        <w:numPr>
          <w:ilvl w:val="1"/>
          <w:numId w:val="7"/>
        </w:numPr>
        <w:tabs>
          <w:tab w:val="left" w:pos="1184"/>
        </w:tabs>
        <w:spacing w:before="2" w:after="0" w:line="240" w:lineRule="auto"/>
        <w:ind w:left="1184" w:right="0" w:hanging="526"/>
        <w:jc w:val="left"/>
      </w:pPr>
      <w:bookmarkStart w:id="36" w:name="_bookmark10"/>
      <w:bookmarkEnd w:id="36"/>
      <w:bookmarkStart w:id="37" w:name="2.4 评价工作等级"/>
      <w:bookmarkEnd w:id="37"/>
      <w:bookmarkStart w:id="38" w:name="_bookmark10"/>
      <w:bookmarkEnd w:id="38"/>
      <w:r>
        <w:t>评价工作等级</w:t>
      </w:r>
    </w:p>
    <w:p>
      <w:pPr>
        <w:pStyle w:val="13"/>
        <w:numPr>
          <w:ilvl w:val="2"/>
          <w:numId w:val="7"/>
        </w:numPr>
        <w:tabs>
          <w:tab w:val="left" w:pos="1288"/>
        </w:tabs>
        <w:spacing w:before="200" w:after="0" w:line="240" w:lineRule="auto"/>
        <w:ind w:left="1287" w:right="0" w:hanging="630"/>
        <w:jc w:val="left"/>
        <w:rPr>
          <w:b/>
          <w:sz w:val="28"/>
        </w:rPr>
      </w:pPr>
      <w:bookmarkStart w:id="39" w:name="2.4.1大气环境"/>
      <w:bookmarkEnd w:id="39"/>
      <w:bookmarkStart w:id="40" w:name="2.4.1大气环境"/>
      <w:bookmarkEnd w:id="40"/>
      <w:r>
        <w:rPr>
          <w:b/>
          <w:sz w:val="28"/>
        </w:rPr>
        <w:t>大气环境</w:t>
      </w:r>
    </w:p>
    <w:p>
      <w:pPr>
        <w:pStyle w:val="6"/>
        <w:spacing w:before="185" w:line="364" w:lineRule="auto"/>
        <w:ind w:left="658" w:right="691" w:firstLine="480"/>
        <w:jc w:val="both"/>
      </w:pPr>
      <w:r>
        <w:rPr>
          <w:spacing w:val="-4"/>
        </w:rPr>
        <w:t>《环境影响评价技术导则 大气环境》</w:t>
      </w:r>
      <w:r>
        <w:rPr>
          <w:spacing w:val="-3"/>
        </w:rPr>
        <w:t>（</w:t>
      </w:r>
      <w:r>
        <w:rPr>
          <w:rFonts w:ascii="Times New Roman" w:eastAsia="Times New Roman"/>
          <w:spacing w:val="-3"/>
        </w:rPr>
        <w:t>HJ2.2-2018</w:t>
      </w:r>
      <w:r>
        <w:rPr>
          <w:spacing w:val="-3"/>
        </w:rPr>
        <w:t>）</w:t>
      </w:r>
      <w:r>
        <w:rPr>
          <w:spacing w:val="-2"/>
        </w:rPr>
        <w:t>中评价工作等级的划分规定如</w:t>
      </w:r>
      <w:r>
        <w:t>下：</w:t>
      </w:r>
    </w:p>
    <w:p>
      <w:pPr>
        <w:pStyle w:val="6"/>
        <w:spacing w:line="362" w:lineRule="auto"/>
        <w:ind w:left="658" w:right="693" w:firstLine="480"/>
        <w:jc w:val="both"/>
      </w:pPr>
      <w:r>
        <w:rPr>
          <w:spacing w:val="-5"/>
        </w:rPr>
        <w:t>根据项目污染源初步调查结果，分别计算项目排放主要污染物的最大地面质量浓度</w:t>
      </w:r>
      <w:r>
        <w:t>占标率</w:t>
      </w:r>
      <w:r>
        <w:rPr>
          <w:rFonts w:ascii="Times New Roman" w:hAnsi="Times New Roman" w:eastAsia="Times New Roman"/>
        </w:rPr>
        <w:t>Pi</w:t>
      </w:r>
      <w:r>
        <w:t>（第</w:t>
      </w:r>
      <w:r>
        <w:rPr>
          <w:rFonts w:ascii="Times New Roman" w:hAnsi="Times New Roman" w:eastAsia="Times New Roman"/>
          <w:spacing w:val="5"/>
        </w:rPr>
        <w:t>i</w:t>
      </w:r>
      <w:r>
        <w:t>个污染物，简称“最大浓度占标率</w:t>
      </w:r>
      <w:r>
        <w:rPr>
          <w:spacing w:val="2"/>
        </w:rPr>
        <w:t>”），</w:t>
      </w:r>
      <w:r>
        <w:t>及第</w:t>
      </w:r>
      <w:r>
        <w:rPr>
          <w:rFonts w:ascii="Times New Roman" w:hAnsi="Times New Roman" w:eastAsia="Times New Roman"/>
        </w:rPr>
        <w:t>i</w:t>
      </w:r>
      <w:r>
        <w:t>个污染物的地面质量浓度</w:t>
      </w:r>
      <w:r>
        <w:rPr>
          <w:position w:val="2"/>
        </w:rPr>
        <w:t>达到标准限值</w:t>
      </w:r>
      <w:r>
        <w:rPr>
          <w:rFonts w:ascii="Times New Roman" w:hAnsi="Times New Roman" w:eastAsia="Times New Roman"/>
          <w:position w:val="2"/>
        </w:rPr>
        <w:t>10%</w:t>
      </w:r>
      <w:r>
        <w:rPr>
          <w:position w:val="2"/>
        </w:rPr>
        <w:t>时所对应的最远距离</w:t>
      </w:r>
      <w:r>
        <w:rPr>
          <w:rFonts w:ascii="Times New Roman" w:hAnsi="Times New Roman" w:eastAsia="Times New Roman"/>
          <w:position w:val="2"/>
        </w:rPr>
        <w:t>D</w:t>
      </w:r>
      <w:r>
        <w:rPr>
          <w:rFonts w:ascii="Times New Roman" w:hAnsi="Times New Roman" w:eastAsia="Times New Roman"/>
          <w:position w:val="2"/>
          <w:vertAlign w:val="subscript"/>
        </w:rPr>
        <w:t>10%</w:t>
      </w:r>
      <w:r>
        <w:rPr>
          <w:position w:val="2"/>
          <w:vertAlign w:val="baseline"/>
        </w:rPr>
        <w:t>。其中</w:t>
      </w:r>
      <w:r>
        <w:rPr>
          <w:rFonts w:ascii="Times New Roman" w:hAnsi="Times New Roman" w:eastAsia="Times New Roman"/>
          <w:position w:val="2"/>
          <w:vertAlign w:val="baseline"/>
        </w:rPr>
        <w:t>Pi</w:t>
      </w:r>
      <w:r>
        <w:rPr>
          <w:position w:val="2"/>
          <w:vertAlign w:val="baseline"/>
        </w:rPr>
        <w:t>定义为：</w:t>
      </w:r>
    </w:p>
    <w:p>
      <w:pPr>
        <w:pStyle w:val="6"/>
        <w:ind w:left="1138"/>
        <w:rPr>
          <w:rFonts w:ascii="Times New Roman" w:hAnsi="Times New Roman" w:eastAsia="Times New Roman"/>
        </w:rPr>
      </w:pPr>
      <w:r>
        <w:rPr>
          <w:rFonts w:ascii="Times New Roman" w:hAnsi="Times New Roman" w:eastAsia="Times New Roman"/>
          <w:position w:val="2"/>
        </w:rPr>
        <w:t>Pi</w:t>
      </w:r>
      <w:r>
        <w:rPr>
          <w:position w:val="2"/>
        </w:rPr>
        <w:t>＝</w:t>
      </w:r>
      <w:r>
        <w:rPr>
          <w:rFonts w:ascii="Times New Roman" w:hAnsi="Times New Roman" w:eastAsia="Times New Roman"/>
          <w:position w:val="2"/>
        </w:rPr>
        <w:t>(Ci/C</w:t>
      </w:r>
      <w:r>
        <w:rPr>
          <w:rFonts w:ascii="Times New Roman" w:hAnsi="Times New Roman" w:eastAsia="Times New Roman"/>
          <w:position w:val="2"/>
          <w:vertAlign w:val="subscript"/>
        </w:rPr>
        <w:t>0i</w:t>
      </w:r>
      <w:r>
        <w:rPr>
          <w:rFonts w:ascii="Times New Roman" w:hAnsi="Times New Roman" w:eastAsia="Times New Roman"/>
          <w:position w:val="2"/>
          <w:vertAlign w:val="baseline"/>
        </w:rPr>
        <w:t>)×100%</w:t>
      </w:r>
    </w:p>
    <w:p>
      <w:pPr>
        <w:pStyle w:val="6"/>
        <w:spacing w:before="153"/>
        <w:ind w:left="1138"/>
      </w:pPr>
      <w:r>
        <w:rPr>
          <w:position w:val="2"/>
        </w:rPr>
        <w:t>式中：</w:t>
      </w:r>
      <w:r>
        <w:rPr>
          <w:rFonts w:ascii="Times New Roman" w:hAnsi="Times New Roman" w:eastAsia="Times New Roman"/>
          <w:position w:val="2"/>
        </w:rPr>
        <w:t>P</w:t>
      </w:r>
      <w:r>
        <w:rPr>
          <w:rFonts w:ascii="Times New Roman" w:hAnsi="Times New Roman" w:eastAsia="Times New Roman"/>
          <w:position w:val="2"/>
          <w:vertAlign w:val="subscript"/>
        </w:rPr>
        <w:t>i</w:t>
      </w:r>
      <w:r>
        <w:rPr>
          <w:rFonts w:ascii="Times New Roman" w:hAnsi="Times New Roman" w:eastAsia="Times New Roman"/>
          <w:position w:val="2"/>
          <w:vertAlign w:val="baseline"/>
        </w:rPr>
        <w:t xml:space="preserve"> —</w:t>
      </w:r>
      <w:r>
        <w:rPr>
          <w:position w:val="2"/>
          <w:vertAlign w:val="baseline"/>
        </w:rPr>
        <w:t>第</w:t>
      </w:r>
      <w:r>
        <w:rPr>
          <w:rFonts w:ascii="Times New Roman" w:hAnsi="Times New Roman" w:eastAsia="Times New Roman"/>
          <w:position w:val="2"/>
          <w:vertAlign w:val="baseline"/>
        </w:rPr>
        <w:t>i</w:t>
      </w:r>
      <w:r>
        <w:rPr>
          <w:position w:val="2"/>
          <w:vertAlign w:val="baseline"/>
        </w:rPr>
        <w:t>个污染物的最大地面质量浓度占标率，</w:t>
      </w:r>
      <w:r>
        <w:rPr>
          <w:rFonts w:ascii="Times New Roman" w:hAnsi="Times New Roman" w:eastAsia="Times New Roman"/>
          <w:position w:val="2"/>
          <w:vertAlign w:val="baseline"/>
        </w:rPr>
        <w:t>%</w:t>
      </w:r>
      <w:r>
        <w:rPr>
          <w:position w:val="2"/>
          <w:vertAlign w:val="baseline"/>
        </w:rPr>
        <w:t>；</w:t>
      </w:r>
    </w:p>
    <w:p>
      <w:pPr>
        <w:pStyle w:val="6"/>
        <w:spacing w:before="156" w:line="360" w:lineRule="auto"/>
        <w:ind w:left="1138" w:right="1178"/>
      </w:pPr>
      <w:r>
        <w:rPr>
          <w:rFonts w:ascii="Times New Roman" w:hAnsi="Times New Roman" w:eastAsia="Times New Roman"/>
          <w:position w:val="2"/>
        </w:rPr>
        <w:t>C</w:t>
      </w:r>
      <w:r>
        <w:rPr>
          <w:rFonts w:ascii="Times New Roman" w:hAnsi="Times New Roman" w:eastAsia="Times New Roman"/>
          <w:position w:val="2"/>
          <w:vertAlign w:val="subscript"/>
        </w:rPr>
        <w:t>i</w:t>
      </w:r>
      <w:r>
        <w:rPr>
          <w:rFonts w:ascii="Times New Roman" w:hAnsi="Times New Roman" w:eastAsia="Times New Roman"/>
          <w:position w:val="2"/>
          <w:vertAlign w:val="baseline"/>
        </w:rPr>
        <w:t>—</w:t>
      </w:r>
      <w:r>
        <w:rPr>
          <w:position w:val="2"/>
          <w:vertAlign w:val="baseline"/>
        </w:rPr>
        <w:t>采用估算模式计算出的第</w:t>
      </w:r>
      <w:r>
        <w:rPr>
          <w:rFonts w:ascii="Times New Roman" w:hAnsi="Times New Roman" w:eastAsia="Times New Roman"/>
          <w:position w:val="2"/>
          <w:vertAlign w:val="baseline"/>
        </w:rPr>
        <w:t>i</w:t>
      </w:r>
      <w:r>
        <w:rPr>
          <w:position w:val="2"/>
          <w:vertAlign w:val="baseline"/>
        </w:rPr>
        <w:t>个污染物的最大</w:t>
      </w:r>
      <w:r>
        <w:rPr>
          <w:rFonts w:ascii="Times New Roman" w:hAnsi="Times New Roman" w:eastAsia="Times New Roman"/>
          <w:position w:val="2"/>
          <w:vertAlign w:val="baseline"/>
        </w:rPr>
        <w:t>1h</w:t>
      </w:r>
      <w:r>
        <w:rPr>
          <w:position w:val="2"/>
          <w:vertAlign w:val="baseline"/>
        </w:rPr>
        <w:t>地面空气质量浓度，</w:t>
      </w:r>
      <w:r>
        <w:rPr>
          <w:rFonts w:ascii="Times New Roman" w:hAnsi="Times New Roman" w:eastAsia="Times New Roman"/>
          <w:position w:val="2"/>
          <w:vertAlign w:val="baseline"/>
        </w:rPr>
        <w:t>mg/m</w:t>
      </w:r>
      <w:r>
        <w:rPr>
          <w:rFonts w:ascii="Times New Roman" w:hAnsi="Times New Roman" w:eastAsia="Times New Roman"/>
          <w:position w:val="2"/>
          <w:vertAlign w:val="superscript"/>
        </w:rPr>
        <w:t>3</w:t>
      </w:r>
      <w:r>
        <w:rPr>
          <w:position w:val="2"/>
          <w:vertAlign w:val="baseline"/>
        </w:rPr>
        <w:t xml:space="preserve">； </w:t>
      </w:r>
      <w:r>
        <w:rPr>
          <w:rFonts w:ascii="Times New Roman" w:hAnsi="Times New Roman" w:eastAsia="Times New Roman"/>
          <w:position w:val="2"/>
          <w:vertAlign w:val="baseline"/>
        </w:rPr>
        <w:t>C</w:t>
      </w:r>
      <w:r>
        <w:rPr>
          <w:rFonts w:ascii="Times New Roman" w:hAnsi="Times New Roman" w:eastAsia="Times New Roman"/>
          <w:position w:val="2"/>
          <w:vertAlign w:val="subscript"/>
        </w:rPr>
        <w:t>0i</w:t>
      </w:r>
      <w:r>
        <w:rPr>
          <w:rFonts w:ascii="Times New Roman" w:hAnsi="Times New Roman" w:eastAsia="Times New Roman"/>
          <w:position w:val="2"/>
          <w:vertAlign w:val="baseline"/>
        </w:rPr>
        <w:t>—</w:t>
      </w:r>
      <w:r>
        <w:rPr>
          <w:position w:val="2"/>
          <w:vertAlign w:val="baseline"/>
        </w:rPr>
        <w:t>第</w:t>
      </w:r>
      <w:r>
        <w:rPr>
          <w:rFonts w:ascii="Times New Roman" w:hAnsi="Times New Roman" w:eastAsia="Times New Roman"/>
          <w:position w:val="2"/>
          <w:vertAlign w:val="baseline"/>
        </w:rPr>
        <w:t>i</w:t>
      </w:r>
      <w:r>
        <w:rPr>
          <w:position w:val="2"/>
          <w:vertAlign w:val="baseline"/>
        </w:rPr>
        <w:t>个污染物的环境空气质量浓度标准，</w:t>
      </w:r>
      <w:r>
        <w:rPr>
          <w:rFonts w:ascii="Times New Roman" w:hAnsi="Times New Roman" w:eastAsia="Times New Roman"/>
          <w:position w:val="2"/>
          <w:vertAlign w:val="baseline"/>
        </w:rPr>
        <w:t>mg/m</w:t>
      </w:r>
      <w:r>
        <w:rPr>
          <w:rFonts w:ascii="Times New Roman" w:hAnsi="Times New Roman" w:eastAsia="Times New Roman"/>
          <w:position w:val="2"/>
          <w:vertAlign w:val="superscript"/>
        </w:rPr>
        <w:t>3</w:t>
      </w:r>
      <w:r>
        <w:rPr>
          <w:position w:val="2"/>
          <w:vertAlign w:val="baseline"/>
        </w:rPr>
        <w:t>。</w:t>
      </w:r>
    </w:p>
    <w:p>
      <w:pPr>
        <w:pStyle w:val="6"/>
        <w:spacing w:before="3" w:line="364" w:lineRule="auto"/>
        <w:ind w:left="658" w:right="573" w:firstLine="480"/>
      </w:pPr>
      <w:r>
        <w:rPr>
          <w:rFonts w:ascii="Times New Roman" w:eastAsia="Times New Roman"/>
          <w:position w:val="2"/>
        </w:rPr>
        <w:t>C</w:t>
      </w:r>
      <w:r>
        <w:rPr>
          <w:rFonts w:ascii="Times New Roman" w:eastAsia="Times New Roman"/>
          <w:position w:val="2"/>
          <w:vertAlign w:val="subscript"/>
        </w:rPr>
        <w:t>0i</w:t>
      </w:r>
      <w:r>
        <w:rPr>
          <w:position w:val="2"/>
          <w:vertAlign w:val="baseline"/>
        </w:rPr>
        <w:t>一般选用</w:t>
      </w:r>
      <w:r>
        <w:rPr>
          <w:rFonts w:ascii="Times New Roman" w:eastAsia="Times New Roman"/>
          <w:position w:val="2"/>
          <w:vertAlign w:val="baseline"/>
        </w:rPr>
        <w:t>GB3095</w:t>
      </w:r>
      <w:r>
        <w:rPr>
          <w:position w:val="2"/>
          <w:vertAlign w:val="baseline"/>
        </w:rPr>
        <w:t>中</w:t>
      </w:r>
      <w:r>
        <w:rPr>
          <w:rFonts w:ascii="Times New Roman" w:eastAsia="Times New Roman"/>
          <w:position w:val="2"/>
          <w:vertAlign w:val="baseline"/>
        </w:rPr>
        <w:t>1h</w:t>
      </w:r>
      <w:r>
        <w:rPr>
          <w:position w:val="2"/>
          <w:vertAlign w:val="baseline"/>
        </w:rPr>
        <w:t>平均质量浓度的二级标准限值；对于没有小时浓度限值的</w:t>
      </w:r>
      <w:r>
        <w:rPr>
          <w:spacing w:val="-7"/>
          <w:vertAlign w:val="baseline"/>
        </w:rPr>
        <w:t>污染物，可取日平均浓度限值的三倍值；对该标准中未包含的污染物，使用《环境影响</w:t>
      </w:r>
      <w:r>
        <w:rPr>
          <w:spacing w:val="-9"/>
          <w:vertAlign w:val="baseline"/>
        </w:rPr>
        <w:t>评价技术导则 大气环境》</w:t>
      </w:r>
      <w:r>
        <w:rPr>
          <w:vertAlign w:val="baseline"/>
        </w:rPr>
        <w:t>（</w:t>
      </w:r>
      <w:r>
        <w:rPr>
          <w:rFonts w:ascii="Times New Roman" w:eastAsia="Times New Roman"/>
          <w:vertAlign w:val="baseline"/>
        </w:rPr>
        <w:t>HJ2.2-2018</w:t>
      </w:r>
      <w:r>
        <w:rPr>
          <w:vertAlign w:val="baseline"/>
        </w:rPr>
        <w:t>）中</w:t>
      </w:r>
      <w:r>
        <w:rPr>
          <w:rFonts w:ascii="Times New Roman" w:eastAsia="Times New Roman"/>
          <w:vertAlign w:val="baseline"/>
        </w:rPr>
        <w:t>5.2</w:t>
      </w:r>
      <w:r>
        <w:rPr>
          <w:vertAlign w:val="baseline"/>
        </w:rPr>
        <w:t>确定的各评价因子</w:t>
      </w:r>
      <w:r>
        <w:rPr>
          <w:rFonts w:ascii="Times New Roman" w:eastAsia="Times New Roman"/>
          <w:vertAlign w:val="baseline"/>
        </w:rPr>
        <w:t>1h</w:t>
      </w:r>
      <w:r>
        <w:rPr>
          <w:spacing w:val="-2"/>
          <w:vertAlign w:val="baseline"/>
        </w:rPr>
        <w:t>平均质量浓度限值。</w:t>
      </w:r>
      <w:r>
        <w:rPr>
          <w:vertAlign w:val="baseline"/>
        </w:rPr>
        <w:t>对仅有</w:t>
      </w:r>
      <w:r>
        <w:rPr>
          <w:rFonts w:ascii="Times New Roman" w:eastAsia="Times New Roman"/>
          <w:vertAlign w:val="baseline"/>
        </w:rPr>
        <w:t>8h</w:t>
      </w:r>
      <w:r>
        <w:rPr>
          <w:spacing w:val="-5"/>
          <w:vertAlign w:val="baseline"/>
        </w:rPr>
        <w:t xml:space="preserve">平均质量浓度限值、日平均质量浓度限值或年平均质量浓度限值的，可分别按 </w:t>
      </w:r>
      <w:r>
        <w:rPr>
          <w:rFonts w:ascii="Times New Roman" w:eastAsia="Times New Roman"/>
          <w:spacing w:val="-5"/>
          <w:vertAlign w:val="baseline"/>
        </w:rPr>
        <w:t>2</w:t>
      </w:r>
      <w:r>
        <w:rPr>
          <w:spacing w:val="-5"/>
          <w:vertAlign w:val="baseline"/>
        </w:rPr>
        <w:t>倍、</w:t>
      </w:r>
      <w:r>
        <w:rPr>
          <w:rFonts w:ascii="Times New Roman" w:eastAsia="Times New Roman"/>
          <w:spacing w:val="-5"/>
          <w:vertAlign w:val="baseline"/>
        </w:rPr>
        <w:t>3</w:t>
      </w:r>
      <w:r>
        <w:rPr>
          <w:spacing w:val="-5"/>
          <w:vertAlign w:val="baseline"/>
        </w:rPr>
        <w:t>倍、</w:t>
      </w:r>
      <w:r>
        <w:rPr>
          <w:rFonts w:ascii="Times New Roman" w:eastAsia="Times New Roman"/>
          <w:spacing w:val="-5"/>
          <w:vertAlign w:val="baseline"/>
        </w:rPr>
        <w:t>6</w:t>
      </w:r>
      <w:r>
        <w:rPr>
          <w:spacing w:val="-5"/>
          <w:vertAlign w:val="baseline"/>
        </w:rPr>
        <w:t>倍折算为</w:t>
      </w:r>
      <w:r>
        <w:rPr>
          <w:rFonts w:ascii="Times New Roman" w:eastAsia="Times New Roman"/>
          <w:spacing w:val="-5"/>
          <w:vertAlign w:val="baseline"/>
        </w:rPr>
        <w:t>1h</w:t>
      </w:r>
      <w:r>
        <w:rPr>
          <w:spacing w:val="-5"/>
          <w:vertAlign w:val="baseline"/>
        </w:rPr>
        <w:t>平均质量浓度限值。</w:t>
      </w:r>
    </w:p>
    <w:p>
      <w:pPr>
        <w:pStyle w:val="6"/>
        <w:spacing w:line="362" w:lineRule="auto"/>
        <w:ind w:left="658" w:right="656" w:firstLine="480"/>
      </w:pPr>
      <w:r>
        <w:rPr>
          <w:position w:val="2"/>
        </w:rPr>
        <w:t>评价工作等级按表</w:t>
      </w:r>
      <w:r>
        <w:rPr>
          <w:rFonts w:ascii="Times New Roman" w:eastAsia="Times New Roman"/>
          <w:position w:val="2"/>
        </w:rPr>
        <w:t>2.4-1</w:t>
      </w:r>
      <w:r>
        <w:rPr>
          <w:position w:val="2"/>
        </w:rPr>
        <w:t>的分级判据进行划分。最大地面质量浓度占标率</w:t>
      </w:r>
      <w:r>
        <w:rPr>
          <w:rFonts w:ascii="Times New Roman" w:eastAsia="Times New Roman"/>
          <w:position w:val="2"/>
        </w:rPr>
        <w:t>P</w:t>
      </w:r>
      <w:r>
        <w:rPr>
          <w:rFonts w:ascii="Times New Roman" w:eastAsia="Times New Roman"/>
          <w:position w:val="2"/>
          <w:vertAlign w:val="subscript"/>
        </w:rPr>
        <w:t>i</w:t>
      </w:r>
      <w:r>
        <w:rPr>
          <w:position w:val="2"/>
          <w:vertAlign w:val="baseline"/>
        </w:rPr>
        <w:t>按公式计算，如污染物数</w:t>
      </w:r>
      <w:r>
        <w:rPr>
          <w:rFonts w:ascii="Times New Roman" w:eastAsia="Times New Roman"/>
          <w:position w:val="2"/>
          <w:vertAlign w:val="baseline"/>
        </w:rPr>
        <w:t>i</w:t>
      </w:r>
      <w:r>
        <w:rPr>
          <w:position w:val="2"/>
          <w:vertAlign w:val="baseline"/>
        </w:rPr>
        <w:t>大于</w:t>
      </w:r>
      <w:r>
        <w:rPr>
          <w:rFonts w:ascii="Times New Roman" w:eastAsia="Times New Roman"/>
          <w:position w:val="2"/>
          <w:vertAlign w:val="baseline"/>
        </w:rPr>
        <w:t>1</w:t>
      </w:r>
      <w:r>
        <w:rPr>
          <w:position w:val="2"/>
          <w:vertAlign w:val="baseline"/>
        </w:rPr>
        <w:t>，取</w:t>
      </w:r>
      <w:r>
        <w:rPr>
          <w:rFonts w:ascii="Times New Roman" w:eastAsia="Times New Roman"/>
          <w:position w:val="2"/>
          <w:vertAlign w:val="baseline"/>
        </w:rPr>
        <w:t>P</w:t>
      </w:r>
      <w:r>
        <w:rPr>
          <w:position w:val="2"/>
          <w:vertAlign w:val="baseline"/>
        </w:rPr>
        <w:t>值中最大者</w:t>
      </w:r>
      <w:r>
        <w:rPr>
          <w:rFonts w:ascii="Times New Roman" w:eastAsia="Times New Roman"/>
          <w:position w:val="2"/>
          <w:vertAlign w:val="baseline"/>
        </w:rPr>
        <w:t>(P</w:t>
      </w:r>
      <w:r>
        <w:rPr>
          <w:rFonts w:ascii="Times New Roman" w:eastAsia="Times New Roman"/>
          <w:position w:val="2"/>
          <w:vertAlign w:val="subscript"/>
        </w:rPr>
        <w:t>max</w:t>
      </w:r>
      <w:r>
        <w:rPr>
          <w:rFonts w:ascii="Times New Roman" w:eastAsia="Times New Roman"/>
          <w:position w:val="2"/>
          <w:vertAlign w:val="baseline"/>
        </w:rPr>
        <w:t>)</w:t>
      </w:r>
      <w:r>
        <w:rPr>
          <w:position w:val="2"/>
          <w:vertAlign w:val="baseline"/>
        </w:rPr>
        <w:t>。</w:t>
      </w:r>
    </w:p>
    <w:p>
      <w:pPr>
        <w:pStyle w:val="5"/>
        <w:ind w:left="4013"/>
      </w:pPr>
      <w:r>
        <w:t xml:space="preserve">表 </w:t>
      </w:r>
      <w:r>
        <w:rPr>
          <w:rFonts w:ascii="Times New Roman" w:eastAsia="Times New Roman"/>
        </w:rPr>
        <w:t xml:space="preserve">2.4-1  </w:t>
      </w:r>
      <w:r>
        <w:t>评价工作等级</w:t>
      </w:r>
    </w:p>
    <w:tbl>
      <w:tblPr>
        <w:tblStyle w:val="10"/>
        <w:tblW w:w="0" w:type="auto"/>
        <w:tblInd w:w="9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48"/>
        <w:gridCol w:w="51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3348" w:type="dxa"/>
          </w:tcPr>
          <w:p>
            <w:pPr>
              <w:pStyle w:val="14"/>
              <w:spacing w:line="252" w:lineRule="exact"/>
              <w:ind w:left="1471" w:right="567"/>
              <w:rPr>
                <w:sz w:val="21"/>
              </w:rPr>
            </w:pPr>
            <w:r>
              <w:rPr>
                <w:sz w:val="21"/>
              </w:rPr>
              <w:t>评价工作等级</w:t>
            </w:r>
          </w:p>
        </w:tc>
        <w:tc>
          <w:tcPr>
            <w:tcW w:w="5174" w:type="dxa"/>
          </w:tcPr>
          <w:p>
            <w:pPr>
              <w:pStyle w:val="14"/>
              <w:spacing w:line="252" w:lineRule="exact"/>
              <w:ind w:left="2174" w:right="1269"/>
              <w:rPr>
                <w:sz w:val="21"/>
              </w:rPr>
            </w:pPr>
            <w:r>
              <w:rPr>
                <w:sz w:val="21"/>
              </w:rPr>
              <w:t>评价工作分级判据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3348" w:type="dxa"/>
          </w:tcPr>
          <w:p>
            <w:pPr>
              <w:pStyle w:val="14"/>
              <w:spacing w:line="252" w:lineRule="exact"/>
              <w:ind w:left="1471" w:right="567"/>
              <w:rPr>
                <w:sz w:val="21"/>
              </w:rPr>
            </w:pPr>
            <w:r>
              <w:rPr>
                <w:sz w:val="21"/>
              </w:rPr>
              <w:t>一级</w:t>
            </w:r>
          </w:p>
        </w:tc>
        <w:tc>
          <w:tcPr>
            <w:tcW w:w="5174" w:type="dxa"/>
          </w:tcPr>
          <w:p>
            <w:pPr>
              <w:pStyle w:val="14"/>
              <w:spacing w:before="5" w:line="246" w:lineRule="exact"/>
              <w:ind w:left="2174" w:right="1261"/>
              <w:rPr>
                <w:rFonts w:ascii="Times New Roman" w:hAnsi="Times New Roman"/>
                <w:sz w:val="21"/>
              </w:rPr>
            </w:pPr>
            <w:r>
              <w:rPr>
                <w:rFonts w:ascii="Times New Roman" w:hAnsi="Times New Roman"/>
                <w:position w:val="2"/>
                <w:sz w:val="21"/>
              </w:rPr>
              <w:t>P</w:t>
            </w:r>
            <w:r>
              <w:rPr>
                <w:rFonts w:ascii="Times New Roman" w:hAnsi="Times New Roman"/>
                <w:position w:val="2"/>
                <w:sz w:val="21"/>
                <w:vertAlign w:val="subscript"/>
              </w:rPr>
              <w:t>max</w:t>
            </w:r>
            <w:r>
              <w:rPr>
                <w:rFonts w:ascii="Times New Roman" w:hAnsi="Times New Roman"/>
                <w:position w:val="2"/>
                <w:sz w:val="21"/>
                <w:vertAlign w:val="baseline"/>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3348" w:type="dxa"/>
          </w:tcPr>
          <w:p>
            <w:pPr>
              <w:pStyle w:val="14"/>
              <w:spacing w:line="253" w:lineRule="exact"/>
              <w:ind w:left="1471" w:right="567"/>
              <w:rPr>
                <w:sz w:val="21"/>
              </w:rPr>
            </w:pPr>
            <w:r>
              <w:rPr>
                <w:sz w:val="21"/>
              </w:rPr>
              <w:t>二级</w:t>
            </w:r>
          </w:p>
        </w:tc>
        <w:tc>
          <w:tcPr>
            <w:tcW w:w="5174" w:type="dxa"/>
          </w:tcPr>
          <w:p>
            <w:pPr>
              <w:pStyle w:val="14"/>
              <w:spacing w:line="253" w:lineRule="exact"/>
              <w:ind w:left="2174" w:right="1261"/>
              <w:rPr>
                <w:rFonts w:ascii="Times New Roman" w:hAnsi="Times New Roman" w:eastAsia="Times New Roman"/>
                <w:sz w:val="21"/>
              </w:rPr>
            </w:pPr>
            <w:r>
              <w:rPr>
                <w:rFonts w:ascii="Times New Roman" w:hAnsi="Times New Roman" w:eastAsia="Times New Roman"/>
                <w:position w:val="2"/>
                <w:sz w:val="21"/>
              </w:rPr>
              <w:t>1%≤P</w:t>
            </w:r>
            <w:r>
              <w:rPr>
                <w:rFonts w:ascii="Times New Roman" w:hAnsi="Times New Roman" w:eastAsia="Times New Roman"/>
                <w:position w:val="2"/>
                <w:sz w:val="21"/>
                <w:vertAlign w:val="subscript"/>
              </w:rPr>
              <w:t>max</w:t>
            </w:r>
            <w:r>
              <w:rPr>
                <w:position w:val="2"/>
                <w:sz w:val="21"/>
                <w:vertAlign w:val="baseline"/>
              </w:rPr>
              <w:t>＜</w:t>
            </w:r>
            <w:r>
              <w:rPr>
                <w:rFonts w:ascii="Times New Roman" w:hAnsi="Times New Roman" w:eastAsia="Times New Roman"/>
                <w:position w:val="2"/>
                <w:sz w:val="21"/>
                <w:vertAlign w:val="baseline"/>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3348" w:type="dxa"/>
          </w:tcPr>
          <w:p>
            <w:pPr>
              <w:pStyle w:val="14"/>
              <w:spacing w:line="252" w:lineRule="exact"/>
              <w:ind w:left="1471" w:right="567"/>
              <w:rPr>
                <w:sz w:val="21"/>
              </w:rPr>
            </w:pPr>
            <w:r>
              <w:rPr>
                <w:sz w:val="21"/>
              </w:rPr>
              <w:t>三级</w:t>
            </w:r>
          </w:p>
        </w:tc>
        <w:tc>
          <w:tcPr>
            <w:tcW w:w="5174" w:type="dxa"/>
          </w:tcPr>
          <w:p>
            <w:pPr>
              <w:pStyle w:val="14"/>
              <w:spacing w:before="4" w:line="247" w:lineRule="exact"/>
              <w:ind w:left="2174" w:right="1263"/>
              <w:rPr>
                <w:rFonts w:ascii="Times New Roman"/>
                <w:sz w:val="21"/>
              </w:rPr>
            </w:pPr>
            <w:r>
              <w:rPr>
                <w:rFonts w:ascii="Times New Roman"/>
                <w:position w:val="2"/>
                <w:sz w:val="21"/>
              </w:rPr>
              <w:t>P</w:t>
            </w:r>
            <w:r>
              <w:rPr>
                <w:rFonts w:ascii="Times New Roman"/>
                <w:position w:val="2"/>
                <w:sz w:val="21"/>
                <w:vertAlign w:val="subscript"/>
              </w:rPr>
              <w:t>max</w:t>
            </w:r>
            <w:r>
              <w:rPr>
                <w:rFonts w:ascii="Times New Roman"/>
                <w:position w:val="2"/>
                <w:sz w:val="21"/>
                <w:vertAlign w:val="baseline"/>
              </w:rPr>
              <w:t>&lt;1%</w:t>
            </w:r>
          </w:p>
        </w:tc>
      </w:tr>
    </w:tbl>
    <w:p>
      <w:pPr>
        <w:spacing w:after="0" w:line="247" w:lineRule="exact"/>
        <w:rPr>
          <w:rFonts w:ascii="Times New Roman"/>
          <w:sz w:val="21"/>
        </w:rPr>
        <w:sectPr>
          <w:pgSz w:w="11910" w:h="16840"/>
          <w:pgMar w:top="1400" w:right="720" w:bottom="1080" w:left="760" w:header="0" w:footer="895" w:gutter="0"/>
        </w:sectPr>
      </w:pPr>
    </w:p>
    <w:p>
      <w:pPr>
        <w:pStyle w:val="6"/>
        <w:spacing w:before="61"/>
        <w:ind w:left="1138"/>
      </w:pPr>
      <w:r>
        <w:t>本项目评价因子和评价标准表见表</w:t>
      </w:r>
      <w:r>
        <w:rPr>
          <w:rFonts w:ascii="Times New Roman" w:eastAsia="Times New Roman"/>
        </w:rPr>
        <w:t>2.4-2</w:t>
      </w:r>
      <w:r>
        <w:t>，大气环境评价工作等级估算模式参数见表</w:t>
      </w:r>
    </w:p>
    <w:p>
      <w:pPr>
        <w:pStyle w:val="6"/>
        <w:spacing w:before="158"/>
        <w:ind w:left="658"/>
      </w:pPr>
      <w:r>
        <w:rPr>
          <w:rFonts w:ascii="Times New Roman" w:eastAsia="Times New Roman"/>
        </w:rPr>
        <w:t>2.4-3</w:t>
      </w:r>
      <w:r>
        <w:t>，点源参数见表</w:t>
      </w:r>
      <w:r>
        <w:rPr>
          <w:rFonts w:ascii="Times New Roman" w:eastAsia="Times New Roman"/>
        </w:rPr>
        <w:t>2.4-4</w:t>
      </w:r>
      <w:r>
        <w:t>，主要污染因子估算模式的计算结果见表</w:t>
      </w:r>
      <w:r>
        <w:rPr>
          <w:rFonts w:ascii="Times New Roman" w:eastAsia="Times New Roman"/>
        </w:rPr>
        <w:t>2.4-5</w:t>
      </w:r>
      <w:r>
        <w:t>。</w:t>
      </w:r>
    </w:p>
    <w:p>
      <w:pPr>
        <w:pStyle w:val="5"/>
        <w:spacing w:before="161" w:after="3"/>
        <w:ind w:left="1553" w:right="1581"/>
        <w:jc w:val="center"/>
      </w:pPr>
      <w:r>
        <w:t xml:space="preserve">表 </w:t>
      </w:r>
      <w:r>
        <w:rPr>
          <w:rFonts w:ascii="Times New Roman" w:eastAsia="Times New Roman"/>
        </w:rPr>
        <w:t xml:space="preserve">2.4-2  </w:t>
      </w:r>
      <w:r>
        <w:t>评价因子和评价标准表</w:t>
      </w:r>
    </w:p>
    <w:tbl>
      <w:tblPr>
        <w:tblStyle w:val="10"/>
        <w:tblW w:w="0" w:type="auto"/>
        <w:tblInd w:w="9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30"/>
        <w:gridCol w:w="2131"/>
        <w:gridCol w:w="2130"/>
        <w:gridCol w:w="2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2130" w:type="dxa"/>
          </w:tcPr>
          <w:p>
            <w:pPr>
              <w:pStyle w:val="14"/>
              <w:spacing w:before="82"/>
              <w:ind w:left="237" w:right="229"/>
              <w:rPr>
                <w:sz w:val="21"/>
              </w:rPr>
            </w:pPr>
            <w:r>
              <w:rPr>
                <w:sz w:val="21"/>
              </w:rPr>
              <w:t>评价因子</w:t>
            </w:r>
          </w:p>
        </w:tc>
        <w:tc>
          <w:tcPr>
            <w:tcW w:w="2131" w:type="dxa"/>
          </w:tcPr>
          <w:p>
            <w:pPr>
              <w:pStyle w:val="14"/>
              <w:spacing w:before="82"/>
              <w:ind w:left="623" w:right="618"/>
              <w:rPr>
                <w:sz w:val="21"/>
              </w:rPr>
            </w:pPr>
            <w:r>
              <w:rPr>
                <w:sz w:val="21"/>
              </w:rPr>
              <w:t>平均时段</w:t>
            </w:r>
          </w:p>
        </w:tc>
        <w:tc>
          <w:tcPr>
            <w:tcW w:w="2130" w:type="dxa"/>
          </w:tcPr>
          <w:p>
            <w:pPr>
              <w:pStyle w:val="14"/>
              <w:spacing w:before="82"/>
              <w:ind w:left="237" w:right="229"/>
              <w:rPr>
                <w:sz w:val="21"/>
              </w:rPr>
            </w:pPr>
            <w:r>
              <w:rPr>
                <w:sz w:val="21"/>
              </w:rPr>
              <w:t>标准值</w:t>
            </w:r>
            <w:r>
              <w:rPr>
                <w:rFonts w:ascii="Times New Roman" w:hAnsi="Times New Roman" w:eastAsia="Times New Roman"/>
                <w:sz w:val="21"/>
              </w:rPr>
              <w:t>/</w:t>
            </w:r>
            <w:r>
              <w:rPr>
                <w:sz w:val="21"/>
              </w:rPr>
              <w:t>（</w:t>
            </w:r>
            <w:r>
              <w:rPr>
                <w:rFonts w:ascii="Times New Roman" w:hAnsi="Times New Roman" w:eastAsia="Times New Roman"/>
                <w:sz w:val="21"/>
              </w:rPr>
              <w:t>μg/m</w:t>
            </w:r>
            <w:r>
              <w:rPr>
                <w:rFonts w:ascii="Times New Roman" w:hAnsi="Times New Roman" w:eastAsia="Times New Roman"/>
                <w:position w:val="7"/>
                <w:sz w:val="13"/>
              </w:rPr>
              <w:t>3</w:t>
            </w:r>
            <w:r>
              <w:rPr>
                <w:sz w:val="21"/>
              </w:rPr>
              <w:t>）</w:t>
            </w:r>
          </w:p>
        </w:tc>
        <w:tc>
          <w:tcPr>
            <w:tcW w:w="2131" w:type="dxa"/>
          </w:tcPr>
          <w:p>
            <w:pPr>
              <w:pStyle w:val="14"/>
              <w:spacing w:before="82"/>
              <w:ind w:left="645"/>
              <w:jc w:val="left"/>
              <w:rPr>
                <w:sz w:val="21"/>
              </w:rPr>
            </w:pPr>
            <w:r>
              <w:rPr>
                <w:sz w:val="21"/>
              </w:rPr>
              <w:t>标准来源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2130" w:type="dxa"/>
          </w:tcPr>
          <w:p>
            <w:pPr>
              <w:pStyle w:val="14"/>
              <w:spacing w:before="78"/>
              <w:ind w:left="237" w:right="228"/>
              <w:rPr>
                <w:rFonts w:ascii="Times New Roman"/>
                <w:sz w:val="21"/>
              </w:rPr>
            </w:pPr>
            <w:r>
              <w:rPr>
                <w:rFonts w:ascii="Times New Roman"/>
                <w:position w:val="2"/>
                <w:sz w:val="21"/>
              </w:rPr>
              <w:t>SO</w:t>
            </w:r>
            <w:r>
              <w:rPr>
                <w:rFonts w:ascii="Times New Roman"/>
                <w:position w:val="2"/>
                <w:sz w:val="21"/>
                <w:vertAlign w:val="subscript"/>
              </w:rPr>
              <w:t>2</w:t>
            </w:r>
          </w:p>
        </w:tc>
        <w:tc>
          <w:tcPr>
            <w:tcW w:w="2131" w:type="dxa"/>
          </w:tcPr>
          <w:p>
            <w:pPr>
              <w:pStyle w:val="14"/>
              <w:spacing w:before="67"/>
              <w:ind w:left="623" w:right="618"/>
              <w:rPr>
                <w:sz w:val="21"/>
              </w:rPr>
            </w:pPr>
            <w:r>
              <w:rPr>
                <w:rFonts w:ascii="Times New Roman" w:eastAsia="Times New Roman"/>
                <w:sz w:val="21"/>
              </w:rPr>
              <w:t xml:space="preserve">1h </w:t>
            </w:r>
            <w:r>
              <w:rPr>
                <w:sz w:val="21"/>
              </w:rPr>
              <w:t>平均</w:t>
            </w:r>
          </w:p>
        </w:tc>
        <w:tc>
          <w:tcPr>
            <w:tcW w:w="2130" w:type="dxa"/>
          </w:tcPr>
          <w:p>
            <w:pPr>
              <w:pStyle w:val="14"/>
              <w:spacing w:before="81"/>
              <w:ind w:left="236" w:right="229"/>
              <w:rPr>
                <w:rFonts w:ascii="Times New Roman"/>
                <w:sz w:val="21"/>
              </w:rPr>
            </w:pPr>
            <w:r>
              <w:rPr>
                <w:rFonts w:ascii="Times New Roman"/>
                <w:sz w:val="21"/>
              </w:rPr>
              <w:t>500</w:t>
            </w:r>
          </w:p>
        </w:tc>
        <w:tc>
          <w:tcPr>
            <w:tcW w:w="2131" w:type="dxa"/>
            <w:vMerge w:val="restart"/>
          </w:tcPr>
          <w:p>
            <w:pPr>
              <w:pStyle w:val="14"/>
              <w:spacing w:before="1"/>
              <w:jc w:val="left"/>
              <w:rPr>
                <w:b/>
                <w:sz w:val="16"/>
              </w:rPr>
            </w:pPr>
          </w:p>
          <w:p>
            <w:pPr>
              <w:pStyle w:val="14"/>
              <w:spacing w:line="244" w:lineRule="auto"/>
              <w:ind w:left="107" w:right="-15" w:firstLine="117"/>
              <w:jc w:val="left"/>
              <w:rPr>
                <w:sz w:val="21"/>
              </w:rPr>
            </w:pPr>
            <w:r>
              <w:rPr>
                <w:sz w:val="21"/>
              </w:rPr>
              <w:t xml:space="preserve">《环境空气质量标 </w:t>
            </w:r>
            <w:r>
              <w:rPr>
                <w:spacing w:val="-10"/>
                <w:sz w:val="21"/>
              </w:rPr>
              <w:t>准》</w:t>
            </w:r>
            <w:r>
              <w:rPr>
                <w:sz w:val="21"/>
              </w:rPr>
              <w:t>（</w:t>
            </w:r>
            <w:r>
              <w:rPr>
                <w:rFonts w:ascii="Times New Roman" w:eastAsia="Times New Roman"/>
                <w:sz w:val="21"/>
              </w:rPr>
              <w:t>GB3095-2012</w:t>
            </w:r>
            <w:r>
              <w:rPr>
                <w:sz w:val="21"/>
              </w:rPr>
              <w:t>）</w:t>
            </w:r>
          </w:p>
          <w:p>
            <w:pPr>
              <w:pStyle w:val="14"/>
              <w:spacing w:line="265" w:lineRule="exact"/>
              <w:ind w:left="645"/>
              <w:jc w:val="left"/>
              <w:rPr>
                <w:sz w:val="21"/>
              </w:rPr>
            </w:pPr>
            <w:r>
              <w:rPr>
                <w:sz w:val="21"/>
              </w:rPr>
              <w:t>二级标准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2130" w:type="dxa"/>
          </w:tcPr>
          <w:p>
            <w:pPr>
              <w:pStyle w:val="14"/>
              <w:spacing w:before="77"/>
              <w:ind w:left="237" w:right="225"/>
              <w:rPr>
                <w:rFonts w:ascii="Times New Roman"/>
                <w:sz w:val="21"/>
              </w:rPr>
            </w:pPr>
            <w:r>
              <w:rPr>
                <w:rFonts w:ascii="Times New Roman"/>
                <w:position w:val="2"/>
                <w:sz w:val="21"/>
              </w:rPr>
              <w:t>NO</w:t>
            </w:r>
            <w:r>
              <w:rPr>
                <w:rFonts w:ascii="Times New Roman"/>
                <w:position w:val="2"/>
                <w:sz w:val="21"/>
                <w:vertAlign w:val="subscript"/>
              </w:rPr>
              <w:t>2</w:t>
            </w:r>
          </w:p>
        </w:tc>
        <w:tc>
          <w:tcPr>
            <w:tcW w:w="2131" w:type="dxa"/>
          </w:tcPr>
          <w:p>
            <w:pPr>
              <w:pStyle w:val="14"/>
              <w:spacing w:before="67"/>
              <w:ind w:left="623" w:right="618"/>
              <w:rPr>
                <w:sz w:val="21"/>
              </w:rPr>
            </w:pPr>
            <w:r>
              <w:rPr>
                <w:rFonts w:ascii="Times New Roman" w:eastAsia="Times New Roman"/>
                <w:sz w:val="21"/>
              </w:rPr>
              <w:t xml:space="preserve">1h </w:t>
            </w:r>
            <w:r>
              <w:rPr>
                <w:sz w:val="21"/>
              </w:rPr>
              <w:t>平均</w:t>
            </w:r>
          </w:p>
        </w:tc>
        <w:tc>
          <w:tcPr>
            <w:tcW w:w="2130" w:type="dxa"/>
          </w:tcPr>
          <w:p>
            <w:pPr>
              <w:pStyle w:val="14"/>
              <w:spacing w:before="81"/>
              <w:ind w:left="236" w:right="229"/>
              <w:rPr>
                <w:rFonts w:ascii="Times New Roman"/>
                <w:sz w:val="21"/>
              </w:rPr>
            </w:pPr>
            <w:r>
              <w:rPr>
                <w:rFonts w:ascii="Times New Roman"/>
                <w:sz w:val="21"/>
              </w:rPr>
              <w:t>200</w:t>
            </w:r>
          </w:p>
        </w:tc>
        <w:tc>
          <w:tcPr>
            <w:tcW w:w="213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2130" w:type="dxa"/>
          </w:tcPr>
          <w:p>
            <w:pPr>
              <w:pStyle w:val="14"/>
              <w:spacing w:before="79"/>
              <w:ind w:left="237" w:right="225"/>
              <w:rPr>
                <w:rFonts w:ascii="Times New Roman"/>
                <w:sz w:val="21"/>
              </w:rPr>
            </w:pPr>
            <w:r>
              <w:rPr>
                <w:rFonts w:ascii="Times New Roman"/>
                <w:position w:val="2"/>
                <w:sz w:val="21"/>
              </w:rPr>
              <w:t>PM</w:t>
            </w:r>
            <w:r>
              <w:rPr>
                <w:rFonts w:ascii="Times New Roman"/>
                <w:position w:val="2"/>
                <w:sz w:val="21"/>
                <w:vertAlign w:val="subscript"/>
              </w:rPr>
              <w:t>10</w:t>
            </w:r>
          </w:p>
        </w:tc>
        <w:tc>
          <w:tcPr>
            <w:tcW w:w="2131" w:type="dxa"/>
          </w:tcPr>
          <w:p>
            <w:pPr>
              <w:pStyle w:val="14"/>
              <w:spacing w:before="65"/>
              <w:ind w:left="623" w:right="616"/>
              <w:rPr>
                <w:sz w:val="21"/>
              </w:rPr>
            </w:pPr>
            <w:r>
              <w:rPr>
                <w:sz w:val="21"/>
              </w:rPr>
              <w:t>日平均</w:t>
            </w:r>
          </w:p>
        </w:tc>
        <w:tc>
          <w:tcPr>
            <w:tcW w:w="2130" w:type="dxa"/>
          </w:tcPr>
          <w:p>
            <w:pPr>
              <w:pStyle w:val="14"/>
              <w:spacing w:before="82"/>
              <w:ind w:left="236" w:right="229"/>
              <w:rPr>
                <w:rFonts w:ascii="Times New Roman"/>
                <w:sz w:val="21"/>
              </w:rPr>
            </w:pPr>
            <w:r>
              <w:rPr>
                <w:rFonts w:ascii="Times New Roman"/>
                <w:sz w:val="21"/>
              </w:rPr>
              <w:t>150</w:t>
            </w:r>
          </w:p>
        </w:tc>
        <w:tc>
          <w:tcPr>
            <w:tcW w:w="2131" w:type="dxa"/>
            <w:vMerge w:val="continue"/>
            <w:tcBorders>
              <w:top w:val="nil"/>
            </w:tcBorders>
          </w:tcPr>
          <w:p>
            <w:pPr>
              <w:rPr>
                <w:sz w:val="2"/>
                <w:szCs w:val="2"/>
              </w:rPr>
            </w:pPr>
          </w:p>
        </w:tc>
      </w:tr>
    </w:tbl>
    <w:p>
      <w:pPr>
        <w:spacing w:before="1" w:after="3"/>
        <w:ind w:left="1553" w:right="1583" w:firstLine="0"/>
        <w:jc w:val="center"/>
        <w:rPr>
          <w:b/>
          <w:sz w:val="24"/>
        </w:rPr>
      </w:pPr>
      <w:r>
        <w:rPr>
          <w:b/>
          <w:sz w:val="24"/>
        </w:rPr>
        <w:t xml:space="preserve">表 </w:t>
      </w:r>
      <w:r>
        <w:rPr>
          <w:rFonts w:ascii="Times New Roman" w:eastAsia="Times New Roman"/>
          <w:b/>
          <w:sz w:val="24"/>
        </w:rPr>
        <w:t xml:space="preserve">2.4-3  </w:t>
      </w:r>
      <w:r>
        <w:rPr>
          <w:b/>
          <w:sz w:val="24"/>
        </w:rPr>
        <w:t>估算模式参数选取</w:t>
      </w:r>
    </w:p>
    <w:tbl>
      <w:tblPr>
        <w:tblStyle w:val="10"/>
        <w:tblW w:w="0" w:type="auto"/>
        <w:tblInd w:w="9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40"/>
        <w:gridCol w:w="2841"/>
        <w:gridCol w:w="28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5681" w:type="dxa"/>
            <w:gridSpan w:val="2"/>
          </w:tcPr>
          <w:p>
            <w:pPr>
              <w:pStyle w:val="14"/>
              <w:spacing w:line="253" w:lineRule="exact"/>
              <w:ind w:left="2054" w:right="2047"/>
              <w:rPr>
                <w:sz w:val="21"/>
              </w:rPr>
            </w:pPr>
            <w:r>
              <w:rPr>
                <w:sz w:val="21"/>
              </w:rPr>
              <w:t>参数</w:t>
            </w:r>
          </w:p>
        </w:tc>
        <w:tc>
          <w:tcPr>
            <w:tcW w:w="2841" w:type="dxa"/>
          </w:tcPr>
          <w:p>
            <w:pPr>
              <w:pStyle w:val="14"/>
              <w:spacing w:line="253" w:lineRule="exact"/>
              <w:ind w:left="347" w:right="342"/>
              <w:rPr>
                <w:sz w:val="21"/>
              </w:rPr>
            </w:pPr>
            <w:r>
              <w:rPr>
                <w:sz w:val="21"/>
              </w:rPr>
              <w:t>取值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840" w:type="dxa"/>
            <w:vMerge w:val="restart"/>
          </w:tcPr>
          <w:p>
            <w:pPr>
              <w:pStyle w:val="14"/>
              <w:spacing w:before="140"/>
              <w:ind w:left="760"/>
              <w:jc w:val="left"/>
              <w:rPr>
                <w:sz w:val="21"/>
              </w:rPr>
            </w:pPr>
            <w:r>
              <w:rPr>
                <w:sz w:val="21"/>
              </w:rPr>
              <w:t>城市</w:t>
            </w:r>
            <w:r>
              <w:rPr>
                <w:rFonts w:ascii="Times New Roman" w:eastAsia="Times New Roman"/>
                <w:sz w:val="21"/>
              </w:rPr>
              <w:t>/</w:t>
            </w:r>
            <w:r>
              <w:rPr>
                <w:sz w:val="21"/>
              </w:rPr>
              <w:t>农村选项</w:t>
            </w:r>
          </w:p>
        </w:tc>
        <w:tc>
          <w:tcPr>
            <w:tcW w:w="2841" w:type="dxa"/>
          </w:tcPr>
          <w:p>
            <w:pPr>
              <w:pStyle w:val="14"/>
              <w:spacing w:line="251" w:lineRule="exact"/>
              <w:ind w:left="347" w:right="341"/>
              <w:rPr>
                <w:sz w:val="21"/>
              </w:rPr>
            </w:pPr>
            <w:r>
              <w:rPr>
                <w:sz w:val="21"/>
              </w:rPr>
              <w:t>城市</w:t>
            </w:r>
            <w:r>
              <w:rPr>
                <w:rFonts w:ascii="Times New Roman" w:eastAsia="Times New Roman"/>
                <w:sz w:val="21"/>
              </w:rPr>
              <w:t>/</w:t>
            </w:r>
            <w:r>
              <w:rPr>
                <w:sz w:val="21"/>
              </w:rPr>
              <w:t>农村</w:t>
            </w:r>
          </w:p>
        </w:tc>
        <w:tc>
          <w:tcPr>
            <w:tcW w:w="2841" w:type="dxa"/>
          </w:tcPr>
          <w:p>
            <w:pPr>
              <w:pStyle w:val="14"/>
              <w:spacing w:line="251" w:lineRule="exact"/>
              <w:ind w:left="347" w:right="342"/>
              <w:rPr>
                <w:sz w:val="21"/>
              </w:rPr>
            </w:pPr>
            <w:r>
              <w:rPr>
                <w:sz w:val="21"/>
              </w:rPr>
              <w:t>农村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2840" w:type="dxa"/>
            <w:vMerge w:val="continue"/>
            <w:tcBorders>
              <w:top w:val="nil"/>
            </w:tcBorders>
          </w:tcPr>
          <w:p>
            <w:pPr>
              <w:rPr>
                <w:sz w:val="2"/>
                <w:szCs w:val="2"/>
              </w:rPr>
            </w:pPr>
          </w:p>
        </w:tc>
        <w:tc>
          <w:tcPr>
            <w:tcW w:w="2841" w:type="dxa"/>
          </w:tcPr>
          <w:p>
            <w:pPr>
              <w:pStyle w:val="14"/>
              <w:spacing w:line="252" w:lineRule="exact"/>
              <w:ind w:left="347" w:right="344"/>
              <w:rPr>
                <w:sz w:val="21"/>
              </w:rPr>
            </w:pPr>
            <w:r>
              <w:rPr>
                <w:sz w:val="21"/>
              </w:rPr>
              <w:t>人口数（城市选项时）</w:t>
            </w:r>
          </w:p>
        </w:tc>
        <w:tc>
          <w:tcPr>
            <w:tcW w:w="2841" w:type="dxa"/>
          </w:tcPr>
          <w:p>
            <w:pPr>
              <w:pStyle w:val="14"/>
              <w:spacing w:before="13" w:line="239" w:lineRule="exact"/>
              <w:ind w:left="10"/>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5681" w:type="dxa"/>
            <w:gridSpan w:val="2"/>
          </w:tcPr>
          <w:p>
            <w:pPr>
              <w:pStyle w:val="14"/>
              <w:spacing w:line="252" w:lineRule="exact"/>
              <w:ind w:left="2054" w:right="2047"/>
              <w:rPr>
                <w:sz w:val="21"/>
              </w:rPr>
            </w:pPr>
            <w:r>
              <w:rPr>
                <w:sz w:val="21"/>
              </w:rPr>
              <w:t>最高环境温度</w:t>
            </w:r>
            <w:r>
              <w:rPr>
                <w:rFonts w:ascii="Times New Roman" w:hAnsi="Times New Roman" w:eastAsia="Times New Roman"/>
                <w:sz w:val="21"/>
              </w:rPr>
              <w:t>/</w:t>
            </w:r>
            <w:r>
              <w:rPr>
                <w:sz w:val="21"/>
              </w:rPr>
              <w:t>℃</w:t>
            </w:r>
          </w:p>
        </w:tc>
        <w:tc>
          <w:tcPr>
            <w:tcW w:w="2841" w:type="dxa"/>
          </w:tcPr>
          <w:p>
            <w:pPr>
              <w:pStyle w:val="14"/>
              <w:spacing w:before="14" w:line="238" w:lineRule="exact"/>
              <w:ind w:left="347" w:right="339"/>
              <w:rPr>
                <w:rFonts w:ascii="Times New Roman"/>
                <w:sz w:val="21"/>
              </w:rPr>
            </w:pPr>
            <w:r>
              <w:rPr>
                <w:rFonts w:ascii="Times New Roman"/>
                <w:sz w:val="21"/>
              </w:rPr>
              <w:t>35.4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5681" w:type="dxa"/>
            <w:gridSpan w:val="2"/>
          </w:tcPr>
          <w:p>
            <w:pPr>
              <w:pStyle w:val="14"/>
              <w:spacing w:line="251" w:lineRule="exact"/>
              <w:ind w:left="2054" w:right="2047"/>
              <w:rPr>
                <w:sz w:val="21"/>
              </w:rPr>
            </w:pPr>
            <w:r>
              <w:rPr>
                <w:sz w:val="21"/>
              </w:rPr>
              <w:t>最低环境温度</w:t>
            </w:r>
            <w:r>
              <w:rPr>
                <w:rFonts w:ascii="Times New Roman" w:hAnsi="Times New Roman" w:eastAsia="Times New Roman"/>
                <w:sz w:val="21"/>
              </w:rPr>
              <w:t>/</w:t>
            </w:r>
            <w:r>
              <w:rPr>
                <w:sz w:val="21"/>
              </w:rPr>
              <w:t>℃</w:t>
            </w:r>
          </w:p>
        </w:tc>
        <w:tc>
          <w:tcPr>
            <w:tcW w:w="2841" w:type="dxa"/>
          </w:tcPr>
          <w:p>
            <w:pPr>
              <w:pStyle w:val="14"/>
              <w:spacing w:before="14" w:line="237" w:lineRule="exact"/>
              <w:ind w:left="347" w:right="339"/>
              <w:rPr>
                <w:rFonts w:ascii="Times New Roman"/>
                <w:sz w:val="21"/>
              </w:rPr>
            </w:pPr>
            <w:r>
              <w:rPr>
                <w:rFonts w:ascii="Times New Roman"/>
                <w:sz w:val="21"/>
              </w:rPr>
              <w:t>-35.6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5681" w:type="dxa"/>
            <w:gridSpan w:val="2"/>
          </w:tcPr>
          <w:p>
            <w:pPr>
              <w:pStyle w:val="14"/>
              <w:spacing w:line="252" w:lineRule="exact"/>
              <w:ind w:left="2054" w:right="2047"/>
              <w:rPr>
                <w:sz w:val="21"/>
              </w:rPr>
            </w:pPr>
            <w:r>
              <w:rPr>
                <w:sz w:val="21"/>
              </w:rPr>
              <w:t>土地利用类型</w:t>
            </w:r>
          </w:p>
        </w:tc>
        <w:tc>
          <w:tcPr>
            <w:tcW w:w="2841" w:type="dxa"/>
          </w:tcPr>
          <w:p>
            <w:pPr>
              <w:pStyle w:val="14"/>
              <w:spacing w:line="252" w:lineRule="exact"/>
              <w:ind w:left="347" w:right="342"/>
              <w:rPr>
                <w:sz w:val="21"/>
              </w:rPr>
            </w:pPr>
            <w:r>
              <w:rPr>
                <w:sz w:val="21"/>
              </w:rPr>
              <w:t>落叶林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5681" w:type="dxa"/>
            <w:gridSpan w:val="2"/>
          </w:tcPr>
          <w:p>
            <w:pPr>
              <w:pStyle w:val="14"/>
              <w:spacing w:line="252" w:lineRule="exact"/>
              <w:ind w:left="2054" w:right="2047"/>
              <w:rPr>
                <w:sz w:val="21"/>
              </w:rPr>
            </w:pPr>
            <w:r>
              <w:rPr>
                <w:sz w:val="21"/>
              </w:rPr>
              <w:t>区域湿度条件</w:t>
            </w:r>
          </w:p>
        </w:tc>
        <w:tc>
          <w:tcPr>
            <w:tcW w:w="2841" w:type="dxa"/>
          </w:tcPr>
          <w:p>
            <w:pPr>
              <w:pStyle w:val="14"/>
              <w:spacing w:line="252" w:lineRule="exact"/>
              <w:ind w:left="347" w:right="342"/>
              <w:rPr>
                <w:sz w:val="21"/>
              </w:rPr>
            </w:pPr>
            <w:r>
              <w:rPr>
                <w:sz w:val="21"/>
              </w:rPr>
              <w:t>潮湿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840" w:type="dxa"/>
            <w:vMerge w:val="restart"/>
          </w:tcPr>
          <w:p>
            <w:pPr>
              <w:pStyle w:val="14"/>
              <w:spacing w:before="140"/>
              <w:ind w:left="789"/>
              <w:jc w:val="left"/>
              <w:rPr>
                <w:sz w:val="21"/>
              </w:rPr>
            </w:pPr>
            <w:r>
              <w:rPr>
                <w:sz w:val="21"/>
              </w:rPr>
              <w:t>是否考虑地形</w:t>
            </w:r>
          </w:p>
        </w:tc>
        <w:tc>
          <w:tcPr>
            <w:tcW w:w="2841" w:type="dxa"/>
          </w:tcPr>
          <w:p>
            <w:pPr>
              <w:pStyle w:val="14"/>
              <w:spacing w:before="1" w:line="251" w:lineRule="exact"/>
              <w:ind w:left="347" w:right="341"/>
              <w:rPr>
                <w:sz w:val="21"/>
              </w:rPr>
            </w:pPr>
            <w:r>
              <w:rPr>
                <w:sz w:val="21"/>
              </w:rPr>
              <w:t>考虑地形</w:t>
            </w:r>
          </w:p>
        </w:tc>
        <w:tc>
          <w:tcPr>
            <w:tcW w:w="2841" w:type="dxa"/>
          </w:tcPr>
          <w:p>
            <w:pPr>
              <w:pStyle w:val="14"/>
              <w:spacing w:before="1" w:line="251" w:lineRule="exact"/>
              <w:ind w:left="7"/>
              <w:rPr>
                <w:sz w:val="21"/>
              </w:rPr>
            </w:pPr>
            <w:r>
              <w:rPr>
                <w:w w:val="99"/>
                <w:sz w:val="21"/>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2840" w:type="dxa"/>
            <w:vMerge w:val="continue"/>
            <w:tcBorders>
              <w:top w:val="nil"/>
            </w:tcBorders>
          </w:tcPr>
          <w:p>
            <w:pPr>
              <w:rPr>
                <w:sz w:val="2"/>
                <w:szCs w:val="2"/>
              </w:rPr>
            </w:pPr>
          </w:p>
        </w:tc>
        <w:tc>
          <w:tcPr>
            <w:tcW w:w="2841" w:type="dxa"/>
          </w:tcPr>
          <w:p>
            <w:pPr>
              <w:pStyle w:val="14"/>
              <w:spacing w:before="2" w:line="250" w:lineRule="exact"/>
              <w:ind w:left="347" w:right="340"/>
              <w:rPr>
                <w:rFonts w:ascii="Times New Roman" w:eastAsia="Times New Roman"/>
                <w:sz w:val="21"/>
              </w:rPr>
            </w:pPr>
            <w:r>
              <w:rPr>
                <w:sz w:val="21"/>
              </w:rPr>
              <w:t>地形数据分辨率</w:t>
            </w:r>
            <w:r>
              <w:rPr>
                <w:rFonts w:ascii="Times New Roman" w:eastAsia="Times New Roman"/>
                <w:sz w:val="21"/>
              </w:rPr>
              <w:t>/m</w:t>
            </w:r>
          </w:p>
        </w:tc>
        <w:tc>
          <w:tcPr>
            <w:tcW w:w="2841" w:type="dxa"/>
          </w:tcPr>
          <w:p>
            <w:pPr>
              <w:pStyle w:val="14"/>
              <w:spacing w:before="16" w:line="236" w:lineRule="exact"/>
              <w:ind w:left="347" w:right="339"/>
              <w:rPr>
                <w:rFonts w:ascii="Times New Roman"/>
                <w:sz w:val="21"/>
              </w:rPr>
            </w:pPr>
            <w:r>
              <w:rPr>
                <w:rFonts w:ascii="Times New Roman"/>
                <w:sz w:val="21"/>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2840" w:type="dxa"/>
            <w:vMerge w:val="restart"/>
          </w:tcPr>
          <w:p>
            <w:pPr>
              <w:pStyle w:val="14"/>
              <w:spacing w:before="2"/>
              <w:jc w:val="left"/>
              <w:rPr>
                <w:b/>
                <w:sz w:val="22"/>
              </w:rPr>
            </w:pPr>
          </w:p>
          <w:p>
            <w:pPr>
              <w:pStyle w:val="14"/>
              <w:ind w:left="580"/>
              <w:jc w:val="left"/>
              <w:rPr>
                <w:sz w:val="21"/>
              </w:rPr>
            </w:pPr>
            <w:r>
              <w:rPr>
                <w:sz w:val="21"/>
              </w:rPr>
              <w:t>是否考虑岸线熏烟</w:t>
            </w:r>
          </w:p>
        </w:tc>
        <w:tc>
          <w:tcPr>
            <w:tcW w:w="2841" w:type="dxa"/>
          </w:tcPr>
          <w:p>
            <w:pPr>
              <w:pStyle w:val="14"/>
              <w:spacing w:before="1" w:line="252" w:lineRule="exact"/>
              <w:ind w:left="347" w:right="344"/>
              <w:rPr>
                <w:sz w:val="21"/>
              </w:rPr>
            </w:pPr>
            <w:r>
              <w:rPr>
                <w:sz w:val="21"/>
              </w:rPr>
              <w:t>考虑岸线熏烟</w:t>
            </w:r>
          </w:p>
        </w:tc>
        <w:tc>
          <w:tcPr>
            <w:tcW w:w="2841" w:type="dxa"/>
          </w:tcPr>
          <w:p>
            <w:pPr>
              <w:pStyle w:val="14"/>
              <w:spacing w:before="1" w:line="252" w:lineRule="exact"/>
              <w:ind w:left="7"/>
              <w:rPr>
                <w:sz w:val="21"/>
              </w:rPr>
            </w:pPr>
            <w:r>
              <w:rPr>
                <w:w w:val="99"/>
                <w:sz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2840" w:type="dxa"/>
            <w:vMerge w:val="continue"/>
            <w:tcBorders>
              <w:top w:val="nil"/>
            </w:tcBorders>
          </w:tcPr>
          <w:p>
            <w:pPr>
              <w:rPr>
                <w:sz w:val="2"/>
                <w:szCs w:val="2"/>
              </w:rPr>
            </w:pPr>
          </w:p>
        </w:tc>
        <w:tc>
          <w:tcPr>
            <w:tcW w:w="2841" w:type="dxa"/>
          </w:tcPr>
          <w:p>
            <w:pPr>
              <w:pStyle w:val="14"/>
              <w:spacing w:before="1" w:line="251" w:lineRule="exact"/>
              <w:ind w:left="347" w:right="340"/>
              <w:rPr>
                <w:rFonts w:ascii="Times New Roman" w:eastAsia="Times New Roman"/>
                <w:sz w:val="21"/>
              </w:rPr>
            </w:pPr>
            <w:r>
              <w:rPr>
                <w:sz w:val="21"/>
              </w:rPr>
              <w:t>岸线距离</w:t>
            </w:r>
            <w:r>
              <w:rPr>
                <w:rFonts w:ascii="Times New Roman" w:eastAsia="Times New Roman"/>
                <w:sz w:val="21"/>
              </w:rPr>
              <w:t>/km</w:t>
            </w:r>
          </w:p>
        </w:tc>
        <w:tc>
          <w:tcPr>
            <w:tcW w:w="2841" w:type="dxa"/>
          </w:tcPr>
          <w:p>
            <w:pPr>
              <w:pStyle w:val="14"/>
              <w:spacing w:before="15" w:line="237" w:lineRule="exact"/>
              <w:ind w:left="10"/>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840" w:type="dxa"/>
            <w:vMerge w:val="continue"/>
            <w:tcBorders>
              <w:top w:val="nil"/>
            </w:tcBorders>
          </w:tcPr>
          <w:p>
            <w:pPr>
              <w:rPr>
                <w:sz w:val="2"/>
                <w:szCs w:val="2"/>
              </w:rPr>
            </w:pPr>
          </w:p>
        </w:tc>
        <w:tc>
          <w:tcPr>
            <w:tcW w:w="2841" w:type="dxa"/>
          </w:tcPr>
          <w:p>
            <w:pPr>
              <w:pStyle w:val="14"/>
              <w:spacing w:line="252" w:lineRule="exact"/>
              <w:ind w:left="347" w:right="337"/>
              <w:rPr>
                <w:rFonts w:ascii="Times New Roman" w:hAnsi="Times New Roman" w:eastAsia="Times New Roman"/>
                <w:sz w:val="21"/>
              </w:rPr>
            </w:pPr>
            <w:r>
              <w:rPr>
                <w:sz w:val="21"/>
              </w:rPr>
              <w:t>岸线方向</w:t>
            </w:r>
            <w:r>
              <w:rPr>
                <w:rFonts w:ascii="Times New Roman" w:hAnsi="Times New Roman" w:eastAsia="Times New Roman"/>
                <w:sz w:val="21"/>
              </w:rPr>
              <w:t>/°</w:t>
            </w:r>
          </w:p>
        </w:tc>
        <w:tc>
          <w:tcPr>
            <w:tcW w:w="2841" w:type="dxa"/>
          </w:tcPr>
          <w:p>
            <w:pPr>
              <w:pStyle w:val="14"/>
              <w:spacing w:before="14" w:line="238" w:lineRule="exact"/>
              <w:ind w:left="10"/>
              <w:rPr>
                <w:rFonts w:ascii="Times New Roman"/>
                <w:sz w:val="21"/>
              </w:rPr>
            </w:pPr>
            <w:r>
              <w:rPr>
                <w:rFonts w:ascii="Times New Roman"/>
                <w:w w:val="99"/>
                <w:sz w:val="21"/>
              </w:rPr>
              <w:t>/</w:t>
            </w:r>
          </w:p>
        </w:tc>
      </w:tr>
    </w:tbl>
    <w:p>
      <w:pPr>
        <w:spacing w:before="2" w:after="3"/>
        <w:ind w:left="1553" w:right="1585" w:firstLine="0"/>
        <w:jc w:val="center"/>
        <w:rPr>
          <w:b/>
          <w:sz w:val="24"/>
        </w:rPr>
      </w:pPr>
      <w:r>
        <w:rPr>
          <w:b/>
          <w:spacing w:val="-32"/>
          <w:sz w:val="24"/>
        </w:rPr>
        <w:t xml:space="preserve">表 </w:t>
      </w:r>
      <w:r>
        <w:rPr>
          <w:rFonts w:ascii="Times New Roman" w:eastAsia="Times New Roman"/>
          <w:b/>
          <w:sz w:val="24"/>
        </w:rPr>
        <w:t>2.4-4</w:t>
      </w:r>
      <w:r>
        <w:rPr>
          <w:rFonts w:ascii="Times New Roman" w:eastAsia="Times New Roman"/>
          <w:b/>
          <w:spacing w:val="1"/>
          <w:sz w:val="24"/>
        </w:rPr>
        <w:t xml:space="preserve"> </w:t>
      </w:r>
      <w:r>
        <w:rPr>
          <w:b/>
          <w:sz w:val="24"/>
        </w:rPr>
        <w:t>点源参数表</w:t>
      </w:r>
    </w:p>
    <w:tbl>
      <w:tblPr>
        <w:tblStyle w:val="10"/>
        <w:tblW w:w="0" w:type="auto"/>
        <w:tblInd w:w="3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5"/>
        <w:gridCol w:w="1243"/>
        <w:gridCol w:w="1029"/>
        <w:gridCol w:w="1007"/>
        <w:gridCol w:w="728"/>
        <w:gridCol w:w="697"/>
        <w:gridCol w:w="728"/>
        <w:gridCol w:w="600"/>
        <w:gridCol w:w="714"/>
        <w:gridCol w:w="697"/>
        <w:gridCol w:w="621"/>
        <w:gridCol w:w="643"/>
        <w:gridCol w:w="6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05" w:type="dxa"/>
            <w:vMerge w:val="restart"/>
          </w:tcPr>
          <w:p>
            <w:pPr>
              <w:pStyle w:val="14"/>
              <w:spacing w:before="135" w:line="244" w:lineRule="auto"/>
              <w:ind w:left="97" w:right="86"/>
              <w:jc w:val="left"/>
              <w:rPr>
                <w:sz w:val="21"/>
              </w:rPr>
            </w:pPr>
            <w:r>
              <w:rPr>
                <w:sz w:val="21"/>
              </w:rPr>
              <w:t>编号</w:t>
            </w:r>
          </w:p>
        </w:tc>
        <w:tc>
          <w:tcPr>
            <w:tcW w:w="1243" w:type="dxa"/>
            <w:vMerge w:val="restart"/>
          </w:tcPr>
          <w:p>
            <w:pPr>
              <w:pStyle w:val="14"/>
              <w:spacing w:before="2"/>
              <w:jc w:val="left"/>
              <w:rPr>
                <w:b/>
                <w:sz w:val="21"/>
              </w:rPr>
            </w:pPr>
          </w:p>
          <w:p>
            <w:pPr>
              <w:pStyle w:val="14"/>
              <w:spacing w:before="1"/>
              <w:ind w:left="201"/>
              <w:jc w:val="left"/>
              <w:rPr>
                <w:sz w:val="21"/>
              </w:rPr>
            </w:pPr>
            <w:r>
              <w:rPr>
                <w:sz w:val="21"/>
              </w:rPr>
              <w:t>点源名称</w:t>
            </w:r>
          </w:p>
        </w:tc>
        <w:tc>
          <w:tcPr>
            <w:tcW w:w="1029" w:type="dxa"/>
            <w:vMerge w:val="restart"/>
          </w:tcPr>
          <w:p>
            <w:pPr>
              <w:pStyle w:val="14"/>
              <w:spacing w:before="135" w:line="244" w:lineRule="auto"/>
              <w:ind w:left="198" w:right="83" w:hanging="106"/>
              <w:jc w:val="left"/>
              <w:rPr>
                <w:sz w:val="21"/>
              </w:rPr>
            </w:pPr>
            <w:r>
              <w:rPr>
                <w:sz w:val="21"/>
              </w:rPr>
              <w:t>排气筒底部坐标</w:t>
            </w:r>
          </w:p>
        </w:tc>
        <w:tc>
          <w:tcPr>
            <w:tcW w:w="1007" w:type="dxa"/>
            <w:vMerge w:val="restart"/>
          </w:tcPr>
          <w:p>
            <w:pPr>
              <w:pStyle w:val="14"/>
              <w:spacing w:before="1" w:line="242" w:lineRule="auto"/>
              <w:ind w:left="81" w:right="72"/>
              <w:rPr>
                <w:sz w:val="21"/>
              </w:rPr>
            </w:pPr>
            <w:r>
              <w:rPr>
                <w:sz w:val="21"/>
              </w:rPr>
              <w:t>排气筒底部海拔高</w:t>
            </w:r>
          </w:p>
          <w:p>
            <w:pPr>
              <w:pStyle w:val="14"/>
              <w:spacing w:line="253" w:lineRule="exact"/>
              <w:ind w:left="80" w:right="72"/>
              <w:rPr>
                <w:rFonts w:ascii="Times New Roman" w:eastAsia="Times New Roman"/>
                <w:sz w:val="21"/>
              </w:rPr>
            </w:pPr>
            <w:r>
              <w:rPr>
                <w:sz w:val="21"/>
              </w:rPr>
              <w:t>度</w:t>
            </w:r>
            <w:r>
              <w:rPr>
                <w:rFonts w:ascii="Times New Roman" w:eastAsia="Times New Roman"/>
                <w:sz w:val="21"/>
              </w:rPr>
              <w:t>/m</w:t>
            </w:r>
          </w:p>
        </w:tc>
        <w:tc>
          <w:tcPr>
            <w:tcW w:w="728" w:type="dxa"/>
            <w:vMerge w:val="restart"/>
          </w:tcPr>
          <w:p>
            <w:pPr>
              <w:pStyle w:val="14"/>
              <w:spacing w:before="1" w:line="242" w:lineRule="auto"/>
              <w:ind w:left="152" w:right="145"/>
              <w:jc w:val="left"/>
              <w:rPr>
                <w:sz w:val="21"/>
              </w:rPr>
            </w:pPr>
            <w:r>
              <w:rPr>
                <w:spacing w:val="-8"/>
                <w:sz w:val="21"/>
              </w:rPr>
              <w:t>排气</w:t>
            </w:r>
            <w:r>
              <w:rPr>
                <w:spacing w:val="-9"/>
                <w:w w:val="95"/>
                <w:sz w:val="21"/>
              </w:rPr>
              <w:t>筒高</w:t>
            </w:r>
          </w:p>
          <w:p>
            <w:pPr>
              <w:pStyle w:val="14"/>
              <w:spacing w:line="253" w:lineRule="exact"/>
              <w:ind w:left="147"/>
              <w:jc w:val="left"/>
              <w:rPr>
                <w:rFonts w:ascii="Times New Roman" w:eastAsia="Times New Roman"/>
                <w:sz w:val="21"/>
              </w:rPr>
            </w:pPr>
            <w:r>
              <w:rPr>
                <w:spacing w:val="-1"/>
                <w:w w:val="95"/>
                <w:sz w:val="21"/>
              </w:rPr>
              <w:t>度</w:t>
            </w:r>
            <w:r>
              <w:rPr>
                <w:rFonts w:ascii="Times New Roman" w:eastAsia="Times New Roman"/>
                <w:spacing w:val="-1"/>
                <w:w w:val="95"/>
                <w:sz w:val="21"/>
              </w:rPr>
              <w:t>/m</w:t>
            </w:r>
          </w:p>
        </w:tc>
        <w:tc>
          <w:tcPr>
            <w:tcW w:w="697" w:type="dxa"/>
            <w:vMerge w:val="restart"/>
          </w:tcPr>
          <w:p>
            <w:pPr>
              <w:pStyle w:val="14"/>
              <w:spacing w:before="1" w:line="242" w:lineRule="auto"/>
              <w:ind w:left="137" w:right="129"/>
              <w:jc w:val="left"/>
              <w:rPr>
                <w:sz w:val="21"/>
              </w:rPr>
            </w:pPr>
            <w:r>
              <w:rPr>
                <w:spacing w:val="-8"/>
                <w:sz w:val="21"/>
              </w:rPr>
              <w:t>排气</w:t>
            </w:r>
            <w:r>
              <w:rPr>
                <w:spacing w:val="-9"/>
                <w:w w:val="95"/>
                <w:sz w:val="21"/>
              </w:rPr>
              <w:t>筒内</w:t>
            </w:r>
          </w:p>
          <w:p>
            <w:pPr>
              <w:pStyle w:val="14"/>
              <w:spacing w:line="253" w:lineRule="exact"/>
              <w:ind w:left="132"/>
              <w:jc w:val="left"/>
              <w:rPr>
                <w:rFonts w:ascii="Times New Roman" w:eastAsia="Times New Roman"/>
                <w:sz w:val="21"/>
              </w:rPr>
            </w:pPr>
            <w:r>
              <w:rPr>
                <w:w w:val="95"/>
                <w:sz w:val="21"/>
              </w:rPr>
              <w:t>径</w:t>
            </w:r>
            <w:r>
              <w:rPr>
                <w:rFonts w:ascii="Times New Roman" w:eastAsia="Times New Roman"/>
                <w:w w:val="95"/>
                <w:sz w:val="21"/>
              </w:rPr>
              <w:t>/m</w:t>
            </w:r>
          </w:p>
        </w:tc>
        <w:tc>
          <w:tcPr>
            <w:tcW w:w="728" w:type="dxa"/>
            <w:vMerge w:val="restart"/>
          </w:tcPr>
          <w:p>
            <w:pPr>
              <w:pStyle w:val="14"/>
              <w:spacing w:before="1" w:line="242" w:lineRule="auto"/>
              <w:ind w:left="153" w:right="145"/>
              <w:jc w:val="left"/>
              <w:rPr>
                <w:sz w:val="21"/>
              </w:rPr>
            </w:pPr>
            <w:r>
              <w:rPr>
                <w:spacing w:val="-9"/>
                <w:sz w:val="21"/>
              </w:rPr>
              <w:t>烟气</w:t>
            </w:r>
            <w:r>
              <w:rPr>
                <w:spacing w:val="-9"/>
                <w:w w:val="95"/>
                <w:sz w:val="21"/>
              </w:rPr>
              <w:t>流速</w:t>
            </w:r>
          </w:p>
          <w:p>
            <w:pPr>
              <w:pStyle w:val="14"/>
              <w:spacing w:line="253" w:lineRule="exact"/>
              <w:ind w:left="54"/>
              <w:jc w:val="left"/>
              <w:rPr>
                <w:rFonts w:ascii="Times New Roman" w:eastAsia="Times New Roman"/>
                <w:sz w:val="21"/>
              </w:rPr>
            </w:pPr>
            <w:r>
              <w:rPr>
                <w:spacing w:val="-207"/>
                <w:w w:val="99"/>
                <w:sz w:val="21"/>
              </w:rPr>
              <w:t>（</w:t>
            </w:r>
            <w:r>
              <w:rPr>
                <w:rFonts w:ascii="Times New Roman" w:eastAsia="Times New Roman"/>
                <w:w w:val="99"/>
                <w:sz w:val="21"/>
              </w:rPr>
              <w:t>/</w:t>
            </w:r>
            <w:r>
              <w:rPr>
                <w:rFonts w:ascii="Times New Roman" w:eastAsia="Times New Roman"/>
                <w:sz w:val="21"/>
              </w:rPr>
              <w:t xml:space="preserve">  </w:t>
            </w:r>
            <w:r>
              <w:rPr>
                <w:rFonts w:ascii="Times New Roman" w:eastAsia="Times New Roman"/>
                <w:spacing w:val="-10"/>
                <w:sz w:val="21"/>
              </w:rPr>
              <w:t xml:space="preserve"> </w:t>
            </w:r>
            <w:r>
              <w:rPr>
                <w:rFonts w:ascii="Times New Roman" w:eastAsia="Times New Roman"/>
                <w:spacing w:val="-2"/>
                <w:w w:val="99"/>
                <w:sz w:val="21"/>
              </w:rPr>
              <w:t>m</w:t>
            </w:r>
            <w:r>
              <w:rPr>
                <w:rFonts w:ascii="Times New Roman" w:eastAsia="Times New Roman"/>
                <w:spacing w:val="1"/>
                <w:w w:val="99"/>
                <w:sz w:val="21"/>
              </w:rPr>
              <w:t>/</w:t>
            </w:r>
            <w:r>
              <w:rPr>
                <w:rFonts w:ascii="Times New Roman" w:eastAsia="Times New Roman"/>
                <w:w w:val="99"/>
                <w:sz w:val="21"/>
              </w:rPr>
              <w:t>s</w:t>
            </w:r>
          </w:p>
        </w:tc>
        <w:tc>
          <w:tcPr>
            <w:tcW w:w="600" w:type="dxa"/>
            <w:vMerge w:val="restart"/>
          </w:tcPr>
          <w:p>
            <w:pPr>
              <w:pStyle w:val="14"/>
              <w:spacing w:before="1" w:line="242" w:lineRule="auto"/>
              <w:ind w:left="89" w:right="80"/>
              <w:jc w:val="right"/>
              <w:rPr>
                <w:sz w:val="21"/>
              </w:rPr>
            </w:pPr>
            <w:r>
              <w:rPr>
                <w:spacing w:val="-9"/>
                <w:w w:val="95"/>
                <w:sz w:val="21"/>
              </w:rPr>
              <w:t>烟气温度</w:t>
            </w:r>
          </w:p>
          <w:p>
            <w:pPr>
              <w:pStyle w:val="14"/>
              <w:spacing w:line="253" w:lineRule="exact"/>
              <w:ind w:left="-163" w:right="154"/>
              <w:jc w:val="right"/>
              <w:rPr>
                <w:sz w:val="21"/>
              </w:rPr>
            </w:pPr>
            <w:r>
              <w:rPr>
                <w:sz w:val="21"/>
              </w:rPr>
              <w:t>）</w:t>
            </w:r>
            <w:r>
              <w:rPr>
                <w:spacing w:val="13"/>
                <w:sz w:val="21"/>
              </w:rPr>
              <w:t xml:space="preserve"> </w:t>
            </w:r>
            <w:r>
              <w:rPr>
                <w:rFonts w:ascii="Times New Roman" w:hAnsi="Times New Roman" w:eastAsia="Times New Roman"/>
                <w:spacing w:val="-9"/>
                <w:sz w:val="21"/>
              </w:rPr>
              <w:t>/</w:t>
            </w:r>
            <w:r>
              <w:rPr>
                <w:spacing w:val="-9"/>
                <w:sz w:val="21"/>
              </w:rPr>
              <w:t>℃</w:t>
            </w:r>
          </w:p>
        </w:tc>
        <w:tc>
          <w:tcPr>
            <w:tcW w:w="714" w:type="dxa"/>
            <w:vMerge w:val="restart"/>
          </w:tcPr>
          <w:p>
            <w:pPr>
              <w:pStyle w:val="14"/>
              <w:spacing w:before="1" w:line="242" w:lineRule="auto"/>
              <w:ind w:left="147" w:right="136"/>
              <w:jc w:val="left"/>
              <w:rPr>
                <w:sz w:val="21"/>
              </w:rPr>
            </w:pPr>
            <w:r>
              <w:rPr>
                <w:spacing w:val="-8"/>
                <w:sz w:val="21"/>
              </w:rPr>
              <w:t>年排</w:t>
            </w:r>
            <w:r>
              <w:rPr>
                <w:spacing w:val="-9"/>
                <w:w w:val="95"/>
                <w:sz w:val="21"/>
              </w:rPr>
              <w:t>放小</w:t>
            </w:r>
          </w:p>
          <w:p>
            <w:pPr>
              <w:pStyle w:val="14"/>
              <w:spacing w:line="253" w:lineRule="exact"/>
              <w:ind w:left="63"/>
              <w:jc w:val="left"/>
              <w:rPr>
                <w:rFonts w:ascii="Times New Roman" w:eastAsia="Times New Roman"/>
                <w:sz w:val="21"/>
              </w:rPr>
            </w:pPr>
            <w:r>
              <w:rPr>
                <w:w w:val="95"/>
                <w:sz w:val="21"/>
              </w:rPr>
              <w:t>时数</w:t>
            </w:r>
            <w:r>
              <w:rPr>
                <w:rFonts w:ascii="Times New Roman" w:eastAsia="Times New Roman"/>
                <w:w w:val="95"/>
                <w:sz w:val="21"/>
              </w:rPr>
              <w:t>/h</w:t>
            </w:r>
          </w:p>
        </w:tc>
        <w:tc>
          <w:tcPr>
            <w:tcW w:w="697" w:type="dxa"/>
            <w:vMerge w:val="restart"/>
          </w:tcPr>
          <w:p>
            <w:pPr>
              <w:pStyle w:val="14"/>
              <w:spacing w:before="135" w:line="244" w:lineRule="auto"/>
              <w:ind w:left="136" w:right="130"/>
              <w:jc w:val="left"/>
              <w:rPr>
                <w:sz w:val="21"/>
              </w:rPr>
            </w:pPr>
            <w:r>
              <w:rPr>
                <w:sz w:val="21"/>
              </w:rPr>
              <w:t>排放工况</w:t>
            </w:r>
          </w:p>
        </w:tc>
        <w:tc>
          <w:tcPr>
            <w:tcW w:w="1930" w:type="dxa"/>
            <w:gridSpan w:val="3"/>
          </w:tcPr>
          <w:p>
            <w:pPr>
              <w:pStyle w:val="14"/>
              <w:spacing w:before="1" w:line="251" w:lineRule="exact"/>
              <w:ind w:left="229"/>
              <w:jc w:val="left"/>
              <w:rPr>
                <w:sz w:val="21"/>
              </w:rPr>
            </w:pPr>
            <w:r>
              <w:rPr>
                <w:sz w:val="21"/>
              </w:rPr>
              <w:t>污染物排放速率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405" w:type="dxa"/>
            <w:vMerge w:val="continue"/>
            <w:tcBorders>
              <w:top w:val="nil"/>
            </w:tcBorders>
          </w:tcPr>
          <w:p>
            <w:pPr>
              <w:rPr>
                <w:sz w:val="2"/>
                <w:szCs w:val="2"/>
              </w:rPr>
            </w:pPr>
          </w:p>
        </w:tc>
        <w:tc>
          <w:tcPr>
            <w:tcW w:w="1243" w:type="dxa"/>
            <w:vMerge w:val="continue"/>
            <w:tcBorders>
              <w:top w:val="nil"/>
            </w:tcBorders>
          </w:tcPr>
          <w:p>
            <w:pPr>
              <w:rPr>
                <w:sz w:val="2"/>
                <w:szCs w:val="2"/>
              </w:rPr>
            </w:pPr>
          </w:p>
        </w:tc>
        <w:tc>
          <w:tcPr>
            <w:tcW w:w="1029" w:type="dxa"/>
            <w:vMerge w:val="continue"/>
            <w:tcBorders>
              <w:top w:val="nil"/>
            </w:tcBorders>
          </w:tcPr>
          <w:p>
            <w:pPr>
              <w:rPr>
                <w:sz w:val="2"/>
                <w:szCs w:val="2"/>
              </w:rPr>
            </w:pPr>
          </w:p>
        </w:tc>
        <w:tc>
          <w:tcPr>
            <w:tcW w:w="1007" w:type="dxa"/>
            <w:vMerge w:val="continue"/>
            <w:tcBorders>
              <w:top w:val="nil"/>
            </w:tcBorders>
          </w:tcPr>
          <w:p>
            <w:pPr>
              <w:rPr>
                <w:sz w:val="2"/>
                <w:szCs w:val="2"/>
              </w:rPr>
            </w:pPr>
          </w:p>
        </w:tc>
        <w:tc>
          <w:tcPr>
            <w:tcW w:w="728" w:type="dxa"/>
            <w:vMerge w:val="continue"/>
            <w:tcBorders>
              <w:top w:val="nil"/>
            </w:tcBorders>
          </w:tcPr>
          <w:p>
            <w:pPr>
              <w:rPr>
                <w:sz w:val="2"/>
                <w:szCs w:val="2"/>
              </w:rPr>
            </w:pPr>
          </w:p>
        </w:tc>
        <w:tc>
          <w:tcPr>
            <w:tcW w:w="697" w:type="dxa"/>
            <w:vMerge w:val="continue"/>
            <w:tcBorders>
              <w:top w:val="nil"/>
            </w:tcBorders>
          </w:tcPr>
          <w:p>
            <w:pPr>
              <w:rPr>
                <w:sz w:val="2"/>
                <w:szCs w:val="2"/>
              </w:rPr>
            </w:pPr>
          </w:p>
        </w:tc>
        <w:tc>
          <w:tcPr>
            <w:tcW w:w="728" w:type="dxa"/>
            <w:vMerge w:val="continue"/>
            <w:tcBorders>
              <w:top w:val="nil"/>
            </w:tcBorders>
          </w:tcPr>
          <w:p>
            <w:pPr>
              <w:rPr>
                <w:sz w:val="2"/>
                <w:szCs w:val="2"/>
              </w:rPr>
            </w:pPr>
          </w:p>
        </w:tc>
        <w:tc>
          <w:tcPr>
            <w:tcW w:w="600" w:type="dxa"/>
            <w:vMerge w:val="continue"/>
            <w:tcBorders>
              <w:top w:val="nil"/>
            </w:tcBorders>
          </w:tcPr>
          <w:p>
            <w:pPr>
              <w:rPr>
                <w:sz w:val="2"/>
                <w:szCs w:val="2"/>
              </w:rPr>
            </w:pPr>
          </w:p>
        </w:tc>
        <w:tc>
          <w:tcPr>
            <w:tcW w:w="714" w:type="dxa"/>
            <w:vMerge w:val="continue"/>
            <w:tcBorders>
              <w:top w:val="nil"/>
            </w:tcBorders>
          </w:tcPr>
          <w:p>
            <w:pPr>
              <w:rPr>
                <w:sz w:val="2"/>
                <w:szCs w:val="2"/>
              </w:rPr>
            </w:pPr>
          </w:p>
        </w:tc>
        <w:tc>
          <w:tcPr>
            <w:tcW w:w="697" w:type="dxa"/>
            <w:vMerge w:val="continue"/>
            <w:tcBorders>
              <w:top w:val="nil"/>
            </w:tcBorders>
          </w:tcPr>
          <w:p>
            <w:pPr>
              <w:rPr>
                <w:sz w:val="2"/>
                <w:szCs w:val="2"/>
              </w:rPr>
            </w:pPr>
          </w:p>
        </w:tc>
        <w:tc>
          <w:tcPr>
            <w:tcW w:w="1930" w:type="dxa"/>
            <w:gridSpan w:val="3"/>
          </w:tcPr>
          <w:p>
            <w:pPr>
              <w:pStyle w:val="14"/>
              <w:spacing w:line="221" w:lineRule="exact"/>
              <w:ind w:left="755" w:right="751"/>
              <w:rPr>
                <w:rFonts w:ascii="Times New Roman"/>
                <w:sz w:val="21"/>
              </w:rPr>
            </w:pPr>
            <w:r>
              <w:rPr>
                <w:rFonts w:ascii="Times New Roman"/>
                <w:sz w:val="21"/>
              </w:rPr>
              <w:t>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05" w:type="dxa"/>
            <w:vMerge w:val="continue"/>
            <w:tcBorders>
              <w:top w:val="nil"/>
            </w:tcBorders>
          </w:tcPr>
          <w:p>
            <w:pPr>
              <w:rPr>
                <w:sz w:val="2"/>
                <w:szCs w:val="2"/>
              </w:rPr>
            </w:pPr>
          </w:p>
        </w:tc>
        <w:tc>
          <w:tcPr>
            <w:tcW w:w="1243" w:type="dxa"/>
            <w:vMerge w:val="continue"/>
            <w:tcBorders>
              <w:top w:val="nil"/>
            </w:tcBorders>
          </w:tcPr>
          <w:p>
            <w:pPr>
              <w:rPr>
                <w:sz w:val="2"/>
                <w:szCs w:val="2"/>
              </w:rPr>
            </w:pPr>
          </w:p>
        </w:tc>
        <w:tc>
          <w:tcPr>
            <w:tcW w:w="1029" w:type="dxa"/>
            <w:vMerge w:val="continue"/>
            <w:tcBorders>
              <w:top w:val="nil"/>
            </w:tcBorders>
          </w:tcPr>
          <w:p>
            <w:pPr>
              <w:rPr>
                <w:sz w:val="2"/>
                <w:szCs w:val="2"/>
              </w:rPr>
            </w:pPr>
          </w:p>
        </w:tc>
        <w:tc>
          <w:tcPr>
            <w:tcW w:w="1007" w:type="dxa"/>
            <w:vMerge w:val="continue"/>
            <w:tcBorders>
              <w:top w:val="nil"/>
            </w:tcBorders>
          </w:tcPr>
          <w:p>
            <w:pPr>
              <w:rPr>
                <w:sz w:val="2"/>
                <w:szCs w:val="2"/>
              </w:rPr>
            </w:pPr>
          </w:p>
        </w:tc>
        <w:tc>
          <w:tcPr>
            <w:tcW w:w="728" w:type="dxa"/>
            <w:vMerge w:val="continue"/>
            <w:tcBorders>
              <w:top w:val="nil"/>
            </w:tcBorders>
          </w:tcPr>
          <w:p>
            <w:pPr>
              <w:rPr>
                <w:sz w:val="2"/>
                <w:szCs w:val="2"/>
              </w:rPr>
            </w:pPr>
          </w:p>
        </w:tc>
        <w:tc>
          <w:tcPr>
            <w:tcW w:w="697" w:type="dxa"/>
            <w:vMerge w:val="continue"/>
            <w:tcBorders>
              <w:top w:val="nil"/>
            </w:tcBorders>
          </w:tcPr>
          <w:p>
            <w:pPr>
              <w:rPr>
                <w:sz w:val="2"/>
                <w:szCs w:val="2"/>
              </w:rPr>
            </w:pPr>
          </w:p>
        </w:tc>
        <w:tc>
          <w:tcPr>
            <w:tcW w:w="728" w:type="dxa"/>
            <w:vMerge w:val="continue"/>
            <w:tcBorders>
              <w:top w:val="nil"/>
            </w:tcBorders>
          </w:tcPr>
          <w:p>
            <w:pPr>
              <w:rPr>
                <w:sz w:val="2"/>
                <w:szCs w:val="2"/>
              </w:rPr>
            </w:pPr>
          </w:p>
        </w:tc>
        <w:tc>
          <w:tcPr>
            <w:tcW w:w="600" w:type="dxa"/>
            <w:vMerge w:val="continue"/>
            <w:tcBorders>
              <w:top w:val="nil"/>
            </w:tcBorders>
          </w:tcPr>
          <w:p>
            <w:pPr>
              <w:rPr>
                <w:sz w:val="2"/>
                <w:szCs w:val="2"/>
              </w:rPr>
            </w:pPr>
          </w:p>
        </w:tc>
        <w:tc>
          <w:tcPr>
            <w:tcW w:w="714" w:type="dxa"/>
            <w:vMerge w:val="continue"/>
            <w:tcBorders>
              <w:top w:val="nil"/>
            </w:tcBorders>
          </w:tcPr>
          <w:p>
            <w:pPr>
              <w:rPr>
                <w:sz w:val="2"/>
                <w:szCs w:val="2"/>
              </w:rPr>
            </w:pPr>
          </w:p>
        </w:tc>
        <w:tc>
          <w:tcPr>
            <w:tcW w:w="697" w:type="dxa"/>
            <w:vMerge w:val="continue"/>
            <w:tcBorders>
              <w:top w:val="nil"/>
            </w:tcBorders>
          </w:tcPr>
          <w:p>
            <w:pPr>
              <w:rPr>
                <w:sz w:val="2"/>
                <w:szCs w:val="2"/>
              </w:rPr>
            </w:pPr>
          </w:p>
        </w:tc>
        <w:tc>
          <w:tcPr>
            <w:tcW w:w="621" w:type="dxa"/>
          </w:tcPr>
          <w:p>
            <w:pPr>
              <w:pStyle w:val="14"/>
              <w:spacing w:before="5" w:line="259" w:lineRule="exact"/>
              <w:ind w:left="50" w:right="44"/>
              <w:rPr>
                <w:sz w:val="21"/>
              </w:rPr>
            </w:pPr>
            <w:r>
              <w:rPr>
                <w:sz w:val="21"/>
              </w:rPr>
              <w:t>烟尘</w:t>
            </w:r>
          </w:p>
        </w:tc>
        <w:tc>
          <w:tcPr>
            <w:tcW w:w="643" w:type="dxa"/>
          </w:tcPr>
          <w:p>
            <w:pPr>
              <w:pStyle w:val="14"/>
              <w:spacing w:before="19"/>
              <w:ind w:left="64" w:right="56"/>
              <w:rPr>
                <w:rFonts w:ascii="Times New Roman"/>
                <w:sz w:val="21"/>
              </w:rPr>
            </w:pPr>
            <w:r>
              <w:rPr>
                <w:rFonts w:ascii="Times New Roman"/>
                <w:sz w:val="21"/>
              </w:rPr>
              <w:t>NOx</w:t>
            </w:r>
          </w:p>
        </w:tc>
        <w:tc>
          <w:tcPr>
            <w:tcW w:w="666" w:type="dxa"/>
          </w:tcPr>
          <w:p>
            <w:pPr>
              <w:pStyle w:val="14"/>
              <w:spacing w:before="16" w:line="248" w:lineRule="exact"/>
              <w:ind w:left="76" w:right="67"/>
              <w:rPr>
                <w:rFonts w:ascii="Times New Roman"/>
                <w:sz w:val="21"/>
              </w:rPr>
            </w:pPr>
            <w:r>
              <w:rPr>
                <w:rFonts w:ascii="Times New Roman"/>
                <w:position w:val="2"/>
                <w:sz w:val="21"/>
              </w:rPr>
              <w:t>SO</w:t>
            </w:r>
            <w:r>
              <w:rPr>
                <w:rFonts w:ascii="Times New Roman"/>
                <w:position w:val="2"/>
                <w:sz w:val="21"/>
                <w:vertAlign w:val="sub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405" w:type="dxa"/>
          </w:tcPr>
          <w:p>
            <w:pPr>
              <w:pStyle w:val="14"/>
              <w:spacing w:before="8"/>
              <w:jc w:val="left"/>
              <w:rPr>
                <w:b/>
                <w:sz w:val="18"/>
              </w:rPr>
            </w:pPr>
          </w:p>
          <w:p>
            <w:pPr>
              <w:pStyle w:val="14"/>
              <w:ind w:left="9"/>
              <w:rPr>
                <w:rFonts w:ascii="Times New Roman"/>
                <w:sz w:val="21"/>
              </w:rPr>
            </w:pPr>
            <w:r>
              <w:rPr>
                <w:rFonts w:ascii="Times New Roman"/>
                <w:w w:val="99"/>
                <w:sz w:val="21"/>
              </w:rPr>
              <w:t>1</w:t>
            </w:r>
          </w:p>
        </w:tc>
        <w:tc>
          <w:tcPr>
            <w:tcW w:w="1243" w:type="dxa"/>
          </w:tcPr>
          <w:p>
            <w:pPr>
              <w:pStyle w:val="14"/>
              <w:spacing w:before="7"/>
              <w:jc w:val="left"/>
              <w:rPr>
                <w:b/>
                <w:sz w:val="17"/>
              </w:rPr>
            </w:pPr>
          </w:p>
          <w:p>
            <w:pPr>
              <w:pStyle w:val="14"/>
              <w:ind w:left="180" w:right="173"/>
              <w:rPr>
                <w:sz w:val="21"/>
              </w:rPr>
            </w:pPr>
            <w:r>
              <w:rPr>
                <w:sz w:val="21"/>
              </w:rPr>
              <w:t>热风炉房</w:t>
            </w:r>
          </w:p>
        </w:tc>
        <w:tc>
          <w:tcPr>
            <w:tcW w:w="1029" w:type="dxa"/>
          </w:tcPr>
          <w:p>
            <w:pPr>
              <w:pStyle w:val="14"/>
              <w:spacing w:line="240" w:lineRule="exact"/>
              <w:ind w:left="69" w:right="60"/>
              <w:rPr>
                <w:rFonts w:ascii="Times New Roman" w:hAnsi="Times New Roman"/>
                <w:sz w:val="21"/>
              </w:rPr>
            </w:pPr>
            <w:r>
              <w:rPr>
                <w:rFonts w:ascii="Times New Roman" w:hAnsi="Times New Roman"/>
                <w:sz w:val="21"/>
              </w:rPr>
              <w:t>46°30′2.3</w:t>
            </w:r>
          </w:p>
          <w:p>
            <w:pPr>
              <w:pStyle w:val="14"/>
              <w:spacing w:line="241" w:lineRule="exact"/>
              <w:ind w:left="70" w:right="60"/>
              <w:rPr>
                <w:rFonts w:ascii="Times New Roman" w:hAnsi="Times New Roman"/>
                <w:sz w:val="21"/>
              </w:rPr>
            </w:pPr>
            <w:r>
              <w:rPr>
                <w:rFonts w:ascii="Times New Roman" w:hAnsi="Times New Roman"/>
                <w:sz w:val="21"/>
              </w:rPr>
              <w:t>0″131°10′</w:t>
            </w:r>
          </w:p>
          <w:p>
            <w:pPr>
              <w:pStyle w:val="14"/>
              <w:spacing w:before="1" w:line="223" w:lineRule="exact"/>
              <w:ind w:left="70" w:right="60"/>
              <w:rPr>
                <w:rFonts w:ascii="Times New Roman" w:hAnsi="Times New Roman"/>
                <w:sz w:val="21"/>
              </w:rPr>
            </w:pPr>
            <w:r>
              <w:rPr>
                <w:rFonts w:ascii="Times New Roman" w:hAnsi="Times New Roman"/>
                <w:sz w:val="21"/>
              </w:rPr>
              <w:t>23.10″</w:t>
            </w:r>
          </w:p>
        </w:tc>
        <w:tc>
          <w:tcPr>
            <w:tcW w:w="1007" w:type="dxa"/>
          </w:tcPr>
          <w:p>
            <w:pPr>
              <w:pStyle w:val="14"/>
              <w:spacing w:before="8"/>
              <w:jc w:val="left"/>
              <w:rPr>
                <w:b/>
                <w:sz w:val="18"/>
              </w:rPr>
            </w:pPr>
          </w:p>
          <w:p>
            <w:pPr>
              <w:pStyle w:val="14"/>
              <w:ind w:left="81" w:right="71"/>
              <w:rPr>
                <w:rFonts w:ascii="Times New Roman"/>
                <w:sz w:val="21"/>
              </w:rPr>
            </w:pPr>
            <w:r>
              <w:rPr>
                <w:rFonts w:ascii="Times New Roman"/>
                <w:sz w:val="21"/>
              </w:rPr>
              <w:t>326</w:t>
            </w:r>
          </w:p>
        </w:tc>
        <w:tc>
          <w:tcPr>
            <w:tcW w:w="728" w:type="dxa"/>
          </w:tcPr>
          <w:p>
            <w:pPr>
              <w:pStyle w:val="14"/>
              <w:spacing w:before="8"/>
              <w:jc w:val="left"/>
              <w:rPr>
                <w:b/>
                <w:sz w:val="18"/>
              </w:rPr>
            </w:pPr>
          </w:p>
          <w:p>
            <w:pPr>
              <w:pStyle w:val="14"/>
              <w:ind w:right="247"/>
              <w:jc w:val="right"/>
              <w:rPr>
                <w:rFonts w:ascii="Times New Roman"/>
                <w:sz w:val="21"/>
              </w:rPr>
            </w:pPr>
            <w:r>
              <w:rPr>
                <w:rFonts w:ascii="Times New Roman"/>
                <w:sz w:val="21"/>
              </w:rPr>
              <w:t>35</w:t>
            </w:r>
          </w:p>
        </w:tc>
        <w:tc>
          <w:tcPr>
            <w:tcW w:w="697" w:type="dxa"/>
          </w:tcPr>
          <w:p>
            <w:pPr>
              <w:pStyle w:val="14"/>
              <w:spacing w:before="8"/>
              <w:jc w:val="left"/>
              <w:rPr>
                <w:b/>
                <w:sz w:val="18"/>
              </w:rPr>
            </w:pPr>
          </w:p>
          <w:p>
            <w:pPr>
              <w:pStyle w:val="14"/>
              <w:ind w:left="196" w:right="187"/>
              <w:rPr>
                <w:rFonts w:ascii="Times New Roman"/>
                <w:sz w:val="21"/>
              </w:rPr>
            </w:pPr>
            <w:r>
              <w:rPr>
                <w:rFonts w:ascii="Times New Roman"/>
                <w:sz w:val="21"/>
              </w:rPr>
              <w:t>0.8</w:t>
            </w:r>
          </w:p>
        </w:tc>
        <w:tc>
          <w:tcPr>
            <w:tcW w:w="728" w:type="dxa"/>
          </w:tcPr>
          <w:p>
            <w:pPr>
              <w:pStyle w:val="14"/>
              <w:spacing w:before="8"/>
              <w:jc w:val="left"/>
              <w:rPr>
                <w:b/>
                <w:sz w:val="18"/>
              </w:rPr>
            </w:pPr>
          </w:p>
          <w:p>
            <w:pPr>
              <w:pStyle w:val="14"/>
              <w:ind w:left="133" w:right="124"/>
              <w:rPr>
                <w:rFonts w:ascii="Times New Roman"/>
                <w:sz w:val="21"/>
              </w:rPr>
            </w:pPr>
            <w:r>
              <w:rPr>
                <w:rFonts w:ascii="Times New Roman"/>
                <w:sz w:val="21"/>
              </w:rPr>
              <w:t>0.60</w:t>
            </w:r>
          </w:p>
        </w:tc>
        <w:tc>
          <w:tcPr>
            <w:tcW w:w="600" w:type="dxa"/>
          </w:tcPr>
          <w:p>
            <w:pPr>
              <w:pStyle w:val="14"/>
              <w:spacing w:before="8"/>
              <w:jc w:val="left"/>
              <w:rPr>
                <w:b/>
                <w:sz w:val="18"/>
              </w:rPr>
            </w:pPr>
          </w:p>
          <w:p>
            <w:pPr>
              <w:pStyle w:val="14"/>
              <w:ind w:left="142"/>
              <w:jc w:val="left"/>
              <w:rPr>
                <w:rFonts w:ascii="Times New Roman"/>
                <w:sz w:val="21"/>
              </w:rPr>
            </w:pPr>
            <w:r>
              <w:rPr>
                <w:rFonts w:ascii="Times New Roman"/>
                <w:sz w:val="21"/>
              </w:rPr>
              <w:t>120</w:t>
            </w:r>
          </w:p>
        </w:tc>
        <w:tc>
          <w:tcPr>
            <w:tcW w:w="714" w:type="dxa"/>
          </w:tcPr>
          <w:p>
            <w:pPr>
              <w:pStyle w:val="14"/>
              <w:spacing w:before="8"/>
              <w:jc w:val="left"/>
              <w:rPr>
                <w:b/>
                <w:sz w:val="18"/>
              </w:rPr>
            </w:pPr>
          </w:p>
          <w:p>
            <w:pPr>
              <w:pStyle w:val="14"/>
              <w:ind w:left="127" w:right="117"/>
              <w:rPr>
                <w:rFonts w:ascii="Times New Roman"/>
                <w:sz w:val="21"/>
              </w:rPr>
            </w:pPr>
            <w:r>
              <w:rPr>
                <w:rFonts w:ascii="Times New Roman"/>
                <w:sz w:val="21"/>
              </w:rPr>
              <w:t>3240</w:t>
            </w:r>
          </w:p>
        </w:tc>
        <w:tc>
          <w:tcPr>
            <w:tcW w:w="697" w:type="dxa"/>
            <w:vMerge w:val="restart"/>
          </w:tcPr>
          <w:p>
            <w:pPr>
              <w:pStyle w:val="14"/>
              <w:jc w:val="left"/>
              <w:rPr>
                <w:b/>
                <w:sz w:val="20"/>
              </w:rPr>
            </w:pPr>
          </w:p>
          <w:p>
            <w:pPr>
              <w:pStyle w:val="14"/>
              <w:jc w:val="left"/>
              <w:rPr>
                <w:b/>
                <w:sz w:val="20"/>
              </w:rPr>
            </w:pPr>
          </w:p>
          <w:p>
            <w:pPr>
              <w:pStyle w:val="14"/>
              <w:jc w:val="left"/>
              <w:rPr>
                <w:b/>
                <w:sz w:val="20"/>
              </w:rPr>
            </w:pPr>
          </w:p>
          <w:p>
            <w:pPr>
              <w:pStyle w:val="14"/>
              <w:spacing w:before="11"/>
              <w:jc w:val="left"/>
              <w:rPr>
                <w:b/>
                <w:sz w:val="14"/>
              </w:rPr>
            </w:pPr>
          </w:p>
          <w:p>
            <w:pPr>
              <w:pStyle w:val="14"/>
              <w:ind w:left="136"/>
              <w:jc w:val="left"/>
              <w:rPr>
                <w:sz w:val="21"/>
              </w:rPr>
            </w:pPr>
            <w:r>
              <w:rPr>
                <w:sz w:val="21"/>
              </w:rPr>
              <w:t>连续</w:t>
            </w:r>
          </w:p>
        </w:tc>
        <w:tc>
          <w:tcPr>
            <w:tcW w:w="621" w:type="dxa"/>
          </w:tcPr>
          <w:p>
            <w:pPr>
              <w:pStyle w:val="14"/>
              <w:spacing w:before="8"/>
              <w:jc w:val="left"/>
              <w:rPr>
                <w:b/>
                <w:sz w:val="18"/>
              </w:rPr>
            </w:pPr>
          </w:p>
          <w:p>
            <w:pPr>
              <w:pStyle w:val="14"/>
              <w:ind w:left="53" w:right="44"/>
              <w:rPr>
                <w:rFonts w:ascii="Times New Roman"/>
                <w:sz w:val="21"/>
              </w:rPr>
            </w:pPr>
            <w:r>
              <w:rPr>
                <w:rFonts w:ascii="Times New Roman"/>
                <w:sz w:val="21"/>
              </w:rPr>
              <w:t>0.062</w:t>
            </w:r>
          </w:p>
        </w:tc>
        <w:tc>
          <w:tcPr>
            <w:tcW w:w="643" w:type="dxa"/>
          </w:tcPr>
          <w:p>
            <w:pPr>
              <w:pStyle w:val="14"/>
              <w:spacing w:before="8"/>
              <w:jc w:val="left"/>
              <w:rPr>
                <w:b/>
                <w:sz w:val="18"/>
              </w:rPr>
            </w:pPr>
          </w:p>
          <w:p>
            <w:pPr>
              <w:pStyle w:val="14"/>
              <w:ind w:left="64" w:right="56"/>
              <w:rPr>
                <w:rFonts w:ascii="Times New Roman"/>
                <w:sz w:val="21"/>
              </w:rPr>
            </w:pPr>
            <w:r>
              <w:rPr>
                <w:rFonts w:ascii="Times New Roman"/>
                <w:sz w:val="21"/>
              </w:rPr>
              <w:t>0.872</w:t>
            </w:r>
          </w:p>
        </w:tc>
        <w:tc>
          <w:tcPr>
            <w:tcW w:w="666" w:type="dxa"/>
          </w:tcPr>
          <w:p>
            <w:pPr>
              <w:pStyle w:val="14"/>
              <w:spacing w:before="8"/>
              <w:jc w:val="left"/>
              <w:rPr>
                <w:b/>
                <w:sz w:val="18"/>
              </w:rPr>
            </w:pPr>
          </w:p>
          <w:p>
            <w:pPr>
              <w:pStyle w:val="14"/>
              <w:ind w:left="76" w:right="67"/>
              <w:rPr>
                <w:rFonts w:ascii="Times New Roman"/>
                <w:sz w:val="21"/>
              </w:rPr>
            </w:pPr>
            <w:r>
              <w:rPr>
                <w:rFonts w:ascii="Times New Roman"/>
                <w:sz w:val="21"/>
              </w:rPr>
              <w:t>0.099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trPr>
        <w:tc>
          <w:tcPr>
            <w:tcW w:w="405" w:type="dxa"/>
          </w:tcPr>
          <w:p>
            <w:pPr>
              <w:pStyle w:val="14"/>
              <w:spacing w:before="11"/>
              <w:jc w:val="left"/>
              <w:rPr>
                <w:b/>
                <w:sz w:val="18"/>
              </w:rPr>
            </w:pPr>
          </w:p>
          <w:p>
            <w:pPr>
              <w:pStyle w:val="14"/>
              <w:ind w:left="9"/>
              <w:rPr>
                <w:rFonts w:ascii="Times New Roman"/>
                <w:sz w:val="21"/>
              </w:rPr>
            </w:pPr>
            <w:r>
              <w:rPr>
                <w:rFonts w:ascii="Times New Roman"/>
                <w:w w:val="99"/>
                <w:sz w:val="21"/>
              </w:rPr>
              <w:t>2</w:t>
            </w:r>
          </w:p>
        </w:tc>
        <w:tc>
          <w:tcPr>
            <w:tcW w:w="1243" w:type="dxa"/>
          </w:tcPr>
          <w:p>
            <w:pPr>
              <w:pStyle w:val="14"/>
              <w:spacing w:before="7"/>
              <w:jc w:val="left"/>
              <w:rPr>
                <w:b/>
                <w:sz w:val="17"/>
              </w:rPr>
            </w:pPr>
          </w:p>
          <w:p>
            <w:pPr>
              <w:pStyle w:val="14"/>
              <w:ind w:left="180" w:right="171"/>
              <w:rPr>
                <w:sz w:val="21"/>
              </w:rPr>
            </w:pPr>
            <w:r>
              <w:rPr>
                <w:sz w:val="21"/>
              </w:rPr>
              <w:t>锅炉房</w:t>
            </w:r>
          </w:p>
        </w:tc>
        <w:tc>
          <w:tcPr>
            <w:tcW w:w="1029" w:type="dxa"/>
          </w:tcPr>
          <w:p>
            <w:pPr>
              <w:pStyle w:val="14"/>
              <w:spacing w:line="241" w:lineRule="exact"/>
              <w:ind w:left="107"/>
              <w:jc w:val="left"/>
              <w:rPr>
                <w:rFonts w:ascii="Times New Roman" w:hAnsi="Times New Roman"/>
                <w:sz w:val="21"/>
              </w:rPr>
            </w:pPr>
            <w:r>
              <w:rPr>
                <w:rFonts w:ascii="Times New Roman" w:hAnsi="Times New Roman"/>
                <w:sz w:val="21"/>
              </w:rPr>
              <w:t>46°30′09.</w:t>
            </w:r>
          </w:p>
          <w:p>
            <w:pPr>
              <w:pStyle w:val="14"/>
              <w:spacing w:before="1" w:line="241" w:lineRule="exact"/>
              <w:ind w:left="62"/>
              <w:jc w:val="left"/>
              <w:rPr>
                <w:rFonts w:ascii="Times New Roman" w:hAnsi="Times New Roman"/>
                <w:sz w:val="21"/>
              </w:rPr>
            </w:pPr>
            <w:r>
              <w:rPr>
                <w:rFonts w:ascii="Times New Roman" w:hAnsi="Times New Roman"/>
                <w:sz w:val="21"/>
              </w:rPr>
              <w:t>73″131°10</w:t>
            </w:r>
          </w:p>
          <w:p>
            <w:pPr>
              <w:pStyle w:val="14"/>
              <w:spacing w:line="223" w:lineRule="exact"/>
              <w:ind w:left="210"/>
              <w:jc w:val="left"/>
              <w:rPr>
                <w:rFonts w:ascii="Times New Roman" w:hAnsi="Times New Roman"/>
                <w:sz w:val="21"/>
              </w:rPr>
            </w:pPr>
            <w:r>
              <w:rPr>
                <w:rFonts w:ascii="Times New Roman" w:hAnsi="Times New Roman"/>
                <w:sz w:val="21"/>
              </w:rPr>
              <w:t>′24.05″</w:t>
            </w:r>
          </w:p>
        </w:tc>
        <w:tc>
          <w:tcPr>
            <w:tcW w:w="1007" w:type="dxa"/>
          </w:tcPr>
          <w:p>
            <w:pPr>
              <w:pStyle w:val="14"/>
              <w:spacing w:before="11"/>
              <w:jc w:val="left"/>
              <w:rPr>
                <w:b/>
                <w:sz w:val="18"/>
              </w:rPr>
            </w:pPr>
          </w:p>
          <w:p>
            <w:pPr>
              <w:pStyle w:val="14"/>
              <w:ind w:left="81" w:right="71"/>
              <w:rPr>
                <w:rFonts w:ascii="Times New Roman"/>
                <w:sz w:val="21"/>
              </w:rPr>
            </w:pPr>
            <w:r>
              <w:rPr>
                <w:rFonts w:ascii="Times New Roman"/>
                <w:sz w:val="21"/>
              </w:rPr>
              <w:t>328</w:t>
            </w:r>
          </w:p>
        </w:tc>
        <w:tc>
          <w:tcPr>
            <w:tcW w:w="728" w:type="dxa"/>
          </w:tcPr>
          <w:p>
            <w:pPr>
              <w:pStyle w:val="14"/>
              <w:spacing w:before="11"/>
              <w:jc w:val="left"/>
              <w:rPr>
                <w:b/>
                <w:sz w:val="18"/>
              </w:rPr>
            </w:pPr>
          </w:p>
          <w:p>
            <w:pPr>
              <w:pStyle w:val="14"/>
              <w:ind w:right="247"/>
              <w:jc w:val="right"/>
              <w:rPr>
                <w:rFonts w:ascii="Times New Roman"/>
                <w:sz w:val="21"/>
              </w:rPr>
            </w:pPr>
            <w:r>
              <w:rPr>
                <w:rFonts w:ascii="Times New Roman"/>
                <w:sz w:val="21"/>
              </w:rPr>
              <w:t>35</w:t>
            </w:r>
          </w:p>
        </w:tc>
        <w:tc>
          <w:tcPr>
            <w:tcW w:w="697" w:type="dxa"/>
          </w:tcPr>
          <w:p>
            <w:pPr>
              <w:pStyle w:val="14"/>
              <w:spacing w:before="11"/>
              <w:jc w:val="left"/>
              <w:rPr>
                <w:b/>
                <w:sz w:val="18"/>
              </w:rPr>
            </w:pPr>
          </w:p>
          <w:p>
            <w:pPr>
              <w:pStyle w:val="14"/>
              <w:ind w:left="196" w:right="187"/>
              <w:rPr>
                <w:rFonts w:ascii="Times New Roman"/>
                <w:sz w:val="21"/>
              </w:rPr>
            </w:pPr>
            <w:r>
              <w:rPr>
                <w:rFonts w:ascii="Times New Roman"/>
                <w:sz w:val="21"/>
              </w:rPr>
              <w:t>0.8</w:t>
            </w:r>
          </w:p>
        </w:tc>
        <w:tc>
          <w:tcPr>
            <w:tcW w:w="728" w:type="dxa"/>
          </w:tcPr>
          <w:p>
            <w:pPr>
              <w:pStyle w:val="14"/>
              <w:spacing w:before="11"/>
              <w:jc w:val="left"/>
              <w:rPr>
                <w:b/>
                <w:sz w:val="18"/>
              </w:rPr>
            </w:pPr>
          </w:p>
          <w:p>
            <w:pPr>
              <w:pStyle w:val="14"/>
              <w:ind w:left="133" w:right="124"/>
              <w:rPr>
                <w:rFonts w:ascii="Times New Roman"/>
                <w:sz w:val="21"/>
              </w:rPr>
            </w:pPr>
            <w:r>
              <w:rPr>
                <w:rFonts w:ascii="Times New Roman"/>
                <w:sz w:val="21"/>
              </w:rPr>
              <w:t>0.21</w:t>
            </w:r>
          </w:p>
        </w:tc>
        <w:tc>
          <w:tcPr>
            <w:tcW w:w="600" w:type="dxa"/>
          </w:tcPr>
          <w:p>
            <w:pPr>
              <w:pStyle w:val="14"/>
              <w:spacing w:before="11"/>
              <w:jc w:val="left"/>
              <w:rPr>
                <w:b/>
                <w:sz w:val="18"/>
              </w:rPr>
            </w:pPr>
          </w:p>
          <w:p>
            <w:pPr>
              <w:pStyle w:val="14"/>
              <w:ind w:left="142"/>
              <w:jc w:val="left"/>
              <w:rPr>
                <w:rFonts w:ascii="Times New Roman"/>
                <w:sz w:val="21"/>
              </w:rPr>
            </w:pPr>
            <w:r>
              <w:rPr>
                <w:rFonts w:ascii="Times New Roman"/>
                <w:sz w:val="21"/>
              </w:rPr>
              <w:t>120</w:t>
            </w:r>
          </w:p>
        </w:tc>
        <w:tc>
          <w:tcPr>
            <w:tcW w:w="714" w:type="dxa"/>
          </w:tcPr>
          <w:p>
            <w:pPr>
              <w:pStyle w:val="14"/>
              <w:spacing w:before="11"/>
              <w:jc w:val="left"/>
              <w:rPr>
                <w:b/>
                <w:sz w:val="18"/>
              </w:rPr>
            </w:pPr>
          </w:p>
          <w:p>
            <w:pPr>
              <w:pStyle w:val="14"/>
              <w:ind w:left="127" w:right="117"/>
              <w:rPr>
                <w:rFonts w:ascii="Times New Roman"/>
                <w:sz w:val="21"/>
              </w:rPr>
            </w:pPr>
            <w:r>
              <w:rPr>
                <w:rFonts w:ascii="Times New Roman"/>
                <w:sz w:val="21"/>
              </w:rPr>
              <w:t>5040</w:t>
            </w:r>
          </w:p>
        </w:tc>
        <w:tc>
          <w:tcPr>
            <w:tcW w:w="697" w:type="dxa"/>
            <w:vMerge w:val="continue"/>
            <w:tcBorders>
              <w:top w:val="nil"/>
            </w:tcBorders>
          </w:tcPr>
          <w:p>
            <w:pPr>
              <w:rPr>
                <w:sz w:val="2"/>
                <w:szCs w:val="2"/>
              </w:rPr>
            </w:pPr>
          </w:p>
        </w:tc>
        <w:tc>
          <w:tcPr>
            <w:tcW w:w="621" w:type="dxa"/>
          </w:tcPr>
          <w:p>
            <w:pPr>
              <w:pStyle w:val="14"/>
              <w:spacing w:before="11"/>
              <w:jc w:val="left"/>
              <w:rPr>
                <w:b/>
                <w:sz w:val="18"/>
              </w:rPr>
            </w:pPr>
          </w:p>
          <w:p>
            <w:pPr>
              <w:pStyle w:val="14"/>
              <w:ind w:left="53" w:right="44"/>
              <w:rPr>
                <w:rFonts w:ascii="Times New Roman"/>
                <w:sz w:val="21"/>
              </w:rPr>
            </w:pPr>
            <w:r>
              <w:rPr>
                <w:rFonts w:ascii="Times New Roman"/>
                <w:sz w:val="21"/>
              </w:rPr>
              <w:t>0.035</w:t>
            </w:r>
          </w:p>
        </w:tc>
        <w:tc>
          <w:tcPr>
            <w:tcW w:w="643" w:type="dxa"/>
          </w:tcPr>
          <w:p>
            <w:pPr>
              <w:pStyle w:val="14"/>
              <w:spacing w:before="11"/>
              <w:jc w:val="left"/>
              <w:rPr>
                <w:b/>
                <w:sz w:val="18"/>
              </w:rPr>
            </w:pPr>
          </w:p>
          <w:p>
            <w:pPr>
              <w:pStyle w:val="14"/>
              <w:ind w:left="64" w:right="56"/>
              <w:rPr>
                <w:rFonts w:ascii="Times New Roman"/>
                <w:sz w:val="21"/>
              </w:rPr>
            </w:pPr>
            <w:r>
              <w:rPr>
                <w:rFonts w:ascii="Times New Roman"/>
                <w:sz w:val="21"/>
              </w:rPr>
              <w:t>0.302</w:t>
            </w:r>
          </w:p>
        </w:tc>
        <w:tc>
          <w:tcPr>
            <w:tcW w:w="666" w:type="dxa"/>
          </w:tcPr>
          <w:p>
            <w:pPr>
              <w:pStyle w:val="14"/>
              <w:spacing w:before="11"/>
              <w:jc w:val="left"/>
              <w:rPr>
                <w:b/>
                <w:sz w:val="18"/>
              </w:rPr>
            </w:pPr>
          </w:p>
          <w:p>
            <w:pPr>
              <w:pStyle w:val="14"/>
              <w:ind w:left="76" w:right="67"/>
              <w:rPr>
                <w:rFonts w:ascii="Times New Roman"/>
                <w:sz w:val="21"/>
              </w:rPr>
            </w:pPr>
            <w:r>
              <w:rPr>
                <w:rFonts w:ascii="Times New Roman"/>
                <w:sz w:val="21"/>
              </w:rPr>
              <w:t>0.021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405" w:type="dxa"/>
          </w:tcPr>
          <w:p>
            <w:pPr>
              <w:pStyle w:val="14"/>
              <w:spacing w:before="10"/>
              <w:jc w:val="left"/>
              <w:rPr>
                <w:b/>
                <w:sz w:val="18"/>
              </w:rPr>
            </w:pPr>
          </w:p>
          <w:p>
            <w:pPr>
              <w:pStyle w:val="14"/>
              <w:ind w:left="9"/>
              <w:rPr>
                <w:rFonts w:ascii="Times New Roman"/>
                <w:sz w:val="21"/>
              </w:rPr>
            </w:pPr>
            <w:r>
              <w:rPr>
                <w:rFonts w:ascii="Times New Roman"/>
                <w:w w:val="99"/>
                <w:sz w:val="21"/>
              </w:rPr>
              <w:t>3</w:t>
            </w:r>
          </w:p>
        </w:tc>
        <w:tc>
          <w:tcPr>
            <w:tcW w:w="1243" w:type="dxa"/>
          </w:tcPr>
          <w:p>
            <w:pPr>
              <w:pStyle w:val="14"/>
              <w:spacing w:before="6"/>
              <w:jc w:val="left"/>
              <w:rPr>
                <w:b/>
                <w:sz w:val="17"/>
              </w:rPr>
            </w:pPr>
          </w:p>
          <w:p>
            <w:pPr>
              <w:pStyle w:val="14"/>
              <w:spacing w:before="1"/>
              <w:ind w:left="180" w:right="173"/>
              <w:rPr>
                <w:sz w:val="21"/>
              </w:rPr>
            </w:pPr>
            <w:r>
              <w:rPr>
                <w:sz w:val="21"/>
              </w:rPr>
              <w:t>筛分车间</w:t>
            </w:r>
          </w:p>
        </w:tc>
        <w:tc>
          <w:tcPr>
            <w:tcW w:w="1029" w:type="dxa"/>
          </w:tcPr>
          <w:p>
            <w:pPr>
              <w:pStyle w:val="14"/>
              <w:spacing w:line="240" w:lineRule="exact"/>
              <w:ind w:left="107"/>
              <w:jc w:val="left"/>
              <w:rPr>
                <w:rFonts w:ascii="Times New Roman" w:hAnsi="Times New Roman"/>
                <w:sz w:val="21"/>
              </w:rPr>
            </w:pPr>
            <w:r>
              <w:rPr>
                <w:rFonts w:ascii="Times New Roman" w:hAnsi="Times New Roman"/>
                <w:sz w:val="21"/>
              </w:rPr>
              <w:t>46°30′04.</w:t>
            </w:r>
          </w:p>
          <w:p>
            <w:pPr>
              <w:pStyle w:val="14"/>
              <w:spacing w:before="1" w:line="241" w:lineRule="exact"/>
              <w:ind w:left="62"/>
              <w:jc w:val="left"/>
              <w:rPr>
                <w:rFonts w:ascii="Times New Roman" w:hAnsi="Times New Roman"/>
                <w:sz w:val="21"/>
              </w:rPr>
            </w:pPr>
            <w:r>
              <w:rPr>
                <w:rFonts w:ascii="Times New Roman" w:hAnsi="Times New Roman"/>
                <w:sz w:val="21"/>
              </w:rPr>
              <w:t>46″131°10</w:t>
            </w:r>
          </w:p>
          <w:p>
            <w:pPr>
              <w:pStyle w:val="14"/>
              <w:spacing w:line="222" w:lineRule="exact"/>
              <w:ind w:left="210"/>
              <w:jc w:val="left"/>
              <w:rPr>
                <w:rFonts w:ascii="Times New Roman" w:hAnsi="Times New Roman"/>
                <w:sz w:val="21"/>
              </w:rPr>
            </w:pPr>
            <w:r>
              <w:rPr>
                <w:rFonts w:ascii="Times New Roman" w:hAnsi="Times New Roman"/>
                <w:sz w:val="21"/>
              </w:rPr>
              <w:t>′20.99″</w:t>
            </w:r>
          </w:p>
        </w:tc>
        <w:tc>
          <w:tcPr>
            <w:tcW w:w="1007" w:type="dxa"/>
          </w:tcPr>
          <w:p>
            <w:pPr>
              <w:pStyle w:val="14"/>
              <w:spacing w:before="10"/>
              <w:jc w:val="left"/>
              <w:rPr>
                <w:b/>
                <w:sz w:val="18"/>
              </w:rPr>
            </w:pPr>
          </w:p>
          <w:p>
            <w:pPr>
              <w:pStyle w:val="14"/>
              <w:ind w:left="81" w:right="71"/>
              <w:rPr>
                <w:rFonts w:ascii="Times New Roman"/>
                <w:sz w:val="21"/>
              </w:rPr>
            </w:pPr>
            <w:r>
              <w:rPr>
                <w:rFonts w:ascii="Times New Roman"/>
                <w:sz w:val="21"/>
              </w:rPr>
              <w:t>332</w:t>
            </w:r>
          </w:p>
        </w:tc>
        <w:tc>
          <w:tcPr>
            <w:tcW w:w="728" w:type="dxa"/>
          </w:tcPr>
          <w:p>
            <w:pPr>
              <w:pStyle w:val="14"/>
              <w:spacing w:before="10"/>
              <w:jc w:val="left"/>
              <w:rPr>
                <w:b/>
                <w:sz w:val="18"/>
              </w:rPr>
            </w:pPr>
          </w:p>
          <w:p>
            <w:pPr>
              <w:pStyle w:val="14"/>
              <w:ind w:right="247"/>
              <w:jc w:val="right"/>
              <w:rPr>
                <w:rFonts w:ascii="Times New Roman"/>
                <w:sz w:val="21"/>
              </w:rPr>
            </w:pPr>
            <w:r>
              <w:rPr>
                <w:rFonts w:ascii="Times New Roman"/>
                <w:sz w:val="21"/>
              </w:rPr>
              <w:t>15</w:t>
            </w:r>
          </w:p>
        </w:tc>
        <w:tc>
          <w:tcPr>
            <w:tcW w:w="697" w:type="dxa"/>
          </w:tcPr>
          <w:p>
            <w:pPr>
              <w:pStyle w:val="14"/>
              <w:spacing w:before="10"/>
              <w:jc w:val="left"/>
              <w:rPr>
                <w:b/>
                <w:sz w:val="18"/>
              </w:rPr>
            </w:pPr>
          </w:p>
          <w:p>
            <w:pPr>
              <w:pStyle w:val="14"/>
              <w:ind w:left="196" w:right="187"/>
              <w:rPr>
                <w:rFonts w:ascii="Times New Roman"/>
                <w:sz w:val="21"/>
              </w:rPr>
            </w:pPr>
            <w:r>
              <w:rPr>
                <w:rFonts w:ascii="Times New Roman"/>
                <w:sz w:val="21"/>
              </w:rPr>
              <w:t>0.3</w:t>
            </w:r>
          </w:p>
        </w:tc>
        <w:tc>
          <w:tcPr>
            <w:tcW w:w="728" w:type="dxa"/>
          </w:tcPr>
          <w:p>
            <w:pPr>
              <w:pStyle w:val="14"/>
              <w:spacing w:before="10"/>
              <w:jc w:val="left"/>
              <w:rPr>
                <w:b/>
                <w:sz w:val="18"/>
              </w:rPr>
            </w:pPr>
          </w:p>
          <w:p>
            <w:pPr>
              <w:pStyle w:val="14"/>
              <w:ind w:left="133" w:right="124"/>
              <w:rPr>
                <w:rFonts w:ascii="Times New Roman"/>
                <w:sz w:val="21"/>
              </w:rPr>
            </w:pPr>
            <w:r>
              <w:rPr>
                <w:rFonts w:ascii="Times New Roman"/>
                <w:sz w:val="21"/>
              </w:rPr>
              <w:t>2.95</w:t>
            </w:r>
          </w:p>
        </w:tc>
        <w:tc>
          <w:tcPr>
            <w:tcW w:w="600" w:type="dxa"/>
          </w:tcPr>
          <w:p>
            <w:pPr>
              <w:pStyle w:val="14"/>
              <w:spacing w:before="10"/>
              <w:jc w:val="left"/>
              <w:rPr>
                <w:b/>
                <w:sz w:val="18"/>
              </w:rPr>
            </w:pPr>
          </w:p>
          <w:p>
            <w:pPr>
              <w:pStyle w:val="14"/>
              <w:ind w:left="195"/>
              <w:jc w:val="left"/>
              <w:rPr>
                <w:rFonts w:ascii="Times New Roman"/>
                <w:sz w:val="21"/>
              </w:rPr>
            </w:pPr>
            <w:r>
              <w:rPr>
                <w:rFonts w:ascii="Times New Roman"/>
                <w:sz w:val="21"/>
              </w:rPr>
              <w:t>25</w:t>
            </w:r>
          </w:p>
        </w:tc>
        <w:tc>
          <w:tcPr>
            <w:tcW w:w="714" w:type="dxa"/>
          </w:tcPr>
          <w:p>
            <w:pPr>
              <w:pStyle w:val="14"/>
              <w:spacing w:before="10"/>
              <w:jc w:val="left"/>
              <w:rPr>
                <w:b/>
                <w:sz w:val="18"/>
              </w:rPr>
            </w:pPr>
          </w:p>
          <w:p>
            <w:pPr>
              <w:pStyle w:val="14"/>
              <w:ind w:left="127" w:right="117"/>
              <w:rPr>
                <w:rFonts w:ascii="Times New Roman"/>
                <w:sz w:val="21"/>
              </w:rPr>
            </w:pPr>
            <w:r>
              <w:rPr>
                <w:rFonts w:ascii="Times New Roman"/>
                <w:sz w:val="21"/>
              </w:rPr>
              <w:t>5940</w:t>
            </w:r>
          </w:p>
        </w:tc>
        <w:tc>
          <w:tcPr>
            <w:tcW w:w="697" w:type="dxa"/>
            <w:vMerge w:val="continue"/>
            <w:tcBorders>
              <w:top w:val="nil"/>
            </w:tcBorders>
          </w:tcPr>
          <w:p>
            <w:pPr>
              <w:rPr>
                <w:sz w:val="2"/>
                <w:szCs w:val="2"/>
              </w:rPr>
            </w:pPr>
          </w:p>
        </w:tc>
        <w:tc>
          <w:tcPr>
            <w:tcW w:w="621" w:type="dxa"/>
          </w:tcPr>
          <w:p>
            <w:pPr>
              <w:pStyle w:val="14"/>
              <w:spacing w:before="10"/>
              <w:jc w:val="left"/>
              <w:rPr>
                <w:b/>
                <w:sz w:val="18"/>
              </w:rPr>
            </w:pPr>
          </w:p>
          <w:p>
            <w:pPr>
              <w:pStyle w:val="14"/>
              <w:ind w:left="53" w:right="44"/>
              <w:rPr>
                <w:rFonts w:ascii="Times New Roman"/>
                <w:sz w:val="21"/>
              </w:rPr>
            </w:pPr>
            <w:r>
              <w:rPr>
                <w:rFonts w:ascii="Times New Roman"/>
                <w:sz w:val="21"/>
              </w:rPr>
              <w:t>0.051</w:t>
            </w:r>
          </w:p>
        </w:tc>
        <w:tc>
          <w:tcPr>
            <w:tcW w:w="643" w:type="dxa"/>
          </w:tcPr>
          <w:p>
            <w:pPr>
              <w:pStyle w:val="14"/>
              <w:spacing w:before="10"/>
              <w:jc w:val="left"/>
              <w:rPr>
                <w:b/>
                <w:sz w:val="18"/>
              </w:rPr>
            </w:pPr>
          </w:p>
          <w:p>
            <w:pPr>
              <w:pStyle w:val="14"/>
              <w:ind w:left="9"/>
              <w:rPr>
                <w:rFonts w:ascii="Times New Roman"/>
                <w:sz w:val="21"/>
              </w:rPr>
            </w:pPr>
            <w:r>
              <w:rPr>
                <w:rFonts w:ascii="Times New Roman"/>
                <w:w w:val="99"/>
                <w:sz w:val="21"/>
              </w:rPr>
              <w:t>/</w:t>
            </w:r>
          </w:p>
        </w:tc>
        <w:tc>
          <w:tcPr>
            <w:tcW w:w="666" w:type="dxa"/>
          </w:tcPr>
          <w:p>
            <w:pPr>
              <w:pStyle w:val="14"/>
              <w:spacing w:before="10"/>
              <w:jc w:val="left"/>
              <w:rPr>
                <w:b/>
                <w:sz w:val="18"/>
              </w:rPr>
            </w:pPr>
          </w:p>
          <w:p>
            <w:pPr>
              <w:pStyle w:val="14"/>
              <w:ind w:left="11"/>
              <w:rPr>
                <w:rFonts w:ascii="Times New Roman"/>
                <w:sz w:val="21"/>
              </w:rPr>
            </w:pPr>
            <w:r>
              <w:rPr>
                <w:rFonts w:ascii="Times New Roman"/>
                <w:w w:val="99"/>
                <w:sz w:val="21"/>
              </w:rPr>
              <w:t>/</w:t>
            </w:r>
          </w:p>
        </w:tc>
      </w:tr>
    </w:tbl>
    <w:p>
      <w:pPr>
        <w:spacing w:before="1" w:after="3"/>
        <w:ind w:left="1553" w:right="1588" w:firstLine="0"/>
        <w:jc w:val="center"/>
        <w:rPr>
          <w:b/>
          <w:sz w:val="24"/>
        </w:rPr>
      </w:pPr>
      <w:r>
        <w:rPr>
          <w:b/>
          <w:spacing w:val="-32"/>
          <w:sz w:val="24"/>
        </w:rPr>
        <w:t xml:space="preserve">表 </w:t>
      </w:r>
      <w:r>
        <w:rPr>
          <w:rFonts w:ascii="Times New Roman" w:eastAsia="Times New Roman"/>
          <w:b/>
          <w:sz w:val="24"/>
        </w:rPr>
        <w:t>2.4-5</w:t>
      </w:r>
      <w:r>
        <w:rPr>
          <w:rFonts w:ascii="Times New Roman" w:eastAsia="Times New Roman"/>
          <w:b/>
          <w:spacing w:val="-1"/>
          <w:sz w:val="24"/>
        </w:rPr>
        <w:t xml:space="preserve"> </w:t>
      </w:r>
      <w:r>
        <w:rPr>
          <w:b/>
          <w:sz w:val="24"/>
        </w:rPr>
        <w:t>面源参数表</w:t>
      </w:r>
    </w:p>
    <w:tbl>
      <w:tblPr>
        <w:tblStyle w:val="10"/>
        <w:tblW w:w="0" w:type="auto"/>
        <w:tblInd w:w="5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9"/>
        <w:gridCol w:w="1159"/>
        <w:gridCol w:w="1161"/>
        <w:gridCol w:w="1159"/>
        <w:gridCol w:w="1159"/>
        <w:gridCol w:w="1159"/>
        <w:gridCol w:w="1165"/>
        <w:gridCol w:w="11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4" w:hRule="atLeast"/>
        </w:trPr>
        <w:tc>
          <w:tcPr>
            <w:tcW w:w="1159" w:type="dxa"/>
            <w:vMerge w:val="restart"/>
          </w:tcPr>
          <w:p>
            <w:pPr>
              <w:pStyle w:val="14"/>
              <w:jc w:val="left"/>
              <w:rPr>
                <w:b/>
                <w:sz w:val="20"/>
              </w:rPr>
            </w:pPr>
          </w:p>
          <w:p>
            <w:pPr>
              <w:pStyle w:val="14"/>
              <w:spacing w:before="10"/>
              <w:jc w:val="left"/>
              <w:rPr>
                <w:b/>
                <w:sz w:val="15"/>
              </w:rPr>
            </w:pPr>
          </w:p>
          <w:p>
            <w:pPr>
              <w:pStyle w:val="14"/>
              <w:spacing w:line="290" w:lineRule="auto"/>
              <w:ind w:left="369" w:right="253" w:hanging="106"/>
              <w:jc w:val="left"/>
              <w:rPr>
                <w:sz w:val="21"/>
              </w:rPr>
            </w:pPr>
            <w:r>
              <w:rPr>
                <w:sz w:val="21"/>
              </w:rPr>
              <w:t>污染源名称</w:t>
            </w:r>
          </w:p>
        </w:tc>
        <w:tc>
          <w:tcPr>
            <w:tcW w:w="2320" w:type="dxa"/>
            <w:gridSpan w:val="2"/>
          </w:tcPr>
          <w:p>
            <w:pPr>
              <w:pStyle w:val="14"/>
              <w:spacing w:before="2"/>
              <w:jc w:val="left"/>
              <w:rPr>
                <w:b/>
                <w:sz w:val="24"/>
              </w:rPr>
            </w:pPr>
          </w:p>
          <w:p>
            <w:pPr>
              <w:pStyle w:val="14"/>
              <w:ind w:left="614" w:right="605"/>
              <w:rPr>
                <w:sz w:val="21"/>
              </w:rPr>
            </w:pPr>
            <w:r>
              <w:rPr>
                <w:sz w:val="21"/>
              </w:rPr>
              <w:t>坐标</w:t>
            </w:r>
          </w:p>
        </w:tc>
        <w:tc>
          <w:tcPr>
            <w:tcW w:w="1159" w:type="dxa"/>
            <w:vMerge w:val="restart"/>
          </w:tcPr>
          <w:p>
            <w:pPr>
              <w:pStyle w:val="14"/>
              <w:jc w:val="left"/>
              <w:rPr>
                <w:b/>
                <w:sz w:val="20"/>
              </w:rPr>
            </w:pPr>
          </w:p>
          <w:p>
            <w:pPr>
              <w:pStyle w:val="14"/>
              <w:spacing w:before="3"/>
              <w:jc w:val="left"/>
              <w:rPr>
                <w:b/>
                <w:sz w:val="17"/>
              </w:rPr>
            </w:pPr>
          </w:p>
          <w:p>
            <w:pPr>
              <w:pStyle w:val="14"/>
              <w:ind w:left="106"/>
              <w:jc w:val="left"/>
              <w:rPr>
                <w:sz w:val="21"/>
              </w:rPr>
            </w:pPr>
            <w:r>
              <w:rPr>
                <w:sz w:val="21"/>
              </w:rPr>
              <w:t>海拔高度</w:t>
            </w:r>
          </w:p>
          <w:p>
            <w:pPr>
              <w:pStyle w:val="14"/>
              <w:spacing w:before="55"/>
              <w:ind w:left="106"/>
              <w:jc w:val="left"/>
              <w:rPr>
                <w:rFonts w:ascii="Times New Roman"/>
                <w:sz w:val="21"/>
              </w:rPr>
            </w:pPr>
            <w:r>
              <w:rPr>
                <w:rFonts w:ascii="Times New Roman"/>
                <w:sz w:val="21"/>
              </w:rPr>
              <w:t>(m)</w:t>
            </w:r>
          </w:p>
        </w:tc>
        <w:tc>
          <w:tcPr>
            <w:tcW w:w="3483" w:type="dxa"/>
            <w:gridSpan w:val="3"/>
          </w:tcPr>
          <w:p>
            <w:pPr>
              <w:pStyle w:val="14"/>
              <w:spacing w:before="2"/>
              <w:jc w:val="left"/>
              <w:rPr>
                <w:b/>
                <w:sz w:val="24"/>
              </w:rPr>
            </w:pPr>
          </w:p>
          <w:p>
            <w:pPr>
              <w:pStyle w:val="14"/>
              <w:ind w:left="1300" w:right="1293"/>
              <w:rPr>
                <w:sz w:val="21"/>
              </w:rPr>
            </w:pPr>
            <w:r>
              <w:rPr>
                <w:sz w:val="21"/>
              </w:rPr>
              <w:t>矩形面源</w:t>
            </w:r>
          </w:p>
        </w:tc>
        <w:tc>
          <w:tcPr>
            <w:tcW w:w="1161" w:type="dxa"/>
          </w:tcPr>
          <w:p>
            <w:pPr>
              <w:pStyle w:val="14"/>
              <w:spacing w:line="290" w:lineRule="auto"/>
              <w:ind w:left="108" w:right="96"/>
              <w:jc w:val="left"/>
              <w:rPr>
                <w:sz w:val="21"/>
              </w:rPr>
            </w:pPr>
            <w:r>
              <w:rPr>
                <w:sz w:val="21"/>
              </w:rPr>
              <w:t>污染物排放 速 率</w:t>
            </w:r>
          </w:p>
          <w:p>
            <w:pPr>
              <w:pStyle w:val="14"/>
              <w:spacing w:before="1"/>
              <w:ind w:left="108"/>
              <w:jc w:val="left"/>
              <w:rPr>
                <w:rFonts w:ascii="Times New Roman"/>
                <w:sz w:val="21"/>
              </w:rPr>
            </w:pPr>
            <w:r>
              <w:rPr>
                <w:rFonts w:ascii="Times New Roman"/>
                <w:sz w:val="21"/>
              </w:rPr>
              <w:t>(kg/h)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1159" w:type="dxa"/>
            <w:vMerge w:val="continue"/>
            <w:tcBorders>
              <w:top w:val="nil"/>
            </w:tcBorders>
          </w:tcPr>
          <w:p>
            <w:pPr>
              <w:rPr>
                <w:sz w:val="2"/>
                <w:szCs w:val="2"/>
              </w:rPr>
            </w:pPr>
          </w:p>
        </w:tc>
        <w:tc>
          <w:tcPr>
            <w:tcW w:w="1159" w:type="dxa"/>
          </w:tcPr>
          <w:p>
            <w:pPr>
              <w:pStyle w:val="14"/>
              <w:spacing w:before="143"/>
              <w:ind w:left="367"/>
              <w:jc w:val="left"/>
              <w:rPr>
                <w:sz w:val="21"/>
              </w:rPr>
            </w:pPr>
            <w:r>
              <w:rPr>
                <w:sz w:val="21"/>
              </w:rPr>
              <w:t>经度</w:t>
            </w:r>
          </w:p>
        </w:tc>
        <w:tc>
          <w:tcPr>
            <w:tcW w:w="1161" w:type="dxa"/>
          </w:tcPr>
          <w:p>
            <w:pPr>
              <w:pStyle w:val="14"/>
              <w:spacing w:before="143"/>
              <w:ind w:left="370"/>
              <w:jc w:val="left"/>
              <w:rPr>
                <w:sz w:val="21"/>
              </w:rPr>
            </w:pPr>
            <w:r>
              <w:rPr>
                <w:sz w:val="21"/>
              </w:rPr>
              <w:t>纬度</w:t>
            </w:r>
          </w:p>
        </w:tc>
        <w:tc>
          <w:tcPr>
            <w:tcW w:w="1159" w:type="dxa"/>
            <w:vMerge w:val="continue"/>
            <w:tcBorders>
              <w:top w:val="nil"/>
            </w:tcBorders>
          </w:tcPr>
          <w:p>
            <w:pPr>
              <w:rPr>
                <w:sz w:val="2"/>
                <w:szCs w:val="2"/>
              </w:rPr>
            </w:pPr>
          </w:p>
        </w:tc>
        <w:tc>
          <w:tcPr>
            <w:tcW w:w="1159" w:type="dxa"/>
          </w:tcPr>
          <w:p>
            <w:pPr>
              <w:pStyle w:val="14"/>
              <w:spacing w:before="143"/>
              <w:ind w:left="99" w:right="89"/>
              <w:rPr>
                <w:rFonts w:ascii="Times New Roman" w:eastAsia="Times New Roman"/>
                <w:sz w:val="21"/>
              </w:rPr>
            </w:pPr>
            <w:r>
              <w:rPr>
                <w:sz w:val="21"/>
              </w:rPr>
              <w:t>长度</w:t>
            </w:r>
            <w:r>
              <w:rPr>
                <w:rFonts w:ascii="Times New Roman" w:eastAsia="Times New Roman"/>
                <w:sz w:val="21"/>
              </w:rPr>
              <w:t>(m)</w:t>
            </w:r>
          </w:p>
        </w:tc>
        <w:tc>
          <w:tcPr>
            <w:tcW w:w="1159" w:type="dxa"/>
          </w:tcPr>
          <w:p>
            <w:pPr>
              <w:pStyle w:val="14"/>
              <w:spacing w:before="143"/>
              <w:ind w:left="97" w:right="89"/>
              <w:rPr>
                <w:rFonts w:ascii="Times New Roman" w:eastAsia="Times New Roman"/>
                <w:sz w:val="21"/>
              </w:rPr>
            </w:pPr>
            <w:r>
              <w:rPr>
                <w:sz w:val="21"/>
              </w:rPr>
              <w:t>宽度</w:t>
            </w:r>
            <w:r>
              <w:rPr>
                <w:rFonts w:ascii="Times New Roman" w:eastAsia="Times New Roman"/>
                <w:sz w:val="21"/>
              </w:rPr>
              <w:t>(m)</w:t>
            </w:r>
          </w:p>
        </w:tc>
        <w:tc>
          <w:tcPr>
            <w:tcW w:w="1165" w:type="dxa"/>
          </w:tcPr>
          <w:p>
            <w:pPr>
              <w:pStyle w:val="14"/>
              <w:spacing w:line="268" w:lineRule="exact"/>
              <w:ind w:left="141" w:right="134"/>
              <w:rPr>
                <w:sz w:val="21"/>
              </w:rPr>
            </w:pPr>
            <w:r>
              <w:rPr>
                <w:sz w:val="21"/>
              </w:rPr>
              <w:t>有效高度</w:t>
            </w:r>
          </w:p>
          <w:p>
            <w:pPr>
              <w:pStyle w:val="14"/>
              <w:spacing w:before="57"/>
              <w:ind w:left="141" w:right="131"/>
              <w:rPr>
                <w:rFonts w:ascii="Times New Roman"/>
                <w:sz w:val="21"/>
              </w:rPr>
            </w:pPr>
            <w:r>
              <w:rPr>
                <w:rFonts w:ascii="Times New Roman"/>
                <w:sz w:val="21"/>
              </w:rPr>
              <w:t>(m)</w:t>
            </w:r>
          </w:p>
        </w:tc>
        <w:tc>
          <w:tcPr>
            <w:tcW w:w="1161" w:type="dxa"/>
          </w:tcPr>
          <w:p>
            <w:pPr>
              <w:pStyle w:val="14"/>
              <w:spacing w:before="161"/>
              <w:ind w:left="98" w:right="90"/>
              <w:rPr>
                <w:rFonts w:ascii="Times New Roman"/>
                <w:sz w:val="21"/>
              </w:rPr>
            </w:pPr>
            <w:r>
              <w:rPr>
                <w:rFonts w:ascii="Times New Roman"/>
                <w:sz w:val="21"/>
              </w:rPr>
              <w:t>TSP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1159" w:type="dxa"/>
          </w:tcPr>
          <w:p>
            <w:pPr>
              <w:pStyle w:val="14"/>
              <w:spacing w:before="2"/>
              <w:ind w:left="94" w:right="89"/>
              <w:rPr>
                <w:sz w:val="21"/>
              </w:rPr>
            </w:pPr>
            <w:r>
              <w:rPr>
                <w:sz w:val="21"/>
              </w:rPr>
              <w:t>矸石暂存</w:t>
            </w:r>
          </w:p>
          <w:p>
            <w:pPr>
              <w:pStyle w:val="14"/>
              <w:spacing w:before="57"/>
              <w:ind w:left="5"/>
              <w:rPr>
                <w:sz w:val="21"/>
              </w:rPr>
            </w:pPr>
            <w:r>
              <w:rPr>
                <w:w w:val="99"/>
                <w:sz w:val="21"/>
              </w:rPr>
              <w:t>场</w:t>
            </w:r>
          </w:p>
        </w:tc>
        <w:tc>
          <w:tcPr>
            <w:tcW w:w="1159" w:type="dxa"/>
          </w:tcPr>
          <w:p>
            <w:pPr>
              <w:pStyle w:val="14"/>
              <w:spacing w:before="35"/>
              <w:ind w:left="101" w:right="89"/>
              <w:rPr>
                <w:rFonts w:ascii="Times New Roman" w:hAnsi="Times New Roman"/>
                <w:sz w:val="21"/>
              </w:rPr>
            </w:pPr>
            <w:r>
              <w:rPr>
                <w:rFonts w:ascii="Times New Roman" w:hAnsi="Times New Roman"/>
                <w:sz w:val="21"/>
              </w:rPr>
              <w:t>131°10′22.</w:t>
            </w:r>
          </w:p>
          <w:p>
            <w:pPr>
              <w:pStyle w:val="14"/>
              <w:spacing w:before="49"/>
              <w:ind w:left="98" w:right="89"/>
              <w:rPr>
                <w:rFonts w:ascii="Times New Roman" w:hAnsi="Times New Roman"/>
                <w:sz w:val="21"/>
              </w:rPr>
            </w:pPr>
            <w:r>
              <w:rPr>
                <w:rFonts w:ascii="Times New Roman" w:hAnsi="Times New Roman"/>
                <w:sz w:val="21"/>
              </w:rPr>
              <w:t>57″</w:t>
            </w:r>
          </w:p>
        </w:tc>
        <w:tc>
          <w:tcPr>
            <w:tcW w:w="1161" w:type="dxa"/>
          </w:tcPr>
          <w:p>
            <w:pPr>
              <w:pStyle w:val="14"/>
              <w:spacing w:before="35"/>
              <w:ind w:left="103" w:right="90"/>
              <w:rPr>
                <w:rFonts w:ascii="Times New Roman" w:hAnsi="Times New Roman"/>
                <w:sz w:val="21"/>
              </w:rPr>
            </w:pPr>
            <w:r>
              <w:rPr>
                <w:rFonts w:ascii="Times New Roman" w:hAnsi="Times New Roman"/>
                <w:sz w:val="21"/>
              </w:rPr>
              <w:t>46°29′58.9</w:t>
            </w:r>
          </w:p>
          <w:p>
            <w:pPr>
              <w:pStyle w:val="14"/>
              <w:spacing w:before="49"/>
              <w:ind w:left="97" w:right="90"/>
              <w:rPr>
                <w:rFonts w:ascii="Times New Roman" w:hAnsi="Times New Roman"/>
                <w:sz w:val="21"/>
              </w:rPr>
            </w:pPr>
            <w:r>
              <w:rPr>
                <w:rFonts w:ascii="Times New Roman" w:hAnsi="Times New Roman"/>
                <w:sz w:val="21"/>
              </w:rPr>
              <w:t>8″</w:t>
            </w:r>
          </w:p>
        </w:tc>
        <w:tc>
          <w:tcPr>
            <w:tcW w:w="1159" w:type="dxa"/>
          </w:tcPr>
          <w:p>
            <w:pPr>
              <w:pStyle w:val="14"/>
              <w:spacing w:before="181"/>
              <w:ind w:left="98" w:right="89"/>
              <w:rPr>
                <w:rFonts w:ascii="Times New Roman"/>
                <w:sz w:val="21"/>
              </w:rPr>
            </w:pPr>
            <w:r>
              <w:rPr>
                <w:rFonts w:ascii="Times New Roman"/>
                <w:sz w:val="21"/>
              </w:rPr>
              <w:t>322</w:t>
            </w:r>
          </w:p>
        </w:tc>
        <w:tc>
          <w:tcPr>
            <w:tcW w:w="1159" w:type="dxa"/>
          </w:tcPr>
          <w:p>
            <w:pPr>
              <w:pStyle w:val="14"/>
              <w:spacing w:before="181"/>
              <w:ind w:left="98" w:right="89"/>
              <w:rPr>
                <w:rFonts w:ascii="Times New Roman"/>
                <w:sz w:val="21"/>
              </w:rPr>
            </w:pPr>
            <w:r>
              <w:rPr>
                <w:rFonts w:ascii="Times New Roman"/>
                <w:sz w:val="21"/>
              </w:rPr>
              <w:t>120</w:t>
            </w:r>
          </w:p>
        </w:tc>
        <w:tc>
          <w:tcPr>
            <w:tcW w:w="1159" w:type="dxa"/>
          </w:tcPr>
          <w:p>
            <w:pPr>
              <w:pStyle w:val="14"/>
              <w:spacing w:before="181"/>
              <w:ind w:left="98" w:right="89"/>
              <w:rPr>
                <w:rFonts w:ascii="Times New Roman"/>
                <w:sz w:val="21"/>
              </w:rPr>
            </w:pPr>
            <w:r>
              <w:rPr>
                <w:rFonts w:ascii="Times New Roman"/>
                <w:sz w:val="21"/>
              </w:rPr>
              <w:t>71</w:t>
            </w:r>
          </w:p>
        </w:tc>
        <w:tc>
          <w:tcPr>
            <w:tcW w:w="1165" w:type="dxa"/>
          </w:tcPr>
          <w:p>
            <w:pPr>
              <w:pStyle w:val="14"/>
              <w:spacing w:before="181"/>
              <w:ind w:left="141" w:right="132"/>
              <w:rPr>
                <w:rFonts w:ascii="Times New Roman"/>
                <w:sz w:val="21"/>
              </w:rPr>
            </w:pPr>
            <w:r>
              <w:rPr>
                <w:rFonts w:ascii="Times New Roman"/>
                <w:sz w:val="21"/>
              </w:rPr>
              <w:t>10</w:t>
            </w:r>
          </w:p>
        </w:tc>
        <w:tc>
          <w:tcPr>
            <w:tcW w:w="1161" w:type="dxa"/>
          </w:tcPr>
          <w:p>
            <w:pPr>
              <w:pStyle w:val="14"/>
              <w:spacing w:before="181"/>
              <w:ind w:left="101" w:right="90"/>
              <w:rPr>
                <w:rFonts w:ascii="Times New Roman"/>
                <w:sz w:val="21"/>
              </w:rPr>
            </w:pPr>
            <w:r>
              <w:rPr>
                <w:rFonts w:ascii="Times New Roman"/>
                <w:sz w:val="21"/>
              </w:rPr>
              <w:t>0.046</w:t>
            </w:r>
          </w:p>
        </w:tc>
      </w:tr>
    </w:tbl>
    <w:p>
      <w:pPr>
        <w:spacing w:before="160" w:after="33"/>
        <w:ind w:left="1553" w:right="1578" w:firstLine="0"/>
        <w:jc w:val="center"/>
        <w:rPr>
          <w:b/>
          <w:sz w:val="24"/>
        </w:rPr>
      </w:pPr>
      <w:r>
        <w:rPr>
          <w:b/>
          <w:sz w:val="24"/>
        </w:rPr>
        <w:t xml:space="preserve">表 </w:t>
      </w:r>
      <w:r>
        <w:rPr>
          <w:rFonts w:ascii="Times New Roman" w:eastAsia="Times New Roman"/>
          <w:b/>
          <w:sz w:val="24"/>
        </w:rPr>
        <w:t xml:space="preserve">2.4-6 </w:t>
      </w:r>
      <w:r>
        <w:rPr>
          <w:b/>
          <w:sz w:val="24"/>
        </w:rPr>
        <w:t>主要污染因子估算模式的计算结果</w:t>
      </w:r>
    </w:p>
    <w:tbl>
      <w:tblPr>
        <w:tblStyle w:val="10"/>
        <w:tblW w:w="0" w:type="auto"/>
        <w:tblInd w:w="5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4"/>
        <w:gridCol w:w="1704"/>
        <w:gridCol w:w="1705"/>
        <w:gridCol w:w="1704"/>
        <w:gridCol w:w="1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704" w:type="dxa"/>
          </w:tcPr>
          <w:p>
            <w:pPr>
              <w:pStyle w:val="14"/>
              <w:spacing w:before="136"/>
              <w:ind w:left="199" w:right="191"/>
              <w:rPr>
                <w:sz w:val="21"/>
              </w:rPr>
            </w:pPr>
            <w:r>
              <w:rPr>
                <w:sz w:val="21"/>
              </w:rPr>
              <w:t>污染源名称</w:t>
            </w:r>
          </w:p>
        </w:tc>
        <w:tc>
          <w:tcPr>
            <w:tcW w:w="1704" w:type="dxa"/>
          </w:tcPr>
          <w:p>
            <w:pPr>
              <w:pStyle w:val="14"/>
              <w:spacing w:before="136"/>
              <w:ind w:left="199" w:right="191"/>
              <w:rPr>
                <w:sz w:val="21"/>
              </w:rPr>
            </w:pPr>
            <w:r>
              <w:rPr>
                <w:sz w:val="21"/>
              </w:rPr>
              <w:t>评价因子</w:t>
            </w:r>
          </w:p>
        </w:tc>
        <w:tc>
          <w:tcPr>
            <w:tcW w:w="1705" w:type="dxa"/>
          </w:tcPr>
          <w:p>
            <w:pPr>
              <w:pStyle w:val="14"/>
              <w:spacing w:line="268" w:lineRule="exact"/>
              <w:ind w:left="97" w:right="88"/>
              <w:rPr>
                <w:sz w:val="21"/>
              </w:rPr>
            </w:pPr>
            <w:r>
              <w:rPr>
                <w:sz w:val="21"/>
              </w:rPr>
              <w:t>下风向最大浓度</w:t>
            </w:r>
          </w:p>
          <w:p>
            <w:pPr>
              <w:pStyle w:val="14"/>
              <w:spacing w:before="4" w:line="252" w:lineRule="exact"/>
              <w:ind w:left="97" w:right="88"/>
              <w:rPr>
                <w:sz w:val="21"/>
              </w:rPr>
            </w:pPr>
            <w:r>
              <w:rPr>
                <w:sz w:val="21"/>
              </w:rPr>
              <w:t>（</w:t>
            </w:r>
            <w:r>
              <w:rPr>
                <w:rFonts w:ascii="Times New Roman" w:hAnsi="Times New Roman" w:eastAsia="Times New Roman"/>
                <w:sz w:val="18"/>
              </w:rPr>
              <w:t>μg/m³</w:t>
            </w:r>
            <w:r>
              <w:rPr>
                <w:sz w:val="21"/>
              </w:rPr>
              <w:t>）</w:t>
            </w:r>
          </w:p>
        </w:tc>
        <w:tc>
          <w:tcPr>
            <w:tcW w:w="1704" w:type="dxa"/>
          </w:tcPr>
          <w:p>
            <w:pPr>
              <w:pStyle w:val="14"/>
              <w:spacing w:line="268" w:lineRule="exact"/>
              <w:ind w:left="536"/>
              <w:jc w:val="left"/>
              <w:rPr>
                <w:sz w:val="21"/>
              </w:rPr>
            </w:pPr>
            <w:r>
              <w:rPr>
                <w:w w:val="95"/>
                <w:sz w:val="21"/>
              </w:rPr>
              <w:t>占标率</w:t>
            </w:r>
          </w:p>
          <w:p>
            <w:pPr>
              <w:pStyle w:val="14"/>
              <w:spacing w:before="4" w:line="252" w:lineRule="exact"/>
              <w:ind w:left="553"/>
              <w:jc w:val="left"/>
              <w:rPr>
                <w:sz w:val="21"/>
              </w:rPr>
            </w:pPr>
            <w:r>
              <w:rPr>
                <w:sz w:val="21"/>
              </w:rPr>
              <w:t>（</w:t>
            </w:r>
            <w:r>
              <w:rPr>
                <w:rFonts w:ascii="Times New Roman" w:eastAsia="Times New Roman"/>
                <w:sz w:val="21"/>
              </w:rPr>
              <w:t>%</w:t>
            </w:r>
            <w:r>
              <w:rPr>
                <w:sz w:val="21"/>
              </w:rPr>
              <w:t>）</w:t>
            </w:r>
          </w:p>
        </w:tc>
        <w:tc>
          <w:tcPr>
            <w:tcW w:w="1705" w:type="dxa"/>
          </w:tcPr>
          <w:p>
            <w:pPr>
              <w:pStyle w:val="14"/>
              <w:spacing w:before="136"/>
              <w:ind w:left="95" w:right="88"/>
              <w:rPr>
                <w:sz w:val="21"/>
              </w:rPr>
            </w:pPr>
            <w:r>
              <w:rPr>
                <w:rFonts w:ascii="Times New Roman" w:eastAsia="Times New Roman"/>
                <w:sz w:val="21"/>
              </w:rPr>
              <w:t>D10%</w:t>
            </w:r>
            <w:r>
              <w:rPr>
                <w:sz w:val="21"/>
              </w:rPr>
              <w:t>最远距离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 w:hRule="atLeast"/>
        </w:trPr>
        <w:tc>
          <w:tcPr>
            <w:tcW w:w="1704" w:type="dxa"/>
          </w:tcPr>
          <w:p>
            <w:pPr>
              <w:pStyle w:val="14"/>
              <w:spacing w:before="1" w:line="218" w:lineRule="exact"/>
              <w:ind w:left="199" w:right="194"/>
              <w:rPr>
                <w:sz w:val="21"/>
              </w:rPr>
            </w:pPr>
            <w:r>
              <w:rPr>
                <w:sz w:val="21"/>
              </w:rPr>
              <w:t>热风炉房烟囱</w:t>
            </w:r>
          </w:p>
        </w:tc>
        <w:tc>
          <w:tcPr>
            <w:tcW w:w="1704" w:type="dxa"/>
          </w:tcPr>
          <w:p>
            <w:pPr>
              <w:pStyle w:val="14"/>
              <w:spacing w:before="20" w:line="198" w:lineRule="exact"/>
              <w:ind w:left="199" w:right="189"/>
              <w:rPr>
                <w:rFonts w:ascii="Times New Roman"/>
                <w:sz w:val="18"/>
              </w:rPr>
            </w:pPr>
            <w:r>
              <w:rPr>
                <w:rFonts w:ascii="Times New Roman"/>
                <w:position w:val="1"/>
                <w:sz w:val="18"/>
              </w:rPr>
              <w:t>SO</w:t>
            </w:r>
            <w:r>
              <w:rPr>
                <w:rFonts w:ascii="Times New Roman"/>
                <w:position w:val="1"/>
                <w:sz w:val="18"/>
                <w:vertAlign w:val="subscript"/>
              </w:rPr>
              <w:t>2</w:t>
            </w:r>
          </w:p>
        </w:tc>
        <w:tc>
          <w:tcPr>
            <w:tcW w:w="1705" w:type="dxa"/>
          </w:tcPr>
          <w:p>
            <w:pPr>
              <w:pStyle w:val="14"/>
              <w:spacing w:before="16" w:line="203" w:lineRule="exact"/>
              <w:ind w:left="96" w:right="88"/>
              <w:rPr>
                <w:rFonts w:ascii="Times New Roman"/>
                <w:sz w:val="18"/>
              </w:rPr>
            </w:pPr>
            <w:r>
              <w:rPr>
                <w:rFonts w:ascii="Times New Roman"/>
                <w:sz w:val="18"/>
              </w:rPr>
              <w:t>1.18</w:t>
            </w:r>
          </w:p>
        </w:tc>
        <w:tc>
          <w:tcPr>
            <w:tcW w:w="1704" w:type="dxa"/>
          </w:tcPr>
          <w:p>
            <w:pPr>
              <w:pStyle w:val="14"/>
              <w:spacing w:before="16" w:line="203" w:lineRule="exact"/>
              <w:ind w:left="199" w:right="192"/>
              <w:rPr>
                <w:rFonts w:ascii="Times New Roman"/>
                <w:sz w:val="18"/>
              </w:rPr>
            </w:pPr>
            <w:r>
              <w:rPr>
                <w:rFonts w:ascii="Times New Roman"/>
                <w:sz w:val="18"/>
              </w:rPr>
              <w:t>0.24</w:t>
            </w:r>
          </w:p>
        </w:tc>
        <w:tc>
          <w:tcPr>
            <w:tcW w:w="1705" w:type="dxa"/>
          </w:tcPr>
          <w:p>
            <w:pPr>
              <w:pStyle w:val="14"/>
              <w:spacing w:line="219" w:lineRule="exact"/>
              <w:ind w:left="7"/>
              <w:rPr>
                <w:rFonts w:ascii="Times New Roman"/>
                <w:sz w:val="21"/>
              </w:rPr>
            </w:pPr>
            <w:r>
              <w:rPr>
                <w:rFonts w:ascii="Times New Roman"/>
                <w:w w:val="99"/>
                <w:sz w:val="21"/>
              </w:rPr>
              <w:t>/</w:t>
            </w:r>
          </w:p>
        </w:tc>
      </w:tr>
    </w:tbl>
    <w:p>
      <w:pPr>
        <w:spacing w:after="0" w:line="219" w:lineRule="exact"/>
        <w:rPr>
          <w:rFonts w:ascii="Times New Roman"/>
          <w:sz w:val="21"/>
        </w:rPr>
        <w:sectPr>
          <w:pgSz w:w="11910" w:h="16840"/>
          <w:pgMar w:top="1340" w:right="720" w:bottom="1160" w:left="760" w:header="0" w:footer="895" w:gutter="0"/>
        </w:sectPr>
      </w:pPr>
    </w:p>
    <w:tbl>
      <w:tblPr>
        <w:tblStyle w:val="10"/>
        <w:tblW w:w="0" w:type="auto"/>
        <w:tblInd w:w="5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4"/>
        <w:gridCol w:w="1704"/>
        <w:gridCol w:w="1705"/>
        <w:gridCol w:w="1704"/>
        <w:gridCol w:w="1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704" w:type="dxa"/>
            <w:vMerge w:val="restart"/>
          </w:tcPr>
          <w:p>
            <w:pPr>
              <w:pStyle w:val="14"/>
              <w:jc w:val="left"/>
              <w:rPr>
                <w:rFonts w:ascii="Times New Roman"/>
                <w:sz w:val="22"/>
              </w:rPr>
            </w:pPr>
          </w:p>
        </w:tc>
        <w:tc>
          <w:tcPr>
            <w:tcW w:w="1704" w:type="dxa"/>
          </w:tcPr>
          <w:p>
            <w:pPr>
              <w:pStyle w:val="14"/>
              <w:spacing w:before="18" w:line="203" w:lineRule="exact"/>
              <w:ind w:left="199" w:right="190"/>
              <w:rPr>
                <w:rFonts w:ascii="Times New Roman"/>
                <w:sz w:val="18"/>
              </w:rPr>
            </w:pPr>
            <w:r>
              <w:rPr>
                <w:rFonts w:ascii="Times New Roman"/>
                <w:sz w:val="18"/>
              </w:rPr>
              <w:t>NOx</w:t>
            </w:r>
          </w:p>
        </w:tc>
        <w:tc>
          <w:tcPr>
            <w:tcW w:w="1705" w:type="dxa"/>
          </w:tcPr>
          <w:p>
            <w:pPr>
              <w:pStyle w:val="14"/>
              <w:spacing w:before="18" w:line="203" w:lineRule="exact"/>
              <w:ind w:left="97" w:right="87"/>
              <w:rPr>
                <w:rFonts w:ascii="Times New Roman"/>
                <w:sz w:val="18"/>
              </w:rPr>
            </w:pPr>
            <w:r>
              <w:rPr>
                <w:rFonts w:ascii="Times New Roman"/>
                <w:sz w:val="18"/>
              </w:rPr>
              <w:t>10.36</w:t>
            </w:r>
          </w:p>
        </w:tc>
        <w:tc>
          <w:tcPr>
            <w:tcW w:w="1704" w:type="dxa"/>
          </w:tcPr>
          <w:p>
            <w:pPr>
              <w:pStyle w:val="14"/>
              <w:spacing w:before="18" w:line="203" w:lineRule="exact"/>
              <w:ind w:left="199" w:right="192"/>
              <w:rPr>
                <w:rFonts w:ascii="Times New Roman"/>
                <w:sz w:val="18"/>
              </w:rPr>
            </w:pPr>
            <w:r>
              <w:rPr>
                <w:rFonts w:ascii="Times New Roman"/>
                <w:sz w:val="18"/>
              </w:rPr>
              <w:t>4.15</w:t>
            </w:r>
          </w:p>
        </w:tc>
        <w:tc>
          <w:tcPr>
            <w:tcW w:w="1705" w:type="dxa"/>
          </w:tcPr>
          <w:p>
            <w:pPr>
              <w:pStyle w:val="14"/>
              <w:spacing w:line="221" w:lineRule="exact"/>
              <w:ind w:left="7"/>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704" w:type="dxa"/>
            <w:vMerge w:val="continue"/>
            <w:tcBorders>
              <w:top w:val="nil"/>
            </w:tcBorders>
          </w:tcPr>
          <w:p>
            <w:pPr>
              <w:rPr>
                <w:sz w:val="2"/>
                <w:szCs w:val="2"/>
              </w:rPr>
            </w:pPr>
          </w:p>
        </w:tc>
        <w:tc>
          <w:tcPr>
            <w:tcW w:w="1704" w:type="dxa"/>
          </w:tcPr>
          <w:p>
            <w:pPr>
              <w:pStyle w:val="14"/>
              <w:spacing w:before="1" w:line="252" w:lineRule="exact"/>
              <w:ind w:left="199" w:right="194"/>
              <w:rPr>
                <w:sz w:val="21"/>
              </w:rPr>
            </w:pPr>
            <w:r>
              <w:rPr>
                <w:sz w:val="21"/>
              </w:rPr>
              <w:t>烟尘</w:t>
            </w:r>
          </w:p>
        </w:tc>
        <w:tc>
          <w:tcPr>
            <w:tcW w:w="1705" w:type="dxa"/>
          </w:tcPr>
          <w:p>
            <w:pPr>
              <w:pStyle w:val="14"/>
              <w:spacing w:before="31"/>
              <w:ind w:left="96" w:right="88"/>
              <w:rPr>
                <w:rFonts w:ascii="Times New Roman"/>
                <w:sz w:val="18"/>
              </w:rPr>
            </w:pPr>
            <w:r>
              <w:rPr>
                <w:rFonts w:ascii="Times New Roman"/>
                <w:sz w:val="18"/>
              </w:rPr>
              <w:t>0.74</w:t>
            </w:r>
          </w:p>
        </w:tc>
        <w:tc>
          <w:tcPr>
            <w:tcW w:w="1704" w:type="dxa"/>
          </w:tcPr>
          <w:p>
            <w:pPr>
              <w:pStyle w:val="14"/>
              <w:spacing w:before="31"/>
              <w:ind w:left="199" w:right="192"/>
              <w:rPr>
                <w:rFonts w:ascii="Times New Roman"/>
                <w:sz w:val="18"/>
              </w:rPr>
            </w:pPr>
            <w:r>
              <w:rPr>
                <w:rFonts w:ascii="Times New Roman"/>
                <w:sz w:val="18"/>
              </w:rPr>
              <w:t>0.16</w:t>
            </w:r>
          </w:p>
        </w:tc>
        <w:tc>
          <w:tcPr>
            <w:tcW w:w="1705" w:type="dxa"/>
          </w:tcPr>
          <w:p>
            <w:pPr>
              <w:pStyle w:val="14"/>
              <w:spacing w:before="15" w:line="238" w:lineRule="exact"/>
              <w:ind w:left="7"/>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704" w:type="dxa"/>
            <w:vMerge w:val="restart"/>
          </w:tcPr>
          <w:p>
            <w:pPr>
              <w:pStyle w:val="14"/>
              <w:spacing w:before="7"/>
              <w:jc w:val="left"/>
              <w:rPr>
                <w:b/>
                <w:sz w:val="19"/>
              </w:rPr>
            </w:pPr>
          </w:p>
          <w:p>
            <w:pPr>
              <w:pStyle w:val="14"/>
              <w:ind w:left="326"/>
              <w:jc w:val="left"/>
              <w:rPr>
                <w:sz w:val="21"/>
              </w:rPr>
            </w:pPr>
            <w:r>
              <w:rPr>
                <w:sz w:val="21"/>
              </w:rPr>
              <w:t>锅炉房烟囱</w:t>
            </w:r>
          </w:p>
        </w:tc>
        <w:tc>
          <w:tcPr>
            <w:tcW w:w="1704" w:type="dxa"/>
          </w:tcPr>
          <w:p>
            <w:pPr>
              <w:pStyle w:val="14"/>
              <w:spacing w:before="21" w:line="200" w:lineRule="exact"/>
              <w:ind w:left="199" w:right="189"/>
              <w:rPr>
                <w:rFonts w:ascii="Times New Roman"/>
                <w:sz w:val="18"/>
              </w:rPr>
            </w:pPr>
            <w:r>
              <w:rPr>
                <w:rFonts w:ascii="Times New Roman"/>
                <w:position w:val="1"/>
                <w:sz w:val="18"/>
              </w:rPr>
              <w:t>SO</w:t>
            </w:r>
            <w:r>
              <w:rPr>
                <w:rFonts w:ascii="Times New Roman"/>
                <w:position w:val="1"/>
                <w:sz w:val="18"/>
                <w:vertAlign w:val="subscript"/>
              </w:rPr>
              <w:t>2</w:t>
            </w:r>
          </w:p>
        </w:tc>
        <w:tc>
          <w:tcPr>
            <w:tcW w:w="1705" w:type="dxa"/>
          </w:tcPr>
          <w:p>
            <w:pPr>
              <w:pStyle w:val="14"/>
              <w:spacing w:before="16" w:line="204" w:lineRule="exact"/>
              <w:ind w:left="96" w:right="88"/>
              <w:rPr>
                <w:rFonts w:ascii="Times New Roman"/>
                <w:sz w:val="18"/>
              </w:rPr>
            </w:pPr>
            <w:r>
              <w:rPr>
                <w:rFonts w:ascii="Times New Roman"/>
                <w:sz w:val="18"/>
              </w:rPr>
              <w:t>0.26</w:t>
            </w:r>
          </w:p>
        </w:tc>
        <w:tc>
          <w:tcPr>
            <w:tcW w:w="1704" w:type="dxa"/>
          </w:tcPr>
          <w:p>
            <w:pPr>
              <w:pStyle w:val="14"/>
              <w:spacing w:before="16" w:line="204" w:lineRule="exact"/>
              <w:ind w:left="199" w:right="192"/>
              <w:rPr>
                <w:rFonts w:ascii="Times New Roman"/>
                <w:sz w:val="18"/>
              </w:rPr>
            </w:pPr>
            <w:r>
              <w:rPr>
                <w:rFonts w:ascii="Times New Roman"/>
                <w:sz w:val="18"/>
              </w:rPr>
              <w:t>0.05</w:t>
            </w:r>
          </w:p>
        </w:tc>
        <w:tc>
          <w:tcPr>
            <w:tcW w:w="1705" w:type="dxa"/>
          </w:tcPr>
          <w:p>
            <w:pPr>
              <w:pStyle w:val="14"/>
              <w:spacing w:line="221" w:lineRule="exact"/>
              <w:ind w:left="7"/>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1704" w:type="dxa"/>
            <w:vMerge w:val="continue"/>
            <w:tcBorders>
              <w:top w:val="nil"/>
            </w:tcBorders>
          </w:tcPr>
          <w:p>
            <w:pPr>
              <w:rPr>
                <w:sz w:val="2"/>
                <w:szCs w:val="2"/>
              </w:rPr>
            </w:pPr>
          </w:p>
        </w:tc>
        <w:tc>
          <w:tcPr>
            <w:tcW w:w="1704" w:type="dxa"/>
          </w:tcPr>
          <w:p>
            <w:pPr>
              <w:pStyle w:val="14"/>
              <w:spacing w:before="17" w:line="204" w:lineRule="exact"/>
              <w:ind w:left="199" w:right="190"/>
              <w:rPr>
                <w:rFonts w:ascii="Times New Roman"/>
                <w:sz w:val="18"/>
              </w:rPr>
            </w:pPr>
            <w:r>
              <w:rPr>
                <w:rFonts w:ascii="Times New Roman"/>
                <w:sz w:val="18"/>
              </w:rPr>
              <w:t>NOx</w:t>
            </w:r>
          </w:p>
        </w:tc>
        <w:tc>
          <w:tcPr>
            <w:tcW w:w="1705" w:type="dxa"/>
          </w:tcPr>
          <w:p>
            <w:pPr>
              <w:pStyle w:val="14"/>
              <w:spacing w:before="17" w:line="204" w:lineRule="exact"/>
              <w:ind w:left="96" w:right="88"/>
              <w:rPr>
                <w:rFonts w:ascii="Times New Roman"/>
                <w:sz w:val="18"/>
              </w:rPr>
            </w:pPr>
            <w:r>
              <w:rPr>
                <w:rFonts w:ascii="Times New Roman"/>
                <w:sz w:val="18"/>
              </w:rPr>
              <w:t>2.21</w:t>
            </w:r>
          </w:p>
        </w:tc>
        <w:tc>
          <w:tcPr>
            <w:tcW w:w="1704" w:type="dxa"/>
          </w:tcPr>
          <w:p>
            <w:pPr>
              <w:pStyle w:val="14"/>
              <w:spacing w:before="17" w:line="204" w:lineRule="exact"/>
              <w:ind w:left="199" w:right="192"/>
              <w:rPr>
                <w:rFonts w:ascii="Times New Roman"/>
                <w:sz w:val="18"/>
              </w:rPr>
            </w:pPr>
            <w:r>
              <w:rPr>
                <w:rFonts w:ascii="Times New Roman"/>
                <w:sz w:val="18"/>
              </w:rPr>
              <w:t>0.88</w:t>
            </w:r>
          </w:p>
        </w:tc>
        <w:tc>
          <w:tcPr>
            <w:tcW w:w="1705" w:type="dxa"/>
          </w:tcPr>
          <w:p>
            <w:pPr>
              <w:pStyle w:val="14"/>
              <w:spacing w:line="222" w:lineRule="exact"/>
              <w:ind w:left="7"/>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704" w:type="dxa"/>
            <w:vMerge w:val="continue"/>
            <w:tcBorders>
              <w:top w:val="nil"/>
            </w:tcBorders>
          </w:tcPr>
          <w:p>
            <w:pPr>
              <w:rPr>
                <w:sz w:val="2"/>
                <w:szCs w:val="2"/>
              </w:rPr>
            </w:pPr>
          </w:p>
        </w:tc>
        <w:tc>
          <w:tcPr>
            <w:tcW w:w="1704" w:type="dxa"/>
          </w:tcPr>
          <w:p>
            <w:pPr>
              <w:pStyle w:val="14"/>
              <w:spacing w:line="252" w:lineRule="exact"/>
              <w:ind w:left="199" w:right="194"/>
              <w:rPr>
                <w:sz w:val="21"/>
              </w:rPr>
            </w:pPr>
            <w:r>
              <w:rPr>
                <w:sz w:val="21"/>
              </w:rPr>
              <w:t>烟尘</w:t>
            </w:r>
          </w:p>
        </w:tc>
        <w:tc>
          <w:tcPr>
            <w:tcW w:w="1705" w:type="dxa"/>
          </w:tcPr>
          <w:p>
            <w:pPr>
              <w:pStyle w:val="14"/>
              <w:spacing w:before="32"/>
              <w:ind w:left="96" w:right="88"/>
              <w:rPr>
                <w:rFonts w:ascii="Times New Roman"/>
                <w:sz w:val="18"/>
              </w:rPr>
            </w:pPr>
            <w:r>
              <w:rPr>
                <w:rFonts w:ascii="Times New Roman"/>
                <w:sz w:val="18"/>
              </w:rPr>
              <w:t>0.15</w:t>
            </w:r>
          </w:p>
        </w:tc>
        <w:tc>
          <w:tcPr>
            <w:tcW w:w="1704" w:type="dxa"/>
          </w:tcPr>
          <w:p>
            <w:pPr>
              <w:pStyle w:val="14"/>
              <w:spacing w:before="32"/>
              <w:ind w:left="199" w:right="192"/>
              <w:rPr>
                <w:rFonts w:ascii="Times New Roman"/>
                <w:sz w:val="18"/>
              </w:rPr>
            </w:pPr>
            <w:r>
              <w:rPr>
                <w:rFonts w:ascii="Times New Roman"/>
                <w:sz w:val="18"/>
              </w:rPr>
              <w:t>0.03</w:t>
            </w:r>
          </w:p>
        </w:tc>
        <w:tc>
          <w:tcPr>
            <w:tcW w:w="1705" w:type="dxa"/>
          </w:tcPr>
          <w:p>
            <w:pPr>
              <w:pStyle w:val="14"/>
              <w:spacing w:before="13" w:line="238" w:lineRule="exact"/>
              <w:ind w:left="7"/>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704" w:type="dxa"/>
          </w:tcPr>
          <w:p>
            <w:pPr>
              <w:pStyle w:val="14"/>
              <w:spacing w:before="1" w:line="251" w:lineRule="exact"/>
              <w:ind w:left="199" w:right="194"/>
              <w:rPr>
                <w:sz w:val="21"/>
              </w:rPr>
            </w:pPr>
            <w:r>
              <w:rPr>
                <w:sz w:val="21"/>
              </w:rPr>
              <w:t>筛分车间烟囱</w:t>
            </w:r>
          </w:p>
        </w:tc>
        <w:tc>
          <w:tcPr>
            <w:tcW w:w="1704" w:type="dxa"/>
          </w:tcPr>
          <w:p>
            <w:pPr>
              <w:pStyle w:val="14"/>
              <w:spacing w:before="15" w:line="237" w:lineRule="exact"/>
              <w:ind w:left="199" w:right="190"/>
              <w:rPr>
                <w:rFonts w:ascii="Times New Roman"/>
                <w:sz w:val="21"/>
              </w:rPr>
            </w:pPr>
            <w:r>
              <w:rPr>
                <w:rFonts w:ascii="Times New Roman"/>
                <w:sz w:val="21"/>
              </w:rPr>
              <w:t>PM10</w:t>
            </w:r>
          </w:p>
        </w:tc>
        <w:tc>
          <w:tcPr>
            <w:tcW w:w="1705" w:type="dxa"/>
          </w:tcPr>
          <w:p>
            <w:pPr>
              <w:pStyle w:val="14"/>
              <w:spacing w:before="31"/>
              <w:ind w:left="96" w:right="88"/>
              <w:rPr>
                <w:rFonts w:ascii="Times New Roman"/>
                <w:sz w:val="18"/>
              </w:rPr>
            </w:pPr>
            <w:r>
              <w:rPr>
                <w:rFonts w:ascii="Times New Roman"/>
                <w:sz w:val="18"/>
              </w:rPr>
              <w:t>2.02</w:t>
            </w:r>
          </w:p>
        </w:tc>
        <w:tc>
          <w:tcPr>
            <w:tcW w:w="1704" w:type="dxa"/>
          </w:tcPr>
          <w:p>
            <w:pPr>
              <w:pStyle w:val="14"/>
              <w:spacing w:before="31"/>
              <w:ind w:left="199" w:right="192"/>
              <w:rPr>
                <w:rFonts w:ascii="Times New Roman"/>
                <w:sz w:val="18"/>
              </w:rPr>
            </w:pPr>
            <w:r>
              <w:rPr>
                <w:rFonts w:ascii="Times New Roman"/>
                <w:sz w:val="18"/>
              </w:rPr>
              <w:t>0.45</w:t>
            </w:r>
          </w:p>
        </w:tc>
        <w:tc>
          <w:tcPr>
            <w:tcW w:w="1705" w:type="dxa"/>
          </w:tcPr>
          <w:p>
            <w:pPr>
              <w:pStyle w:val="14"/>
              <w:spacing w:before="15" w:line="237" w:lineRule="exact"/>
              <w:ind w:left="7"/>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704" w:type="dxa"/>
          </w:tcPr>
          <w:p>
            <w:pPr>
              <w:pStyle w:val="14"/>
              <w:spacing w:before="2" w:line="251" w:lineRule="exact"/>
              <w:ind w:left="199" w:right="191"/>
              <w:rPr>
                <w:sz w:val="21"/>
              </w:rPr>
            </w:pPr>
            <w:r>
              <w:rPr>
                <w:sz w:val="21"/>
              </w:rPr>
              <w:t>矸石暂存场</w:t>
            </w:r>
          </w:p>
        </w:tc>
        <w:tc>
          <w:tcPr>
            <w:tcW w:w="1704" w:type="dxa"/>
          </w:tcPr>
          <w:p>
            <w:pPr>
              <w:pStyle w:val="14"/>
              <w:spacing w:before="16" w:line="237" w:lineRule="exact"/>
              <w:ind w:left="199" w:right="190"/>
              <w:rPr>
                <w:rFonts w:ascii="Times New Roman"/>
                <w:sz w:val="21"/>
              </w:rPr>
            </w:pPr>
            <w:r>
              <w:rPr>
                <w:rFonts w:ascii="Times New Roman"/>
                <w:sz w:val="21"/>
              </w:rPr>
              <w:t>TSP</w:t>
            </w:r>
          </w:p>
        </w:tc>
        <w:tc>
          <w:tcPr>
            <w:tcW w:w="1705" w:type="dxa"/>
          </w:tcPr>
          <w:p>
            <w:pPr>
              <w:pStyle w:val="14"/>
              <w:spacing w:before="32"/>
              <w:ind w:left="96" w:right="88"/>
              <w:rPr>
                <w:rFonts w:ascii="Times New Roman"/>
                <w:sz w:val="18"/>
              </w:rPr>
            </w:pPr>
            <w:r>
              <w:rPr>
                <w:rFonts w:ascii="Times New Roman"/>
                <w:sz w:val="18"/>
              </w:rPr>
              <w:t>21.1</w:t>
            </w:r>
          </w:p>
        </w:tc>
        <w:tc>
          <w:tcPr>
            <w:tcW w:w="1704" w:type="dxa"/>
          </w:tcPr>
          <w:p>
            <w:pPr>
              <w:pStyle w:val="14"/>
              <w:spacing w:before="32"/>
              <w:ind w:left="199" w:right="192"/>
              <w:rPr>
                <w:rFonts w:ascii="Times New Roman"/>
                <w:sz w:val="18"/>
              </w:rPr>
            </w:pPr>
            <w:r>
              <w:rPr>
                <w:rFonts w:ascii="Times New Roman"/>
                <w:sz w:val="18"/>
              </w:rPr>
              <w:t>2.34</w:t>
            </w:r>
          </w:p>
        </w:tc>
        <w:tc>
          <w:tcPr>
            <w:tcW w:w="1705" w:type="dxa"/>
          </w:tcPr>
          <w:p>
            <w:pPr>
              <w:pStyle w:val="14"/>
              <w:spacing w:before="16" w:line="237" w:lineRule="exact"/>
              <w:ind w:left="7"/>
              <w:rPr>
                <w:rFonts w:ascii="Times New Roman"/>
                <w:sz w:val="21"/>
              </w:rPr>
            </w:pPr>
            <w:r>
              <w:rPr>
                <w:rFonts w:ascii="Times New Roman"/>
                <w:w w:val="99"/>
                <w:sz w:val="21"/>
              </w:rPr>
              <w:t>/</w:t>
            </w:r>
          </w:p>
        </w:tc>
      </w:tr>
    </w:tbl>
    <w:p>
      <w:pPr>
        <w:pStyle w:val="6"/>
        <w:spacing w:line="364" w:lineRule="auto"/>
        <w:ind w:left="658" w:right="649" w:firstLine="480"/>
        <w:jc w:val="both"/>
      </w:pPr>
      <w:r>
        <w:rPr>
          <w:spacing w:val="-8"/>
          <w:position w:val="2"/>
        </w:rPr>
        <w:t xml:space="preserve">根据估算结果及评价等级判别表，本项目 </w:t>
      </w:r>
      <w:r>
        <w:rPr>
          <w:rFonts w:ascii="Times New Roman" w:hAnsi="Times New Roman" w:eastAsia="Times New Roman"/>
          <w:position w:val="2"/>
        </w:rPr>
        <w:t>P</w:t>
      </w:r>
      <w:r>
        <w:rPr>
          <w:rFonts w:ascii="Times New Roman" w:hAnsi="Times New Roman" w:eastAsia="Times New Roman"/>
          <w:position w:val="2"/>
          <w:vertAlign w:val="subscript"/>
        </w:rPr>
        <w:t>max</w:t>
      </w:r>
      <w:r>
        <w:rPr>
          <w:rFonts w:ascii="Times New Roman" w:hAnsi="Times New Roman" w:eastAsia="Times New Roman"/>
          <w:position w:val="2"/>
          <w:vertAlign w:val="baseline"/>
        </w:rPr>
        <w:t xml:space="preserve"> </w:t>
      </w:r>
      <w:r>
        <w:rPr>
          <w:position w:val="2"/>
          <w:vertAlign w:val="baseline"/>
        </w:rPr>
        <w:t>最大值出现为热风炉房排气筒排放的</w:t>
      </w:r>
      <w:r>
        <w:rPr>
          <w:rFonts w:ascii="Times New Roman" w:hAnsi="Times New Roman" w:eastAsia="Times New Roman"/>
          <w:position w:val="2"/>
          <w:vertAlign w:val="baseline"/>
        </w:rPr>
        <w:t>NOx</w:t>
      </w:r>
      <w:r>
        <w:rPr>
          <w:position w:val="2"/>
          <w:vertAlign w:val="baseline"/>
        </w:rPr>
        <w:t>，</w:t>
      </w:r>
      <w:r>
        <w:rPr>
          <w:rFonts w:ascii="Times New Roman" w:hAnsi="Times New Roman" w:eastAsia="Times New Roman"/>
          <w:position w:val="2"/>
          <w:vertAlign w:val="baseline"/>
        </w:rPr>
        <w:t>P</w:t>
      </w:r>
      <w:r>
        <w:rPr>
          <w:rFonts w:ascii="Times New Roman" w:hAnsi="Times New Roman" w:eastAsia="Times New Roman"/>
          <w:position w:val="2"/>
          <w:vertAlign w:val="subscript"/>
        </w:rPr>
        <w:t>max</w:t>
      </w:r>
      <w:r>
        <w:rPr>
          <w:rFonts w:ascii="Times New Roman" w:hAnsi="Times New Roman" w:eastAsia="Times New Roman"/>
          <w:position w:val="2"/>
          <w:vertAlign w:val="baseline"/>
        </w:rPr>
        <w:t xml:space="preserve"> </w:t>
      </w:r>
      <w:r>
        <w:rPr>
          <w:spacing w:val="-19"/>
          <w:position w:val="2"/>
          <w:vertAlign w:val="baseline"/>
        </w:rPr>
        <w:t xml:space="preserve">值为 </w:t>
      </w:r>
      <w:r>
        <w:rPr>
          <w:rFonts w:ascii="Times New Roman" w:hAnsi="Times New Roman" w:eastAsia="Times New Roman"/>
          <w:position w:val="2"/>
          <w:vertAlign w:val="baseline"/>
        </w:rPr>
        <w:t>1.45%</w:t>
      </w:r>
      <w:r>
        <w:rPr>
          <w:position w:val="2"/>
          <w:vertAlign w:val="baseline"/>
        </w:rPr>
        <w:t>，</w:t>
      </w:r>
      <w:r>
        <w:rPr>
          <w:rFonts w:ascii="Times New Roman" w:hAnsi="Times New Roman" w:eastAsia="Times New Roman"/>
          <w:position w:val="2"/>
          <w:vertAlign w:val="baseline"/>
        </w:rPr>
        <w:t>C</w:t>
      </w:r>
      <w:r>
        <w:rPr>
          <w:rFonts w:ascii="Times New Roman" w:hAnsi="Times New Roman" w:eastAsia="Times New Roman"/>
          <w:position w:val="2"/>
          <w:vertAlign w:val="subscript"/>
        </w:rPr>
        <w:t>max</w:t>
      </w:r>
      <w:r>
        <w:rPr>
          <w:rFonts w:ascii="Times New Roman" w:hAnsi="Times New Roman" w:eastAsia="Times New Roman"/>
          <w:position w:val="2"/>
          <w:vertAlign w:val="baseline"/>
        </w:rPr>
        <w:t xml:space="preserve"> </w:t>
      </w:r>
      <w:r>
        <w:rPr>
          <w:spacing w:val="-29"/>
          <w:position w:val="2"/>
          <w:vertAlign w:val="baseline"/>
        </w:rPr>
        <w:t xml:space="preserve">为 </w:t>
      </w:r>
      <w:r>
        <w:rPr>
          <w:rFonts w:ascii="Times New Roman" w:hAnsi="Times New Roman" w:eastAsia="Times New Roman"/>
          <w:position w:val="2"/>
          <w:vertAlign w:val="baseline"/>
        </w:rPr>
        <w:t>10.36μg/m</w:t>
      </w:r>
      <w:r>
        <w:rPr>
          <w:rFonts w:ascii="Times New Roman" w:hAnsi="Times New Roman" w:eastAsia="Times New Roman"/>
          <w:position w:val="2"/>
          <w:vertAlign w:val="superscript"/>
        </w:rPr>
        <w:t>3</w:t>
      </w:r>
      <w:r>
        <w:rPr>
          <w:spacing w:val="-2"/>
          <w:position w:val="2"/>
          <w:vertAlign w:val="baseline"/>
        </w:rPr>
        <w:t>，根据《环境影响评价技术导则 大气环境》</w:t>
      </w:r>
      <w:r>
        <w:rPr>
          <w:rFonts w:ascii="Times New Roman" w:hAnsi="Times New Roman" w:eastAsia="Times New Roman"/>
          <w:vertAlign w:val="baseline"/>
        </w:rPr>
        <w:t>(HJ2.2-2018)</w:t>
      </w:r>
      <w:r>
        <w:rPr>
          <w:vertAlign w:val="baseline"/>
        </w:rPr>
        <w:t>分级判据，确定本项目大气环境影响评价工作等级为二级，总体上对环境</w:t>
      </w:r>
      <w:r>
        <w:rPr>
          <w:spacing w:val="-6"/>
          <w:vertAlign w:val="baseline"/>
        </w:rPr>
        <w:t>空气影响不大，在可控制范围内，不会改变现有空气质量类别。根据《环境影响评价技术导则 大气环境》</w:t>
      </w:r>
      <w:r>
        <w:rPr>
          <w:rFonts w:ascii="Times New Roman" w:hAnsi="Times New Roman" w:eastAsia="Times New Roman"/>
          <w:vertAlign w:val="baseline"/>
        </w:rPr>
        <w:t>(HJ2.2-2018)</w:t>
      </w:r>
      <w:r>
        <w:rPr>
          <w:spacing w:val="-3"/>
          <w:vertAlign w:val="baseline"/>
        </w:rPr>
        <w:t>规定，二级评价不需要进行进一步预测和评价，只需要对污染物进行总量核算。</w:t>
      </w:r>
    </w:p>
    <w:p>
      <w:pPr>
        <w:pStyle w:val="13"/>
        <w:numPr>
          <w:ilvl w:val="2"/>
          <w:numId w:val="7"/>
        </w:numPr>
        <w:tabs>
          <w:tab w:val="left" w:pos="1288"/>
        </w:tabs>
        <w:spacing w:before="0" w:after="0" w:line="353" w:lineRule="exact"/>
        <w:ind w:left="1287" w:right="0" w:hanging="630"/>
        <w:jc w:val="left"/>
        <w:rPr>
          <w:b/>
          <w:sz w:val="28"/>
        </w:rPr>
      </w:pPr>
      <w:bookmarkStart w:id="41" w:name="2.4.2地表水环境"/>
      <w:bookmarkEnd w:id="41"/>
      <w:bookmarkStart w:id="42" w:name="2.4.2地表水环境"/>
      <w:bookmarkEnd w:id="42"/>
      <w:r>
        <w:rPr>
          <w:b/>
          <w:sz w:val="28"/>
        </w:rPr>
        <w:t>地表水环境</w:t>
      </w:r>
    </w:p>
    <w:p>
      <w:pPr>
        <w:pStyle w:val="6"/>
        <w:spacing w:before="181" w:line="364" w:lineRule="auto"/>
        <w:ind w:left="658" w:right="573" w:firstLine="480"/>
      </w:pPr>
      <w:r>
        <w:rPr>
          <w:spacing w:val="-8"/>
        </w:rPr>
        <w:t>依据《环境影响评价导则 地表水环境》</w:t>
      </w:r>
      <w:r>
        <w:rPr>
          <w:rFonts w:ascii="Times New Roman" w:eastAsia="Times New Roman"/>
        </w:rPr>
        <w:t>(HJ 2.3-2018)</w:t>
      </w:r>
      <w:r>
        <w:rPr>
          <w:spacing w:val="-4"/>
        </w:rPr>
        <w:t>对评价级别进行判定。本项目</w:t>
      </w:r>
      <w:r>
        <w:rPr>
          <w:spacing w:val="-7"/>
        </w:rPr>
        <w:t>矿井涌水处理后部分回用，剩余部分外排至扁石河，生活污水处理后作为矿井工业场地</w:t>
      </w:r>
      <w:r>
        <w:rPr>
          <w:spacing w:val="-20"/>
        </w:rPr>
        <w:t xml:space="preserve">绿化洒水用水。外排废水属直接排放，主要污染物为 </w:t>
      </w:r>
      <w:r>
        <w:rPr>
          <w:rFonts w:ascii="Times New Roman" w:eastAsia="Times New Roman"/>
        </w:rPr>
        <w:t>C</w:t>
      </w:r>
      <w:r>
        <w:rPr>
          <w:rFonts w:ascii="Times New Roman" w:eastAsia="Times New Roman"/>
          <w:spacing w:val="-1"/>
        </w:rPr>
        <w:t>O</w:t>
      </w:r>
      <w:r>
        <w:rPr>
          <w:rFonts w:ascii="Times New Roman" w:eastAsia="Times New Roman"/>
          <w:spacing w:val="1"/>
        </w:rPr>
        <w:t>D</w:t>
      </w:r>
      <w:r>
        <w:rPr>
          <w:spacing w:val="-108"/>
        </w:rPr>
        <w:t>、</w:t>
      </w:r>
      <w:r>
        <w:rPr>
          <w:rFonts w:ascii="Times New Roman" w:eastAsia="Times New Roman"/>
        </w:rPr>
        <w:t>S</w:t>
      </w:r>
      <w:r>
        <w:rPr>
          <w:rFonts w:ascii="Times New Roman" w:eastAsia="Times New Roman"/>
          <w:spacing w:val="-2"/>
        </w:rPr>
        <w:t>S</w:t>
      </w:r>
      <w:r>
        <w:rPr>
          <w:spacing w:val="-34"/>
        </w:rPr>
        <w:t xml:space="preserve">，排放量 </w:t>
      </w:r>
      <w:r>
        <w:rPr>
          <w:rFonts w:ascii="Times New Roman" w:eastAsia="Times New Roman"/>
        </w:rPr>
        <w:t xml:space="preserve">Q </w:t>
      </w:r>
      <w:r>
        <w:rPr>
          <w:spacing w:val="-29"/>
        </w:rPr>
        <w:t xml:space="preserve">为 </w:t>
      </w:r>
      <w:r>
        <w:rPr>
          <w:rFonts w:ascii="Times New Roman" w:eastAsia="Times New Roman"/>
          <w:spacing w:val="-1"/>
        </w:rPr>
        <w:t>1435.68</w:t>
      </w:r>
      <w:r>
        <w:rPr>
          <w:rFonts w:ascii="Times New Roman" w:eastAsia="Times New Roman"/>
          <w:spacing w:val="-3"/>
        </w:rPr>
        <w:t>m</w:t>
      </w:r>
      <w:r>
        <w:rPr>
          <w:rFonts w:ascii="Times New Roman" w:eastAsia="Times New Roman"/>
          <w:spacing w:val="0"/>
          <w:w w:val="104"/>
          <w:position w:val="8"/>
          <w:sz w:val="15"/>
        </w:rPr>
        <w:t>3</w:t>
      </w:r>
      <w:r>
        <w:rPr>
          <w:rFonts w:ascii="Times New Roman" w:eastAsia="Times New Roman"/>
          <w:spacing w:val="-1"/>
        </w:rPr>
        <w:t>/</w:t>
      </w:r>
      <w:r>
        <w:rPr>
          <w:rFonts w:ascii="Times New Roman" w:eastAsia="Times New Roman"/>
          <w:spacing w:val="-4"/>
        </w:rPr>
        <w:t>d</w:t>
      </w:r>
      <w:r>
        <w:rPr>
          <w:spacing w:val="-1"/>
        </w:rPr>
        <w:t>，</w:t>
      </w:r>
      <w:r>
        <w:rPr>
          <w:spacing w:val="-9"/>
        </w:rPr>
        <w:t xml:space="preserve">水污染当量数 </w:t>
      </w:r>
      <w:r>
        <w:rPr>
          <w:rFonts w:ascii="Times New Roman" w:eastAsia="Times New Roman"/>
        </w:rPr>
        <w:t xml:space="preserve">W </w:t>
      </w:r>
      <w:r>
        <w:rPr>
          <w:spacing w:val="-30"/>
        </w:rPr>
        <w:t xml:space="preserve">为 </w:t>
      </w:r>
      <w:r>
        <w:rPr>
          <w:rFonts w:ascii="Times New Roman" w:eastAsia="Times New Roman"/>
        </w:rPr>
        <w:t>7106</w:t>
      </w:r>
      <w:r>
        <w:rPr>
          <w:spacing w:val="-4"/>
        </w:rPr>
        <w:t xml:space="preserve">，判定地表水评价等级为二级。详见表 </w:t>
      </w:r>
      <w:r>
        <w:rPr>
          <w:rFonts w:ascii="Times New Roman" w:eastAsia="Times New Roman"/>
        </w:rPr>
        <w:t>2.4-7</w:t>
      </w:r>
      <w:r>
        <w:t>。</w:t>
      </w:r>
    </w:p>
    <w:p>
      <w:pPr>
        <w:pStyle w:val="5"/>
        <w:tabs>
          <w:tab w:val="left" w:pos="4332"/>
        </w:tabs>
        <w:spacing w:after="4" w:line="305" w:lineRule="exact"/>
        <w:ind w:left="3173"/>
      </w:pPr>
      <w:r>
        <w:t>表</w:t>
      </w:r>
      <w:r>
        <w:rPr>
          <w:spacing w:val="-62"/>
        </w:rPr>
        <w:t xml:space="preserve"> </w:t>
      </w:r>
      <w:r>
        <w:rPr>
          <w:rFonts w:ascii="Times New Roman" w:eastAsia="Times New Roman"/>
        </w:rPr>
        <w:t>2.4-7</w:t>
      </w:r>
      <w:r>
        <w:rPr>
          <w:rFonts w:ascii="Times New Roman" w:eastAsia="Times New Roman"/>
        </w:rPr>
        <w:tab/>
      </w:r>
      <w:r>
        <w:t>地表水评价等级判定依据表</w:t>
      </w:r>
    </w:p>
    <w:tbl>
      <w:tblPr>
        <w:tblStyle w:val="10"/>
        <w:tblW w:w="0" w:type="auto"/>
        <w:tblInd w:w="9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3"/>
        <w:gridCol w:w="1918"/>
        <w:gridCol w:w="2277"/>
        <w:gridCol w:w="31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213" w:type="dxa"/>
            <w:vMerge w:val="restart"/>
          </w:tcPr>
          <w:p>
            <w:pPr>
              <w:pStyle w:val="14"/>
              <w:spacing w:before="141"/>
              <w:ind w:left="184"/>
              <w:jc w:val="left"/>
              <w:rPr>
                <w:sz w:val="21"/>
              </w:rPr>
            </w:pPr>
            <w:r>
              <w:rPr>
                <w:sz w:val="21"/>
              </w:rPr>
              <w:t>评价等级</w:t>
            </w:r>
          </w:p>
        </w:tc>
        <w:tc>
          <w:tcPr>
            <w:tcW w:w="7309" w:type="dxa"/>
            <w:gridSpan w:val="3"/>
          </w:tcPr>
          <w:p>
            <w:pPr>
              <w:pStyle w:val="14"/>
              <w:spacing w:line="252" w:lineRule="exact"/>
              <w:ind w:left="3212" w:right="3206"/>
              <w:rPr>
                <w:sz w:val="21"/>
              </w:rPr>
            </w:pPr>
            <w:r>
              <w:rPr>
                <w:sz w:val="21"/>
              </w:rPr>
              <w:t>判定依据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213" w:type="dxa"/>
            <w:vMerge w:val="continue"/>
            <w:tcBorders>
              <w:top w:val="nil"/>
            </w:tcBorders>
          </w:tcPr>
          <w:p>
            <w:pPr>
              <w:rPr>
                <w:sz w:val="2"/>
                <w:szCs w:val="2"/>
              </w:rPr>
            </w:pPr>
          </w:p>
        </w:tc>
        <w:tc>
          <w:tcPr>
            <w:tcW w:w="1918" w:type="dxa"/>
          </w:tcPr>
          <w:p>
            <w:pPr>
              <w:pStyle w:val="14"/>
              <w:spacing w:line="251" w:lineRule="exact"/>
              <w:ind w:left="97" w:right="90"/>
              <w:rPr>
                <w:sz w:val="21"/>
              </w:rPr>
            </w:pPr>
            <w:r>
              <w:rPr>
                <w:sz w:val="21"/>
              </w:rPr>
              <w:t>排放方式</w:t>
            </w:r>
          </w:p>
        </w:tc>
        <w:tc>
          <w:tcPr>
            <w:tcW w:w="2277" w:type="dxa"/>
          </w:tcPr>
          <w:p>
            <w:pPr>
              <w:pStyle w:val="14"/>
              <w:spacing w:line="251" w:lineRule="exact"/>
              <w:ind w:left="61" w:right="49"/>
              <w:rPr>
                <w:sz w:val="21"/>
              </w:rPr>
            </w:pPr>
            <w:r>
              <w:rPr>
                <w:sz w:val="21"/>
              </w:rPr>
              <w:t xml:space="preserve">废水排放量 </w:t>
            </w:r>
            <w:r>
              <w:rPr>
                <w:rFonts w:ascii="Times New Roman" w:hAnsi="Times New Roman" w:eastAsia="Times New Roman"/>
                <w:sz w:val="21"/>
              </w:rPr>
              <w:t>Q</w:t>
            </w:r>
            <w:r>
              <w:rPr>
                <w:sz w:val="21"/>
              </w:rPr>
              <w:t>（</w:t>
            </w:r>
            <w:r>
              <w:rPr>
                <w:rFonts w:ascii="Times New Roman" w:hAnsi="Times New Roman" w:eastAsia="Times New Roman"/>
                <w:sz w:val="21"/>
              </w:rPr>
              <w:t>m³/d</w:t>
            </w:r>
            <w:r>
              <w:rPr>
                <w:sz w:val="21"/>
              </w:rPr>
              <w:t>）</w:t>
            </w:r>
          </w:p>
        </w:tc>
        <w:tc>
          <w:tcPr>
            <w:tcW w:w="3114" w:type="dxa"/>
          </w:tcPr>
          <w:p>
            <w:pPr>
              <w:pStyle w:val="14"/>
              <w:spacing w:line="251" w:lineRule="exact"/>
              <w:ind w:left="229" w:right="220"/>
              <w:rPr>
                <w:sz w:val="21"/>
              </w:rPr>
            </w:pPr>
            <w:r>
              <w:rPr>
                <w:sz w:val="21"/>
              </w:rPr>
              <w:t xml:space="preserve">水污染当量数 </w:t>
            </w:r>
            <w:r>
              <w:rPr>
                <w:rFonts w:ascii="Times New Roman" w:eastAsia="Times New Roman"/>
                <w:sz w:val="21"/>
              </w:rPr>
              <w:t>W</w:t>
            </w:r>
            <w:r>
              <w:rPr>
                <w:sz w:val="21"/>
              </w:rPr>
              <w:t>（无量纲）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213" w:type="dxa"/>
          </w:tcPr>
          <w:p>
            <w:pPr>
              <w:pStyle w:val="14"/>
              <w:spacing w:before="2" w:line="251" w:lineRule="exact"/>
              <w:ind w:left="163" w:right="157"/>
              <w:rPr>
                <w:sz w:val="21"/>
              </w:rPr>
            </w:pPr>
            <w:r>
              <w:rPr>
                <w:sz w:val="21"/>
              </w:rPr>
              <w:t>一级</w:t>
            </w:r>
          </w:p>
        </w:tc>
        <w:tc>
          <w:tcPr>
            <w:tcW w:w="1918" w:type="dxa"/>
          </w:tcPr>
          <w:p>
            <w:pPr>
              <w:pStyle w:val="14"/>
              <w:spacing w:before="2" w:line="251" w:lineRule="exact"/>
              <w:ind w:left="97" w:right="90"/>
              <w:rPr>
                <w:sz w:val="21"/>
              </w:rPr>
            </w:pPr>
            <w:r>
              <w:rPr>
                <w:sz w:val="21"/>
              </w:rPr>
              <w:t>直接排放</w:t>
            </w:r>
          </w:p>
        </w:tc>
        <w:tc>
          <w:tcPr>
            <w:tcW w:w="2277" w:type="dxa"/>
          </w:tcPr>
          <w:p>
            <w:pPr>
              <w:pStyle w:val="14"/>
              <w:spacing w:before="15" w:line="237" w:lineRule="exact"/>
              <w:ind w:left="57" w:right="49"/>
              <w:rPr>
                <w:rFonts w:ascii="Times New Roman" w:hAnsi="Times New Roman"/>
                <w:sz w:val="21"/>
              </w:rPr>
            </w:pPr>
            <w:r>
              <w:rPr>
                <w:rFonts w:ascii="Times New Roman" w:hAnsi="Times New Roman"/>
                <w:sz w:val="21"/>
              </w:rPr>
              <w:t>Q≥20000</w:t>
            </w:r>
          </w:p>
        </w:tc>
        <w:tc>
          <w:tcPr>
            <w:tcW w:w="3114" w:type="dxa"/>
          </w:tcPr>
          <w:p>
            <w:pPr>
              <w:pStyle w:val="14"/>
              <w:spacing w:before="15" w:line="237" w:lineRule="exact"/>
              <w:ind w:left="228" w:right="220"/>
              <w:rPr>
                <w:rFonts w:ascii="Times New Roman" w:hAnsi="Times New Roman"/>
                <w:sz w:val="21"/>
              </w:rPr>
            </w:pPr>
            <w:r>
              <w:rPr>
                <w:rFonts w:ascii="Times New Roman" w:hAnsi="Times New Roman"/>
                <w:sz w:val="21"/>
              </w:rPr>
              <w:t>W≥600000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213" w:type="dxa"/>
          </w:tcPr>
          <w:p>
            <w:pPr>
              <w:pStyle w:val="14"/>
              <w:spacing w:line="252" w:lineRule="exact"/>
              <w:ind w:left="163" w:right="157"/>
              <w:rPr>
                <w:sz w:val="21"/>
              </w:rPr>
            </w:pPr>
            <w:r>
              <w:rPr>
                <w:sz w:val="21"/>
              </w:rPr>
              <w:t>二级</w:t>
            </w:r>
          </w:p>
        </w:tc>
        <w:tc>
          <w:tcPr>
            <w:tcW w:w="1918" w:type="dxa"/>
          </w:tcPr>
          <w:p>
            <w:pPr>
              <w:pStyle w:val="14"/>
              <w:spacing w:line="252" w:lineRule="exact"/>
              <w:ind w:left="97" w:right="90"/>
              <w:rPr>
                <w:sz w:val="21"/>
              </w:rPr>
            </w:pPr>
            <w:r>
              <w:rPr>
                <w:sz w:val="21"/>
              </w:rPr>
              <w:t>直接排放</w:t>
            </w:r>
          </w:p>
        </w:tc>
        <w:tc>
          <w:tcPr>
            <w:tcW w:w="5391" w:type="dxa"/>
            <w:gridSpan w:val="2"/>
          </w:tcPr>
          <w:p>
            <w:pPr>
              <w:pStyle w:val="14"/>
              <w:spacing w:line="252" w:lineRule="exact"/>
              <w:ind w:left="2463" w:right="2457"/>
              <w:rPr>
                <w:sz w:val="21"/>
              </w:rPr>
            </w:pPr>
            <w:r>
              <w:rPr>
                <w:sz w:val="21"/>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213" w:type="dxa"/>
          </w:tcPr>
          <w:p>
            <w:pPr>
              <w:pStyle w:val="14"/>
              <w:spacing w:line="251" w:lineRule="exact"/>
              <w:ind w:left="163" w:right="153"/>
              <w:rPr>
                <w:rFonts w:ascii="Times New Roman" w:eastAsia="Times New Roman"/>
                <w:sz w:val="21"/>
              </w:rPr>
            </w:pPr>
            <w:r>
              <w:rPr>
                <w:sz w:val="21"/>
              </w:rPr>
              <w:t xml:space="preserve">三级 </w:t>
            </w:r>
            <w:r>
              <w:rPr>
                <w:rFonts w:ascii="Times New Roman" w:eastAsia="Times New Roman"/>
                <w:sz w:val="21"/>
              </w:rPr>
              <w:t>A</w:t>
            </w:r>
          </w:p>
        </w:tc>
        <w:tc>
          <w:tcPr>
            <w:tcW w:w="1918" w:type="dxa"/>
          </w:tcPr>
          <w:p>
            <w:pPr>
              <w:pStyle w:val="14"/>
              <w:spacing w:line="251" w:lineRule="exact"/>
              <w:ind w:left="97" w:right="90"/>
              <w:rPr>
                <w:sz w:val="21"/>
              </w:rPr>
            </w:pPr>
            <w:r>
              <w:rPr>
                <w:sz w:val="21"/>
              </w:rPr>
              <w:t>直接排放</w:t>
            </w:r>
          </w:p>
        </w:tc>
        <w:tc>
          <w:tcPr>
            <w:tcW w:w="2277" w:type="dxa"/>
          </w:tcPr>
          <w:p>
            <w:pPr>
              <w:pStyle w:val="14"/>
              <w:spacing w:line="251" w:lineRule="exact"/>
              <w:ind w:left="57" w:right="49"/>
              <w:rPr>
                <w:rFonts w:ascii="Times New Roman" w:eastAsia="Times New Roman"/>
                <w:sz w:val="21"/>
              </w:rPr>
            </w:pPr>
            <w:r>
              <w:rPr>
                <w:rFonts w:ascii="Times New Roman" w:eastAsia="Times New Roman"/>
                <w:sz w:val="21"/>
              </w:rPr>
              <w:t>Q</w:t>
            </w:r>
            <w:r>
              <w:rPr>
                <w:sz w:val="21"/>
              </w:rPr>
              <w:t>＜</w:t>
            </w:r>
            <w:r>
              <w:rPr>
                <w:rFonts w:ascii="Times New Roman" w:eastAsia="Times New Roman"/>
                <w:sz w:val="21"/>
              </w:rPr>
              <w:t>200</w:t>
            </w:r>
          </w:p>
        </w:tc>
        <w:tc>
          <w:tcPr>
            <w:tcW w:w="3114" w:type="dxa"/>
          </w:tcPr>
          <w:p>
            <w:pPr>
              <w:pStyle w:val="14"/>
              <w:spacing w:line="251" w:lineRule="exact"/>
              <w:ind w:left="229" w:right="219"/>
              <w:rPr>
                <w:rFonts w:ascii="Times New Roman" w:eastAsia="Times New Roman"/>
                <w:sz w:val="21"/>
              </w:rPr>
            </w:pPr>
            <w:r>
              <w:rPr>
                <w:rFonts w:ascii="Times New Roman" w:eastAsia="Times New Roman"/>
                <w:sz w:val="21"/>
              </w:rPr>
              <w:t>W</w:t>
            </w:r>
            <w:r>
              <w:rPr>
                <w:sz w:val="21"/>
              </w:rPr>
              <w:t>＜</w:t>
            </w:r>
            <w:r>
              <w:rPr>
                <w:rFonts w:ascii="Times New Roman" w:eastAsia="Times New Roman"/>
                <w:sz w:val="21"/>
              </w:rPr>
              <w:t>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213" w:type="dxa"/>
          </w:tcPr>
          <w:p>
            <w:pPr>
              <w:pStyle w:val="14"/>
              <w:spacing w:before="2" w:line="251" w:lineRule="exact"/>
              <w:ind w:left="163" w:right="155"/>
              <w:rPr>
                <w:rFonts w:ascii="Times New Roman" w:eastAsia="Times New Roman"/>
                <w:sz w:val="21"/>
              </w:rPr>
            </w:pPr>
            <w:r>
              <w:rPr>
                <w:sz w:val="21"/>
              </w:rPr>
              <w:t xml:space="preserve">三级 </w:t>
            </w:r>
            <w:r>
              <w:rPr>
                <w:rFonts w:ascii="Times New Roman" w:eastAsia="Times New Roman"/>
                <w:sz w:val="21"/>
              </w:rPr>
              <w:t>B</w:t>
            </w:r>
          </w:p>
        </w:tc>
        <w:tc>
          <w:tcPr>
            <w:tcW w:w="1918" w:type="dxa"/>
          </w:tcPr>
          <w:p>
            <w:pPr>
              <w:pStyle w:val="14"/>
              <w:spacing w:before="2" w:line="251" w:lineRule="exact"/>
              <w:ind w:left="97" w:right="90"/>
              <w:rPr>
                <w:sz w:val="21"/>
              </w:rPr>
            </w:pPr>
            <w:r>
              <w:rPr>
                <w:sz w:val="21"/>
              </w:rPr>
              <w:t>间接排放</w:t>
            </w:r>
          </w:p>
        </w:tc>
        <w:tc>
          <w:tcPr>
            <w:tcW w:w="2277" w:type="dxa"/>
          </w:tcPr>
          <w:p>
            <w:pPr>
              <w:pStyle w:val="14"/>
              <w:spacing w:before="16" w:line="237" w:lineRule="exact"/>
              <w:ind w:left="12"/>
              <w:rPr>
                <w:rFonts w:ascii="Times New Roman"/>
                <w:sz w:val="21"/>
              </w:rPr>
            </w:pPr>
            <w:r>
              <w:rPr>
                <w:rFonts w:ascii="Times New Roman"/>
                <w:w w:val="99"/>
                <w:sz w:val="21"/>
              </w:rPr>
              <w:t>-</w:t>
            </w:r>
          </w:p>
        </w:tc>
        <w:tc>
          <w:tcPr>
            <w:tcW w:w="3114" w:type="dxa"/>
          </w:tcPr>
          <w:p>
            <w:pPr>
              <w:pStyle w:val="14"/>
              <w:spacing w:before="16" w:line="237" w:lineRule="exact"/>
              <w:ind w:left="6"/>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1213" w:type="dxa"/>
          </w:tcPr>
          <w:p>
            <w:pPr>
              <w:pStyle w:val="14"/>
              <w:ind w:left="163" w:right="160"/>
              <w:rPr>
                <w:sz w:val="21"/>
              </w:rPr>
            </w:pPr>
            <w:r>
              <w:rPr>
                <w:sz w:val="21"/>
              </w:rPr>
              <w:t>本项目情</w:t>
            </w:r>
          </w:p>
          <w:p>
            <w:pPr>
              <w:pStyle w:val="14"/>
              <w:spacing w:before="2" w:line="253" w:lineRule="exact"/>
              <w:ind w:left="8"/>
              <w:rPr>
                <w:sz w:val="21"/>
              </w:rPr>
            </w:pPr>
            <w:r>
              <w:rPr>
                <w:w w:val="99"/>
                <w:sz w:val="21"/>
              </w:rPr>
              <w:t>况</w:t>
            </w:r>
          </w:p>
        </w:tc>
        <w:tc>
          <w:tcPr>
            <w:tcW w:w="1918" w:type="dxa"/>
          </w:tcPr>
          <w:p>
            <w:pPr>
              <w:pStyle w:val="14"/>
              <w:spacing w:before="134"/>
              <w:ind w:left="97" w:right="90"/>
              <w:rPr>
                <w:sz w:val="21"/>
              </w:rPr>
            </w:pPr>
            <w:r>
              <w:rPr>
                <w:sz w:val="21"/>
              </w:rPr>
              <w:t>处理后排入扁石河</w:t>
            </w:r>
          </w:p>
        </w:tc>
        <w:tc>
          <w:tcPr>
            <w:tcW w:w="2277" w:type="dxa"/>
          </w:tcPr>
          <w:p>
            <w:pPr>
              <w:pStyle w:val="14"/>
              <w:spacing w:before="150"/>
              <w:ind w:left="60" w:right="49"/>
              <w:rPr>
                <w:rFonts w:ascii="Times New Roman"/>
                <w:sz w:val="21"/>
              </w:rPr>
            </w:pPr>
            <w:r>
              <w:rPr>
                <w:rFonts w:ascii="Times New Roman"/>
                <w:sz w:val="21"/>
              </w:rPr>
              <w:t>1435.68</w:t>
            </w:r>
          </w:p>
        </w:tc>
        <w:tc>
          <w:tcPr>
            <w:tcW w:w="3114" w:type="dxa"/>
          </w:tcPr>
          <w:p>
            <w:pPr>
              <w:pStyle w:val="14"/>
              <w:ind w:left="228" w:right="220"/>
              <w:rPr>
                <w:rFonts w:ascii="Times New Roman" w:eastAsia="Times New Roman"/>
                <w:sz w:val="21"/>
              </w:rPr>
            </w:pPr>
            <w:r>
              <w:rPr>
                <w:sz w:val="21"/>
              </w:rPr>
              <w:t>一类污染物总和：</w:t>
            </w:r>
            <w:r>
              <w:rPr>
                <w:rFonts w:ascii="Times New Roman" w:eastAsia="Times New Roman"/>
                <w:sz w:val="21"/>
              </w:rPr>
              <w:t>0</w:t>
            </w:r>
          </w:p>
          <w:p>
            <w:pPr>
              <w:pStyle w:val="14"/>
              <w:spacing w:before="2" w:line="253" w:lineRule="exact"/>
              <w:ind w:left="229" w:right="219"/>
              <w:rPr>
                <w:rFonts w:ascii="Times New Roman" w:eastAsia="Times New Roman"/>
                <w:sz w:val="21"/>
              </w:rPr>
            </w:pPr>
            <w:r>
              <w:rPr>
                <w:sz w:val="21"/>
              </w:rPr>
              <w:t>二类污染物当量值：</w:t>
            </w:r>
            <w:r>
              <w:rPr>
                <w:rFonts w:ascii="Times New Roman" w:eastAsia="Times New Roman"/>
                <w:sz w:val="21"/>
              </w:rPr>
              <w:t>7106</w:t>
            </w:r>
          </w:p>
        </w:tc>
      </w:tr>
    </w:tbl>
    <w:p>
      <w:pPr>
        <w:pStyle w:val="13"/>
        <w:numPr>
          <w:ilvl w:val="2"/>
          <w:numId w:val="7"/>
        </w:numPr>
        <w:tabs>
          <w:tab w:val="left" w:pos="1288"/>
        </w:tabs>
        <w:spacing w:before="2" w:after="0" w:line="240" w:lineRule="auto"/>
        <w:ind w:left="1287" w:right="0" w:hanging="630"/>
        <w:jc w:val="left"/>
        <w:rPr>
          <w:b/>
          <w:sz w:val="28"/>
        </w:rPr>
      </w:pPr>
      <w:bookmarkStart w:id="43" w:name="2.4.3声环境"/>
      <w:bookmarkEnd w:id="43"/>
      <w:bookmarkStart w:id="44" w:name="2.4.3声环境"/>
      <w:bookmarkEnd w:id="44"/>
      <w:r>
        <w:rPr>
          <w:b/>
          <w:sz w:val="28"/>
        </w:rPr>
        <w:t>声环境</w:t>
      </w:r>
    </w:p>
    <w:p>
      <w:pPr>
        <w:pStyle w:val="6"/>
        <w:spacing w:before="185" w:line="364" w:lineRule="auto"/>
        <w:ind w:left="658" w:right="691" w:firstLine="480"/>
        <w:jc w:val="both"/>
      </w:pPr>
      <w:r>
        <w:rPr>
          <w:spacing w:val="-7"/>
        </w:rPr>
        <w:t>根据《环境影响评价技术导则 声环境》</w:t>
      </w:r>
      <w:r>
        <w:t>（</w:t>
      </w:r>
      <w:r>
        <w:rPr>
          <w:rFonts w:ascii="Times New Roman" w:eastAsia="Times New Roman"/>
        </w:rPr>
        <w:t>HJ/T2.4-2009</w:t>
      </w:r>
      <w:r>
        <w:t>）</w:t>
      </w:r>
      <w:r>
        <w:rPr>
          <w:spacing w:val="-2"/>
        </w:rPr>
        <w:t>中噪声环境影响评价等级</w:t>
      </w:r>
      <w:r>
        <w:t>划分的基本原则确定。</w:t>
      </w:r>
    </w:p>
    <w:p>
      <w:pPr>
        <w:pStyle w:val="6"/>
        <w:spacing w:line="364" w:lineRule="auto"/>
        <w:ind w:left="658" w:right="697" w:firstLine="480"/>
        <w:jc w:val="both"/>
      </w:pPr>
      <w:r>
        <w:rPr>
          <w:spacing w:val="-4"/>
        </w:rPr>
        <w:t xml:space="preserve">本项目所在功能区属于噪声功能区划的 </w:t>
      </w:r>
      <w:r>
        <w:rPr>
          <w:rFonts w:ascii="Times New Roman" w:eastAsia="Times New Roman"/>
        </w:rPr>
        <w:t xml:space="preserve">2 </w:t>
      </w:r>
      <w:r>
        <w:rPr>
          <w:spacing w:val="-8"/>
        </w:rPr>
        <w:t>类标准地区，项目建设前后受噪声影响的</w:t>
      </w:r>
      <w:r>
        <w:rPr>
          <w:spacing w:val="-5"/>
        </w:rPr>
        <w:t>人口没有明显增加，项目建成后工业广场噪声值基本无变化，因此，声环境评价确定为</w:t>
      </w:r>
      <w:r>
        <w:t>二级。</w:t>
      </w:r>
    </w:p>
    <w:p>
      <w:pPr>
        <w:pStyle w:val="4"/>
        <w:numPr>
          <w:ilvl w:val="2"/>
          <w:numId w:val="7"/>
        </w:numPr>
        <w:tabs>
          <w:tab w:val="left" w:pos="1288"/>
        </w:tabs>
        <w:spacing w:before="0" w:after="0" w:line="240" w:lineRule="auto"/>
        <w:ind w:left="1287" w:right="0" w:hanging="630"/>
        <w:jc w:val="left"/>
      </w:pPr>
      <w:bookmarkStart w:id="45" w:name="2.4.4生态环境"/>
      <w:bookmarkEnd w:id="45"/>
      <w:bookmarkStart w:id="46" w:name="2.4.4生态环境"/>
      <w:bookmarkEnd w:id="46"/>
      <w:r>
        <w:t>生态环境</w:t>
      </w:r>
    </w:p>
    <w:p>
      <w:pPr>
        <w:pStyle w:val="6"/>
        <w:spacing w:before="185" w:line="362" w:lineRule="auto"/>
        <w:ind w:left="658" w:right="641" w:firstLine="480"/>
      </w:pPr>
      <w:r>
        <w:t>按照《环境影响评价技术导则 生态影响》（</w:t>
      </w:r>
      <w:r>
        <w:rPr>
          <w:rFonts w:ascii="Times New Roman" w:eastAsia="Times New Roman"/>
        </w:rPr>
        <w:t>HJ19-2011</w:t>
      </w:r>
      <w:r>
        <w:t xml:space="preserve">）对生态影响评价工作等级的划分依据，将生态影响评价工作划分为一、二、三级。划分依据见表 </w:t>
      </w:r>
      <w:r>
        <w:rPr>
          <w:rFonts w:ascii="Times New Roman" w:eastAsia="Times New Roman"/>
        </w:rPr>
        <w:t>2.4-8</w:t>
      </w:r>
      <w:r>
        <w:t>。</w:t>
      </w:r>
    </w:p>
    <w:p>
      <w:pPr>
        <w:spacing w:after="0" w:line="362" w:lineRule="auto"/>
        <w:sectPr>
          <w:pgSz w:w="11910" w:h="16840"/>
          <w:pgMar w:top="1400" w:right="720" w:bottom="1160" w:left="760" w:header="0" w:footer="895" w:gutter="0"/>
        </w:sectPr>
      </w:pPr>
    </w:p>
    <w:p>
      <w:pPr>
        <w:pStyle w:val="5"/>
        <w:spacing w:before="61" w:after="3"/>
        <w:ind w:left="3094"/>
        <w:jc w:val="both"/>
        <w:rPr>
          <w:rFonts w:ascii="Times New Roman" w:eastAsia="Times New Roman"/>
        </w:rPr>
      </w:pPr>
      <w:r>
        <w:t xml:space="preserve">表 </w:t>
      </w:r>
      <w:r>
        <w:rPr>
          <w:rFonts w:ascii="Times New Roman" w:eastAsia="Times New Roman"/>
        </w:rPr>
        <w:t xml:space="preserve">2.4-8  </w:t>
      </w:r>
      <w:r>
        <w:t>评价工作级别</w:t>
      </w:r>
      <w:r>
        <w:rPr>
          <w:rFonts w:ascii="Times New Roman" w:eastAsia="Times New Roman"/>
        </w:rPr>
        <w:t>(</w:t>
      </w:r>
      <w:r>
        <w:t>一、二、三级</w:t>
      </w:r>
      <w:r>
        <w:rPr>
          <w:rFonts w:ascii="Times New Roman" w:eastAsia="Times New Roman"/>
        </w:rPr>
        <w:t>)</w:t>
      </w:r>
    </w:p>
    <w:tbl>
      <w:tblPr>
        <w:tblStyle w:val="10"/>
        <w:tblW w:w="0" w:type="auto"/>
        <w:tblInd w:w="7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98"/>
        <w:gridCol w:w="2220"/>
        <w:gridCol w:w="2229"/>
        <w:gridCol w:w="22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2198" w:type="dxa"/>
            <w:vMerge w:val="restart"/>
          </w:tcPr>
          <w:p>
            <w:pPr>
              <w:pStyle w:val="14"/>
              <w:spacing w:before="1"/>
              <w:jc w:val="left"/>
              <w:rPr>
                <w:rFonts w:ascii="Times New Roman"/>
                <w:b/>
                <w:sz w:val="29"/>
              </w:rPr>
            </w:pPr>
          </w:p>
          <w:p>
            <w:pPr>
              <w:pStyle w:val="14"/>
              <w:ind w:left="152"/>
              <w:jc w:val="left"/>
              <w:rPr>
                <w:sz w:val="21"/>
              </w:rPr>
            </w:pPr>
            <w:r>
              <w:rPr>
                <w:sz w:val="21"/>
              </w:rPr>
              <w:t>影响区域生态敏感性</w:t>
            </w:r>
          </w:p>
        </w:tc>
        <w:tc>
          <w:tcPr>
            <w:tcW w:w="6663" w:type="dxa"/>
            <w:gridSpan w:val="3"/>
          </w:tcPr>
          <w:p>
            <w:pPr>
              <w:pStyle w:val="14"/>
              <w:spacing w:before="56"/>
              <w:ind w:left="2258" w:right="2254"/>
              <w:rPr>
                <w:sz w:val="21"/>
              </w:rPr>
            </w:pPr>
            <w:r>
              <w:rPr>
                <w:sz w:val="21"/>
              </w:rPr>
              <w:t>工程占地（水域）范围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198" w:type="dxa"/>
            <w:vMerge w:val="continue"/>
            <w:tcBorders>
              <w:top w:val="nil"/>
            </w:tcBorders>
          </w:tcPr>
          <w:p>
            <w:pPr>
              <w:rPr>
                <w:sz w:val="2"/>
                <w:szCs w:val="2"/>
              </w:rPr>
            </w:pPr>
          </w:p>
        </w:tc>
        <w:tc>
          <w:tcPr>
            <w:tcW w:w="2220" w:type="dxa"/>
          </w:tcPr>
          <w:p>
            <w:pPr>
              <w:pStyle w:val="14"/>
              <w:spacing w:before="1"/>
              <w:ind w:left="424" w:right="416"/>
              <w:rPr>
                <w:rFonts w:ascii="Times New Roman" w:hAnsi="Times New Roman" w:eastAsia="Times New Roman"/>
                <w:sz w:val="13"/>
              </w:rPr>
            </w:pPr>
            <w:r>
              <w:rPr>
                <w:sz w:val="21"/>
              </w:rPr>
              <w:t>面积</w:t>
            </w:r>
            <w:r>
              <w:rPr>
                <w:rFonts w:ascii="Times New Roman" w:hAnsi="Times New Roman" w:eastAsia="Times New Roman"/>
                <w:sz w:val="21"/>
              </w:rPr>
              <w:t>≥20km</w:t>
            </w:r>
            <w:r>
              <w:rPr>
                <w:rFonts w:ascii="Times New Roman" w:hAnsi="Times New Roman" w:eastAsia="Times New Roman"/>
                <w:position w:val="7"/>
                <w:sz w:val="13"/>
              </w:rPr>
              <w:t>2</w:t>
            </w:r>
          </w:p>
          <w:p>
            <w:pPr>
              <w:pStyle w:val="14"/>
              <w:spacing w:before="2" w:line="253" w:lineRule="exact"/>
              <w:ind w:left="424" w:right="416"/>
              <w:rPr>
                <w:rFonts w:ascii="Times New Roman" w:hAnsi="Times New Roman" w:eastAsia="Times New Roman"/>
                <w:sz w:val="21"/>
              </w:rPr>
            </w:pPr>
            <w:r>
              <w:rPr>
                <w:sz w:val="21"/>
              </w:rPr>
              <w:t>或长度</w:t>
            </w:r>
            <w:r>
              <w:rPr>
                <w:rFonts w:ascii="Times New Roman" w:hAnsi="Times New Roman" w:eastAsia="Times New Roman"/>
                <w:sz w:val="21"/>
              </w:rPr>
              <w:t>≥100km</w:t>
            </w:r>
          </w:p>
        </w:tc>
        <w:tc>
          <w:tcPr>
            <w:tcW w:w="2229" w:type="dxa"/>
          </w:tcPr>
          <w:p>
            <w:pPr>
              <w:pStyle w:val="14"/>
              <w:spacing w:before="1"/>
              <w:ind w:left="89" w:right="78"/>
              <w:rPr>
                <w:rFonts w:ascii="Times New Roman" w:eastAsia="Times New Roman"/>
                <w:sz w:val="13"/>
              </w:rPr>
            </w:pPr>
            <w:r>
              <w:rPr>
                <w:sz w:val="21"/>
              </w:rPr>
              <w:t xml:space="preserve">面积 </w:t>
            </w:r>
            <w:r>
              <w:rPr>
                <w:rFonts w:ascii="Times New Roman" w:eastAsia="Times New Roman"/>
                <w:sz w:val="21"/>
              </w:rPr>
              <w:t>2km</w:t>
            </w:r>
            <w:r>
              <w:rPr>
                <w:rFonts w:ascii="Times New Roman" w:eastAsia="Times New Roman"/>
                <w:position w:val="7"/>
                <w:sz w:val="13"/>
              </w:rPr>
              <w:t>2</w:t>
            </w:r>
            <w:r>
              <w:rPr>
                <w:sz w:val="21"/>
              </w:rPr>
              <w:t>～</w:t>
            </w:r>
            <w:r>
              <w:rPr>
                <w:rFonts w:ascii="Times New Roman" w:eastAsia="Times New Roman"/>
                <w:sz w:val="21"/>
              </w:rPr>
              <w:t>20km</w:t>
            </w:r>
            <w:r>
              <w:rPr>
                <w:rFonts w:ascii="Times New Roman" w:eastAsia="Times New Roman"/>
                <w:position w:val="7"/>
                <w:sz w:val="13"/>
              </w:rPr>
              <w:t>2</w:t>
            </w:r>
          </w:p>
          <w:p>
            <w:pPr>
              <w:pStyle w:val="14"/>
              <w:spacing w:before="2" w:line="253" w:lineRule="exact"/>
              <w:ind w:left="89" w:right="82"/>
              <w:rPr>
                <w:rFonts w:ascii="Times New Roman" w:eastAsia="Times New Roman"/>
                <w:sz w:val="21"/>
              </w:rPr>
            </w:pPr>
            <w:r>
              <w:rPr>
                <w:sz w:val="21"/>
              </w:rPr>
              <w:t xml:space="preserve">或长度 </w:t>
            </w:r>
            <w:r>
              <w:rPr>
                <w:rFonts w:ascii="Times New Roman" w:eastAsia="Times New Roman"/>
                <w:sz w:val="21"/>
              </w:rPr>
              <w:t>50km</w:t>
            </w:r>
            <w:r>
              <w:rPr>
                <w:sz w:val="21"/>
              </w:rPr>
              <w:t>～</w:t>
            </w:r>
            <w:r>
              <w:rPr>
                <w:rFonts w:ascii="Times New Roman" w:eastAsia="Times New Roman"/>
                <w:sz w:val="21"/>
              </w:rPr>
              <w:t>100km</w:t>
            </w:r>
          </w:p>
        </w:tc>
        <w:tc>
          <w:tcPr>
            <w:tcW w:w="2214" w:type="dxa"/>
          </w:tcPr>
          <w:p>
            <w:pPr>
              <w:pStyle w:val="14"/>
              <w:spacing w:before="1"/>
              <w:ind w:left="473" w:right="463"/>
              <w:rPr>
                <w:rFonts w:ascii="Times New Roman" w:hAnsi="Times New Roman" w:eastAsia="Times New Roman"/>
                <w:sz w:val="13"/>
              </w:rPr>
            </w:pPr>
            <w:r>
              <w:rPr>
                <w:sz w:val="21"/>
              </w:rPr>
              <w:t>面积</w:t>
            </w:r>
            <w:r>
              <w:rPr>
                <w:rFonts w:ascii="Times New Roman" w:hAnsi="Times New Roman" w:eastAsia="Times New Roman"/>
                <w:sz w:val="21"/>
              </w:rPr>
              <w:t>≤2km</w:t>
            </w:r>
            <w:r>
              <w:rPr>
                <w:rFonts w:ascii="Times New Roman" w:hAnsi="Times New Roman" w:eastAsia="Times New Roman"/>
                <w:position w:val="7"/>
                <w:sz w:val="13"/>
              </w:rPr>
              <w:t>2</w:t>
            </w:r>
          </w:p>
          <w:p>
            <w:pPr>
              <w:pStyle w:val="14"/>
              <w:spacing w:before="2" w:line="253" w:lineRule="exact"/>
              <w:ind w:left="473" w:right="467"/>
              <w:rPr>
                <w:rFonts w:ascii="Times New Roman" w:hAnsi="Times New Roman" w:eastAsia="Times New Roman"/>
                <w:sz w:val="21"/>
              </w:rPr>
            </w:pPr>
            <w:r>
              <w:rPr>
                <w:sz w:val="21"/>
              </w:rPr>
              <w:t>或长度</w:t>
            </w:r>
            <w:r>
              <w:rPr>
                <w:rFonts w:ascii="Times New Roman" w:hAnsi="Times New Roman" w:eastAsia="Times New Roman"/>
                <w:sz w:val="21"/>
              </w:rPr>
              <w:t>≤50km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2198" w:type="dxa"/>
          </w:tcPr>
          <w:p>
            <w:pPr>
              <w:pStyle w:val="14"/>
              <w:spacing w:before="48"/>
              <w:ind w:left="343" w:right="334"/>
              <w:rPr>
                <w:sz w:val="21"/>
              </w:rPr>
            </w:pPr>
            <w:r>
              <w:rPr>
                <w:sz w:val="21"/>
              </w:rPr>
              <w:t>特殊生态敏感区</w:t>
            </w:r>
          </w:p>
        </w:tc>
        <w:tc>
          <w:tcPr>
            <w:tcW w:w="2220" w:type="dxa"/>
          </w:tcPr>
          <w:p>
            <w:pPr>
              <w:pStyle w:val="14"/>
              <w:spacing w:before="48"/>
              <w:ind w:left="423" w:right="416"/>
              <w:rPr>
                <w:sz w:val="21"/>
              </w:rPr>
            </w:pPr>
            <w:r>
              <w:rPr>
                <w:sz w:val="21"/>
              </w:rPr>
              <w:t>一级</w:t>
            </w:r>
          </w:p>
        </w:tc>
        <w:tc>
          <w:tcPr>
            <w:tcW w:w="2229" w:type="dxa"/>
          </w:tcPr>
          <w:p>
            <w:pPr>
              <w:pStyle w:val="14"/>
              <w:spacing w:before="48"/>
              <w:ind w:right="894"/>
              <w:jc w:val="right"/>
              <w:rPr>
                <w:sz w:val="21"/>
              </w:rPr>
            </w:pPr>
            <w:r>
              <w:rPr>
                <w:w w:val="95"/>
                <w:sz w:val="21"/>
              </w:rPr>
              <w:t>一级</w:t>
            </w:r>
          </w:p>
        </w:tc>
        <w:tc>
          <w:tcPr>
            <w:tcW w:w="2214" w:type="dxa"/>
          </w:tcPr>
          <w:p>
            <w:pPr>
              <w:pStyle w:val="14"/>
              <w:spacing w:before="48"/>
              <w:ind w:left="471" w:right="467"/>
              <w:rPr>
                <w:sz w:val="21"/>
              </w:rPr>
            </w:pPr>
            <w:r>
              <w:rPr>
                <w:sz w:val="21"/>
              </w:rPr>
              <w:t>一级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2198" w:type="dxa"/>
          </w:tcPr>
          <w:p>
            <w:pPr>
              <w:pStyle w:val="14"/>
              <w:spacing w:before="56"/>
              <w:ind w:left="343" w:right="334"/>
              <w:rPr>
                <w:sz w:val="21"/>
              </w:rPr>
            </w:pPr>
            <w:r>
              <w:rPr>
                <w:sz w:val="21"/>
              </w:rPr>
              <w:t>重要生态敏感区</w:t>
            </w:r>
          </w:p>
        </w:tc>
        <w:tc>
          <w:tcPr>
            <w:tcW w:w="2220" w:type="dxa"/>
          </w:tcPr>
          <w:p>
            <w:pPr>
              <w:pStyle w:val="14"/>
              <w:spacing w:before="56"/>
              <w:ind w:left="423" w:right="416"/>
              <w:rPr>
                <w:sz w:val="21"/>
              </w:rPr>
            </w:pPr>
            <w:r>
              <w:rPr>
                <w:sz w:val="21"/>
              </w:rPr>
              <w:t>一级</w:t>
            </w:r>
          </w:p>
        </w:tc>
        <w:tc>
          <w:tcPr>
            <w:tcW w:w="2229" w:type="dxa"/>
          </w:tcPr>
          <w:p>
            <w:pPr>
              <w:pStyle w:val="14"/>
              <w:spacing w:before="56"/>
              <w:ind w:right="894"/>
              <w:jc w:val="right"/>
              <w:rPr>
                <w:sz w:val="21"/>
              </w:rPr>
            </w:pPr>
            <w:r>
              <w:rPr>
                <w:w w:val="95"/>
                <w:sz w:val="21"/>
              </w:rPr>
              <w:t>二级</w:t>
            </w:r>
          </w:p>
        </w:tc>
        <w:tc>
          <w:tcPr>
            <w:tcW w:w="2214" w:type="dxa"/>
          </w:tcPr>
          <w:p>
            <w:pPr>
              <w:pStyle w:val="14"/>
              <w:spacing w:before="56"/>
              <w:ind w:left="471" w:right="467"/>
              <w:rPr>
                <w:sz w:val="21"/>
              </w:rPr>
            </w:pPr>
            <w:r>
              <w:rPr>
                <w:sz w:val="21"/>
              </w:rPr>
              <w:t>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2198" w:type="dxa"/>
          </w:tcPr>
          <w:p>
            <w:pPr>
              <w:pStyle w:val="14"/>
              <w:spacing w:before="56"/>
              <w:ind w:left="340" w:right="334"/>
              <w:rPr>
                <w:sz w:val="21"/>
              </w:rPr>
            </w:pPr>
            <w:r>
              <w:rPr>
                <w:sz w:val="21"/>
              </w:rPr>
              <w:t>一般区域</w:t>
            </w:r>
          </w:p>
        </w:tc>
        <w:tc>
          <w:tcPr>
            <w:tcW w:w="2220" w:type="dxa"/>
          </w:tcPr>
          <w:p>
            <w:pPr>
              <w:pStyle w:val="14"/>
              <w:spacing w:before="56"/>
              <w:ind w:left="423" w:right="416"/>
              <w:rPr>
                <w:sz w:val="21"/>
              </w:rPr>
            </w:pPr>
            <w:r>
              <w:rPr>
                <w:sz w:val="21"/>
              </w:rPr>
              <w:t>二级</w:t>
            </w:r>
          </w:p>
        </w:tc>
        <w:tc>
          <w:tcPr>
            <w:tcW w:w="2229" w:type="dxa"/>
          </w:tcPr>
          <w:p>
            <w:pPr>
              <w:pStyle w:val="14"/>
              <w:spacing w:before="56"/>
              <w:ind w:right="894"/>
              <w:jc w:val="right"/>
              <w:rPr>
                <w:sz w:val="21"/>
              </w:rPr>
            </w:pPr>
            <w:r>
              <w:rPr>
                <w:w w:val="95"/>
                <w:sz w:val="21"/>
              </w:rPr>
              <w:t>三级</w:t>
            </w:r>
          </w:p>
        </w:tc>
        <w:tc>
          <w:tcPr>
            <w:tcW w:w="2214" w:type="dxa"/>
          </w:tcPr>
          <w:p>
            <w:pPr>
              <w:pStyle w:val="14"/>
              <w:spacing w:before="56"/>
              <w:ind w:left="471" w:right="467"/>
              <w:rPr>
                <w:sz w:val="21"/>
              </w:rPr>
            </w:pPr>
            <w:r>
              <w:rPr>
                <w:sz w:val="21"/>
              </w:rPr>
              <w:t>三级</w:t>
            </w:r>
          </w:p>
        </w:tc>
      </w:tr>
    </w:tbl>
    <w:p>
      <w:pPr>
        <w:pStyle w:val="6"/>
        <w:spacing w:before="2" w:line="364" w:lineRule="auto"/>
        <w:ind w:left="658" w:right="693" w:firstLine="480"/>
        <w:jc w:val="both"/>
      </w:pPr>
      <w:r>
        <w:rPr>
          <w:spacing w:val="-1"/>
        </w:rPr>
        <w:t>据影响区域的生态敏感性和评价项目的工程占地</w:t>
      </w:r>
      <w:r>
        <w:t>（含水域</w:t>
      </w:r>
      <w:r>
        <w:rPr>
          <w:spacing w:val="-17"/>
        </w:rPr>
        <w:t>）</w:t>
      </w:r>
      <w:r>
        <w:rPr>
          <w:spacing w:val="-5"/>
        </w:rPr>
        <w:t>范围，包括永久占地和</w:t>
      </w:r>
      <w:r>
        <w:rPr>
          <w:spacing w:val="11"/>
        </w:rPr>
        <w:t>临时占地，划分生态影响评价等级。本项目所在地属于一般区域，项目用地总面积</w:t>
      </w:r>
      <w:r>
        <w:rPr>
          <w:rFonts w:ascii="Times New Roman" w:eastAsia="Times New Roman"/>
        </w:rPr>
        <w:t>3.308978km</w:t>
      </w:r>
      <w:r>
        <w:rPr>
          <w:rFonts w:ascii="Times New Roman" w:eastAsia="Times New Roman"/>
          <w:position w:val="8"/>
          <w:sz w:val="15"/>
        </w:rPr>
        <w:t>2</w:t>
      </w:r>
      <w:r>
        <w:rPr>
          <w:spacing w:val="-7"/>
        </w:rPr>
        <w:t xml:space="preserve">，面积在 </w:t>
      </w:r>
      <w:r>
        <w:rPr>
          <w:rFonts w:ascii="Times New Roman" w:eastAsia="Times New Roman"/>
        </w:rPr>
        <w:t>2km</w:t>
      </w:r>
      <w:r>
        <w:rPr>
          <w:rFonts w:ascii="Times New Roman" w:eastAsia="Times New Roman"/>
          <w:position w:val="8"/>
          <w:sz w:val="15"/>
        </w:rPr>
        <w:t>2</w:t>
      </w:r>
      <w:r>
        <w:t>～</w:t>
      </w:r>
      <w:r>
        <w:rPr>
          <w:rFonts w:ascii="Times New Roman" w:eastAsia="Times New Roman"/>
        </w:rPr>
        <w:t>20km</w:t>
      </w:r>
      <w:r>
        <w:rPr>
          <w:rFonts w:ascii="Times New Roman" w:eastAsia="Times New Roman"/>
          <w:position w:val="8"/>
          <w:sz w:val="15"/>
        </w:rPr>
        <w:t xml:space="preserve">2 </w:t>
      </w:r>
      <w:r>
        <w:t>之间，故生态影响评价等级为三级。根据《环境影响评价技术导则生态影响》（</w:t>
      </w:r>
      <w:r>
        <w:rPr>
          <w:rFonts w:ascii="Times New Roman" w:eastAsia="Times New Roman"/>
        </w:rPr>
        <w:t>HJ19-2011</w:t>
      </w:r>
      <w:r>
        <w:t>）及《双鸭山大顺矿业有限责任公司矿山地质</w:t>
      </w:r>
      <w:r>
        <w:rPr>
          <w:spacing w:val="-6"/>
        </w:rPr>
        <w:t>环境保护与土地复垦方案》，本项目矿区及沉陷范围内大部分为有林地和少量旱地，现</w:t>
      </w:r>
      <w:r>
        <w:rPr>
          <w:spacing w:val="-5"/>
        </w:rPr>
        <w:t>有沉陷范围区域处于丘陵区域，地表有起伏，沉陷程度较小，不影响树木的生长和农作</w:t>
      </w:r>
      <w:r>
        <w:rPr>
          <w:spacing w:val="-8"/>
        </w:rPr>
        <w:t>物耕种，土地利用类型未明显改变，所以生态影响评价等级无需上调。综上，本项目生</w:t>
      </w:r>
      <w:r>
        <w:t>态影响评价等级为三级。</w:t>
      </w:r>
    </w:p>
    <w:p>
      <w:pPr>
        <w:pStyle w:val="4"/>
        <w:numPr>
          <w:ilvl w:val="2"/>
          <w:numId w:val="7"/>
        </w:numPr>
        <w:tabs>
          <w:tab w:val="left" w:pos="1288"/>
        </w:tabs>
        <w:spacing w:before="0" w:after="0" w:line="355" w:lineRule="exact"/>
        <w:ind w:left="1287" w:right="0" w:hanging="630"/>
        <w:jc w:val="left"/>
      </w:pPr>
      <w:bookmarkStart w:id="47" w:name="2.4.5地下水环境"/>
      <w:bookmarkEnd w:id="47"/>
      <w:bookmarkStart w:id="48" w:name="2.4.5地下水环境"/>
      <w:bookmarkEnd w:id="48"/>
      <w:r>
        <w:t>地下水环境</w:t>
      </w:r>
    </w:p>
    <w:p>
      <w:pPr>
        <w:pStyle w:val="6"/>
        <w:spacing w:before="185" w:line="364" w:lineRule="auto"/>
        <w:ind w:left="658" w:right="697" w:firstLine="480"/>
        <w:jc w:val="both"/>
      </w:pPr>
      <w:r>
        <w:t>根据《环境影响评价技术导则 地下水环境》（</w:t>
      </w:r>
      <w:r>
        <w:rPr>
          <w:rFonts w:ascii="Times New Roman" w:eastAsia="Times New Roman"/>
        </w:rPr>
        <w:t>HJ 610-2016</w:t>
      </w:r>
      <w:r>
        <w:t>）</w:t>
      </w:r>
      <w:r>
        <w:rPr>
          <w:spacing w:val="-2"/>
        </w:rPr>
        <w:t>对建设项目地下水评</w:t>
      </w:r>
      <w:r>
        <w:rPr>
          <w:spacing w:val="-7"/>
        </w:rPr>
        <w:t>价的要求，根据建设项目行业分类和地下水环境敏感程度分级进行判定，确定该项目地</w:t>
      </w:r>
      <w:r>
        <w:t>下水环境影响评价工作等级。</w:t>
      </w:r>
    </w:p>
    <w:p>
      <w:pPr>
        <w:pStyle w:val="4"/>
        <w:numPr>
          <w:ilvl w:val="3"/>
          <w:numId w:val="14"/>
        </w:numPr>
        <w:tabs>
          <w:tab w:val="left" w:pos="1499"/>
        </w:tabs>
        <w:spacing w:before="0" w:after="0" w:line="240" w:lineRule="auto"/>
        <w:ind w:left="1498" w:right="0" w:hanging="841"/>
        <w:jc w:val="left"/>
      </w:pPr>
      <w:r>
        <w:t>建设项目分类</w:t>
      </w:r>
    </w:p>
    <w:p>
      <w:pPr>
        <w:pStyle w:val="6"/>
        <w:spacing w:before="183" w:line="364" w:lineRule="auto"/>
        <w:ind w:left="658" w:right="697" w:firstLine="480"/>
        <w:jc w:val="both"/>
      </w:pPr>
      <w:r>
        <w:t>根据《环境影响评价技术导则 地下水》（</w:t>
      </w:r>
      <w:r>
        <w:rPr>
          <w:rFonts w:ascii="Times New Roman" w:hAnsi="Times New Roman" w:eastAsia="Times New Roman"/>
        </w:rPr>
        <w:t>HJ 610-2016</w:t>
      </w:r>
      <w:r>
        <w:t>）</w:t>
      </w:r>
      <w:r>
        <w:rPr>
          <w:spacing w:val="-19"/>
        </w:rPr>
        <w:t xml:space="preserve">附录 </w:t>
      </w:r>
      <w:r>
        <w:rPr>
          <w:rFonts w:ascii="Times New Roman" w:hAnsi="Times New Roman" w:eastAsia="Times New Roman"/>
        </w:rPr>
        <w:t>A</w:t>
      </w:r>
      <w:r>
        <w:rPr>
          <w:spacing w:val="-2"/>
        </w:rPr>
        <w:t>：地下水环境影响</w:t>
      </w:r>
      <w:r>
        <w:rPr>
          <w:spacing w:val="-6"/>
        </w:rPr>
        <w:t>评价行业分类表，本项目为煤炭开采，煤炭开采过程中设置煤矸石暂存场，煤矸石暂存</w:t>
      </w:r>
      <w:r>
        <w:t>场为Ⅱ类项目。</w:t>
      </w:r>
      <w:r>
        <w:rPr>
          <w:rFonts w:ascii="Times New Roman" w:hAnsi="Times New Roman" w:eastAsia="Times New Roman"/>
        </w:rPr>
        <w:t>(</w:t>
      </w:r>
      <w:r>
        <w:rPr>
          <w:spacing w:val="-21"/>
        </w:rPr>
        <w:t xml:space="preserve">见表 </w:t>
      </w:r>
      <w:r>
        <w:rPr>
          <w:rFonts w:ascii="Times New Roman" w:hAnsi="Times New Roman" w:eastAsia="Times New Roman"/>
        </w:rPr>
        <w:t>2.4-9)</w:t>
      </w:r>
      <w:r>
        <w:t>。</w:t>
      </w:r>
    </w:p>
    <w:p>
      <w:pPr>
        <w:pStyle w:val="5"/>
        <w:spacing w:after="3" w:line="307" w:lineRule="exact"/>
        <w:ind w:left="3053"/>
        <w:jc w:val="both"/>
      </w:pPr>
      <w:r>
        <mc:AlternateContent>
          <mc:Choice Requires="wps">
            <w:drawing>
              <wp:anchor distT="0" distB="0" distL="114300" distR="114300" simplePos="0" relativeHeight="214248448" behindDoc="1" locked="0" layoutInCell="1" allowOverlap="1">
                <wp:simplePos x="0" y="0"/>
                <wp:positionH relativeFrom="page">
                  <wp:posOffset>902335</wp:posOffset>
                </wp:positionH>
                <wp:positionV relativeFrom="paragraph">
                  <wp:posOffset>200660</wp:posOffset>
                </wp:positionV>
                <wp:extent cx="2452370" cy="720725"/>
                <wp:effectExtent l="1270" t="4445" r="3810" b="17780"/>
                <wp:wrapNone/>
                <wp:docPr id="2" name="直线 2"/>
                <wp:cNvGraphicFramePr/>
                <a:graphic xmlns:a="http://schemas.openxmlformats.org/drawingml/2006/main">
                  <a:graphicData uri="http://schemas.microsoft.com/office/word/2010/wordprocessingShape">
                    <wps:wsp>
                      <wps:cNvSpPr/>
                      <wps:spPr>
                        <a:xfrm>
                          <a:off x="0" y="0"/>
                          <a:ext cx="2452370" cy="720725"/>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2" o:spid="_x0000_s1026" o:spt="20" style="position:absolute;left:0pt;margin-left:71.05pt;margin-top:15.8pt;height:56.75pt;width:193.1pt;mso-position-horizontal-relative:page;z-index:-289068032;mso-width-relative:page;mso-height-relative:page;" filled="f" stroked="t" coordsize="21600,21600" o:gfxdata="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ErMnQ1gAAAAoBAAAPAAAAAAAAAAEAIAAAACIAAABk&#10;cnMvZG93bnJldi54bWxQSwECFAAUAAAACACHTuJAI0SkNc8BAACSAwAADgAAAAAAAAABACAAAAAl&#10;AQAAZHJzL2Uyb0RvYy54bWxQSwUGAAAAAAYABgBZAQAAZgUAAAAA&#10;">
                <v:fill on="f" focussize="0,0"/>
                <v:stroke weight="0.5pt" color="#000000" joinstyle="round"/>
                <v:imagedata o:title=""/>
                <o:lock v:ext="edit" aspectratio="f"/>
              </v:line>
            </w:pict>
          </mc:Fallback>
        </mc:AlternateContent>
      </w:r>
      <w:r>
        <w:t xml:space="preserve">表 </w:t>
      </w:r>
      <w:r>
        <w:rPr>
          <w:rFonts w:ascii="Times New Roman" w:eastAsia="Times New Roman"/>
        </w:rPr>
        <w:t xml:space="preserve">2.4-9  </w:t>
      </w:r>
      <w:r>
        <w:t>地下水环境影响评价行业分类表</w:t>
      </w:r>
    </w:p>
    <w:tbl>
      <w:tblPr>
        <w:tblStyle w:val="10"/>
        <w:tblW w:w="0" w:type="auto"/>
        <w:tblInd w:w="66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67"/>
        <w:gridCol w:w="1294"/>
        <w:gridCol w:w="984"/>
        <w:gridCol w:w="1678"/>
        <w:gridCol w:w="9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3867" w:type="dxa"/>
            <w:vMerge w:val="restart"/>
          </w:tcPr>
          <w:p>
            <w:pPr>
              <w:pStyle w:val="14"/>
              <w:spacing w:before="10"/>
              <w:jc w:val="left"/>
              <w:rPr>
                <w:b/>
                <w:sz w:val="22"/>
              </w:rPr>
            </w:pPr>
          </w:p>
          <w:p>
            <w:pPr>
              <w:pStyle w:val="14"/>
              <w:spacing w:before="1"/>
              <w:ind w:left="2628"/>
              <w:jc w:val="left"/>
              <w:rPr>
                <w:sz w:val="21"/>
              </w:rPr>
            </w:pPr>
            <w:r>
              <w:rPr>
                <w:sz w:val="21"/>
              </w:rPr>
              <w:t>环评类别</w:t>
            </w:r>
          </w:p>
          <w:p>
            <w:pPr>
              <w:pStyle w:val="14"/>
              <w:spacing w:before="2"/>
              <w:ind w:left="108"/>
              <w:jc w:val="left"/>
              <w:rPr>
                <w:sz w:val="21"/>
              </w:rPr>
            </w:pPr>
            <w:r>
              <w:rPr>
                <w:sz w:val="21"/>
              </w:rPr>
              <w:t>行业类别</w:t>
            </w:r>
          </w:p>
        </w:tc>
        <w:tc>
          <w:tcPr>
            <w:tcW w:w="1294" w:type="dxa"/>
            <w:vMerge w:val="restart"/>
          </w:tcPr>
          <w:p>
            <w:pPr>
              <w:pStyle w:val="14"/>
              <w:jc w:val="left"/>
              <w:rPr>
                <w:b/>
                <w:sz w:val="20"/>
              </w:rPr>
            </w:pPr>
          </w:p>
          <w:p>
            <w:pPr>
              <w:pStyle w:val="14"/>
              <w:spacing w:before="171"/>
              <w:ind w:left="330"/>
              <w:jc w:val="left"/>
              <w:rPr>
                <w:sz w:val="21"/>
              </w:rPr>
            </w:pPr>
            <w:r>
              <w:rPr>
                <w:sz w:val="21"/>
              </w:rPr>
              <w:t>报告书</w:t>
            </w:r>
          </w:p>
        </w:tc>
        <w:tc>
          <w:tcPr>
            <w:tcW w:w="984" w:type="dxa"/>
            <w:vMerge w:val="restart"/>
          </w:tcPr>
          <w:p>
            <w:pPr>
              <w:pStyle w:val="14"/>
              <w:jc w:val="left"/>
              <w:rPr>
                <w:b/>
                <w:sz w:val="20"/>
              </w:rPr>
            </w:pPr>
          </w:p>
          <w:p>
            <w:pPr>
              <w:pStyle w:val="14"/>
              <w:spacing w:before="171"/>
              <w:ind w:left="176"/>
              <w:jc w:val="left"/>
              <w:rPr>
                <w:sz w:val="21"/>
              </w:rPr>
            </w:pPr>
            <w:r>
              <w:rPr>
                <w:sz w:val="21"/>
              </w:rPr>
              <w:t>报告表</w:t>
            </w:r>
          </w:p>
        </w:tc>
        <w:tc>
          <w:tcPr>
            <w:tcW w:w="2616" w:type="dxa"/>
            <w:gridSpan w:val="2"/>
          </w:tcPr>
          <w:p>
            <w:pPr>
              <w:pStyle w:val="14"/>
              <w:spacing w:before="93" w:line="244" w:lineRule="auto"/>
              <w:ind w:left="1098" w:right="142" w:hanging="946"/>
              <w:jc w:val="left"/>
              <w:rPr>
                <w:sz w:val="21"/>
              </w:rPr>
            </w:pPr>
            <w:r>
              <w:rPr>
                <w:sz w:val="21"/>
              </w:rPr>
              <w:t>地下水环境影响评价项目类别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3867" w:type="dxa"/>
            <w:vMerge w:val="continue"/>
            <w:tcBorders>
              <w:top w:val="nil"/>
            </w:tcBorders>
          </w:tcPr>
          <w:p>
            <w:pPr>
              <w:rPr>
                <w:sz w:val="2"/>
                <w:szCs w:val="2"/>
              </w:rPr>
            </w:pPr>
          </w:p>
        </w:tc>
        <w:tc>
          <w:tcPr>
            <w:tcW w:w="1294" w:type="dxa"/>
            <w:vMerge w:val="continue"/>
            <w:tcBorders>
              <w:top w:val="nil"/>
            </w:tcBorders>
          </w:tcPr>
          <w:p>
            <w:pPr>
              <w:rPr>
                <w:sz w:val="2"/>
                <w:szCs w:val="2"/>
              </w:rPr>
            </w:pPr>
          </w:p>
        </w:tc>
        <w:tc>
          <w:tcPr>
            <w:tcW w:w="984" w:type="dxa"/>
            <w:vMerge w:val="continue"/>
            <w:tcBorders>
              <w:top w:val="nil"/>
            </w:tcBorders>
          </w:tcPr>
          <w:p>
            <w:pPr>
              <w:rPr>
                <w:sz w:val="2"/>
                <w:szCs w:val="2"/>
              </w:rPr>
            </w:pPr>
          </w:p>
        </w:tc>
        <w:tc>
          <w:tcPr>
            <w:tcW w:w="1678" w:type="dxa"/>
          </w:tcPr>
          <w:p>
            <w:pPr>
              <w:pStyle w:val="14"/>
              <w:spacing w:before="56"/>
              <w:ind w:left="524"/>
              <w:jc w:val="left"/>
              <w:rPr>
                <w:sz w:val="21"/>
              </w:rPr>
            </w:pPr>
            <w:r>
              <w:rPr>
                <w:sz w:val="21"/>
              </w:rPr>
              <w:t>报告书</w:t>
            </w:r>
          </w:p>
        </w:tc>
        <w:tc>
          <w:tcPr>
            <w:tcW w:w="938" w:type="dxa"/>
          </w:tcPr>
          <w:p>
            <w:pPr>
              <w:pStyle w:val="14"/>
              <w:spacing w:before="56"/>
              <w:ind w:left="134" w:right="124"/>
              <w:rPr>
                <w:sz w:val="21"/>
              </w:rPr>
            </w:pPr>
            <w:r>
              <w:rPr>
                <w:sz w:val="21"/>
              </w:rPr>
              <w:t>报告表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7" w:hRule="atLeast"/>
        </w:trPr>
        <w:tc>
          <w:tcPr>
            <w:tcW w:w="8761" w:type="dxa"/>
            <w:gridSpan w:val="5"/>
          </w:tcPr>
          <w:p>
            <w:pPr>
              <w:pStyle w:val="14"/>
              <w:spacing w:before="57"/>
              <w:ind w:left="108"/>
              <w:jc w:val="left"/>
              <w:rPr>
                <w:sz w:val="21"/>
              </w:rPr>
            </w:pPr>
            <w:r>
              <w:rPr>
                <w:rFonts w:ascii="Times New Roman" w:eastAsia="Times New Roman"/>
                <w:sz w:val="21"/>
              </w:rPr>
              <w:t xml:space="preserve">D </w:t>
            </w:r>
            <w:r>
              <w:rPr>
                <w:sz w:val="21"/>
              </w:rPr>
              <w:t>煤炭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7" w:hRule="atLeast"/>
        </w:trPr>
        <w:tc>
          <w:tcPr>
            <w:tcW w:w="3867" w:type="dxa"/>
            <w:tcBorders>
              <w:bottom w:val="nil"/>
            </w:tcBorders>
          </w:tcPr>
          <w:p>
            <w:pPr>
              <w:pStyle w:val="14"/>
              <w:jc w:val="left"/>
              <w:rPr>
                <w:b/>
                <w:sz w:val="22"/>
              </w:rPr>
            </w:pPr>
          </w:p>
          <w:p>
            <w:pPr>
              <w:pStyle w:val="14"/>
              <w:spacing w:before="1"/>
              <w:jc w:val="left"/>
              <w:rPr>
                <w:b/>
                <w:sz w:val="19"/>
              </w:rPr>
            </w:pPr>
          </w:p>
          <w:p>
            <w:pPr>
              <w:pStyle w:val="14"/>
              <w:ind w:left="108"/>
              <w:jc w:val="left"/>
              <w:rPr>
                <w:sz w:val="21"/>
              </w:rPr>
            </w:pPr>
            <w:r>
              <w:rPr>
                <w:rFonts w:ascii="Times New Roman" w:eastAsia="Times New Roman"/>
                <w:sz w:val="21"/>
              </w:rPr>
              <w:t xml:space="preserve">25 </w:t>
            </w:r>
            <w:r>
              <w:rPr>
                <w:sz w:val="21"/>
              </w:rPr>
              <w:t>煤层气开采</w:t>
            </w:r>
          </w:p>
        </w:tc>
        <w:tc>
          <w:tcPr>
            <w:tcW w:w="1294" w:type="dxa"/>
            <w:tcBorders>
              <w:bottom w:val="nil"/>
            </w:tcBorders>
          </w:tcPr>
          <w:p>
            <w:pPr>
              <w:pStyle w:val="14"/>
              <w:spacing w:line="242" w:lineRule="auto"/>
              <w:ind w:left="121" w:right="111" w:hanging="15"/>
              <w:jc w:val="both"/>
              <w:rPr>
                <w:sz w:val="21"/>
              </w:rPr>
            </w:pPr>
            <w:r>
              <w:rPr>
                <w:sz w:val="21"/>
              </w:rPr>
              <w:t>年生产能力</w:t>
            </w:r>
            <w:r>
              <w:rPr>
                <w:rFonts w:ascii="Times New Roman" w:eastAsia="Times New Roman"/>
                <w:sz w:val="21"/>
              </w:rPr>
              <w:t>1</w:t>
            </w:r>
            <w:r>
              <w:rPr>
                <w:rFonts w:ascii="Times New Roman" w:eastAsia="Times New Roman"/>
                <w:spacing w:val="-4"/>
                <w:sz w:val="21"/>
              </w:rPr>
              <w:t xml:space="preserve"> </w:t>
            </w:r>
            <w:r>
              <w:rPr>
                <w:sz w:val="21"/>
              </w:rPr>
              <w:t>亿立方米</w:t>
            </w:r>
            <w:r>
              <w:rPr>
                <w:spacing w:val="-3"/>
                <w:w w:val="95"/>
                <w:sz w:val="21"/>
              </w:rPr>
              <w:t>及以上；涉</w:t>
            </w:r>
          </w:p>
          <w:p>
            <w:pPr>
              <w:pStyle w:val="14"/>
              <w:spacing w:before="2" w:line="250" w:lineRule="exact"/>
              <w:ind w:left="121"/>
              <w:jc w:val="left"/>
              <w:rPr>
                <w:sz w:val="21"/>
              </w:rPr>
            </w:pPr>
            <w:r>
              <w:rPr>
                <w:w w:val="95"/>
                <w:sz w:val="21"/>
              </w:rPr>
              <w:t>及环境敏感</w:t>
            </w:r>
          </w:p>
        </w:tc>
        <w:tc>
          <w:tcPr>
            <w:tcW w:w="984" w:type="dxa"/>
            <w:tcBorders>
              <w:bottom w:val="nil"/>
            </w:tcBorders>
          </w:tcPr>
          <w:p>
            <w:pPr>
              <w:pStyle w:val="14"/>
              <w:jc w:val="left"/>
              <w:rPr>
                <w:b/>
                <w:sz w:val="20"/>
              </w:rPr>
            </w:pPr>
          </w:p>
          <w:p>
            <w:pPr>
              <w:pStyle w:val="14"/>
              <w:spacing w:before="1"/>
              <w:jc w:val="left"/>
              <w:rPr>
                <w:b/>
                <w:sz w:val="21"/>
              </w:rPr>
            </w:pPr>
          </w:p>
          <w:p>
            <w:pPr>
              <w:pStyle w:val="14"/>
              <w:ind w:left="282"/>
              <w:jc w:val="left"/>
              <w:rPr>
                <w:sz w:val="21"/>
              </w:rPr>
            </w:pPr>
            <w:r>
              <w:rPr>
                <w:sz w:val="21"/>
              </w:rPr>
              <w:t>其他</w:t>
            </w:r>
          </w:p>
        </w:tc>
        <w:tc>
          <w:tcPr>
            <w:tcW w:w="1678" w:type="dxa"/>
            <w:tcBorders>
              <w:bottom w:val="nil"/>
            </w:tcBorders>
          </w:tcPr>
          <w:p>
            <w:pPr>
              <w:pStyle w:val="14"/>
              <w:jc w:val="left"/>
              <w:rPr>
                <w:b/>
                <w:sz w:val="20"/>
              </w:rPr>
            </w:pPr>
          </w:p>
          <w:p>
            <w:pPr>
              <w:pStyle w:val="14"/>
              <w:spacing w:before="134" w:line="242" w:lineRule="auto"/>
              <w:ind w:left="107" w:right="54" w:firstLine="100"/>
              <w:jc w:val="left"/>
              <w:rPr>
                <w:sz w:val="21"/>
              </w:rPr>
            </w:pPr>
            <w:r>
              <w:rPr>
                <w:sz w:val="21"/>
              </w:rPr>
              <w:t>水力压裂工艺Ⅱ类；其余Ⅲ类</w:t>
            </w:r>
          </w:p>
        </w:tc>
        <w:tc>
          <w:tcPr>
            <w:tcW w:w="938" w:type="dxa"/>
            <w:tcBorders>
              <w:bottom w:val="nil"/>
            </w:tcBorders>
          </w:tcPr>
          <w:p>
            <w:pPr>
              <w:pStyle w:val="14"/>
              <w:jc w:val="left"/>
              <w:rPr>
                <w:b/>
                <w:sz w:val="20"/>
              </w:rPr>
            </w:pPr>
          </w:p>
          <w:p>
            <w:pPr>
              <w:pStyle w:val="14"/>
              <w:spacing w:before="1"/>
              <w:jc w:val="left"/>
              <w:rPr>
                <w:b/>
                <w:sz w:val="21"/>
              </w:rPr>
            </w:pPr>
          </w:p>
          <w:p>
            <w:pPr>
              <w:pStyle w:val="14"/>
              <w:ind w:left="132" w:right="124"/>
              <w:rPr>
                <w:sz w:val="21"/>
              </w:rPr>
            </w:pPr>
            <w:r>
              <w:rPr>
                <w:sz w:val="21"/>
              </w:rPr>
              <w:t>Ⅳ类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 w:hRule="atLeast"/>
        </w:trPr>
        <w:tc>
          <w:tcPr>
            <w:tcW w:w="3867" w:type="dxa"/>
            <w:tcBorders>
              <w:top w:val="nil"/>
            </w:tcBorders>
          </w:tcPr>
          <w:p>
            <w:pPr>
              <w:pStyle w:val="14"/>
              <w:jc w:val="left"/>
              <w:rPr>
                <w:rFonts w:ascii="Times New Roman"/>
                <w:sz w:val="16"/>
              </w:rPr>
            </w:pPr>
          </w:p>
        </w:tc>
        <w:tc>
          <w:tcPr>
            <w:tcW w:w="1294" w:type="dxa"/>
            <w:tcBorders>
              <w:top w:val="nil"/>
            </w:tcBorders>
          </w:tcPr>
          <w:p>
            <w:pPr>
              <w:pStyle w:val="14"/>
              <w:spacing w:line="215" w:lineRule="exact"/>
              <w:ind w:left="308" w:right="302"/>
              <w:rPr>
                <w:sz w:val="21"/>
              </w:rPr>
            </w:pPr>
            <w:r>
              <w:rPr>
                <w:sz w:val="21"/>
              </w:rPr>
              <w:t>区的</w:t>
            </w:r>
          </w:p>
        </w:tc>
        <w:tc>
          <w:tcPr>
            <w:tcW w:w="984" w:type="dxa"/>
            <w:tcBorders>
              <w:top w:val="nil"/>
            </w:tcBorders>
          </w:tcPr>
          <w:p>
            <w:pPr>
              <w:pStyle w:val="14"/>
              <w:jc w:val="left"/>
              <w:rPr>
                <w:rFonts w:ascii="Times New Roman"/>
                <w:sz w:val="16"/>
              </w:rPr>
            </w:pPr>
          </w:p>
        </w:tc>
        <w:tc>
          <w:tcPr>
            <w:tcW w:w="1678" w:type="dxa"/>
            <w:tcBorders>
              <w:top w:val="nil"/>
            </w:tcBorders>
          </w:tcPr>
          <w:p>
            <w:pPr>
              <w:pStyle w:val="14"/>
              <w:jc w:val="left"/>
              <w:rPr>
                <w:rFonts w:ascii="Times New Roman"/>
                <w:sz w:val="16"/>
              </w:rPr>
            </w:pPr>
          </w:p>
        </w:tc>
        <w:tc>
          <w:tcPr>
            <w:tcW w:w="938" w:type="dxa"/>
            <w:tcBorders>
              <w:top w:val="nil"/>
            </w:tcBorders>
          </w:tcPr>
          <w:p>
            <w:pPr>
              <w:pStyle w:val="14"/>
              <w:jc w:val="left"/>
              <w:rPr>
                <w:rFonts w:ascii="Times New Roman"/>
                <w:sz w:val="16"/>
              </w:rPr>
            </w:pPr>
          </w:p>
        </w:tc>
      </w:tr>
    </w:tbl>
    <w:p>
      <w:pPr>
        <w:spacing w:after="0"/>
        <w:jc w:val="left"/>
        <w:rPr>
          <w:rFonts w:ascii="Times New Roman"/>
          <w:sz w:val="16"/>
        </w:rPr>
        <w:sectPr>
          <w:pgSz w:w="11910" w:h="16840"/>
          <w:pgMar w:top="1340" w:right="720" w:bottom="1160" w:left="760" w:header="0" w:footer="895" w:gutter="0"/>
        </w:sectPr>
      </w:pPr>
    </w:p>
    <w:tbl>
      <w:tblPr>
        <w:tblStyle w:val="10"/>
        <w:tblW w:w="0" w:type="auto"/>
        <w:tblInd w:w="66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67"/>
        <w:gridCol w:w="1294"/>
        <w:gridCol w:w="984"/>
        <w:gridCol w:w="1678"/>
        <w:gridCol w:w="9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7" w:hRule="atLeast"/>
        </w:trPr>
        <w:tc>
          <w:tcPr>
            <w:tcW w:w="3867" w:type="dxa"/>
          </w:tcPr>
          <w:p>
            <w:pPr>
              <w:pStyle w:val="14"/>
              <w:spacing w:before="1"/>
              <w:jc w:val="left"/>
              <w:rPr>
                <w:b/>
                <w:sz w:val="22"/>
              </w:rPr>
            </w:pPr>
          </w:p>
          <w:p>
            <w:pPr>
              <w:pStyle w:val="14"/>
              <w:ind w:left="108"/>
              <w:jc w:val="left"/>
              <w:rPr>
                <w:b/>
                <w:sz w:val="21"/>
              </w:rPr>
            </w:pPr>
            <w:r>
              <w:rPr>
                <w:rFonts w:ascii="Times New Roman" w:eastAsia="Times New Roman"/>
                <w:b/>
                <w:sz w:val="21"/>
              </w:rPr>
              <w:t>26</w:t>
            </w:r>
            <w:r>
              <w:rPr>
                <w:b/>
                <w:sz w:val="21"/>
              </w:rPr>
              <w:t>、煤炭开采</w:t>
            </w:r>
          </w:p>
        </w:tc>
        <w:tc>
          <w:tcPr>
            <w:tcW w:w="1294" w:type="dxa"/>
          </w:tcPr>
          <w:p>
            <w:pPr>
              <w:pStyle w:val="14"/>
              <w:spacing w:before="1"/>
              <w:jc w:val="left"/>
              <w:rPr>
                <w:b/>
                <w:sz w:val="22"/>
              </w:rPr>
            </w:pPr>
          </w:p>
          <w:p>
            <w:pPr>
              <w:pStyle w:val="14"/>
              <w:ind w:left="310" w:right="302"/>
              <w:rPr>
                <w:b/>
                <w:sz w:val="21"/>
              </w:rPr>
            </w:pPr>
            <w:r>
              <w:rPr>
                <w:b/>
                <w:sz w:val="21"/>
              </w:rPr>
              <w:t>全部</w:t>
            </w:r>
          </w:p>
        </w:tc>
        <w:tc>
          <w:tcPr>
            <w:tcW w:w="984" w:type="dxa"/>
          </w:tcPr>
          <w:p>
            <w:pPr>
              <w:pStyle w:val="14"/>
              <w:spacing w:before="2"/>
              <w:jc w:val="left"/>
              <w:rPr>
                <w:b/>
                <w:sz w:val="23"/>
              </w:rPr>
            </w:pPr>
          </w:p>
          <w:p>
            <w:pPr>
              <w:pStyle w:val="14"/>
              <w:ind w:left="8"/>
              <w:rPr>
                <w:rFonts w:ascii="Times New Roman"/>
                <w:b/>
                <w:sz w:val="21"/>
              </w:rPr>
            </w:pPr>
            <w:r>
              <w:rPr>
                <w:rFonts w:ascii="Times New Roman"/>
                <w:b/>
                <w:w w:val="99"/>
                <w:sz w:val="21"/>
              </w:rPr>
              <w:t>/</w:t>
            </w:r>
          </w:p>
        </w:tc>
        <w:tc>
          <w:tcPr>
            <w:tcW w:w="1678" w:type="dxa"/>
          </w:tcPr>
          <w:p>
            <w:pPr>
              <w:pStyle w:val="14"/>
              <w:spacing w:before="146" w:line="244" w:lineRule="auto"/>
              <w:ind w:left="109" w:right="52" w:firstLine="98"/>
              <w:jc w:val="left"/>
              <w:rPr>
                <w:sz w:val="21"/>
              </w:rPr>
            </w:pPr>
            <w:r>
              <w:rPr>
                <w:b/>
                <w:sz w:val="21"/>
              </w:rPr>
              <w:t>煤矸石转运场Ⅱ类</w:t>
            </w:r>
            <w:r>
              <w:rPr>
                <w:sz w:val="21"/>
              </w:rPr>
              <w:t>；其余Ⅲ类</w:t>
            </w:r>
          </w:p>
        </w:tc>
        <w:tc>
          <w:tcPr>
            <w:tcW w:w="938" w:type="dxa"/>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3867" w:type="dxa"/>
          </w:tcPr>
          <w:p>
            <w:pPr>
              <w:pStyle w:val="14"/>
              <w:spacing w:before="59"/>
              <w:ind w:left="108"/>
              <w:jc w:val="left"/>
              <w:rPr>
                <w:sz w:val="21"/>
              </w:rPr>
            </w:pPr>
            <w:r>
              <w:rPr>
                <w:rFonts w:ascii="Times New Roman" w:eastAsia="Times New Roman"/>
                <w:sz w:val="21"/>
              </w:rPr>
              <w:t>27</w:t>
            </w:r>
            <w:r>
              <w:rPr>
                <w:sz w:val="21"/>
              </w:rPr>
              <w:t>、洗选、配煤</w:t>
            </w:r>
          </w:p>
        </w:tc>
        <w:tc>
          <w:tcPr>
            <w:tcW w:w="1294" w:type="dxa"/>
          </w:tcPr>
          <w:p>
            <w:pPr>
              <w:pStyle w:val="14"/>
              <w:spacing w:before="73"/>
              <w:ind w:left="11"/>
              <w:rPr>
                <w:rFonts w:ascii="Times New Roman"/>
                <w:sz w:val="21"/>
              </w:rPr>
            </w:pPr>
            <w:r>
              <w:rPr>
                <w:rFonts w:ascii="Times New Roman"/>
                <w:w w:val="99"/>
                <w:sz w:val="21"/>
              </w:rPr>
              <w:t>/</w:t>
            </w:r>
          </w:p>
        </w:tc>
        <w:tc>
          <w:tcPr>
            <w:tcW w:w="984" w:type="dxa"/>
          </w:tcPr>
          <w:p>
            <w:pPr>
              <w:pStyle w:val="14"/>
              <w:spacing w:before="59"/>
              <w:ind w:left="261" w:right="253"/>
              <w:rPr>
                <w:sz w:val="21"/>
              </w:rPr>
            </w:pPr>
            <w:r>
              <w:rPr>
                <w:sz w:val="21"/>
              </w:rPr>
              <w:t>其他</w:t>
            </w:r>
          </w:p>
        </w:tc>
        <w:tc>
          <w:tcPr>
            <w:tcW w:w="1678" w:type="dxa"/>
          </w:tcPr>
          <w:p>
            <w:pPr>
              <w:pStyle w:val="14"/>
              <w:jc w:val="left"/>
              <w:rPr>
                <w:rFonts w:ascii="Times New Roman"/>
                <w:sz w:val="22"/>
              </w:rPr>
            </w:pPr>
          </w:p>
        </w:tc>
        <w:tc>
          <w:tcPr>
            <w:tcW w:w="938" w:type="dxa"/>
          </w:tcPr>
          <w:p>
            <w:pPr>
              <w:pStyle w:val="14"/>
              <w:spacing w:before="59"/>
              <w:ind w:left="132" w:right="124"/>
              <w:rPr>
                <w:sz w:val="21"/>
              </w:rPr>
            </w:pPr>
            <w:r>
              <w:rPr>
                <w:sz w:val="21"/>
              </w:rPr>
              <w:t>Ⅲ类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3867" w:type="dxa"/>
          </w:tcPr>
          <w:p>
            <w:pPr>
              <w:pStyle w:val="14"/>
              <w:spacing w:before="51"/>
              <w:ind w:left="108"/>
              <w:jc w:val="left"/>
              <w:rPr>
                <w:sz w:val="21"/>
              </w:rPr>
            </w:pPr>
            <w:r>
              <w:rPr>
                <w:rFonts w:ascii="Times New Roman" w:eastAsia="Times New Roman"/>
                <w:sz w:val="21"/>
              </w:rPr>
              <w:t>28</w:t>
            </w:r>
            <w:r>
              <w:rPr>
                <w:sz w:val="21"/>
              </w:rPr>
              <w:t>、煤炭储存、集运</w:t>
            </w:r>
          </w:p>
        </w:tc>
        <w:tc>
          <w:tcPr>
            <w:tcW w:w="1294" w:type="dxa"/>
          </w:tcPr>
          <w:p>
            <w:pPr>
              <w:pStyle w:val="14"/>
              <w:spacing w:before="65"/>
              <w:ind w:left="11"/>
              <w:rPr>
                <w:rFonts w:ascii="Times New Roman"/>
                <w:sz w:val="21"/>
              </w:rPr>
            </w:pPr>
            <w:r>
              <w:rPr>
                <w:rFonts w:ascii="Times New Roman"/>
                <w:w w:val="99"/>
                <w:sz w:val="21"/>
              </w:rPr>
              <w:t>/</w:t>
            </w:r>
          </w:p>
        </w:tc>
        <w:tc>
          <w:tcPr>
            <w:tcW w:w="984" w:type="dxa"/>
          </w:tcPr>
          <w:p>
            <w:pPr>
              <w:pStyle w:val="14"/>
              <w:spacing w:before="51"/>
              <w:ind w:left="261" w:right="253"/>
              <w:rPr>
                <w:sz w:val="21"/>
              </w:rPr>
            </w:pPr>
            <w:r>
              <w:rPr>
                <w:sz w:val="21"/>
              </w:rPr>
              <w:t>其他</w:t>
            </w:r>
          </w:p>
        </w:tc>
        <w:tc>
          <w:tcPr>
            <w:tcW w:w="1678" w:type="dxa"/>
          </w:tcPr>
          <w:p>
            <w:pPr>
              <w:pStyle w:val="14"/>
              <w:jc w:val="left"/>
              <w:rPr>
                <w:rFonts w:ascii="Times New Roman"/>
                <w:sz w:val="22"/>
              </w:rPr>
            </w:pPr>
          </w:p>
        </w:tc>
        <w:tc>
          <w:tcPr>
            <w:tcW w:w="938" w:type="dxa"/>
          </w:tcPr>
          <w:p>
            <w:pPr>
              <w:pStyle w:val="14"/>
              <w:spacing w:before="51"/>
              <w:ind w:left="132" w:right="124"/>
              <w:rPr>
                <w:sz w:val="21"/>
              </w:rPr>
            </w:pPr>
            <w:r>
              <w:rPr>
                <w:sz w:val="21"/>
              </w:rPr>
              <w:t>Ⅳ类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867" w:type="dxa"/>
          </w:tcPr>
          <w:p>
            <w:pPr>
              <w:pStyle w:val="14"/>
              <w:spacing w:before="35"/>
              <w:ind w:left="108"/>
              <w:jc w:val="left"/>
              <w:rPr>
                <w:sz w:val="21"/>
              </w:rPr>
            </w:pPr>
            <w:r>
              <w:rPr>
                <w:rFonts w:ascii="Times New Roman" w:eastAsia="Times New Roman"/>
                <w:sz w:val="21"/>
              </w:rPr>
              <w:t>29</w:t>
            </w:r>
            <w:r>
              <w:rPr>
                <w:sz w:val="21"/>
              </w:rPr>
              <w:t>、型煤、水煤浆生产</w:t>
            </w:r>
          </w:p>
        </w:tc>
        <w:tc>
          <w:tcPr>
            <w:tcW w:w="1294" w:type="dxa"/>
          </w:tcPr>
          <w:p>
            <w:pPr>
              <w:pStyle w:val="14"/>
              <w:spacing w:before="49"/>
              <w:ind w:left="11"/>
              <w:rPr>
                <w:rFonts w:ascii="Times New Roman"/>
                <w:sz w:val="21"/>
              </w:rPr>
            </w:pPr>
            <w:r>
              <w:rPr>
                <w:rFonts w:ascii="Times New Roman"/>
                <w:w w:val="99"/>
                <w:sz w:val="21"/>
              </w:rPr>
              <w:t>/</w:t>
            </w:r>
          </w:p>
        </w:tc>
        <w:tc>
          <w:tcPr>
            <w:tcW w:w="984" w:type="dxa"/>
          </w:tcPr>
          <w:p>
            <w:pPr>
              <w:pStyle w:val="14"/>
              <w:spacing w:before="35"/>
              <w:ind w:left="261" w:right="253"/>
              <w:rPr>
                <w:sz w:val="21"/>
              </w:rPr>
            </w:pPr>
            <w:r>
              <w:rPr>
                <w:sz w:val="21"/>
              </w:rPr>
              <w:t>其他</w:t>
            </w:r>
          </w:p>
        </w:tc>
        <w:tc>
          <w:tcPr>
            <w:tcW w:w="1678" w:type="dxa"/>
          </w:tcPr>
          <w:p>
            <w:pPr>
              <w:pStyle w:val="14"/>
              <w:jc w:val="left"/>
              <w:rPr>
                <w:rFonts w:ascii="Times New Roman"/>
                <w:sz w:val="22"/>
              </w:rPr>
            </w:pPr>
          </w:p>
        </w:tc>
        <w:tc>
          <w:tcPr>
            <w:tcW w:w="938" w:type="dxa"/>
          </w:tcPr>
          <w:p>
            <w:pPr>
              <w:pStyle w:val="14"/>
              <w:spacing w:before="35"/>
              <w:ind w:left="132" w:right="124"/>
              <w:rPr>
                <w:sz w:val="21"/>
              </w:rPr>
            </w:pPr>
            <w:r>
              <w:rPr>
                <w:sz w:val="21"/>
              </w:rPr>
              <w:t>Ⅲ类</w:t>
            </w:r>
          </w:p>
        </w:tc>
      </w:tr>
    </w:tbl>
    <w:p>
      <w:pPr>
        <w:pStyle w:val="13"/>
        <w:numPr>
          <w:ilvl w:val="3"/>
          <w:numId w:val="14"/>
        </w:numPr>
        <w:tabs>
          <w:tab w:val="left" w:pos="1499"/>
        </w:tabs>
        <w:spacing w:before="4" w:after="0" w:line="240" w:lineRule="auto"/>
        <w:ind w:left="1498" w:right="0" w:hanging="841"/>
        <w:jc w:val="left"/>
        <w:rPr>
          <w:b/>
          <w:sz w:val="28"/>
        </w:rPr>
      </w:pPr>
      <w:r>
        <w:rPr>
          <w:b/>
          <w:sz w:val="28"/>
        </w:rPr>
        <w:t>地下水环境敏感程度</w:t>
      </w:r>
    </w:p>
    <w:p>
      <w:pPr>
        <w:tabs>
          <w:tab w:val="left" w:pos="4452"/>
        </w:tabs>
        <w:spacing w:before="183" w:after="3"/>
        <w:ind w:left="3293" w:right="0" w:firstLine="0"/>
        <w:jc w:val="left"/>
        <w:rPr>
          <w:b/>
          <w:sz w:val="24"/>
        </w:rPr>
      </w:pPr>
      <w:r>
        <w:rPr>
          <w:b/>
          <w:sz w:val="24"/>
        </w:rPr>
        <w:t>表</w:t>
      </w:r>
      <w:r>
        <w:rPr>
          <w:b/>
          <w:spacing w:val="-62"/>
          <w:sz w:val="24"/>
        </w:rPr>
        <w:t xml:space="preserve"> </w:t>
      </w:r>
      <w:r>
        <w:rPr>
          <w:rFonts w:ascii="Times New Roman" w:eastAsia="Times New Roman"/>
          <w:b/>
          <w:sz w:val="24"/>
        </w:rPr>
        <w:t>2.4-10</w:t>
      </w:r>
      <w:r>
        <w:rPr>
          <w:rFonts w:ascii="Times New Roman" w:eastAsia="Times New Roman"/>
          <w:b/>
          <w:sz w:val="24"/>
        </w:rPr>
        <w:tab/>
      </w:r>
      <w:r>
        <w:rPr>
          <w:b/>
          <w:sz w:val="24"/>
        </w:rPr>
        <w:t>地下水环境敏感程度分级</w:t>
      </w:r>
    </w:p>
    <w:tbl>
      <w:tblPr>
        <w:tblStyle w:val="10"/>
        <w:tblW w:w="0" w:type="auto"/>
        <w:tblInd w:w="5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97"/>
        <w:gridCol w:w="67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2497" w:type="dxa"/>
          </w:tcPr>
          <w:p>
            <w:pPr>
              <w:pStyle w:val="14"/>
              <w:spacing w:before="45"/>
              <w:ind w:left="908" w:right="904"/>
              <w:rPr>
                <w:sz w:val="21"/>
              </w:rPr>
            </w:pPr>
            <w:r>
              <w:rPr>
                <w:sz w:val="21"/>
              </w:rPr>
              <w:t>分级</w:t>
            </w:r>
          </w:p>
        </w:tc>
        <w:tc>
          <w:tcPr>
            <w:tcW w:w="6789" w:type="dxa"/>
          </w:tcPr>
          <w:p>
            <w:pPr>
              <w:pStyle w:val="14"/>
              <w:spacing w:before="45"/>
              <w:ind w:left="2429" w:right="2420"/>
              <w:rPr>
                <w:sz w:val="21"/>
              </w:rPr>
            </w:pPr>
            <w:r>
              <w:rPr>
                <w:sz w:val="21"/>
              </w:rPr>
              <w:t>地下水环境敏感特征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2" w:hRule="atLeast"/>
        </w:trPr>
        <w:tc>
          <w:tcPr>
            <w:tcW w:w="2497" w:type="dxa"/>
          </w:tcPr>
          <w:p>
            <w:pPr>
              <w:pStyle w:val="14"/>
              <w:jc w:val="left"/>
              <w:rPr>
                <w:b/>
                <w:sz w:val="20"/>
              </w:rPr>
            </w:pPr>
          </w:p>
          <w:p>
            <w:pPr>
              <w:pStyle w:val="14"/>
              <w:jc w:val="left"/>
              <w:rPr>
                <w:b/>
                <w:sz w:val="20"/>
              </w:rPr>
            </w:pPr>
          </w:p>
          <w:p>
            <w:pPr>
              <w:pStyle w:val="14"/>
              <w:spacing w:before="141"/>
              <w:ind w:left="908" w:right="904"/>
              <w:rPr>
                <w:sz w:val="21"/>
              </w:rPr>
            </w:pPr>
            <w:r>
              <w:rPr>
                <w:sz w:val="21"/>
              </w:rPr>
              <w:t>敏感</w:t>
            </w:r>
          </w:p>
        </w:tc>
        <w:tc>
          <w:tcPr>
            <w:tcW w:w="6789" w:type="dxa"/>
          </w:tcPr>
          <w:p>
            <w:pPr>
              <w:pStyle w:val="14"/>
              <w:spacing w:before="174" w:line="285" w:lineRule="auto"/>
              <w:ind w:left="107" w:right="161"/>
              <w:jc w:val="both"/>
              <w:rPr>
                <w:sz w:val="21"/>
              </w:rPr>
            </w:pPr>
            <w:r>
              <w:rPr>
                <w:w w:val="95"/>
                <w:sz w:val="21"/>
              </w:rPr>
              <w:t xml:space="preserve">集中式饮用水水源（包括已建成的在用、备用、应急水源，在建和规划  的饮用水水源）准保护区；除集中式饮用水水源以外的国家或地方政府  设定的与地下水环境相关的其它保护区，如热水、矿泉水、温泉等特殊  </w:t>
            </w:r>
            <w:r>
              <w:rPr>
                <w:sz w:val="21"/>
              </w:rPr>
              <w:t>地下水资源保护区。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8" w:hRule="atLeast"/>
        </w:trPr>
        <w:tc>
          <w:tcPr>
            <w:tcW w:w="2497" w:type="dxa"/>
          </w:tcPr>
          <w:p>
            <w:pPr>
              <w:pStyle w:val="14"/>
              <w:jc w:val="left"/>
              <w:rPr>
                <w:b/>
                <w:sz w:val="20"/>
              </w:rPr>
            </w:pPr>
          </w:p>
          <w:p>
            <w:pPr>
              <w:pStyle w:val="14"/>
              <w:jc w:val="left"/>
              <w:rPr>
                <w:b/>
                <w:sz w:val="20"/>
              </w:rPr>
            </w:pPr>
          </w:p>
          <w:p>
            <w:pPr>
              <w:pStyle w:val="14"/>
              <w:spacing w:before="8"/>
              <w:jc w:val="left"/>
              <w:rPr>
                <w:b/>
                <w:sz w:val="27"/>
              </w:rPr>
            </w:pPr>
          </w:p>
          <w:p>
            <w:pPr>
              <w:pStyle w:val="14"/>
              <w:ind w:left="913" w:right="904"/>
              <w:rPr>
                <w:sz w:val="21"/>
              </w:rPr>
            </w:pPr>
            <w:r>
              <w:rPr>
                <w:sz w:val="21"/>
              </w:rPr>
              <w:t>较敏感</w:t>
            </w:r>
          </w:p>
        </w:tc>
        <w:tc>
          <w:tcPr>
            <w:tcW w:w="6789" w:type="dxa"/>
          </w:tcPr>
          <w:p>
            <w:pPr>
              <w:pStyle w:val="14"/>
              <w:spacing w:before="10"/>
              <w:jc w:val="left"/>
              <w:rPr>
                <w:b/>
                <w:sz w:val="17"/>
              </w:rPr>
            </w:pPr>
          </w:p>
          <w:p>
            <w:pPr>
              <w:pStyle w:val="14"/>
              <w:spacing w:line="285" w:lineRule="auto"/>
              <w:ind w:left="107" w:right="98"/>
              <w:jc w:val="both"/>
              <w:rPr>
                <w:sz w:val="21"/>
              </w:rPr>
            </w:pPr>
            <w:r>
              <w:rPr>
                <w:sz w:val="21"/>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2497" w:type="dxa"/>
          </w:tcPr>
          <w:p>
            <w:pPr>
              <w:pStyle w:val="14"/>
              <w:spacing w:before="159"/>
              <w:ind w:left="913" w:right="904"/>
              <w:rPr>
                <w:sz w:val="21"/>
              </w:rPr>
            </w:pPr>
            <w:r>
              <w:rPr>
                <w:sz w:val="21"/>
              </w:rPr>
              <w:t>不敏感</w:t>
            </w:r>
          </w:p>
        </w:tc>
        <w:tc>
          <w:tcPr>
            <w:tcW w:w="6789" w:type="dxa"/>
          </w:tcPr>
          <w:p>
            <w:pPr>
              <w:pStyle w:val="14"/>
              <w:spacing w:before="159"/>
              <w:ind w:left="107"/>
              <w:jc w:val="left"/>
              <w:rPr>
                <w:sz w:val="21"/>
              </w:rPr>
            </w:pPr>
            <w:r>
              <w:rPr>
                <w:sz w:val="21"/>
              </w:rPr>
              <w:t>上述地区之外的其它地区</w:t>
            </w:r>
          </w:p>
        </w:tc>
      </w:tr>
    </w:tbl>
    <w:p>
      <w:pPr>
        <w:pStyle w:val="6"/>
        <w:spacing w:before="2" w:line="364" w:lineRule="auto"/>
        <w:ind w:left="658" w:right="573" w:firstLine="480"/>
      </w:pPr>
      <w:r>
        <w:t>实地调查表明，项目评价范围内无集中式饮用水水源（包括已建成的在用、备用、</w:t>
      </w:r>
      <w:r>
        <w:rPr>
          <w:spacing w:val="-4"/>
        </w:rPr>
        <w:t>应急水源，在建和规划的饮用水水源</w:t>
      </w:r>
      <w:r>
        <w:rPr>
          <w:spacing w:val="-17"/>
        </w:rPr>
        <w:t>）</w:t>
      </w:r>
      <w:r>
        <w:rPr>
          <w:spacing w:val="-4"/>
        </w:rPr>
        <w:t>准保护区；除集中式饮用水水源以外的国家或地</w:t>
      </w:r>
      <w:r>
        <w:rPr>
          <w:spacing w:val="-7"/>
        </w:rPr>
        <w:t>方政府设定的与地下水环境相关的其它保护区，如热水、矿泉水、温泉等特殊地下水资源保护区。无集中式饮用水水源</w:t>
      </w:r>
      <w:r>
        <w:t>（</w:t>
      </w:r>
      <w:r>
        <w:rPr>
          <w:spacing w:val="-4"/>
        </w:rPr>
        <w:t>包括已建成的在用、备用、应急水源，在建和规划的饮用水水源</w:t>
      </w:r>
      <w:r>
        <w:rPr>
          <w:spacing w:val="-17"/>
        </w:rPr>
        <w:t>）</w:t>
      </w:r>
      <w:r>
        <w:rPr>
          <w:spacing w:val="-3"/>
        </w:rPr>
        <w:t>准保护区以外的补给径流区；未划定准保护区的集中水式饮用水水源，其</w:t>
      </w:r>
      <w:r>
        <w:rPr>
          <w:spacing w:val="-11"/>
        </w:rPr>
        <w:t>保护区以外的补给径流区；分散式饮用水水源地；特殊地下水资源</w:t>
      </w:r>
      <w:r>
        <w:t>（</w:t>
      </w:r>
      <w:r>
        <w:rPr>
          <w:spacing w:val="-7"/>
        </w:rPr>
        <w:t>如矿泉水、温泉等</w:t>
      </w:r>
      <w:r>
        <w:rPr>
          <w:spacing w:val="-14"/>
        </w:rPr>
        <w:t xml:space="preserve">） </w:t>
      </w:r>
      <w:r>
        <w:rPr>
          <w:spacing w:val="-2"/>
        </w:rPr>
        <w:t>保护区以外的分布区等其他未列入上述敏感分级的环境敏感区。距双鸭山大顺矿业有限</w:t>
      </w:r>
      <w:r>
        <w:rPr>
          <w:spacing w:val="11"/>
        </w:rPr>
        <w:t>公司项目区较近居民区为青山林场，其供水方式为分散式饮用水水源供水，根据表</w:t>
      </w:r>
      <w:r>
        <w:rPr>
          <w:rFonts w:ascii="Times New Roman" w:eastAsia="Times New Roman"/>
          <w:spacing w:val="11"/>
        </w:rPr>
        <w:t>2.4-10</w:t>
      </w:r>
      <w:r>
        <w:rPr>
          <w:spacing w:val="11"/>
        </w:rPr>
        <w:t>，确定双鸭山大顺矿业有限公司饮用水水源敏感程度为较敏感。</w:t>
      </w:r>
    </w:p>
    <w:p>
      <w:pPr>
        <w:pStyle w:val="4"/>
        <w:numPr>
          <w:ilvl w:val="3"/>
          <w:numId w:val="14"/>
        </w:numPr>
        <w:tabs>
          <w:tab w:val="left" w:pos="1499"/>
        </w:tabs>
        <w:spacing w:before="0" w:after="0" w:line="355" w:lineRule="exact"/>
        <w:ind w:left="1498" w:right="0" w:hanging="841"/>
        <w:jc w:val="left"/>
      </w:pPr>
      <w:r>
        <w:t>建设项目评价工作等级</w:t>
      </w:r>
    </w:p>
    <w:p>
      <w:pPr>
        <w:pStyle w:val="6"/>
        <w:spacing w:before="185" w:line="362" w:lineRule="auto"/>
        <w:ind w:left="658" w:right="518" w:firstLine="480"/>
      </w:pPr>
      <w:r>
        <w:t>根据《环境影响评价技术导则 地下水环境》（</w:t>
      </w:r>
      <w:r>
        <w:rPr>
          <w:rFonts w:ascii="Times New Roman" w:hAnsi="Times New Roman" w:eastAsia="Times New Roman"/>
        </w:rPr>
        <w:t>HJ610-2016</w:t>
      </w:r>
      <w:r>
        <w:t xml:space="preserve">），本项目为Ⅱ类项目， 地下水敏感程度为较敏感，地下水环境影评价等级为二级，见表 </w:t>
      </w:r>
      <w:r>
        <w:rPr>
          <w:rFonts w:ascii="Times New Roman" w:hAnsi="Times New Roman" w:eastAsia="Times New Roman"/>
        </w:rPr>
        <w:t>2.4-11</w:t>
      </w:r>
      <w:r>
        <w:t>。</w:t>
      </w:r>
    </w:p>
    <w:p>
      <w:pPr>
        <w:pStyle w:val="5"/>
        <w:tabs>
          <w:tab w:val="left" w:pos="4327"/>
        </w:tabs>
        <w:spacing w:before="5"/>
        <w:ind w:left="3180"/>
      </w:pPr>
      <w:r>
        <w:t>表</w:t>
      </w:r>
      <w:r>
        <w:rPr>
          <w:spacing w:val="-60"/>
        </w:rPr>
        <w:t xml:space="preserve"> </w:t>
      </w:r>
      <w:r>
        <w:rPr>
          <w:rFonts w:ascii="Times New Roman" w:eastAsia="Times New Roman"/>
          <w:spacing w:val="-3"/>
        </w:rPr>
        <w:t>2.4-11</w:t>
      </w:r>
      <w:r>
        <w:rPr>
          <w:rFonts w:ascii="Times New Roman" w:eastAsia="Times New Roman"/>
          <w:spacing w:val="-3"/>
        </w:rPr>
        <w:tab/>
      </w:r>
      <w:r>
        <w:t>建设项目评价工作等级分级</w:t>
      </w:r>
    </w:p>
    <w:p>
      <w:pPr>
        <w:spacing w:after="0"/>
        <w:sectPr>
          <w:pgSz w:w="11910" w:h="16840"/>
          <w:pgMar w:top="1400" w:right="720" w:bottom="1160" w:left="760" w:header="0" w:footer="895" w:gutter="0"/>
        </w:sectPr>
      </w:pPr>
    </w:p>
    <w:tbl>
      <w:tblPr>
        <w:tblStyle w:val="10"/>
        <w:tblW w:w="0" w:type="auto"/>
        <w:tblInd w:w="6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88"/>
        <w:gridCol w:w="2126"/>
        <w:gridCol w:w="2142"/>
        <w:gridCol w:w="20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4" w:hRule="atLeast"/>
        </w:trPr>
        <w:tc>
          <w:tcPr>
            <w:tcW w:w="2788" w:type="dxa"/>
          </w:tcPr>
          <w:p>
            <w:pPr>
              <w:pStyle w:val="14"/>
              <w:ind w:left="1530"/>
              <w:jc w:val="left"/>
              <w:rPr>
                <w:sz w:val="21"/>
              </w:rPr>
            </w:pPr>
            <w:r>
              <w:rPr>
                <w:sz w:val="21"/>
              </w:rPr>
              <w:t>项目类别</w:t>
            </w:r>
          </w:p>
          <w:p>
            <w:pPr>
              <w:pStyle w:val="14"/>
              <w:jc w:val="left"/>
              <w:rPr>
                <w:b/>
                <w:sz w:val="20"/>
              </w:rPr>
            </w:pPr>
          </w:p>
          <w:p>
            <w:pPr>
              <w:pStyle w:val="14"/>
              <w:spacing w:before="8"/>
              <w:jc w:val="left"/>
              <w:rPr>
                <w:b/>
                <w:sz w:val="16"/>
              </w:rPr>
            </w:pPr>
          </w:p>
          <w:p>
            <w:pPr>
              <w:pStyle w:val="14"/>
              <w:spacing w:before="1"/>
              <w:ind w:left="28"/>
              <w:jc w:val="left"/>
              <w:rPr>
                <w:sz w:val="21"/>
              </w:rPr>
            </w:pPr>
            <w:r>
              <w:rPr>
                <w:sz w:val="21"/>
              </w:rPr>
              <w:t>环境敏感程度</w:t>
            </w:r>
          </w:p>
        </w:tc>
        <w:tc>
          <w:tcPr>
            <w:tcW w:w="2126" w:type="dxa"/>
          </w:tcPr>
          <w:p>
            <w:pPr>
              <w:pStyle w:val="14"/>
              <w:jc w:val="left"/>
              <w:rPr>
                <w:b/>
                <w:sz w:val="20"/>
              </w:rPr>
            </w:pPr>
          </w:p>
          <w:p>
            <w:pPr>
              <w:pStyle w:val="14"/>
              <w:spacing w:before="175"/>
              <w:ind w:left="622" w:right="614"/>
              <w:rPr>
                <w:sz w:val="21"/>
              </w:rPr>
            </w:pPr>
            <w:r>
              <w:rPr>
                <w:sz w:val="21"/>
              </w:rPr>
              <w:t>Ⅰ类项目</w:t>
            </w:r>
          </w:p>
        </w:tc>
        <w:tc>
          <w:tcPr>
            <w:tcW w:w="2142" w:type="dxa"/>
          </w:tcPr>
          <w:p>
            <w:pPr>
              <w:pStyle w:val="14"/>
              <w:jc w:val="left"/>
              <w:rPr>
                <w:b/>
                <w:sz w:val="22"/>
              </w:rPr>
            </w:pPr>
          </w:p>
          <w:p>
            <w:pPr>
              <w:pStyle w:val="14"/>
              <w:spacing w:before="150"/>
              <w:ind w:left="360" w:right="350"/>
              <w:rPr>
                <w:b/>
                <w:sz w:val="21"/>
              </w:rPr>
            </w:pPr>
            <w:r>
              <w:rPr>
                <w:b/>
                <w:sz w:val="21"/>
              </w:rPr>
              <w:t>Ⅱ类项目（</w:t>
            </w:r>
            <w:r>
              <w:rPr>
                <w:rFonts w:ascii="Times New Roman" w:hAnsi="Times New Roman" w:eastAsia="Times New Roman"/>
                <w:b/>
                <w:sz w:val="21"/>
              </w:rPr>
              <w:t>√</w:t>
            </w:r>
            <w:r>
              <w:rPr>
                <w:b/>
                <w:sz w:val="21"/>
              </w:rPr>
              <w:t>）</w:t>
            </w:r>
          </w:p>
        </w:tc>
        <w:tc>
          <w:tcPr>
            <w:tcW w:w="2070" w:type="dxa"/>
          </w:tcPr>
          <w:p>
            <w:pPr>
              <w:pStyle w:val="14"/>
              <w:jc w:val="left"/>
              <w:rPr>
                <w:b/>
                <w:sz w:val="20"/>
              </w:rPr>
            </w:pPr>
          </w:p>
          <w:p>
            <w:pPr>
              <w:pStyle w:val="14"/>
              <w:spacing w:before="175"/>
              <w:ind w:left="593" w:right="586"/>
              <w:rPr>
                <w:sz w:val="21"/>
              </w:rPr>
            </w:pPr>
            <w:r>
              <w:rPr>
                <w:sz w:val="21"/>
              </w:rPr>
              <w:t>Ⅲ类项目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2788" w:type="dxa"/>
          </w:tcPr>
          <w:p>
            <w:pPr>
              <w:pStyle w:val="14"/>
              <w:spacing w:before="82"/>
              <w:ind w:left="1050" w:right="1046"/>
              <w:rPr>
                <w:sz w:val="21"/>
              </w:rPr>
            </w:pPr>
            <w:r>
              <w:rPr>
                <w:sz w:val="21"/>
              </w:rPr>
              <w:t>敏感</w:t>
            </w:r>
          </w:p>
        </w:tc>
        <w:tc>
          <w:tcPr>
            <w:tcW w:w="2126" w:type="dxa"/>
          </w:tcPr>
          <w:p>
            <w:pPr>
              <w:pStyle w:val="14"/>
              <w:spacing w:before="82"/>
              <w:ind w:left="8"/>
              <w:rPr>
                <w:sz w:val="21"/>
              </w:rPr>
            </w:pPr>
            <w:r>
              <w:rPr>
                <w:w w:val="99"/>
                <w:sz w:val="21"/>
              </w:rPr>
              <w:t>一</w:t>
            </w:r>
          </w:p>
        </w:tc>
        <w:tc>
          <w:tcPr>
            <w:tcW w:w="2142" w:type="dxa"/>
          </w:tcPr>
          <w:p>
            <w:pPr>
              <w:pStyle w:val="14"/>
              <w:spacing w:before="82"/>
              <w:ind w:left="7"/>
              <w:rPr>
                <w:sz w:val="21"/>
              </w:rPr>
            </w:pPr>
            <w:r>
              <w:rPr>
                <w:w w:val="99"/>
                <w:sz w:val="21"/>
              </w:rPr>
              <w:t>一</w:t>
            </w:r>
          </w:p>
        </w:tc>
        <w:tc>
          <w:tcPr>
            <w:tcW w:w="2070" w:type="dxa"/>
          </w:tcPr>
          <w:p>
            <w:pPr>
              <w:pStyle w:val="14"/>
              <w:spacing w:before="82"/>
              <w:ind w:left="10"/>
              <w:rPr>
                <w:sz w:val="21"/>
              </w:rPr>
            </w:pPr>
            <w:r>
              <w:rPr>
                <w:w w:val="99"/>
                <w:sz w:val="21"/>
              </w:rPr>
              <w:t>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2788" w:type="dxa"/>
          </w:tcPr>
          <w:p>
            <w:pPr>
              <w:pStyle w:val="14"/>
              <w:spacing w:before="65"/>
              <w:ind w:left="1058" w:right="1046"/>
              <w:rPr>
                <w:b/>
                <w:sz w:val="21"/>
              </w:rPr>
            </w:pPr>
            <w:r>
              <w:rPr>
                <w:b/>
                <w:sz w:val="21"/>
              </w:rPr>
              <w:t>较敏感</w:t>
            </w:r>
          </w:p>
        </w:tc>
        <w:tc>
          <w:tcPr>
            <w:tcW w:w="2126" w:type="dxa"/>
          </w:tcPr>
          <w:p>
            <w:pPr>
              <w:pStyle w:val="14"/>
              <w:spacing w:before="65"/>
              <w:ind w:left="8"/>
              <w:rPr>
                <w:sz w:val="21"/>
              </w:rPr>
            </w:pPr>
            <w:r>
              <w:rPr>
                <w:w w:val="99"/>
                <w:sz w:val="21"/>
              </w:rPr>
              <w:t>一</w:t>
            </w:r>
          </w:p>
        </w:tc>
        <w:tc>
          <w:tcPr>
            <w:tcW w:w="2142" w:type="dxa"/>
          </w:tcPr>
          <w:p>
            <w:pPr>
              <w:pStyle w:val="14"/>
              <w:spacing w:before="65"/>
              <w:ind w:left="357" w:right="350"/>
              <w:rPr>
                <w:b/>
                <w:sz w:val="21"/>
              </w:rPr>
            </w:pPr>
            <w:r>
              <w:rPr>
                <w:b/>
                <w:sz w:val="21"/>
              </w:rPr>
              <w:t>二（</w:t>
            </w:r>
            <w:r>
              <w:rPr>
                <w:rFonts w:ascii="Times New Roman" w:hAnsi="Times New Roman" w:eastAsia="Times New Roman"/>
                <w:b/>
                <w:sz w:val="21"/>
              </w:rPr>
              <w:t>√</w:t>
            </w:r>
            <w:r>
              <w:rPr>
                <w:b/>
                <w:sz w:val="21"/>
              </w:rPr>
              <w:t>）</w:t>
            </w:r>
          </w:p>
        </w:tc>
        <w:tc>
          <w:tcPr>
            <w:tcW w:w="2070" w:type="dxa"/>
          </w:tcPr>
          <w:p>
            <w:pPr>
              <w:pStyle w:val="14"/>
              <w:spacing w:before="65"/>
              <w:ind w:left="10"/>
              <w:rPr>
                <w:sz w:val="21"/>
              </w:rPr>
            </w:pPr>
            <w:r>
              <w:rPr>
                <w:w w:val="99"/>
                <w:sz w:val="21"/>
              </w:rPr>
              <w:t>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2788" w:type="dxa"/>
          </w:tcPr>
          <w:p>
            <w:pPr>
              <w:pStyle w:val="14"/>
              <w:spacing w:before="116"/>
              <w:ind w:left="1055" w:right="1046"/>
              <w:rPr>
                <w:sz w:val="21"/>
              </w:rPr>
            </w:pPr>
            <w:r>
              <w:rPr>
                <w:sz w:val="21"/>
              </w:rPr>
              <w:t>不敏感</w:t>
            </w:r>
          </w:p>
        </w:tc>
        <w:tc>
          <w:tcPr>
            <w:tcW w:w="2126" w:type="dxa"/>
          </w:tcPr>
          <w:p>
            <w:pPr>
              <w:pStyle w:val="14"/>
              <w:spacing w:before="116"/>
              <w:ind w:left="8"/>
              <w:rPr>
                <w:sz w:val="21"/>
              </w:rPr>
            </w:pPr>
            <w:r>
              <w:rPr>
                <w:w w:val="99"/>
                <w:sz w:val="21"/>
              </w:rPr>
              <w:t>二</w:t>
            </w:r>
          </w:p>
        </w:tc>
        <w:tc>
          <w:tcPr>
            <w:tcW w:w="2142" w:type="dxa"/>
          </w:tcPr>
          <w:p>
            <w:pPr>
              <w:pStyle w:val="14"/>
              <w:spacing w:before="116"/>
              <w:ind w:left="7"/>
              <w:rPr>
                <w:sz w:val="21"/>
              </w:rPr>
            </w:pPr>
            <w:r>
              <w:rPr>
                <w:w w:val="99"/>
                <w:sz w:val="21"/>
              </w:rPr>
              <w:t>三</w:t>
            </w:r>
          </w:p>
        </w:tc>
        <w:tc>
          <w:tcPr>
            <w:tcW w:w="2070" w:type="dxa"/>
          </w:tcPr>
          <w:p>
            <w:pPr>
              <w:pStyle w:val="14"/>
              <w:spacing w:before="116"/>
              <w:ind w:left="10"/>
              <w:rPr>
                <w:sz w:val="21"/>
              </w:rPr>
            </w:pPr>
            <w:r>
              <w:rPr>
                <w:w w:val="99"/>
                <w:sz w:val="21"/>
              </w:rPr>
              <w:t>三</w:t>
            </w:r>
          </w:p>
        </w:tc>
      </w:tr>
    </w:tbl>
    <w:p>
      <w:pPr>
        <w:pStyle w:val="13"/>
        <w:numPr>
          <w:ilvl w:val="2"/>
          <w:numId w:val="7"/>
        </w:numPr>
        <w:tabs>
          <w:tab w:val="left" w:pos="1288"/>
        </w:tabs>
        <w:spacing w:before="4" w:after="0" w:line="240" w:lineRule="auto"/>
        <w:ind w:left="1287" w:right="0" w:hanging="630"/>
        <w:jc w:val="left"/>
        <w:rPr>
          <w:b/>
          <w:sz w:val="28"/>
        </w:rPr>
      </w:pPr>
      <w:r>
        <mc:AlternateContent>
          <mc:Choice Requires="wps">
            <w:drawing>
              <wp:anchor distT="0" distB="0" distL="114300" distR="114300" simplePos="0" relativeHeight="214249472" behindDoc="1" locked="0" layoutInCell="1" allowOverlap="1">
                <wp:simplePos x="0" y="0"/>
                <wp:positionH relativeFrom="page">
                  <wp:posOffset>885825</wp:posOffset>
                </wp:positionH>
                <wp:positionV relativeFrom="paragraph">
                  <wp:posOffset>-1595120</wp:posOffset>
                </wp:positionV>
                <wp:extent cx="1764030" cy="720090"/>
                <wp:effectExtent l="1905" t="4445" r="5715" b="18415"/>
                <wp:wrapNone/>
                <wp:docPr id="4" name="直线 3"/>
                <wp:cNvGraphicFramePr/>
                <a:graphic xmlns:a="http://schemas.openxmlformats.org/drawingml/2006/main">
                  <a:graphicData uri="http://schemas.microsoft.com/office/word/2010/wordprocessingShape">
                    <wps:wsp>
                      <wps:cNvSpPr/>
                      <wps:spPr>
                        <a:xfrm>
                          <a:off x="0" y="0"/>
                          <a:ext cx="1764030" cy="72009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margin-left:69.75pt;margin-top:-125.6pt;height:56.7pt;width:138.9pt;mso-position-horizontal-relative:page;z-index:-289067008;mso-width-relative:page;mso-height-relative:page;" filled="f" stroked="t" coordsize="21600,21600" o:gfxdata="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8TBX22QAAAA0BAAAPAAAAAAAAAAEAIAAA&#10;ACIAAABkcnMvZG93bnJldi54bWxQSwECFAAUAAAACACHTuJAlX7dutIBAACSAwAADgAAAAAAAAAB&#10;ACAAAAAoAQAAZHJzL2Uyb0RvYy54bWxQSwUGAAAAAAYABgBZAQAAbAUAAAAA&#10;">
                <v:fill on="f" focussize="0,0"/>
                <v:stroke weight="0.5pt" color="#000000" joinstyle="round"/>
                <v:imagedata o:title=""/>
                <o:lock v:ext="edit" aspectratio="f"/>
              </v:line>
            </w:pict>
          </mc:Fallback>
        </mc:AlternateContent>
      </w:r>
      <w:bookmarkStart w:id="49" w:name="2.4.6土壤环境"/>
      <w:bookmarkEnd w:id="49"/>
      <w:bookmarkStart w:id="50" w:name="2.4.6土壤环境"/>
      <w:bookmarkEnd w:id="50"/>
      <w:r>
        <w:rPr>
          <w:b/>
          <w:sz w:val="28"/>
        </w:rPr>
        <w:t>土壤环境</w:t>
      </w:r>
    </w:p>
    <w:p>
      <w:pPr>
        <w:pStyle w:val="6"/>
        <w:spacing w:before="183" w:line="364" w:lineRule="auto"/>
        <w:ind w:left="658" w:right="693" w:firstLine="480"/>
        <w:jc w:val="both"/>
      </w:pPr>
      <w:r>
        <w:t>根据《环境影响评价技术导则 土壤环境（试行）》（</w:t>
      </w:r>
      <w:r>
        <w:rPr>
          <w:rFonts w:ascii="Times New Roman" w:hAnsi="Times New Roman" w:eastAsia="Times New Roman"/>
        </w:rPr>
        <w:t>HJ964-2018</w:t>
      </w:r>
      <w:r>
        <w:t xml:space="preserve">）附录 </w:t>
      </w:r>
      <w:r>
        <w:rPr>
          <w:rFonts w:ascii="Times New Roman" w:hAnsi="Times New Roman" w:eastAsia="Times New Roman"/>
        </w:rPr>
        <w:t>A</w:t>
      </w:r>
      <w:r>
        <w:t xml:space="preserve">，本项目为煤矿采选项目，属Ⅱ类建设项目，详见表 </w:t>
      </w:r>
      <w:r>
        <w:rPr>
          <w:rFonts w:ascii="Times New Roman" w:hAnsi="Times New Roman" w:eastAsia="Times New Roman"/>
        </w:rPr>
        <w:t>2.4-12</w:t>
      </w:r>
      <w:r>
        <w:t>。</w:t>
      </w:r>
    </w:p>
    <w:p>
      <w:pPr>
        <w:pStyle w:val="6"/>
        <w:spacing w:line="364" w:lineRule="auto"/>
        <w:ind w:left="658" w:right="693" w:firstLine="480"/>
        <w:jc w:val="both"/>
      </w:pPr>
      <w:r>
        <w:rPr>
          <w:spacing w:val="-5"/>
        </w:rPr>
        <w:t>井田开采区属于生态影响型，工业场地属于污染影响型。按照导则要求，分别判定</w:t>
      </w:r>
      <w:r>
        <w:rPr>
          <w:spacing w:val="-9"/>
        </w:rPr>
        <w:t xml:space="preserve">评价工作等级。井田开采区为Ⅱ类项目，土壤 </w:t>
      </w:r>
      <w:r>
        <w:rPr>
          <w:rFonts w:ascii="Times New Roman" w:hAnsi="Times New Roman" w:eastAsia="Times New Roman"/>
          <w:spacing w:val="-3"/>
        </w:rPr>
        <w:t>5.5</w:t>
      </w:r>
      <w:r>
        <w:rPr>
          <w:spacing w:val="-3"/>
        </w:rPr>
        <w:t>＜</w:t>
      </w:r>
      <w:r>
        <w:rPr>
          <w:rFonts w:ascii="Times New Roman" w:hAnsi="Times New Roman" w:eastAsia="Times New Roman"/>
          <w:spacing w:val="-3"/>
        </w:rPr>
        <w:t>pH</w:t>
      </w:r>
      <w:r>
        <w:rPr>
          <w:spacing w:val="-3"/>
        </w:rPr>
        <w:t>＜</w:t>
      </w:r>
      <w:r>
        <w:rPr>
          <w:rFonts w:ascii="Times New Roman" w:hAnsi="Times New Roman" w:eastAsia="Times New Roman"/>
          <w:spacing w:val="-3"/>
        </w:rPr>
        <w:t>8.5</w:t>
      </w:r>
      <w:r>
        <w:rPr>
          <w:spacing w:val="-3"/>
        </w:rPr>
        <w:t>，含盐量＜</w:t>
      </w:r>
      <w:r>
        <w:rPr>
          <w:rFonts w:ascii="Times New Roman" w:hAnsi="Times New Roman" w:eastAsia="Times New Roman"/>
          <w:spacing w:val="-5"/>
        </w:rPr>
        <w:t>2g/kg</w:t>
      </w:r>
      <w:r>
        <w:rPr>
          <w:spacing w:val="-4"/>
        </w:rPr>
        <w:t>，属于不敏</w:t>
      </w:r>
      <w:r>
        <w:rPr>
          <w:spacing w:val="-5"/>
        </w:rPr>
        <w:t xml:space="preserve">感区，评价等级为三级。见表 </w:t>
      </w:r>
      <w:r>
        <w:rPr>
          <w:rFonts w:ascii="Times New Roman" w:hAnsi="Times New Roman" w:eastAsia="Times New Roman"/>
        </w:rPr>
        <w:t>2.4-13</w:t>
      </w:r>
      <w:r>
        <w:t>。</w:t>
      </w:r>
    </w:p>
    <w:p>
      <w:pPr>
        <w:pStyle w:val="5"/>
        <w:spacing w:line="307" w:lineRule="exact"/>
        <w:ind w:left="3233"/>
        <w:jc w:val="both"/>
      </w:pPr>
      <w:r>
        <w:t xml:space="preserve">表 </w:t>
      </w:r>
      <w:r>
        <w:rPr>
          <w:rFonts w:ascii="Times New Roman" w:eastAsia="Times New Roman"/>
        </w:rPr>
        <w:t xml:space="preserve">2.4-12  </w:t>
      </w:r>
      <w:r>
        <w:t>土壤环境影响评价项目类别</w:t>
      </w:r>
    </w:p>
    <w:tbl>
      <w:tblPr>
        <w:tblStyle w:val="10"/>
        <w:tblW w:w="0" w:type="auto"/>
        <w:tblInd w:w="5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3"/>
        <w:gridCol w:w="1667"/>
        <w:gridCol w:w="3973"/>
        <w:gridCol w:w="1520"/>
        <w:gridCol w:w="8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233" w:type="dxa"/>
            <w:vMerge w:val="restart"/>
          </w:tcPr>
          <w:p>
            <w:pPr>
              <w:pStyle w:val="14"/>
              <w:spacing w:before="20"/>
              <w:ind w:left="194"/>
              <w:jc w:val="left"/>
              <w:rPr>
                <w:b/>
                <w:sz w:val="21"/>
              </w:rPr>
            </w:pPr>
            <w:r>
              <w:rPr>
                <w:b/>
                <w:sz w:val="21"/>
              </w:rPr>
              <w:t>行业类别</w:t>
            </w:r>
          </w:p>
        </w:tc>
        <w:tc>
          <w:tcPr>
            <w:tcW w:w="8053" w:type="dxa"/>
            <w:gridSpan w:val="4"/>
          </w:tcPr>
          <w:p>
            <w:pPr>
              <w:pStyle w:val="14"/>
              <w:spacing w:before="1" w:line="252" w:lineRule="exact"/>
              <w:ind w:left="3584" w:right="3574"/>
              <w:rPr>
                <w:b/>
                <w:sz w:val="21"/>
              </w:rPr>
            </w:pPr>
            <w:r>
              <w:rPr>
                <w:b/>
                <w:sz w:val="21"/>
              </w:rPr>
              <w:t>项目类别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233" w:type="dxa"/>
            <w:vMerge w:val="continue"/>
            <w:tcBorders>
              <w:top w:val="nil"/>
            </w:tcBorders>
          </w:tcPr>
          <w:p>
            <w:pPr>
              <w:rPr>
                <w:sz w:val="2"/>
                <w:szCs w:val="2"/>
              </w:rPr>
            </w:pPr>
          </w:p>
        </w:tc>
        <w:tc>
          <w:tcPr>
            <w:tcW w:w="1667" w:type="dxa"/>
          </w:tcPr>
          <w:p>
            <w:pPr>
              <w:pStyle w:val="14"/>
              <w:spacing w:line="252" w:lineRule="exact"/>
              <w:ind w:left="7"/>
              <w:rPr>
                <w:b/>
                <w:sz w:val="21"/>
              </w:rPr>
            </w:pPr>
            <w:r>
              <w:rPr>
                <w:b/>
                <w:w w:val="99"/>
                <w:sz w:val="21"/>
              </w:rPr>
              <w:t>Ⅰ</w:t>
            </w:r>
          </w:p>
        </w:tc>
        <w:tc>
          <w:tcPr>
            <w:tcW w:w="3973" w:type="dxa"/>
          </w:tcPr>
          <w:p>
            <w:pPr>
              <w:pStyle w:val="14"/>
              <w:spacing w:line="252" w:lineRule="exact"/>
              <w:ind w:left="7"/>
              <w:rPr>
                <w:b/>
                <w:sz w:val="21"/>
              </w:rPr>
            </w:pPr>
            <w:r>
              <w:rPr>
                <w:b/>
                <w:w w:val="99"/>
                <w:sz w:val="21"/>
              </w:rPr>
              <w:t>Ⅱ</w:t>
            </w:r>
          </w:p>
        </w:tc>
        <w:tc>
          <w:tcPr>
            <w:tcW w:w="1520" w:type="dxa"/>
          </w:tcPr>
          <w:p>
            <w:pPr>
              <w:pStyle w:val="14"/>
              <w:spacing w:line="252" w:lineRule="exact"/>
              <w:ind w:left="6"/>
              <w:rPr>
                <w:b/>
                <w:sz w:val="21"/>
              </w:rPr>
            </w:pPr>
            <w:r>
              <w:rPr>
                <w:b/>
                <w:w w:val="99"/>
                <w:sz w:val="21"/>
              </w:rPr>
              <w:t>Ⅲ</w:t>
            </w:r>
          </w:p>
        </w:tc>
        <w:tc>
          <w:tcPr>
            <w:tcW w:w="893" w:type="dxa"/>
          </w:tcPr>
          <w:p>
            <w:pPr>
              <w:pStyle w:val="14"/>
              <w:spacing w:line="252" w:lineRule="exact"/>
              <w:ind w:left="7"/>
              <w:rPr>
                <w:b/>
                <w:sz w:val="21"/>
              </w:rPr>
            </w:pPr>
            <w:r>
              <w:rPr>
                <w:b/>
                <w:w w:val="99"/>
                <w:sz w:val="21"/>
              </w:rPr>
              <w:t>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 w:hRule="atLeast"/>
        </w:trPr>
        <w:tc>
          <w:tcPr>
            <w:tcW w:w="1233" w:type="dxa"/>
          </w:tcPr>
          <w:p>
            <w:pPr>
              <w:pStyle w:val="14"/>
              <w:spacing w:before="4"/>
              <w:jc w:val="left"/>
              <w:rPr>
                <w:b/>
                <w:sz w:val="21"/>
              </w:rPr>
            </w:pPr>
          </w:p>
          <w:p>
            <w:pPr>
              <w:pStyle w:val="14"/>
              <w:spacing w:before="1"/>
              <w:ind w:left="300"/>
              <w:jc w:val="left"/>
              <w:rPr>
                <w:sz w:val="21"/>
              </w:rPr>
            </w:pPr>
            <w:r>
              <w:rPr>
                <w:sz w:val="21"/>
              </w:rPr>
              <w:t>采矿业</w:t>
            </w:r>
          </w:p>
        </w:tc>
        <w:tc>
          <w:tcPr>
            <w:tcW w:w="1667" w:type="dxa"/>
          </w:tcPr>
          <w:p>
            <w:pPr>
              <w:pStyle w:val="14"/>
              <w:spacing w:before="137" w:line="242" w:lineRule="auto"/>
              <w:ind w:left="307" w:right="77" w:hanging="200"/>
              <w:jc w:val="left"/>
              <w:rPr>
                <w:sz w:val="21"/>
              </w:rPr>
            </w:pPr>
            <w:r>
              <w:rPr>
                <w:sz w:val="21"/>
              </w:rPr>
              <w:t>金属矿、石油、页岩油开采</w:t>
            </w:r>
          </w:p>
        </w:tc>
        <w:tc>
          <w:tcPr>
            <w:tcW w:w="3973" w:type="dxa"/>
          </w:tcPr>
          <w:p>
            <w:pPr>
              <w:pStyle w:val="14"/>
              <w:ind w:left="107"/>
              <w:jc w:val="left"/>
              <w:rPr>
                <w:sz w:val="21"/>
              </w:rPr>
            </w:pPr>
            <w:r>
              <w:rPr>
                <w:sz w:val="21"/>
              </w:rPr>
              <w:t>化学矿采选；石棉矿采选；煤矿采选、天</w:t>
            </w:r>
          </w:p>
          <w:p>
            <w:pPr>
              <w:pStyle w:val="14"/>
              <w:spacing w:before="4" w:line="270" w:lineRule="atLeast"/>
              <w:ind w:left="726" w:right="36" w:hanging="620"/>
              <w:jc w:val="left"/>
              <w:rPr>
                <w:sz w:val="21"/>
              </w:rPr>
            </w:pPr>
            <w:r>
              <w:rPr>
                <w:w w:val="95"/>
                <w:sz w:val="21"/>
              </w:rPr>
              <w:t>然气开采、页岩气开采、砂岩气开采、煤</w:t>
            </w:r>
            <w:r>
              <w:rPr>
                <w:sz w:val="21"/>
              </w:rPr>
              <w:t>层气开采（含净化、液化）</w:t>
            </w:r>
          </w:p>
        </w:tc>
        <w:tc>
          <w:tcPr>
            <w:tcW w:w="1520" w:type="dxa"/>
          </w:tcPr>
          <w:p>
            <w:pPr>
              <w:pStyle w:val="14"/>
              <w:spacing w:before="4"/>
              <w:jc w:val="left"/>
              <w:rPr>
                <w:b/>
                <w:sz w:val="21"/>
              </w:rPr>
            </w:pPr>
          </w:p>
          <w:p>
            <w:pPr>
              <w:pStyle w:val="14"/>
              <w:spacing w:before="1"/>
              <w:ind w:left="529" w:right="521"/>
              <w:rPr>
                <w:sz w:val="21"/>
              </w:rPr>
            </w:pPr>
            <w:r>
              <w:rPr>
                <w:sz w:val="21"/>
              </w:rPr>
              <w:t>其他</w:t>
            </w:r>
          </w:p>
        </w:tc>
        <w:tc>
          <w:tcPr>
            <w:tcW w:w="893" w:type="dxa"/>
          </w:tcPr>
          <w:p>
            <w:pPr>
              <w:pStyle w:val="14"/>
              <w:jc w:val="left"/>
              <w:rPr>
                <w:rFonts w:ascii="Times New Roman"/>
                <w:sz w:val="22"/>
              </w:rPr>
            </w:pPr>
          </w:p>
        </w:tc>
      </w:tr>
    </w:tbl>
    <w:p>
      <w:pPr>
        <w:tabs>
          <w:tab w:val="left" w:pos="1159"/>
        </w:tabs>
        <w:spacing w:before="2"/>
        <w:ind w:left="0" w:right="25" w:firstLine="0"/>
        <w:jc w:val="center"/>
        <w:rPr>
          <w:b/>
          <w:sz w:val="24"/>
        </w:rPr>
      </w:pPr>
      <w:r>
        <mc:AlternateContent>
          <mc:Choice Requires="wps">
            <w:drawing>
              <wp:anchor distT="0" distB="0" distL="114300" distR="114300" simplePos="0" relativeHeight="214251520" behindDoc="1" locked="0" layoutInCell="1" allowOverlap="1">
                <wp:simplePos x="0" y="0"/>
                <wp:positionH relativeFrom="page">
                  <wp:posOffset>850900</wp:posOffset>
                </wp:positionH>
                <wp:positionV relativeFrom="paragraph">
                  <wp:posOffset>293370</wp:posOffset>
                </wp:positionV>
                <wp:extent cx="1451610" cy="718185"/>
                <wp:effectExtent l="0" t="0" r="15240" b="5715"/>
                <wp:wrapNone/>
                <wp:docPr id="8" name="任意多边形 4"/>
                <wp:cNvGraphicFramePr/>
                <a:graphic xmlns:a="http://schemas.openxmlformats.org/drawingml/2006/main">
                  <a:graphicData uri="http://schemas.microsoft.com/office/word/2010/wordprocessingShape">
                    <wps:wsp>
                      <wps:cNvSpPr/>
                      <wps:spPr>
                        <a:xfrm>
                          <a:off x="0" y="0"/>
                          <a:ext cx="1451610" cy="718185"/>
                        </a:xfrm>
                        <a:custGeom>
                          <a:avLst/>
                          <a:gdLst/>
                          <a:ahLst/>
                          <a:cxnLst/>
                          <a:pathLst>
                            <a:path w="2286" h="1131">
                              <a:moveTo>
                                <a:pt x="2280" y="1131"/>
                              </a:moveTo>
                              <a:lnTo>
                                <a:pt x="0" y="11"/>
                              </a:lnTo>
                              <a:lnTo>
                                <a:pt x="6" y="0"/>
                              </a:lnTo>
                              <a:lnTo>
                                <a:pt x="2286" y="1120"/>
                              </a:lnTo>
                              <a:lnTo>
                                <a:pt x="2280" y="1131"/>
                              </a:lnTo>
                              <a:close/>
                            </a:path>
                          </a:pathLst>
                        </a:custGeom>
                        <a:solidFill>
                          <a:srgbClr val="000000"/>
                        </a:solidFill>
                        <a:ln>
                          <a:noFill/>
                        </a:ln>
                      </wps:spPr>
                      <wps:bodyPr upright="1"/>
                    </wps:wsp>
                  </a:graphicData>
                </a:graphic>
              </wp:anchor>
            </w:drawing>
          </mc:Choice>
          <mc:Fallback>
            <w:pict>
              <v:shape id="任意多边形 4" o:spid="_x0000_s1026" o:spt="100" style="position:absolute;left:0pt;margin-left:67pt;margin-top:23.1pt;height:56.55pt;width:114.3pt;mso-position-horizontal-relative:page;z-index:-289064960;mso-width-relative:page;mso-height-relative:page;" fillcolor="#000000" filled="t" stroked="f" coordsize="2286,1131" o:gfxdata="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DuRF1wAAAAoBAAAPAAAAAAAAAAEAIAAAACIAAABkcnMv&#10;ZG93bnJldi54bWxQSwECFAAUAAAACACHTuJAaSFRnQQCAAA8BAAADgAAAAAAAAABACAAAAAmAQAA&#10;ZHJzL2Uyb0RvYy54bWxQSwUGAAAAAAYABgBZAQAAnAUAAAAA&#10;" path="m2280,1131l0,11,6,0,2286,1120,2280,1131xe">
                <v:fill on="t" focussize="0,0"/>
                <v:stroke on="f"/>
                <v:imagedata o:title=""/>
                <o:lock v:ext="edit" aspectratio="f"/>
              </v:shape>
            </w:pict>
          </mc:Fallback>
        </mc:AlternateContent>
      </w:r>
      <w:r>
        <w:rPr>
          <w:b/>
          <w:sz w:val="24"/>
        </w:rPr>
        <w:t>表</w:t>
      </w:r>
      <w:r>
        <w:rPr>
          <w:b/>
          <w:spacing w:val="-62"/>
          <w:sz w:val="24"/>
        </w:rPr>
        <w:t xml:space="preserve"> </w:t>
      </w:r>
      <w:r>
        <w:rPr>
          <w:rFonts w:ascii="Times New Roman" w:eastAsia="Times New Roman"/>
          <w:b/>
          <w:sz w:val="24"/>
        </w:rPr>
        <w:t>2.4-13</w:t>
      </w:r>
      <w:r>
        <w:rPr>
          <w:rFonts w:ascii="Times New Roman" w:eastAsia="Times New Roman"/>
          <w:b/>
          <w:sz w:val="24"/>
        </w:rPr>
        <w:tab/>
      </w:r>
      <w:r>
        <w:rPr>
          <w:b/>
          <w:sz w:val="24"/>
        </w:rPr>
        <w:t>井田开采区评价工作等级分级表</w:t>
      </w:r>
    </w:p>
    <w:p>
      <w:pPr>
        <w:pStyle w:val="6"/>
        <w:spacing w:before="4"/>
        <w:rPr>
          <w:b/>
          <w:sz w:val="12"/>
        </w:rPr>
      </w:pPr>
    </w:p>
    <w:tbl>
      <w:tblPr>
        <w:tblStyle w:val="10"/>
        <w:tblW w:w="0" w:type="auto"/>
        <w:tblInd w:w="5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21"/>
        <w:gridCol w:w="1691"/>
        <w:gridCol w:w="1825"/>
        <w:gridCol w:w="1780"/>
        <w:gridCol w:w="16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8" w:hRule="atLeast"/>
        </w:trPr>
        <w:tc>
          <w:tcPr>
            <w:tcW w:w="2321" w:type="dxa"/>
          </w:tcPr>
          <w:p>
            <w:pPr>
              <w:pStyle w:val="14"/>
              <w:spacing w:line="269" w:lineRule="exact"/>
              <w:ind w:left="1053"/>
              <w:jc w:val="left"/>
              <w:rPr>
                <w:sz w:val="21"/>
              </w:rPr>
            </w:pPr>
            <w:r>
              <w:rPr>
                <w:sz w:val="21"/>
              </w:rPr>
              <w:t>项目类别</w:t>
            </w:r>
          </w:p>
          <w:p>
            <w:pPr>
              <w:pStyle w:val="14"/>
              <w:jc w:val="left"/>
              <w:rPr>
                <w:b/>
                <w:sz w:val="20"/>
              </w:rPr>
            </w:pPr>
          </w:p>
          <w:p>
            <w:pPr>
              <w:pStyle w:val="14"/>
              <w:spacing w:before="1"/>
              <w:jc w:val="left"/>
              <w:rPr>
                <w:b/>
                <w:sz w:val="19"/>
              </w:rPr>
            </w:pPr>
          </w:p>
          <w:p>
            <w:pPr>
              <w:pStyle w:val="14"/>
              <w:ind w:left="108"/>
              <w:jc w:val="left"/>
              <w:rPr>
                <w:sz w:val="21"/>
              </w:rPr>
            </w:pPr>
            <w:r>
              <w:rPr>
                <w:sz w:val="21"/>
              </w:rPr>
              <w:t>环境敏感程度</w:t>
            </w:r>
          </w:p>
        </w:tc>
        <w:tc>
          <w:tcPr>
            <w:tcW w:w="1691" w:type="dxa"/>
          </w:tcPr>
          <w:p>
            <w:pPr>
              <w:pStyle w:val="14"/>
              <w:jc w:val="left"/>
              <w:rPr>
                <w:b/>
                <w:sz w:val="20"/>
              </w:rPr>
            </w:pPr>
          </w:p>
          <w:p>
            <w:pPr>
              <w:pStyle w:val="14"/>
              <w:spacing w:before="4"/>
              <w:jc w:val="left"/>
              <w:rPr>
                <w:b/>
                <w:sz w:val="15"/>
              </w:rPr>
            </w:pPr>
          </w:p>
          <w:p>
            <w:pPr>
              <w:pStyle w:val="14"/>
              <w:ind w:left="403" w:right="397"/>
              <w:rPr>
                <w:sz w:val="21"/>
              </w:rPr>
            </w:pPr>
            <w:r>
              <w:rPr>
                <w:sz w:val="21"/>
              </w:rPr>
              <w:t>Ⅰ类项目</w:t>
            </w:r>
          </w:p>
        </w:tc>
        <w:tc>
          <w:tcPr>
            <w:tcW w:w="1825" w:type="dxa"/>
          </w:tcPr>
          <w:p>
            <w:pPr>
              <w:pStyle w:val="14"/>
              <w:jc w:val="left"/>
              <w:rPr>
                <w:b/>
                <w:sz w:val="20"/>
              </w:rPr>
            </w:pPr>
          </w:p>
          <w:p>
            <w:pPr>
              <w:pStyle w:val="14"/>
              <w:spacing w:before="4"/>
              <w:jc w:val="left"/>
              <w:rPr>
                <w:b/>
                <w:sz w:val="15"/>
              </w:rPr>
            </w:pPr>
          </w:p>
          <w:p>
            <w:pPr>
              <w:pStyle w:val="14"/>
              <w:ind w:left="470" w:right="464"/>
              <w:rPr>
                <w:sz w:val="21"/>
              </w:rPr>
            </w:pPr>
            <w:r>
              <w:rPr>
                <w:sz w:val="21"/>
              </w:rPr>
              <w:t>Ⅱ类项目</w:t>
            </w:r>
          </w:p>
        </w:tc>
        <w:tc>
          <w:tcPr>
            <w:tcW w:w="1780" w:type="dxa"/>
          </w:tcPr>
          <w:p>
            <w:pPr>
              <w:pStyle w:val="14"/>
              <w:jc w:val="left"/>
              <w:rPr>
                <w:b/>
                <w:sz w:val="20"/>
              </w:rPr>
            </w:pPr>
          </w:p>
          <w:p>
            <w:pPr>
              <w:pStyle w:val="14"/>
              <w:spacing w:before="4"/>
              <w:jc w:val="left"/>
              <w:rPr>
                <w:b/>
                <w:sz w:val="15"/>
              </w:rPr>
            </w:pPr>
          </w:p>
          <w:p>
            <w:pPr>
              <w:pStyle w:val="14"/>
              <w:ind w:left="449" w:right="441"/>
              <w:rPr>
                <w:sz w:val="21"/>
              </w:rPr>
            </w:pPr>
            <w:r>
              <w:rPr>
                <w:sz w:val="21"/>
              </w:rPr>
              <w:t>Ⅲ类项目</w:t>
            </w:r>
          </w:p>
        </w:tc>
        <w:tc>
          <w:tcPr>
            <w:tcW w:w="1669" w:type="dxa"/>
          </w:tcPr>
          <w:p>
            <w:pPr>
              <w:pStyle w:val="14"/>
              <w:jc w:val="left"/>
              <w:rPr>
                <w:b/>
                <w:sz w:val="20"/>
              </w:rPr>
            </w:pPr>
          </w:p>
          <w:p>
            <w:pPr>
              <w:pStyle w:val="14"/>
              <w:spacing w:before="4"/>
              <w:jc w:val="left"/>
              <w:rPr>
                <w:b/>
                <w:sz w:val="15"/>
              </w:rPr>
            </w:pPr>
          </w:p>
          <w:p>
            <w:pPr>
              <w:pStyle w:val="14"/>
              <w:ind w:left="204"/>
              <w:jc w:val="left"/>
              <w:rPr>
                <w:sz w:val="21"/>
              </w:rPr>
            </w:pPr>
            <w:r>
              <w:rPr>
                <w:sz w:val="21"/>
              </w:rPr>
              <w:t>评价工作等级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2321" w:type="dxa"/>
          </w:tcPr>
          <w:p>
            <w:pPr>
              <w:pStyle w:val="14"/>
              <w:spacing w:before="87"/>
              <w:ind w:left="807" w:right="800"/>
              <w:rPr>
                <w:sz w:val="21"/>
              </w:rPr>
            </w:pPr>
            <w:r>
              <w:rPr>
                <w:sz w:val="21"/>
              </w:rPr>
              <w:t>敏感</w:t>
            </w:r>
          </w:p>
        </w:tc>
        <w:tc>
          <w:tcPr>
            <w:tcW w:w="1691" w:type="dxa"/>
          </w:tcPr>
          <w:p>
            <w:pPr>
              <w:pStyle w:val="14"/>
              <w:spacing w:before="87"/>
              <w:ind w:left="400" w:right="397"/>
              <w:rPr>
                <w:sz w:val="21"/>
              </w:rPr>
            </w:pPr>
            <w:r>
              <w:rPr>
                <w:sz w:val="21"/>
              </w:rPr>
              <w:t>一级</w:t>
            </w:r>
          </w:p>
        </w:tc>
        <w:tc>
          <w:tcPr>
            <w:tcW w:w="1825" w:type="dxa"/>
          </w:tcPr>
          <w:p>
            <w:pPr>
              <w:pStyle w:val="14"/>
              <w:spacing w:before="87"/>
              <w:ind w:left="470" w:right="464"/>
              <w:rPr>
                <w:sz w:val="21"/>
              </w:rPr>
            </w:pPr>
            <w:r>
              <w:rPr>
                <w:sz w:val="21"/>
              </w:rPr>
              <w:t>二级</w:t>
            </w:r>
          </w:p>
        </w:tc>
        <w:tc>
          <w:tcPr>
            <w:tcW w:w="1780" w:type="dxa"/>
          </w:tcPr>
          <w:p>
            <w:pPr>
              <w:pStyle w:val="14"/>
              <w:spacing w:before="87"/>
              <w:ind w:left="447" w:right="441"/>
              <w:rPr>
                <w:sz w:val="21"/>
              </w:rPr>
            </w:pPr>
            <w:r>
              <w:rPr>
                <w:sz w:val="21"/>
              </w:rPr>
              <w:t>三级</w:t>
            </w:r>
          </w:p>
        </w:tc>
        <w:tc>
          <w:tcPr>
            <w:tcW w:w="1669" w:type="dxa"/>
            <w:vMerge w:val="restart"/>
          </w:tcPr>
          <w:p>
            <w:pPr>
              <w:pStyle w:val="14"/>
              <w:jc w:val="left"/>
              <w:rPr>
                <w:b/>
                <w:sz w:val="20"/>
              </w:rPr>
            </w:pPr>
          </w:p>
          <w:p>
            <w:pPr>
              <w:pStyle w:val="14"/>
              <w:spacing w:before="5"/>
              <w:jc w:val="left"/>
              <w:rPr>
                <w:b/>
                <w:sz w:val="22"/>
              </w:rPr>
            </w:pPr>
          </w:p>
          <w:p>
            <w:pPr>
              <w:pStyle w:val="14"/>
              <w:ind w:left="603" w:right="595"/>
              <w:rPr>
                <w:sz w:val="21"/>
              </w:rPr>
            </w:pPr>
            <w:r>
              <w:rPr>
                <w:sz w:val="21"/>
              </w:rPr>
              <w:t>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2321" w:type="dxa"/>
          </w:tcPr>
          <w:p>
            <w:pPr>
              <w:pStyle w:val="14"/>
              <w:spacing w:before="87"/>
              <w:ind w:left="807" w:right="800"/>
              <w:rPr>
                <w:sz w:val="21"/>
              </w:rPr>
            </w:pPr>
            <w:r>
              <w:rPr>
                <w:sz w:val="21"/>
              </w:rPr>
              <w:t>较敏感</w:t>
            </w:r>
          </w:p>
        </w:tc>
        <w:tc>
          <w:tcPr>
            <w:tcW w:w="1691" w:type="dxa"/>
          </w:tcPr>
          <w:p>
            <w:pPr>
              <w:pStyle w:val="14"/>
              <w:spacing w:before="87"/>
              <w:ind w:left="400" w:right="397"/>
              <w:rPr>
                <w:sz w:val="21"/>
              </w:rPr>
            </w:pPr>
            <w:r>
              <w:rPr>
                <w:sz w:val="21"/>
              </w:rPr>
              <w:t>二级</w:t>
            </w:r>
          </w:p>
        </w:tc>
        <w:tc>
          <w:tcPr>
            <w:tcW w:w="1825" w:type="dxa"/>
          </w:tcPr>
          <w:p>
            <w:pPr>
              <w:pStyle w:val="14"/>
              <w:spacing w:before="87"/>
              <w:ind w:left="470" w:right="464"/>
              <w:rPr>
                <w:sz w:val="21"/>
              </w:rPr>
            </w:pPr>
            <w:r>
              <w:rPr>
                <w:sz w:val="21"/>
              </w:rPr>
              <w:t>二级</w:t>
            </w:r>
          </w:p>
        </w:tc>
        <w:tc>
          <w:tcPr>
            <w:tcW w:w="1780" w:type="dxa"/>
          </w:tcPr>
          <w:p>
            <w:pPr>
              <w:pStyle w:val="14"/>
              <w:spacing w:before="87"/>
              <w:ind w:left="447" w:right="441"/>
              <w:rPr>
                <w:sz w:val="21"/>
              </w:rPr>
            </w:pPr>
            <w:r>
              <w:rPr>
                <w:sz w:val="21"/>
              </w:rPr>
              <w:t>三级</w:t>
            </w:r>
          </w:p>
        </w:tc>
        <w:tc>
          <w:tcPr>
            <w:tcW w:w="166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2321" w:type="dxa"/>
          </w:tcPr>
          <w:p>
            <w:pPr>
              <w:pStyle w:val="14"/>
              <w:spacing w:before="87"/>
              <w:ind w:left="807" w:right="800"/>
              <w:rPr>
                <w:sz w:val="21"/>
              </w:rPr>
            </w:pPr>
            <w:r>
              <w:rPr>
                <w:sz w:val="21"/>
              </w:rPr>
              <w:t>不敏感</w:t>
            </w:r>
          </w:p>
        </w:tc>
        <w:tc>
          <w:tcPr>
            <w:tcW w:w="1691" w:type="dxa"/>
          </w:tcPr>
          <w:p>
            <w:pPr>
              <w:pStyle w:val="14"/>
              <w:spacing w:before="87"/>
              <w:ind w:left="400" w:right="397"/>
              <w:rPr>
                <w:sz w:val="21"/>
              </w:rPr>
            </w:pPr>
            <w:r>
              <w:rPr>
                <w:sz w:val="21"/>
              </w:rPr>
              <w:t>二级</w:t>
            </w:r>
          </w:p>
        </w:tc>
        <w:tc>
          <w:tcPr>
            <w:tcW w:w="1825" w:type="dxa"/>
          </w:tcPr>
          <w:p>
            <w:pPr>
              <w:pStyle w:val="14"/>
              <w:spacing w:before="87"/>
              <w:ind w:left="470" w:right="464"/>
              <w:rPr>
                <w:sz w:val="21"/>
              </w:rPr>
            </w:pPr>
            <w:r>
              <w:rPr>
                <w:sz w:val="21"/>
              </w:rPr>
              <w:t>三级√</w:t>
            </w:r>
          </w:p>
        </w:tc>
        <w:tc>
          <w:tcPr>
            <w:tcW w:w="1780" w:type="dxa"/>
          </w:tcPr>
          <w:p>
            <w:pPr>
              <w:pStyle w:val="14"/>
              <w:spacing w:before="101"/>
              <w:ind w:left="8"/>
              <w:rPr>
                <w:rFonts w:ascii="Times New Roman" w:hAnsi="Times New Roman"/>
                <w:sz w:val="21"/>
              </w:rPr>
            </w:pPr>
            <w:r>
              <w:rPr>
                <w:rFonts w:ascii="Times New Roman" w:hAnsi="Times New Roman"/>
                <w:w w:val="99"/>
                <w:sz w:val="21"/>
              </w:rPr>
              <w:t>—</w:t>
            </w:r>
          </w:p>
        </w:tc>
        <w:tc>
          <w:tcPr>
            <w:tcW w:w="166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9286" w:type="dxa"/>
            <w:gridSpan w:val="5"/>
          </w:tcPr>
          <w:p>
            <w:pPr>
              <w:pStyle w:val="14"/>
              <w:spacing w:before="87"/>
              <w:ind w:left="108"/>
              <w:jc w:val="left"/>
              <w:rPr>
                <w:sz w:val="21"/>
              </w:rPr>
            </w:pPr>
            <w:r>
              <w:rPr>
                <w:sz w:val="21"/>
              </w:rPr>
              <w:t>注：</w:t>
            </w:r>
            <w:r>
              <w:rPr>
                <w:rFonts w:ascii="Times New Roman" w:hAnsi="Times New Roman" w:eastAsia="Times New Roman"/>
                <w:sz w:val="21"/>
              </w:rPr>
              <w:t>“—”</w:t>
            </w:r>
            <w:r>
              <w:rPr>
                <w:sz w:val="21"/>
              </w:rPr>
              <w:t>表示可不开展土壤环境影响评价工作</w:t>
            </w:r>
          </w:p>
        </w:tc>
      </w:tr>
    </w:tbl>
    <w:p>
      <w:pPr>
        <w:pStyle w:val="6"/>
        <w:spacing w:before="2" w:line="364" w:lineRule="auto"/>
        <w:ind w:left="658" w:right="696" w:firstLine="480"/>
        <w:jc w:val="both"/>
      </w:pPr>
      <w:r>
        <w:rPr>
          <w:spacing w:val="-2"/>
        </w:rPr>
        <w:t xml:space="preserve">本项目工业广场永久占地面积 </w:t>
      </w:r>
      <w:r>
        <w:rPr>
          <w:rFonts w:ascii="Times New Roman" w:eastAsia="Times New Roman"/>
        </w:rPr>
        <w:t>2.9767hm</w:t>
      </w:r>
      <w:r>
        <w:rPr>
          <w:rFonts w:ascii="Times New Roman" w:eastAsia="Times New Roman"/>
          <w:position w:val="8"/>
          <w:sz w:val="15"/>
        </w:rPr>
        <w:t>2</w:t>
      </w:r>
      <w:r>
        <w:t>，工业广场占地规模为小型。污染影响型</w:t>
      </w:r>
      <w:r>
        <w:rPr>
          <w:spacing w:val="-6"/>
        </w:rPr>
        <w:t xml:space="preserve">建设项目占地规模见表 </w:t>
      </w:r>
      <w:r>
        <w:rPr>
          <w:rFonts w:ascii="Times New Roman" w:eastAsia="Times New Roman"/>
        </w:rPr>
        <w:t>2.4-14</w:t>
      </w:r>
      <w:r>
        <w:t>。</w:t>
      </w:r>
    </w:p>
    <w:p>
      <w:pPr>
        <w:pStyle w:val="5"/>
        <w:spacing w:line="306" w:lineRule="exact"/>
        <w:ind w:left="3293"/>
        <w:jc w:val="both"/>
      </w:pPr>
      <w:r>
        <mc:AlternateContent>
          <mc:Choice Requires="wps">
            <w:drawing>
              <wp:anchor distT="0" distB="0" distL="114300" distR="114300" simplePos="0" relativeHeight="214250496" behindDoc="1" locked="0" layoutInCell="1" allowOverlap="1">
                <wp:simplePos x="0" y="0"/>
                <wp:positionH relativeFrom="page">
                  <wp:posOffset>850900</wp:posOffset>
                </wp:positionH>
                <wp:positionV relativeFrom="paragraph">
                  <wp:posOffset>291465</wp:posOffset>
                </wp:positionV>
                <wp:extent cx="1451610" cy="718185"/>
                <wp:effectExtent l="0" t="0" r="15240" b="5715"/>
                <wp:wrapNone/>
                <wp:docPr id="6" name="任意多边形 5"/>
                <wp:cNvGraphicFramePr/>
                <a:graphic xmlns:a="http://schemas.openxmlformats.org/drawingml/2006/main">
                  <a:graphicData uri="http://schemas.microsoft.com/office/word/2010/wordprocessingShape">
                    <wps:wsp>
                      <wps:cNvSpPr/>
                      <wps:spPr>
                        <a:xfrm>
                          <a:off x="0" y="0"/>
                          <a:ext cx="1451610" cy="718185"/>
                        </a:xfrm>
                        <a:custGeom>
                          <a:avLst/>
                          <a:gdLst/>
                          <a:ahLst/>
                          <a:cxnLst/>
                          <a:pathLst>
                            <a:path w="2286" h="1131">
                              <a:moveTo>
                                <a:pt x="2280" y="1131"/>
                              </a:moveTo>
                              <a:lnTo>
                                <a:pt x="0" y="11"/>
                              </a:lnTo>
                              <a:lnTo>
                                <a:pt x="6" y="0"/>
                              </a:lnTo>
                              <a:lnTo>
                                <a:pt x="2286" y="1120"/>
                              </a:lnTo>
                              <a:lnTo>
                                <a:pt x="2280" y="1131"/>
                              </a:lnTo>
                              <a:close/>
                            </a:path>
                          </a:pathLst>
                        </a:custGeom>
                        <a:solidFill>
                          <a:srgbClr val="000000"/>
                        </a:solidFill>
                        <a:ln>
                          <a:noFill/>
                        </a:ln>
                      </wps:spPr>
                      <wps:bodyPr upright="1"/>
                    </wps:wsp>
                  </a:graphicData>
                </a:graphic>
              </wp:anchor>
            </w:drawing>
          </mc:Choice>
          <mc:Fallback>
            <w:pict>
              <v:shape id="任意多边形 5" o:spid="_x0000_s1026" o:spt="100" style="position:absolute;left:0pt;margin-left:67pt;margin-top:22.95pt;height:56.55pt;width:114.3pt;mso-position-horizontal-relative:page;z-index:-289065984;mso-width-relative:page;mso-height-relative:page;" fillcolor="#000000" filled="t" stroked="f" coordsize="2286,1131" o:gfxdata="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IanS3XAAAACgEAAA8AAAAAAAAAAQAgAAAAIgAAAGRycy9kb3du&#10;cmV2LnhtbFBLAQIUABQAAAAIAIdO4kDEFgoXAAIAADwEAAAOAAAAAAAAAAEAIAAAACYBAABkcnMv&#10;ZTJvRG9jLnhtbFBLBQYAAAAABgAGAFkBAACYBQAAAAA=&#10;" path="m2280,1131l0,11,6,0,2286,1120,2280,1131xe">
                <v:fill on="t" focussize="0,0"/>
                <v:stroke on="f"/>
                <v:imagedata o:title=""/>
                <o:lock v:ext="edit" aspectratio="f"/>
              </v:shape>
            </w:pict>
          </mc:Fallback>
        </mc:AlternateContent>
      </w:r>
      <w:r>
        <w:t xml:space="preserve">表 </w:t>
      </w:r>
      <w:r>
        <w:rPr>
          <w:rFonts w:ascii="Times New Roman" w:eastAsia="Times New Roman"/>
        </w:rPr>
        <w:t xml:space="preserve">2.4-14  </w:t>
      </w:r>
      <w:r>
        <w:t>污染影响型建设项目占地</w:t>
      </w:r>
    </w:p>
    <w:p>
      <w:pPr>
        <w:pStyle w:val="6"/>
        <w:spacing w:before="4"/>
        <w:rPr>
          <w:b/>
          <w:sz w:val="12"/>
        </w:rPr>
      </w:pPr>
    </w:p>
    <w:tbl>
      <w:tblPr>
        <w:tblStyle w:val="10"/>
        <w:tblW w:w="0" w:type="auto"/>
        <w:tblInd w:w="5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21"/>
        <w:gridCol w:w="2321"/>
        <w:gridCol w:w="2322"/>
        <w:gridCol w:w="23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8" w:hRule="atLeast"/>
        </w:trPr>
        <w:tc>
          <w:tcPr>
            <w:tcW w:w="2321" w:type="dxa"/>
          </w:tcPr>
          <w:p>
            <w:pPr>
              <w:pStyle w:val="14"/>
              <w:spacing w:before="1"/>
              <w:ind w:left="811" w:right="597"/>
              <w:rPr>
                <w:sz w:val="21"/>
              </w:rPr>
            </w:pPr>
            <w:r>
              <w:rPr>
                <w:sz w:val="21"/>
              </w:rPr>
              <w:t>类型</w:t>
            </w:r>
          </w:p>
          <w:p>
            <w:pPr>
              <w:pStyle w:val="14"/>
              <w:jc w:val="left"/>
              <w:rPr>
                <w:b/>
                <w:sz w:val="20"/>
              </w:rPr>
            </w:pPr>
          </w:p>
          <w:p>
            <w:pPr>
              <w:pStyle w:val="14"/>
              <w:spacing w:before="12"/>
              <w:jc w:val="left"/>
              <w:rPr>
                <w:b/>
                <w:sz w:val="18"/>
              </w:rPr>
            </w:pPr>
          </w:p>
          <w:p>
            <w:pPr>
              <w:pStyle w:val="14"/>
              <w:ind w:left="108"/>
              <w:jc w:val="left"/>
              <w:rPr>
                <w:sz w:val="21"/>
              </w:rPr>
            </w:pPr>
            <w:r>
              <w:rPr>
                <w:sz w:val="21"/>
              </w:rPr>
              <w:t>占地类型</w:t>
            </w:r>
          </w:p>
        </w:tc>
        <w:tc>
          <w:tcPr>
            <w:tcW w:w="2321" w:type="dxa"/>
          </w:tcPr>
          <w:p>
            <w:pPr>
              <w:pStyle w:val="14"/>
              <w:jc w:val="left"/>
              <w:rPr>
                <w:b/>
                <w:sz w:val="20"/>
              </w:rPr>
            </w:pPr>
          </w:p>
          <w:p>
            <w:pPr>
              <w:pStyle w:val="14"/>
              <w:spacing w:before="129"/>
              <w:ind w:left="807" w:right="800"/>
              <w:rPr>
                <w:sz w:val="21"/>
              </w:rPr>
            </w:pPr>
            <w:r>
              <w:rPr>
                <w:sz w:val="21"/>
              </w:rPr>
              <w:t>大型</w:t>
            </w:r>
          </w:p>
        </w:tc>
        <w:tc>
          <w:tcPr>
            <w:tcW w:w="2322" w:type="dxa"/>
          </w:tcPr>
          <w:p>
            <w:pPr>
              <w:pStyle w:val="14"/>
              <w:jc w:val="left"/>
              <w:rPr>
                <w:b/>
                <w:sz w:val="20"/>
              </w:rPr>
            </w:pPr>
          </w:p>
          <w:p>
            <w:pPr>
              <w:pStyle w:val="14"/>
              <w:spacing w:before="129"/>
              <w:ind w:left="715" w:right="709"/>
              <w:rPr>
                <w:sz w:val="21"/>
              </w:rPr>
            </w:pPr>
            <w:r>
              <w:rPr>
                <w:sz w:val="21"/>
              </w:rPr>
              <w:t>中型</w:t>
            </w:r>
          </w:p>
        </w:tc>
        <w:tc>
          <w:tcPr>
            <w:tcW w:w="2322" w:type="dxa"/>
          </w:tcPr>
          <w:p>
            <w:pPr>
              <w:pStyle w:val="14"/>
              <w:jc w:val="left"/>
              <w:rPr>
                <w:b/>
                <w:sz w:val="20"/>
              </w:rPr>
            </w:pPr>
          </w:p>
          <w:p>
            <w:pPr>
              <w:pStyle w:val="14"/>
              <w:spacing w:before="129"/>
              <w:ind w:left="717" w:right="709"/>
              <w:rPr>
                <w:sz w:val="21"/>
              </w:rPr>
            </w:pPr>
            <w:r>
              <w:rPr>
                <w:sz w:val="21"/>
              </w:rPr>
              <w:t>小型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2321" w:type="dxa"/>
          </w:tcPr>
          <w:p>
            <w:pPr>
              <w:pStyle w:val="14"/>
              <w:spacing w:before="86"/>
              <w:ind w:left="633"/>
              <w:jc w:val="left"/>
              <w:rPr>
                <w:sz w:val="21"/>
              </w:rPr>
            </w:pPr>
            <w:r>
              <w:rPr>
                <w:sz w:val="21"/>
              </w:rPr>
              <w:t>永久占地面</w:t>
            </w:r>
          </w:p>
        </w:tc>
        <w:tc>
          <w:tcPr>
            <w:tcW w:w="2321" w:type="dxa"/>
          </w:tcPr>
          <w:p>
            <w:pPr>
              <w:pStyle w:val="14"/>
              <w:spacing w:before="103"/>
              <w:ind w:left="811" w:right="800"/>
              <w:rPr>
                <w:rFonts w:ascii="Times New Roman" w:hAnsi="Times New Roman"/>
                <w:sz w:val="13"/>
              </w:rPr>
            </w:pPr>
            <w:r>
              <w:rPr>
                <w:rFonts w:ascii="Times New Roman" w:hAnsi="Times New Roman"/>
                <w:sz w:val="21"/>
              </w:rPr>
              <w:t>≥50hm</w:t>
            </w:r>
            <w:r>
              <w:rPr>
                <w:rFonts w:ascii="Times New Roman" w:hAnsi="Times New Roman"/>
                <w:position w:val="7"/>
                <w:sz w:val="13"/>
              </w:rPr>
              <w:t>2</w:t>
            </w:r>
          </w:p>
        </w:tc>
        <w:tc>
          <w:tcPr>
            <w:tcW w:w="2322" w:type="dxa"/>
          </w:tcPr>
          <w:p>
            <w:pPr>
              <w:pStyle w:val="14"/>
              <w:spacing w:before="103"/>
              <w:ind w:left="719" w:right="707"/>
              <w:rPr>
                <w:rFonts w:ascii="Times New Roman"/>
                <w:sz w:val="13"/>
              </w:rPr>
            </w:pPr>
            <w:r>
              <w:rPr>
                <w:rFonts w:ascii="Times New Roman"/>
                <w:sz w:val="21"/>
              </w:rPr>
              <w:t>5~50hm</w:t>
            </w:r>
            <w:r>
              <w:rPr>
                <w:rFonts w:ascii="Times New Roman"/>
                <w:position w:val="7"/>
                <w:sz w:val="13"/>
              </w:rPr>
              <w:t>2</w:t>
            </w:r>
          </w:p>
        </w:tc>
        <w:tc>
          <w:tcPr>
            <w:tcW w:w="2322" w:type="dxa"/>
          </w:tcPr>
          <w:p>
            <w:pPr>
              <w:pStyle w:val="14"/>
              <w:spacing w:before="103"/>
              <w:ind w:left="718" w:right="709"/>
              <w:rPr>
                <w:rFonts w:ascii="Times New Roman" w:hAnsi="Times New Roman"/>
                <w:sz w:val="13"/>
              </w:rPr>
            </w:pPr>
            <w:r>
              <w:rPr>
                <w:rFonts w:ascii="Times New Roman" w:hAnsi="Times New Roman"/>
                <w:sz w:val="21"/>
              </w:rPr>
              <w:t>≤5hm</w:t>
            </w:r>
            <w:r>
              <w:rPr>
                <w:rFonts w:ascii="Times New Roman" w:hAnsi="Times New Roman"/>
                <w:position w:val="7"/>
                <w:sz w:val="13"/>
              </w:rPr>
              <w:t>2</w:t>
            </w:r>
          </w:p>
        </w:tc>
      </w:tr>
    </w:tbl>
    <w:p>
      <w:pPr>
        <w:pStyle w:val="6"/>
        <w:spacing w:before="1"/>
        <w:ind w:left="1138"/>
      </w:pPr>
      <w:r>
        <w:t>本项目用地性质为建设用地，属其他情况，项目周围为次生林地，敏感程度为较敏</w:t>
      </w:r>
    </w:p>
    <w:p>
      <w:pPr>
        <w:spacing w:after="0"/>
        <w:sectPr>
          <w:pgSz w:w="11910" w:h="16840"/>
          <w:pgMar w:top="1400" w:right="720" w:bottom="1160" w:left="760" w:header="0" w:footer="895" w:gutter="0"/>
        </w:sectPr>
      </w:pPr>
    </w:p>
    <w:p>
      <w:pPr>
        <w:pStyle w:val="6"/>
        <w:spacing w:before="61"/>
        <w:ind w:left="658"/>
      </w:pPr>
      <w:r>
        <w:t xml:space="preserve">感，污染影响型敏感程度分级表见表 </w:t>
      </w:r>
      <w:r>
        <w:rPr>
          <w:rFonts w:ascii="Times New Roman" w:eastAsia="Times New Roman"/>
        </w:rPr>
        <w:t>2.4-15</w:t>
      </w:r>
      <w:r>
        <w:t>。</w:t>
      </w:r>
    </w:p>
    <w:p>
      <w:pPr>
        <w:pStyle w:val="5"/>
        <w:tabs>
          <w:tab w:val="left" w:pos="1159"/>
        </w:tabs>
        <w:spacing w:before="158" w:after="4"/>
        <w:ind w:right="28"/>
        <w:jc w:val="center"/>
      </w:pPr>
      <w:r>
        <w:t>表</w:t>
      </w:r>
      <w:r>
        <w:rPr>
          <w:spacing w:val="-62"/>
        </w:rPr>
        <w:t xml:space="preserve"> </w:t>
      </w:r>
      <w:r>
        <w:rPr>
          <w:rFonts w:ascii="Times New Roman" w:eastAsia="Times New Roman"/>
        </w:rPr>
        <w:t>2.4-15</w:t>
      </w:r>
      <w:r>
        <w:rPr>
          <w:rFonts w:ascii="Times New Roman" w:eastAsia="Times New Roman"/>
        </w:rPr>
        <w:tab/>
      </w:r>
      <w:r>
        <w:t>污染影响型敏感程度分级表</w:t>
      </w:r>
    </w:p>
    <w:tbl>
      <w:tblPr>
        <w:tblStyle w:val="10"/>
        <w:tblW w:w="0" w:type="auto"/>
        <w:tblInd w:w="5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53"/>
        <w:gridCol w:w="71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153" w:type="dxa"/>
          </w:tcPr>
          <w:p>
            <w:pPr>
              <w:pStyle w:val="14"/>
              <w:spacing w:before="2" w:line="250" w:lineRule="exact"/>
              <w:ind w:left="634" w:right="624"/>
              <w:rPr>
                <w:b/>
                <w:sz w:val="21"/>
              </w:rPr>
            </w:pPr>
            <w:r>
              <w:rPr>
                <w:b/>
                <w:sz w:val="21"/>
              </w:rPr>
              <w:t>敏感程度</w:t>
            </w:r>
          </w:p>
        </w:tc>
        <w:tc>
          <w:tcPr>
            <w:tcW w:w="7133" w:type="dxa"/>
          </w:tcPr>
          <w:p>
            <w:pPr>
              <w:pStyle w:val="14"/>
              <w:spacing w:before="2" w:line="250" w:lineRule="exact"/>
              <w:ind w:left="500" w:right="488"/>
              <w:rPr>
                <w:b/>
                <w:sz w:val="21"/>
              </w:rPr>
            </w:pPr>
            <w:r>
              <w:rPr>
                <w:b/>
                <w:sz w:val="21"/>
              </w:rPr>
              <w:t>判别依据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153" w:type="dxa"/>
          </w:tcPr>
          <w:p>
            <w:pPr>
              <w:pStyle w:val="14"/>
              <w:spacing w:before="135"/>
              <w:ind w:left="631" w:right="624"/>
              <w:rPr>
                <w:sz w:val="21"/>
              </w:rPr>
            </w:pPr>
            <w:r>
              <w:rPr>
                <w:sz w:val="21"/>
              </w:rPr>
              <w:t>敏感</w:t>
            </w:r>
          </w:p>
        </w:tc>
        <w:tc>
          <w:tcPr>
            <w:tcW w:w="7133" w:type="dxa"/>
          </w:tcPr>
          <w:p>
            <w:pPr>
              <w:pStyle w:val="14"/>
              <w:spacing w:before="1"/>
              <w:ind w:left="500" w:right="493"/>
              <w:rPr>
                <w:sz w:val="21"/>
              </w:rPr>
            </w:pPr>
            <w:r>
              <w:rPr>
                <w:sz w:val="21"/>
              </w:rPr>
              <w:t>建设项目周边存在耕地、园地、牧草地、饮用水水源地或居民区、</w:t>
            </w:r>
          </w:p>
          <w:p>
            <w:pPr>
              <w:pStyle w:val="14"/>
              <w:spacing w:before="2" w:line="253" w:lineRule="exact"/>
              <w:ind w:left="498" w:right="493"/>
              <w:rPr>
                <w:sz w:val="21"/>
              </w:rPr>
            </w:pPr>
            <w:r>
              <w:rPr>
                <w:sz w:val="21"/>
              </w:rPr>
              <w:t>学校、医院、疗养院、养老院等土壤环境敏感目标的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153" w:type="dxa"/>
          </w:tcPr>
          <w:p>
            <w:pPr>
              <w:pStyle w:val="14"/>
              <w:spacing w:line="253" w:lineRule="exact"/>
              <w:ind w:left="631" w:right="624"/>
              <w:rPr>
                <w:sz w:val="21"/>
              </w:rPr>
            </w:pPr>
            <w:r>
              <w:rPr>
                <w:sz w:val="21"/>
              </w:rPr>
              <w:t>较敏感</w:t>
            </w:r>
          </w:p>
        </w:tc>
        <w:tc>
          <w:tcPr>
            <w:tcW w:w="7133" w:type="dxa"/>
          </w:tcPr>
          <w:p>
            <w:pPr>
              <w:pStyle w:val="14"/>
              <w:spacing w:line="253" w:lineRule="exact"/>
              <w:ind w:left="498" w:right="493"/>
              <w:rPr>
                <w:sz w:val="21"/>
              </w:rPr>
            </w:pPr>
            <w:r>
              <w:rPr>
                <w:sz w:val="21"/>
              </w:rPr>
              <w:t>建设项目周边存在其他土壤环境敏感目标的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153" w:type="dxa"/>
          </w:tcPr>
          <w:p>
            <w:pPr>
              <w:pStyle w:val="14"/>
              <w:spacing w:line="252" w:lineRule="exact"/>
              <w:ind w:left="631" w:right="624"/>
              <w:rPr>
                <w:sz w:val="21"/>
              </w:rPr>
            </w:pPr>
            <w:r>
              <w:rPr>
                <w:sz w:val="21"/>
              </w:rPr>
              <w:t>不敏感</w:t>
            </w:r>
          </w:p>
        </w:tc>
        <w:tc>
          <w:tcPr>
            <w:tcW w:w="7133" w:type="dxa"/>
          </w:tcPr>
          <w:p>
            <w:pPr>
              <w:pStyle w:val="14"/>
              <w:spacing w:line="252" w:lineRule="exact"/>
              <w:ind w:left="500" w:right="493"/>
              <w:rPr>
                <w:sz w:val="21"/>
              </w:rPr>
            </w:pPr>
            <w:r>
              <w:rPr>
                <w:sz w:val="21"/>
              </w:rPr>
              <w:t>其他情况</w:t>
            </w:r>
          </w:p>
        </w:tc>
      </w:tr>
    </w:tbl>
    <w:p>
      <w:pPr>
        <w:pStyle w:val="6"/>
        <w:ind w:left="1138"/>
        <w:jc w:val="both"/>
      </w:pPr>
      <w:r>
        <w:t xml:space="preserve">根据表 </w:t>
      </w:r>
      <w:r>
        <w:rPr>
          <w:rFonts w:ascii="Times New Roman" w:eastAsia="Times New Roman"/>
        </w:rPr>
        <w:t>2.4-12~2.4-15</w:t>
      </w:r>
      <w:r>
        <w:t>，判断本项目工业广场土壤环境评价工作等级。</w:t>
      </w:r>
    </w:p>
    <w:p>
      <w:pPr>
        <w:pStyle w:val="6"/>
        <w:spacing w:before="161" w:line="364" w:lineRule="auto"/>
        <w:ind w:left="658" w:right="693" w:firstLine="480"/>
        <w:jc w:val="both"/>
      </w:pPr>
      <w:r>
        <w:t>根据《环境影响评价技术导则 土壤环境（试行）》（</w:t>
      </w:r>
      <w:r>
        <w:rPr>
          <w:rFonts w:ascii="Times New Roman" w:hAnsi="Times New Roman" w:eastAsia="Times New Roman"/>
        </w:rPr>
        <w:t>HJ964-2018</w:t>
      </w:r>
      <w:r>
        <w:t>），煤矿开采为</w:t>
      </w:r>
      <w:r>
        <w:rPr>
          <w:rFonts w:ascii="Times New Roman" w:hAnsi="Times New Roman" w:eastAsia="Times New Roman"/>
        </w:rPr>
        <w:t xml:space="preserve">II </w:t>
      </w:r>
      <w:r>
        <w:rPr>
          <w:spacing w:val="-4"/>
        </w:rPr>
        <w:t xml:space="preserve">类项目；工业广场占地面积为 </w:t>
      </w:r>
      <w:r>
        <w:rPr>
          <w:rFonts w:ascii="Times New Roman" w:hAnsi="Times New Roman" w:eastAsia="Times New Roman"/>
        </w:rPr>
        <w:t>2.9767hm</w:t>
      </w:r>
      <w:r>
        <w:rPr>
          <w:rFonts w:ascii="Times New Roman" w:hAnsi="Times New Roman" w:eastAsia="Times New Roman"/>
          <w:position w:val="8"/>
          <w:sz w:val="15"/>
        </w:rPr>
        <w:t>2</w:t>
      </w:r>
      <w:r>
        <w:t>，工业广场占地面积在≤</w:t>
      </w:r>
      <w:r>
        <w:rPr>
          <w:rFonts w:ascii="Times New Roman" w:hAnsi="Times New Roman" w:eastAsia="Times New Roman"/>
        </w:rPr>
        <w:t>5hm</w:t>
      </w:r>
      <w:r>
        <w:rPr>
          <w:rFonts w:ascii="Times New Roman" w:hAnsi="Times New Roman" w:eastAsia="Times New Roman"/>
          <w:position w:val="8"/>
          <w:sz w:val="15"/>
        </w:rPr>
        <w:t>2</w:t>
      </w:r>
      <w:r>
        <w:t>，占地类型为</w:t>
      </w:r>
      <w:r>
        <w:rPr>
          <w:spacing w:val="-8"/>
        </w:rPr>
        <w:t>小型；项目工业广场占地为建设用地，周围为次生林地，环境较敏感，污染影响型评价</w:t>
      </w:r>
      <w:r>
        <w:rPr>
          <w:spacing w:val="-6"/>
        </w:rPr>
        <w:t xml:space="preserve">工作等级划分表见表 </w:t>
      </w:r>
      <w:r>
        <w:rPr>
          <w:rFonts w:ascii="Times New Roman" w:hAnsi="Times New Roman" w:eastAsia="Times New Roman"/>
        </w:rPr>
        <w:t>2.4-16</w:t>
      </w:r>
      <w:r>
        <w:t>。</w:t>
      </w:r>
    </w:p>
    <w:p>
      <w:pPr>
        <w:pStyle w:val="5"/>
        <w:spacing w:after="2" w:line="305" w:lineRule="exact"/>
        <w:ind w:left="2993"/>
        <w:jc w:val="both"/>
      </w:pPr>
      <w:r>
        <mc:AlternateContent>
          <mc:Choice Requires="wps">
            <w:drawing>
              <wp:anchor distT="0" distB="0" distL="114300" distR="114300" simplePos="0" relativeHeight="214255616" behindDoc="1" locked="0" layoutInCell="1" allowOverlap="1">
                <wp:simplePos x="0" y="0"/>
                <wp:positionH relativeFrom="page">
                  <wp:posOffset>855980</wp:posOffset>
                </wp:positionH>
                <wp:positionV relativeFrom="paragraph">
                  <wp:posOffset>188595</wp:posOffset>
                </wp:positionV>
                <wp:extent cx="1576070" cy="581660"/>
                <wp:effectExtent l="0" t="0" r="5080" b="8890"/>
                <wp:wrapNone/>
                <wp:docPr id="16" name="任意多边形 6"/>
                <wp:cNvGraphicFramePr/>
                <a:graphic xmlns:a="http://schemas.openxmlformats.org/drawingml/2006/main">
                  <a:graphicData uri="http://schemas.microsoft.com/office/word/2010/wordprocessingShape">
                    <wps:wsp>
                      <wps:cNvSpPr/>
                      <wps:spPr>
                        <a:xfrm>
                          <a:off x="0" y="0"/>
                          <a:ext cx="1576070" cy="581660"/>
                        </a:xfrm>
                        <a:custGeom>
                          <a:avLst/>
                          <a:gdLst/>
                          <a:ahLst/>
                          <a:cxnLst/>
                          <a:pathLst>
                            <a:path w="2482" h="916">
                              <a:moveTo>
                                <a:pt x="2481" y="896"/>
                              </a:moveTo>
                              <a:lnTo>
                                <a:pt x="2458" y="891"/>
                              </a:lnTo>
                              <a:lnTo>
                                <a:pt x="795" y="0"/>
                              </a:lnTo>
                              <a:lnTo>
                                <a:pt x="787" y="13"/>
                              </a:lnTo>
                              <a:lnTo>
                                <a:pt x="2408" y="882"/>
                              </a:lnTo>
                              <a:lnTo>
                                <a:pt x="2" y="411"/>
                              </a:lnTo>
                              <a:lnTo>
                                <a:pt x="0" y="426"/>
                              </a:lnTo>
                              <a:lnTo>
                                <a:pt x="2453" y="906"/>
                              </a:lnTo>
                              <a:lnTo>
                                <a:pt x="2470" y="915"/>
                              </a:lnTo>
                              <a:lnTo>
                                <a:pt x="2473" y="910"/>
                              </a:lnTo>
                              <a:lnTo>
                                <a:pt x="2479" y="911"/>
                              </a:lnTo>
                              <a:lnTo>
                                <a:pt x="2481" y="896"/>
                              </a:lnTo>
                            </a:path>
                          </a:pathLst>
                        </a:custGeom>
                        <a:solidFill>
                          <a:srgbClr val="000000"/>
                        </a:solidFill>
                        <a:ln>
                          <a:noFill/>
                        </a:ln>
                      </wps:spPr>
                      <wps:bodyPr upright="1"/>
                    </wps:wsp>
                  </a:graphicData>
                </a:graphic>
              </wp:anchor>
            </w:drawing>
          </mc:Choice>
          <mc:Fallback>
            <w:pict>
              <v:shape id="任意多边形 6" o:spid="_x0000_s1026" o:spt="100" style="position:absolute;left:0pt;margin-left:67.4pt;margin-top:14.85pt;height:45.8pt;width:124.1pt;mso-position-horizontal-relative:page;z-index:-289060864;mso-width-relative:page;mso-height-relative:page;" fillcolor="#000000" filled="t" stroked="f" coordsize="2482,916" o:gfxdata="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s5svPYAAAACgEAAA8AAAAAAAAAAQAgAAAA&#10;IgAAAGRycy9kb3ducmV2LnhtbFBLAQIUABQAAAAIAIdO4kATj/L9RAIAAEwFAAAOAAAAAAAAAAEA&#10;IAAAACcBAABkcnMvZTJvRG9jLnhtbFBLBQYAAAAABgAGAFkBAADdBQAAAAA=&#10;" path="m2481,896l2458,891,795,0,787,13,2408,882,2,411,0,426,2453,906,2470,915,2473,910,2479,911,2481,896e">
                <v:fill on="t" focussize="0,0"/>
                <v:stroke on="f"/>
                <v:imagedata o:title=""/>
                <o:lock v:ext="edit" aspectratio="f"/>
              </v:shape>
            </w:pict>
          </mc:Fallback>
        </mc:AlternateContent>
      </w:r>
      <w:r>
        <w:t xml:space="preserve">表 </w:t>
      </w:r>
      <w:r>
        <w:rPr>
          <w:rFonts w:ascii="Times New Roman" w:eastAsia="Times New Roman"/>
        </w:rPr>
        <w:t xml:space="preserve">2.4-16  </w:t>
      </w:r>
      <w:r>
        <w:t>污染影响型评价工作等级划分表</w:t>
      </w:r>
    </w:p>
    <w:tbl>
      <w:tblPr>
        <w:tblStyle w:val="10"/>
        <w:tblW w:w="0" w:type="auto"/>
        <w:tblInd w:w="5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30"/>
        <w:gridCol w:w="741"/>
        <w:gridCol w:w="740"/>
        <w:gridCol w:w="740"/>
        <w:gridCol w:w="741"/>
        <w:gridCol w:w="740"/>
        <w:gridCol w:w="741"/>
        <w:gridCol w:w="740"/>
        <w:gridCol w:w="734"/>
        <w:gridCol w:w="7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2630" w:type="dxa"/>
            <w:vMerge w:val="restart"/>
          </w:tcPr>
          <w:p>
            <w:pPr>
              <w:pStyle w:val="14"/>
              <w:tabs>
                <w:tab w:val="left" w:pos="1576"/>
              </w:tabs>
              <w:spacing w:line="440" w:lineRule="exact"/>
              <w:ind w:left="108" w:right="203" w:firstLine="103"/>
              <w:jc w:val="left"/>
              <w:rPr>
                <w:sz w:val="21"/>
              </w:rPr>
            </w:pPr>
            <w:r>
              <w:rPr>
                <w:sz w:val="21"/>
              </w:rPr>
              <w:t>评价等级</w:t>
            </w:r>
            <w:r>
              <w:rPr>
                <w:sz w:val="21"/>
              </w:rPr>
              <w:tab/>
            </w:r>
            <w:r>
              <w:rPr>
                <w:sz w:val="21"/>
              </w:rPr>
              <w:t>占地规</w:t>
            </w:r>
            <w:r>
              <w:rPr>
                <w:spacing w:val="-15"/>
                <w:sz w:val="21"/>
              </w:rPr>
              <w:t>模</w:t>
            </w:r>
            <w:r>
              <w:rPr>
                <w:sz w:val="21"/>
              </w:rPr>
              <w:t>敏感程度</w:t>
            </w:r>
          </w:p>
        </w:tc>
        <w:tc>
          <w:tcPr>
            <w:tcW w:w="2221" w:type="dxa"/>
            <w:gridSpan w:val="3"/>
          </w:tcPr>
          <w:p>
            <w:pPr>
              <w:pStyle w:val="14"/>
              <w:spacing w:before="142"/>
              <w:ind w:left="879" w:right="871"/>
              <w:rPr>
                <w:sz w:val="21"/>
              </w:rPr>
            </w:pPr>
            <w:r>
              <w:rPr>
                <w:sz w:val="21"/>
              </w:rPr>
              <w:t>Ⅰ类</w:t>
            </w:r>
          </w:p>
        </w:tc>
        <w:tc>
          <w:tcPr>
            <w:tcW w:w="2222" w:type="dxa"/>
            <w:gridSpan w:val="3"/>
          </w:tcPr>
          <w:p>
            <w:pPr>
              <w:pStyle w:val="14"/>
              <w:spacing w:before="142"/>
              <w:ind w:left="879" w:right="872"/>
              <w:rPr>
                <w:sz w:val="21"/>
              </w:rPr>
            </w:pPr>
            <w:r>
              <w:rPr>
                <w:sz w:val="21"/>
              </w:rPr>
              <w:t>Ⅱ类</w:t>
            </w:r>
          </w:p>
        </w:tc>
        <w:tc>
          <w:tcPr>
            <w:tcW w:w="2213" w:type="dxa"/>
            <w:gridSpan w:val="3"/>
          </w:tcPr>
          <w:p>
            <w:pPr>
              <w:pStyle w:val="14"/>
              <w:spacing w:before="142"/>
              <w:ind w:left="875" w:right="868"/>
              <w:rPr>
                <w:sz w:val="21"/>
              </w:rPr>
            </w:pPr>
            <w:r>
              <w:rPr>
                <w:sz w:val="21"/>
              </w:rPr>
              <w:t>Ⅲ类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2630" w:type="dxa"/>
            <w:vMerge w:val="continue"/>
            <w:tcBorders>
              <w:top w:val="nil"/>
            </w:tcBorders>
          </w:tcPr>
          <w:p>
            <w:pPr>
              <w:rPr>
                <w:sz w:val="2"/>
                <w:szCs w:val="2"/>
              </w:rPr>
            </w:pPr>
          </w:p>
        </w:tc>
        <w:tc>
          <w:tcPr>
            <w:tcW w:w="741" w:type="dxa"/>
          </w:tcPr>
          <w:p>
            <w:pPr>
              <w:pStyle w:val="14"/>
              <w:spacing w:before="141"/>
              <w:ind w:left="7"/>
              <w:rPr>
                <w:sz w:val="21"/>
              </w:rPr>
            </w:pPr>
            <w:r>
              <w:rPr>
                <w:w w:val="99"/>
                <w:sz w:val="21"/>
              </w:rPr>
              <w:t>大</w:t>
            </w:r>
          </w:p>
        </w:tc>
        <w:tc>
          <w:tcPr>
            <w:tcW w:w="740" w:type="dxa"/>
          </w:tcPr>
          <w:p>
            <w:pPr>
              <w:pStyle w:val="14"/>
              <w:spacing w:before="141"/>
              <w:ind w:left="9"/>
              <w:rPr>
                <w:sz w:val="21"/>
              </w:rPr>
            </w:pPr>
            <w:r>
              <w:rPr>
                <w:w w:val="99"/>
                <w:sz w:val="21"/>
              </w:rPr>
              <w:t>中</w:t>
            </w:r>
          </w:p>
        </w:tc>
        <w:tc>
          <w:tcPr>
            <w:tcW w:w="740" w:type="dxa"/>
          </w:tcPr>
          <w:p>
            <w:pPr>
              <w:pStyle w:val="14"/>
              <w:spacing w:before="141"/>
              <w:ind w:left="7"/>
              <w:rPr>
                <w:sz w:val="21"/>
              </w:rPr>
            </w:pPr>
            <w:r>
              <w:rPr>
                <w:w w:val="99"/>
                <w:sz w:val="21"/>
              </w:rPr>
              <w:t>小</w:t>
            </w:r>
          </w:p>
        </w:tc>
        <w:tc>
          <w:tcPr>
            <w:tcW w:w="741" w:type="dxa"/>
          </w:tcPr>
          <w:p>
            <w:pPr>
              <w:pStyle w:val="14"/>
              <w:spacing w:before="141"/>
              <w:ind w:left="5"/>
              <w:rPr>
                <w:sz w:val="21"/>
              </w:rPr>
            </w:pPr>
            <w:r>
              <w:rPr>
                <w:w w:val="99"/>
                <w:sz w:val="21"/>
              </w:rPr>
              <w:t>大</w:t>
            </w:r>
          </w:p>
        </w:tc>
        <w:tc>
          <w:tcPr>
            <w:tcW w:w="740" w:type="dxa"/>
          </w:tcPr>
          <w:p>
            <w:pPr>
              <w:pStyle w:val="14"/>
              <w:spacing w:before="141"/>
              <w:ind w:left="7"/>
              <w:rPr>
                <w:sz w:val="21"/>
              </w:rPr>
            </w:pPr>
            <w:r>
              <w:rPr>
                <w:w w:val="99"/>
                <w:sz w:val="21"/>
              </w:rPr>
              <w:t>中</w:t>
            </w:r>
          </w:p>
        </w:tc>
        <w:tc>
          <w:tcPr>
            <w:tcW w:w="741" w:type="dxa"/>
          </w:tcPr>
          <w:p>
            <w:pPr>
              <w:pStyle w:val="14"/>
              <w:spacing w:before="141"/>
              <w:ind w:left="9"/>
              <w:rPr>
                <w:sz w:val="21"/>
              </w:rPr>
            </w:pPr>
            <w:r>
              <w:rPr>
                <w:w w:val="99"/>
                <w:sz w:val="21"/>
              </w:rPr>
              <w:t>小</w:t>
            </w:r>
          </w:p>
        </w:tc>
        <w:tc>
          <w:tcPr>
            <w:tcW w:w="740" w:type="dxa"/>
          </w:tcPr>
          <w:p>
            <w:pPr>
              <w:pStyle w:val="14"/>
              <w:spacing w:before="141"/>
              <w:ind w:left="6"/>
              <w:rPr>
                <w:sz w:val="21"/>
              </w:rPr>
            </w:pPr>
            <w:r>
              <w:rPr>
                <w:w w:val="99"/>
                <w:sz w:val="21"/>
              </w:rPr>
              <w:t>大</w:t>
            </w:r>
          </w:p>
        </w:tc>
        <w:tc>
          <w:tcPr>
            <w:tcW w:w="734" w:type="dxa"/>
          </w:tcPr>
          <w:p>
            <w:pPr>
              <w:pStyle w:val="14"/>
              <w:spacing w:before="141"/>
              <w:ind w:left="6"/>
              <w:rPr>
                <w:sz w:val="21"/>
              </w:rPr>
            </w:pPr>
            <w:r>
              <w:rPr>
                <w:w w:val="99"/>
                <w:sz w:val="21"/>
              </w:rPr>
              <w:t>中</w:t>
            </w:r>
          </w:p>
        </w:tc>
        <w:tc>
          <w:tcPr>
            <w:tcW w:w="739" w:type="dxa"/>
          </w:tcPr>
          <w:p>
            <w:pPr>
              <w:pStyle w:val="14"/>
              <w:spacing w:before="141"/>
              <w:ind w:left="7"/>
              <w:rPr>
                <w:sz w:val="21"/>
              </w:rPr>
            </w:pPr>
            <w:r>
              <w:rPr>
                <w:w w:val="99"/>
                <w:sz w:val="21"/>
              </w:rPr>
              <w:t>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2630" w:type="dxa"/>
          </w:tcPr>
          <w:p>
            <w:pPr>
              <w:pStyle w:val="14"/>
              <w:spacing w:before="142"/>
              <w:ind w:left="978" w:right="972"/>
              <w:rPr>
                <w:sz w:val="21"/>
              </w:rPr>
            </w:pPr>
            <w:r>
              <w:rPr>
                <w:sz w:val="21"/>
              </w:rPr>
              <w:t>敏感</w:t>
            </w:r>
          </w:p>
        </w:tc>
        <w:tc>
          <w:tcPr>
            <w:tcW w:w="741" w:type="dxa"/>
          </w:tcPr>
          <w:p>
            <w:pPr>
              <w:pStyle w:val="14"/>
              <w:spacing w:before="142"/>
              <w:ind w:left="136" w:right="132"/>
              <w:rPr>
                <w:sz w:val="21"/>
              </w:rPr>
            </w:pPr>
            <w:r>
              <w:rPr>
                <w:sz w:val="21"/>
              </w:rPr>
              <w:t>一级</w:t>
            </w:r>
          </w:p>
        </w:tc>
        <w:tc>
          <w:tcPr>
            <w:tcW w:w="740" w:type="dxa"/>
          </w:tcPr>
          <w:p>
            <w:pPr>
              <w:pStyle w:val="14"/>
              <w:spacing w:before="142"/>
              <w:ind w:left="136" w:right="130"/>
              <w:rPr>
                <w:sz w:val="21"/>
              </w:rPr>
            </w:pPr>
            <w:r>
              <w:rPr>
                <w:sz w:val="21"/>
              </w:rPr>
              <w:t>一级</w:t>
            </w:r>
          </w:p>
        </w:tc>
        <w:tc>
          <w:tcPr>
            <w:tcW w:w="740" w:type="dxa"/>
          </w:tcPr>
          <w:p>
            <w:pPr>
              <w:pStyle w:val="14"/>
              <w:spacing w:before="142"/>
              <w:ind w:left="135" w:right="130"/>
              <w:rPr>
                <w:sz w:val="21"/>
              </w:rPr>
            </w:pPr>
            <w:r>
              <w:rPr>
                <w:sz w:val="21"/>
              </w:rPr>
              <w:t>一级</w:t>
            </w:r>
          </w:p>
        </w:tc>
        <w:tc>
          <w:tcPr>
            <w:tcW w:w="741" w:type="dxa"/>
          </w:tcPr>
          <w:p>
            <w:pPr>
              <w:pStyle w:val="14"/>
              <w:spacing w:before="142"/>
              <w:ind w:left="137" w:right="130"/>
              <w:rPr>
                <w:sz w:val="21"/>
              </w:rPr>
            </w:pPr>
            <w:r>
              <w:rPr>
                <w:sz w:val="21"/>
              </w:rPr>
              <w:t>二级</w:t>
            </w:r>
          </w:p>
        </w:tc>
        <w:tc>
          <w:tcPr>
            <w:tcW w:w="740" w:type="dxa"/>
          </w:tcPr>
          <w:p>
            <w:pPr>
              <w:pStyle w:val="14"/>
              <w:spacing w:before="142"/>
              <w:ind w:left="134" w:right="130"/>
              <w:rPr>
                <w:sz w:val="21"/>
              </w:rPr>
            </w:pPr>
            <w:r>
              <w:rPr>
                <w:sz w:val="21"/>
              </w:rPr>
              <w:t>二级</w:t>
            </w:r>
          </w:p>
        </w:tc>
        <w:tc>
          <w:tcPr>
            <w:tcW w:w="741" w:type="dxa"/>
          </w:tcPr>
          <w:p>
            <w:pPr>
              <w:pStyle w:val="14"/>
              <w:spacing w:before="142"/>
              <w:ind w:left="137" w:right="130"/>
              <w:rPr>
                <w:sz w:val="21"/>
              </w:rPr>
            </w:pPr>
            <w:r>
              <w:rPr>
                <w:sz w:val="21"/>
              </w:rPr>
              <w:t>二级</w:t>
            </w:r>
          </w:p>
        </w:tc>
        <w:tc>
          <w:tcPr>
            <w:tcW w:w="740" w:type="dxa"/>
          </w:tcPr>
          <w:p>
            <w:pPr>
              <w:pStyle w:val="14"/>
              <w:spacing w:before="142"/>
              <w:ind w:left="137" w:right="128"/>
              <w:rPr>
                <w:sz w:val="21"/>
              </w:rPr>
            </w:pPr>
            <w:r>
              <w:rPr>
                <w:sz w:val="21"/>
              </w:rPr>
              <w:t>三级</w:t>
            </w:r>
          </w:p>
        </w:tc>
        <w:tc>
          <w:tcPr>
            <w:tcW w:w="734" w:type="dxa"/>
          </w:tcPr>
          <w:p>
            <w:pPr>
              <w:pStyle w:val="14"/>
              <w:spacing w:before="142"/>
              <w:ind w:left="136" w:right="128"/>
              <w:rPr>
                <w:sz w:val="21"/>
              </w:rPr>
            </w:pPr>
            <w:r>
              <w:rPr>
                <w:sz w:val="21"/>
              </w:rPr>
              <w:t>三级</w:t>
            </w:r>
          </w:p>
        </w:tc>
        <w:tc>
          <w:tcPr>
            <w:tcW w:w="739" w:type="dxa"/>
          </w:tcPr>
          <w:p>
            <w:pPr>
              <w:pStyle w:val="14"/>
              <w:spacing w:before="142"/>
              <w:ind w:left="136" w:right="132"/>
              <w:rPr>
                <w:sz w:val="21"/>
              </w:rPr>
            </w:pPr>
            <w:r>
              <w:rPr>
                <w:sz w:val="21"/>
              </w:rPr>
              <w:t>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2630" w:type="dxa"/>
          </w:tcPr>
          <w:p>
            <w:pPr>
              <w:pStyle w:val="14"/>
              <w:spacing w:before="141"/>
              <w:ind w:left="978" w:right="972"/>
              <w:rPr>
                <w:sz w:val="21"/>
              </w:rPr>
            </w:pPr>
            <w:r>
              <w:rPr>
                <w:sz w:val="21"/>
              </w:rPr>
              <w:t>较敏感</w:t>
            </w:r>
          </w:p>
        </w:tc>
        <w:tc>
          <w:tcPr>
            <w:tcW w:w="741" w:type="dxa"/>
          </w:tcPr>
          <w:p>
            <w:pPr>
              <w:pStyle w:val="14"/>
              <w:spacing w:before="141"/>
              <w:ind w:left="136" w:right="132"/>
              <w:rPr>
                <w:sz w:val="21"/>
              </w:rPr>
            </w:pPr>
            <w:r>
              <w:rPr>
                <w:sz w:val="21"/>
              </w:rPr>
              <w:t>一级</w:t>
            </w:r>
          </w:p>
        </w:tc>
        <w:tc>
          <w:tcPr>
            <w:tcW w:w="740" w:type="dxa"/>
          </w:tcPr>
          <w:p>
            <w:pPr>
              <w:pStyle w:val="14"/>
              <w:spacing w:before="141"/>
              <w:ind w:left="136" w:right="130"/>
              <w:rPr>
                <w:sz w:val="21"/>
              </w:rPr>
            </w:pPr>
            <w:r>
              <w:rPr>
                <w:sz w:val="21"/>
              </w:rPr>
              <w:t>一级</w:t>
            </w:r>
          </w:p>
        </w:tc>
        <w:tc>
          <w:tcPr>
            <w:tcW w:w="740" w:type="dxa"/>
          </w:tcPr>
          <w:p>
            <w:pPr>
              <w:pStyle w:val="14"/>
              <w:spacing w:before="141"/>
              <w:ind w:left="135" w:right="130"/>
              <w:rPr>
                <w:sz w:val="21"/>
              </w:rPr>
            </w:pPr>
            <w:r>
              <w:rPr>
                <w:sz w:val="21"/>
              </w:rPr>
              <w:t>二级</w:t>
            </w:r>
          </w:p>
        </w:tc>
        <w:tc>
          <w:tcPr>
            <w:tcW w:w="741" w:type="dxa"/>
          </w:tcPr>
          <w:p>
            <w:pPr>
              <w:pStyle w:val="14"/>
              <w:spacing w:before="141"/>
              <w:ind w:left="137" w:right="130"/>
              <w:rPr>
                <w:sz w:val="21"/>
              </w:rPr>
            </w:pPr>
            <w:r>
              <w:rPr>
                <w:sz w:val="21"/>
              </w:rPr>
              <w:t>二级</w:t>
            </w:r>
          </w:p>
        </w:tc>
        <w:tc>
          <w:tcPr>
            <w:tcW w:w="740" w:type="dxa"/>
          </w:tcPr>
          <w:p>
            <w:pPr>
              <w:pStyle w:val="14"/>
              <w:spacing w:before="141"/>
              <w:ind w:left="134" w:right="130"/>
              <w:rPr>
                <w:sz w:val="21"/>
              </w:rPr>
            </w:pPr>
            <w:r>
              <w:rPr>
                <w:sz w:val="21"/>
              </w:rPr>
              <w:t>二级</w:t>
            </w:r>
          </w:p>
        </w:tc>
        <w:tc>
          <w:tcPr>
            <w:tcW w:w="741" w:type="dxa"/>
          </w:tcPr>
          <w:p>
            <w:pPr>
              <w:pStyle w:val="14"/>
              <w:spacing w:before="141"/>
              <w:ind w:left="137" w:right="130"/>
              <w:rPr>
                <w:sz w:val="21"/>
              </w:rPr>
            </w:pPr>
            <w:r>
              <w:rPr>
                <w:sz w:val="21"/>
              </w:rPr>
              <w:t>三级</w:t>
            </w:r>
          </w:p>
        </w:tc>
        <w:tc>
          <w:tcPr>
            <w:tcW w:w="740" w:type="dxa"/>
          </w:tcPr>
          <w:p>
            <w:pPr>
              <w:pStyle w:val="14"/>
              <w:spacing w:before="141"/>
              <w:ind w:left="137" w:right="128"/>
              <w:rPr>
                <w:sz w:val="21"/>
              </w:rPr>
            </w:pPr>
            <w:r>
              <w:rPr>
                <w:sz w:val="21"/>
              </w:rPr>
              <w:t>三级</w:t>
            </w:r>
          </w:p>
        </w:tc>
        <w:tc>
          <w:tcPr>
            <w:tcW w:w="734" w:type="dxa"/>
          </w:tcPr>
          <w:p>
            <w:pPr>
              <w:pStyle w:val="14"/>
              <w:spacing w:before="141"/>
              <w:ind w:left="136" w:right="128"/>
              <w:rPr>
                <w:sz w:val="21"/>
              </w:rPr>
            </w:pPr>
            <w:r>
              <w:rPr>
                <w:sz w:val="21"/>
              </w:rPr>
              <w:t>三级</w:t>
            </w:r>
          </w:p>
        </w:tc>
        <w:tc>
          <w:tcPr>
            <w:tcW w:w="739" w:type="dxa"/>
          </w:tcPr>
          <w:p>
            <w:pPr>
              <w:pStyle w:val="14"/>
              <w:spacing w:before="155"/>
              <w:ind w:left="11"/>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2630" w:type="dxa"/>
          </w:tcPr>
          <w:p>
            <w:pPr>
              <w:pStyle w:val="14"/>
              <w:spacing w:before="142"/>
              <w:ind w:left="978" w:right="972"/>
              <w:rPr>
                <w:sz w:val="21"/>
              </w:rPr>
            </w:pPr>
            <w:r>
              <w:rPr>
                <w:sz w:val="21"/>
              </w:rPr>
              <w:t>不敏感</w:t>
            </w:r>
          </w:p>
        </w:tc>
        <w:tc>
          <w:tcPr>
            <w:tcW w:w="741" w:type="dxa"/>
          </w:tcPr>
          <w:p>
            <w:pPr>
              <w:pStyle w:val="14"/>
              <w:spacing w:before="142"/>
              <w:ind w:left="136" w:right="132"/>
              <w:rPr>
                <w:sz w:val="21"/>
              </w:rPr>
            </w:pPr>
            <w:r>
              <w:rPr>
                <w:sz w:val="21"/>
              </w:rPr>
              <w:t>一级</w:t>
            </w:r>
          </w:p>
        </w:tc>
        <w:tc>
          <w:tcPr>
            <w:tcW w:w="740" w:type="dxa"/>
          </w:tcPr>
          <w:p>
            <w:pPr>
              <w:pStyle w:val="14"/>
              <w:spacing w:before="142"/>
              <w:ind w:left="136" w:right="130"/>
              <w:rPr>
                <w:sz w:val="21"/>
              </w:rPr>
            </w:pPr>
            <w:r>
              <w:rPr>
                <w:sz w:val="21"/>
              </w:rPr>
              <w:t>二级</w:t>
            </w:r>
          </w:p>
        </w:tc>
        <w:tc>
          <w:tcPr>
            <w:tcW w:w="740" w:type="dxa"/>
          </w:tcPr>
          <w:p>
            <w:pPr>
              <w:pStyle w:val="14"/>
              <w:spacing w:before="142"/>
              <w:ind w:left="135" w:right="130"/>
              <w:rPr>
                <w:sz w:val="21"/>
              </w:rPr>
            </w:pPr>
            <w:r>
              <w:rPr>
                <w:sz w:val="21"/>
              </w:rPr>
              <w:t>二级</w:t>
            </w:r>
          </w:p>
        </w:tc>
        <w:tc>
          <w:tcPr>
            <w:tcW w:w="741" w:type="dxa"/>
          </w:tcPr>
          <w:p>
            <w:pPr>
              <w:pStyle w:val="14"/>
              <w:spacing w:before="142"/>
              <w:ind w:left="137" w:right="130"/>
              <w:rPr>
                <w:sz w:val="21"/>
              </w:rPr>
            </w:pPr>
            <w:r>
              <w:rPr>
                <w:sz w:val="21"/>
              </w:rPr>
              <w:t>二级</w:t>
            </w:r>
          </w:p>
        </w:tc>
        <w:tc>
          <w:tcPr>
            <w:tcW w:w="740" w:type="dxa"/>
          </w:tcPr>
          <w:p>
            <w:pPr>
              <w:pStyle w:val="14"/>
              <w:spacing w:before="142"/>
              <w:ind w:left="134" w:right="130"/>
              <w:rPr>
                <w:sz w:val="21"/>
              </w:rPr>
            </w:pPr>
            <w:r>
              <w:rPr>
                <w:sz w:val="21"/>
              </w:rPr>
              <w:t>三级</w:t>
            </w:r>
          </w:p>
        </w:tc>
        <w:tc>
          <w:tcPr>
            <w:tcW w:w="741" w:type="dxa"/>
          </w:tcPr>
          <w:p>
            <w:pPr>
              <w:pStyle w:val="14"/>
              <w:spacing w:before="142"/>
              <w:ind w:left="137" w:right="130"/>
              <w:rPr>
                <w:sz w:val="21"/>
              </w:rPr>
            </w:pPr>
            <w:r>
              <w:rPr>
                <w:sz w:val="21"/>
              </w:rPr>
              <w:t>三级</w:t>
            </w:r>
          </w:p>
        </w:tc>
        <w:tc>
          <w:tcPr>
            <w:tcW w:w="740" w:type="dxa"/>
          </w:tcPr>
          <w:p>
            <w:pPr>
              <w:pStyle w:val="14"/>
              <w:spacing w:before="142"/>
              <w:ind w:left="137" w:right="128"/>
              <w:rPr>
                <w:sz w:val="21"/>
              </w:rPr>
            </w:pPr>
            <w:r>
              <w:rPr>
                <w:sz w:val="21"/>
              </w:rPr>
              <w:t>三级</w:t>
            </w:r>
          </w:p>
        </w:tc>
        <w:tc>
          <w:tcPr>
            <w:tcW w:w="734" w:type="dxa"/>
          </w:tcPr>
          <w:p>
            <w:pPr>
              <w:pStyle w:val="14"/>
              <w:spacing w:before="156"/>
              <w:ind w:left="11"/>
              <w:rPr>
                <w:rFonts w:ascii="Times New Roman"/>
                <w:sz w:val="21"/>
              </w:rPr>
            </w:pPr>
            <w:r>
              <w:rPr>
                <w:rFonts w:ascii="Times New Roman"/>
                <w:w w:val="99"/>
                <w:sz w:val="21"/>
              </w:rPr>
              <w:t>-</w:t>
            </w:r>
          </w:p>
        </w:tc>
        <w:tc>
          <w:tcPr>
            <w:tcW w:w="739" w:type="dxa"/>
          </w:tcPr>
          <w:p>
            <w:pPr>
              <w:pStyle w:val="14"/>
              <w:spacing w:before="156"/>
              <w:ind w:left="11"/>
              <w:rPr>
                <w:rFonts w:ascii="Times New Roman"/>
                <w:sz w:val="21"/>
              </w:rPr>
            </w:pPr>
            <w:r>
              <w:rPr>
                <w:rFonts w:ascii="Times New Roman"/>
                <w:w w:val="99"/>
                <w:sz w:val="21"/>
              </w:rPr>
              <w:t>-</w:t>
            </w:r>
          </w:p>
        </w:tc>
      </w:tr>
    </w:tbl>
    <w:p>
      <w:pPr>
        <w:pStyle w:val="6"/>
        <w:spacing w:before="1"/>
        <w:ind w:left="1138"/>
        <w:jc w:val="both"/>
      </w:pPr>
      <w:r>
        <w:t xml:space="preserve">由表 </w:t>
      </w:r>
      <w:r>
        <w:rPr>
          <w:rFonts w:ascii="Times New Roman" w:eastAsia="Times New Roman"/>
        </w:rPr>
        <w:t xml:space="preserve">2.4-16 </w:t>
      </w:r>
      <w:r>
        <w:t>中可以看出，本项目工业广场土壤环境评价工作等级为三级。</w:t>
      </w:r>
    </w:p>
    <w:p>
      <w:pPr>
        <w:pStyle w:val="4"/>
        <w:numPr>
          <w:ilvl w:val="1"/>
          <w:numId w:val="15"/>
        </w:numPr>
        <w:tabs>
          <w:tab w:val="left" w:pos="1079"/>
        </w:tabs>
        <w:spacing w:before="161" w:after="0" w:line="240" w:lineRule="auto"/>
        <w:ind w:left="1078" w:right="0" w:hanging="421"/>
        <w:jc w:val="left"/>
        <w:rPr>
          <w:rFonts w:ascii="Times New Roman" w:eastAsia="Times New Roman"/>
        </w:rPr>
      </w:pPr>
      <w:bookmarkStart w:id="51" w:name="2.5环境风险"/>
      <w:bookmarkEnd w:id="51"/>
      <w:bookmarkStart w:id="52" w:name="_bookmark11"/>
      <w:bookmarkEnd w:id="52"/>
      <w:bookmarkStart w:id="53" w:name="_bookmark11"/>
      <w:bookmarkEnd w:id="53"/>
      <w:r>
        <w:t>环境风险</w:t>
      </w:r>
    </w:p>
    <w:p>
      <w:pPr>
        <w:pStyle w:val="6"/>
        <w:spacing w:before="185"/>
        <w:ind w:left="1138"/>
      </w:pPr>
      <w:r>
        <w:t>本项目危险物质主要为油类物质及硝铵炸药。</w:t>
      </w:r>
    </w:p>
    <w:p>
      <w:pPr>
        <w:pStyle w:val="6"/>
        <w:spacing w:before="159" w:line="364" w:lineRule="auto"/>
        <w:ind w:left="658" w:right="638" w:firstLine="480"/>
      </w:pPr>
      <w:r>
        <w:t>根据《建设项目环境风险评价技术导则》（</w:t>
      </w:r>
      <w:r>
        <w:rPr>
          <w:rFonts w:ascii="Times New Roman" w:eastAsia="Times New Roman"/>
        </w:rPr>
        <w:t>HJ169-2018</w:t>
      </w:r>
      <w:r>
        <w:t>）中关于环境风险潜势初判方式首先按式计算物质总量与临界量比值（</w:t>
      </w:r>
      <w:r>
        <w:rPr>
          <w:rFonts w:ascii="Times New Roman" w:eastAsia="Times New Roman"/>
        </w:rPr>
        <w:t>Q</w:t>
      </w:r>
      <w:r>
        <w:t>）</w:t>
      </w:r>
    </w:p>
    <w:p>
      <w:pPr>
        <w:spacing w:after="0" w:line="364" w:lineRule="auto"/>
        <w:sectPr>
          <w:footerReference r:id="rId6" w:type="default"/>
          <w:pgSz w:w="11910" w:h="16840"/>
          <w:pgMar w:top="1340" w:right="720" w:bottom="1080" w:left="760" w:header="0" w:footer="891" w:gutter="0"/>
          <w:pgNumType w:start="20"/>
        </w:sectPr>
      </w:pPr>
    </w:p>
    <w:p>
      <w:pPr>
        <w:spacing w:before="38" w:line="187" w:lineRule="auto"/>
        <w:ind w:left="3462" w:right="0" w:firstLine="0"/>
        <w:jc w:val="left"/>
        <w:rPr>
          <w:rFonts w:ascii="Times New Roman" w:hAnsi="Times New Roman"/>
          <w:sz w:val="22"/>
        </w:rPr>
      </w:pPr>
      <w:r>
        <mc:AlternateContent>
          <mc:Choice Requires="wps">
            <w:drawing>
              <wp:anchor distT="0" distB="0" distL="114300" distR="114300" simplePos="0" relativeHeight="214252544" behindDoc="1" locked="0" layoutInCell="1" allowOverlap="1">
                <wp:simplePos x="0" y="0"/>
                <wp:positionH relativeFrom="page">
                  <wp:posOffset>3105150</wp:posOffset>
                </wp:positionH>
                <wp:positionV relativeFrom="paragraph">
                  <wp:posOffset>321945</wp:posOffset>
                </wp:positionV>
                <wp:extent cx="280035" cy="0"/>
                <wp:effectExtent l="0" t="0" r="0" b="0"/>
                <wp:wrapNone/>
                <wp:docPr id="10" name="直线 7"/>
                <wp:cNvGraphicFramePr/>
                <a:graphic xmlns:a="http://schemas.openxmlformats.org/drawingml/2006/main">
                  <a:graphicData uri="http://schemas.microsoft.com/office/word/2010/wordprocessingShape">
                    <wps:wsp>
                      <wps:cNvSpPr/>
                      <wps:spPr>
                        <a:xfrm>
                          <a:off x="0" y="0"/>
                          <a:ext cx="280035" cy="0"/>
                        </a:xfrm>
                        <a:prstGeom prst="line">
                          <a:avLst/>
                        </a:prstGeom>
                        <a:ln w="10109" cap="flat" cmpd="sng">
                          <a:solidFill>
                            <a:srgbClr val="000000"/>
                          </a:solidFill>
                          <a:prstDash val="solid"/>
                          <a:headEnd type="none" w="med" len="med"/>
                          <a:tailEnd type="none" w="med" len="med"/>
                        </a:ln>
                      </wps:spPr>
                      <wps:bodyPr upright="1"/>
                    </wps:wsp>
                  </a:graphicData>
                </a:graphic>
              </wp:anchor>
            </w:drawing>
          </mc:Choice>
          <mc:Fallback>
            <w:pict>
              <v:line id="直线 7" o:spid="_x0000_s1026" o:spt="20" style="position:absolute;left:0pt;margin-left:244.5pt;margin-top:25.35pt;height:0pt;width:22.05pt;mso-position-horizontal-relative:page;z-index:-289063936;mso-width-relative:page;mso-height-relative:page;" filled="f" stroked="t" coordsize="21600,21600" o:gfxdata="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&#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s5buS2QAAAAkBAAAPAAAAAAAAAAEAIAAAACIAAABk&#10;cnMvZG93bnJldi54bWxQSwECFAAUAAAACACHTuJAnGbAeMwBAACOAwAADgAAAAAAAAABACAAAAAo&#10;AQAAZHJzL2Uyb0RvYy54bWxQSwUGAAAAAAYABgBZAQAAZgUAAAAA&#10;">
                <v:fill on="f" focussize="0,0"/>
                <v:stroke weight="0.795984251968504pt" color="#000000" joinstyle="round"/>
                <v:imagedata o:title=""/>
                <o:lock v:ext="edit" aspectratio="f"/>
              </v:line>
            </w:pict>
          </mc:Fallback>
        </mc:AlternateContent>
      </w:r>
      <w:r>
        <mc:AlternateContent>
          <mc:Choice Requires="wps">
            <w:drawing>
              <wp:anchor distT="0" distB="0" distL="114300" distR="114300" simplePos="0" relativeHeight="214253568" behindDoc="1" locked="0" layoutInCell="1" allowOverlap="1">
                <wp:simplePos x="0" y="0"/>
                <wp:positionH relativeFrom="page">
                  <wp:posOffset>3616325</wp:posOffset>
                </wp:positionH>
                <wp:positionV relativeFrom="paragraph">
                  <wp:posOffset>321945</wp:posOffset>
                </wp:positionV>
                <wp:extent cx="306705" cy="0"/>
                <wp:effectExtent l="0" t="0" r="0" b="0"/>
                <wp:wrapNone/>
                <wp:docPr id="12" name="直线 8"/>
                <wp:cNvGraphicFramePr/>
                <a:graphic xmlns:a="http://schemas.openxmlformats.org/drawingml/2006/main">
                  <a:graphicData uri="http://schemas.microsoft.com/office/word/2010/wordprocessingShape">
                    <wps:wsp>
                      <wps:cNvSpPr/>
                      <wps:spPr>
                        <a:xfrm>
                          <a:off x="0" y="0"/>
                          <a:ext cx="306705" cy="0"/>
                        </a:xfrm>
                        <a:prstGeom prst="line">
                          <a:avLst/>
                        </a:prstGeom>
                        <a:ln w="10109" cap="flat" cmpd="sng">
                          <a:solidFill>
                            <a:srgbClr val="000000"/>
                          </a:solidFill>
                          <a:prstDash val="solid"/>
                          <a:headEnd type="none" w="med" len="med"/>
                          <a:tailEnd type="none" w="med" len="med"/>
                        </a:ln>
                      </wps:spPr>
                      <wps:bodyPr upright="1"/>
                    </wps:wsp>
                  </a:graphicData>
                </a:graphic>
              </wp:anchor>
            </w:drawing>
          </mc:Choice>
          <mc:Fallback>
            <w:pict>
              <v:line id="直线 8" o:spid="_x0000_s1026" o:spt="20" style="position:absolute;left:0pt;margin-left:284.75pt;margin-top:25.35pt;height:0pt;width:24.15pt;mso-position-horizontal-relative:page;z-index:-289062912;mso-width-relative:page;mso-height-relative:page;" filled="f" stroked="t" coordsize="21600,21600" o:gfxdata="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&#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D0WV8LYAAAACQEAAA8AAAAAAAAAAQAgAAAAIgAAAGRy&#10;cy9kb3ducmV2LnhtbFBLAQIUABQAAAAIAIdO4kCXS3VZzAEAAI4DAAAOAAAAAAAAAAEAIAAAACcB&#10;AABkcnMvZTJvRG9jLnhtbFBLBQYAAAAABgAGAFkBAABlBQAAAAA=&#10;">
                <v:fill on="f" focussize="0,0"/>
                <v:stroke weight="0.795984251968504pt" color="#000000" joinstyle="round"/>
                <v:imagedata o:title=""/>
                <o:lock v:ext="edit" aspectratio="f"/>
              </v:line>
            </w:pict>
          </mc:Fallback>
        </mc:AlternateContent>
      </w:r>
      <w:r>
        <w:rPr>
          <w:rFonts w:ascii="Times New Roman" w:hAnsi="Times New Roman"/>
          <w:position w:val="-23"/>
          <w:sz w:val="38"/>
        </w:rPr>
        <w:t xml:space="preserve">Q </w:t>
      </w:r>
      <w:r>
        <w:rPr>
          <w:rFonts w:ascii="Symbol" w:hAnsi="Symbol"/>
          <w:position w:val="-23"/>
          <w:sz w:val="38"/>
        </w:rPr>
        <w:t></w:t>
      </w:r>
      <w:r>
        <w:rPr>
          <w:rFonts w:ascii="Times New Roman" w:hAnsi="Times New Roman"/>
          <w:position w:val="-23"/>
          <w:sz w:val="38"/>
        </w:rPr>
        <w:t xml:space="preserve"> </w:t>
      </w:r>
      <w:r>
        <w:rPr>
          <w:rFonts w:ascii="Times New Roman" w:hAnsi="Times New Roman"/>
          <w:sz w:val="38"/>
        </w:rPr>
        <w:t xml:space="preserve">q </w:t>
      </w:r>
      <w:r>
        <w:rPr>
          <w:rFonts w:ascii="Times New Roman" w:hAnsi="Times New Roman"/>
          <w:sz w:val="22"/>
        </w:rPr>
        <w:t xml:space="preserve">1  </w:t>
      </w:r>
      <w:r>
        <w:rPr>
          <w:rFonts w:ascii="Symbol" w:hAnsi="Symbol"/>
          <w:position w:val="-23"/>
          <w:sz w:val="38"/>
        </w:rPr>
        <w:t></w:t>
      </w:r>
      <w:r>
        <w:rPr>
          <w:rFonts w:ascii="Times New Roman" w:hAnsi="Times New Roman"/>
          <w:position w:val="-23"/>
          <w:sz w:val="38"/>
        </w:rPr>
        <w:t xml:space="preserve"> </w:t>
      </w:r>
      <w:r>
        <w:rPr>
          <w:rFonts w:ascii="Times New Roman" w:hAnsi="Times New Roman"/>
          <w:sz w:val="38"/>
        </w:rPr>
        <w:t>q</w:t>
      </w:r>
      <w:r>
        <w:rPr>
          <w:rFonts w:ascii="Times New Roman" w:hAnsi="Times New Roman"/>
          <w:spacing w:val="18"/>
          <w:sz w:val="38"/>
        </w:rPr>
        <w:t xml:space="preserve"> </w:t>
      </w:r>
      <w:r>
        <w:rPr>
          <w:rFonts w:ascii="Times New Roman" w:hAnsi="Times New Roman"/>
          <w:sz w:val="22"/>
        </w:rPr>
        <w:t>2</w:t>
      </w:r>
    </w:p>
    <w:p>
      <w:pPr>
        <w:tabs>
          <w:tab w:val="left" w:pos="804"/>
        </w:tabs>
        <w:spacing w:before="0" w:line="366" w:lineRule="exact"/>
        <w:ind w:left="0" w:right="0" w:firstLine="0"/>
        <w:jc w:val="right"/>
        <w:rPr>
          <w:rFonts w:ascii="Times New Roman"/>
          <w:sz w:val="22"/>
        </w:rPr>
      </w:pPr>
      <w:r>
        <w:rPr>
          <w:rFonts w:ascii="Times New Roman"/>
          <w:spacing w:val="14"/>
          <w:sz w:val="38"/>
        </w:rPr>
        <w:t>Q</w:t>
      </w:r>
      <w:r>
        <w:rPr>
          <w:rFonts w:ascii="Times New Roman"/>
          <w:spacing w:val="14"/>
          <w:sz w:val="22"/>
        </w:rPr>
        <w:t>1</w:t>
      </w:r>
      <w:r>
        <w:rPr>
          <w:rFonts w:ascii="Times New Roman"/>
          <w:spacing w:val="14"/>
          <w:sz w:val="22"/>
        </w:rPr>
        <w:tab/>
      </w:r>
      <w:r>
        <w:rPr>
          <w:rFonts w:ascii="Times New Roman"/>
          <w:sz w:val="38"/>
        </w:rPr>
        <w:t>Q</w:t>
      </w:r>
      <w:r>
        <w:rPr>
          <w:rFonts w:ascii="Times New Roman"/>
          <w:spacing w:val="-38"/>
          <w:sz w:val="38"/>
        </w:rPr>
        <w:t xml:space="preserve"> </w:t>
      </w:r>
      <w:r>
        <w:rPr>
          <w:rFonts w:ascii="Times New Roman"/>
          <w:sz w:val="22"/>
        </w:rPr>
        <w:t>2</w:t>
      </w:r>
    </w:p>
    <w:p>
      <w:pPr>
        <w:spacing w:before="9" w:line="675" w:lineRule="exact"/>
        <w:ind w:left="57" w:right="0" w:firstLine="0"/>
        <w:jc w:val="left"/>
        <w:rPr>
          <w:rFonts w:ascii="Times New Roman" w:hAnsi="Times New Roman"/>
          <w:sz w:val="22"/>
        </w:rPr>
      </w:pPr>
      <w:r>
        <w:br w:type="column"/>
      </w:r>
      <w:r>
        <w:rPr>
          <w:rFonts w:ascii="Symbol" w:hAnsi="Symbol"/>
          <w:spacing w:val="22"/>
          <w:sz w:val="38"/>
        </w:rPr>
        <w:t></w:t>
      </w:r>
      <w:r>
        <w:rPr>
          <w:rFonts w:ascii="MT Extra" w:hAnsi="MT Extra"/>
          <w:spacing w:val="22"/>
          <w:sz w:val="38"/>
        </w:rPr>
        <w:t></w:t>
      </w:r>
      <w:r>
        <w:rPr>
          <w:rFonts w:ascii="Symbol" w:hAnsi="Symbol"/>
          <w:spacing w:val="22"/>
          <w:sz w:val="38"/>
        </w:rPr>
        <w:t></w:t>
      </w:r>
      <w:r>
        <w:rPr>
          <w:rFonts w:ascii="Times New Roman" w:hAnsi="Times New Roman"/>
          <w:spacing w:val="52"/>
          <w:sz w:val="38"/>
        </w:rPr>
        <w:t xml:space="preserve"> </w:t>
      </w:r>
      <w:r>
        <w:rPr>
          <w:rFonts w:ascii="Times New Roman" w:hAnsi="Times New Roman"/>
          <w:position w:val="24"/>
          <w:sz w:val="38"/>
        </w:rPr>
        <w:t>q</w:t>
      </w:r>
      <w:r>
        <w:rPr>
          <w:rFonts w:ascii="Times New Roman" w:hAnsi="Times New Roman"/>
          <w:position w:val="24"/>
          <w:sz w:val="22"/>
        </w:rPr>
        <w:t>n</w:t>
      </w:r>
    </w:p>
    <w:p>
      <w:pPr>
        <w:spacing w:before="0" w:line="301" w:lineRule="exact"/>
        <w:ind w:left="1025" w:right="0" w:firstLine="0"/>
        <w:jc w:val="left"/>
        <w:rPr>
          <w:rFonts w:ascii="Times New Roman"/>
          <w:sz w:val="22"/>
        </w:rPr>
      </w:pPr>
      <w:r>
        <mc:AlternateContent>
          <mc:Choice Requires="wps">
            <w:drawing>
              <wp:anchor distT="0" distB="0" distL="114300" distR="114300" simplePos="0" relativeHeight="214254592" behindDoc="1" locked="0" layoutInCell="1" allowOverlap="1">
                <wp:simplePos x="0" y="0"/>
                <wp:positionH relativeFrom="page">
                  <wp:posOffset>4574540</wp:posOffset>
                </wp:positionH>
                <wp:positionV relativeFrom="paragraph">
                  <wp:posOffset>-111760</wp:posOffset>
                </wp:positionV>
                <wp:extent cx="277495" cy="0"/>
                <wp:effectExtent l="0" t="0" r="0" b="0"/>
                <wp:wrapNone/>
                <wp:docPr id="14" name="直线 9"/>
                <wp:cNvGraphicFramePr/>
                <a:graphic xmlns:a="http://schemas.openxmlformats.org/drawingml/2006/main">
                  <a:graphicData uri="http://schemas.microsoft.com/office/word/2010/wordprocessingShape">
                    <wps:wsp>
                      <wps:cNvSpPr/>
                      <wps:spPr>
                        <a:xfrm>
                          <a:off x="0" y="0"/>
                          <a:ext cx="277495" cy="0"/>
                        </a:xfrm>
                        <a:prstGeom prst="line">
                          <a:avLst/>
                        </a:prstGeom>
                        <a:ln w="10109" cap="flat" cmpd="sng">
                          <a:solidFill>
                            <a:srgbClr val="000000"/>
                          </a:solidFill>
                          <a:prstDash val="solid"/>
                          <a:headEnd type="none" w="med" len="med"/>
                          <a:tailEnd type="none" w="med" len="med"/>
                        </a:ln>
                      </wps:spPr>
                      <wps:bodyPr upright="1"/>
                    </wps:wsp>
                  </a:graphicData>
                </a:graphic>
              </wp:anchor>
            </w:drawing>
          </mc:Choice>
          <mc:Fallback>
            <w:pict>
              <v:line id="直线 9" o:spid="_x0000_s1026" o:spt="20" style="position:absolute;left:0pt;margin-left:360.2pt;margin-top:-8.8pt;height:0pt;width:21.85pt;mso-position-horizontal-relative:page;z-index:-289061888;mso-width-relative:page;mso-height-relative:page;" filled="f" stroked="t" coordsize="21600,21600" o:gfxdata="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yiBPjdkAAAALAQAADwAAAAAAAAABACAAAAAiAAAA&#10;ZHJzL2Rvd25yZXYueG1sUEsBAhQAFAAAAAgAh07iQLxPG/jNAQAAjgMAAA4AAAAAAAAAAQAgAAAA&#10;KAEAAGRycy9lMm9Eb2MueG1sUEsFBgAAAAAGAAYAWQEAAGcFAAAAAA==&#10;">
                <v:fill on="f" focussize="0,0"/>
                <v:stroke weight="0.795984251968504pt" color="#000000" joinstyle="round"/>
                <v:imagedata o:title=""/>
                <o:lock v:ext="edit" aspectratio="f"/>
              </v:line>
            </w:pict>
          </mc:Fallback>
        </mc:AlternateContent>
      </w:r>
      <w:r>
        <w:rPr>
          <w:rFonts w:ascii="Times New Roman"/>
          <w:sz w:val="38"/>
        </w:rPr>
        <w:t>Q</w:t>
      </w:r>
      <w:r>
        <w:rPr>
          <w:rFonts w:ascii="Times New Roman"/>
          <w:sz w:val="22"/>
        </w:rPr>
        <w:t>n</w:t>
      </w:r>
    </w:p>
    <w:p>
      <w:pPr>
        <w:spacing w:after="0" w:line="301" w:lineRule="exact"/>
        <w:jc w:val="left"/>
        <w:rPr>
          <w:rFonts w:ascii="Times New Roman"/>
          <w:sz w:val="22"/>
        </w:rPr>
        <w:sectPr>
          <w:type w:val="continuous"/>
          <w:pgSz w:w="11910" w:h="16840"/>
          <w:pgMar w:top="1580" w:right="720" w:bottom="280" w:left="760" w:header="720" w:footer="720" w:gutter="0"/>
          <w:cols w:equalWidth="0" w:num="2">
            <w:col w:w="5399" w:space="40"/>
            <w:col w:w="4991"/>
          </w:cols>
        </w:sectPr>
      </w:pPr>
    </w:p>
    <w:p>
      <w:pPr>
        <w:pStyle w:val="6"/>
        <w:spacing w:before="1"/>
        <w:rPr>
          <w:rFonts w:ascii="Times New Roman"/>
          <w:sz w:val="11"/>
        </w:rPr>
      </w:pPr>
    </w:p>
    <w:p>
      <w:pPr>
        <w:pStyle w:val="6"/>
        <w:spacing w:before="73"/>
        <w:ind w:left="1138"/>
      </w:pPr>
      <w:r>
        <w:rPr>
          <w:position w:val="2"/>
        </w:rPr>
        <w:t>式中：</w:t>
      </w:r>
      <w:r>
        <w:rPr>
          <w:rFonts w:ascii="Times New Roman" w:hAnsi="Times New Roman" w:eastAsia="Times New Roman"/>
          <w:position w:val="2"/>
        </w:rPr>
        <w:t>q</w:t>
      </w:r>
      <w:r>
        <w:rPr>
          <w:rFonts w:ascii="Times New Roman" w:hAnsi="Times New Roman" w:eastAsia="Times New Roman"/>
          <w:position w:val="2"/>
          <w:vertAlign w:val="subscript"/>
        </w:rPr>
        <w:t>1</w:t>
      </w:r>
      <w:r>
        <w:rPr>
          <w:rFonts w:ascii="Times New Roman" w:hAnsi="Times New Roman" w:eastAsia="Times New Roman"/>
          <w:position w:val="2"/>
          <w:vertAlign w:val="baseline"/>
        </w:rPr>
        <w:t>,q</w:t>
      </w:r>
      <w:r>
        <w:rPr>
          <w:rFonts w:ascii="Times New Roman" w:hAnsi="Times New Roman" w:eastAsia="Times New Roman"/>
          <w:position w:val="2"/>
          <w:vertAlign w:val="subscript"/>
        </w:rPr>
        <w:t>2</w:t>
      </w:r>
      <w:r>
        <w:rPr>
          <w:rFonts w:ascii="Times New Roman" w:hAnsi="Times New Roman" w:eastAsia="Times New Roman"/>
          <w:position w:val="2"/>
          <w:vertAlign w:val="baseline"/>
        </w:rPr>
        <w:t>,…,q</w:t>
      </w:r>
      <w:r>
        <w:rPr>
          <w:rFonts w:ascii="Times New Roman" w:hAnsi="Times New Roman" w:eastAsia="Times New Roman"/>
          <w:position w:val="2"/>
          <w:vertAlign w:val="subscript"/>
        </w:rPr>
        <w:t>n</w:t>
      </w:r>
      <w:r>
        <w:rPr>
          <w:rFonts w:ascii="Times New Roman" w:hAnsi="Times New Roman" w:eastAsia="Times New Roman"/>
          <w:position w:val="2"/>
          <w:vertAlign w:val="baseline"/>
        </w:rPr>
        <w:t>——</w:t>
      </w:r>
      <w:r>
        <w:rPr>
          <w:position w:val="2"/>
          <w:vertAlign w:val="baseline"/>
        </w:rPr>
        <w:t>每种危险物质的最大存在总量，</w:t>
      </w:r>
      <w:r>
        <w:rPr>
          <w:rFonts w:ascii="Times New Roman" w:hAnsi="Times New Roman" w:eastAsia="Times New Roman"/>
          <w:position w:val="2"/>
          <w:vertAlign w:val="baseline"/>
        </w:rPr>
        <w:t>t</w:t>
      </w:r>
      <w:r>
        <w:rPr>
          <w:position w:val="2"/>
          <w:vertAlign w:val="baseline"/>
        </w:rPr>
        <w:t>；</w:t>
      </w:r>
    </w:p>
    <w:p>
      <w:pPr>
        <w:pStyle w:val="6"/>
        <w:spacing w:before="154" w:line="364" w:lineRule="auto"/>
        <w:ind w:left="1138" w:right="4687"/>
      </w:pPr>
      <w:r>
        <w:rPr>
          <w:rFonts w:ascii="Times New Roman" w:hAnsi="Times New Roman" w:eastAsia="Times New Roman"/>
          <w:position w:val="2"/>
        </w:rPr>
        <w:t>Q</w:t>
      </w:r>
      <w:r>
        <w:rPr>
          <w:rFonts w:ascii="Times New Roman" w:hAnsi="Times New Roman" w:eastAsia="Times New Roman"/>
          <w:position w:val="2"/>
          <w:vertAlign w:val="subscript"/>
        </w:rPr>
        <w:t>1</w:t>
      </w:r>
      <w:r>
        <w:rPr>
          <w:rFonts w:ascii="Times New Roman" w:hAnsi="Times New Roman" w:eastAsia="Times New Roman"/>
          <w:position w:val="2"/>
          <w:vertAlign w:val="baseline"/>
        </w:rPr>
        <w:t>,Q</w:t>
      </w:r>
      <w:r>
        <w:rPr>
          <w:rFonts w:ascii="Times New Roman" w:hAnsi="Times New Roman" w:eastAsia="Times New Roman"/>
          <w:position w:val="2"/>
          <w:vertAlign w:val="subscript"/>
        </w:rPr>
        <w:t>2</w:t>
      </w:r>
      <w:r>
        <w:rPr>
          <w:rFonts w:ascii="Times New Roman" w:hAnsi="Times New Roman" w:eastAsia="Times New Roman"/>
          <w:position w:val="2"/>
          <w:vertAlign w:val="baseline"/>
        </w:rPr>
        <w:t>,…,Q</w:t>
      </w:r>
      <w:r>
        <w:rPr>
          <w:rFonts w:ascii="Times New Roman" w:hAnsi="Times New Roman" w:eastAsia="Times New Roman"/>
          <w:position w:val="2"/>
          <w:vertAlign w:val="subscript"/>
        </w:rPr>
        <w:t>n</w:t>
      </w:r>
      <w:r>
        <w:rPr>
          <w:rFonts w:ascii="Times New Roman" w:hAnsi="Times New Roman" w:eastAsia="Times New Roman"/>
          <w:position w:val="2"/>
          <w:vertAlign w:val="baseline"/>
        </w:rPr>
        <w:t>——</w:t>
      </w:r>
      <w:r>
        <w:rPr>
          <w:position w:val="2"/>
          <w:vertAlign w:val="baseline"/>
        </w:rPr>
        <w:t>每种危险物质的临界量，</w:t>
      </w:r>
      <w:r>
        <w:rPr>
          <w:rFonts w:ascii="Times New Roman" w:hAnsi="Times New Roman" w:eastAsia="Times New Roman"/>
          <w:position w:val="2"/>
          <w:vertAlign w:val="baseline"/>
        </w:rPr>
        <w:t>t</w:t>
      </w:r>
      <w:r>
        <w:rPr>
          <w:position w:val="2"/>
          <w:vertAlign w:val="baseline"/>
        </w:rPr>
        <w:t>。</w:t>
      </w:r>
      <w:r>
        <w:rPr>
          <w:vertAlign w:val="baseline"/>
        </w:rPr>
        <w:t xml:space="preserve">当 </w:t>
      </w:r>
      <w:r>
        <w:rPr>
          <w:rFonts w:ascii="Times New Roman" w:hAnsi="Times New Roman" w:eastAsia="Times New Roman"/>
          <w:vertAlign w:val="baseline"/>
        </w:rPr>
        <w:t xml:space="preserve">Q&lt;1 </w:t>
      </w:r>
      <w:r>
        <w:rPr>
          <w:vertAlign w:val="baseline"/>
        </w:rPr>
        <w:t>时，该项目环境风险潜势为Ⅰ</w:t>
      </w:r>
    </w:p>
    <w:p>
      <w:pPr>
        <w:pStyle w:val="6"/>
        <w:spacing w:line="305" w:lineRule="exact"/>
        <w:ind w:left="1138"/>
      </w:pPr>
      <w:r>
        <w:t xml:space="preserve">当 </w:t>
      </w:r>
      <w:r>
        <w:rPr>
          <w:rFonts w:ascii="Times New Roman" w:hAnsi="Times New Roman" w:eastAsia="Times New Roman"/>
        </w:rPr>
        <w:t xml:space="preserve">Q≥1 </w:t>
      </w:r>
      <w:r>
        <w:t xml:space="preserve">时，将 </w:t>
      </w:r>
      <w:r>
        <w:rPr>
          <w:rFonts w:ascii="Times New Roman" w:hAnsi="Times New Roman" w:eastAsia="Times New Roman"/>
        </w:rPr>
        <w:t xml:space="preserve">Q </w:t>
      </w:r>
      <w:r>
        <w:t>值划分为：（</w:t>
      </w:r>
      <w:r>
        <w:rPr>
          <w:rFonts w:ascii="Times New Roman" w:hAnsi="Times New Roman" w:eastAsia="Times New Roman"/>
        </w:rPr>
        <w:t>1</w:t>
      </w:r>
      <w:r>
        <w:t>）</w:t>
      </w:r>
      <w:r>
        <w:rPr>
          <w:rFonts w:ascii="Times New Roman" w:hAnsi="Times New Roman" w:eastAsia="Times New Roman"/>
        </w:rPr>
        <w:t>1≤Q&lt;10</w:t>
      </w:r>
      <w:r>
        <w:t>；（</w:t>
      </w:r>
      <w:r>
        <w:rPr>
          <w:rFonts w:ascii="Times New Roman" w:hAnsi="Times New Roman" w:eastAsia="Times New Roman"/>
        </w:rPr>
        <w:t>2</w:t>
      </w:r>
      <w:r>
        <w:t>）</w:t>
      </w:r>
      <w:r>
        <w:rPr>
          <w:rFonts w:ascii="Times New Roman" w:hAnsi="Times New Roman" w:eastAsia="Times New Roman"/>
        </w:rPr>
        <w:t>10≤Q&lt;100</w:t>
      </w:r>
      <w:r>
        <w:t>；（</w:t>
      </w:r>
      <w:r>
        <w:rPr>
          <w:rFonts w:ascii="Times New Roman" w:hAnsi="Times New Roman" w:eastAsia="Times New Roman"/>
        </w:rPr>
        <w:t>3</w:t>
      </w:r>
      <w:r>
        <w:t>）</w:t>
      </w:r>
      <w:r>
        <w:rPr>
          <w:rFonts w:ascii="Times New Roman" w:hAnsi="Times New Roman" w:eastAsia="Times New Roman"/>
        </w:rPr>
        <w:t>Q≥100</w:t>
      </w:r>
      <w:r>
        <w:t>。</w:t>
      </w:r>
    </w:p>
    <w:p>
      <w:pPr>
        <w:spacing w:before="159"/>
        <w:ind w:left="1553" w:right="1583" w:firstLine="0"/>
        <w:jc w:val="center"/>
        <w:rPr>
          <w:b/>
          <w:sz w:val="21"/>
        </w:rPr>
      </w:pPr>
      <w:r>
        <w:rPr>
          <w:b/>
          <w:sz w:val="21"/>
        </w:rPr>
        <w:t xml:space="preserve">表 </w:t>
      </w:r>
      <w:r>
        <w:rPr>
          <w:rFonts w:ascii="Times New Roman" w:eastAsia="Times New Roman"/>
          <w:b/>
          <w:sz w:val="21"/>
        </w:rPr>
        <w:t xml:space="preserve">2.5-1 </w:t>
      </w:r>
      <w:r>
        <w:rPr>
          <w:b/>
          <w:sz w:val="21"/>
        </w:rPr>
        <w:t xml:space="preserve">建设项目 </w:t>
      </w:r>
      <w:r>
        <w:rPr>
          <w:rFonts w:ascii="Times New Roman" w:eastAsia="Times New Roman"/>
          <w:b/>
          <w:sz w:val="21"/>
        </w:rPr>
        <w:t xml:space="preserve">Q </w:t>
      </w:r>
      <w:r>
        <w:rPr>
          <w:b/>
          <w:sz w:val="21"/>
        </w:rPr>
        <w:t>值确定表</w:t>
      </w:r>
    </w:p>
    <w:p>
      <w:pPr>
        <w:pStyle w:val="6"/>
        <w:spacing w:before="11"/>
        <w:rPr>
          <w:b/>
          <w:sz w:val="10"/>
        </w:rPr>
      </w:pPr>
    </w:p>
    <w:tbl>
      <w:tblPr>
        <w:tblStyle w:val="10"/>
        <w:tblW w:w="0" w:type="auto"/>
        <w:tblInd w:w="5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6"/>
        <w:gridCol w:w="1614"/>
        <w:gridCol w:w="1285"/>
        <w:gridCol w:w="1957"/>
        <w:gridCol w:w="1555"/>
        <w:gridCol w:w="18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66" w:type="dxa"/>
          </w:tcPr>
          <w:p>
            <w:pPr>
              <w:pStyle w:val="14"/>
              <w:spacing w:before="91"/>
              <w:ind w:left="250" w:right="246"/>
              <w:rPr>
                <w:sz w:val="21"/>
              </w:rPr>
            </w:pPr>
            <w:r>
              <w:rPr>
                <w:sz w:val="21"/>
              </w:rPr>
              <w:t>序号</w:t>
            </w:r>
          </w:p>
        </w:tc>
        <w:tc>
          <w:tcPr>
            <w:tcW w:w="1614" w:type="dxa"/>
          </w:tcPr>
          <w:p>
            <w:pPr>
              <w:pStyle w:val="14"/>
              <w:spacing w:before="91"/>
              <w:ind w:left="151" w:right="144"/>
              <w:rPr>
                <w:sz w:val="21"/>
              </w:rPr>
            </w:pPr>
            <w:r>
              <w:rPr>
                <w:sz w:val="21"/>
              </w:rPr>
              <w:t>危险物质名称</w:t>
            </w:r>
          </w:p>
        </w:tc>
        <w:tc>
          <w:tcPr>
            <w:tcW w:w="1285" w:type="dxa"/>
          </w:tcPr>
          <w:p>
            <w:pPr>
              <w:pStyle w:val="14"/>
              <w:spacing w:before="91"/>
              <w:ind w:left="282" w:right="272"/>
              <w:rPr>
                <w:sz w:val="21"/>
              </w:rPr>
            </w:pPr>
            <w:r>
              <w:rPr>
                <w:rFonts w:ascii="Times New Roman" w:eastAsia="Times New Roman"/>
                <w:sz w:val="21"/>
              </w:rPr>
              <w:t xml:space="preserve">CAS </w:t>
            </w:r>
            <w:r>
              <w:rPr>
                <w:sz w:val="21"/>
              </w:rPr>
              <w:t>号</w:t>
            </w:r>
          </w:p>
        </w:tc>
        <w:tc>
          <w:tcPr>
            <w:tcW w:w="1957" w:type="dxa"/>
          </w:tcPr>
          <w:p>
            <w:pPr>
              <w:pStyle w:val="14"/>
              <w:spacing w:before="91"/>
              <w:ind w:left="83" w:right="75"/>
              <w:rPr>
                <w:sz w:val="21"/>
              </w:rPr>
            </w:pPr>
            <w:r>
              <w:rPr>
                <w:sz w:val="21"/>
              </w:rPr>
              <w:t>最大存在总量（</w:t>
            </w:r>
            <w:r>
              <w:rPr>
                <w:rFonts w:ascii="Times New Roman" w:eastAsia="Times New Roman"/>
                <w:sz w:val="21"/>
              </w:rPr>
              <w:t>t</w:t>
            </w:r>
            <w:r>
              <w:rPr>
                <w:sz w:val="21"/>
              </w:rPr>
              <w:t>）</w:t>
            </w:r>
          </w:p>
        </w:tc>
        <w:tc>
          <w:tcPr>
            <w:tcW w:w="1555" w:type="dxa"/>
          </w:tcPr>
          <w:p>
            <w:pPr>
              <w:pStyle w:val="14"/>
              <w:spacing w:before="91"/>
              <w:ind w:left="125" w:right="118"/>
              <w:rPr>
                <w:sz w:val="21"/>
              </w:rPr>
            </w:pPr>
            <w:r>
              <w:rPr>
                <w:sz w:val="21"/>
              </w:rPr>
              <w:t>临界量（</w:t>
            </w:r>
            <w:r>
              <w:rPr>
                <w:rFonts w:ascii="Times New Roman" w:eastAsia="Times New Roman"/>
                <w:sz w:val="21"/>
              </w:rPr>
              <w:t>t</w:t>
            </w:r>
            <w:r>
              <w:rPr>
                <w:sz w:val="21"/>
              </w:rPr>
              <w:t>）</w:t>
            </w:r>
          </w:p>
        </w:tc>
        <w:tc>
          <w:tcPr>
            <w:tcW w:w="1871" w:type="dxa"/>
          </w:tcPr>
          <w:p>
            <w:pPr>
              <w:pStyle w:val="14"/>
              <w:spacing w:before="91"/>
              <w:ind w:left="129" w:right="121"/>
              <w:rPr>
                <w:sz w:val="21"/>
              </w:rPr>
            </w:pPr>
            <w:r>
              <w:rPr>
                <w:sz w:val="21"/>
              </w:rPr>
              <w:t xml:space="preserve">该种危险物 </w:t>
            </w:r>
            <w:r>
              <w:rPr>
                <w:rFonts w:ascii="Times New Roman" w:eastAsia="Times New Roman"/>
                <w:sz w:val="21"/>
              </w:rPr>
              <w:t xml:space="preserve">Q </w:t>
            </w:r>
            <w:r>
              <w:rPr>
                <w:sz w:val="21"/>
              </w:rPr>
              <w:t>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66" w:type="dxa"/>
          </w:tcPr>
          <w:p>
            <w:pPr>
              <w:pStyle w:val="14"/>
              <w:spacing w:before="104"/>
              <w:ind w:left="8"/>
              <w:rPr>
                <w:rFonts w:ascii="Times New Roman"/>
                <w:sz w:val="21"/>
              </w:rPr>
            </w:pPr>
            <w:r>
              <w:rPr>
                <w:rFonts w:ascii="Times New Roman"/>
                <w:w w:val="99"/>
                <w:sz w:val="21"/>
              </w:rPr>
              <w:t>1</w:t>
            </w:r>
          </w:p>
        </w:tc>
        <w:tc>
          <w:tcPr>
            <w:tcW w:w="1614" w:type="dxa"/>
          </w:tcPr>
          <w:p>
            <w:pPr>
              <w:pStyle w:val="14"/>
              <w:spacing w:before="90"/>
              <w:ind w:left="148" w:right="144"/>
              <w:rPr>
                <w:sz w:val="21"/>
              </w:rPr>
            </w:pPr>
            <w:r>
              <w:rPr>
                <w:sz w:val="21"/>
              </w:rPr>
              <w:t>油类物质</w:t>
            </w:r>
          </w:p>
        </w:tc>
        <w:tc>
          <w:tcPr>
            <w:tcW w:w="1285" w:type="dxa"/>
          </w:tcPr>
          <w:p>
            <w:pPr>
              <w:pStyle w:val="14"/>
              <w:spacing w:before="104"/>
              <w:ind w:left="7"/>
              <w:rPr>
                <w:rFonts w:ascii="Times New Roman"/>
                <w:sz w:val="21"/>
              </w:rPr>
            </w:pPr>
            <w:r>
              <w:rPr>
                <w:rFonts w:ascii="Times New Roman"/>
                <w:w w:val="99"/>
                <w:sz w:val="21"/>
              </w:rPr>
              <w:t>/</w:t>
            </w:r>
          </w:p>
        </w:tc>
        <w:tc>
          <w:tcPr>
            <w:tcW w:w="1957" w:type="dxa"/>
          </w:tcPr>
          <w:p>
            <w:pPr>
              <w:pStyle w:val="14"/>
              <w:spacing w:before="104"/>
              <w:ind w:left="84" w:right="75"/>
              <w:rPr>
                <w:rFonts w:ascii="Times New Roman"/>
                <w:sz w:val="21"/>
              </w:rPr>
            </w:pPr>
            <w:r>
              <w:rPr>
                <w:rFonts w:ascii="Times New Roman"/>
                <w:sz w:val="21"/>
              </w:rPr>
              <w:t>20</w:t>
            </w:r>
          </w:p>
        </w:tc>
        <w:tc>
          <w:tcPr>
            <w:tcW w:w="1555" w:type="dxa"/>
          </w:tcPr>
          <w:p>
            <w:pPr>
              <w:pStyle w:val="14"/>
              <w:spacing w:before="104"/>
              <w:ind w:left="125" w:right="115"/>
              <w:rPr>
                <w:rFonts w:ascii="Times New Roman"/>
                <w:sz w:val="21"/>
              </w:rPr>
            </w:pPr>
            <w:r>
              <w:rPr>
                <w:rFonts w:ascii="Times New Roman"/>
                <w:sz w:val="21"/>
              </w:rPr>
              <w:t>2500</w:t>
            </w:r>
          </w:p>
        </w:tc>
        <w:tc>
          <w:tcPr>
            <w:tcW w:w="1871" w:type="dxa"/>
          </w:tcPr>
          <w:p>
            <w:pPr>
              <w:pStyle w:val="14"/>
              <w:spacing w:before="104"/>
              <w:ind w:left="129" w:right="120"/>
              <w:rPr>
                <w:rFonts w:ascii="Times New Roman"/>
                <w:sz w:val="21"/>
              </w:rPr>
            </w:pPr>
            <w:r>
              <w:rPr>
                <w:rFonts w:ascii="Times New Roman"/>
                <w:sz w:val="21"/>
              </w:rPr>
              <w:t>0.008</w:t>
            </w:r>
          </w:p>
        </w:tc>
      </w:tr>
    </w:tbl>
    <w:p>
      <w:pPr>
        <w:spacing w:after="0"/>
        <w:rPr>
          <w:rFonts w:ascii="Times New Roman"/>
          <w:sz w:val="21"/>
        </w:rPr>
        <w:sectPr>
          <w:type w:val="continuous"/>
          <w:pgSz w:w="11910" w:h="16840"/>
          <w:pgMar w:top="1580" w:right="720" w:bottom="280" w:left="760" w:header="720" w:footer="720" w:gutter="0"/>
        </w:sectPr>
      </w:pPr>
    </w:p>
    <w:p>
      <w:pPr>
        <w:pStyle w:val="6"/>
        <w:spacing w:before="61"/>
        <w:ind w:left="1138"/>
      </w:pPr>
      <w:r>
        <w:rPr>
          <w:rFonts w:ascii="Times New Roman" w:hAnsi="Times New Roman" w:eastAsia="Times New Roman"/>
        </w:rPr>
        <w:t>Q&lt;1</w:t>
      </w:r>
      <w:r>
        <w:t>，因此本项目环境风险潜势为Ⅰ。</w:t>
      </w:r>
    </w:p>
    <w:p>
      <w:pPr>
        <w:spacing w:before="157"/>
        <w:ind w:left="1553" w:right="1585" w:firstLine="0"/>
        <w:jc w:val="center"/>
        <w:rPr>
          <w:b/>
          <w:sz w:val="21"/>
        </w:rPr>
      </w:pPr>
      <w:r>
        <w:rPr>
          <w:b/>
          <w:sz w:val="21"/>
        </w:rPr>
        <w:t xml:space="preserve">表 </w:t>
      </w:r>
      <w:r>
        <w:rPr>
          <w:rFonts w:ascii="Times New Roman" w:eastAsia="Times New Roman"/>
          <w:b/>
          <w:sz w:val="21"/>
        </w:rPr>
        <w:t xml:space="preserve">2.5-2 </w:t>
      </w:r>
      <w:r>
        <w:rPr>
          <w:b/>
          <w:sz w:val="21"/>
        </w:rPr>
        <w:t>评价工作等级划分</w:t>
      </w:r>
    </w:p>
    <w:p>
      <w:pPr>
        <w:pStyle w:val="6"/>
        <w:spacing w:before="12"/>
        <w:rPr>
          <w:b/>
          <w:sz w:val="10"/>
        </w:rPr>
      </w:pPr>
    </w:p>
    <w:tbl>
      <w:tblPr>
        <w:tblStyle w:val="10"/>
        <w:tblW w:w="0" w:type="auto"/>
        <w:tblInd w:w="66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73"/>
        <w:gridCol w:w="1864"/>
        <w:gridCol w:w="1472"/>
        <w:gridCol w:w="1472"/>
        <w:gridCol w:w="20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273" w:type="dxa"/>
          </w:tcPr>
          <w:p>
            <w:pPr>
              <w:pStyle w:val="14"/>
              <w:spacing w:before="92"/>
              <w:ind w:left="485" w:right="478"/>
              <w:rPr>
                <w:sz w:val="21"/>
              </w:rPr>
            </w:pPr>
            <w:r>
              <w:rPr>
                <w:sz w:val="21"/>
              </w:rPr>
              <w:t>环境风险潜势</w:t>
            </w:r>
          </w:p>
        </w:tc>
        <w:tc>
          <w:tcPr>
            <w:tcW w:w="1864" w:type="dxa"/>
          </w:tcPr>
          <w:p>
            <w:pPr>
              <w:pStyle w:val="14"/>
              <w:spacing w:before="92"/>
              <w:ind w:left="227" w:right="219"/>
              <w:rPr>
                <w:rFonts w:ascii="Times New Roman" w:hAnsi="Times New Roman" w:eastAsia="Times New Roman"/>
                <w:sz w:val="21"/>
              </w:rPr>
            </w:pPr>
            <w:r>
              <w:rPr>
                <w:sz w:val="21"/>
              </w:rPr>
              <w:t>Ⅳ，Ⅳ</w:t>
            </w:r>
            <w:r>
              <w:rPr>
                <w:rFonts w:ascii="Times New Roman" w:hAnsi="Times New Roman" w:eastAsia="Times New Roman"/>
                <w:sz w:val="21"/>
              </w:rPr>
              <w:t>+</w:t>
            </w:r>
          </w:p>
        </w:tc>
        <w:tc>
          <w:tcPr>
            <w:tcW w:w="1472" w:type="dxa"/>
          </w:tcPr>
          <w:p>
            <w:pPr>
              <w:pStyle w:val="14"/>
              <w:spacing w:before="92"/>
              <w:ind w:left="6"/>
              <w:rPr>
                <w:sz w:val="21"/>
              </w:rPr>
            </w:pPr>
            <w:r>
              <w:rPr>
                <w:w w:val="99"/>
                <w:sz w:val="21"/>
              </w:rPr>
              <w:t>Ⅲ</w:t>
            </w:r>
          </w:p>
        </w:tc>
        <w:tc>
          <w:tcPr>
            <w:tcW w:w="1472" w:type="dxa"/>
          </w:tcPr>
          <w:p>
            <w:pPr>
              <w:pStyle w:val="14"/>
              <w:spacing w:before="92"/>
              <w:ind w:left="9"/>
              <w:rPr>
                <w:sz w:val="21"/>
              </w:rPr>
            </w:pPr>
            <w:r>
              <w:rPr>
                <w:w w:val="99"/>
                <w:sz w:val="21"/>
              </w:rPr>
              <w:t>Ⅱ</w:t>
            </w:r>
          </w:p>
        </w:tc>
        <w:tc>
          <w:tcPr>
            <w:tcW w:w="2005" w:type="dxa"/>
          </w:tcPr>
          <w:p>
            <w:pPr>
              <w:pStyle w:val="14"/>
              <w:spacing w:before="92"/>
              <w:ind w:left="7"/>
              <w:rPr>
                <w:sz w:val="21"/>
              </w:rPr>
            </w:pPr>
            <w:r>
              <w:rPr>
                <w:w w:val="99"/>
                <w:sz w:val="21"/>
              </w:rPr>
              <w:t>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2273" w:type="dxa"/>
          </w:tcPr>
          <w:p>
            <w:pPr>
              <w:pStyle w:val="14"/>
              <w:spacing w:before="91"/>
              <w:ind w:left="485" w:right="478"/>
              <w:rPr>
                <w:sz w:val="21"/>
              </w:rPr>
            </w:pPr>
            <w:r>
              <w:rPr>
                <w:sz w:val="21"/>
              </w:rPr>
              <w:t>评价工作等级</w:t>
            </w:r>
          </w:p>
        </w:tc>
        <w:tc>
          <w:tcPr>
            <w:tcW w:w="1864" w:type="dxa"/>
          </w:tcPr>
          <w:p>
            <w:pPr>
              <w:pStyle w:val="14"/>
              <w:spacing w:before="91"/>
              <w:ind w:left="6"/>
              <w:rPr>
                <w:sz w:val="21"/>
              </w:rPr>
            </w:pPr>
            <w:r>
              <w:rPr>
                <w:w w:val="99"/>
                <w:sz w:val="21"/>
              </w:rPr>
              <w:t>一</w:t>
            </w:r>
          </w:p>
        </w:tc>
        <w:tc>
          <w:tcPr>
            <w:tcW w:w="1472" w:type="dxa"/>
          </w:tcPr>
          <w:p>
            <w:pPr>
              <w:pStyle w:val="14"/>
              <w:spacing w:before="91"/>
              <w:ind w:left="6"/>
              <w:rPr>
                <w:sz w:val="21"/>
              </w:rPr>
            </w:pPr>
            <w:r>
              <w:rPr>
                <w:w w:val="99"/>
                <w:sz w:val="21"/>
              </w:rPr>
              <w:t>二</w:t>
            </w:r>
          </w:p>
        </w:tc>
        <w:tc>
          <w:tcPr>
            <w:tcW w:w="1472" w:type="dxa"/>
          </w:tcPr>
          <w:p>
            <w:pPr>
              <w:pStyle w:val="14"/>
              <w:spacing w:before="91"/>
              <w:ind w:left="9"/>
              <w:rPr>
                <w:sz w:val="21"/>
              </w:rPr>
            </w:pPr>
            <w:r>
              <w:rPr>
                <w:w w:val="99"/>
                <w:sz w:val="21"/>
              </w:rPr>
              <w:t>三</w:t>
            </w:r>
          </w:p>
        </w:tc>
        <w:tc>
          <w:tcPr>
            <w:tcW w:w="2005" w:type="dxa"/>
          </w:tcPr>
          <w:p>
            <w:pPr>
              <w:pStyle w:val="14"/>
              <w:spacing w:before="91"/>
              <w:ind w:left="480" w:right="472"/>
              <w:rPr>
                <w:rFonts w:ascii="Times New Roman" w:eastAsia="Times New Roman"/>
                <w:sz w:val="13"/>
              </w:rPr>
            </w:pPr>
            <w:r>
              <w:rPr>
                <w:sz w:val="21"/>
              </w:rPr>
              <w:t xml:space="preserve">简单分析 </w:t>
            </w:r>
            <w:r>
              <w:rPr>
                <w:rFonts w:ascii="Times New Roman" w:eastAsia="Times New Roman"/>
                <w:position w:val="7"/>
                <w:sz w:val="13"/>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9086" w:type="dxa"/>
            <w:gridSpan w:val="5"/>
          </w:tcPr>
          <w:p>
            <w:pPr>
              <w:pStyle w:val="14"/>
              <w:spacing w:before="1"/>
              <w:ind w:left="4" w:right="-15"/>
              <w:jc w:val="left"/>
              <w:rPr>
                <w:sz w:val="21"/>
              </w:rPr>
            </w:pPr>
            <w:r>
              <w:rPr>
                <w:rFonts w:ascii="Times New Roman" w:eastAsia="Times New Roman"/>
                <w:position w:val="7"/>
                <w:sz w:val="13"/>
              </w:rPr>
              <w:t>a</w:t>
            </w:r>
            <w:r>
              <w:rPr>
                <w:rFonts w:ascii="Times New Roman" w:eastAsia="Times New Roman"/>
                <w:spacing w:val="-12"/>
                <w:position w:val="7"/>
                <w:sz w:val="13"/>
              </w:rPr>
              <w:t xml:space="preserve"> </w:t>
            </w:r>
            <w:r>
              <w:rPr>
                <w:spacing w:val="-4"/>
                <w:sz w:val="21"/>
              </w:rPr>
              <w:t>是相对于详细评价工作内容而言，在描述危险物质、环境影响途径、环境危害后果、风险防范措施</w:t>
            </w:r>
          </w:p>
          <w:p>
            <w:pPr>
              <w:pStyle w:val="14"/>
              <w:spacing w:before="3" w:line="252" w:lineRule="exact"/>
              <w:ind w:left="4"/>
              <w:jc w:val="left"/>
              <w:rPr>
                <w:sz w:val="21"/>
              </w:rPr>
            </w:pPr>
            <w:r>
              <w:rPr>
                <w:sz w:val="21"/>
              </w:rPr>
              <w:t>等方面给出定性的说明。</w:t>
            </w:r>
          </w:p>
        </w:tc>
      </w:tr>
    </w:tbl>
    <w:p>
      <w:pPr>
        <w:pStyle w:val="6"/>
        <w:spacing w:before="11"/>
        <w:rPr>
          <w:b/>
          <w:sz w:val="18"/>
        </w:rPr>
      </w:pPr>
    </w:p>
    <w:p>
      <w:pPr>
        <w:pStyle w:val="6"/>
        <w:spacing w:before="1" w:line="364" w:lineRule="auto"/>
        <w:ind w:left="658" w:right="638" w:firstLine="480"/>
      </w:pPr>
      <w:r>
        <w:t>根据《建设项目环境风险评价技术导则》（</w:t>
      </w:r>
      <w:r>
        <w:rPr>
          <w:rFonts w:ascii="Times New Roman" w:eastAsia="Times New Roman"/>
        </w:rPr>
        <w:t>HJ169-2018</w:t>
      </w:r>
      <w:r>
        <w:t>）中评价等级划分表，见上表及本项目风险潜势判断结果，本项目环境风险评价简单分析即可。</w:t>
      </w:r>
    </w:p>
    <w:p>
      <w:pPr>
        <w:pStyle w:val="3"/>
        <w:numPr>
          <w:ilvl w:val="1"/>
          <w:numId w:val="15"/>
        </w:numPr>
        <w:tabs>
          <w:tab w:val="left" w:pos="1184"/>
        </w:tabs>
        <w:spacing w:before="1" w:after="0" w:line="240" w:lineRule="auto"/>
        <w:ind w:left="1184" w:right="0" w:hanging="526"/>
        <w:jc w:val="left"/>
        <w:rPr>
          <w:rFonts w:ascii="Times New Roman" w:eastAsia="Times New Roman"/>
        </w:rPr>
      </w:pPr>
      <w:bookmarkStart w:id="54" w:name="_bookmark12"/>
      <w:bookmarkEnd w:id="54"/>
      <w:bookmarkStart w:id="55" w:name="_bookmark12"/>
      <w:bookmarkEnd w:id="55"/>
      <w:bookmarkStart w:id="56" w:name="2.6 评价范围"/>
      <w:bookmarkEnd w:id="56"/>
      <w:r>
        <w:t>评价范围</w:t>
      </w:r>
    </w:p>
    <w:p>
      <w:pPr>
        <w:pStyle w:val="4"/>
        <w:numPr>
          <w:ilvl w:val="2"/>
          <w:numId w:val="15"/>
        </w:numPr>
        <w:tabs>
          <w:tab w:val="left" w:pos="1357"/>
        </w:tabs>
        <w:spacing w:before="197" w:after="0" w:line="240" w:lineRule="auto"/>
        <w:ind w:left="1356" w:right="0" w:hanging="699"/>
        <w:jc w:val="left"/>
        <w:rPr>
          <w:rFonts w:ascii="Times New Roman" w:eastAsia="Times New Roman"/>
        </w:rPr>
      </w:pPr>
      <w:bookmarkStart w:id="57" w:name="2.6.1 环境空气"/>
      <w:bookmarkEnd w:id="57"/>
      <w:bookmarkStart w:id="58" w:name="2.6.1 环境空气"/>
      <w:bookmarkEnd w:id="58"/>
      <w:r>
        <w:t>环境空气</w:t>
      </w:r>
    </w:p>
    <w:p>
      <w:pPr>
        <w:pStyle w:val="6"/>
        <w:spacing w:before="185"/>
        <w:ind w:left="80" w:right="41"/>
        <w:jc w:val="center"/>
      </w:pPr>
      <w:r>
        <w:t xml:space="preserve">以工业场地中心为中心，边长约为 </w:t>
      </w:r>
      <w:r>
        <w:rPr>
          <w:rFonts w:ascii="Times New Roman" w:eastAsia="Times New Roman"/>
        </w:rPr>
        <w:t xml:space="preserve">5km </w:t>
      </w:r>
      <w:r>
        <w:t xml:space="preserve">的矩形范围，总评价面积约为 </w:t>
      </w:r>
      <w:r>
        <w:rPr>
          <w:rFonts w:ascii="Times New Roman" w:eastAsia="Times New Roman"/>
        </w:rPr>
        <w:t>25km</w:t>
      </w:r>
      <w:r>
        <w:rPr>
          <w:rFonts w:ascii="Times New Roman" w:eastAsia="Times New Roman"/>
          <w:position w:val="8"/>
          <w:sz w:val="15"/>
        </w:rPr>
        <w:t>2</w:t>
      </w:r>
      <w:r>
        <w:t>。</w:t>
      </w:r>
    </w:p>
    <w:p>
      <w:pPr>
        <w:pStyle w:val="4"/>
        <w:numPr>
          <w:ilvl w:val="2"/>
          <w:numId w:val="15"/>
        </w:numPr>
        <w:tabs>
          <w:tab w:val="left" w:pos="1357"/>
        </w:tabs>
        <w:spacing w:before="162" w:after="0" w:line="240" w:lineRule="auto"/>
        <w:ind w:left="1356" w:right="0" w:hanging="699"/>
        <w:jc w:val="left"/>
        <w:rPr>
          <w:rFonts w:ascii="Times New Roman" w:eastAsia="Times New Roman"/>
        </w:rPr>
      </w:pPr>
      <w:bookmarkStart w:id="59" w:name="2.6.2 地表水环境"/>
      <w:bookmarkEnd w:id="59"/>
      <w:bookmarkStart w:id="60" w:name="2.6.2 地表水环境"/>
      <w:bookmarkEnd w:id="60"/>
      <w:r>
        <w:t>地表水环境</w:t>
      </w:r>
    </w:p>
    <w:p>
      <w:pPr>
        <w:pStyle w:val="6"/>
        <w:spacing w:before="185" w:line="364" w:lineRule="auto"/>
        <w:ind w:left="658" w:right="693" w:firstLine="480"/>
      </w:pPr>
      <w:r>
        <w:t xml:space="preserve">从纳污水体扁石河汇入口上游 </w:t>
      </w:r>
      <w:r>
        <w:rPr>
          <w:rFonts w:ascii="Times New Roman" w:eastAsia="Times New Roman"/>
        </w:rPr>
        <w:t>500m</w:t>
      </w:r>
      <w:r>
        <w:t xml:space="preserve">，下游 </w:t>
      </w:r>
      <w:r>
        <w:rPr>
          <w:rFonts w:ascii="Times New Roman" w:eastAsia="Times New Roman"/>
        </w:rPr>
        <w:t>1000m</w:t>
      </w:r>
      <w:r>
        <w:t xml:space="preserve">，下游 </w:t>
      </w:r>
      <w:r>
        <w:rPr>
          <w:rFonts w:ascii="Times New Roman" w:eastAsia="Times New Roman"/>
        </w:rPr>
        <w:t>5000m</w:t>
      </w:r>
      <w:r>
        <w:t>，总控制长度约</w:t>
      </w:r>
      <w:r>
        <w:rPr>
          <w:rFonts w:ascii="Times New Roman" w:eastAsia="Times New Roman"/>
        </w:rPr>
        <w:t>5500m</w:t>
      </w:r>
      <w:r>
        <w:t>。</w:t>
      </w:r>
    </w:p>
    <w:p>
      <w:pPr>
        <w:pStyle w:val="4"/>
        <w:numPr>
          <w:ilvl w:val="2"/>
          <w:numId w:val="15"/>
        </w:numPr>
        <w:tabs>
          <w:tab w:val="left" w:pos="1288"/>
        </w:tabs>
        <w:spacing w:before="0" w:after="0" w:line="358" w:lineRule="exact"/>
        <w:ind w:left="1287" w:right="0" w:hanging="630"/>
        <w:jc w:val="left"/>
        <w:rPr>
          <w:rFonts w:ascii="Times New Roman" w:eastAsia="Times New Roman"/>
        </w:rPr>
      </w:pPr>
      <w:bookmarkStart w:id="61" w:name="2.6.3地下水环境"/>
      <w:bookmarkEnd w:id="61"/>
      <w:bookmarkStart w:id="62" w:name="2.6.3地下水环境"/>
      <w:bookmarkEnd w:id="62"/>
      <w:r>
        <w:t>地下水环境</w:t>
      </w:r>
    </w:p>
    <w:p>
      <w:pPr>
        <w:pStyle w:val="6"/>
        <w:spacing w:before="185" w:line="364" w:lineRule="auto"/>
        <w:ind w:left="658" w:right="645" w:firstLine="480"/>
        <w:jc w:val="both"/>
      </w:pPr>
      <w:r>
        <w:rPr>
          <w:spacing w:val="-1"/>
        </w:rPr>
        <w:t>参照项目的评价等级，为了说明地下水环境的基本状况，依据项目区周边的地质、</w:t>
      </w:r>
      <w:r>
        <w:rPr>
          <w:spacing w:val="-4"/>
        </w:rPr>
        <w:t>水文地质条件和地形、地貌特征，确定项目地下水评价范围，双鸭山大顺矿业有限公司</w:t>
      </w:r>
      <w:r>
        <w:rPr>
          <w:spacing w:val="-7"/>
        </w:rPr>
        <w:t xml:space="preserve">位于丘陵地区，地表自然坡度 </w:t>
      </w:r>
      <w:r>
        <w:rPr>
          <w:rFonts w:ascii="Times New Roman" w:hAnsi="Times New Roman" w:eastAsia="Times New Roman"/>
        </w:rPr>
        <w:t>3‰-7‰</w:t>
      </w:r>
      <w:r>
        <w:t>之间，因而本次地下水环境影响评价工作的调查</w:t>
      </w:r>
      <w:r>
        <w:rPr>
          <w:spacing w:val="-3"/>
        </w:rPr>
        <w:t xml:space="preserve">评价范围是以本项目区范围为核心，东西长约 </w:t>
      </w:r>
      <w:r>
        <w:rPr>
          <w:rFonts w:ascii="Times New Roman" w:hAnsi="Times New Roman" w:eastAsia="Times New Roman"/>
        </w:rPr>
        <w:t>7.5km</w:t>
      </w:r>
      <w:r>
        <w:rPr>
          <w:spacing w:val="-10"/>
        </w:rPr>
        <w:t xml:space="preserve">，南北宽约 </w:t>
      </w:r>
      <w:r>
        <w:rPr>
          <w:rFonts w:ascii="Times New Roman" w:hAnsi="Times New Roman" w:eastAsia="Times New Roman"/>
        </w:rPr>
        <w:t>4km</w:t>
      </w:r>
      <w:r>
        <w:rPr>
          <w:spacing w:val="-12"/>
        </w:rPr>
        <w:t xml:space="preserve">，面积为 </w:t>
      </w:r>
      <w:r>
        <w:rPr>
          <w:rFonts w:ascii="Times New Roman" w:hAnsi="Times New Roman" w:eastAsia="Times New Roman"/>
        </w:rPr>
        <w:t>30km</w:t>
      </w:r>
      <w:r>
        <w:rPr>
          <w:rFonts w:ascii="Times New Roman" w:hAnsi="Times New Roman" w:eastAsia="Times New Roman"/>
          <w:position w:val="8"/>
          <w:sz w:val="15"/>
        </w:rPr>
        <w:t>2</w:t>
      </w:r>
      <w:r>
        <w:t>。</w:t>
      </w:r>
    </w:p>
    <w:p>
      <w:pPr>
        <w:pStyle w:val="4"/>
        <w:numPr>
          <w:ilvl w:val="2"/>
          <w:numId w:val="15"/>
        </w:numPr>
        <w:tabs>
          <w:tab w:val="left" w:pos="1357"/>
        </w:tabs>
        <w:spacing w:before="0" w:after="0" w:line="357" w:lineRule="exact"/>
        <w:ind w:left="1356" w:right="0" w:hanging="699"/>
        <w:jc w:val="left"/>
        <w:rPr>
          <w:rFonts w:ascii="Times New Roman" w:eastAsia="Times New Roman"/>
        </w:rPr>
      </w:pPr>
      <w:bookmarkStart w:id="63" w:name="2.6.4 声环境"/>
      <w:bookmarkEnd w:id="63"/>
      <w:bookmarkStart w:id="64" w:name="2.6.4 声环境"/>
      <w:bookmarkEnd w:id="64"/>
      <w:r>
        <w:t>声环境</w:t>
      </w:r>
    </w:p>
    <w:p>
      <w:pPr>
        <w:pStyle w:val="6"/>
        <w:spacing w:before="185"/>
        <w:ind w:left="1138"/>
      </w:pPr>
      <w:r>
        <w:t xml:space="preserve">本工程工业场区边界外 </w:t>
      </w:r>
      <w:r>
        <w:rPr>
          <w:rFonts w:ascii="Times New Roman" w:eastAsia="Times New Roman"/>
        </w:rPr>
        <w:t>200m</w:t>
      </w:r>
      <w:r>
        <w:t>，评价范围图见附图。</w:t>
      </w:r>
    </w:p>
    <w:p>
      <w:pPr>
        <w:pStyle w:val="4"/>
        <w:numPr>
          <w:ilvl w:val="2"/>
          <w:numId w:val="15"/>
        </w:numPr>
        <w:tabs>
          <w:tab w:val="left" w:pos="1288"/>
        </w:tabs>
        <w:spacing w:before="162" w:after="0" w:line="240" w:lineRule="auto"/>
        <w:ind w:left="1287" w:right="0" w:hanging="630"/>
        <w:jc w:val="left"/>
        <w:rPr>
          <w:rFonts w:ascii="Times New Roman" w:eastAsia="Times New Roman"/>
        </w:rPr>
      </w:pPr>
      <w:bookmarkStart w:id="65" w:name="2.6.5生态环境"/>
      <w:bookmarkEnd w:id="65"/>
      <w:bookmarkStart w:id="66" w:name="2.6.5生态环境"/>
      <w:bookmarkEnd w:id="66"/>
      <w:r>
        <w:t>生态环境</w:t>
      </w:r>
    </w:p>
    <w:p>
      <w:pPr>
        <w:pStyle w:val="6"/>
        <w:spacing w:before="185"/>
        <w:ind w:left="1138"/>
      </w:pPr>
      <w:r>
        <w:t xml:space="preserve">井田境界及其周边 </w:t>
      </w:r>
      <w:r>
        <w:rPr>
          <w:rFonts w:ascii="Times New Roman" w:eastAsia="Times New Roman"/>
        </w:rPr>
        <w:t xml:space="preserve">500m </w:t>
      </w:r>
      <w:r>
        <w:t>范围内，评价范围图见附图。</w:t>
      </w:r>
    </w:p>
    <w:p>
      <w:pPr>
        <w:pStyle w:val="4"/>
        <w:numPr>
          <w:ilvl w:val="2"/>
          <w:numId w:val="15"/>
        </w:numPr>
        <w:tabs>
          <w:tab w:val="left" w:pos="1288"/>
        </w:tabs>
        <w:spacing w:before="159" w:after="0" w:line="240" w:lineRule="auto"/>
        <w:ind w:left="1287" w:right="0" w:hanging="630"/>
        <w:jc w:val="left"/>
        <w:rPr>
          <w:rFonts w:ascii="Times New Roman" w:eastAsia="Times New Roman"/>
        </w:rPr>
      </w:pPr>
      <w:bookmarkStart w:id="67" w:name="2.6.6土壤环境"/>
      <w:bookmarkEnd w:id="67"/>
      <w:bookmarkStart w:id="68" w:name="2.6.6土壤环境"/>
      <w:bookmarkEnd w:id="68"/>
      <w:r>
        <w:t>土壤环境</w:t>
      </w:r>
    </w:p>
    <w:p>
      <w:pPr>
        <w:pStyle w:val="6"/>
        <w:spacing w:before="185"/>
        <w:ind w:left="1138"/>
        <w:rPr>
          <w:rFonts w:ascii="Times New Roman" w:eastAsia="Times New Roman"/>
        </w:rPr>
      </w:pPr>
      <w:r>
        <w:t>井田开采区以井田范围外扩</w:t>
      </w:r>
      <w:r>
        <w:rPr>
          <w:rFonts w:ascii="Times New Roman" w:eastAsia="Times New Roman"/>
        </w:rPr>
        <w:t xml:space="preserve">1km </w:t>
      </w:r>
      <w:r>
        <w:t>为评价范围；工业场地评价范围以场地外扩</w:t>
      </w:r>
      <w:r>
        <w:rPr>
          <w:rFonts w:ascii="Times New Roman" w:eastAsia="Times New Roman"/>
        </w:rPr>
        <w:t>0.05km</w:t>
      </w:r>
    </w:p>
    <w:p>
      <w:pPr>
        <w:pStyle w:val="6"/>
        <w:spacing w:before="158"/>
        <w:ind w:left="658"/>
      </w:pPr>
      <w:r>
        <w:t>为评价范围。评价范围图见附图。</w:t>
      </w:r>
    </w:p>
    <w:p>
      <w:pPr>
        <w:pStyle w:val="3"/>
        <w:numPr>
          <w:ilvl w:val="1"/>
          <w:numId w:val="15"/>
        </w:numPr>
        <w:tabs>
          <w:tab w:val="left" w:pos="1184"/>
        </w:tabs>
        <w:spacing w:before="161" w:after="0" w:line="240" w:lineRule="auto"/>
        <w:ind w:left="1184" w:right="0" w:hanging="526"/>
        <w:jc w:val="left"/>
        <w:rPr>
          <w:rFonts w:ascii="Times New Roman" w:eastAsia="Times New Roman"/>
        </w:rPr>
      </w:pPr>
      <w:bookmarkStart w:id="69" w:name="_bookmark13"/>
      <w:bookmarkEnd w:id="69"/>
      <w:bookmarkStart w:id="70" w:name="_bookmark13"/>
      <w:bookmarkEnd w:id="70"/>
      <w:bookmarkStart w:id="71" w:name="2.7 控制污染与环境保护目标"/>
      <w:bookmarkEnd w:id="71"/>
      <w:r>
        <w:t>控制污染与环境保护目标</w:t>
      </w:r>
    </w:p>
    <w:p>
      <w:pPr>
        <w:pStyle w:val="6"/>
        <w:spacing w:before="199" w:line="364" w:lineRule="auto"/>
        <w:ind w:left="656" w:right="529" w:firstLine="480"/>
      </w:pPr>
      <w:r>
        <w:t>本评价区内无国家、省、市级自然保护区，但为了保护本项目所在区域环境空气、</w:t>
      </w:r>
      <w:r>
        <w:rPr>
          <w:spacing w:val="-11"/>
        </w:rPr>
        <w:t>生态、地下水质量及受纳水体扁石河，应贯彻污染源治理“以新带老”、“达标排放”、</w:t>
      </w:r>
    </w:p>
    <w:p>
      <w:pPr>
        <w:spacing w:after="0" w:line="364" w:lineRule="auto"/>
        <w:sectPr>
          <w:pgSz w:w="11910" w:h="16840"/>
          <w:pgMar w:top="1340" w:right="720" w:bottom="1160" w:left="760" w:header="0" w:footer="891" w:gutter="0"/>
        </w:sectPr>
      </w:pPr>
    </w:p>
    <w:p>
      <w:pPr>
        <w:pStyle w:val="6"/>
        <w:spacing w:before="41" w:line="364" w:lineRule="auto"/>
        <w:ind w:left="656" w:right="697"/>
        <w:jc w:val="both"/>
      </w:pPr>
      <w:r>
        <w:rPr>
          <w:spacing w:val="-9"/>
        </w:rPr>
        <w:t>“总量控制”、“清洁生产”的原则，提出切实可行的污染防治方案，使本工程投产后</w:t>
      </w:r>
      <w:r>
        <w:rPr>
          <w:spacing w:val="-3"/>
        </w:rPr>
        <w:t>所排烟尘及污水能达到浓度控制标准与污染物总量控制要求，以减少对纳污环境的污染</w:t>
      </w:r>
      <w:r>
        <w:t>负荷。</w:t>
      </w:r>
    </w:p>
    <w:p>
      <w:pPr>
        <w:pStyle w:val="6"/>
        <w:spacing w:line="307" w:lineRule="exact"/>
        <w:ind w:left="1078"/>
        <w:jc w:val="both"/>
      </w:pPr>
      <w:r>
        <w:t xml:space="preserve">本工程主要的环境保护目标见表 </w:t>
      </w:r>
      <w:r>
        <w:rPr>
          <w:rFonts w:ascii="Times New Roman" w:eastAsia="Times New Roman"/>
        </w:rPr>
        <w:t>2.7-1</w:t>
      </w:r>
      <w:r>
        <w:t>。</w:t>
      </w:r>
    </w:p>
    <w:p>
      <w:pPr>
        <w:pStyle w:val="5"/>
        <w:spacing w:before="158" w:after="3"/>
        <w:ind w:left="1553" w:right="1583"/>
        <w:jc w:val="center"/>
      </w:pPr>
      <w:r>
        <w:t xml:space="preserve">表 </w:t>
      </w:r>
      <w:r>
        <w:rPr>
          <w:rFonts w:ascii="Times New Roman" w:eastAsia="Times New Roman"/>
        </w:rPr>
        <w:t xml:space="preserve">2.7-1  </w:t>
      </w:r>
      <w:r>
        <w:t>环境保护目标一览表</w:t>
      </w:r>
    </w:p>
    <w:tbl>
      <w:tblPr>
        <w:tblStyle w:val="10"/>
        <w:tblW w:w="0" w:type="auto"/>
        <w:tblInd w:w="5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9"/>
        <w:gridCol w:w="1663"/>
        <w:gridCol w:w="2091"/>
        <w:gridCol w:w="1200"/>
        <w:gridCol w:w="28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1289" w:type="dxa"/>
          </w:tcPr>
          <w:p>
            <w:pPr>
              <w:pStyle w:val="14"/>
              <w:spacing w:before="134"/>
              <w:ind w:left="97" w:right="92"/>
              <w:rPr>
                <w:sz w:val="21"/>
              </w:rPr>
            </w:pPr>
            <w:r>
              <w:rPr>
                <w:sz w:val="21"/>
              </w:rPr>
              <w:t>影响因素</w:t>
            </w:r>
          </w:p>
        </w:tc>
        <w:tc>
          <w:tcPr>
            <w:tcW w:w="1663" w:type="dxa"/>
          </w:tcPr>
          <w:p>
            <w:pPr>
              <w:pStyle w:val="14"/>
              <w:spacing w:before="134"/>
              <w:ind w:left="180" w:right="173"/>
              <w:rPr>
                <w:sz w:val="21"/>
              </w:rPr>
            </w:pPr>
            <w:r>
              <w:rPr>
                <w:sz w:val="21"/>
              </w:rPr>
              <w:t>环境保护目标</w:t>
            </w:r>
          </w:p>
        </w:tc>
        <w:tc>
          <w:tcPr>
            <w:tcW w:w="2091" w:type="dxa"/>
          </w:tcPr>
          <w:p>
            <w:pPr>
              <w:pStyle w:val="14"/>
              <w:ind w:left="80" w:right="70"/>
              <w:rPr>
                <w:sz w:val="21"/>
              </w:rPr>
            </w:pPr>
            <w:r>
              <w:rPr>
                <w:sz w:val="21"/>
              </w:rPr>
              <w:t>距工业广场方位、距</w:t>
            </w:r>
          </w:p>
          <w:p>
            <w:pPr>
              <w:pStyle w:val="14"/>
              <w:spacing w:before="2" w:line="253" w:lineRule="exact"/>
              <w:ind w:left="77" w:right="70"/>
              <w:rPr>
                <w:sz w:val="21"/>
              </w:rPr>
            </w:pPr>
            <w:r>
              <w:rPr>
                <w:sz w:val="21"/>
              </w:rPr>
              <w:t>离（</w:t>
            </w:r>
            <w:r>
              <w:rPr>
                <w:rFonts w:ascii="Times New Roman" w:eastAsia="Times New Roman"/>
                <w:sz w:val="21"/>
              </w:rPr>
              <w:t>m</w:t>
            </w:r>
            <w:r>
              <w:rPr>
                <w:sz w:val="21"/>
              </w:rPr>
              <w:t>）</w:t>
            </w:r>
          </w:p>
        </w:tc>
        <w:tc>
          <w:tcPr>
            <w:tcW w:w="1200" w:type="dxa"/>
          </w:tcPr>
          <w:p>
            <w:pPr>
              <w:pStyle w:val="14"/>
              <w:ind w:left="133" w:right="124"/>
              <w:rPr>
                <w:sz w:val="21"/>
              </w:rPr>
            </w:pPr>
            <w:r>
              <w:rPr>
                <w:sz w:val="21"/>
              </w:rPr>
              <w:t>受影响</w:t>
            </w:r>
          </w:p>
          <w:p>
            <w:pPr>
              <w:pStyle w:val="14"/>
              <w:spacing w:before="2" w:line="253" w:lineRule="exact"/>
              <w:ind w:left="133" w:right="124"/>
              <w:rPr>
                <w:sz w:val="21"/>
              </w:rPr>
            </w:pPr>
            <w:r>
              <w:rPr>
                <w:sz w:val="21"/>
              </w:rPr>
              <w:t>人群</w:t>
            </w:r>
          </w:p>
        </w:tc>
        <w:tc>
          <w:tcPr>
            <w:tcW w:w="2873" w:type="dxa"/>
          </w:tcPr>
          <w:p>
            <w:pPr>
              <w:pStyle w:val="14"/>
              <w:spacing w:before="134"/>
              <w:ind w:left="113" w:right="109"/>
              <w:rPr>
                <w:sz w:val="21"/>
              </w:rPr>
            </w:pPr>
            <w:r>
              <w:rPr>
                <w:sz w:val="21"/>
              </w:rPr>
              <w:t>控制标准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1289" w:type="dxa"/>
          </w:tcPr>
          <w:p>
            <w:pPr>
              <w:pStyle w:val="14"/>
              <w:spacing w:before="147"/>
              <w:ind w:left="97" w:right="92"/>
              <w:rPr>
                <w:sz w:val="21"/>
              </w:rPr>
            </w:pPr>
            <w:r>
              <w:rPr>
                <w:sz w:val="21"/>
              </w:rPr>
              <w:t>环境空气</w:t>
            </w:r>
          </w:p>
        </w:tc>
        <w:tc>
          <w:tcPr>
            <w:tcW w:w="1663" w:type="dxa"/>
          </w:tcPr>
          <w:p>
            <w:pPr>
              <w:pStyle w:val="14"/>
              <w:spacing w:before="10"/>
              <w:jc w:val="left"/>
              <w:rPr>
                <w:b/>
                <w:sz w:val="14"/>
              </w:rPr>
            </w:pPr>
          </w:p>
          <w:p>
            <w:pPr>
              <w:pStyle w:val="14"/>
              <w:spacing w:before="1"/>
              <w:ind w:left="178" w:right="173"/>
              <w:rPr>
                <w:sz w:val="21"/>
              </w:rPr>
            </w:pPr>
            <w:r>
              <w:rPr>
                <w:sz w:val="21"/>
              </w:rPr>
              <w:t>青山林场</w:t>
            </w:r>
          </w:p>
        </w:tc>
        <w:tc>
          <w:tcPr>
            <w:tcW w:w="2091" w:type="dxa"/>
          </w:tcPr>
          <w:p>
            <w:pPr>
              <w:pStyle w:val="14"/>
              <w:spacing w:before="11"/>
              <w:jc w:val="left"/>
              <w:rPr>
                <w:b/>
                <w:sz w:val="15"/>
              </w:rPr>
            </w:pPr>
          </w:p>
          <w:p>
            <w:pPr>
              <w:pStyle w:val="14"/>
              <w:spacing w:before="1"/>
              <w:ind w:left="80" w:right="69"/>
              <w:rPr>
                <w:rFonts w:ascii="Times New Roman"/>
                <w:sz w:val="21"/>
              </w:rPr>
            </w:pPr>
            <w:r>
              <w:rPr>
                <w:rFonts w:ascii="Times New Roman"/>
                <w:sz w:val="21"/>
              </w:rPr>
              <w:t>SE1340</w:t>
            </w:r>
          </w:p>
        </w:tc>
        <w:tc>
          <w:tcPr>
            <w:tcW w:w="1200" w:type="dxa"/>
          </w:tcPr>
          <w:p>
            <w:pPr>
              <w:pStyle w:val="14"/>
              <w:spacing w:before="190"/>
              <w:ind w:left="133" w:right="124"/>
              <w:rPr>
                <w:sz w:val="21"/>
              </w:rPr>
            </w:pPr>
            <w:r>
              <w:rPr>
                <w:sz w:val="21"/>
              </w:rPr>
              <w:t xml:space="preserve">约 </w:t>
            </w:r>
            <w:r>
              <w:rPr>
                <w:rFonts w:ascii="Times New Roman" w:eastAsia="Times New Roman"/>
                <w:sz w:val="21"/>
              </w:rPr>
              <w:t xml:space="preserve">350 </w:t>
            </w:r>
            <w:r>
              <w:rPr>
                <w:sz w:val="21"/>
              </w:rPr>
              <w:t>人</w:t>
            </w:r>
          </w:p>
        </w:tc>
        <w:tc>
          <w:tcPr>
            <w:tcW w:w="2873" w:type="dxa"/>
          </w:tcPr>
          <w:p>
            <w:pPr>
              <w:pStyle w:val="14"/>
              <w:spacing w:before="190"/>
              <w:ind w:left="118" w:right="109"/>
              <w:rPr>
                <w:sz w:val="21"/>
              </w:rPr>
            </w:pPr>
            <w:r>
              <w:rPr>
                <w:rFonts w:ascii="Times New Roman" w:eastAsia="Times New Roman"/>
                <w:sz w:val="21"/>
              </w:rPr>
              <w:t xml:space="preserve">GB3095-2012 </w:t>
            </w:r>
            <w:r>
              <w:rPr>
                <w:sz w:val="21"/>
              </w:rPr>
              <w:t>中二级标准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trPr>
        <w:tc>
          <w:tcPr>
            <w:tcW w:w="1289" w:type="dxa"/>
          </w:tcPr>
          <w:p>
            <w:pPr>
              <w:pStyle w:val="14"/>
              <w:spacing w:before="3"/>
              <w:jc w:val="left"/>
              <w:rPr>
                <w:b/>
                <w:sz w:val="18"/>
              </w:rPr>
            </w:pPr>
          </w:p>
          <w:p>
            <w:pPr>
              <w:pStyle w:val="14"/>
              <w:ind w:left="97" w:right="90"/>
              <w:rPr>
                <w:sz w:val="21"/>
              </w:rPr>
            </w:pPr>
            <w:r>
              <w:rPr>
                <w:sz w:val="21"/>
              </w:rPr>
              <w:t>声环境</w:t>
            </w:r>
          </w:p>
        </w:tc>
        <w:tc>
          <w:tcPr>
            <w:tcW w:w="3754" w:type="dxa"/>
            <w:gridSpan w:val="2"/>
          </w:tcPr>
          <w:p>
            <w:pPr>
              <w:pStyle w:val="14"/>
              <w:spacing w:before="3"/>
              <w:jc w:val="left"/>
              <w:rPr>
                <w:b/>
                <w:sz w:val="18"/>
              </w:rPr>
            </w:pPr>
          </w:p>
          <w:p>
            <w:pPr>
              <w:pStyle w:val="14"/>
              <w:ind w:left="849"/>
              <w:jc w:val="left"/>
              <w:rPr>
                <w:sz w:val="21"/>
              </w:rPr>
            </w:pPr>
            <w:r>
              <w:rPr>
                <w:sz w:val="21"/>
              </w:rPr>
              <w:t xml:space="preserve">厂界周边 </w:t>
            </w:r>
            <w:r>
              <w:rPr>
                <w:rFonts w:ascii="Times New Roman" w:eastAsia="Times New Roman"/>
                <w:sz w:val="21"/>
              </w:rPr>
              <w:t xml:space="preserve">200m </w:t>
            </w:r>
            <w:r>
              <w:rPr>
                <w:sz w:val="21"/>
              </w:rPr>
              <w:t>范围内</w:t>
            </w:r>
          </w:p>
        </w:tc>
        <w:tc>
          <w:tcPr>
            <w:tcW w:w="1200" w:type="dxa"/>
          </w:tcPr>
          <w:p>
            <w:pPr>
              <w:pStyle w:val="14"/>
              <w:spacing w:before="7"/>
              <w:jc w:val="left"/>
              <w:rPr>
                <w:b/>
                <w:sz w:val="19"/>
              </w:rPr>
            </w:pPr>
          </w:p>
          <w:p>
            <w:pPr>
              <w:pStyle w:val="14"/>
              <w:ind w:left="133" w:right="124"/>
              <w:rPr>
                <w:rFonts w:ascii="Times New Roman" w:hAnsi="Times New Roman"/>
                <w:sz w:val="21"/>
              </w:rPr>
            </w:pPr>
            <w:r>
              <w:rPr>
                <w:rFonts w:ascii="Times New Roman" w:hAnsi="Times New Roman"/>
                <w:sz w:val="21"/>
              </w:rPr>
              <w:t>——</w:t>
            </w:r>
          </w:p>
        </w:tc>
        <w:tc>
          <w:tcPr>
            <w:tcW w:w="2873" w:type="dxa"/>
          </w:tcPr>
          <w:p>
            <w:pPr>
              <w:pStyle w:val="14"/>
              <w:spacing w:before="100"/>
              <w:ind w:left="118" w:right="109"/>
              <w:rPr>
                <w:sz w:val="21"/>
              </w:rPr>
            </w:pPr>
            <w:r>
              <w:rPr>
                <w:sz w:val="21"/>
              </w:rPr>
              <w:t>《声环境质量标准》</w:t>
            </w:r>
          </w:p>
          <w:p>
            <w:pPr>
              <w:pStyle w:val="14"/>
              <w:spacing w:before="2"/>
              <w:ind w:left="118" w:right="109"/>
              <w:rPr>
                <w:sz w:val="21"/>
              </w:rPr>
            </w:pPr>
            <w:r>
              <w:rPr>
                <w:sz w:val="21"/>
              </w:rPr>
              <w:t>（</w:t>
            </w:r>
            <w:r>
              <w:rPr>
                <w:rFonts w:ascii="Times New Roman" w:eastAsia="Times New Roman"/>
                <w:sz w:val="21"/>
              </w:rPr>
              <w:t>GB3096-2008</w:t>
            </w:r>
            <w:r>
              <w:rPr>
                <w:sz w:val="21"/>
              </w:rPr>
              <w:t>）</w:t>
            </w:r>
            <w:r>
              <w:rPr>
                <w:rFonts w:ascii="Times New Roman" w:eastAsia="Times New Roman"/>
                <w:sz w:val="21"/>
              </w:rPr>
              <w:t xml:space="preserve">2 </w:t>
            </w:r>
            <w:r>
              <w:rPr>
                <w:sz w:val="21"/>
              </w:rPr>
              <w:t>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289" w:type="dxa"/>
          </w:tcPr>
          <w:p>
            <w:pPr>
              <w:pStyle w:val="14"/>
              <w:spacing w:before="135"/>
              <w:ind w:left="97" w:right="92"/>
              <w:rPr>
                <w:sz w:val="21"/>
              </w:rPr>
            </w:pPr>
            <w:r>
              <w:rPr>
                <w:sz w:val="21"/>
              </w:rPr>
              <w:t>地表水环境</w:t>
            </w:r>
          </w:p>
        </w:tc>
        <w:tc>
          <w:tcPr>
            <w:tcW w:w="1663" w:type="dxa"/>
          </w:tcPr>
          <w:p>
            <w:pPr>
              <w:pStyle w:val="14"/>
              <w:spacing w:before="135"/>
              <w:ind w:left="180" w:right="173"/>
              <w:rPr>
                <w:sz w:val="21"/>
              </w:rPr>
            </w:pPr>
            <w:r>
              <w:rPr>
                <w:sz w:val="21"/>
              </w:rPr>
              <w:t>扁石河</w:t>
            </w:r>
          </w:p>
        </w:tc>
        <w:tc>
          <w:tcPr>
            <w:tcW w:w="3291" w:type="dxa"/>
            <w:gridSpan w:val="2"/>
          </w:tcPr>
          <w:p>
            <w:pPr>
              <w:pStyle w:val="14"/>
              <w:spacing w:before="151"/>
              <w:ind w:left="1291" w:right="1283"/>
              <w:rPr>
                <w:rFonts w:ascii="Times New Roman"/>
                <w:sz w:val="21"/>
              </w:rPr>
            </w:pPr>
            <w:r>
              <w:rPr>
                <w:rFonts w:ascii="Times New Roman"/>
                <w:sz w:val="21"/>
              </w:rPr>
              <w:t>SE5720</w:t>
            </w:r>
          </w:p>
        </w:tc>
        <w:tc>
          <w:tcPr>
            <w:tcW w:w="2873" w:type="dxa"/>
          </w:tcPr>
          <w:p>
            <w:pPr>
              <w:pStyle w:val="14"/>
              <w:ind w:left="280"/>
              <w:jc w:val="left"/>
              <w:rPr>
                <w:sz w:val="21"/>
              </w:rPr>
            </w:pPr>
            <w:r>
              <w:rPr>
                <w:sz w:val="21"/>
              </w:rPr>
              <w:t>《地表水环境质量标准》</w:t>
            </w:r>
          </w:p>
          <w:p>
            <w:pPr>
              <w:pStyle w:val="14"/>
              <w:spacing w:before="3" w:line="253" w:lineRule="exact"/>
              <w:ind w:left="205"/>
              <w:jc w:val="left"/>
              <w:rPr>
                <w:sz w:val="21"/>
              </w:rPr>
            </w:pPr>
            <w:r>
              <w:rPr>
                <w:sz w:val="21"/>
              </w:rPr>
              <w:t>（</w:t>
            </w:r>
            <w:r>
              <w:rPr>
                <w:rFonts w:ascii="Times New Roman" w:hAnsi="Times New Roman" w:eastAsia="Times New Roman"/>
                <w:sz w:val="21"/>
              </w:rPr>
              <w:t>GB3838-2002</w:t>
            </w:r>
            <w:r>
              <w:rPr>
                <w:sz w:val="21"/>
              </w:rPr>
              <w:t>）Ⅲ类标准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289" w:type="dxa"/>
          </w:tcPr>
          <w:p>
            <w:pPr>
              <w:pStyle w:val="14"/>
              <w:spacing w:before="105"/>
              <w:ind w:left="97" w:right="90"/>
              <w:rPr>
                <w:sz w:val="21"/>
              </w:rPr>
            </w:pPr>
            <w:r>
              <w:rPr>
                <w:sz w:val="21"/>
              </w:rPr>
              <w:t>地下水</w:t>
            </w:r>
          </w:p>
        </w:tc>
        <w:tc>
          <w:tcPr>
            <w:tcW w:w="4954" w:type="dxa"/>
            <w:gridSpan w:val="3"/>
          </w:tcPr>
          <w:p>
            <w:pPr>
              <w:pStyle w:val="14"/>
              <w:spacing w:before="105"/>
              <w:ind w:left="1636"/>
              <w:jc w:val="left"/>
              <w:rPr>
                <w:sz w:val="21"/>
              </w:rPr>
            </w:pPr>
            <w:r>
              <w:rPr>
                <w:sz w:val="21"/>
              </w:rPr>
              <w:t>矿区范围内地下水</w:t>
            </w:r>
          </w:p>
        </w:tc>
        <w:tc>
          <w:tcPr>
            <w:tcW w:w="2873" w:type="dxa"/>
          </w:tcPr>
          <w:p>
            <w:pPr>
              <w:pStyle w:val="14"/>
              <w:spacing w:before="105"/>
              <w:ind w:left="118" w:right="109"/>
              <w:rPr>
                <w:sz w:val="21"/>
              </w:rPr>
            </w:pPr>
            <w:r>
              <w:rPr>
                <w:rFonts w:ascii="Times New Roman" w:hAnsi="Times New Roman" w:eastAsia="Times New Roman"/>
                <w:sz w:val="21"/>
              </w:rPr>
              <w:t xml:space="preserve">GB/T14848-2017 </w:t>
            </w:r>
            <w:r>
              <w:rPr>
                <w:sz w:val="21"/>
              </w:rPr>
              <w:t>中Ⅲ类标准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1289" w:type="dxa"/>
          </w:tcPr>
          <w:p>
            <w:pPr>
              <w:pStyle w:val="14"/>
              <w:spacing w:before="3"/>
              <w:jc w:val="left"/>
              <w:rPr>
                <w:b/>
                <w:sz w:val="21"/>
              </w:rPr>
            </w:pPr>
          </w:p>
          <w:p>
            <w:pPr>
              <w:pStyle w:val="14"/>
              <w:ind w:left="97" w:right="90"/>
              <w:rPr>
                <w:sz w:val="21"/>
              </w:rPr>
            </w:pPr>
            <w:r>
              <w:rPr>
                <w:sz w:val="21"/>
              </w:rPr>
              <w:t>土壤</w:t>
            </w:r>
          </w:p>
        </w:tc>
        <w:tc>
          <w:tcPr>
            <w:tcW w:w="4954" w:type="dxa"/>
            <w:gridSpan w:val="3"/>
          </w:tcPr>
          <w:p>
            <w:pPr>
              <w:pStyle w:val="14"/>
              <w:spacing w:before="3"/>
              <w:jc w:val="left"/>
              <w:rPr>
                <w:b/>
                <w:sz w:val="21"/>
              </w:rPr>
            </w:pPr>
          </w:p>
          <w:p>
            <w:pPr>
              <w:pStyle w:val="14"/>
              <w:ind w:left="1135"/>
              <w:jc w:val="left"/>
              <w:rPr>
                <w:sz w:val="21"/>
              </w:rPr>
            </w:pPr>
            <w:r>
              <w:rPr>
                <w:sz w:val="21"/>
              </w:rPr>
              <w:t xml:space="preserve">工业广场外 </w:t>
            </w:r>
            <w:r>
              <w:rPr>
                <w:rFonts w:ascii="Times New Roman" w:eastAsia="Times New Roman"/>
                <w:sz w:val="21"/>
              </w:rPr>
              <w:t xml:space="preserve">200m </w:t>
            </w:r>
            <w:r>
              <w:rPr>
                <w:sz w:val="21"/>
              </w:rPr>
              <w:t>范围内耕地</w:t>
            </w:r>
          </w:p>
        </w:tc>
        <w:tc>
          <w:tcPr>
            <w:tcW w:w="2873" w:type="dxa"/>
          </w:tcPr>
          <w:p>
            <w:pPr>
              <w:pStyle w:val="14"/>
              <w:spacing w:before="1" w:line="242" w:lineRule="auto"/>
              <w:ind w:left="124" w:right="113"/>
              <w:rPr>
                <w:sz w:val="21"/>
              </w:rPr>
            </w:pPr>
            <w:r>
              <w:rPr>
                <w:sz w:val="21"/>
              </w:rPr>
              <w:t>《土壤环境质量 农用地土壤污染风险管控标准》</w:t>
            </w:r>
          </w:p>
          <w:p>
            <w:pPr>
              <w:pStyle w:val="14"/>
              <w:spacing w:before="1" w:line="251" w:lineRule="exact"/>
              <w:ind w:left="118" w:right="109"/>
              <w:rPr>
                <w:sz w:val="21"/>
              </w:rPr>
            </w:pPr>
            <w:r>
              <w:rPr>
                <w:sz w:val="21"/>
              </w:rPr>
              <w:t>（</w:t>
            </w:r>
            <w:r>
              <w:rPr>
                <w:rFonts w:ascii="Times New Roman" w:eastAsia="Times New Roman"/>
                <w:sz w:val="21"/>
              </w:rPr>
              <w:t>GB15618-2018</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1289" w:type="dxa"/>
          </w:tcPr>
          <w:p>
            <w:pPr>
              <w:pStyle w:val="14"/>
              <w:spacing w:before="105"/>
              <w:ind w:left="97" w:right="92"/>
              <w:rPr>
                <w:sz w:val="21"/>
              </w:rPr>
            </w:pPr>
            <w:r>
              <w:rPr>
                <w:sz w:val="21"/>
              </w:rPr>
              <w:t>生态环境</w:t>
            </w:r>
          </w:p>
        </w:tc>
        <w:tc>
          <w:tcPr>
            <w:tcW w:w="7827" w:type="dxa"/>
            <w:gridSpan w:val="4"/>
          </w:tcPr>
          <w:p>
            <w:pPr>
              <w:pStyle w:val="14"/>
              <w:spacing w:before="105"/>
              <w:ind w:left="1941"/>
              <w:jc w:val="left"/>
              <w:rPr>
                <w:sz w:val="21"/>
              </w:rPr>
            </w:pPr>
            <w:r>
              <w:rPr>
                <w:sz w:val="21"/>
              </w:rPr>
              <w:t xml:space="preserve">全井田及井田境界外 </w:t>
            </w:r>
            <w:r>
              <w:rPr>
                <w:rFonts w:ascii="Times New Roman" w:eastAsia="Times New Roman"/>
                <w:sz w:val="21"/>
              </w:rPr>
              <w:t xml:space="preserve">500m </w:t>
            </w:r>
            <w:r>
              <w:rPr>
                <w:sz w:val="21"/>
              </w:rPr>
              <w:t>范围内地表植被</w:t>
            </w:r>
          </w:p>
        </w:tc>
      </w:tr>
    </w:tbl>
    <w:p>
      <w:pPr>
        <w:spacing w:after="0"/>
        <w:jc w:val="left"/>
        <w:rPr>
          <w:sz w:val="21"/>
        </w:rPr>
        <w:sectPr>
          <w:pgSz w:w="11910" w:h="16840"/>
          <w:pgMar w:top="1360" w:right="720" w:bottom="1160" w:left="760" w:header="0" w:footer="89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63" name="组合 10"/>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62" name="直线 11"/>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10"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7aCLtQAAAADAQAADwAAAAAAAAABACAAAAAiAAAAZHJzL2Rvd25yZXYueG1sUEsB&#10;AhQAFAAAAAgAh07iQCbifH4yAgAAtgQAAA4AAAAAAAAAAQAgAAAAIwEAAGRycy9lMm9Eb2MueG1s&#10;UEsFBgAAAAAGAAYAWQEAAMcFAAAAAA==&#10;">
                <o:lock v:ext="edit" aspectratio="f"/>
                <v:line id="直线 11" o:spid="_x0000_s1026" o:spt="20" style="position:absolute;left:0;top:7;height:0;width:8306;" filled="f" stroked="t" coordsize="21600,21600" o:gfxdata="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o6F5L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6"/>
        <w:spacing w:before="5"/>
        <w:rPr>
          <w:b/>
          <w:sz w:val="20"/>
        </w:rPr>
      </w:pPr>
    </w:p>
    <w:p>
      <w:pPr>
        <w:pStyle w:val="2"/>
        <w:numPr>
          <w:ilvl w:val="0"/>
          <w:numId w:val="5"/>
        </w:numPr>
        <w:tabs>
          <w:tab w:val="left" w:pos="3841"/>
        </w:tabs>
        <w:spacing w:before="61" w:after="0" w:line="240" w:lineRule="auto"/>
        <w:ind w:left="3840" w:right="35" w:hanging="3841"/>
        <w:jc w:val="left"/>
      </w:pPr>
      <w:bookmarkStart w:id="72" w:name="3．项目概况与工程分析"/>
      <w:bookmarkEnd w:id="72"/>
      <w:bookmarkStart w:id="73" w:name="_bookmark14"/>
      <w:bookmarkEnd w:id="73"/>
      <w:bookmarkStart w:id="74" w:name="_bookmark14"/>
      <w:bookmarkEnd w:id="74"/>
      <w:r>
        <w:t>项目概况与工程分析</w:t>
      </w:r>
    </w:p>
    <w:p>
      <w:pPr>
        <w:pStyle w:val="3"/>
        <w:numPr>
          <w:ilvl w:val="1"/>
          <w:numId w:val="16"/>
        </w:numPr>
        <w:tabs>
          <w:tab w:val="left" w:pos="1489"/>
        </w:tabs>
        <w:spacing w:before="358" w:after="0" w:line="240" w:lineRule="auto"/>
        <w:ind w:left="1488" w:right="0" w:hanging="449"/>
        <w:jc w:val="left"/>
      </w:pPr>
      <w:bookmarkStart w:id="75" w:name="3.1原有工程概况"/>
      <w:bookmarkEnd w:id="75"/>
      <w:bookmarkStart w:id="76" w:name="_bookmark15"/>
      <w:bookmarkEnd w:id="76"/>
      <w:bookmarkStart w:id="77" w:name="_bookmark15"/>
      <w:bookmarkEnd w:id="77"/>
      <w:r>
        <w:t>原有工程概况</w:t>
      </w:r>
    </w:p>
    <w:p>
      <w:pPr>
        <w:pStyle w:val="13"/>
        <w:numPr>
          <w:ilvl w:val="2"/>
          <w:numId w:val="16"/>
        </w:numPr>
        <w:tabs>
          <w:tab w:val="left" w:pos="1669"/>
        </w:tabs>
        <w:spacing w:before="122" w:after="0" w:line="240" w:lineRule="auto"/>
        <w:ind w:left="1668" w:right="0" w:hanging="629"/>
        <w:jc w:val="left"/>
        <w:rPr>
          <w:b/>
          <w:sz w:val="28"/>
        </w:rPr>
      </w:pPr>
      <w:bookmarkStart w:id="78" w:name="3.1.1双鸭山大顺矿业有限公司矿区概况"/>
      <w:bookmarkEnd w:id="78"/>
      <w:bookmarkStart w:id="79" w:name="3.1.1双鸭山大顺矿业有限公司矿区概况"/>
      <w:bookmarkEnd w:id="79"/>
      <w:r>
        <w:rPr>
          <w:b/>
          <w:sz w:val="28"/>
        </w:rPr>
        <w:t>双鸭山大顺矿业有限公司矿区概况</w:t>
      </w:r>
    </w:p>
    <w:p>
      <w:pPr>
        <w:pStyle w:val="6"/>
        <w:spacing w:before="265" w:line="364" w:lineRule="auto"/>
        <w:ind w:left="1040" w:right="999" w:firstLine="420"/>
      </w:pPr>
      <w:r>
        <w:t>原双鸭山大顺煤矿经省国土资源厅批准开</w:t>
      </w:r>
      <w:r>
        <w:rPr>
          <w:rFonts w:ascii="Times New Roman" w:eastAsia="Times New Roman"/>
        </w:rPr>
        <w:t>10</w:t>
      </w:r>
      <w:r>
        <w:t>、</w:t>
      </w:r>
      <w:r>
        <w:rPr>
          <w:rFonts w:ascii="Times New Roman" w:eastAsia="Times New Roman"/>
        </w:rPr>
        <w:t>15</w:t>
      </w:r>
      <w:r>
        <w:t>、</w:t>
      </w:r>
      <w:r>
        <w:rPr>
          <w:rFonts w:ascii="Times New Roman" w:eastAsia="Times New Roman"/>
        </w:rPr>
        <w:t>30</w:t>
      </w:r>
      <w:r>
        <w:t>号三个煤层，采矿许可证号</w:t>
      </w:r>
      <w:r>
        <w:rPr>
          <w:rFonts w:ascii="Times New Roman" w:eastAsia="Times New Roman"/>
        </w:rPr>
        <w:t>:C2300002011061120113801</w:t>
      </w:r>
      <w:r>
        <w:t>，有效期为</w:t>
      </w:r>
      <w:r>
        <w:rPr>
          <w:rFonts w:ascii="Times New Roman" w:eastAsia="Times New Roman"/>
        </w:rPr>
        <w:t>2019</w:t>
      </w:r>
      <w:r>
        <w:t>年</w:t>
      </w:r>
      <w:r>
        <w:rPr>
          <w:rFonts w:ascii="Times New Roman" w:eastAsia="Times New Roman"/>
        </w:rPr>
        <w:t>6</w:t>
      </w:r>
      <w:r>
        <w:t>月</w:t>
      </w:r>
      <w:r>
        <w:rPr>
          <w:rFonts w:ascii="Times New Roman" w:eastAsia="Times New Roman"/>
        </w:rPr>
        <w:t>18</w:t>
      </w:r>
      <w:r>
        <w:t>日至</w:t>
      </w:r>
      <w:r>
        <w:rPr>
          <w:rFonts w:ascii="Times New Roman" w:eastAsia="Times New Roman"/>
        </w:rPr>
        <w:t>2020</w:t>
      </w:r>
      <w:r>
        <w:t>年</w:t>
      </w:r>
      <w:r>
        <w:rPr>
          <w:rFonts w:ascii="Times New Roman" w:eastAsia="Times New Roman"/>
        </w:rPr>
        <w:t>6</w:t>
      </w:r>
      <w:r>
        <w:t>月</w:t>
      </w:r>
      <w:r>
        <w:rPr>
          <w:rFonts w:ascii="Times New Roman" w:eastAsia="Times New Roman"/>
        </w:rPr>
        <w:t>27</w:t>
      </w:r>
      <w:r>
        <w:t>日，设</w:t>
      </w:r>
    </w:p>
    <w:p>
      <w:pPr>
        <w:pStyle w:val="6"/>
        <w:spacing w:before="1"/>
        <w:ind w:left="1040"/>
      </w:pPr>
      <w:r>
        <w:t>计生产能力</w:t>
      </w:r>
      <w:r>
        <w:rPr>
          <w:rFonts w:ascii="Times New Roman" w:eastAsia="Times New Roman"/>
        </w:rPr>
        <w:t>4.0</w:t>
      </w:r>
      <w:r>
        <w:t>万</w:t>
      </w:r>
      <w:r>
        <w:rPr>
          <w:rFonts w:ascii="Times New Roman" w:eastAsia="Times New Roman"/>
        </w:rPr>
        <w:t>t/a</w:t>
      </w:r>
      <w:r>
        <w:t>，矿区面积</w:t>
      </w:r>
      <w:r>
        <w:rPr>
          <w:rFonts w:ascii="Times New Roman" w:eastAsia="Times New Roman"/>
        </w:rPr>
        <w:t>0.9147km</w:t>
      </w:r>
      <w:r>
        <w:rPr>
          <w:rFonts w:ascii="Times New Roman" w:eastAsia="Times New Roman"/>
          <w:position w:val="8"/>
          <w:sz w:val="15"/>
        </w:rPr>
        <w:t>2</w:t>
      </w:r>
      <w:r>
        <w:t>。矿区范围拐点坐标如下表</w:t>
      </w:r>
      <w:r>
        <w:rPr>
          <w:rFonts w:ascii="Times New Roman" w:eastAsia="Times New Roman"/>
        </w:rPr>
        <w:t>3.1-1</w:t>
      </w:r>
      <w:r>
        <w:t>。</w:t>
      </w:r>
    </w:p>
    <w:p>
      <w:pPr>
        <w:pStyle w:val="5"/>
        <w:tabs>
          <w:tab w:val="left" w:pos="1079"/>
        </w:tabs>
        <w:spacing w:before="161"/>
        <w:ind w:right="30"/>
        <w:jc w:val="center"/>
      </w:pPr>
      <w:r>
        <w:t>表</w:t>
      </w:r>
      <w:r>
        <w:rPr>
          <w:spacing w:val="-62"/>
        </w:rPr>
        <w:t xml:space="preserve"> </w:t>
      </w:r>
      <w:r>
        <w:rPr>
          <w:rFonts w:ascii="Times New Roman" w:eastAsia="Times New Roman"/>
        </w:rPr>
        <w:t>3.1-1</w:t>
      </w:r>
      <w:r>
        <w:rPr>
          <w:rFonts w:ascii="Times New Roman" w:eastAsia="Times New Roman"/>
        </w:rPr>
        <w:tab/>
      </w:r>
      <w:r>
        <w:t>原批准开采煤层范围表</w:t>
      </w:r>
    </w:p>
    <w:p>
      <w:pPr>
        <w:pStyle w:val="6"/>
        <w:spacing w:before="2"/>
        <w:rPr>
          <w:b/>
          <w:sz w:val="6"/>
        </w:rPr>
      </w:pPr>
    </w:p>
    <w:tbl>
      <w:tblPr>
        <w:tblStyle w:val="10"/>
        <w:tblW w:w="0" w:type="auto"/>
        <w:tblInd w:w="10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3"/>
        <w:gridCol w:w="938"/>
        <w:gridCol w:w="1525"/>
        <w:gridCol w:w="1429"/>
        <w:gridCol w:w="708"/>
        <w:gridCol w:w="1475"/>
        <w:gridCol w:w="15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43" w:type="dxa"/>
            <w:vMerge w:val="restart"/>
          </w:tcPr>
          <w:p>
            <w:pPr>
              <w:pStyle w:val="14"/>
              <w:spacing w:before="3"/>
              <w:jc w:val="left"/>
              <w:rPr>
                <w:b/>
                <w:sz w:val="14"/>
              </w:rPr>
            </w:pPr>
          </w:p>
          <w:p>
            <w:pPr>
              <w:pStyle w:val="14"/>
              <w:ind w:left="260"/>
              <w:jc w:val="left"/>
              <w:rPr>
                <w:sz w:val="21"/>
              </w:rPr>
            </w:pPr>
            <w:r>
              <w:rPr>
                <w:sz w:val="21"/>
              </w:rPr>
              <w:t>煤层</w:t>
            </w:r>
          </w:p>
        </w:tc>
        <w:tc>
          <w:tcPr>
            <w:tcW w:w="938" w:type="dxa"/>
            <w:vMerge w:val="restart"/>
          </w:tcPr>
          <w:p>
            <w:pPr>
              <w:pStyle w:val="14"/>
              <w:spacing w:before="3"/>
              <w:jc w:val="left"/>
              <w:rPr>
                <w:b/>
                <w:sz w:val="14"/>
              </w:rPr>
            </w:pPr>
          </w:p>
          <w:p>
            <w:pPr>
              <w:pStyle w:val="14"/>
              <w:ind w:left="258"/>
              <w:jc w:val="left"/>
              <w:rPr>
                <w:sz w:val="21"/>
              </w:rPr>
            </w:pPr>
            <w:r>
              <w:rPr>
                <w:sz w:val="21"/>
              </w:rPr>
              <w:t>拐点</w:t>
            </w:r>
          </w:p>
        </w:tc>
        <w:tc>
          <w:tcPr>
            <w:tcW w:w="2954" w:type="dxa"/>
            <w:gridSpan w:val="2"/>
          </w:tcPr>
          <w:p>
            <w:pPr>
              <w:pStyle w:val="14"/>
              <w:spacing w:before="21"/>
              <w:ind w:left="1245" w:right="1238"/>
              <w:rPr>
                <w:sz w:val="21"/>
              </w:rPr>
            </w:pPr>
            <w:r>
              <w:rPr>
                <w:sz w:val="21"/>
              </w:rPr>
              <w:t>坐标</w:t>
            </w:r>
          </w:p>
        </w:tc>
        <w:tc>
          <w:tcPr>
            <w:tcW w:w="708" w:type="dxa"/>
            <w:vMerge w:val="restart"/>
          </w:tcPr>
          <w:p>
            <w:pPr>
              <w:pStyle w:val="14"/>
              <w:spacing w:before="3"/>
              <w:jc w:val="left"/>
              <w:rPr>
                <w:b/>
                <w:sz w:val="14"/>
              </w:rPr>
            </w:pPr>
          </w:p>
          <w:p>
            <w:pPr>
              <w:pStyle w:val="14"/>
              <w:ind w:left="144"/>
              <w:jc w:val="left"/>
              <w:rPr>
                <w:sz w:val="21"/>
              </w:rPr>
            </w:pPr>
            <w:r>
              <w:rPr>
                <w:sz w:val="21"/>
              </w:rPr>
              <w:t>拐点</w:t>
            </w:r>
          </w:p>
        </w:tc>
        <w:tc>
          <w:tcPr>
            <w:tcW w:w="2979" w:type="dxa"/>
            <w:gridSpan w:val="2"/>
          </w:tcPr>
          <w:p>
            <w:pPr>
              <w:pStyle w:val="14"/>
              <w:spacing w:before="21"/>
              <w:ind w:left="1258" w:right="1251"/>
              <w:rPr>
                <w:sz w:val="21"/>
              </w:rPr>
            </w:pPr>
            <w:r>
              <w:rPr>
                <w:sz w:val="21"/>
              </w:rPr>
              <w:t>坐标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continue"/>
            <w:tcBorders>
              <w:top w:val="nil"/>
            </w:tcBorders>
          </w:tcPr>
          <w:p>
            <w:pPr>
              <w:rPr>
                <w:sz w:val="2"/>
                <w:szCs w:val="2"/>
              </w:rPr>
            </w:pPr>
          </w:p>
        </w:tc>
        <w:tc>
          <w:tcPr>
            <w:tcW w:w="938" w:type="dxa"/>
            <w:vMerge w:val="continue"/>
            <w:tcBorders>
              <w:top w:val="nil"/>
            </w:tcBorders>
          </w:tcPr>
          <w:p>
            <w:pPr>
              <w:rPr>
                <w:sz w:val="2"/>
                <w:szCs w:val="2"/>
              </w:rPr>
            </w:pPr>
          </w:p>
        </w:tc>
        <w:tc>
          <w:tcPr>
            <w:tcW w:w="1525" w:type="dxa"/>
          </w:tcPr>
          <w:p>
            <w:pPr>
              <w:pStyle w:val="14"/>
              <w:spacing w:before="21"/>
              <w:ind w:left="9"/>
              <w:rPr>
                <w:sz w:val="21"/>
              </w:rPr>
            </w:pPr>
            <w:r>
              <w:rPr>
                <w:w w:val="99"/>
                <w:sz w:val="21"/>
              </w:rPr>
              <w:t>X</w:t>
            </w:r>
          </w:p>
        </w:tc>
        <w:tc>
          <w:tcPr>
            <w:tcW w:w="1429" w:type="dxa"/>
          </w:tcPr>
          <w:p>
            <w:pPr>
              <w:pStyle w:val="14"/>
              <w:spacing w:before="21"/>
              <w:ind w:left="7"/>
              <w:rPr>
                <w:sz w:val="21"/>
              </w:rPr>
            </w:pPr>
            <w:r>
              <w:rPr>
                <w:w w:val="99"/>
                <w:sz w:val="21"/>
              </w:rPr>
              <w:t>Y</w:t>
            </w:r>
          </w:p>
        </w:tc>
        <w:tc>
          <w:tcPr>
            <w:tcW w:w="708" w:type="dxa"/>
            <w:vMerge w:val="continue"/>
            <w:tcBorders>
              <w:top w:val="nil"/>
            </w:tcBorders>
          </w:tcPr>
          <w:p>
            <w:pPr>
              <w:rPr>
                <w:sz w:val="2"/>
                <w:szCs w:val="2"/>
              </w:rPr>
            </w:pPr>
          </w:p>
        </w:tc>
        <w:tc>
          <w:tcPr>
            <w:tcW w:w="1475" w:type="dxa"/>
          </w:tcPr>
          <w:p>
            <w:pPr>
              <w:pStyle w:val="14"/>
              <w:spacing w:before="21"/>
              <w:ind w:left="7"/>
              <w:rPr>
                <w:sz w:val="21"/>
              </w:rPr>
            </w:pPr>
            <w:r>
              <w:rPr>
                <w:w w:val="99"/>
                <w:sz w:val="21"/>
              </w:rPr>
              <w:t>X</w:t>
            </w:r>
          </w:p>
        </w:tc>
        <w:tc>
          <w:tcPr>
            <w:tcW w:w="1504" w:type="dxa"/>
          </w:tcPr>
          <w:p>
            <w:pPr>
              <w:pStyle w:val="14"/>
              <w:spacing w:before="21"/>
              <w:ind w:left="9"/>
              <w:rPr>
                <w:sz w:val="21"/>
              </w:rPr>
            </w:pPr>
            <w:r>
              <w:rPr>
                <w:w w:val="99"/>
                <w:sz w:val="21"/>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43"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140"/>
              <w:ind w:left="346" w:right="337"/>
              <w:rPr>
                <w:sz w:val="21"/>
              </w:rPr>
            </w:pPr>
            <w:r>
              <w:rPr>
                <w:sz w:val="21"/>
              </w:rPr>
              <w:t>10</w:t>
            </w:r>
          </w:p>
        </w:tc>
        <w:tc>
          <w:tcPr>
            <w:tcW w:w="938" w:type="dxa"/>
          </w:tcPr>
          <w:p>
            <w:pPr>
              <w:pStyle w:val="14"/>
              <w:spacing w:before="100"/>
              <w:ind w:right="406"/>
              <w:jc w:val="right"/>
              <w:rPr>
                <w:sz w:val="21"/>
              </w:rPr>
            </w:pPr>
            <w:r>
              <w:rPr>
                <w:w w:val="99"/>
                <w:sz w:val="21"/>
              </w:rPr>
              <w:t>1</w:t>
            </w:r>
          </w:p>
        </w:tc>
        <w:tc>
          <w:tcPr>
            <w:tcW w:w="1525" w:type="dxa"/>
          </w:tcPr>
          <w:p>
            <w:pPr>
              <w:pStyle w:val="14"/>
              <w:spacing w:before="100"/>
              <w:ind w:left="217" w:right="208"/>
              <w:rPr>
                <w:sz w:val="21"/>
              </w:rPr>
            </w:pPr>
            <w:r>
              <w:rPr>
                <w:sz w:val="21"/>
              </w:rPr>
              <w:t>5151879.72</w:t>
            </w:r>
          </w:p>
        </w:tc>
        <w:tc>
          <w:tcPr>
            <w:tcW w:w="1429" w:type="dxa"/>
          </w:tcPr>
          <w:p>
            <w:pPr>
              <w:pStyle w:val="14"/>
              <w:spacing w:before="100"/>
              <w:ind w:left="115" w:right="108"/>
              <w:rPr>
                <w:sz w:val="21"/>
              </w:rPr>
            </w:pPr>
            <w:r>
              <w:rPr>
                <w:sz w:val="21"/>
              </w:rPr>
              <w:t>44436325.20</w:t>
            </w:r>
          </w:p>
        </w:tc>
        <w:tc>
          <w:tcPr>
            <w:tcW w:w="708" w:type="dxa"/>
          </w:tcPr>
          <w:p>
            <w:pPr>
              <w:pStyle w:val="14"/>
              <w:spacing w:before="100"/>
              <w:ind w:left="300"/>
              <w:jc w:val="left"/>
              <w:rPr>
                <w:sz w:val="21"/>
              </w:rPr>
            </w:pPr>
            <w:r>
              <w:rPr>
                <w:w w:val="99"/>
                <w:sz w:val="21"/>
              </w:rPr>
              <w:t>9</w:t>
            </w:r>
          </w:p>
        </w:tc>
        <w:tc>
          <w:tcPr>
            <w:tcW w:w="1475" w:type="dxa"/>
          </w:tcPr>
          <w:p>
            <w:pPr>
              <w:pStyle w:val="14"/>
              <w:spacing w:before="100"/>
              <w:ind w:left="191" w:right="184"/>
              <w:rPr>
                <w:sz w:val="21"/>
              </w:rPr>
            </w:pPr>
            <w:r>
              <w:rPr>
                <w:sz w:val="21"/>
              </w:rPr>
              <w:t>5152321.72</w:t>
            </w:r>
          </w:p>
        </w:tc>
        <w:tc>
          <w:tcPr>
            <w:tcW w:w="1504" w:type="dxa"/>
          </w:tcPr>
          <w:p>
            <w:pPr>
              <w:pStyle w:val="14"/>
              <w:spacing w:before="100"/>
              <w:ind w:left="97" w:right="88"/>
              <w:rPr>
                <w:sz w:val="21"/>
              </w:rPr>
            </w:pPr>
            <w:r>
              <w:rPr>
                <w:sz w:val="21"/>
              </w:rPr>
              <w:t>44435666.19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943" w:type="dxa"/>
            <w:vMerge w:val="continue"/>
            <w:tcBorders>
              <w:top w:val="nil"/>
            </w:tcBorders>
          </w:tcPr>
          <w:p>
            <w:pPr>
              <w:rPr>
                <w:sz w:val="2"/>
                <w:szCs w:val="2"/>
              </w:rPr>
            </w:pPr>
          </w:p>
        </w:tc>
        <w:tc>
          <w:tcPr>
            <w:tcW w:w="938" w:type="dxa"/>
          </w:tcPr>
          <w:p>
            <w:pPr>
              <w:pStyle w:val="14"/>
              <w:spacing w:before="100"/>
              <w:ind w:right="406"/>
              <w:jc w:val="right"/>
              <w:rPr>
                <w:sz w:val="21"/>
              </w:rPr>
            </w:pPr>
            <w:r>
              <w:rPr>
                <w:w w:val="99"/>
                <w:sz w:val="21"/>
              </w:rPr>
              <w:t>2</w:t>
            </w:r>
          </w:p>
        </w:tc>
        <w:tc>
          <w:tcPr>
            <w:tcW w:w="1525" w:type="dxa"/>
          </w:tcPr>
          <w:p>
            <w:pPr>
              <w:pStyle w:val="14"/>
              <w:spacing w:before="100"/>
              <w:ind w:left="217" w:right="208"/>
              <w:rPr>
                <w:sz w:val="21"/>
              </w:rPr>
            </w:pPr>
            <w:r>
              <w:rPr>
                <w:sz w:val="21"/>
              </w:rPr>
              <w:t>5151810.72</w:t>
            </w:r>
          </w:p>
        </w:tc>
        <w:tc>
          <w:tcPr>
            <w:tcW w:w="1429" w:type="dxa"/>
          </w:tcPr>
          <w:p>
            <w:pPr>
              <w:pStyle w:val="14"/>
              <w:spacing w:before="100"/>
              <w:ind w:left="115" w:right="108"/>
              <w:rPr>
                <w:sz w:val="21"/>
              </w:rPr>
            </w:pPr>
            <w:r>
              <w:rPr>
                <w:sz w:val="21"/>
              </w:rPr>
              <w:t>44436210.20</w:t>
            </w:r>
          </w:p>
        </w:tc>
        <w:tc>
          <w:tcPr>
            <w:tcW w:w="708" w:type="dxa"/>
          </w:tcPr>
          <w:p>
            <w:pPr>
              <w:pStyle w:val="14"/>
              <w:spacing w:before="100"/>
              <w:ind w:left="249"/>
              <w:jc w:val="left"/>
              <w:rPr>
                <w:sz w:val="21"/>
              </w:rPr>
            </w:pPr>
            <w:r>
              <w:rPr>
                <w:sz w:val="21"/>
              </w:rPr>
              <w:t>10</w:t>
            </w:r>
          </w:p>
        </w:tc>
        <w:tc>
          <w:tcPr>
            <w:tcW w:w="1475" w:type="dxa"/>
          </w:tcPr>
          <w:p>
            <w:pPr>
              <w:pStyle w:val="14"/>
              <w:spacing w:before="100"/>
              <w:ind w:left="191" w:right="184"/>
              <w:rPr>
                <w:sz w:val="21"/>
              </w:rPr>
            </w:pPr>
            <w:r>
              <w:rPr>
                <w:sz w:val="21"/>
              </w:rPr>
              <w:t>5152101.72</w:t>
            </w:r>
          </w:p>
        </w:tc>
        <w:tc>
          <w:tcPr>
            <w:tcW w:w="1504" w:type="dxa"/>
          </w:tcPr>
          <w:p>
            <w:pPr>
              <w:pStyle w:val="14"/>
              <w:spacing w:before="100"/>
              <w:ind w:left="97" w:right="88"/>
              <w:rPr>
                <w:sz w:val="21"/>
              </w:rPr>
            </w:pPr>
            <w:r>
              <w:rPr>
                <w:sz w:val="21"/>
              </w:rPr>
              <w:t>44436067.20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43" w:type="dxa"/>
            <w:vMerge w:val="continue"/>
            <w:tcBorders>
              <w:top w:val="nil"/>
            </w:tcBorders>
          </w:tcPr>
          <w:p>
            <w:pPr>
              <w:rPr>
                <w:sz w:val="2"/>
                <w:szCs w:val="2"/>
              </w:rPr>
            </w:pPr>
          </w:p>
        </w:tc>
        <w:tc>
          <w:tcPr>
            <w:tcW w:w="938" w:type="dxa"/>
          </w:tcPr>
          <w:p>
            <w:pPr>
              <w:pStyle w:val="14"/>
              <w:spacing w:before="99"/>
              <w:ind w:right="406"/>
              <w:jc w:val="right"/>
              <w:rPr>
                <w:sz w:val="21"/>
              </w:rPr>
            </w:pPr>
            <w:r>
              <w:rPr>
                <w:w w:val="99"/>
                <w:sz w:val="21"/>
              </w:rPr>
              <w:t>3</w:t>
            </w:r>
          </w:p>
        </w:tc>
        <w:tc>
          <w:tcPr>
            <w:tcW w:w="1525" w:type="dxa"/>
          </w:tcPr>
          <w:p>
            <w:pPr>
              <w:pStyle w:val="14"/>
              <w:spacing w:before="99"/>
              <w:ind w:left="217" w:right="208"/>
              <w:rPr>
                <w:sz w:val="21"/>
              </w:rPr>
            </w:pPr>
            <w:r>
              <w:rPr>
                <w:sz w:val="21"/>
              </w:rPr>
              <w:t>5151902.72</w:t>
            </w:r>
          </w:p>
        </w:tc>
        <w:tc>
          <w:tcPr>
            <w:tcW w:w="1429" w:type="dxa"/>
          </w:tcPr>
          <w:p>
            <w:pPr>
              <w:pStyle w:val="14"/>
              <w:spacing w:before="99"/>
              <w:ind w:left="115" w:right="108"/>
              <w:rPr>
                <w:sz w:val="21"/>
              </w:rPr>
            </w:pPr>
            <w:r>
              <w:rPr>
                <w:sz w:val="21"/>
              </w:rPr>
              <w:t>44436010.20</w:t>
            </w:r>
          </w:p>
        </w:tc>
        <w:tc>
          <w:tcPr>
            <w:tcW w:w="708" w:type="dxa"/>
          </w:tcPr>
          <w:p>
            <w:pPr>
              <w:pStyle w:val="14"/>
              <w:spacing w:before="99"/>
              <w:ind w:left="249"/>
              <w:jc w:val="left"/>
              <w:rPr>
                <w:sz w:val="21"/>
              </w:rPr>
            </w:pPr>
            <w:r>
              <w:rPr>
                <w:sz w:val="21"/>
              </w:rPr>
              <w:t>11</w:t>
            </w:r>
          </w:p>
        </w:tc>
        <w:tc>
          <w:tcPr>
            <w:tcW w:w="1475" w:type="dxa"/>
          </w:tcPr>
          <w:p>
            <w:pPr>
              <w:pStyle w:val="14"/>
              <w:spacing w:before="99"/>
              <w:ind w:left="191" w:right="184"/>
              <w:rPr>
                <w:sz w:val="21"/>
              </w:rPr>
            </w:pPr>
            <w:r>
              <w:rPr>
                <w:sz w:val="21"/>
              </w:rPr>
              <w:t>5152247.72</w:t>
            </w:r>
          </w:p>
        </w:tc>
        <w:tc>
          <w:tcPr>
            <w:tcW w:w="1504" w:type="dxa"/>
          </w:tcPr>
          <w:p>
            <w:pPr>
              <w:pStyle w:val="14"/>
              <w:spacing w:before="99"/>
              <w:ind w:left="97" w:right="88"/>
              <w:rPr>
                <w:sz w:val="21"/>
              </w:rPr>
            </w:pPr>
            <w:r>
              <w:rPr>
                <w:sz w:val="21"/>
              </w:rPr>
              <w:t>44436343.20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43" w:type="dxa"/>
            <w:vMerge w:val="continue"/>
            <w:tcBorders>
              <w:top w:val="nil"/>
            </w:tcBorders>
          </w:tcPr>
          <w:p>
            <w:pPr>
              <w:rPr>
                <w:sz w:val="2"/>
                <w:szCs w:val="2"/>
              </w:rPr>
            </w:pPr>
          </w:p>
        </w:tc>
        <w:tc>
          <w:tcPr>
            <w:tcW w:w="938" w:type="dxa"/>
          </w:tcPr>
          <w:p>
            <w:pPr>
              <w:pStyle w:val="14"/>
              <w:spacing w:before="99"/>
              <w:ind w:right="406"/>
              <w:jc w:val="right"/>
              <w:rPr>
                <w:sz w:val="21"/>
              </w:rPr>
            </w:pPr>
            <w:r>
              <w:rPr>
                <w:w w:val="99"/>
                <w:sz w:val="21"/>
              </w:rPr>
              <w:t>4</w:t>
            </w:r>
          </w:p>
        </w:tc>
        <w:tc>
          <w:tcPr>
            <w:tcW w:w="1525" w:type="dxa"/>
          </w:tcPr>
          <w:p>
            <w:pPr>
              <w:pStyle w:val="14"/>
              <w:spacing w:before="99"/>
              <w:ind w:left="217" w:right="208"/>
              <w:rPr>
                <w:sz w:val="21"/>
              </w:rPr>
            </w:pPr>
            <w:r>
              <w:rPr>
                <w:sz w:val="21"/>
              </w:rPr>
              <w:t>5152005.72</w:t>
            </w:r>
          </w:p>
        </w:tc>
        <w:tc>
          <w:tcPr>
            <w:tcW w:w="1429" w:type="dxa"/>
          </w:tcPr>
          <w:p>
            <w:pPr>
              <w:pStyle w:val="14"/>
              <w:spacing w:before="99"/>
              <w:ind w:left="115" w:right="108"/>
              <w:rPr>
                <w:sz w:val="21"/>
              </w:rPr>
            </w:pPr>
            <w:r>
              <w:rPr>
                <w:sz w:val="21"/>
              </w:rPr>
              <w:t>44435834.20</w:t>
            </w:r>
          </w:p>
        </w:tc>
        <w:tc>
          <w:tcPr>
            <w:tcW w:w="708" w:type="dxa"/>
          </w:tcPr>
          <w:p>
            <w:pPr>
              <w:pStyle w:val="14"/>
              <w:spacing w:before="99"/>
              <w:ind w:left="249"/>
              <w:jc w:val="left"/>
              <w:rPr>
                <w:sz w:val="21"/>
              </w:rPr>
            </w:pPr>
            <w:r>
              <w:rPr>
                <w:sz w:val="21"/>
              </w:rPr>
              <w:t>12</w:t>
            </w:r>
          </w:p>
        </w:tc>
        <w:tc>
          <w:tcPr>
            <w:tcW w:w="1475" w:type="dxa"/>
          </w:tcPr>
          <w:p>
            <w:pPr>
              <w:pStyle w:val="14"/>
              <w:spacing w:before="99"/>
              <w:ind w:left="191" w:right="184"/>
              <w:rPr>
                <w:sz w:val="21"/>
              </w:rPr>
            </w:pPr>
            <w:r>
              <w:rPr>
                <w:sz w:val="21"/>
              </w:rPr>
              <w:t>5152137.72</w:t>
            </w:r>
          </w:p>
        </w:tc>
        <w:tc>
          <w:tcPr>
            <w:tcW w:w="1504" w:type="dxa"/>
          </w:tcPr>
          <w:p>
            <w:pPr>
              <w:pStyle w:val="14"/>
              <w:spacing w:before="99"/>
              <w:ind w:left="97" w:right="88"/>
              <w:rPr>
                <w:sz w:val="21"/>
              </w:rPr>
            </w:pPr>
            <w:r>
              <w:rPr>
                <w:sz w:val="21"/>
              </w:rPr>
              <w:t>44436676.20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943" w:type="dxa"/>
            <w:vMerge w:val="continue"/>
            <w:tcBorders>
              <w:top w:val="nil"/>
            </w:tcBorders>
          </w:tcPr>
          <w:p>
            <w:pPr>
              <w:rPr>
                <w:sz w:val="2"/>
                <w:szCs w:val="2"/>
              </w:rPr>
            </w:pPr>
          </w:p>
        </w:tc>
        <w:tc>
          <w:tcPr>
            <w:tcW w:w="938" w:type="dxa"/>
          </w:tcPr>
          <w:p>
            <w:pPr>
              <w:pStyle w:val="14"/>
              <w:spacing w:before="98"/>
              <w:ind w:right="406"/>
              <w:jc w:val="right"/>
              <w:rPr>
                <w:sz w:val="21"/>
              </w:rPr>
            </w:pPr>
            <w:r>
              <w:rPr>
                <w:w w:val="99"/>
                <w:sz w:val="21"/>
              </w:rPr>
              <w:t>5</w:t>
            </w:r>
          </w:p>
        </w:tc>
        <w:tc>
          <w:tcPr>
            <w:tcW w:w="1525" w:type="dxa"/>
          </w:tcPr>
          <w:p>
            <w:pPr>
              <w:pStyle w:val="14"/>
              <w:spacing w:before="98"/>
              <w:ind w:left="217" w:right="208"/>
              <w:rPr>
                <w:sz w:val="21"/>
              </w:rPr>
            </w:pPr>
            <w:r>
              <w:rPr>
                <w:sz w:val="21"/>
              </w:rPr>
              <w:t>5151935.72</w:t>
            </w:r>
          </w:p>
        </w:tc>
        <w:tc>
          <w:tcPr>
            <w:tcW w:w="1429" w:type="dxa"/>
          </w:tcPr>
          <w:p>
            <w:pPr>
              <w:pStyle w:val="14"/>
              <w:spacing w:before="98"/>
              <w:ind w:left="115" w:right="108"/>
              <w:rPr>
                <w:sz w:val="21"/>
              </w:rPr>
            </w:pPr>
            <w:r>
              <w:rPr>
                <w:sz w:val="21"/>
              </w:rPr>
              <w:t>44435784.20</w:t>
            </w:r>
          </w:p>
        </w:tc>
        <w:tc>
          <w:tcPr>
            <w:tcW w:w="708" w:type="dxa"/>
          </w:tcPr>
          <w:p>
            <w:pPr>
              <w:pStyle w:val="14"/>
              <w:spacing w:before="98"/>
              <w:ind w:left="249"/>
              <w:jc w:val="left"/>
              <w:rPr>
                <w:sz w:val="21"/>
              </w:rPr>
            </w:pPr>
            <w:r>
              <w:rPr>
                <w:sz w:val="21"/>
              </w:rPr>
              <w:t>13</w:t>
            </w:r>
          </w:p>
        </w:tc>
        <w:tc>
          <w:tcPr>
            <w:tcW w:w="1475" w:type="dxa"/>
          </w:tcPr>
          <w:p>
            <w:pPr>
              <w:pStyle w:val="14"/>
              <w:spacing w:before="98"/>
              <w:ind w:left="191" w:right="184"/>
              <w:rPr>
                <w:sz w:val="21"/>
              </w:rPr>
            </w:pPr>
            <w:r>
              <w:rPr>
                <w:sz w:val="21"/>
              </w:rPr>
              <w:t>5151953.73</w:t>
            </w:r>
          </w:p>
        </w:tc>
        <w:tc>
          <w:tcPr>
            <w:tcW w:w="1504" w:type="dxa"/>
          </w:tcPr>
          <w:p>
            <w:pPr>
              <w:pStyle w:val="14"/>
              <w:spacing w:before="98"/>
              <w:ind w:left="97" w:right="88"/>
              <w:rPr>
                <w:sz w:val="21"/>
              </w:rPr>
            </w:pPr>
            <w:r>
              <w:rPr>
                <w:sz w:val="21"/>
              </w:rPr>
              <w:t>44437240.20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43" w:type="dxa"/>
            <w:vMerge w:val="continue"/>
            <w:tcBorders>
              <w:top w:val="nil"/>
            </w:tcBorders>
          </w:tcPr>
          <w:p>
            <w:pPr>
              <w:rPr>
                <w:sz w:val="2"/>
                <w:szCs w:val="2"/>
              </w:rPr>
            </w:pPr>
          </w:p>
        </w:tc>
        <w:tc>
          <w:tcPr>
            <w:tcW w:w="938" w:type="dxa"/>
          </w:tcPr>
          <w:p>
            <w:pPr>
              <w:pStyle w:val="14"/>
              <w:spacing w:before="98"/>
              <w:ind w:right="406"/>
              <w:jc w:val="right"/>
              <w:rPr>
                <w:sz w:val="21"/>
              </w:rPr>
            </w:pPr>
            <w:r>
              <w:rPr>
                <w:w w:val="99"/>
                <w:sz w:val="21"/>
              </w:rPr>
              <w:t>6</w:t>
            </w:r>
          </w:p>
        </w:tc>
        <w:tc>
          <w:tcPr>
            <w:tcW w:w="1525" w:type="dxa"/>
          </w:tcPr>
          <w:p>
            <w:pPr>
              <w:pStyle w:val="14"/>
              <w:spacing w:before="98"/>
              <w:ind w:left="217" w:right="208"/>
              <w:rPr>
                <w:sz w:val="21"/>
              </w:rPr>
            </w:pPr>
            <w:r>
              <w:rPr>
                <w:sz w:val="21"/>
              </w:rPr>
              <w:t>5151978.72</w:t>
            </w:r>
          </w:p>
        </w:tc>
        <w:tc>
          <w:tcPr>
            <w:tcW w:w="1429" w:type="dxa"/>
          </w:tcPr>
          <w:p>
            <w:pPr>
              <w:pStyle w:val="14"/>
              <w:spacing w:before="98"/>
              <w:ind w:left="115" w:right="108"/>
              <w:rPr>
                <w:sz w:val="21"/>
              </w:rPr>
            </w:pPr>
            <w:r>
              <w:rPr>
                <w:sz w:val="21"/>
              </w:rPr>
              <w:t>44435746.20</w:t>
            </w:r>
          </w:p>
        </w:tc>
        <w:tc>
          <w:tcPr>
            <w:tcW w:w="708" w:type="dxa"/>
          </w:tcPr>
          <w:p>
            <w:pPr>
              <w:pStyle w:val="14"/>
              <w:spacing w:before="98"/>
              <w:ind w:left="249"/>
              <w:jc w:val="left"/>
              <w:rPr>
                <w:sz w:val="21"/>
              </w:rPr>
            </w:pPr>
            <w:r>
              <w:rPr>
                <w:sz w:val="21"/>
              </w:rPr>
              <w:t>14</w:t>
            </w:r>
          </w:p>
        </w:tc>
        <w:tc>
          <w:tcPr>
            <w:tcW w:w="1475" w:type="dxa"/>
          </w:tcPr>
          <w:p>
            <w:pPr>
              <w:pStyle w:val="14"/>
              <w:spacing w:before="98"/>
              <w:ind w:left="191" w:right="184"/>
              <w:rPr>
                <w:sz w:val="21"/>
              </w:rPr>
            </w:pPr>
            <w:r>
              <w:rPr>
                <w:sz w:val="21"/>
              </w:rPr>
              <w:t>5151811.72</w:t>
            </w:r>
          </w:p>
        </w:tc>
        <w:tc>
          <w:tcPr>
            <w:tcW w:w="1504" w:type="dxa"/>
          </w:tcPr>
          <w:p>
            <w:pPr>
              <w:pStyle w:val="14"/>
              <w:spacing w:before="98"/>
              <w:ind w:left="97" w:right="88"/>
              <w:rPr>
                <w:sz w:val="21"/>
              </w:rPr>
            </w:pPr>
            <w:r>
              <w:rPr>
                <w:sz w:val="21"/>
              </w:rPr>
              <w:t>44437270.21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943" w:type="dxa"/>
            <w:vMerge w:val="continue"/>
            <w:tcBorders>
              <w:top w:val="nil"/>
            </w:tcBorders>
          </w:tcPr>
          <w:p>
            <w:pPr>
              <w:rPr>
                <w:sz w:val="2"/>
                <w:szCs w:val="2"/>
              </w:rPr>
            </w:pPr>
          </w:p>
        </w:tc>
        <w:tc>
          <w:tcPr>
            <w:tcW w:w="938" w:type="dxa"/>
          </w:tcPr>
          <w:p>
            <w:pPr>
              <w:pStyle w:val="14"/>
              <w:spacing w:before="100"/>
              <w:ind w:right="406"/>
              <w:jc w:val="right"/>
              <w:rPr>
                <w:sz w:val="21"/>
              </w:rPr>
            </w:pPr>
            <w:r>
              <w:rPr>
                <w:w w:val="99"/>
                <w:sz w:val="21"/>
              </w:rPr>
              <w:t>7</w:t>
            </w:r>
          </w:p>
        </w:tc>
        <w:tc>
          <w:tcPr>
            <w:tcW w:w="1525" w:type="dxa"/>
          </w:tcPr>
          <w:p>
            <w:pPr>
              <w:pStyle w:val="14"/>
              <w:spacing w:before="100"/>
              <w:ind w:left="217" w:right="208"/>
              <w:rPr>
                <w:sz w:val="21"/>
              </w:rPr>
            </w:pPr>
            <w:r>
              <w:rPr>
                <w:sz w:val="21"/>
              </w:rPr>
              <w:t>5151915.72</w:t>
            </w:r>
          </w:p>
        </w:tc>
        <w:tc>
          <w:tcPr>
            <w:tcW w:w="1429" w:type="dxa"/>
          </w:tcPr>
          <w:p>
            <w:pPr>
              <w:pStyle w:val="14"/>
              <w:spacing w:before="100"/>
              <w:ind w:left="115" w:right="108"/>
              <w:rPr>
                <w:sz w:val="21"/>
              </w:rPr>
            </w:pPr>
            <w:r>
              <w:rPr>
                <w:sz w:val="21"/>
              </w:rPr>
              <w:t>44435689.20</w:t>
            </w:r>
          </w:p>
        </w:tc>
        <w:tc>
          <w:tcPr>
            <w:tcW w:w="708" w:type="dxa"/>
          </w:tcPr>
          <w:p>
            <w:pPr>
              <w:pStyle w:val="14"/>
              <w:spacing w:before="100"/>
              <w:ind w:left="249"/>
              <w:jc w:val="left"/>
              <w:rPr>
                <w:sz w:val="21"/>
              </w:rPr>
            </w:pPr>
            <w:r>
              <w:rPr>
                <w:sz w:val="21"/>
              </w:rPr>
              <w:t>15</w:t>
            </w:r>
          </w:p>
        </w:tc>
        <w:tc>
          <w:tcPr>
            <w:tcW w:w="1475" w:type="dxa"/>
          </w:tcPr>
          <w:p>
            <w:pPr>
              <w:pStyle w:val="14"/>
              <w:spacing w:before="100"/>
              <w:ind w:left="191" w:right="184"/>
              <w:rPr>
                <w:sz w:val="21"/>
              </w:rPr>
            </w:pPr>
            <w:r>
              <w:rPr>
                <w:sz w:val="21"/>
              </w:rPr>
              <w:t>5151751.72</w:t>
            </w:r>
          </w:p>
        </w:tc>
        <w:tc>
          <w:tcPr>
            <w:tcW w:w="1504" w:type="dxa"/>
          </w:tcPr>
          <w:p>
            <w:pPr>
              <w:pStyle w:val="14"/>
              <w:spacing w:before="100"/>
              <w:ind w:left="97" w:right="88"/>
              <w:rPr>
                <w:sz w:val="21"/>
              </w:rPr>
            </w:pPr>
            <w:r>
              <w:rPr>
                <w:sz w:val="21"/>
              </w:rPr>
              <w:t>44437124.20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43" w:type="dxa"/>
            <w:vMerge w:val="continue"/>
            <w:tcBorders>
              <w:top w:val="nil"/>
            </w:tcBorders>
          </w:tcPr>
          <w:p>
            <w:pPr>
              <w:rPr>
                <w:sz w:val="2"/>
                <w:szCs w:val="2"/>
              </w:rPr>
            </w:pPr>
          </w:p>
        </w:tc>
        <w:tc>
          <w:tcPr>
            <w:tcW w:w="938" w:type="dxa"/>
          </w:tcPr>
          <w:p>
            <w:pPr>
              <w:pStyle w:val="14"/>
              <w:spacing w:before="100"/>
              <w:ind w:right="406"/>
              <w:jc w:val="right"/>
              <w:rPr>
                <w:sz w:val="21"/>
              </w:rPr>
            </w:pPr>
            <w:r>
              <w:rPr>
                <w:w w:val="99"/>
                <w:sz w:val="21"/>
              </w:rPr>
              <w:t>8</w:t>
            </w:r>
          </w:p>
        </w:tc>
        <w:tc>
          <w:tcPr>
            <w:tcW w:w="1525" w:type="dxa"/>
          </w:tcPr>
          <w:p>
            <w:pPr>
              <w:pStyle w:val="14"/>
              <w:spacing w:before="100"/>
              <w:ind w:left="217" w:right="208"/>
              <w:rPr>
                <w:sz w:val="21"/>
              </w:rPr>
            </w:pPr>
            <w:r>
              <w:rPr>
                <w:sz w:val="21"/>
              </w:rPr>
              <w:t>5152261.72</w:t>
            </w:r>
          </w:p>
        </w:tc>
        <w:tc>
          <w:tcPr>
            <w:tcW w:w="1429" w:type="dxa"/>
          </w:tcPr>
          <w:p>
            <w:pPr>
              <w:pStyle w:val="14"/>
              <w:spacing w:before="100"/>
              <w:ind w:left="115" w:right="108"/>
              <w:rPr>
                <w:sz w:val="21"/>
              </w:rPr>
            </w:pPr>
            <w:r>
              <w:rPr>
                <w:sz w:val="21"/>
              </w:rPr>
              <w:t>44435384.19</w:t>
            </w:r>
          </w:p>
        </w:tc>
        <w:tc>
          <w:tcPr>
            <w:tcW w:w="708" w:type="dxa"/>
          </w:tcPr>
          <w:p>
            <w:pPr>
              <w:pStyle w:val="14"/>
              <w:spacing w:before="100"/>
              <w:ind w:left="249"/>
              <w:jc w:val="left"/>
              <w:rPr>
                <w:sz w:val="21"/>
              </w:rPr>
            </w:pPr>
            <w:r>
              <w:rPr>
                <w:sz w:val="21"/>
              </w:rPr>
              <w:t>16</w:t>
            </w:r>
          </w:p>
        </w:tc>
        <w:tc>
          <w:tcPr>
            <w:tcW w:w="1475" w:type="dxa"/>
          </w:tcPr>
          <w:p>
            <w:pPr>
              <w:pStyle w:val="14"/>
              <w:spacing w:before="100"/>
              <w:ind w:left="191" w:right="184"/>
              <w:rPr>
                <w:sz w:val="21"/>
              </w:rPr>
            </w:pPr>
            <w:r>
              <w:rPr>
                <w:sz w:val="21"/>
              </w:rPr>
              <w:t>5151743.72</w:t>
            </w:r>
          </w:p>
        </w:tc>
        <w:tc>
          <w:tcPr>
            <w:tcW w:w="1504" w:type="dxa"/>
          </w:tcPr>
          <w:p>
            <w:pPr>
              <w:pStyle w:val="14"/>
              <w:spacing w:before="100"/>
              <w:ind w:left="97" w:right="88"/>
              <w:rPr>
                <w:sz w:val="21"/>
              </w:rPr>
            </w:pPr>
            <w:r>
              <w:rPr>
                <w:sz w:val="21"/>
              </w:rPr>
              <w:t>44436548.20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continue"/>
            <w:tcBorders>
              <w:top w:val="nil"/>
            </w:tcBorders>
          </w:tcPr>
          <w:p>
            <w:pPr>
              <w:rPr>
                <w:sz w:val="2"/>
                <w:szCs w:val="2"/>
              </w:rPr>
            </w:pPr>
          </w:p>
        </w:tc>
        <w:tc>
          <w:tcPr>
            <w:tcW w:w="7579" w:type="dxa"/>
            <w:gridSpan w:val="6"/>
          </w:tcPr>
          <w:p>
            <w:pPr>
              <w:pStyle w:val="14"/>
              <w:spacing w:before="20"/>
              <w:ind w:left="2665" w:right="2653"/>
              <w:rPr>
                <w:sz w:val="21"/>
              </w:rPr>
            </w:pPr>
            <w:r>
              <w:rPr>
                <w:sz w:val="21"/>
              </w:rPr>
              <w:t>开采标高：370 至 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943"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7"/>
              <w:jc w:val="left"/>
              <w:rPr>
                <w:b/>
                <w:sz w:val="29"/>
              </w:rPr>
            </w:pPr>
          </w:p>
          <w:p>
            <w:pPr>
              <w:pStyle w:val="14"/>
              <w:ind w:left="346" w:right="337"/>
              <w:rPr>
                <w:sz w:val="21"/>
              </w:rPr>
            </w:pPr>
            <w:r>
              <w:rPr>
                <w:sz w:val="21"/>
              </w:rPr>
              <w:t>15</w:t>
            </w:r>
          </w:p>
        </w:tc>
        <w:tc>
          <w:tcPr>
            <w:tcW w:w="938" w:type="dxa"/>
          </w:tcPr>
          <w:p>
            <w:pPr>
              <w:pStyle w:val="14"/>
              <w:spacing w:before="99"/>
              <w:ind w:right="406"/>
              <w:jc w:val="right"/>
              <w:rPr>
                <w:sz w:val="21"/>
              </w:rPr>
            </w:pPr>
            <w:r>
              <w:rPr>
                <w:w w:val="99"/>
                <w:sz w:val="21"/>
              </w:rPr>
              <w:t>1</w:t>
            </w:r>
          </w:p>
        </w:tc>
        <w:tc>
          <w:tcPr>
            <w:tcW w:w="1525" w:type="dxa"/>
          </w:tcPr>
          <w:p>
            <w:pPr>
              <w:pStyle w:val="14"/>
              <w:spacing w:before="99"/>
              <w:ind w:left="217" w:right="208"/>
              <w:rPr>
                <w:sz w:val="21"/>
              </w:rPr>
            </w:pPr>
            <w:r>
              <w:rPr>
                <w:sz w:val="21"/>
              </w:rPr>
              <w:t>5151879.72</w:t>
            </w:r>
          </w:p>
        </w:tc>
        <w:tc>
          <w:tcPr>
            <w:tcW w:w="1429" w:type="dxa"/>
          </w:tcPr>
          <w:p>
            <w:pPr>
              <w:pStyle w:val="14"/>
              <w:spacing w:before="99"/>
              <w:ind w:left="115" w:right="108"/>
              <w:rPr>
                <w:sz w:val="21"/>
              </w:rPr>
            </w:pPr>
            <w:r>
              <w:rPr>
                <w:sz w:val="21"/>
              </w:rPr>
              <w:t>44436325.20</w:t>
            </w:r>
          </w:p>
        </w:tc>
        <w:tc>
          <w:tcPr>
            <w:tcW w:w="708" w:type="dxa"/>
          </w:tcPr>
          <w:p>
            <w:pPr>
              <w:pStyle w:val="14"/>
              <w:spacing w:before="99"/>
              <w:ind w:left="249"/>
              <w:jc w:val="left"/>
              <w:rPr>
                <w:sz w:val="21"/>
              </w:rPr>
            </w:pPr>
            <w:r>
              <w:rPr>
                <w:sz w:val="21"/>
              </w:rPr>
              <w:t>10</w:t>
            </w:r>
          </w:p>
        </w:tc>
        <w:tc>
          <w:tcPr>
            <w:tcW w:w="1475" w:type="dxa"/>
          </w:tcPr>
          <w:p>
            <w:pPr>
              <w:pStyle w:val="14"/>
              <w:spacing w:before="99"/>
              <w:ind w:left="191" w:right="184"/>
              <w:rPr>
                <w:sz w:val="21"/>
              </w:rPr>
            </w:pPr>
            <w:r>
              <w:rPr>
                <w:sz w:val="21"/>
              </w:rPr>
              <w:t>5152197.72</w:t>
            </w:r>
          </w:p>
        </w:tc>
        <w:tc>
          <w:tcPr>
            <w:tcW w:w="1504" w:type="dxa"/>
          </w:tcPr>
          <w:p>
            <w:pPr>
              <w:pStyle w:val="14"/>
              <w:spacing w:before="99"/>
              <w:ind w:left="97" w:right="88"/>
              <w:rPr>
                <w:sz w:val="21"/>
              </w:rPr>
            </w:pPr>
            <w:r>
              <w:rPr>
                <w:sz w:val="21"/>
              </w:rPr>
              <w:t>44436158.20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43" w:type="dxa"/>
            <w:vMerge w:val="continue"/>
            <w:tcBorders>
              <w:top w:val="nil"/>
            </w:tcBorders>
          </w:tcPr>
          <w:p>
            <w:pPr>
              <w:rPr>
                <w:sz w:val="2"/>
                <w:szCs w:val="2"/>
              </w:rPr>
            </w:pPr>
          </w:p>
        </w:tc>
        <w:tc>
          <w:tcPr>
            <w:tcW w:w="938" w:type="dxa"/>
          </w:tcPr>
          <w:p>
            <w:pPr>
              <w:pStyle w:val="14"/>
              <w:spacing w:before="98"/>
              <w:ind w:right="406"/>
              <w:jc w:val="right"/>
              <w:rPr>
                <w:sz w:val="21"/>
              </w:rPr>
            </w:pPr>
            <w:r>
              <w:rPr>
                <w:w w:val="99"/>
                <w:sz w:val="21"/>
              </w:rPr>
              <w:t>2</w:t>
            </w:r>
          </w:p>
        </w:tc>
        <w:tc>
          <w:tcPr>
            <w:tcW w:w="1525" w:type="dxa"/>
          </w:tcPr>
          <w:p>
            <w:pPr>
              <w:pStyle w:val="14"/>
              <w:spacing w:before="98"/>
              <w:ind w:left="217" w:right="208"/>
              <w:rPr>
                <w:sz w:val="21"/>
              </w:rPr>
            </w:pPr>
            <w:r>
              <w:rPr>
                <w:sz w:val="21"/>
              </w:rPr>
              <w:t>5151810.72</w:t>
            </w:r>
          </w:p>
        </w:tc>
        <w:tc>
          <w:tcPr>
            <w:tcW w:w="1429" w:type="dxa"/>
          </w:tcPr>
          <w:p>
            <w:pPr>
              <w:pStyle w:val="14"/>
              <w:spacing w:before="98"/>
              <w:ind w:left="115" w:right="108"/>
              <w:rPr>
                <w:sz w:val="21"/>
              </w:rPr>
            </w:pPr>
            <w:r>
              <w:rPr>
                <w:sz w:val="21"/>
              </w:rPr>
              <w:t>44436210.20</w:t>
            </w:r>
          </w:p>
        </w:tc>
        <w:tc>
          <w:tcPr>
            <w:tcW w:w="708" w:type="dxa"/>
          </w:tcPr>
          <w:p>
            <w:pPr>
              <w:pStyle w:val="14"/>
              <w:spacing w:before="98"/>
              <w:ind w:left="249"/>
              <w:jc w:val="left"/>
              <w:rPr>
                <w:sz w:val="21"/>
              </w:rPr>
            </w:pPr>
            <w:r>
              <w:rPr>
                <w:sz w:val="21"/>
              </w:rPr>
              <w:t>11</w:t>
            </w:r>
          </w:p>
        </w:tc>
        <w:tc>
          <w:tcPr>
            <w:tcW w:w="1475" w:type="dxa"/>
          </w:tcPr>
          <w:p>
            <w:pPr>
              <w:pStyle w:val="14"/>
              <w:spacing w:before="98"/>
              <w:ind w:left="191" w:right="184"/>
              <w:rPr>
                <w:sz w:val="21"/>
              </w:rPr>
            </w:pPr>
            <w:r>
              <w:rPr>
                <w:sz w:val="21"/>
              </w:rPr>
              <w:t>5152416.73</w:t>
            </w:r>
          </w:p>
        </w:tc>
        <w:tc>
          <w:tcPr>
            <w:tcW w:w="1504" w:type="dxa"/>
          </w:tcPr>
          <w:p>
            <w:pPr>
              <w:pStyle w:val="14"/>
              <w:spacing w:before="98"/>
              <w:ind w:left="97" w:right="88"/>
              <w:rPr>
                <w:sz w:val="21"/>
              </w:rPr>
            </w:pPr>
            <w:r>
              <w:rPr>
                <w:sz w:val="21"/>
              </w:rPr>
              <w:t>44437052.20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43" w:type="dxa"/>
            <w:vMerge w:val="continue"/>
            <w:tcBorders>
              <w:top w:val="nil"/>
            </w:tcBorders>
          </w:tcPr>
          <w:p>
            <w:pPr>
              <w:rPr>
                <w:sz w:val="2"/>
                <w:szCs w:val="2"/>
              </w:rPr>
            </w:pPr>
          </w:p>
        </w:tc>
        <w:tc>
          <w:tcPr>
            <w:tcW w:w="938" w:type="dxa"/>
          </w:tcPr>
          <w:p>
            <w:pPr>
              <w:pStyle w:val="14"/>
              <w:spacing w:before="98"/>
              <w:ind w:right="406"/>
              <w:jc w:val="right"/>
              <w:rPr>
                <w:sz w:val="21"/>
              </w:rPr>
            </w:pPr>
            <w:r>
              <w:rPr>
                <w:w w:val="99"/>
                <w:sz w:val="21"/>
              </w:rPr>
              <w:t>3</w:t>
            </w:r>
          </w:p>
        </w:tc>
        <w:tc>
          <w:tcPr>
            <w:tcW w:w="1525" w:type="dxa"/>
          </w:tcPr>
          <w:p>
            <w:pPr>
              <w:pStyle w:val="14"/>
              <w:spacing w:before="98"/>
              <w:ind w:left="217" w:right="208"/>
              <w:rPr>
                <w:sz w:val="21"/>
              </w:rPr>
            </w:pPr>
            <w:r>
              <w:rPr>
                <w:sz w:val="21"/>
              </w:rPr>
              <w:t>5151902.72</w:t>
            </w:r>
          </w:p>
        </w:tc>
        <w:tc>
          <w:tcPr>
            <w:tcW w:w="1429" w:type="dxa"/>
          </w:tcPr>
          <w:p>
            <w:pPr>
              <w:pStyle w:val="14"/>
              <w:spacing w:before="98"/>
              <w:ind w:left="115" w:right="108"/>
              <w:rPr>
                <w:sz w:val="21"/>
              </w:rPr>
            </w:pPr>
            <w:r>
              <w:rPr>
                <w:sz w:val="21"/>
              </w:rPr>
              <w:t>44436010.20</w:t>
            </w:r>
          </w:p>
        </w:tc>
        <w:tc>
          <w:tcPr>
            <w:tcW w:w="708" w:type="dxa"/>
          </w:tcPr>
          <w:p>
            <w:pPr>
              <w:pStyle w:val="14"/>
              <w:spacing w:before="98"/>
              <w:ind w:left="249"/>
              <w:jc w:val="left"/>
              <w:rPr>
                <w:sz w:val="21"/>
              </w:rPr>
            </w:pPr>
            <w:r>
              <w:rPr>
                <w:sz w:val="21"/>
              </w:rPr>
              <w:t>12</w:t>
            </w:r>
          </w:p>
        </w:tc>
        <w:tc>
          <w:tcPr>
            <w:tcW w:w="1475" w:type="dxa"/>
          </w:tcPr>
          <w:p>
            <w:pPr>
              <w:pStyle w:val="14"/>
              <w:spacing w:before="98"/>
              <w:ind w:left="191" w:right="184"/>
              <w:rPr>
                <w:sz w:val="21"/>
              </w:rPr>
            </w:pPr>
            <w:r>
              <w:rPr>
                <w:sz w:val="21"/>
              </w:rPr>
              <w:t>5151889.72</w:t>
            </w:r>
          </w:p>
        </w:tc>
        <w:tc>
          <w:tcPr>
            <w:tcW w:w="1504" w:type="dxa"/>
          </w:tcPr>
          <w:p>
            <w:pPr>
              <w:pStyle w:val="14"/>
              <w:spacing w:before="98"/>
              <w:ind w:left="97" w:right="88"/>
              <w:rPr>
                <w:sz w:val="21"/>
              </w:rPr>
            </w:pPr>
            <w:r>
              <w:rPr>
                <w:sz w:val="21"/>
              </w:rPr>
              <w:t>44436336.20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43" w:type="dxa"/>
            <w:vMerge w:val="continue"/>
            <w:tcBorders>
              <w:top w:val="nil"/>
            </w:tcBorders>
          </w:tcPr>
          <w:p>
            <w:pPr>
              <w:rPr>
                <w:sz w:val="2"/>
                <w:szCs w:val="2"/>
              </w:rPr>
            </w:pPr>
          </w:p>
        </w:tc>
        <w:tc>
          <w:tcPr>
            <w:tcW w:w="938" w:type="dxa"/>
          </w:tcPr>
          <w:p>
            <w:pPr>
              <w:pStyle w:val="14"/>
              <w:spacing w:before="100"/>
              <w:ind w:right="406"/>
              <w:jc w:val="right"/>
              <w:rPr>
                <w:sz w:val="21"/>
              </w:rPr>
            </w:pPr>
            <w:r>
              <w:rPr>
                <w:w w:val="99"/>
                <w:sz w:val="21"/>
              </w:rPr>
              <w:t>4</w:t>
            </w:r>
          </w:p>
        </w:tc>
        <w:tc>
          <w:tcPr>
            <w:tcW w:w="1525" w:type="dxa"/>
          </w:tcPr>
          <w:p>
            <w:pPr>
              <w:pStyle w:val="14"/>
              <w:spacing w:before="100"/>
              <w:ind w:left="217" w:right="208"/>
              <w:rPr>
                <w:sz w:val="21"/>
              </w:rPr>
            </w:pPr>
            <w:r>
              <w:rPr>
                <w:sz w:val="21"/>
              </w:rPr>
              <w:t>5152005.72</w:t>
            </w:r>
          </w:p>
        </w:tc>
        <w:tc>
          <w:tcPr>
            <w:tcW w:w="1429" w:type="dxa"/>
          </w:tcPr>
          <w:p>
            <w:pPr>
              <w:pStyle w:val="14"/>
              <w:spacing w:before="100"/>
              <w:ind w:left="115" w:right="108"/>
              <w:rPr>
                <w:sz w:val="21"/>
              </w:rPr>
            </w:pPr>
            <w:r>
              <w:rPr>
                <w:sz w:val="21"/>
              </w:rPr>
              <w:t>44435834.20</w:t>
            </w:r>
          </w:p>
        </w:tc>
        <w:tc>
          <w:tcPr>
            <w:tcW w:w="708" w:type="dxa"/>
          </w:tcPr>
          <w:p>
            <w:pPr>
              <w:pStyle w:val="14"/>
              <w:spacing w:before="100"/>
              <w:ind w:left="249"/>
              <w:jc w:val="left"/>
              <w:rPr>
                <w:sz w:val="21"/>
              </w:rPr>
            </w:pPr>
            <w:r>
              <w:rPr>
                <w:sz w:val="21"/>
              </w:rPr>
              <w:t>13</w:t>
            </w:r>
          </w:p>
        </w:tc>
        <w:tc>
          <w:tcPr>
            <w:tcW w:w="1475" w:type="dxa"/>
          </w:tcPr>
          <w:p>
            <w:pPr>
              <w:pStyle w:val="14"/>
              <w:spacing w:before="100"/>
              <w:ind w:left="191" w:right="184"/>
              <w:rPr>
                <w:sz w:val="21"/>
              </w:rPr>
            </w:pPr>
            <w:r>
              <w:rPr>
                <w:sz w:val="21"/>
              </w:rPr>
              <w:t>5151871.72</w:t>
            </w:r>
          </w:p>
        </w:tc>
        <w:tc>
          <w:tcPr>
            <w:tcW w:w="1504" w:type="dxa"/>
          </w:tcPr>
          <w:p>
            <w:pPr>
              <w:pStyle w:val="14"/>
              <w:spacing w:before="100"/>
              <w:ind w:left="97" w:right="88"/>
              <w:rPr>
                <w:sz w:val="21"/>
              </w:rPr>
            </w:pPr>
            <w:r>
              <w:rPr>
                <w:sz w:val="21"/>
              </w:rPr>
              <w:t>44436970.20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43" w:type="dxa"/>
            <w:vMerge w:val="continue"/>
            <w:tcBorders>
              <w:top w:val="nil"/>
            </w:tcBorders>
          </w:tcPr>
          <w:p>
            <w:pPr>
              <w:rPr>
                <w:sz w:val="2"/>
                <w:szCs w:val="2"/>
              </w:rPr>
            </w:pPr>
          </w:p>
        </w:tc>
        <w:tc>
          <w:tcPr>
            <w:tcW w:w="938" w:type="dxa"/>
          </w:tcPr>
          <w:p>
            <w:pPr>
              <w:pStyle w:val="14"/>
              <w:spacing w:before="99"/>
              <w:ind w:right="406"/>
              <w:jc w:val="right"/>
              <w:rPr>
                <w:sz w:val="21"/>
              </w:rPr>
            </w:pPr>
            <w:r>
              <w:rPr>
                <w:w w:val="99"/>
                <w:sz w:val="21"/>
              </w:rPr>
              <w:t>5</w:t>
            </w:r>
          </w:p>
        </w:tc>
        <w:tc>
          <w:tcPr>
            <w:tcW w:w="1525" w:type="dxa"/>
          </w:tcPr>
          <w:p>
            <w:pPr>
              <w:pStyle w:val="14"/>
              <w:spacing w:before="99"/>
              <w:ind w:left="217" w:right="208"/>
              <w:rPr>
                <w:sz w:val="21"/>
              </w:rPr>
            </w:pPr>
            <w:r>
              <w:rPr>
                <w:sz w:val="21"/>
              </w:rPr>
              <w:t>5151935.72</w:t>
            </w:r>
          </w:p>
        </w:tc>
        <w:tc>
          <w:tcPr>
            <w:tcW w:w="1429" w:type="dxa"/>
          </w:tcPr>
          <w:p>
            <w:pPr>
              <w:pStyle w:val="14"/>
              <w:spacing w:before="99"/>
              <w:ind w:left="115" w:right="108"/>
              <w:rPr>
                <w:sz w:val="21"/>
              </w:rPr>
            </w:pPr>
            <w:r>
              <w:rPr>
                <w:sz w:val="21"/>
              </w:rPr>
              <w:t>44435784.20</w:t>
            </w:r>
          </w:p>
        </w:tc>
        <w:tc>
          <w:tcPr>
            <w:tcW w:w="708" w:type="dxa"/>
          </w:tcPr>
          <w:p>
            <w:pPr>
              <w:pStyle w:val="14"/>
              <w:spacing w:before="99"/>
              <w:ind w:left="249"/>
              <w:jc w:val="left"/>
              <w:rPr>
                <w:sz w:val="21"/>
              </w:rPr>
            </w:pPr>
            <w:r>
              <w:rPr>
                <w:sz w:val="21"/>
              </w:rPr>
              <w:t>14</w:t>
            </w:r>
          </w:p>
        </w:tc>
        <w:tc>
          <w:tcPr>
            <w:tcW w:w="1475" w:type="dxa"/>
          </w:tcPr>
          <w:p>
            <w:pPr>
              <w:pStyle w:val="14"/>
              <w:spacing w:before="99"/>
              <w:ind w:left="191" w:right="184"/>
              <w:rPr>
                <w:sz w:val="21"/>
              </w:rPr>
            </w:pPr>
            <w:r>
              <w:rPr>
                <w:sz w:val="21"/>
              </w:rPr>
              <w:t>5151697.72</w:t>
            </w:r>
          </w:p>
        </w:tc>
        <w:tc>
          <w:tcPr>
            <w:tcW w:w="1504" w:type="dxa"/>
          </w:tcPr>
          <w:p>
            <w:pPr>
              <w:pStyle w:val="14"/>
              <w:spacing w:before="99"/>
              <w:ind w:left="97" w:right="88"/>
              <w:rPr>
                <w:sz w:val="21"/>
              </w:rPr>
            </w:pPr>
            <w:r>
              <w:rPr>
                <w:sz w:val="21"/>
              </w:rPr>
              <w:t>44436970.20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943" w:type="dxa"/>
            <w:vMerge w:val="continue"/>
            <w:tcBorders>
              <w:top w:val="nil"/>
            </w:tcBorders>
          </w:tcPr>
          <w:p>
            <w:pPr>
              <w:rPr>
                <w:sz w:val="2"/>
                <w:szCs w:val="2"/>
              </w:rPr>
            </w:pPr>
          </w:p>
        </w:tc>
        <w:tc>
          <w:tcPr>
            <w:tcW w:w="938" w:type="dxa"/>
          </w:tcPr>
          <w:p>
            <w:pPr>
              <w:pStyle w:val="14"/>
              <w:spacing w:before="99"/>
              <w:ind w:right="406"/>
              <w:jc w:val="right"/>
              <w:rPr>
                <w:sz w:val="21"/>
              </w:rPr>
            </w:pPr>
            <w:r>
              <w:rPr>
                <w:w w:val="99"/>
                <w:sz w:val="21"/>
              </w:rPr>
              <w:t>6</w:t>
            </w:r>
          </w:p>
        </w:tc>
        <w:tc>
          <w:tcPr>
            <w:tcW w:w="1525" w:type="dxa"/>
          </w:tcPr>
          <w:p>
            <w:pPr>
              <w:pStyle w:val="14"/>
              <w:spacing w:before="99"/>
              <w:ind w:left="217" w:right="208"/>
              <w:rPr>
                <w:sz w:val="21"/>
              </w:rPr>
            </w:pPr>
            <w:r>
              <w:rPr>
                <w:sz w:val="21"/>
              </w:rPr>
              <w:t>5151978.72</w:t>
            </w:r>
          </w:p>
        </w:tc>
        <w:tc>
          <w:tcPr>
            <w:tcW w:w="1429" w:type="dxa"/>
          </w:tcPr>
          <w:p>
            <w:pPr>
              <w:pStyle w:val="14"/>
              <w:spacing w:before="99"/>
              <w:ind w:left="115" w:right="108"/>
              <w:rPr>
                <w:sz w:val="21"/>
              </w:rPr>
            </w:pPr>
            <w:r>
              <w:rPr>
                <w:sz w:val="21"/>
              </w:rPr>
              <w:t>44435746.20</w:t>
            </w:r>
          </w:p>
        </w:tc>
        <w:tc>
          <w:tcPr>
            <w:tcW w:w="708" w:type="dxa"/>
          </w:tcPr>
          <w:p>
            <w:pPr>
              <w:pStyle w:val="14"/>
              <w:spacing w:before="99"/>
              <w:ind w:left="249"/>
              <w:jc w:val="left"/>
              <w:rPr>
                <w:sz w:val="21"/>
              </w:rPr>
            </w:pPr>
            <w:r>
              <w:rPr>
                <w:sz w:val="21"/>
              </w:rPr>
              <w:t>15</w:t>
            </w:r>
          </w:p>
        </w:tc>
        <w:tc>
          <w:tcPr>
            <w:tcW w:w="1475" w:type="dxa"/>
          </w:tcPr>
          <w:p>
            <w:pPr>
              <w:pStyle w:val="14"/>
              <w:spacing w:before="99"/>
              <w:ind w:left="191" w:right="184"/>
              <w:rPr>
                <w:sz w:val="21"/>
              </w:rPr>
            </w:pPr>
            <w:r>
              <w:rPr>
                <w:sz w:val="21"/>
              </w:rPr>
              <w:t>5151705.72</w:t>
            </w:r>
          </w:p>
        </w:tc>
        <w:tc>
          <w:tcPr>
            <w:tcW w:w="1504" w:type="dxa"/>
          </w:tcPr>
          <w:p>
            <w:pPr>
              <w:pStyle w:val="14"/>
              <w:spacing w:before="99"/>
              <w:ind w:left="97" w:right="88"/>
              <w:rPr>
                <w:sz w:val="21"/>
              </w:rPr>
            </w:pPr>
            <w:r>
              <w:rPr>
                <w:sz w:val="21"/>
              </w:rPr>
              <w:t>44437336.21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43" w:type="dxa"/>
            <w:vMerge w:val="continue"/>
            <w:tcBorders>
              <w:top w:val="nil"/>
            </w:tcBorders>
          </w:tcPr>
          <w:p>
            <w:pPr>
              <w:rPr>
                <w:sz w:val="2"/>
                <w:szCs w:val="2"/>
              </w:rPr>
            </w:pPr>
          </w:p>
        </w:tc>
        <w:tc>
          <w:tcPr>
            <w:tcW w:w="938" w:type="dxa"/>
          </w:tcPr>
          <w:p>
            <w:pPr>
              <w:pStyle w:val="14"/>
              <w:spacing w:before="99"/>
              <w:ind w:right="406"/>
              <w:jc w:val="right"/>
              <w:rPr>
                <w:sz w:val="21"/>
              </w:rPr>
            </w:pPr>
            <w:r>
              <w:rPr>
                <w:w w:val="99"/>
                <w:sz w:val="21"/>
              </w:rPr>
              <w:t>7</w:t>
            </w:r>
          </w:p>
        </w:tc>
        <w:tc>
          <w:tcPr>
            <w:tcW w:w="1525" w:type="dxa"/>
          </w:tcPr>
          <w:p>
            <w:pPr>
              <w:pStyle w:val="14"/>
              <w:spacing w:before="99"/>
              <w:ind w:left="217" w:right="208"/>
              <w:rPr>
                <w:sz w:val="21"/>
              </w:rPr>
            </w:pPr>
            <w:r>
              <w:rPr>
                <w:sz w:val="21"/>
              </w:rPr>
              <w:t>5151915.72</w:t>
            </w:r>
          </w:p>
        </w:tc>
        <w:tc>
          <w:tcPr>
            <w:tcW w:w="1429" w:type="dxa"/>
          </w:tcPr>
          <w:p>
            <w:pPr>
              <w:pStyle w:val="14"/>
              <w:spacing w:before="99"/>
              <w:ind w:left="115" w:right="108"/>
              <w:rPr>
                <w:sz w:val="21"/>
              </w:rPr>
            </w:pPr>
            <w:r>
              <w:rPr>
                <w:sz w:val="21"/>
              </w:rPr>
              <w:t>44435689.20</w:t>
            </w:r>
          </w:p>
        </w:tc>
        <w:tc>
          <w:tcPr>
            <w:tcW w:w="708" w:type="dxa"/>
          </w:tcPr>
          <w:p>
            <w:pPr>
              <w:pStyle w:val="14"/>
              <w:spacing w:before="99"/>
              <w:ind w:left="249"/>
              <w:jc w:val="left"/>
              <w:rPr>
                <w:sz w:val="21"/>
              </w:rPr>
            </w:pPr>
            <w:r>
              <w:rPr>
                <w:sz w:val="21"/>
              </w:rPr>
              <w:t>16</w:t>
            </w:r>
          </w:p>
        </w:tc>
        <w:tc>
          <w:tcPr>
            <w:tcW w:w="1475" w:type="dxa"/>
          </w:tcPr>
          <w:p>
            <w:pPr>
              <w:pStyle w:val="14"/>
              <w:spacing w:before="99"/>
              <w:ind w:left="191" w:right="184"/>
              <w:rPr>
                <w:sz w:val="21"/>
              </w:rPr>
            </w:pPr>
            <w:r>
              <w:rPr>
                <w:sz w:val="21"/>
              </w:rPr>
              <w:t>5151487.72</w:t>
            </w:r>
          </w:p>
        </w:tc>
        <w:tc>
          <w:tcPr>
            <w:tcW w:w="1504" w:type="dxa"/>
          </w:tcPr>
          <w:p>
            <w:pPr>
              <w:pStyle w:val="14"/>
              <w:spacing w:before="99"/>
              <w:ind w:left="97" w:right="88"/>
              <w:rPr>
                <w:sz w:val="21"/>
              </w:rPr>
            </w:pPr>
            <w:r>
              <w:rPr>
                <w:sz w:val="21"/>
              </w:rPr>
              <w:t>44437234.21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43" w:type="dxa"/>
            <w:vMerge w:val="continue"/>
            <w:tcBorders>
              <w:top w:val="nil"/>
            </w:tcBorders>
          </w:tcPr>
          <w:p>
            <w:pPr>
              <w:rPr>
                <w:sz w:val="2"/>
                <w:szCs w:val="2"/>
              </w:rPr>
            </w:pPr>
          </w:p>
        </w:tc>
        <w:tc>
          <w:tcPr>
            <w:tcW w:w="938" w:type="dxa"/>
          </w:tcPr>
          <w:p>
            <w:pPr>
              <w:pStyle w:val="14"/>
              <w:spacing w:before="98"/>
              <w:ind w:right="406"/>
              <w:jc w:val="right"/>
              <w:rPr>
                <w:sz w:val="21"/>
              </w:rPr>
            </w:pPr>
            <w:r>
              <w:rPr>
                <w:w w:val="99"/>
                <w:sz w:val="21"/>
              </w:rPr>
              <w:t>8</w:t>
            </w:r>
          </w:p>
        </w:tc>
        <w:tc>
          <w:tcPr>
            <w:tcW w:w="1525" w:type="dxa"/>
          </w:tcPr>
          <w:p>
            <w:pPr>
              <w:pStyle w:val="14"/>
              <w:spacing w:before="98"/>
              <w:ind w:left="217" w:right="208"/>
              <w:rPr>
                <w:sz w:val="21"/>
              </w:rPr>
            </w:pPr>
            <w:r>
              <w:rPr>
                <w:sz w:val="21"/>
              </w:rPr>
              <w:t>5152213.72</w:t>
            </w:r>
          </w:p>
        </w:tc>
        <w:tc>
          <w:tcPr>
            <w:tcW w:w="1429" w:type="dxa"/>
          </w:tcPr>
          <w:p>
            <w:pPr>
              <w:pStyle w:val="14"/>
              <w:spacing w:before="98"/>
              <w:ind w:left="115" w:right="108"/>
              <w:rPr>
                <w:sz w:val="21"/>
              </w:rPr>
            </w:pPr>
            <w:r>
              <w:rPr>
                <w:sz w:val="21"/>
              </w:rPr>
              <w:t>44435373.19</w:t>
            </w:r>
          </w:p>
        </w:tc>
        <w:tc>
          <w:tcPr>
            <w:tcW w:w="708" w:type="dxa"/>
          </w:tcPr>
          <w:p>
            <w:pPr>
              <w:pStyle w:val="14"/>
              <w:spacing w:before="98"/>
              <w:ind w:left="249"/>
              <w:jc w:val="left"/>
              <w:rPr>
                <w:sz w:val="21"/>
              </w:rPr>
            </w:pPr>
            <w:r>
              <w:rPr>
                <w:sz w:val="21"/>
              </w:rPr>
              <w:t>17</w:t>
            </w:r>
          </w:p>
        </w:tc>
        <w:tc>
          <w:tcPr>
            <w:tcW w:w="1475" w:type="dxa"/>
          </w:tcPr>
          <w:p>
            <w:pPr>
              <w:pStyle w:val="14"/>
              <w:spacing w:before="98"/>
              <w:ind w:left="191" w:right="184"/>
              <w:rPr>
                <w:sz w:val="21"/>
              </w:rPr>
            </w:pPr>
            <w:r>
              <w:rPr>
                <w:sz w:val="21"/>
              </w:rPr>
              <w:t>5151491.72</w:t>
            </w:r>
          </w:p>
        </w:tc>
        <w:tc>
          <w:tcPr>
            <w:tcW w:w="1504" w:type="dxa"/>
          </w:tcPr>
          <w:p>
            <w:pPr>
              <w:pStyle w:val="14"/>
              <w:spacing w:before="98"/>
              <w:ind w:left="97" w:right="88"/>
              <w:rPr>
                <w:sz w:val="21"/>
              </w:rPr>
            </w:pPr>
            <w:r>
              <w:rPr>
                <w:sz w:val="21"/>
              </w:rPr>
              <w:t>44436858.20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43" w:type="dxa"/>
            <w:vMerge w:val="continue"/>
            <w:tcBorders>
              <w:top w:val="nil"/>
            </w:tcBorders>
          </w:tcPr>
          <w:p>
            <w:pPr>
              <w:rPr>
                <w:sz w:val="2"/>
                <w:szCs w:val="2"/>
              </w:rPr>
            </w:pPr>
          </w:p>
        </w:tc>
        <w:tc>
          <w:tcPr>
            <w:tcW w:w="938" w:type="dxa"/>
          </w:tcPr>
          <w:p>
            <w:pPr>
              <w:pStyle w:val="14"/>
              <w:spacing w:before="98"/>
              <w:ind w:right="406"/>
              <w:jc w:val="right"/>
              <w:rPr>
                <w:sz w:val="21"/>
              </w:rPr>
            </w:pPr>
            <w:r>
              <w:rPr>
                <w:w w:val="99"/>
                <w:sz w:val="21"/>
              </w:rPr>
              <w:t>9</w:t>
            </w:r>
          </w:p>
        </w:tc>
        <w:tc>
          <w:tcPr>
            <w:tcW w:w="1525" w:type="dxa"/>
          </w:tcPr>
          <w:p>
            <w:pPr>
              <w:pStyle w:val="14"/>
              <w:spacing w:before="98"/>
              <w:ind w:left="217" w:right="208"/>
              <w:rPr>
                <w:sz w:val="21"/>
              </w:rPr>
            </w:pPr>
            <w:r>
              <w:rPr>
                <w:sz w:val="21"/>
              </w:rPr>
              <w:t>5152581.72</w:t>
            </w:r>
          </w:p>
        </w:tc>
        <w:tc>
          <w:tcPr>
            <w:tcW w:w="1429" w:type="dxa"/>
          </w:tcPr>
          <w:p>
            <w:pPr>
              <w:pStyle w:val="14"/>
              <w:spacing w:before="98"/>
              <w:ind w:left="115" w:right="108"/>
              <w:rPr>
                <w:sz w:val="21"/>
              </w:rPr>
            </w:pPr>
            <w:r>
              <w:rPr>
                <w:sz w:val="21"/>
              </w:rPr>
              <w:t>44435580.19</w:t>
            </w:r>
          </w:p>
        </w:tc>
        <w:tc>
          <w:tcPr>
            <w:tcW w:w="708" w:type="dxa"/>
          </w:tcPr>
          <w:p>
            <w:pPr>
              <w:pStyle w:val="14"/>
              <w:spacing w:before="98"/>
              <w:ind w:left="249"/>
              <w:jc w:val="left"/>
              <w:rPr>
                <w:sz w:val="21"/>
              </w:rPr>
            </w:pPr>
            <w:r>
              <w:rPr>
                <w:sz w:val="21"/>
              </w:rPr>
              <w:t>18</w:t>
            </w:r>
          </w:p>
        </w:tc>
        <w:tc>
          <w:tcPr>
            <w:tcW w:w="1475" w:type="dxa"/>
          </w:tcPr>
          <w:p>
            <w:pPr>
              <w:pStyle w:val="14"/>
              <w:spacing w:before="98"/>
              <w:ind w:left="191" w:right="184"/>
              <w:rPr>
                <w:sz w:val="21"/>
              </w:rPr>
            </w:pPr>
            <w:r>
              <w:rPr>
                <w:sz w:val="21"/>
              </w:rPr>
              <w:t>5151609.72</w:t>
            </w:r>
          </w:p>
        </w:tc>
        <w:tc>
          <w:tcPr>
            <w:tcW w:w="1504" w:type="dxa"/>
          </w:tcPr>
          <w:p>
            <w:pPr>
              <w:pStyle w:val="14"/>
              <w:spacing w:before="98"/>
              <w:ind w:left="97" w:right="88"/>
              <w:rPr>
                <w:sz w:val="21"/>
              </w:rPr>
            </w:pPr>
            <w:r>
              <w:rPr>
                <w:sz w:val="21"/>
              </w:rPr>
              <w:t>44436858.20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continue"/>
            <w:tcBorders>
              <w:top w:val="nil"/>
            </w:tcBorders>
          </w:tcPr>
          <w:p>
            <w:pPr>
              <w:rPr>
                <w:sz w:val="2"/>
                <w:szCs w:val="2"/>
              </w:rPr>
            </w:pPr>
          </w:p>
        </w:tc>
        <w:tc>
          <w:tcPr>
            <w:tcW w:w="7579" w:type="dxa"/>
            <w:gridSpan w:val="6"/>
          </w:tcPr>
          <w:p>
            <w:pPr>
              <w:pStyle w:val="14"/>
              <w:spacing w:before="21"/>
              <w:ind w:left="2665" w:right="2658"/>
              <w:rPr>
                <w:sz w:val="21"/>
              </w:rPr>
            </w:pPr>
            <w:r>
              <w:rPr>
                <w:sz w:val="21"/>
              </w:rPr>
              <w:t>开采标高：370 至-160m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43" w:type="dxa"/>
          </w:tcPr>
          <w:p>
            <w:pPr>
              <w:pStyle w:val="14"/>
              <w:spacing w:before="100"/>
              <w:ind w:left="346" w:right="337"/>
              <w:rPr>
                <w:sz w:val="21"/>
              </w:rPr>
            </w:pPr>
            <w:r>
              <w:rPr>
                <w:sz w:val="21"/>
              </w:rPr>
              <w:t>30</w:t>
            </w:r>
          </w:p>
        </w:tc>
        <w:tc>
          <w:tcPr>
            <w:tcW w:w="938" w:type="dxa"/>
          </w:tcPr>
          <w:p>
            <w:pPr>
              <w:pStyle w:val="14"/>
              <w:spacing w:before="100"/>
              <w:ind w:right="406"/>
              <w:jc w:val="right"/>
              <w:rPr>
                <w:sz w:val="21"/>
              </w:rPr>
            </w:pPr>
            <w:r>
              <w:rPr>
                <w:w w:val="99"/>
                <w:sz w:val="21"/>
              </w:rPr>
              <w:t>1</w:t>
            </w:r>
          </w:p>
        </w:tc>
        <w:tc>
          <w:tcPr>
            <w:tcW w:w="1525" w:type="dxa"/>
          </w:tcPr>
          <w:p>
            <w:pPr>
              <w:pStyle w:val="14"/>
              <w:spacing w:before="100"/>
              <w:ind w:left="217" w:right="208"/>
              <w:rPr>
                <w:sz w:val="21"/>
              </w:rPr>
            </w:pPr>
            <w:r>
              <w:rPr>
                <w:sz w:val="21"/>
              </w:rPr>
              <w:t>5152091.72</w:t>
            </w:r>
          </w:p>
        </w:tc>
        <w:tc>
          <w:tcPr>
            <w:tcW w:w="1429" w:type="dxa"/>
          </w:tcPr>
          <w:p>
            <w:pPr>
              <w:pStyle w:val="14"/>
              <w:spacing w:before="100"/>
              <w:ind w:left="115" w:right="108"/>
              <w:rPr>
                <w:sz w:val="21"/>
              </w:rPr>
            </w:pPr>
            <w:r>
              <w:rPr>
                <w:sz w:val="21"/>
              </w:rPr>
              <w:t>44435726.20</w:t>
            </w:r>
          </w:p>
        </w:tc>
        <w:tc>
          <w:tcPr>
            <w:tcW w:w="708" w:type="dxa"/>
          </w:tcPr>
          <w:p>
            <w:pPr>
              <w:pStyle w:val="14"/>
              <w:spacing w:before="100"/>
              <w:ind w:left="300"/>
              <w:jc w:val="left"/>
              <w:rPr>
                <w:sz w:val="21"/>
              </w:rPr>
            </w:pPr>
            <w:r>
              <w:rPr>
                <w:w w:val="99"/>
                <w:sz w:val="21"/>
              </w:rPr>
              <w:t>3</w:t>
            </w:r>
          </w:p>
        </w:tc>
        <w:tc>
          <w:tcPr>
            <w:tcW w:w="1475" w:type="dxa"/>
          </w:tcPr>
          <w:p>
            <w:pPr>
              <w:pStyle w:val="14"/>
              <w:spacing w:before="100"/>
              <w:ind w:left="191" w:right="184"/>
              <w:rPr>
                <w:sz w:val="21"/>
              </w:rPr>
            </w:pPr>
            <w:r>
              <w:rPr>
                <w:sz w:val="21"/>
              </w:rPr>
              <w:t>5152416.73</w:t>
            </w:r>
          </w:p>
        </w:tc>
        <w:tc>
          <w:tcPr>
            <w:tcW w:w="1504" w:type="dxa"/>
          </w:tcPr>
          <w:p>
            <w:pPr>
              <w:pStyle w:val="14"/>
              <w:spacing w:before="100"/>
              <w:ind w:left="97" w:right="88"/>
              <w:rPr>
                <w:sz w:val="21"/>
              </w:rPr>
            </w:pPr>
            <w:r>
              <w:rPr>
                <w:sz w:val="21"/>
              </w:rPr>
              <w:t>44437052.20</w:t>
            </w:r>
          </w:p>
        </w:tc>
      </w:tr>
    </w:tbl>
    <w:p>
      <w:pPr>
        <w:spacing w:after="0"/>
        <w:rPr>
          <w:sz w:val="21"/>
        </w:rPr>
        <w:sectPr>
          <w:pgSz w:w="11910" w:h="16840"/>
          <w:pgMar w:top="1080" w:right="720" w:bottom="1160" w:left="760" w:header="0" w:footer="89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65" name="组合 12"/>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64" name="直线 13"/>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12"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u2gi7UAAAAAwEAAA8AAAAAAAAAAQAgAAAAIgAAAGRycy9kb3ducmV2LnhtbFBL&#10;AQIUABQAAAAIAIdO4kBpaLppMwIAALYEAAAOAAAAAAAAAAEAIAAAACMBAABkcnMvZTJvRG9jLnht&#10;bFBLBQYAAAAABgAGAFkBAADIBQAAAAA=&#10;">
                <o:lock v:ext="edit" aspectratio="f"/>
                <v:line id="直线 13" o:spid="_x0000_s1026" o:spt="20" style="position:absolute;left:0;top:7;height:0;width:8306;" filled="f" stroked="t" coordsize="21600,21600" o:gfxdata="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iu4C7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6"/>
        <w:spacing w:before="1"/>
        <w:rPr>
          <w:b/>
          <w:sz w:val="25"/>
        </w:rPr>
      </w:pPr>
    </w:p>
    <w:tbl>
      <w:tblPr>
        <w:tblStyle w:val="10"/>
        <w:tblW w:w="0" w:type="auto"/>
        <w:tblInd w:w="10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3"/>
        <w:gridCol w:w="938"/>
        <w:gridCol w:w="1525"/>
        <w:gridCol w:w="1429"/>
        <w:gridCol w:w="708"/>
        <w:gridCol w:w="1475"/>
        <w:gridCol w:w="15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43" w:type="dxa"/>
            <w:vMerge w:val="restart"/>
          </w:tcPr>
          <w:p>
            <w:pPr>
              <w:pStyle w:val="14"/>
              <w:jc w:val="left"/>
              <w:rPr>
                <w:rFonts w:ascii="Times New Roman"/>
                <w:sz w:val="22"/>
              </w:rPr>
            </w:pPr>
          </w:p>
        </w:tc>
        <w:tc>
          <w:tcPr>
            <w:tcW w:w="938" w:type="dxa"/>
          </w:tcPr>
          <w:p>
            <w:pPr>
              <w:pStyle w:val="14"/>
              <w:spacing w:before="98"/>
              <w:ind w:left="5"/>
              <w:rPr>
                <w:sz w:val="21"/>
              </w:rPr>
            </w:pPr>
            <w:r>
              <w:rPr>
                <w:w w:val="99"/>
                <w:sz w:val="21"/>
              </w:rPr>
              <w:t>2</w:t>
            </w:r>
          </w:p>
        </w:tc>
        <w:tc>
          <w:tcPr>
            <w:tcW w:w="1525" w:type="dxa"/>
          </w:tcPr>
          <w:p>
            <w:pPr>
              <w:pStyle w:val="14"/>
              <w:spacing w:before="98"/>
              <w:ind w:left="237"/>
              <w:jc w:val="left"/>
              <w:rPr>
                <w:sz w:val="21"/>
              </w:rPr>
            </w:pPr>
            <w:r>
              <w:rPr>
                <w:sz w:val="21"/>
              </w:rPr>
              <w:t>5152300.72</w:t>
            </w:r>
          </w:p>
        </w:tc>
        <w:tc>
          <w:tcPr>
            <w:tcW w:w="1429" w:type="dxa"/>
          </w:tcPr>
          <w:p>
            <w:pPr>
              <w:pStyle w:val="14"/>
              <w:spacing w:before="98"/>
              <w:ind w:left="135"/>
              <w:jc w:val="left"/>
              <w:rPr>
                <w:sz w:val="21"/>
              </w:rPr>
            </w:pPr>
            <w:r>
              <w:rPr>
                <w:sz w:val="21"/>
              </w:rPr>
              <w:t>44436248.20</w:t>
            </w:r>
          </w:p>
        </w:tc>
        <w:tc>
          <w:tcPr>
            <w:tcW w:w="708" w:type="dxa"/>
          </w:tcPr>
          <w:p>
            <w:pPr>
              <w:pStyle w:val="14"/>
              <w:spacing w:before="98"/>
              <w:ind w:left="6"/>
              <w:rPr>
                <w:sz w:val="21"/>
              </w:rPr>
            </w:pPr>
            <w:r>
              <w:rPr>
                <w:w w:val="99"/>
                <w:sz w:val="21"/>
              </w:rPr>
              <w:t>4</w:t>
            </w:r>
          </w:p>
        </w:tc>
        <w:tc>
          <w:tcPr>
            <w:tcW w:w="1475" w:type="dxa"/>
          </w:tcPr>
          <w:p>
            <w:pPr>
              <w:pStyle w:val="14"/>
              <w:spacing w:before="98"/>
              <w:ind w:left="211"/>
              <w:jc w:val="left"/>
              <w:rPr>
                <w:sz w:val="21"/>
              </w:rPr>
            </w:pPr>
            <w:r>
              <w:rPr>
                <w:sz w:val="21"/>
              </w:rPr>
              <w:t>5152017.72</w:t>
            </w:r>
          </w:p>
        </w:tc>
        <w:tc>
          <w:tcPr>
            <w:tcW w:w="1504" w:type="dxa"/>
          </w:tcPr>
          <w:p>
            <w:pPr>
              <w:pStyle w:val="14"/>
              <w:spacing w:before="98"/>
              <w:ind w:left="173"/>
              <w:jc w:val="left"/>
              <w:rPr>
                <w:sz w:val="21"/>
              </w:rPr>
            </w:pPr>
            <w:r>
              <w:rPr>
                <w:sz w:val="21"/>
              </w:rPr>
              <w:t>44436510.20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continue"/>
            <w:tcBorders>
              <w:top w:val="nil"/>
            </w:tcBorders>
          </w:tcPr>
          <w:p>
            <w:pPr>
              <w:rPr>
                <w:sz w:val="2"/>
                <w:szCs w:val="2"/>
              </w:rPr>
            </w:pPr>
          </w:p>
        </w:tc>
        <w:tc>
          <w:tcPr>
            <w:tcW w:w="7579" w:type="dxa"/>
            <w:gridSpan w:val="6"/>
          </w:tcPr>
          <w:p>
            <w:pPr>
              <w:pStyle w:val="14"/>
              <w:spacing w:before="21"/>
              <w:ind w:left="2665" w:right="2653"/>
              <w:rPr>
                <w:sz w:val="21"/>
              </w:rPr>
            </w:pPr>
            <w:r>
              <w:rPr>
                <w:sz w:val="21"/>
              </w:rPr>
              <w:t>开采标高：390 至 8m</w:t>
            </w:r>
          </w:p>
        </w:tc>
      </w:tr>
    </w:tbl>
    <w:p>
      <w:pPr>
        <w:pStyle w:val="13"/>
        <w:numPr>
          <w:ilvl w:val="2"/>
          <w:numId w:val="16"/>
        </w:numPr>
        <w:tabs>
          <w:tab w:val="left" w:pos="1669"/>
        </w:tabs>
        <w:spacing w:before="3" w:after="0" w:line="240" w:lineRule="auto"/>
        <w:ind w:left="1668" w:right="0" w:hanging="629"/>
        <w:jc w:val="left"/>
        <w:rPr>
          <w:b/>
          <w:sz w:val="28"/>
        </w:rPr>
      </w:pPr>
      <w:bookmarkStart w:id="80" w:name="3.1.2双鸭山大顺矿业有限公司开发简史"/>
      <w:bookmarkEnd w:id="80"/>
      <w:bookmarkStart w:id="81" w:name="3.1.2双鸭山大顺矿业有限公司开发简史"/>
      <w:bookmarkEnd w:id="81"/>
      <w:r>
        <w:rPr>
          <w:b/>
          <w:sz w:val="28"/>
        </w:rPr>
        <w:t>双鸭山大顺矿业有限公司开发简史</w:t>
      </w:r>
    </w:p>
    <w:p>
      <w:pPr>
        <w:pStyle w:val="6"/>
        <w:spacing w:before="262" w:line="364" w:lineRule="auto"/>
        <w:ind w:left="1040" w:right="1105" w:firstLine="480"/>
        <w:jc w:val="both"/>
      </w:pPr>
      <w:r>
        <w:rPr>
          <w:spacing w:val="-10"/>
        </w:rPr>
        <w:t xml:space="preserve">大顺煤矿于 </w:t>
      </w:r>
      <w:r>
        <w:rPr>
          <w:rFonts w:ascii="Times New Roman" w:eastAsia="Times New Roman"/>
        </w:rPr>
        <w:t xml:space="preserve">1980 </w:t>
      </w:r>
      <w:r>
        <w:t>年建井，其前身为双鸭山市横头山矿区横头山煤矿。</w:t>
      </w:r>
      <w:r>
        <w:rPr>
          <w:rFonts w:ascii="Times New Roman" w:eastAsia="Times New Roman"/>
          <w:spacing w:val="-5"/>
        </w:rPr>
        <w:t xml:space="preserve">2002 </w:t>
      </w:r>
      <w:r>
        <w:t>年资源</w:t>
      </w:r>
      <w:r>
        <w:rPr>
          <w:rFonts w:ascii="Times New Roman" w:eastAsia="Times New Roman"/>
        </w:rPr>
        <w:t>/</w:t>
      </w:r>
      <w:r>
        <w:t>储量核实后换发采矿许可证时更名为双鸭山市大顺煤矿。</w:t>
      </w:r>
    </w:p>
    <w:p>
      <w:pPr>
        <w:pStyle w:val="6"/>
        <w:spacing w:before="1" w:line="364" w:lineRule="auto"/>
        <w:ind w:left="1040" w:right="1077" w:firstLine="480"/>
        <w:jc w:val="both"/>
      </w:pPr>
      <w:r>
        <w:rPr>
          <w:spacing w:val="-6"/>
        </w:rPr>
        <w:t xml:space="preserve">双鸭山市大顺煤矿于 </w:t>
      </w:r>
      <w:r>
        <w:rPr>
          <w:rFonts w:ascii="Times New Roman" w:eastAsia="Times New Roman"/>
        </w:rPr>
        <w:t xml:space="preserve">1980 </w:t>
      </w:r>
      <w:r>
        <w:rPr>
          <w:spacing w:val="-7"/>
        </w:rPr>
        <w:t xml:space="preserve">年取得采矿权，先后开凿三对斜井。主要开采 </w:t>
      </w:r>
      <w:r>
        <w:rPr>
          <w:rFonts w:ascii="Times New Roman" w:eastAsia="Times New Roman"/>
          <w:spacing w:val="-8"/>
        </w:rPr>
        <w:t xml:space="preserve">15 </w:t>
      </w:r>
      <w:r>
        <w:rPr>
          <w:spacing w:val="-3"/>
        </w:rPr>
        <w:t>煤层。到目前：</w:t>
      </w:r>
      <w:r>
        <w:rPr>
          <w:rFonts w:ascii="Times New Roman" w:eastAsia="Times New Roman"/>
          <w:spacing w:val="-3"/>
        </w:rPr>
        <w:t xml:space="preserve">15 </w:t>
      </w:r>
      <w:r>
        <w:rPr>
          <w:spacing w:val="-5"/>
        </w:rPr>
        <w:t xml:space="preserve">煤层在一井区内尚有部分资源，二、三井的 </w:t>
      </w:r>
      <w:r>
        <w:rPr>
          <w:rFonts w:ascii="Times New Roman" w:eastAsia="Times New Roman"/>
        </w:rPr>
        <w:t xml:space="preserve">15 </w:t>
      </w:r>
      <w:r>
        <w:rPr>
          <w:spacing w:val="-3"/>
        </w:rPr>
        <w:t>煤层资源基本</w:t>
      </w:r>
      <w:r>
        <w:rPr>
          <w:spacing w:val="-9"/>
        </w:rPr>
        <w:t xml:space="preserve">开采完，现在 </w:t>
      </w:r>
      <w:r>
        <w:rPr>
          <w:rFonts w:ascii="Times New Roman" w:eastAsia="Times New Roman"/>
        </w:rPr>
        <w:t xml:space="preserve">10 </w:t>
      </w:r>
      <w:r>
        <w:t>煤层进行开采活动。</w:t>
      </w:r>
      <w:r>
        <w:rPr>
          <w:rFonts w:ascii="Times New Roman" w:eastAsia="Times New Roman"/>
        </w:rPr>
        <w:t xml:space="preserve">30 </w:t>
      </w:r>
      <w:r>
        <w:t>煤层始终没进行开发利用。</w:t>
      </w:r>
    </w:p>
    <w:p>
      <w:pPr>
        <w:pStyle w:val="6"/>
        <w:spacing w:before="2" w:line="364" w:lineRule="auto"/>
        <w:ind w:left="1040" w:right="1077" w:firstLine="480"/>
        <w:jc w:val="both"/>
      </w:pPr>
      <w:r>
        <w:rPr>
          <w:spacing w:val="-4"/>
        </w:rPr>
        <w:t>双鸭山大顺矿业有限公司是双鸭山市一家有限责任公司性质的煤矿企业，经</w:t>
      </w:r>
      <w:r>
        <w:rPr>
          <w:spacing w:val="-8"/>
        </w:rPr>
        <w:t>营范围为煤炭开采、销售等。企业经营状况良好，无资产负债及不良资产，现总</w:t>
      </w:r>
      <w:r>
        <w:rPr>
          <w:spacing w:val="-11"/>
        </w:rPr>
        <w:t xml:space="preserve">资产规模为 </w:t>
      </w:r>
      <w:r>
        <w:rPr>
          <w:rFonts w:ascii="Times New Roman" w:eastAsia="Times New Roman"/>
        </w:rPr>
        <w:t xml:space="preserve">9000 </w:t>
      </w:r>
      <w:r>
        <w:rPr>
          <w:spacing w:val="-6"/>
        </w:rPr>
        <w:t xml:space="preserve">万元。现有生产能力为 </w:t>
      </w:r>
      <w:r>
        <w:rPr>
          <w:rFonts w:ascii="Times New Roman" w:eastAsia="Times New Roman"/>
        </w:rPr>
        <w:t xml:space="preserve">4 </w:t>
      </w:r>
      <w:r>
        <w:rPr>
          <w:spacing w:val="-30"/>
        </w:rPr>
        <w:t xml:space="preserve">万 </w:t>
      </w:r>
      <w:r>
        <w:rPr>
          <w:rFonts w:ascii="Times New Roman" w:eastAsia="Times New Roman"/>
        </w:rPr>
        <w:t>t/a</w:t>
      </w:r>
      <w:r>
        <w:t>。</w:t>
      </w:r>
    </w:p>
    <w:p>
      <w:pPr>
        <w:pStyle w:val="13"/>
        <w:numPr>
          <w:ilvl w:val="2"/>
          <w:numId w:val="16"/>
        </w:numPr>
        <w:tabs>
          <w:tab w:val="left" w:pos="1669"/>
        </w:tabs>
        <w:spacing w:before="0" w:after="0" w:line="285" w:lineRule="exact"/>
        <w:ind w:left="1668" w:right="0" w:hanging="629"/>
        <w:jc w:val="left"/>
        <w:rPr>
          <w:b/>
          <w:sz w:val="28"/>
        </w:rPr>
      </w:pPr>
      <w:bookmarkStart w:id="82" w:name="3.1.3现有工程情况"/>
      <w:bookmarkEnd w:id="82"/>
      <w:bookmarkStart w:id="83" w:name="3.1.3现有工程情况"/>
      <w:bookmarkEnd w:id="83"/>
      <w:r>
        <w:rPr>
          <w:b/>
          <w:sz w:val="28"/>
        </w:rPr>
        <w:t>现有工程情况</w:t>
      </w:r>
    </w:p>
    <w:p>
      <w:pPr>
        <w:pStyle w:val="6"/>
        <w:spacing w:before="265" w:line="364" w:lineRule="auto"/>
        <w:ind w:left="1040" w:right="1077" w:firstLine="480"/>
        <w:jc w:val="both"/>
      </w:pPr>
      <w:r>
        <w:rPr>
          <w:spacing w:val="-11"/>
        </w:rPr>
        <w:t>目前，矿井所有采掘系统、地面辅助系统均保持完好，具体项目组成一览表</w:t>
      </w:r>
      <w:r>
        <w:rPr>
          <w:spacing w:val="-20"/>
        </w:rPr>
        <w:t xml:space="preserve">见表 </w:t>
      </w:r>
      <w:r>
        <w:rPr>
          <w:rFonts w:ascii="Times New Roman" w:eastAsia="Times New Roman"/>
        </w:rPr>
        <w:t>3.1-1</w:t>
      </w:r>
      <w:r>
        <w:t>。</w:t>
      </w:r>
    </w:p>
    <w:p>
      <w:pPr>
        <w:pStyle w:val="5"/>
        <w:tabs>
          <w:tab w:val="left" w:pos="3312"/>
        </w:tabs>
        <w:spacing w:before="1"/>
        <w:ind w:left="2273"/>
      </w:pPr>
      <w:r>
        <w:t>表</w:t>
      </w:r>
      <w:r>
        <w:rPr>
          <w:spacing w:val="-62"/>
        </w:rPr>
        <w:t xml:space="preserve"> </w:t>
      </w:r>
      <w:r>
        <w:rPr>
          <w:rFonts w:ascii="Times New Roman" w:eastAsia="Times New Roman"/>
        </w:rPr>
        <w:t>3.1-2</w:t>
      </w:r>
      <w:r>
        <w:rPr>
          <w:rFonts w:ascii="Times New Roman" w:eastAsia="Times New Roman"/>
        </w:rPr>
        <w:tab/>
      </w:r>
      <w:r>
        <w:t>双鸭山大顺矿业有限公司现有工程组成一览表</w:t>
      </w:r>
    </w:p>
    <w:p>
      <w:pPr>
        <w:pStyle w:val="6"/>
        <w:spacing w:before="1"/>
        <w:rPr>
          <w:b/>
          <w:sz w:val="6"/>
        </w:rPr>
      </w:pPr>
    </w:p>
    <w:tbl>
      <w:tblPr>
        <w:tblStyle w:val="10"/>
        <w:tblW w:w="0" w:type="auto"/>
        <w:tblInd w:w="5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7"/>
        <w:gridCol w:w="730"/>
        <w:gridCol w:w="750"/>
        <w:gridCol w:w="2290"/>
        <w:gridCol w:w="48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617" w:type="dxa"/>
          </w:tcPr>
          <w:p>
            <w:pPr>
              <w:pStyle w:val="14"/>
              <w:spacing w:before="20" w:line="278" w:lineRule="auto"/>
              <w:ind w:left="201" w:right="194"/>
              <w:jc w:val="both"/>
              <w:rPr>
                <w:sz w:val="21"/>
              </w:rPr>
            </w:pPr>
            <w:r>
              <w:rPr>
                <w:sz w:val="21"/>
              </w:rPr>
              <w:t>工业广</w:t>
            </w:r>
          </w:p>
          <w:p>
            <w:pPr>
              <w:pStyle w:val="14"/>
              <w:spacing w:line="269" w:lineRule="exact"/>
              <w:ind w:left="201"/>
              <w:jc w:val="left"/>
              <w:rPr>
                <w:sz w:val="21"/>
              </w:rPr>
            </w:pPr>
            <w:r>
              <w:rPr>
                <w:w w:val="99"/>
                <w:sz w:val="21"/>
              </w:rPr>
              <w:t>场</w:t>
            </w:r>
          </w:p>
        </w:tc>
        <w:tc>
          <w:tcPr>
            <w:tcW w:w="1480" w:type="dxa"/>
            <w:gridSpan w:val="2"/>
          </w:tcPr>
          <w:p>
            <w:pPr>
              <w:pStyle w:val="14"/>
              <w:jc w:val="left"/>
              <w:rPr>
                <w:b/>
                <w:sz w:val="20"/>
              </w:rPr>
            </w:pPr>
          </w:p>
          <w:p>
            <w:pPr>
              <w:pStyle w:val="14"/>
              <w:spacing w:before="1"/>
              <w:jc w:val="left"/>
              <w:rPr>
                <w:b/>
                <w:sz w:val="18"/>
              </w:rPr>
            </w:pPr>
          </w:p>
          <w:p>
            <w:pPr>
              <w:pStyle w:val="14"/>
              <w:tabs>
                <w:tab w:val="left" w:pos="844"/>
              </w:tabs>
              <w:ind w:left="213"/>
              <w:jc w:val="left"/>
              <w:rPr>
                <w:sz w:val="21"/>
              </w:rPr>
            </w:pPr>
            <w:r>
              <w:rPr>
                <w:sz w:val="21"/>
              </w:rPr>
              <w:t>工程</w:t>
            </w:r>
            <w:r>
              <w:rPr>
                <w:sz w:val="21"/>
              </w:rPr>
              <w:tab/>
            </w:r>
            <w:r>
              <w:rPr>
                <w:sz w:val="21"/>
              </w:rPr>
              <w:t>类别</w:t>
            </w:r>
          </w:p>
        </w:tc>
        <w:tc>
          <w:tcPr>
            <w:tcW w:w="2290" w:type="dxa"/>
          </w:tcPr>
          <w:p>
            <w:pPr>
              <w:pStyle w:val="14"/>
              <w:jc w:val="left"/>
              <w:rPr>
                <w:b/>
                <w:sz w:val="20"/>
              </w:rPr>
            </w:pPr>
          </w:p>
          <w:p>
            <w:pPr>
              <w:pStyle w:val="14"/>
              <w:spacing w:before="1"/>
              <w:jc w:val="left"/>
              <w:rPr>
                <w:b/>
                <w:sz w:val="18"/>
              </w:rPr>
            </w:pPr>
          </w:p>
          <w:p>
            <w:pPr>
              <w:pStyle w:val="14"/>
              <w:ind w:left="704" w:right="695"/>
              <w:rPr>
                <w:sz w:val="21"/>
              </w:rPr>
            </w:pPr>
            <w:r>
              <w:rPr>
                <w:sz w:val="21"/>
              </w:rPr>
              <w:t>单项工程</w:t>
            </w:r>
          </w:p>
        </w:tc>
        <w:tc>
          <w:tcPr>
            <w:tcW w:w="4838" w:type="dxa"/>
          </w:tcPr>
          <w:p>
            <w:pPr>
              <w:pStyle w:val="14"/>
              <w:jc w:val="left"/>
              <w:rPr>
                <w:b/>
                <w:sz w:val="20"/>
              </w:rPr>
            </w:pPr>
          </w:p>
          <w:p>
            <w:pPr>
              <w:pStyle w:val="14"/>
              <w:spacing w:before="1"/>
              <w:jc w:val="left"/>
              <w:rPr>
                <w:b/>
                <w:sz w:val="18"/>
              </w:rPr>
            </w:pPr>
          </w:p>
          <w:p>
            <w:pPr>
              <w:pStyle w:val="14"/>
              <w:ind w:left="2187" w:right="2181"/>
              <w:rPr>
                <w:sz w:val="21"/>
              </w:rPr>
            </w:pPr>
            <w:r>
              <w:rPr>
                <w:sz w:val="21"/>
              </w:rPr>
              <w:t>现状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17"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1"/>
              <w:jc w:val="left"/>
              <w:rPr>
                <w:b/>
                <w:sz w:val="16"/>
              </w:rPr>
            </w:pPr>
          </w:p>
          <w:p>
            <w:pPr>
              <w:pStyle w:val="14"/>
              <w:spacing w:line="266" w:lineRule="auto"/>
              <w:ind w:left="201" w:right="194"/>
              <w:jc w:val="both"/>
              <w:rPr>
                <w:sz w:val="21"/>
              </w:rPr>
            </w:pPr>
            <w:r>
              <w:rPr>
                <w:sz w:val="21"/>
              </w:rPr>
              <w:t>工业广场</w:t>
            </w:r>
          </w:p>
        </w:tc>
        <w:tc>
          <w:tcPr>
            <w:tcW w:w="730" w:type="dxa"/>
            <w:vMerge w:val="restart"/>
          </w:tcPr>
          <w:p>
            <w:pPr>
              <w:pStyle w:val="14"/>
              <w:spacing w:before="12"/>
              <w:jc w:val="left"/>
              <w:rPr>
                <w:b/>
                <w:sz w:val="27"/>
              </w:rPr>
            </w:pPr>
          </w:p>
          <w:p>
            <w:pPr>
              <w:pStyle w:val="14"/>
              <w:spacing w:line="266" w:lineRule="auto"/>
              <w:ind w:left="153" w:right="146"/>
              <w:jc w:val="left"/>
              <w:rPr>
                <w:sz w:val="21"/>
              </w:rPr>
            </w:pPr>
            <w:r>
              <w:rPr>
                <w:sz w:val="21"/>
              </w:rPr>
              <w:t>主体工程</w:t>
            </w:r>
          </w:p>
        </w:tc>
        <w:tc>
          <w:tcPr>
            <w:tcW w:w="750" w:type="dxa"/>
            <w:vMerge w:val="restart"/>
          </w:tcPr>
          <w:p>
            <w:pPr>
              <w:pStyle w:val="14"/>
              <w:spacing w:before="12"/>
              <w:jc w:val="left"/>
              <w:rPr>
                <w:b/>
                <w:sz w:val="27"/>
              </w:rPr>
            </w:pPr>
          </w:p>
          <w:p>
            <w:pPr>
              <w:pStyle w:val="14"/>
              <w:spacing w:line="266" w:lineRule="auto"/>
              <w:ind w:left="165" w:right="154"/>
              <w:jc w:val="left"/>
              <w:rPr>
                <w:sz w:val="21"/>
              </w:rPr>
            </w:pPr>
            <w:r>
              <w:rPr>
                <w:sz w:val="21"/>
              </w:rPr>
              <w:t>矿井工程</w:t>
            </w:r>
          </w:p>
        </w:tc>
        <w:tc>
          <w:tcPr>
            <w:tcW w:w="2290" w:type="dxa"/>
          </w:tcPr>
          <w:p>
            <w:pPr>
              <w:pStyle w:val="14"/>
              <w:spacing w:before="176"/>
              <w:ind w:left="701" w:right="695"/>
              <w:rPr>
                <w:sz w:val="21"/>
              </w:rPr>
            </w:pPr>
            <w:r>
              <w:rPr>
                <w:sz w:val="21"/>
              </w:rPr>
              <w:t>主井</w:t>
            </w:r>
          </w:p>
        </w:tc>
        <w:tc>
          <w:tcPr>
            <w:tcW w:w="4838" w:type="dxa"/>
          </w:tcPr>
          <w:p>
            <w:pPr>
              <w:pStyle w:val="14"/>
              <w:spacing w:before="20"/>
              <w:ind w:left="108" w:right="-15"/>
              <w:jc w:val="left"/>
              <w:rPr>
                <w:sz w:val="21"/>
              </w:rPr>
            </w:pPr>
            <w:r>
              <w:rPr>
                <w:spacing w:val="-14"/>
                <w:sz w:val="21"/>
              </w:rPr>
              <w:t xml:space="preserve">井筒断面为半圆拱形，井筒倾角为 </w:t>
            </w:r>
            <w:r>
              <w:rPr>
                <w:rFonts w:ascii="Times New Roman" w:hAnsi="Times New Roman" w:eastAsia="Times New Roman"/>
                <w:sz w:val="21"/>
              </w:rPr>
              <w:t>20</w:t>
            </w:r>
            <w:r>
              <w:rPr>
                <w:sz w:val="21"/>
              </w:rPr>
              <w:t>°</w:t>
            </w:r>
            <w:r>
              <w:rPr>
                <w:rFonts w:ascii="Times New Roman" w:hAnsi="Times New Roman" w:eastAsia="Times New Roman"/>
                <w:sz w:val="21"/>
              </w:rPr>
              <w:t>,</w:t>
            </w:r>
            <w:r>
              <w:rPr>
                <w:spacing w:val="-20"/>
                <w:sz w:val="21"/>
              </w:rPr>
              <w:t xml:space="preserve">斜长 </w:t>
            </w:r>
            <w:r>
              <w:rPr>
                <w:rFonts w:ascii="Times New Roman" w:hAnsi="Times New Roman" w:eastAsia="Times New Roman"/>
                <w:sz w:val="21"/>
              </w:rPr>
              <w:t>950m</w:t>
            </w:r>
            <w:r>
              <w:rPr>
                <w:sz w:val="21"/>
              </w:rPr>
              <w:t>，</w:t>
            </w:r>
          </w:p>
          <w:p>
            <w:pPr>
              <w:pStyle w:val="14"/>
              <w:spacing w:before="43"/>
              <w:ind w:left="108"/>
              <w:jc w:val="left"/>
              <w:rPr>
                <w:sz w:val="21"/>
              </w:rPr>
            </w:pPr>
            <w:r>
              <w:rPr>
                <w:sz w:val="21"/>
              </w:rPr>
              <w:t>主井担负矿井的提煤、入风等任务。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17" w:type="dxa"/>
            <w:vMerge w:val="continue"/>
            <w:tcBorders>
              <w:top w:val="nil"/>
            </w:tcBorders>
          </w:tcPr>
          <w:p>
            <w:pPr>
              <w:rPr>
                <w:sz w:val="2"/>
                <w:szCs w:val="2"/>
              </w:rPr>
            </w:pPr>
          </w:p>
        </w:tc>
        <w:tc>
          <w:tcPr>
            <w:tcW w:w="730" w:type="dxa"/>
            <w:vMerge w:val="continue"/>
            <w:tcBorders>
              <w:top w:val="nil"/>
            </w:tcBorders>
          </w:tcPr>
          <w:p>
            <w:pPr>
              <w:rPr>
                <w:sz w:val="2"/>
                <w:szCs w:val="2"/>
              </w:rPr>
            </w:pPr>
          </w:p>
        </w:tc>
        <w:tc>
          <w:tcPr>
            <w:tcW w:w="750" w:type="dxa"/>
            <w:vMerge w:val="continue"/>
            <w:tcBorders>
              <w:top w:val="nil"/>
            </w:tcBorders>
          </w:tcPr>
          <w:p>
            <w:pPr>
              <w:rPr>
                <w:sz w:val="2"/>
                <w:szCs w:val="2"/>
              </w:rPr>
            </w:pPr>
          </w:p>
        </w:tc>
        <w:tc>
          <w:tcPr>
            <w:tcW w:w="2290" w:type="dxa"/>
          </w:tcPr>
          <w:p>
            <w:pPr>
              <w:pStyle w:val="14"/>
              <w:jc w:val="left"/>
              <w:rPr>
                <w:b/>
                <w:sz w:val="15"/>
              </w:rPr>
            </w:pPr>
          </w:p>
          <w:p>
            <w:pPr>
              <w:pStyle w:val="14"/>
              <w:ind w:left="680" w:right="695"/>
              <w:rPr>
                <w:sz w:val="21"/>
              </w:rPr>
            </w:pPr>
            <w:r>
              <w:rPr>
                <w:sz w:val="21"/>
              </w:rPr>
              <w:t>副井</w:t>
            </w:r>
          </w:p>
        </w:tc>
        <w:tc>
          <w:tcPr>
            <w:tcW w:w="4838" w:type="dxa"/>
          </w:tcPr>
          <w:p>
            <w:pPr>
              <w:pStyle w:val="14"/>
              <w:spacing w:before="22"/>
              <w:ind w:left="108"/>
              <w:jc w:val="left"/>
              <w:rPr>
                <w:sz w:val="21"/>
              </w:rPr>
            </w:pPr>
            <w:r>
              <w:rPr>
                <w:sz w:val="21"/>
              </w:rPr>
              <w:t xml:space="preserve">井筒断面为半圆拱形，井筒倾角为 </w:t>
            </w:r>
            <w:r>
              <w:rPr>
                <w:rFonts w:ascii="Times New Roman" w:hAnsi="Times New Roman" w:eastAsia="Times New Roman"/>
                <w:sz w:val="21"/>
              </w:rPr>
              <w:t>20°</w:t>
            </w:r>
            <w:r>
              <w:rPr>
                <w:sz w:val="21"/>
              </w:rPr>
              <w:t>，担负矿井</w:t>
            </w:r>
          </w:p>
          <w:p>
            <w:pPr>
              <w:pStyle w:val="14"/>
              <w:spacing w:before="43"/>
              <w:ind w:left="108"/>
              <w:jc w:val="left"/>
              <w:rPr>
                <w:sz w:val="21"/>
              </w:rPr>
            </w:pPr>
            <w:r>
              <w:rPr>
                <w:sz w:val="21"/>
              </w:rPr>
              <w:t>提升人员任务。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7" w:hRule="atLeast"/>
        </w:trPr>
        <w:tc>
          <w:tcPr>
            <w:tcW w:w="617" w:type="dxa"/>
            <w:vMerge w:val="continue"/>
            <w:tcBorders>
              <w:top w:val="nil"/>
            </w:tcBorders>
          </w:tcPr>
          <w:p>
            <w:pPr>
              <w:rPr>
                <w:sz w:val="2"/>
                <w:szCs w:val="2"/>
              </w:rPr>
            </w:pPr>
          </w:p>
        </w:tc>
        <w:tc>
          <w:tcPr>
            <w:tcW w:w="730" w:type="dxa"/>
            <w:vMerge w:val="restart"/>
          </w:tcPr>
          <w:p>
            <w:pPr>
              <w:pStyle w:val="14"/>
              <w:jc w:val="left"/>
              <w:rPr>
                <w:b/>
                <w:sz w:val="20"/>
              </w:rPr>
            </w:pPr>
          </w:p>
          <w:p>
            <w:pPr>
              <w:pStyle w:val="14"/>
              <w:spacing w:before="11"/>
              <w:jc w:val="left"/>
              <w:rPr>
                <w:b/>
                <w:sz w:val="22"/>
              </w:rPr>
            </w:pPr>
          </w:p>
          <w:p>
            <w:pPr>
              <w:pStyle w:val="14"/>
              <w:spacing w:line="266" w:lineRule="auto"/>
              <w:ind w:left="153" w:right="146"/>
              <w:jc w:val="both"/>
              <w:rPr>
                <w:sz w:val="21"/>
              </w:rPr>
            </w:pPr>
            <w:r>
              <w:rPr>
                <w:sz w:val="21"/>
              </w:rPr>
              <w:t>辅助生产系统</w:t>
            </w:r>
          </w:p>
        </w:tc>
        <w:tc>
          <w:tcPr>
            <w:tcW w:w="3040" w:type="dxa"/>
            <w:gridSpan w:val="2"/>
          </w:tcPr>
          <w:p>
            <w:pPr>
              <w:pStyle w:val="14"/>
              <w:spacing w:before="10"/>
              <w:jc w:val="left"/>
              <w:rPr>
                <w:b/>
                <w:sz w:val="17"/>
              </w:rPr>
            </w:pPr>
          </w:p>
          <w:p>
            <w:pPr>
              <w:pStyle w:val="14"/>
              <w:ind w:left="890"/>
              <w:jc w:val="left"/>
              <w:rPr>
                <w:sz w:val="21"/>
              </w:rPr>
            </w:pPr>
            <w:r>
              <w:rPr>
                <w:sz w:val="21"/>
              </w:rPr>
              <w:t>矿井辅助设施</w:t>
            </w:r>
          </w:p>
        </w:tc>
        <w:tc>
          <w:tcPr>
            <w:tcW w:w="4838" w:type="dxa"/>
          </w:tcPr>
          <w:p>
            <w:pPr>
              <w:pStyle w:val="14"/>
              <w:spacing w:before="79" w:line="266" w:lineRule="auto"/>
              <w:ind w:left="108" w:right="97"/>
              <w:jc w:val="left"/>
              <w:rPr>
                <w:sz w:val="21"/>
              </w:rPr>
            </w:pPr>
            <w:r>
              <w:rPr>
                <w:w w:val="95"/>
                <w:sz w:val="21"/>
              </w:rPr>
              <w:t xml:space="preserve">机修间、消防材料库、日用生活消防水池泵房等辅 </w:t>
            </w:r>
            <w:r>
              <w:rPr>
                <w:sz w:val="21"/>
              </w:rPr>
              <w:t>助生产设施。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17" w:type="dxa"/>
            <w:vMerge w:val="continue"/>
            <w:tcBorders>
              <w:top w:val="nil"/>
            </w:tcBorders>
          </w:tcPr>
          <w:p>
            <w:pPr>
              <w:rPr>
                <w:sz w:val="2"/>
                <w:szCs w:val="2"/>
              </w:rPr>
            </w:pPr>
          </w:p>
        </w:tc>
        <w:tc>
          <w:tcPr>
            <w:tcW w:w="730" w:type="dxa"/>
            <w:vMerge w:val="continue"/>
            <w:tcBorders>
              <w:top w:val="nil"/>
            </w:tcBorders>
          </w:tcPr>
          <w:p>
            <w:pPr>
              <w:rPr>
                <w:sz w:val="2"/>
                <w:szCs w:val="2"/>
              </w:rPr>
            </w:pPr>
          </w:p>
        </w:tc>
        <w:tc>
          <w:tcPr>
            <w:tcW w:w="3040" w:type="dxa"/>
            <w:gridSpan w:val="2"/>
          </w:tcPr>
          <w:p>
            <w:pPr>
              <w:pStyle w:val="14"/>
              <w:spacing w:before="175"/>
              <w:ind w:left="678"/>
              <w:jc w:val="left"/>
              <w:rPr>
                <w:sz w:val="21"/>
              </w:rPr>
            </w:pPr>
            <w:r>
              <w:rPr>
                <w:sz w:val="21"/>
              </w:rPr>
              <w:t>采暖、洗浴锅炉房</w:t>
            </w:r>
          </w:p>
        </w:tc>
        <w:tc>
          <w:tcPr>
            <w:tcW w:w="4838" w:type="dxa"/>
          </w:tcPr>
          <w:p>
            <w:pPr>
              <w:pStyle w:val="14"/>
              <w:spacing w:before="21"/>
              <w:ind w:left="108"/>
              <w:jc w:val="left"/>
              <w:rPr>
                <w:sz w:val="21"/>
              </w:rPr>
            </w:pPr>
            <w:r>
              <w:rPr>
                <w:sz w:val="21"/>
              </w:rPr>
              <w:t xml:space="preserve">现有 </w:t>
            </w:r>
            <w:r>
              <w:rPr>
                <w:rFonts w:ascii="Times New Roman" w:eastAsia="Times New Roman"/>
                <w:sz w:val="21"/>
              </w:rPr>
              <w:t xml:space="preserve">1 </w:t>
            </w:r>
            <w:r>
              <w:rPr>
                <w:sz w:val="21"/>
              </w:rPr>
              <w:t>台常压热水锅炉，燃料为本矿原煤，为工业</w:t>
            </w:r>
          </w:p>
          <w:p>
            <w:pPr>
              <w:pStyle w:val="14"/>
              <w:spacing w:before="43"/>
              <w:ind w:left="108" w:right="-15"/>
              <w:jc w:val="left"/>
              <w:rPr>
                <w:sz w:val="21"/>
              </w:rPr>
            </w:pPr>
            <w:r>
              <w:rPr>
                <w:spacing w:val="-11"/>
                <w:sz w:val="21"/>
              </w:rPr>
              <w:t>场地内建、构筑物的采暖及员工洗浴，无除尘设备。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617" w:type="dxa"/>
            <w:vMerge w:val="continue"/>
            <w:tcBorders>
              <w:top w:val="nil"/>
            </w:tcBorders>
          </w:tcPr>
          <w:p>
            <w:pPr>
              <w:rPr>
                <w:sz w:val="2"/>
                <w:szCs w:val="2"/>
              </w:rPr>
            </w:pPr>
          </w:p>
        </w:tc>
        <w:tc>
          <w:tcPr>
            <w:tcW w:w="730" w:type="dxa"/>
            <w:vMerge w:val="continue"/>
            <w:tcBorders>
              <w:top w:val="nil"/>
            </w:tcBorders>
          </w:tcPr>
          <w:p>
            <w:pPr>
              <w:rPr>
                <w:sz w:val="2"/>
                <w:szCs w:val="2"/>
              </w:rPr>
            </w:pPr>
          </w:p>
        </w:tc>
        <w:tc>
          <w:tcPr>
            <w:tcW w:w="3040" w:type="dxa"/>
            <w:gridSpan w:val="2"/>
          </w:tcPr>
          <w:p>
            <w:pPr>
              <w:pStyle w:val="14"/>
              <w:spacing w:before="180"/>
              <w:ind w:left="761" w:right="756"/>
              <w:rPr>
                <w:sz w:val="21"/>
              </w:rPr>
            </w:pPr>
            <w:r>
              <w:rPr>
                <w:sz w:val="21"/>
              </w:rPr>
              <w:t>热风炉房</w:t>
            </w:r>
          </w:p>
        </w:tc>
        <w:tc>
          <w:tcPr>
            <w:tcW w:w="4838" w:type="dxa"/>
          </w:tcPr>
          <w:p>
            <w:pPr>
              <w:pStyle w:val="14"/>
              <w:spacing w:before="163"/>
              <w:ind w:left="108"/>
              <w:jc w:val="left"/>
              <w:rPr>
                <w:sz w:val="21"/>
              </w:rPr>
            </w:pPr>
            <w:r>
              <w:rPr>
                <w:sz w:val="21"/>
              </w:rPr>
              <w:t xml:space="preserve">内设 </w:t>
            </w:r>
            <w:r>
              <w:rPr>
                <w:rFonts w:ascii="Times New Roman" w:eastAsia="Times New Roman"/>
                <w:sz w:val="21"/>
              </w:rPr>
              <w:t xml:space="preserve">1 </w:t>
            </w:r>
            <w:r>
              <w:rPr>
                <w:sz w:val="21"/>
              </w:rPr>
              <w:t>台热风炉，无除尘设备，用于井筒防冻。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0" w:hRule="atLeast"/>
        </w:trPr>
        <w:tc>
          <w:tcPr>
            <w:tcW w:w="617" w:type="dxa"/>
            <w:vMerge w:val="continue"/>
            <w:tcBorders>
              <w:top w:val="nil"/>
            </w:tcBorders>
          </w:tcPr>
          <w:p>
            <w:pPr>
              <w:rPr>
                <w:sz w:val="2"/>
                <w:szCs w:val="2"/>
              </w:rPr>
            </w:pPr>
          </w:p>
        </w:tc>
        <w:tc>
          <w:tcPr>
            <w:tcW w:w="730" w:type="dxa"/>
            <w:vMerge w:val="restart"/>
          </w:tcPr>
          <w:p>
            <w:pPr>
              <w:pStyle w:val="14"/>
              <w:jc w:val="left"/>
              <w:rPr>
                <w:b/>
                <w:sz w:val="20"/>
              </w:rPr>
            </w:pPr>
          </w:p>
          <w:p>
            <w:pPr>
              <w:pStyle w:val="14"/>
              <w:jc w:val="left"/>
              <w:rPr>
                <w:b/>
                <w:sz w:val="20"/>
              </w:rPr>
            </w:pPr>
          </w:p>
          <w:p>
            <w:pPr>
              <w:pStyle w:val="14"/>
              <w:spacing w:before="176" w:line="266" w:lineRule="auto"/>
              <w:ind w:left="153" w:right="146"/>
              <w:jc w:val="left"/>
              <w:rPr>
                <w:sz w:val="21"/>
              </w:rPr>
            </w:pPr>
            <w:r>
              <w:rPr>
                <w:sz w:val="21"/>
              </w:rPr>
              <w:t>储运工程</w:t>
            </w:r>
          </w:p>
        </w:tc>
        <w:tc>
          <w:tcPr>
            <w:tcW w:w="3040" w:type="dxa"/>
            <w:gridSpan w:val="2"/>
          </w:tcPr>
          <w:p>
            <w:pPr>
              <w:pStyle w:val="14"/>
              <w:jc w:val="left"/>
              <w:rPr>
                <w:b/>
                <w:sz w:val="20"/>
              </w:rPr>
            </w:pPr>
          </w:p>
          <w:p>
            <w:pPr>
              <w:pStyle w:val="14"/>
              <w:spacing w:before="1"/>
              <w:jc w:val="left"/>
              <w:rPr>
                <w:b/>
                <w:sz w:val="29"/>
              </w:rPr>
            </w:pPr>
          </w:p>
          <w:p>
            <w:pPr>
              <w:pStyle w:val="14"/>
              <w:ind w:left="764" w:right="756"/>
              <w:rPr>
                <w:sz w:val="21"/>
              </w:rPr>
            </w:pPr>
            <w:r>
              <w:rPr>
                <w:sz w:val="21"/>
              </w:rPr>
              <w:t>公路</w:t>
            </w:r>
          </w:p>
        </w:tc>
        <w:tc>
          <w:tcPr>
            <w:tcW w:w="4838" w:type="dxa"/>
          </w:tcPr>
          <w:p>
            <w:pPr>
              <w:pStyle w:val="14"/>
              <w:spacing w:before="29" w:line="266" w:lineRule="auto"/>
              <w:ind w:left="108" w:right="94"/>
              <w:jc w:val="both"/>
              <w:rPr>
                <w:sz w:val="21"/>
              </w:rPr>
            </w:pPr>
            <w:r>
              <w:rPr>
                <w:spacing w:val="-4"/>
                <w:sz w:val="21"/>
              </w:rPr>
              <w:t xml:space="preserve">该矿位于双鸭山矿业集团岭东煤矿南 </w:t>
            </w:r>
            <w:r>
              <w:rPr>
                <w:rFonts w:ascii="Times New Roman" w:eastAsia="Times New Roman"/>
                <w:sz w:val="21"/>
              </w:rPr>
              <w:t xml:space="preserve">7 </w:t>
            </w:r>
            <w:r>
              <w:rPr>
                <w:sz w:val="21"/>
              </w:rPr>
              <w:t>千米处，在双鸭山市司法局劳教所东部。从岭东矿通往矿井有砂石公路可直达，距双鸭山矿业集团内部运煤专用</w:t>
            </w:r>
            <w:r>
              <w:rPr>
                <w:spacing w:val="-4"/>
                <w:sz w:val="21"/>
              </w:rPr>
              <w:t xml:space="preserve">铁路线岭东车站 </w:t>
            </w:r>
            <w:r>
              <w:rPr>
                <w:rFonts w:ascii="Times New Roman" w:eastAsia="Times New Roman"/>
                <w:spacing w:val="2"/>
                <w:sz w:val="21"/>
              </w:rPr>
              <w:t>7km</w:t>
            </w:r>
            <w:r>
              <w:rPr>
                <w:spacing w:val="-4"/>
                <w:sz w:val="21"/>
              </w:rPr>
              <w:t xml:space="preserve">，距双鸭山火车站 </w:t>
            </w:r>
            <w:r>
              <w:rPr>
                <w:rFonts w:ascii="Times New Roman" w:eastAsia="Times New Roman"/>
                <w:spacing w:val="2"/>
                <w:sz w:val="21"/>
              </w:rPr>
              <w:t>15km</w:t>
            </w:r>
            <w:r>
              <w:rPr>
                <w:spacing w:val="1"/>
                <w:sz w:val="21"/>
              </w:rPr>
              <w:t>，交</w:t>
            </w:r>
          </w:p>
          <w:p>
            <w:pPr>
              <w:pStyle w:val="14"/>
              <w:spacing w:before="5" w:line="251" w:lineRule="exact"/>
              <w:ind w:left="108"/>
              <w:jc w:val="left"/>
              <w:rPr>
                <w:sz w:val="21"/>
              </w:rPr>
            </w:pPr>
            <w:r>
              <w:rPr>
                <w:sz w:val="21"/>
              </w:rPr>
              <w:t>通较为方便。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617" w:type="dxa"/>
            <w:vMerge w:val="continue"/>
            <w:tcBorders>
              <w:top w:val="nil"/>
            </w:tcBorders>
          </w:tcPr>
          <w:p>
            <w:pPr>
              <w:rPr>
                <w:sz w:val="2"/>
                <w:szCs w:val="2"/>
              </w:rPr>
            </w:pPr>
          </w:p>
        </w:tc>
        <w:tc>
          <w:tcPr>
            <w:tcW w:w="730" w:type="dxa"/>
            <w:vMerge w:val="continue"/>
            <w:tcBorders>
              <w:top w:val="nil"/>
            </w:tcBorders>
          </w:tcPr>
          <w:p>
            <w:pPr>
              <w:rPr>
                <w:sz w:val="2"/>
                <w:szCs w:val="2"/>
              </w:rPr>
            </w:pPr>
          </w:p>
        </w:tc>
        <w:tc>
          <w:tcPr>
            <w:tcW w:w="3040" w:type="dxa"/>
            <w:gridSpan w:val="2"/>
          </w:tcPr>
          <w:p>
            <w:pPr>
              <w:pStyle w:val="14"/>
              <w:spacing w:before="84"/>
              <w:ind w:left="764" w:right="756"/>
              <w:rPr>
                <w:sz w:val="21"/>
              </w:rPr>
            </w:pPr>
            <w:r>
              <w:rPr>
                <w:sz w:val="21"/>
              </w:rPr>
              <w:t>储煤场</w:t>
            </w:r>
          </w:p>
        </w:tc>
        <w:tc>
          <w:tcPr>
            <w:tcW w:w="4838" w:type="dxa"/>
          </w:tcPr>
          <w:p>
            <w:pPr>
              <w:pStyle w:val="14"/>
              <w:spacing w:before="84"/>
              <w:ind w:left="108"/>
              <w:jc w:val="left"/>
              <w:rPr>
                <w:sz w:val="21"/>
              </w:rPr>
            </w:pPr>
            <w:r>
              <w:rPr>
                <w:sz w:val="21"/>
              </w:rPr>
              <w:t>露天储煤场。</w:t>
            </w:r>
          </w:p>
        </w:tc>
      </w:tr>
    </w:tbl>
    <w:p>
      <w:pPr>
        <w:spacing w:after="0"/>
        <w:jc w:val="left"/>
        <w:rPr>
          <w:sz w:val="21"/>
        </w:rPr>
        <w:sectPr>
          <w:pgSz w:w="11910" w:h="16840"/>
          <w:pgMar w:top="1080" w:right="720" w:bottom="1160" w:left="760" w:header="0" w:footer="89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67" name="组合 14"/>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66" name="直线 15"/>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14"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7toIu1AAAAAMBAAAPAAAAAAAAAAEAIAAAACIAAABkcnMvZG93bnJldi54bWxQ&#10;SwECFAAUAAAACACHTuJA2L40ADQCAAC2BAAADgAAAAAAAAABACAAAAAjAQAAZHJzL2Uyb0RvYy54&#10;bWxQSwUGAAAAAAYABgBZAQAAyQUAAAAA&#10;">
                <o:lock v:ext="edit" aspectratio="f"/>
                <v:line id="直线 15" o:spid="_x0000_s1026" o:spt="20" style="position:absolute;left:0;top:7;height:0;width:8306;" filled="f" stroked="t" coordsize="21600,21600" o:gfxdata="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bWD57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6"/>
        <w:spacing w:before="1"/>
        <w:rPr>
          <w:b/>
          <w:sz w:val="25"/>
        </w:rPr>
      </w:pPr>
    </w:p>
    <w:tbl>
      <w:tblPr>
        <w:tblStyle w:val="10"/>
        <w:tblW w:w="0" w:type="auto"/>
        <w:tblInd w:w="5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7"/>
        <w:gridCol w:w="730"/>
        <w:gridCol w:w="3040"/>
        <w:gridCol w:w="48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0" w:hRule="atLeast"/>
        </w:trPr>
        <w:tc>
          <w:tcPr>
            <w:tcW w:w="617" w:type="dxa"/>
            <w:vMerge w:val="restart"/>
          </w:tcPr>
          <w:p>
            <w:pPr>
              <w:pStyle w:val="14"/>
              <w:jc w:val="left"/>
              <w:rPr>
                <w:rFonts w:ascii="Times New Roman"/>
                <w:sz w:val="22"/>
              </w:rPr>
            </w:pPr>
          </w:p>
        </w:tc>
        <w:tc>
          <w:tcPr>
            <w:tcW w:w="730"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7"/>
              <w:jc w:val="left"/>
              <w:rPr>
                <w:b/>
                <w:sz w:val="19"/>
              </w:rPr>
            </w:pPr>
          </w:p>
          <w:p>
            <w:pPr>
              <w:pStyle w:val="14"/>
              <w:spacing w:line="266" w:lineRule="auto"/>
              <w:ind w:left="153" w:right="146"/>
              <w:jc w:val="left"/>
              <w:rPr>
                <w:sz w:val="21"/>
              </w:rPr>
            </w:pPr>
            <w:r>
              <w:rPr>
                <w:sz w:val="21"/>
              </w:rPr>
              <w:t>公用工程</w:t>
            </w:r>
          </w:p>
        </w:tc>
        <w:tc>
          <w:tcPr>
            <w:tcW w:w="3040" w:type="dxa"/>
          </w:tcPr>
          <w:p>
            <w:pPr>
              <w:pStyle w:val="14"/>
              <w:jc w:val="left"/>
              <w:rPr>
                <w:b/>
                <w:sz w:val="20"/>
              </w:rPr>
            </w:pPr>
          </w:p>
          <w:p>
            <w:pPr>
              <w:pStyle w:val="14"/>
              <w:jc w:val="left"/>
              <w:rPr>
                <w:b/>
                <w:sz w:val="20"/>
              </w:rPr>
            </w:pPr>
          </w:p>
          <w:p>
            <w:pPr>
              <w:pStyle w:val="14"/>
              <w:jc w:val="left"/>
              <w:rPr>
                <w:b/>
                <w:sz w:val="20"/>
              </w:rPr>
            </w:pPr>
          </w:p>
          <w:p>
            <w:pPr>
              <w:pStyle w:val="14"/>
              <w:spacing w:before="162"/>
              <w:ind w:left="764" w:right="756"/>
              <w:rPr>
                <w:sz w:val="21"/>
              </w:rPr>
            </w:pPr>
            <w:r>
              <w:rPr>
                <w:sz w:val="21"/>
              </w:rPr>
              <w:t>供电</w:t>
            </w:r>
          </w:p>
        </w:tc>
        <w:tc>
          <w:tcPr>
            <w:tcW w:w="4838" w:type="dxa"/>
          </w:tcPr>
          <w:p>
            <w:pPr>
              <w:pStyle w:val="14"/>
              <w:spacing w:before="31" w:line="266" w:lineRule="auto"/>
              <w:ind w:left="108" w:right="92"/>
              <w:jc w:val="both"/>
              <w:rPr>
                <w:sz w:val="21"/>
              </w:rPr>
            </w:pPr>
            <w:r>
              <w:rPr>
                <w:sz w:val="21"/>
              </w:rPr>
              <w:t>本矿井双电源来自双鸭集团岭东供电公司东三甲线</w:t>
            </w:r>
            <w:r>
              <w:rPr>
                <w:spacing w:val="-3"/>
                <w:sz w:val="21"/>
              </w:rPr>
              <w:t xml:space="preserve">和由来自双鸭集团岭东供电公司东七乙线 </w:t>
            </w:r>
            <w:r>
              <w:rPr>
                <w:rFonts w:ascii="Times New Roman" w:eastAsia="Times New Roman"/>
                <w:sz w:val="21"/>
              </w:rPr>
              <w:t xml:space="preserve">10kV </w:t>
            </w:r>
            <w:r>
              <w:rPr>
                <w:sz w:val="21"/>
              </w:rPr>
              <w:t>高</w:t>
            </w:r>
            <w:r>
              <w:rPr>
                <w:spacing w:val="-12"/>
                <w:sz w:val="21"/>
              </w:rPr>
              <w:t xml:space="preserve">压架空线，经地面变电所 </w:t>
            </w:r>
            <w:r>
              <w:rPr>
                <w:rFonts w:ascii="Times New Roman" w:eastAsia="Times New Roman"/>
                <w:sz w:val="21"/>
              </w:rPr>
              <w:t xml:space="preserve">4 </w:t>
            </w:r>
            <w:r>
              <w:rPr>
                <w:spacing w:val="-28"/>
                <w:sz w:val="21"/>
              </w:rPr>
              <w:t xml:space="preserve">台 </w:t>
            </w:r>
            <w:r>
              <w:rPr>
                <w:rFonts w:ascii="Times New Roman" w:eastAsia="Times New Roman"/>
                <w:spacing w:val="-4"/>
                <w:sz w:val="21"/>
              </w:rPr>
              <w:t>S9-400/10</w:t>
            </w:r>
            <w:r>
              <w:rPr>
                <w:spacing w:val="-2"/>
                <w:sz w:val="21"/>
              </w:rPr>
              <w:t>，两台变压</w:t>
            </w:r>
            <w:r>
              <w:rPr>
                <w:spacing w:val="-10"/>
                <w:sz w:val="21"/>
              </w:rPr>
              <w:t xml:space="preserve">器降压后 </w:t>
            </w:r>
            <w:r>
              <w:rPr>
                <w:rFonts w:ascii="Times New Roman" w:eastAsia="Times New Roman"/>
                <w:sz w:val="21"/>
              </w:rPr>
              <w:t xml:space="preserve">380V </w:t>
            </w:r>
            <w:r>
              <w:rPr>
                <w:spacing w:val="1"/>
                <w:sz w:val="21"/>
              </w:rPr>
              <w:t>进入地面各用电地点，两台进入井</w:t>
            </w:r>
            <w:r>
              <w:rPr>
                <w:spacing w:val="-6"/>
                <w:sz w:val="21"/>
              </w:rPr>
              <w:t xml:space="preserve">下变压器降压后 </w:t>
            </w:r>
            <w:r>
              <w:rPr>
                <w:rFonts w:ascii="Times New Roman" w:eastAsia="Times New Roman"/>
                <w:sz w:val="21"/>
              </w:rPr>
              <w:t xml:space="preserve">660V </w:t>
            </w:r>
            <w:r>
              <w:rPr>
                <w:sz w:val="21"/>
              </w:rPr>
              <w:t>入井进入各用电地点。</w:t>
            </w:r>
          </w:p>
          <w:p>
            <w:pPr>
              <w:pStyle w:val="14"/>
              <w:spacing w:before="6"/>
              <w:ind w:left="108"/>
              <w:jc w:val="left"/>
              <w:rPr>
                <w:sz w:val="21"/>
              </w:rPr>
            </w:pPr>
            <w:r>
              <w:rPr>
                <w:sz w:val="21"/>
              </w:rPr>
              <w:t>当一回线路发生故障时，另一回线路完全能满足矿</w:t>
            </w:r>
          </w:p>
          <w:p>
            <w:pPr>
              <w:pStyle w:val="14"/>
              <w:spacing w:before="31" w:line="249" w:lineRule="exact"/>
              <w:ind w:left="108"/>
              <w:jc w:val="left"/>
              <w:rPr>
                <w:sz w:val="21"/>
              </w:rPr>
            </w:pPr>
            <w:r>
              <w:rPr>
                <w:sz w:val="21"/>
              </w:rPr>
              <w:t>井供电的需要。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617" w:type="dxa"/>
            <w:vMerge w:val="continue"/>
            <w:tcBorders>
              <w:top w:val="nil"/>
            </w:tcBorders>
          </w:tcPr>
          <w:p>
            <w:pPr>
              <w:rPr>
                <w:sz w:val="2"/>
                <w:szCs w:val="2"/>
              </w:rPr>
            </w:pPr>
          </w:p>
        </w:tc>
        <w:tc>
          <w:tcPr>
            <w:tcW w:w="730" w:type="dxa"/>
            <w:vMerge w:val="continue"/>
            <w:tcBorders>
              <w:top w:val="nil"/>
            </w:tcBorders>
          </w:tcPr>
          <w:p>
            <w:pPr>
              <w:rPr>
                <w:sz w:val="2"/>
                <w:szCs w:val="2"/>
              </w:rPr>
            </w:pPr>
          </w:p>
        </w:tc>
        <w:tc>
          <w:tcPr>
            <w:tcW w:w="3040" w:type="dxa"/>
          </w:tcPr>
          <w:p>
            <w:pPr>
              <w:pStyle w:val="14"/>
              <w:spacing w:before="179"/>
              <w:ind w:left="761" w:right="756"/>
              <w:rPr>
                <w:sz w:val="21"/>
              </w:rPr>
            </w:pPr>
            <w:r>
              <w:rPr>
                <w:sz w:val="21"/>
              </w:rPr>
              <w:t>供水水源</w:t>
            </w:r>
          </w:p>
        </w:tc>
        <w:tc>
          <w:tcPr>
            <w:tcW w:w="4838" w:type="dxa"/>
          </w:tcPr>
          <w:p>
            <w:pPr>
              <w:pStyle w:val="14"/>
              <w:spacing w:line="300" w:lineRule="exact"/>
              <w:ind w:left="108" w:right="97"/>
              <w:jc w:val="left"/>
              <w:rPr>
                <w:sz w:val="21"/>
              </w:rPr>
            </w:pPr>
            <w:r>
              <w:rPr>
                <w:w w:val="95"/>
                <w:sz w:val="21"/>
              </w:rPr>
              <w:t xml:space="preserve">该矿生产用水由本矿井下水处理后回用于生产，生 </w:t>
            </w:r>
            <w:r>
              <w:rPr>
                <w:sz w:val="21"/>
              </w:rPr>
              <w:t>活用水由地面深水井供给。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trPr>
        <w:tc>
          <w:tcPr>
            <w:tcW w:w="617" w:type="dxa"/>
            <w:vMerge w:val="continue"/>
            <w:tcBorders>
              <w:top w:val="nil"/>
            </w:tcBorders>
          </w:tcPr>
          <w:p>
            <w:pPr>
              <w:rPr>
                <w:sz w:val="2"/>
                <w:szCs w:val="2"/>
              </w:rPr>
            </w:pPr>
          </w:p>
        </w:tc>
        <w:tc>
          <w:tcPr>
            <w:tcW w:w="730" w:type="dxa"/>
            <w:vMerge w:val="continue"/>
            <w:tcBorders>
              <w:top w:val="nil"/>
            </w:tcBorders>
          </w:tcPr>
          <w:p>
            <w:pPr>
              <w:rPr>
                <w:sz w:val="2"/>
                <w:szCs w:val="2"/>
              </w:rPr>
            </w:pPr>
          </w:p>
        </w:tc>
        <w:tc>
          <w:tcPr>
            <w:tcW w:w="3040" w:type="dxa"/>
          </w:tcPr>
          <w:p>
            <w:pPr>
              <w:pStyle w:val="14"/>
              <w:spacing w:before="9"/>
              <w:jc w:val="left"/>
              <w:rPr>
                <w:b/>
                <w:sz w:val="25"/>
              </w:rPr>
            </w:pPr>
          </w:p>
          <w:p>
            <w:pPr>
              <w:pStyle w:val="14"/>
              <w:ind w:left="764" w:right="756"/>
              <w:rPr>
                <w:sz w:val="21"/>
              </w:rPr>
            </w:pPr>
            <w:r>
              <w:rPr>
                <w:sz w:val="21"/>
              </w:rPr>
              <w:t>通讯</w:t>
            </w:r>
          </w:p>
        </w:tc>
        <w:tc>
          <w:tcPr>
            <w:tcW w:w="4838" w:type="dxa"/>
          </w:tcPr>
          <w:p>
            <w:pPr>
              <w:pStyle w:val="14"/>
              <w:spacing w:line="300" w:lineRule="exact"/>
              <w:ind w:left="108" w:right="97"/>
              <w:jc w:val="both"/>
              <w:rPr>
                <w:sz w:val="21"/>
              </w:rPr>
            </w:pPr>
            <w:r>
              <w:rPr>
                <w:w w:val="95"/>
                <w:sz w:val="21"/>
              </w:rPr>
              <w:t xml:space="preserve">该矿区通信已接入中国网通、中国电信，矿区亦属 中国移动和中国联通无线网络覆盖区，对外联络方 </w:t>
            </w:r>
            <w:r>
              <w:rPr>
                <w:sz w:val="21"/>
              </w:rPr>
              <w:t>式可靠。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617" w:type="dxa"/>
            <w:vMerge w:val="continue"/>
            <w:tcBorders>
              <w:top w:val="nil"/>
            </w:tcBorders>
          </w:tcPr>
          <w:p>
            <w:pPr>
              <w:rPr>
                <w:sz w:val="2"/>
                <w:szCs w:val="2"/>
              </w:rPr>
            </w:pPr>
          </w:p>
        </w:tc>
        <w:tc>
          <w:tcPr>
            <w:tcW w:w="730" w:type="dxa"/>
            <w:vMerge w:val="continue"/>
            <w:tcBorders>
              <w:top w:val="nil"/>
            </w:tcBorders>
          </w:tcPr>
          <w:p>
            <w:pPr>
              <w:rPr>
                <w:sz w:val="2"/>
                <w:szCs w:val="2"/>
              </w:rPr>
            </w:pPr>
          </w:p>
        </w:tc>
        <w:tc>
          <w:tcPr>
            <w:tcW w:w="3040" w:type="dxa"/>
          </w:tcPr>
          <w:p>
            <w:pPr>
              <w:pStyle w:val="14"/>
              <w:spacing w:before="3"/>
              <w:jc w:val="left"/>
              <w:rPr>
                <w:b/>
                <w:sz w:val="14"/>
              </w:rPr>
            </w:pPr>
          </w:p>
          <w:p>
            <w:pPr>
              <w:pStyle w:val="14"/>
              <w:spacing w:before="1"/>
              <w:ind w:left="761" w:right="756"/>
              <w:rPr>
                <w:sz w:val="21"/>
              </w:rPr>
            </w:pPr>
            <w:r>
              <w:rPr>
                <w:sz w:val="21"/>
              </w:rPr>
              <w:t>排水线路</w:t>
            </w:r>
          </w:p>
        </w:tc>
        <w:tc>
          <w:tcPr>
            <w:tcW w:w="4838" w:type="dxa"/>
          </w:tcPr>
          <w:p>
            <w:pPr>
              <w:pStyle w:val="14"/>
              <w:spacing w:before="3"/>
              <w:jc w:val="left"/>
              <w:rPr>
                <w:b/>
                <w:sz w:val="14"/>
              </w:rPr>
            </w:pPr>
          </w:p>
          <w:p>
            <w:pPr>
              <w:pStyle w:val="14"/>
              <w:spacing w:before="1"/>
              <w:ind w:left="108"/>
              <w:jc w:val="left"/>
              <w:rPr>
                <w:sz w:val="21"/>
              </w:rPr>
            </w:pPr>
            <w:r>
              <w:rPr>
                <w:sz w:val="21"/>
              </w:rPr>
              <w:t>矿下涌水经泵提升至地面，直接排至扁石河。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17" w:type="dxa"/>
            <w:vMerge w:val="continue"/>
            <w:tcBorders>
              <w:top w:val="nil"/>
            </w:tcBorders>
          </w:tcPr>
          <w:p>
            <w:pPr>
              <w:rPr>
                <w:sz w:val="2"/>
                <w:szCs w:val="2"/>
              </w:rPr>
            </w:pPr>
          </w:p>
        </w:tc>
        <w:tc>
          <w:tcPr>
            <w:tcW w:w="730" w:type="dxa"/>
            <w:vMerge w:val="continue"/>
            <w:tcBorders>
              <w:top w:val="nil"/>
            </w:tcBorders>
          </w:tcPr>
          <w:p>
            <w:pPr>
              <w:rPr>
                <w:sz w:val="2"/>
                <w:szCs w:val="2"/>
              </w:rPr>
            </w:pPr>
          </w:p>
        </w:tc>
        <w:tc>
          <w:tcPr>
            <w:tcW w:w="3040" w:type="dxa"/>
          </w:tcPr>
          <w:p>
            <w:pPr>
              <w:pStyle w:val="14"/>
              <w:spacing w:before="70"/>
              <w:ind w:left="764" w:right="756"/>
              <w:rPr>
                <w:sz w:val="21"/>
              </w:rPr>
            </w:pPr>
            <w:r>
              <w:rPr>
                <w:sz w:val="21"/>
              </w:rPr>
              <w:t>行政与公共设施</w:t>
            </w:r>
          </w:p>
        </w:tc>
        <w:tc>
          <w:tcPr>
            <w:tcW w:w="4838" w:type="dxa"/>
          </w:tcPr>
          <w:p>
            <w:pPr>
              <w:pStyle w:val="14"/>
              <w:spacing w:before="70"/>
              <w:ind w:left="108" w:right="-15"/>
              <w:jc w:val="left"/>
              <w:rPr>
                <w:sz w:val="21"/>
              </w:rPr>
            </w:pPr>
            <w:r>
              <w:rPr>
                <w:w w:val="95"/>
                <w:sz w:val="21"/>
              </w:rPr>
              <w:t>综合办公室、更衣室、浴室、食堂等场区设施等。</w:t>
            </w:r>
          </w:p>
        </w:tc>
      </w:tr>
    </w:tbl>
    <w:p>
      <w:pPr>
        <w:pStyle w:val="3"/>
        <w:numPr>
          <w:ilvl w:val="1"/>
          <w:numId w:val="16"/>
        </w:numPr>
        <w:tabs>
          <w:tab w:val="left" w:pos="1566"/>
        </w:tabs>
        <w:spacing w:before="121" w:after="0" w:line="240" w:lineRule="auto"/>
        <w:ind w:left="1565" w:right="0" w:hanging="526"/>
        <w:jc w:val="left"/>
      </w:pPr>
      <w:bookmarkStart w:id="84" w:name="_bookmark16"/>
      <w:bookmarkEnd w:id="84"/>
      <w:bookmarkStart w:id="85" w:name="_bookmark16"/>
      <w:bookmarkEnd w:id="85"/>
      <w:bookmarkStart w:id="86" w:name="3.2 改扩建生产项目概况"/>
      <w:bookmarkEnd w:id="86"/>
      <w:r>
        <w:t>改扩建生产项目概况</w:t>
      </w:r>
    </w:p>
    <w:p>
      <w:pPr>
        <w:pStyle w:val="13"/>
        <w:numPr>
          <w:ilvl w:val="2"/>
          <w:numId w:val="16"/>
        </w:numPr>
        <w:tabs>
          <w:tab w:val="left" w:pos="1879"/>
          <w:tab w:val="left" w:pos="1880"/>
        </w:tabs>
        <w:spacing w:before="123" w:after="0" w:line="240" w:lineRule="auto"/>
        <w:ind w:left="1880" w:right="0" w:hanging="840"/>
        <w:jc w:val="left"/>
        <w:rPr>
          <w:b/>
          <w:sz w:val="28"/>
        </w:rPr>
      </w:pPr>
      <w:bookmarkStart w:id="87" w:name="3.2.1  项目名称、建设规模、建设性质与建设地点"/>
      <w:bookmarkEnd w:id="87"/>
      <w:bookmarkStart w:id="88" w:name="3.2.1  项目名称、建设规模、建设性质与建设地点"/>
      <w:bookmarkEnd w:id="88"/>
      <w:r>
        <w:rPr>
          <w:b/>
          <w:sz w:val="28"/>
        </w:rPr>
        <w:t>项目名称、建设规模、建设性质与建设地点</w:t>
      </w:r>
    </w:p>
    <w:p>
      <w:pPr>
        <w:pStyle w:val="13"/>
        <w:numPr>
          <w:ilvl w:val="3"/>
          <w:numId w:val="16"/>
        </w:numPr>
        <w:tabs>
          <w:tab w:val="left" w:pos="2121"/>
        </w:tabs>
        <w:spacing w:before="262" w:after="0" w:line="240" w:lineRule="auto"/>
        <w:ind w:left="2121" w:right="0" w:hanging="601"/>
        <w:jc w:val="left"/>
        <w:rPr>
          <w:sz w:val="24"/>
        </w:rPr>
      </w:pPr>
      <w:r>
        <w:rPr>
          <w:sz w:val="24"/>
        </w:rPr>
        <w:t>项目名称：双鸭山大顺矿业有限公司改扩建项目</w:t>
      </w:r>
    </w:p>
    <w:p>
      <w:pPr>
        <w:pStyle w:val="13"/>
        <w:numPr>
          <w:ilvl w:val="3"/>
          <w:numId w:val="16"/>
        </w:numPr>
        <w:tabs>
          <w:tab w:val="left" w:pos="2121"/>
        </w:tabs>
        <w:spacing w:before="160" w:after="0" w:line="240" w:lineRule="auto"/>
        <w:ind w:left="2121" w:right="0" w:hanging="601"/>
        <w:jc w:val="left"/>
        <w:rPr>
          <w:rFonts w:ascii="Times New Roman" w:eastAsia="Times New Roman"/>
          <w:sz w:val="24"/>
        </w:rPr>
      </w:pPr>
      <w:r>
        <w:rPr>
          <w:sz w:val="24"/>
        </w:rPr>
        <w:t>建设规模：</w:t>
      </w:r>
      <w:r>
        <w:rPr>
          <w:rFonts w:ascii="Times New Roman" w:eastAsia="Times New Roman"/>
          <w:sz w:val="24"/>
        </w:rPr>
        <w:t xml:space="preserve">30 </w:t>
      </w:r>
      <w:r>
        <w:rPr>
          <w:spacing w:val="-30"/>
          <w:sz w:val="24"/>
        </w:rPr>
        <w:t xml:space="preserve">万 </w:t>
      </w:r>
      <w:r>
        <w:rPr>
          <w:rFonts w:ascii="Times New Roman" w:eastAsia="Times New Roman"/>
          <w:sz w:val="24"/>
        </w:rPr>
        <w:t>t/a</w:t>
      </w:r>
    </w:p>
    <w:p>
      <w:pPr>
        <w:pStyle w:val="13"/>
        <w:numPr>
          <w:ilvl w:val="3"/>
          <w:numId w:val="16"/>
        </w:numPr>
        <w:tabs>
          <w:tab w:val="left" w:pos="2121"/>
        </w:tabs>
        <w:spacing w:before="161" w:after="0" w:line="240" w:lineRule="auto"/>
        <w:ind w:left="2121" w:right="0" w:hanging="601"/>
        <w:jc w:val="left"/>
        <w:rPr>
          <w:sz w:val="24"/>
        </w:rPr>
      </w:pPr>
      <w:r>
        <w:rPr>
          <w:sz w:val="24"/>
        </w:rPr>
        <w:t>建设性质：改扩建</w:t>
      </w:r>
    </w:p>
    <w:p>
      <w:pPr>
        <w:pStyle w:val="13"/>
        <w:numPr>
          <w:ilvl w:val="3"/>
          <w:numId w:val="16"/>
        </w:numPr>
        <w:tabs>
          <w:tab w:val="left" w:pos="2121"/>
        </w:tabs>
        <w:spacing w:before="160" w:after="0" w:line="240" w:lineRule="auto"/>
        <w:ind w:left="2121" w:right="0" w:hanging="601"/>
        <w:jc w:val="left"/>
        <w:rPr>
          <w:sz w:val="24"/>
        </w:rPr>
      </w:pPr>
      <w:r>
        <w:rPr>
          <w:sz w:val="24"/>
        </w:rPr>
        <w:t>建设地点：双鸭山市岭东区</w:t>
      </w:r>
    </w:p>
    <w:p>
      <w:pPr>
        <w:pStyle w:val="13"/>
        <w:numPr>
          <w:ilvl w:val="3"/>
          <w:numId w:val="16"/>
        </w:numPr>
        <w:tabs>
          <w:tab w:val="left" w:pos="2121"/>
        </w:tabs>
        <w:spacing w:before="161" w:after="0" w:line="240" w:lineRule="auto"/>
        <w:ind w:left="2121" w:right="0" w:hanging="601"/>
        <w:jc w:val="left"/>
        <w:rPr>
          <w:sz w:val="24"/>
        </w:rPr>
      </w:pPr>
      <w:r>
        <w:rPr>
          <w:sz w:val="24"/>
        </w:rPr>
        <w:t>建设单位：双鸭山大顺矿业有限公司</w:t>
      </w:r>
    </w:p>
    <w:p>
      <w:pPr>
        <w:pStyle w:val="4"/>
        <w:numPr>
          <w:ilvl w:val="2"/>
          <w:numId w:val="16"/>
        </w:numPr>
        <w:tabs>
          <w:tab w:val="left" w:pos="1879"/>
          <w:tab w:val="left" w:pos="1880"/>
        </w:tabs>
        <w:spacing w:before="82" w:after="0" w:line="240" w:lineRule="auto"/>
        <w:ind w:left="1880" w:right="0" w:hanging="840"/>
        <w:jc w:val="left"/>
      </w:pPr>
      <w:bookmarkStart w:id="89" w:name="3.2.2  项目建设的必要性"/>
      <w:bookmarkEnd w:id="89"/>
      <w:bookmarkStart w:id="90" w:name="3.2.2  项目建设的必要性"/>
      <w:bookmarkEnd w:id="90"/>
      <w:r>
        <w:t>项目建设的必要性</w:t>
      </w:r>
    </w:p>
    <w:p>
      <w:pPr>
        <w:pStyle w:val="6"/>
        <w:spacing w:before="264" w:line="364" w:lineRule="auto"/>
        <w:ind w:left="1040" w:right="957" w:firstLine="480"/>
        <w:jc w:val="both"/>
      </w:pPr>
      <w:r>
        <w:rPr>
          <w:rFonts w:ascii="Times New Roman" w:eastAsia="Times New Roman"/>
        </w:rPr>
        <w:t>1</w:t>
      </w:r>
      <w:r>
        <w:t>、目前，我国正处于煤炭产业结构调整的关键时期，针对当前煤炭产业存</w:t>
      </w:r>
      <w:r>
        <w:rPr>
          <w:spacing w:val="-9"/>
        </w:rPr>
        <w:t>在的突出矛盾，为了加快煤炭工业结构的调整，引导煤炭工业持续快速健康的发</w:t>
      </w:r>
      <w:r>
        <w:rPr>
          <w:spacing w:val="-17"/>
        </w:rPr>
        <w:t>展，根据国务院颁发的《国务院办公厅关于进一步加强煤矿安全生产工作的意见》</w:t>
      </w:r>
    </w:p>
    <w:p>
      <w:pPr>
        <w:pStyle w:val="6"/>
        <w:spacing w:before="2" w:line="364" w:lineRule="auto"/>
        <w:ind w:left="1040" w:right="957"/>
      </w:pPr>
      <w:r>
        <w:t>（国办发〔</w:t>
      </w:r>
      <w:r>
        <w:rPr>
          <w:rFonts w:ascii="Times New Roman" w:eastAsia="Times New Roman"/>
        </w:rPr>
        <w:t>2013</w:t>
      </w:r>
      <w:r>
        <w:t>〕</w:t>
      </w:r>
      <w:r>
        <w:rPr>
          <w:rFonts w:ascii="Times New Roman" w:eastAsia="Times New Roman"/>
        </w:rPr>
        <w:t>99</w:t>
      </w:r>
      <w:r>
        <w:rPr>
          <w:rFonts w:ascii="Times New Roman" w:eastAsia="Times New Roman"/>
          <w:spacing w:val="21"/>
        </w:rPr>
        <w:t xml:space="preserve"> </w:t>
      </w:r>
      <w:r>
        <w:t>号）、国家安全监管总局颁发的《国家安全监管总局等十</w:t>
      </w:r>
      <w:r>
        <w:rPr>
          <w:spacing w:val="-4"/>
        </w:rPr>
        <w:t>二部门关于加快落后小煤矿关闭退出工作的通知》</w:t>
      </w:r>
      <w:r>
        <w:rPr>
          <w:spacing w:val="-3"/>
        </w:rPr>
        <w:t>（</w:t>
      </w:r>
      <w:r>
        <w:rPr>
          <w:spacing w:val="-8"/>
        </w:rPr>
        <w:t>安监总煤监〔</w:t>
      </w:r>
      <w:r>
        <w:rPr>
          <w:rFonts w:ascii="Times New Roman" w:eastAsia="Times New Roman"/>
        </w:rPr>
        <w:t>2014</w:t>
      </w:r>
      <w:r>
        <w:rPr>
          <w:spacing w:val="-39"/>
        </w:rPr>
        <w:t>〕</w:t>
      </w:r>
      <w:r>
        <w:rPr>
          <w:rFonts w:ascii="Times New Roman" w:eastAsia="Times New Roman"/>
        </w:rPr>
        <w:t xml:space="preserve">44 </w:t>
      </w:r>
      <w:r>
        <w:t>号</w:t>
      </w:r>
      <w:r>
        <w:rPr>
          <w:spacing w:val="-120"/>
        </w:rPr>
        <w:t>）</w:t>
      </w:r>
      <w:r>
        <w:rPr>
          <w:spacing w:val="-15"/>
        </w:rPr>
        <w:t>、</w:t>
      </w:r>
      <w:r>
        <w:rPr>
          <w:spacing w:val="-10"/>
        </w:rPr>
        <w:t>黑龙江省政府发布的《黑龙江省人民政府办公厅关于黑龙江煤矿整顿关闭工作的</w:t>
      </w:r>
      <w:r>
        <w:rPr>
          <w:spacing w:val="-11"/>
        </w:rPr>
        <w:t>指导意见》</w:t>
      </w:r>
      <w:r>
        <w:t>（</w:t>
      </w:r>
      <w:r>
        <w:rPr>
          <w:spacing w:val="-2"/>
        </w:rPr>
        <w:t>黑政办法〔</w:t>
      </w:r>
      <w:r>
        <w:rPr>
          <w:rFonts w:ascii="Times New Roman" w:eastAsia="Times New Roman"/>
        </w:rPr>
        <w:t>2013</w:t>
      </w:r>
      <w:r>
        <w:rPr>
          <w:spacing w:val="-8"/>
        </w:rPr>
        <w:t>〕</w:t>
      </w:r>
      <w:r>
        <w:rPr>
          <w:rFonts w:ascii="Times New Roman" w:eastAsia="Times New Roman"/>
        </w:rPr>
        <w:t xml:space="preserve">99 </w:t>
      </w:r>
      <w:r>
        <w:t>号</w:t>
      </w:r>
      <w:r>
        <w:rPr>
          <w:spacing w:val="-5"/>
        </w:rPr>
        <w:t>）</w:t>
      </w:r>
      <w:r>
        <w:rPr>
          <w:spacing w:val="-4"/>
        </w:rPr>
        <w:t>、《黑龙江省人民政府关于印发</w:t>
      </w:r>
      <w:r>
        <w:rPr>
          <w:rFonts w:ascii="Times New Roman" w:eastAsia="Times New Roman"/>
        </w:rPr>
        <w:t>&lt;</w:t>
      </w:r>
      <w:r>
        <w:t>黑龙江</w:t>
      </w:r>
      <w:r>
        <w:rPr>
          <w:spacing w:val="7"/>
        </w:rPr>
        <w:t>省煤炭行业淘汰落后产能化解过剩产能专项整治工作方案</w:t>
      </w:r>
      <w:r>
        <w:rPr>
          <w:rFonts w:ascii="Times New Roman" w:eastAsia="Times New Roman"/>
          <w:spacing w:val="8"/>
        </w:rPr>
        <w:t>&gt;</w:t>
      </w:r>
      <w:r>
        <w:rPr>
          <w:spacing w:val="7"/>
        </w:rPr>
        <w:t>的通知》（</w:t>
      </w:r>
      <w:r>
        <w:rPr>
          <w:spacing w:val="4"/>
        </w:rPr>
        <w:t>黑政规</w:t>
      </w:r>
    </w:p>
    <w:p>
      <w:pPr>
        <w:pStyle w:val="6"/>
        <w:spacing w:before="3" w:line="364" w:lineRule="auto"/>
        <w:ind w:left="1040" w:right="1077"/>
        <w:jc w:val="both"/>
      </w:pPr>
      <w:r>
        <w:t>〔</w:t>
      </w:r>
      <w:r>
        <w:rPr>
          <w:rFonts w:ascii="Times New Roman" w:eastAsia="Times New Roman"/>
        </w:rPr>
        <w:t>2018</w:t>
      </w:r>
      <w:r>
        <w:t>〕</w:t>
      </w:r>
      <w:r>
        <w:rPr>
          <w:rFonts w:ascii="Times New Roman" w:eastAsia="Times New Roman"/>
        </w:rPr>
        <w:t>13</w:t>
      </w:r>
      <w:r>
        <w:rPr>
          <w:rFonts w:ascii="Times New Roman" w:eastAsia="Times New Roman"/>
          <w:spacing w:val="42"/>
        </w:rPr>
        <w:t xml:space="preserve"> </w:t>
      </w:r>
      <w:r>
        <w:t>号）文件及双鸭山市煤炭生产安全管理局《双鸭山市煤炭生产安全</w:t>
      </w:r>
      <w:r>
        <w:rPr>
          <w:spacing w:val="-3"/>
        </w:rPr>
        <w:t>管理局关于组织上报淘汰落后产能化解过剩产能保留煤矿项目方案的通知》</w:t>
      </w:r>
      <w:r>
        <w:t>（</w:t>
      </w:r>
      <w:r>
        <w:rPr>
          <w:spacing w:val="-17"/>
        </w:rPr>
        <w:t>双</w:t>
      </w:r>
      <w:r>
        <w:rPr>
          <w:spacing w:val="-4"/>
        </w:rPr>
        <w:t>煤发〔</w:t>
      </w:r>
      <w:r>
        <w:rPr>
          <w:rFonts w:ascii="Times New Roman" w:eastAsia="Times New Roman"/>
        </w:rPr>
        <w:t>2018</w:t>
      </w:r>
      <w:r>
        <w:rPr>
          <w:spacing w:val="-8"/>
        </w:rPr>
        <w:t>〕</w:t>
      </w:r>
      <w:r>
        <w:rPr>
          <w:rFonts w:ascii="Times New Roman" w:eastAsia="Times New Roman"/>
        </w:rPr>
        <w:t xml:space="preserve">124 </w:t>
      </w:r>
      <w:r>
        <w:t>号</w:t>
      </w:r>
      <w:r>
        <w:rPr>
          <w:spacing w:val="-8"/>
        </w:rPr>
        <w:t>）</w:t>
      </w:r>
      <w:r>
        <w:rPr>
          <w:spacing w:val="-3"/>
        </w:rPr>
        <w:t>等有关文件的精神，双鸭山大顺矿业有限公司对本矿井原</w:t>
      </w:r>
    </w:p>
    <w:p>
      <w:pPr>
        <w:spacing w:after="0" w:line="364" w:lineRule="auto"/>
        <w:jc w:val="both"/>
        <w:sectPr>
          <w:pgSz w:w="11910" w:h="16840"/>
          <w:pgMar w:top="1080" w:right="720" w:bottom="1160" w:left="760" w:header="0" w:footer="89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69" name="组合 16"/>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68" name="直线 17"/>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16"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u2gi7UAAAAAwEAAA8AAAAAAAAAAQAgAAAAIgAAAGRycy9kb3ducmV2Lnht&#10;bFBLAQIUABQAAAAIAIdO4kD3fDdGNgIAALYEAAAOAAAAAAAAAAEAIAAAACMBAABkcnMvZTJvRG9j&#10;LnhtbFBLBQYAAAAABgAGAFkBAADLBQAAAAA=&#10;">
                <o:lock v:ext="edit" aspectratio="f"/>
                <v:line id="直线 17" o:spid="_x0000_s1026" o:spt="20" style="position:absolute;left:0;top:7;height:0;width:8306;" filled="f" stroked="t" coordsize="21600,21600" o:gfxdata="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ZrIO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pStyle w:val="6"/>
        <w:spacing w:before="8"/>
        <w:rPr>
          <w:sz w:val="25"/>
        </w:rPr>
      </w:pPr>
    </w:p>
    <w:p>
      <w:pPr>
        <w:pStyle w:val="6"/>
        <w:spacing w:before="74" w:line="364" w:lineRule="auto"/>
        <w:ind w:left="1040" w:right="955"/>
      </w:pPr>
      <w:r>
        <w:rPr>
          <w:spacing w:val="-10"/>
        </w:rPr>
        <w:t>矿界进行了扩层扩界，同时将矿井原有的设计生产能力由</w:t>
      </w:r>
      <w:r>
        <w:rPr>
          <w:rFonts w:ascii="Times New Roman" w:hAnsi="Times New Roman" w:eastAsia="Times New Roman"/>
        </w:rPr>
        <w:t xml:space="preserve">4 </w:t>
      </w:r>
      <w:r>
        <w:rPr>
          <w:spacing w:val="38"/>
        </w:rPr>
        <w:t>万</w:t>
      </w:r>
      <w:r>
        <w:rPr>
          <w:rFonts w:ascii="Times New Roman" w:hAnsi="Times New Roman" w:eastAsia="Times New Roman"/>
        </w:rPr>
        <w:t xml:space="preserve">t/a </w:t>
      </w:r>
      <w:r>
        <w:rPr>
          <w:spacing w:val="12"/>
        </w:rPr>
        <w:t>提升到</w:t>
      </w:r>
      <w:r>
        <w:rPr>
          <w:rFonts w:ascii="Times New Roman" w:hAnsi="Times New Roman" w:eastAsia="Times New Roman"/>
        </w:rPr>
        <w:t xml:space="preserve">30 </w:t>
      </w:r>
      <w:r>
        <w:rPr>
          <w:spacing w:val="38"/>
        </w:rPr>
        <w:t>万</w:t>
      </w:r>
      <w:r>
        <w:rPr>
          <w:rFonts w:ascii="Times New Roman" w:hAnsi="Times New Roman" w:eastAsia="Times New Roman"/>
        </w:rPr>
        <w:t>t/a</w:t>
      </w:r>
      <w:r>
        <w:rPr>
          <w:spacing w:val="-13"/>
        </w:rPr>
        <w:t>。</w:t>
      </w:r>
      <w:r>
        <w:rPr>
          <w:spacing w:val="-10"/>
        </w:rPr>
        <w:t>按照“以小并大、以优并劣”原则，提高生产规模，达到国家和省有关规定的标准。</w:t>
      </w:r>
    </w:p>
    <w:p>
      <w:pPr>
        <w:pStyle w:val="6"/>
        <w:spacing w:before="1" w:line="364" w:lineRule="auto"/>
        <w:ind w:left="1040" w:right="1077" w:firstLine="480"/>
        <w:jc w:val="both"/>
      </w:pPr>
      <w:r>
        <w:rPr>
          <w:rFonts w:ascii="Times New Roman" w:eastAsia="Times New Roman"/>
        </w:rPr>
        <w:t>2</w:t>
      </w:r>
      <w:r>
        <w:rPr>
          <w:spacing w:val="-1"/>
        </w:rPr>
        <w:t>、本项目符合国家的一系列的产业调整措施，为积极推进国家产业政策的</w:t>
      </w:r>
      <w:r>
        <w:rPr>
          <w:spacing w:val="-8"/>
        </w:rPr>
        <w:t>落实起到了推动作用。此外，通过本次改扩建，增加矿井年生产能力，可加大对矿产资源的回收利用，可以使分散式生产转换为集约式生产，能够极大地降低电</w:t>
      </w:r>
      <w:r>
        <w:t>能的消耗，可以极大地促进循环经济的发展。</w:t>
      </w:r>
    </w:p>
    <w:p>
      <w:pPr>
        <w:pStyle w:val="6"/>
        <w:spacing w:before="3" w:line="364" w:lineRule="auto"/>
        <w:ind w:left="1040" w:right="1077" w:firstLine="480"/>
        <w:jc w:val="both"/>
      </w:pPr>
      <w:r>
        <w:rPr>
          <w:rFonts w:ascii="Times New Roman" w:eastAsia="Times New Roman"/>
        </w:rPr>
        <w:t>3</w:t>
      </w:r>
      <w:r>
        <w:rPr>
          <w:spacing w:val="-1"/>
        </w:rPr>
        <w:t>、本项目的实施，有利于当地财政收入的增加，因此有利于工薪阶层增加</w:t>
      </w:r>
      <w:r>
        <w:rPr>
          <w:spacing w:val="-9"/>
        </w:rPr>
        <w:t>收入。因项目建设所导致的从业人员的增加，其消费、娱乐等的需求，必将带动</w:t>
      </w:r>
      <w:r>
        <w:rPr>
          <w:spacing w:val="-11"/>
        </w:rPr>
        <w:t>二、三产业的发展，使从事这些行业的当地居民增加收入。从整体方面来说，项</w:t>
      </w:r>
      <w:r>
        <w:rPr>
          <w:spacing w:val="-10"/>
        </w:rPr>
        <w:t>目的建成，有利于企业本身的发展，有利于带动周边企业的发展，有利于带动当</w:t>
      </w:r>
      <w:r>
        <w:t>地经济的发展，有利于当地居民的经济发展。</w:t>
      </w:r>
    </w:p>
    <w:p>
      <w:pPr>
        <w:pStyle w:val="6"/>
        <w:spacing w:before="3" w:line="364" w:lineRule="auto"/>
        <w:ind w:left="1040" w:right="1077" w:firstLine="480"/>
      </w:pPr>
      <w:r>
        <w:rPr>
          <w:spacing w:val="-11"/>
        </w:rPr>
        <w:t>综上所述，从自身因素到社会需求，双鸭山大顺矿业有限公司进行改扩建生</w:t>
      </w:r>
      <w:r>
        <w:t>产建设是十分必要的。</w:t>
      </w:r>
    </w:p>
    <w:p>
      <w:pPr>
        <w:pStyle w:val="4"/>
        <w:numPr>
          <w:ilvl w:val="2"/>
          <w:numId w:val="16"/>
        </w:numPr>
        <w:tabs>
          <w:tab w:val="left" w:pos="1879"/>
          <w:tab w:val="left" w:pos="1880"/>
        </w:tabs>
        <w:spacing w:before="0" w:after="0" w:line="282" w:lineRule="exact"/>
        <w:ind w:left="1880" w:right="0" w:hanging="840"/>
        <w:jc w:val="left"/>
      </w:pPr>
      <w:bookmarkStart w:id="91" w:name="3.2.3  项目建设外部条件"/>
      <w:bookmarkEnd w:id="91"/>
      <w:bookmarkStart w:id="92" w:name="3.2.3  项目建设外部条件"/>
      <w:bookmarkEnd w:id="92"/>
      <w:r>
        <w:t>项目建设外部条件</w:t>
      </w:r>
    </w:p>
    <w:p>
      <w:pPr>
        <w:pStyle w:val="6"/>
        <w:spacing w:before="264"/>
        <w:ind w:left="1520"/>
      </w:pPr>
      <w:r>
        <w:rPr>
          <w:rFonts w:ascii="Times New Roman" w:eastAsia="Times New Roman"/>
        </w:rPr>
        <w:t>1</w:t>
      </w:r>
      <w:r>
        <w:t>、运输</w:t>
      </w:r>
    </w:p>
    <w:p>
      <w:pPr>
        <w:pStyle w:val="6"/>
        <w:spacing w:before="161" w:line="364" w:lineRule="auto"/>
        <w:ind w:left="1040" w:right="1077" w:firstLine="480"/>
        <w:jc w:val="both"/>
      </w:pPr>
      <w:r>
        <w:rPr>
          <w:spacing w:val="-3"/>
        </w:rPr>
        <w:t xml:space="preserve">双鸭山大顺矿业有限公司位于双鸭山矿业集团岭东煤矿南 </w:t>
      </w:r>
      <w:r>
        <w:rPr>
          <w:rFonts w:ascii="Times New Roman" w:eastAsia="Times New Roman"/>
        </w:rPr>
        <w:t xml:space="preserve">7 </w:t>
      </w:r>
      <w:r>
        <w:rPr>
          <w:spacing w:val="-17"/>
        </w:rPr>
        <w:t>千米处，在双鸭</w:t>
      </w:r>
      <w:r>
        <w:rPr>
          <w:spacing w:val="-8"/>
        </w:rPr>
        <w:t>山市司法局劳教所东部。从岭东矿通往矿井有砂石公路可直达，距双鸭山矿业集</w:t>
      </w:r>
      <w:r>
        <w:rPr>
          <w:spacing w:val="-5"/>
        </w:rPr>
        <w:t xml:space="preserve">团内部运煤专用铁路线岭东车站 </w:t>
      </w:r>
      <w:r>
        <w:rPr>
          <w:rFonts w:ascii="Times New Roman" w:eastAsia="Times New Roman"/>
        </w:rPr>
        <w:t>7km</w:t>
      </w:r>
      <w:r>
        <w:rPr>
          <w:spacing w:val="-7"/>
        </w:rPr>
        <w:t xml:space="preserve">，距双鸭山火车站 </w:t>
      </w:r>
      <w:r>
        <w:rPr>
          <w:rFonts w:ascii="Times New Roman" w:eastAsia="Times New Roman"/>
        </w:rPr>
        <w:t>15km</w:t>
      </w:r>
      <w:r>
        <w:t>，交通较为方便。</w:t>
      </w:r>
    </w:p>
    <w:p>
      <w:pPr>
        <w:pStyle w:val="6"/>
        <w:spacing w:before="2"/>
        <w:ind w:left="1520"/>
      </w:pPr>
      <w:r>
        <w:rPr>
          <w:rFonts w:ascii="Times New Roman" w:eastAsia="Times New Roman"/>
        </w:rPr>
        <w:t>2</w:t>
      </w:r>
      <w:r>
        <w:t>、供电</w:t>
      </w:r>
    </w:p>
    <w:p>
      <w:pPr>
        <w:pStyle w:val="6"/>
        <w:spacing w:before="160" w:line="364" w:lineRule="auto"/>
        <w:ind w:left="1040" w:right="957" w:firstLine="480"/>
        <w:jc w:val="both"/>
      </w:pPr>
      <w:r>
        <w:rPr>
          <w:spacing w:val="2"/>
        </w:rPr>
        <w:t>本矿井双电源来自双鸭集团岭东供电公司东三甲线和由来自双鸭集团岭东</w:t>
      </w:r>
      <w:r>
        <w:rPr>
          <w:spacing w:val="-7"/>
        </w:rPr>
        <w:t xml:space="preserve">供电公司东七乙线 </w:t>
      </w:r>
      <w:r>
        <w:rPr>
          <w:rFonts w:ascii="Times New Roman" w:eastAsia="Times New Roman"/>
        </w:rPr>
        <w:t xml:space="preserve">10kV </w:t>
      </w:r>
      <w:r>
        <w:rPr>
          <w:spacing w:val="-5"/>
        </w:rPr>
        <w:t xml:space="preserve">高压架空线，经地面变电所 </w:t>
      </w:r>
      <w:r>
        <w:rPr>
          <w:rFonts w:ascii="Times New Roman" w:eastAsia="Times New Roman"/>
        </w:rPr>
        <w:t xml:space="preserve">4 </w:t>
      </w:r>
      <w:r>
        <w:rPr>
          <w:spacing w:val="-28"/>
        </w:rPr>
        <w:t xml:space="preserve">台 </w:t>
      </w:r>
      <w:r>
        <w:rPr>
          <w:rFonts w:ascii="Times New Roman" w:eastAsia="Times New Roman"/>
        </w:rPr>
        <w:t>S9-400/10</w:t>
      </w:r>
      <w:r>
        <w:t>，两台变压</w:t>
      </w:r>
      <w:r>
        <w:rPr>
          <w:spacing w:val="-12"/>
        </w:rPr>
        <w:t xml:space="preserve">器降压后 </w:t>
      </w:r>
      <w:r>
        <w:rPr>
          <w:rFonts w:ascii="Times New Roman" w:eastAsia="Times New Roman"/>
        </w:rPr>
        <w:t xml:space="preserve">380V </w:t>
      </w:r>
      <w:r>
        <w:rPr>
          <w:spacing w:val="-3"/>
        </w:rPr>
        <w:t xml:space="preserve">进入地面各用电地点，两台进入井下变压器降压后 </w:t>
      </w:r>
      <w:r>
        <w:rPr>
          <w:rFonts w:ascii="Times New Roman" w:eastAsia="Times New Roman"/>
        </w:rPr>
        <w:t xml:space="preserve">660V </w:t>
      </w:r>
      <w:r>
        <w:t>入井进</w:t>
      </w:r>
      <w:r>
        <w:rPr>
          <w:spacing w:val="-17"/>
        </w:rPr>
        <w:t>入各用电地点。当一回线路发生故障时，另一回线路完全能满足矿井供电的需要。</w:t>
      </w:r>
    </w:p>
    <w:p>
      <w:pPr>
        <w:pStyle w:val="6"/>
        <w:spacing w:before="2"/>
        <w:ind w:left="1520"/>
      </w:pPr>
      <w:r>
        <w:t>矿井供电条件完全能满足矿井改扩建的需要。</w:t>
      </w:r>
    </w:p>
    <w:p>
      <w:pPr>
        <w:pStyle w:val="6"/>
        <w:spacing w:before="161"/>
        <w:ind w:left="1520"/>
      </w:pPr>
      <w:r>
        <w:rPr>
          <w:rFonts w:ascii="Times New Roman" w:eastAsia="Times New Roman"/>
        </w:rPr>
        <w:t>3</w:t>
      </w:r>
      <w:r>
        <w:t>、供水</w:t>
      </w:r>
    </w:p>
    <w:p>
      <w:pPr>
        <w:pStyle w:val="6"/>
        <w:spacing w:before="160" w:line="364" w:lineRule="auto"/>
        <w:ind w:left="1040" w:right="1075" w:firstLine="480"/>
      </w:pPr>
      <w:r>
        <w:rPr>
          <w:spacing w:val="-5"/>
        </w:rPr>
        <w:t>生产用水由本矿井涌水经过矿井水净化车间处理，供给矿井生产、生活、消</w:t>
      </w:r>
      <w:r>
        <w:t>防用水。生活饮用水及食堂用水为外部购置达标饮用水。</w:t>
      </w:r>
    </w:p>
    <w:p>
      <w:pPr>
        <w:pStyle w:val="4"/>
        <w:numPr>
          <w:ilvl w:val="2"/>
          <w:numId w:val="16"/>
        </w:numPr>
        <w:tabs>
          <w:tab w:val="left" w:pos="1879"/>
          <w:tab w:val="left" w:pos="1880"/>
        </w:tabs>
        <w:spacing w:before="53" w:after="0" w:line="240" w:lineRule="auto"/>
        <w:ind w:left="1880" w:right="0" w:hanging="840"/>
        <w:jc w:val="left"/>
      </w:pPr>
      <w:r>
        <w:t>项目组成</w:t>
      </w:r>
    </w:p>
    <w:p>
      <w:pPr>
        <w:spacing w:after="0" w:line="240" w:lineRule="auto"/>
        <w:jc w:val="left"/>
        <w:sectPr>
          <w:pgSz w:w="11910" w:h="16840"/>
          <w:pgMar w:top="1080" w:right="720" w:bottom="1160" w:left="760" w:header="0" w:footer="89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71" name="组合 18"/>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70" name="直线 19"/>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18"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aCLtQAAAADAQAADwAAAAAAAAABACAAAAAiAAAAZHJzL2Rvd25yZXYueG1s&#10;UEsBAhQAFAAAAAgAh07iQCA15M41AgAAtgQAAA4AAAAAAAAAAQAgAAAAIwEAAGRycy9lMm9Eb2Mu&#10;eG1sUEsFBgAAAAAGAAYAWQEAAMoFAAAAAA==&#10;">
                <o:lock v:ext="edit" aspectratio="f"/>
                <v:line id="直线 19" o:spid="_x0000_s1026" o:spt="20" style="position:absolute;left:0;top:7;height:0;width:8306;" filled="f" stroked="t" coordsize="21600,21600" o:gfxdata="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ySjV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pStyle w:val="6"/>
        <w:spacing w:before="2"/>
        <w:rPr>
          <w:b/>
          <w:sz w:val="26"/>
        </w:rPr>
      </w:pPr>
    </w:p>
    <w:p>
      <w:pPr>
        <w:pStyle w:val="6"/>
        <w:spacing w:before="67" w:line="364" w:lineRule="auto"/>
        <w:ind w:left="1040" w:right="985" w:firstLine="480"/>
      </w:pPr>
      <w:r>
        <w:rPr>
          <w:spacing w:val="-1"/>
        </w:rPr>
        <w:t>本矿井改扩建工程主要内容为矿井的开采系统、通风系统、地面供电系统、</w:t>
      </w:r>
      <w:r>
        <w:rPr>
          <w:spacing w:val="-9"/>
        </w:rPr>
        <w:t>给排水系统、地面消防系统等各系统的改造和完善，增加了相应的地面建、构筑</w:t>
      </w:r>
      <w:r>
        <w:rPr>
          <w:spacing w:val="-14"/>
        </w:rPr>
        <w:t xml:space="preserve">物。本项目组成详见表 </w:t>
      </w:r>
      <w:r>
        <w:rPr>
          <w:rFonts w:ascii="Times New Roman" w:eastAsia="Times New Roman"/>
        </w:rPr>
        <w:t>3.2-1</w:t>
      </w:r>
      <w:r>
        <w:t>。</w:t>
      </w:r>
    </w:p>
    <w:p>
      <w:pPr>
        <w:pStyle w:val="5"/>
        <w:tabs>
          <w:tab w:val="left" w:pos="3192"/>
        </w:tabs>
        <w:spacing w:before="2"/>
        <w:ind w:left="2153"/>
      </w:pPr>
      <w:r>
        <w:t>表</w:t>
      </w:r>
      <w:r>
        <w:rPr>
          <w:spacing w:val="-62"/>
        </w:rPr>
        <w:t xml:space="preserve"> </w:t>
      </w:r>
      <w:r>
        <w:rPr>
          <w:rFonts w:ascii="Times New Roman" w:eastAsia="Times New Roman"/>
        </w:rPr>
        <w:t>3.2-1</w:t>
      </w:r>
      <w:r>
        <w:rPr>
          <w:rFonts w:ascii="Times New Roman" w:eastAsia="Times New Roman"/>
        </w:rPr>
        <w:tab/>
      </w:r>
      <w:r>
        <w:t>双鸭山大顺矿业有限公司改扩</w:t>
      </w:r>
      <w:r>
        <w:rPr>
          <w:spacing w:val="-3"/>
        </w:rPr>
        <w:t>建</w:t>
      </w:r>
      <w:r>
        <w:t>项目组成一览表</w:t>
      </w:r>
    </w:p>
    <w:p>
      <w:pPr>
        <w:pStyle w:val="6"/>
        <w:spacing w:before="3"/>
        <w:rPr>
          <w:b/>
          <w:sz w:val="6"/>
        </w:rPr>
      </w:pPr>
    </w:p>
    <w:tbl>
      <w:tblPr>
        <w:tblStyle w:val="10"/>
        <w:tblW w:w="0" w:type="auto"/>
        <w:tblInd w:w="5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8"/>
        <w:gridCol w:w="408"/>
        <w:gridCol w:w="472"/>
        <w:gridCol w:w="1333"/>
        <w:gridCol w:w="5652"/>
        <w:gridCol w:w="9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408" w:type="dxa"/>
          </w:tcPr>
          <w:p>
            <w:pPr>
              <w:pStyle w:val="14"/>
              <w:spacing w:before="21" w:line="278" w:lineRule="auto"/>
              <w:ind w:left="108" w:right="78"/>
              <w:jc w:val="both"/>
              <w:rPr>
                <w:sz w:val="21"/>
              </w:rPr>
            </w:pPr>
            <w:r>
              <w:rPr>
                <w:sz w:val="21"/>
              </w:rPr>
              <w:t>工业广</w:t>
            </w:r>
          </w:p>
          <w:p>
            <w:pPr>
              <w:pStyle w:val="14"/>
              <w:spacing w:line="269" w:lineRule="exact"/>
              <w:ind w:left="108"/>
              <w:jc w:val="left"/>
              <w:rPr>
                <w:sz w:val="21"/>
              </w:rPr>
            </w:pPr>
            <w:r>
              <w:rPr>
                <w:w w:val="99"/>
                <w:sz w:val="21"/>
              </w:rPr>
              <w:t>场</w:t>
            </w:r>
          </w:p>
        </w:tc>
        <w:tc>
          <w:tcPr>
            <w:tcW w:w="880" w:type="dxa"/>
            <w:gridSpan w:val="2"/>
          </w:tcPr>
          <w:p>
            <w:pPr>
              <w:pStyle w:val="14"/>
              <w:jc w:val="left"/>
              <w:rPr>
                <w:b/>
                <w:sz w:val="26"/>
              </w:rPr>
            </w:pPr>
          </w:p>
          <w:p>
            <w:pPr>
              <w:pStyle w:val="14"/>
              <w:spacing w:line="278" w:lineRule="auto"/>
              <w:ind w:left="230" w:right="219"/>
              <w:jc w:val="left"/>
              <w:rPr>
                <w:sz w:val="21"/>
              </w:rPr>
            </w:pPr>
            <w:r>
              <w:rPr>
                <w:sz w:val="21"/>
              </w:rPr>
              <w:t>工程类别</w:t>
            </w:r>
          </w:p>
        </w:tc>
        <w:tc>
          <w:tcPr>
            <w:tcW w:w="1333" w:type="dxa"/>
          </w:tcPr>
          <w:p>
            <w:pPr>
              <w:pStyle w:val="14"/>
              <w:jc w:val="left"/>
              <w:rPr>
                <w:b/>
                <w:sz w:val="20"/>
              </w:rPr>
            </w:pPr>
          </w:p>
          <w:p>
            <w:pPr>
              <w:pStyle w:val="14"/>
              <w:spacing w:before="2"/>
              <w:jc w:val="left"/>
              <w:rPr>
                <w:b/>
                <w:sz w:val="18"/>
              </w:rPr>
            </w:pPr>
          </w:p>
          <w:p>
            <w:pPr>
              <w:pStyle w:val="14"/>
              <w:ind w:left="224" w:right="218"/>
              <w:rPr>
                <w:sz w:val="21"/>
              </w:rPr>
            </w:pPr>
            <w:r>
              <w:rPr>
                <w:sz w:val="21"/>
              </w:rPr>
              <w:t>单项工程</w:t>
            </w:r>
          </w:p>
        </w:tc>
        <w:tc>
          <w:tcPr>
            <w:tcW w:w="5652" w:type="dxa"/>
          </w:tcPr>
          <w:p>
            <w:pPr>
              <w:pStyle w:val="14"/>
              <w:jc w:val="left"/>
              <w:rPr>
                <w:b/>
                <w:sz w:val="20"/>
              </w:rPr>
            </w:pPr>
          </w:p>
          <w:p>
            <w:pPr>
              <w:pStyle w:val="14"/>
              <w:spacing w:before="2"/>
              <w:jc w:val="left"/>
              <w:rPr>
                <w:b/>
                <w:sz w:val="18"/>
              </w:rPr>
            </w:pPr>
          </w:p>
          <w:p>
            <w:pPr>
              <w:pStyle w:val="14"/>
              <w:ind w:left="2383" w:right="2378"/>
              <w:rPr>
                <w:sz w:val="21"/>
              </w:rPr>
            </w:pPr>
            <w:r>
              <w:rPr>
                <w:sz w:val="21"/>
              </w:rPr>
              <w:t>项目概况</w:t>
            </w:r>
          </w:p>
        </w:tc>
        <w:tc>
          <w:tcPr>
            <w:tcW w:w="951" w:type="dxa"/>
          </w:tcPr>
          <w:p>
            <w:pPr>
              <w:pStyle w:val="14"/>
              <w:jc w:val="left"/>
              <w:rPr>
                <w:b/>
                <w:sz w:val="20"/>
              </w:rPr>
            </w:pPr>
          </w:p>
          <w:p>
            <w:pPr>
              <w:pStyle w:val="14"/>
              <w:spacing w:before="2"/>
              <w:jc w:val="left"/>
              <w:rPr>
                <w:b/>
                <w:sz w:val="18"/>
              </w:rPr>
            </w:pPr>
          </w:p>
          <w:p>
            <w:pPr>
              <w:pStyle w:val="14"/>
              <w:ind w:left="243" w:right="238"/>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0" w:hRule="atLeast"/>
        </w:trPr>
        <w:tc>
          <w:tcPr>
            <w:tcW w:w="408"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3"/>
              <w:jc w:val="left"/>
              <w:rPr>
                <w:b/>
                <w:sz w:val="27"/>
              </w:rPr>
            </w:pPr>
          </w:p>
          <w:p>
            <w:pPr>
              <w:pStyle w:val="14"/>
              <w:spacing w:line="266" w:lineRule="auto"/>
              <w:ind w:left="108" w:right="78"/>
              <w:jc w:val="both"/>
              <w:rPr>
                <w:sz w:val="21"/>
              </w:rPr>
            </w:pPr>
            <w:r>
              <w:rPr>
                <w:sz w:val="21"/>
              </w:rPr>
              <w:t>工业广场</w:t>
            </w:r>
          </w:p>
        </w:tc>
        <w:tc>
          <w:tcPr>
            <w:tcW w:w="408"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6"/>
              <w:jc w:val="left"/>
              <w:rPr>
                <w:b/>
                <w:sz w:val="25"/>
              </w:rPr>
            </w:pPr>
          </w:p>
          <w:p>
            <w:pPr>
              <w:pStyle w:val="14"/>
              <w:spacing w:line="266" w:lineRule="auto"/>
              <w:ind w:left="108" w:right="78"/>
              <w:jc w:val="both"/>
              <w:rPr>
                <w:sz w:val="21"/>
              </w:rPr>
            </w:pPr>
            <w:r>
              <w:rPr>
                <w:sz w:val="21"/>
              </w:rPr>
              <w:t>主体工程</w:t>
            </w:r>
          </w:p>
        </w:tc>
        <w:tc>
          <w:tcPr>
            <w:tcW w:w="472"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6"/>
              <w:jc w:val="left"/>
              <w:rPr>
                <w:b/>
                <w:sz w:val="25"/>
              </w:rPr>
            </w:pPr>
          </w:p>
          <w:p>
            <w:pPr>
              <w:pStyle w:val="14"/>
              <w:spacing w:line="266" w:lineRule="auto"/>
              <w:ind w:left="129" w:right="121"/>
              <w:jc w:val="both"/>
              <w:rPr>
                <w:sz w:val="21"/>
              </w:rPr>
            </w:pPr>
            <w:r>
              <w:rPr>
                <w:sz w:val="21"/>
              </w:rPr>
              <w:t>矿井工程</w:t>
            </w:r>
          </w:p>
        </w:tc>
        <w:tc>
          <w:tcPr>
            <w:tcW w:w="1333" w:type="dxa"/>
          </w:tcPr>
          <w:p>
            <w:pPr>
              <w:pStyle w:val="14"/>
              <w:jc w:val="left"/>
              <w:rPr>
                <w:b/>
                <w:sz w:val="20"/>
              </w:rPr>
            </w:pPr>
          </w:p>
          <w:p>
            <w:pPr>
              <w:pStyle w:val="14"/>
              <w:jc w:val="left"/>
              <w:rPr>
                <w:b/>
                <w:sz w:val="20"/>
              </w:rPr>
            </w:pPr>
          </w:p>
          <w:p>
            <w:pPr>
              <w:pStyle w:val="14"/>
              <w:spacing w:before="10"/>
              <w:jc w:val="left"/>
              <w:rPr>
                <w:b/>
                <w:sz w:val="20"/>
              </w:rPr>
            </w:pPr>
          </w:p>
          <w:p>
            <w:pPr>
              <w:pStyle w:val="14"/>
              <w:ind w:left="206" w:right="218"/>
              <w:rPr>
                <w:sz w:val="21"/>
              </w:rPr>
            </w:pPr>
            <w:r>
              <w:rPr>
                <w:sz w:val="21"/>
              </w:rPr>
              <w:t>主井</w:t>
            </w:r>
          </w:p>
        </w:tc>
        <w:tc>
          <w:tcPr>
            <w:tcW w:w="5652" w:type="dxa"/>
          </w:tcPr>
          <w:p>
            <w:pPr>
              <w:pStyle w:val="14"/>
              <w:spacing w:line="300" w:lineRule="exact"/>
              <w:ind w:left="108" w:right="-15"/>
              <w:jc w:val="left"/>
              <w:rPr>
                <w:sz w:val="21"/>
              </w:rPr>
            </w:pPr>
            <w:r>
              <w:rPr>
                <w:sz w:val="21"/>
              </w:rPr>
              <w:t>主井为新开凿的斜井，井口标高为</w:t>
            </w:r>
            <w:r>
              <w:rPr>
                <w:rFonts w:ascii="Times New Roman" w:hAnsi="Times New Roman" w:eastAsia="Times New Roman"/>
                <w:sz w:val="21"/>
              </w:rPr>
              <w:t>+312.0m</w:t>
            </w:r>
            <w:r>
              <w:rPr>
                <w:spacing w:val="-12"/>
                <w:sz w:val="21"/>
              </w:rPr>
              <w:t xml:space="preserve">，倾角为 </w:t>
            </w:r>
            <w:r>
              <w:rPr>
                <w:rFonts w:ascii="Times New Roman" w:hAnsi="Times New Roman" w:eastAsia="Times New Roman"/>
                <w:sz w:val="21"/>
              </w:rPr>
              <w:t>22.5°</w:t>
            </w:r>
            <w:r>
              <w:rPr>
                <w:sz w:val="21"/>
              </w:rPr>
              <w:t xml:space="preserve">， </w:t>
            </w:r>
            <w:r>
              <w:rPr>
                <w:spacing w:val="-10"/>
                <w:sz w:val="21"/>
              </w:rPr>
              <w:t xml:space="preserve">井筒斜长为 </w:t>
            </w:r>
            <w:r>
              <w:rPr>
                <w:rFonts w:ascii="Times New Roman" w:hAnsi="Times New Roman" w:eastAsia="Times New Roman"/>
                <w:spacing w:val="-5"/>
                <w:sz w:val="21"/>
              </w:rPr>
              <w:t>965m</w:t>
            </w:r>
            <w:r>
              <w:rPr>
                <w:spacing w:val="-9"/>
                <w:sz w:val="21"/>
              </w:rPr>
              <w:t xml:space="preserve">，井筒净断面为 </w:t>
            </w:r>
            <w:r>
              <w:rPr>
                <w:rFonts w:ascii="Times New Roman" w:hAnsi="Times New Roman" w:eastAsia="Times New Roman"/>
                <w:spacing w:val="-4"/>
                <w:sz w:val="21"/>
              </w:rPr>
              <w:t>6.4m</w:t>
            </w:r>
            <w:r>
              <w:rPr>
                <w:rFonts w:ascii="Times New Roman" w:hAnsi="Times New Roman" w:eastAsia="Times New Roman"/>
                <w:spacing w:val="-4"/>
                <w:position w:val="7"/>
                <w:sz w:val="13"/>
              </w:rPr>
              <w:t>2</w:t>
            </w:r>
            <w:r>
              <w:rPr>
                <w:spacing w:val="-2"/>
                <w:sz w:val="21"/>
              </w:rPr>
              <w:t>，主斜井采用带式输</w:t>
            </w:r>
            <w:r>
              <w:rPr>
                <w:spacing w:val="-13"/>
                <w:sz w:val="21"/>
              </w:rPr>
              <w:t xml:space="preserve">送机提升方式，安装 </w:t>
            </w:r>
            <w:r>
              <w:rPr>
                <w:rFonts w:ascii="Times New Roman" w:hAnsi="Times New Roman" w:eastAsia="Times New Roman"/>
                <w:sz w:val="21"/>
              </w:rPr>
              <w:t>ST/S2000</w:t>
            </w:r>
            <w:r>
              <w:rPr>
                <w:rFonts w:ascii="Times New Roman" w:hAnsi="Times New Roman" w:eastAsia="Times New Roman"/>
                <w:spacing w:val="-4"/>
                <w:sz w:val="21"/>
              </w:rPr>
              <w:t xml:space="preserve"> </w:t>
            </w:r>
            <w:r>
              <w:rPr>
                <w:spacing w:val="-12"/>
                <w:sz w:val="21"/>
              </w:rPr>
              <w:t xml:space="preserve">型带式输送机，带宽 </w:t>
            </w:r>
            <w:r>
              <w:rPr>
                <w:rFonts w:ascii="Times New Roman" w:hAnsi="Times New Roman" w:eastAsia="Times New Roman"/>
                <w:sz w:val="21"/>
              </w:rPr>
              <w:t>800mm</w:t>
            </w:r>
            <w:r>
              <w:rPr>
                <w:sz w:val="21"/>
              </w:rPr>
              <w:t xml:space="preserve">， </w:t>
            </w:r>
            <w:r>
              <w:rPr>
                <w:spacing w:val="-17"/>
                <w:sz w:val="21"/>
              </w:rPr>
              <w:t xml:space="preserve">带速 </w:t>
            </w:r>
            <w:r>
              <w:rPr>
                <w:rFonts w:ascii="Times New Roman" w:hAnsi="Times New Roman" w:eastAsia="Times New Roman"/>
                <w:sz w:val="21"/>
              </w:rPr>
              <w:t>2.0m/s</w:t>
            </w:r>
            <w:r>
              <w:rPr>
                <w:spacing w:val="-4"/>
                <w:sz w:val="21"/>
              </w:rPr>
              <w:t xml:space="preserve">，带式输送机运输能力为 </w:t>
            </w:r>
            <w:r>
              <w:rPr>
                <w:rFonts w:ascii="Times New Roman" w:hAnsi="Times New Roman" w:eastAsia="Times New Roman"/>
                <w:sz w:val="21"/>
              </w:rPr>
              <w:t>150t/h</w:t>
            </w:r>
            <w:r>
              <w:rPr>
                <w:sz w:val="21"/>
              </w:rPr>
              <w:t>，配套电动机选</w:t>
            </w:r>
            <w:r>
              <w:rPr>
                <w:spacing w:val="-10"/>
                <w:sz w:val="21"/>
              </w:rPr>
              <w:t xml:space="preserve">用防爆变频 </w:t>
            </w:r>
            <w:r>
              <w:rPr>
                <w:rFonts w:ascii="Times New Roman" w:hAnsi="Times New Roman" w:eastAsia="Times New Roman"/>
                <w:sz w:val="21"/>
              </w:rPr>
              <w:t>4</w:t>
            </w:r>
            <w:r>
              <w:rPr>
                <w:rFonts w:ascii="Times New Roman" w:hAnsi="Times New Roman" w:eastAsia="Times New Roman"/>
                <w:spacing w:val="-1"/>
                <w:sz w:val="21"/>
              </w:rPr>
              <w:t xml:space="preserve"> </w:t>
            </w:r>
            <w:r>
              <w:rPr>
                <w:spacing w:val="-13"/>
                <w:sz w:val="21"/>
              </w:rPr>
              <w:t xml:space="preserve">级，电动机功率为 </w:t>
            </w:r>
            <w:r>
              <w:rPr>
                <w:rFonts w:ascii="Times New Roman" w:hAnsi="Times New Roman" w:eastAsia="Times New Roman"/>
                <w:spacing w:val="-5"/>
                <w:sz w:val="21"/>
              </w:rPr>
              <w:t>2×250kW</w:t>
            </w:r>
            <w:r>
              <w:rPr>
                <w:spacing w:val="-2"/>
                <w:sz w:val="21"/>
              </w:rPr>
              <w:t>，承担原煤提升的任务。</w:t>
            </w:r>
          </w:p>
        </w:tc>
        <w:tc>
          <w:tcPr>
            <w:tcW w:w="951" w:type="dxa"/>
          </w:tcPr>
          <w:p>
            <w:pPr>
              <w:pStyle w:val="14"/>
              <w:jc w:val="left"/>
              <w:rPr>
                <w:b/>
                <w:sz w:val="20"/>
              </w:rPr>
            </w:pPr>
          </w:p>
          <w:p>
            <w:pPr>
              <w:pStyle w:val="14"/>
              <w:jc w:val="left"/>
              <w:rPr>
                <w:b/>
                <w:sz w:val="20"/>
              </w:rPr>
            </w:pPr>
          </w:p>
          <w:p>
            <w:pPr>
              <w:pStyle w:val="14"/>
              <w:spacing w:before="10"/>
              <w:jc w:val="left"/>
              <w:rPr>
                <w:b/>
                <w:sz w:val="20"/>
              </w:rPr>
            </w:pPr>
          </w:p>
          <w:p>
            <w:pPr>
              <w:pStyle w:val="14"/>
              <w:ind w:left="243" w:right="238"/>
              <w:rPr>
                <w:sz w:val="21"/>
              </w:rPr>
            </w:pPr>
            <w:r>
              <w:rPr>
                <w:sz w:val="21"/>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0"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472" w:type="dxa"/>
            <w:vMerge w:val="continue"/>
            <w:tcBorders>
              <w:top w:val="nil"/>
            </w:tcBorders>
          </w:tcPr>
          <w:p>
            <w:pPr>
              <w:rPr>
                <w:sz w:val="2"/>
                <w:szCs w:val="2"/>
              </w:rPr>
            </w:pPr>
          </w:p>
        </w:tc>
        <w:tc>
          <w:tcPr>
            <w:tcW w:w="1333" w:type="dxa"/>
          </w:tcPr>
          <w:p>
            <w:pPr>
              <w:pStyle w:val="14"/>
              <w:jc w:val="left"/>
              <w:rPr>
                <w:b/>
                <w:sz w:val="20"/>
              </w:rPr>
            </w:pPr>
          </w:p>
          <w:p>
            <w:pPr>
              <w:pStyle w:val="14"/>
              <w:jc w:val="left"/>
              <w:rPr>
                <w:b/>
                <w:sz w:val="20"/>
              </w:rPr>
            </w:pPr>
          </w:p>
          <w:p>
            <w:pPr>
              <w:pStyle w:val="14"/>
              <w:spacing w:before="12"/>
              <w:jc w:val="left"/>
              <w:rPr>
                <w:b/>
                <w:sz w:val="20"/>
              </w:rPr>
            </w:pPr>
          </w:p>
          <w:p>
            <w:pPr>
              <w:pStyle w:val="14"/>
              <w:ind w:left="206" w:right="218"/>
              <w:rPr>
                <w:sz w:val="21"/>
              </w:rPr>
            </w:pPr>
            <w:r>
              <w:rPr>
                <w:sz w:val="21"/>
              </w:rPr>
              <w:t>副井</w:t>
            </w:r>
          </w:p>
        </w:tc>
        <w:tc>
          <w:tcPr>
            <w:tcW w:w="5652" w:type="dxa"/>
          </w:tcPr>
          <w:p>
            <w:pPr>
              <w:pStyle w:val="14"/>
              <w:spacing w:line="300" w:lineRule="exact"/>
              <w:ind w:left="108" w:right="-15"/>
              <w:jc w:val="left"/>
              <w:rPr>
                <w:sz w:val="21"/>
              </w:rPr>
            </w:pPr>
            <w:r>
              <w:rPr>
                <w:sz w:val="21"/>
              </w:rPr>
              <w:t>用原有主提升斜井改造为副井，担负全矿井的人员、材料、</w:t>
            </w:r>
            <w:r>
              <w:rPr>
                <w:spacing w:val="-5"/>
                <w:sz w:val="21"/>
              </w:rPr>
              <w:t>设备、矸石升降任务，兼做矿井进风和矿井的安全出口。对</w:t>
            </w:r>
            <w:r>
              <w:rPr>
                <w:spacing w:val="-7"/>
                <w:sz w:val="21"/>
              </w:rPr>
              <w:t>副井井筒进行开帮改造，并安装一套架空乘人装置，担负矿</w:t>
            </w:r>
            <w:r>
              <w:rPr>
                <w:spacing w:val="-3"/>
                <w:sz w:val="21"/>
              </w:rPr>
              <w:t xml:space="preserve">井人员升降任务。井筒断面为半圆拱形，井筒倾角为 </w:t>
            </w:r>
            <w:r>
              <w:rPr>
                <w:rFonts w:ascii="Times New Roman" w:hAnsi="Times New Roman" w:eastAsia="Times New Roman"/>
                <w:sz w:val="21"/>
              </w:rPr>
              <w:t>20°</w:t>
            </w:r>
            <w:r>
              <w:rPr>
                <w:sz w:val="21"/>
              </w:rPr>
              <w:t xml:space="preserve">， </w:t>
            </w:r>
            <w:r>
              <w:rPr>
                <w:spacing w:val="-20"/>
                <w:sz w:val="21"/>
              </w:rPr>
              <w:t xml:space="preserve">斜长 </w:t>
            </w:r>
            <w:r>
              <w:rPr>
                <w:rFonts w:ascii="Times New Roman" w:hAnsi="Times New Roman" w:eastAsia="Times New Roman"/>
                <w:spacing w:val="-14"/>
                <w:sz w:val="21"/>
              </w:rPr>
              <w:t>940m</w:t>
            </w:r>
            <w:r>
              <w:rPr>
                <w:spacing w:val="-18"/>
                <w:sz w:val="21"/>
              </w:rPr>
              <w:t xml:space="preserve">，铺设 </w:t>
            </w:r>
            <w:r>
              <w:rPr>
                <w:rFonts w:ascii="Times New Roman" w:hAnsi="Times New Roman" w:eastAsia="Times New Roman"/>
                <w:sz w:val="21"/>
              </w:rPr>
              <w:t>30kg/m</w:t>
            </w:r>
            <w:r>
              <w:rPr>
                <w:rFonts w:ascii="Times New Roman" w:hAnsi="Times New Roman" w:eastAsia="Times New Roman"/>
                <w:spacing w:val="-4"/>
                <w:sz w:val="21"/>
              </w:rPr>
              <w:t xml:space="preserve"> </w:t>
            </w:r>
            <w:r>
              <w:rPr>
                <w:spacing w:val="-9"/>
                <w:sz w:val="21"/>
              </w:rPr>
              <w:t>钢轨。表土段采用混凝土发碹支护， 基岩段采用锚喷支护。</w:t>
            </w:r>
          </w:p>
        </w:tc>
        <w:tc>
          <w:tcPr>
            <w:tcW w:w="951" w:type="dxa"/>
          </w:tcPr>
          <w:p>
            <w:pPr>
              <w:pStyle w:val="14"/>
              <w:spacing w:before="1"/>
              <w:jc w:val="left"/>
              <w:rPr>
                <w:b/>
                <w:sz w:val="23"/>
              </w:rPr>
            </w:pPr>
          </w:p>
          <w:p>
            <w:pPr>
              <w:pStyle w:val="14"/>
              <w:spacing w:line="278" w:lineRule="auto"/>
              <w:ind w:left="158" w:right="151"/>
              <w:jc w:val="both"/>
              <w:rPr>
                <w:sz w:val="21"/>
              </w:rPr>
            </w:pPr>
            <w:r>
              <w:rPr>
                <w:sz w:val="21"/>
              </w:rPr>
              <w:t>依托原大顺煤矿主井并改造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472" w:type="dxa"/>
            <w:vMerge w:val="continue"/>
            <w:tcBorders>
              <w:top w:val="nil"/>
            </w:tcBorders>
          </w:tcPr>
          <w:p>
            <w:pPr>
              <w:rPr>
                <w:sz w:val="2"/>
                <w:szCs w:val="2"/>
              </w:rPr>
            </w:pPr>
          </w:p>
        </w:tc>
        <w:tc>
          <w:tcPr>
            <w:tcW w:w="1333" w:type="dxa"/>
          </w:tcPr>
          <w:p>
            <w:pPr>
              <w:pStyle w:val="14"/>
              <w:jc w:val="left"/>
              <w:rPr>
                <w:b/>
                <w:sz w:val="20"/>
              </w:rPr>
            </w:pPr>
          </w:p>
          <w:p>
            <w:pPr>
              <w:pStyle w:val="14"/>
              <w:spacing w:before="5"/>
              <w:jc w:val="left"/>
              <w:rPr>
                <w:b/>
                <w:sz w:val="19"/>
              </w:rPr>
            </w:pPr>
          </w:p>
          <w:p>
            <w:pPr>
              <w:pStyle w:val="14"/>
              <w:ind w:left="206" w:right="218"/>
              <w:rPr>
                <w:sz w:val="21"/>
              </w:rPr>
            </w:pPr>
            <w:r>
              <w:rPr>
                <w:sz w:val="21"/>
              </w:rPr>
              <w:t>风井</w:t>
            </w:r>
          </w:p>
        </w:tc>
        <w:tc>
          <w:tcPr>
            <w:tcW w:w="5652" w:type="dxa"/>
          </w:tcPr>
          <w:p>
            <w:pPr>
              <w:pStyle w:val="14"/>
              <w:spacing w:before="7"/>
              <w:jc w:val="left"/>
              <w:rPr>
                <w:b/>
                <w:sz w:val="27"/>
              </w:rPr>
            </w:pPr>
          </w:p>
          <w:p>
            <w:pPr>
              <w:pStyle w:val="14"/>
              <w:spacing w:line="266" w:lineRule="auto"/>
              <w:ind w:left="108" w:right="98"/>
              <w:jc w:val="left"/>
              <w:rPr>
                <w:sz w:val="21"/>
              </w:rPr>
            </w:pPr>
            <w:r>
              <w:rPr>
                <w:spacing w:val="-2"/>
                <w:w w:val="95"/>
                <w:sz w:val="21"/>
              </w:rPr>
              <w:t xml:space="preserve">矿井原有的副井改造后作为改扩建后的风井，承担矿井前期 </w:t>
            </w:r>
            <w:r>
              <w:rPr>
                <w:spacing w:val="-2"/>
                <w:sz w:val="21"/>
              </w:rPr>
              <w:t>的回风任务</w:t>
            </w:r>
          </w:p>
        </w:tc>
        <w:tc>
          <w:tcPr>
            <w:tcW w:w="951" w:type="dxa"/>
          </w:tcPr>
          <w:p>
            <w:pPr>
              <w:pStyle w:val="14"/>
              <w:spacing w:before="20" w:line="278" w:lineRule="auto"/>
              <w:ind w:left="158" w:right="151"/>
              <w:jc w:val="both"/>
              <w:rPr>
                <w:sz w:val="21"/>
              </w:rPr>
            </w:pPr>
            <w:r>
              <w:rPr>
                <w:spacing w:val="-6"/>
                <w:sz w:val="21"/>
              </w:rPr>
              <w:t>依托原大顺煤</w:t>
            </w:r>
            <w:r>
              <w:rPr>
                <w:spacing w:val="-6"/>
                <w:w w:val="95"/>
                <w:sz w:val="21"/>
              </w:rPr>
              <w:t>矿副井</w:t>
            </w:r>
          </w:p>
          <w:p>
            <w:pPr>
              <w:pStyle w:val="14"/>
              <w:spacing w:line="269" w:lineRule="exact"/>
              <w:ind w:left="158"/>
              <w:jc w:val="left"/>
              <w:rPr>
                <w:sz w:val="21"/>
              </w:rPr>
            </w:pPr>
            <w:r>
              <w:rPr>
                <w:w w:val="95"/>
                <w:sz w:val="21"/>
              </w:rPr>
              <w:t>并改造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 w:hRule="atLeast"/>
        </w:trPr>
        <w:tc>
          <w:tcPr>
            <w:tcW w:w="408" w:type="dxa"/>
            <w:vMerge w:val="continue"/>
            <w:tcBorders>
              <w:top w:val="nil"/>
            </w:tcBorders>
          </w:tcPr>
          <w:p>
            <w:pPr>
              <w:rPr>
                <w:sz w:val="2"/>
                <w:szCs w:val="2"/>
              </w:rPr>
            </w:pPr>
          </w:p>
        </w:tc>
        <w:tc>
          <w:tcPr>
            <w:tcW w:w="408" w:type="dxa"/>
            <w:vMerge w:val="restart"/>
          </w:tcPr>
          <w:p>
            <w:pPr>
              <w:pStyle w:val="14"/>
              <w:jc w:val="left"/>
              <w:rPr>
                <w:b/>
                <w:sz w:val="20"/>
              </w:rPr>
            </w:pPr>
          </w:p>
          <w:p>
            <w:pPr>
              <w:pStyle w:val="14"/>
              <w:spacing w:before="9"/>
              <w:jc w:val="left"/>
              <w:rPr>
                <w:b/>
                <w:sz w:val="25"/>
              </w:rPr>
            </w:pPr>
          </w:p>
          <w:p>
            <w:pPr>
              <w:pStyle w:val="14"/>
              <w:spacing w:line="266" w:lineRule="auto"/>
              <w:ind w:left="108" w:right="78"/>
              <w:jc w:val="both"/>
              <w:rPr>
                <w:sz w:val="21"/>
              </w:rPr>
            </w:pPr>
            <w:r>
              <w:rPr>
                <w:sz w:val="21"/>
              </w:rPr>
              <w:t>辅助生产系统</w:t>
            </w:r>
          </w:p>
        </w:tc>
        <w:tc>
          <w:tcPr>
            <w:tcW w:w="1805" w:type="dxa"/>
            <w:gridSpan w:val="2"/>
          </w:tcPr>
          <w:p>
            <w:pPr>
              <w:pStyle w:val="14"/>
              <w:spacing w:before="10"/>
              <w:jc w:val="left"/>
              <w:rPr>
                <w:b/>
                <w:sz w:val="17"/>
              </w:rPr>
            </w:pPr>
          </w:p>
          <w:p>
            <w:pPr>
              <w:pStyle w:val="14"/>
              <w:ind w:left="271"/>
              <w:jc w:val="left"/>
              <w:rPr>
                <w:sz w:val="21"/>
              </w:rPr>
            </w:pPr>
            <w:r>
              <w:rPr>
                <w:sz w:val="21"/>
              </w:rPr>
              <w:t>矿井辅助设施</w:t>
            </w:r>
          </w:p>
        </w:tc>
        <w:tc>
          <w:tcPr>
            <w:tcW w:w="5652" w:type="dxa"/>
          </w:tcPr>
          <w:p>
            <w:pPr>
              <w:pStyle w:val="14"/>
              <w:spacing w:before="79" w:line="266" w:lineRule="auto"/>
              <w:ind w:left="108" w:right="74"/>
              <w:jc w:val="left"/>
              <w:rPr>
                <w:sz w:val="21"/>
              </w:rPr>
            </w:pPr>
            <w:r>
              <w:rPr>
                <w:w w:val="95"/>
                <w:sz w:val="21"/>
              </w:rPr>
              <w:t xml:space="preserve">辅助生产系统及配套设施包括：机修车间、坑木加工车间、 </w:t>
            </w:r>
            <w:r>
              <w:rPr>
                <w:sz w:val="21"/>
              </w:rPr>
              <w:t>压风机房、主扇房、变电所、暖风机房等。</w:t>
            </w:r>
          </w:p>
        </w:tc>
        <w:tc>
          <w:tcPr>
            <w:tcW w:w="951" w:type="dxa"/>
          </w:tcPr>
          <w:p>
            <w:pPr>
              <w:pStyle w:val="14"/>
              <w:spacing w:before="79" w:line="266" w:lineRule="auto"/>
              <w:ind w:left="264" w:right="257"/>
              <w:jc w:val="left"/>
              <w:rPr>
                <w:sz w:val="21"/>
              </w:rPr>
            </w:pPr>
            <w:r>
              <w:rPr>
                <w:sz w:val="21"/>
              </w:rPr>
              <w:t>依托原有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gridSpan w:val="2"/>
          </w:tcPr>
          <w:p>
            <w:pPr>
              <w:pStyle w:val="14"/>
              <w:spacing w:before="11"/>
              <w:jc w:val="left"/>
              <w:rPr>
                <w:b/>
                <w:sz w:val="25"/>
              </w:rPr>
            </w:pPr>
          </w:p>
          <w:p>
            <w:pPr>
              <w:pStyle w:val="14"/>
              <w:ind w:left="108"/>
              <w:jc w:val="left"/>
              <w:rPr>
                <w:sz w:val="21"/>
              </w:rPr>
            </w:pPr>
            <w:r>
              <w:rPr>
                <w:sz w:val="21"/>
              </w:rPr>
              <w:t>采暖、洗浴锅炉房</w:t>
            </w:r>
          </w:p>
        </w:tc>
        <w:tc>
          <w:tcPr>
            <w:tcW w:w="5652" w:type="dxa"/>
          </w:tcPr>
          <w:p>
            <w:pPr>
              <w:pStyle w:val="14"/>
              <w:spacing w:before="22" w:line="278" w:lineRule="auto"/>
              <w:ind w:left="108" w:right="34"/>
              <w:jc w:val="left"/>
              <w:rPr>
                <w:sz w:val="21"/>
              </w:rPr>
            </w:pPr>
            <w:r>
              <w:rPr>
                <w:sz w:val="21"/>
              </w:rPr>
              <w:t xml:space="preserve">工业广场锅炉房设置 </w:t>
            </w:r>
            <w:r>
              <w:rPr>
                <w:rFonts w:ascii="Times New Roman" w:eastAsia="Times New Roman"/>
                <w:sz w:val="21"/>
              </w:rPr>
              <w:t xml:space="preserve">1 </w:t>
            </w:r>
            <w:r>
              <w:rPr>
                <w:sz w:val="21"/>
              </w:rPr>
              <w:t xml:space="preserve">台 </w:t>
            </w:r>
            <w:r>
              <w:rPr>
                <w:rFonts w:ascii="Times New Roman" w:eastAsia="Times New Roman"/>
                <w:sz w:val="21"/>
              </w:rPr>
              <w:t xml:space="preserve">1.4MW </w:t>
            </w:r>
            <w:r>
              <w:rPr>
                <w:sz w:val="21"/>
              </w:rPr>
              <w:t>生物质热水锅炉，为工业</w:t>
            </w:r>
            <w:r>
              <w:rPr>
                <w:w w:val="95"/>
                <w:sz w:val="21"/>
              </w:rPr>
              <w:t>场地内建、构筑物的采暖及员工洗浴、干燥，配套布袋除尘</w:t>
            </w:r>
          </w:p>
          <w:p>
            <w:pPr>
              <w:pStyle w:val="14"/>
              <w:spacing w:line="269" w:lineRule="exact"/>
              <w:ind w:left="108"/>
              <w:jc w:val="left"/>
              <w:rPr>
                <w:rFonts w:ascii="Times New Roman" w:eastAsia="Times New Roman"/>
                <w:sz w:val="21"/>
              </w:rPr>
            </w:pPr>
            <w:r>
              <w:rPr>
                <w:sz w:val="21"/>
              </w:rPr>
              <w:t xml:space="preserve">器，烟囱高为 </w:t>
            </w:r>
            <w:r>
              <w:rPr>
                <w:rFonts w:ascii="Times New Roman" w:eastAsia="Times New Roman"/>
                <w:sz w:val="21"/>
              </w:rPr>
              <w:t>35m</w:t>
            </w:r>
          </w:p>
        </w:tc>
        <w:tc>
          <w:tcPr>
            <w:tcW w:w="951" w:type="dxa"/>
          </w:tcPr>
          <w:p>
            <w:pPr>
              <w:pStyle w:val="14"/>
              <w:jc w:val="left"/>
              <w:rPr>
                <w:b/>
                <w:sz w:val="26"/>
              </w:rPr>
            </w:pPr>
          </w:p>
          <w:p>
            <w:pPr>
              <w:pStyle w:val="14"/>
              <w:spacing w:before="1"/>
              <w:ind w:left="243" w:right="238"/>
              <w:rPr>
                <w:sz w:val="21"/>
              </w:rPr>
            </w:pPr>
            <w:r>
              <w:rPr>
                <w:sz w:val="21"/>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gridSpan w:val="2"/>
          </w:tcPr>
          <w:p>
            <w:pPr>
              <w:pStyle w:val="14"/>
              <w:spacing w:before="12"/>
              <w:jc w:val="left"/>
              <w:rPr>
                <w:b/>
                <w:sz w:val="14"/>
              </w:rPr>
            </w:pPr>
          </w:p>
          <w:p>
            <w:pPr>
              <w:pStyle w:val="14"/>
              <w:ind w:left="482"/>
              <w:jc w:val="left"/>
              <w:rPr>
                <w:sz w:val="21"/>
              </w:rPr>
            </w:pPr>
            <w:r>
              <w:rPr>
                <w:sz w:val="21"/>
              </w:rPr>
              <w:t>热风炉房</w:t>
            </w:r>
          </w:p>
        </w:tc>
        <w:tc>
          <w:tcPr>
            <w:tcW w:w="5652" w:type="dxa"/>
          </w:tcPr>
          <w:p>
            <w:pPr>
              <w:pStyle w:val="14"/>
              <w:spacing w:before="21"/>
              <w:ind w:left="108"/>
              <w:jc w:val="left"/>
              <w:rPr>
                <w:sz w:val="21"/>
              </w:rPr>
            </w:pPr>
            <w:r>
              <w:rPr>
                <w:sz w:val="21"/>
              </w:rPr>
              <w:t xml:space="preserve">工业广场热风炉房设置 </w:t>
            </w:r>
            <w:r>
              <w:rPr>
                <w:rFonts w:ascii="Times New Roman" w:eastAsia="Times New Roman"/>
                <w:sz w:val="21"/>
              </w:rPr>
              <w:t xml:space="preserve">1 </w:t>
            </w:r>
            <w:r>
              <w:rPr>
                <w:sz w:val="21"/>
              </w:rPr>
              <w:t xml:space="preserve">台 </w:t>
            </w:r>
            <w:r>
              <w:rPr>
                <w:rFonts w:ascii="Times New Roman" w:eastAsia="Times New Roman"/>
                <w:sz w:val="21"/>
              </w:rPr>
              <w:t xml:space="preserve">4.2MW </w:t>
            </w:r>
            <w:r>
              <w:rPr>
                <w:sz w:val="21"/>
              </w:rPr>
              <w:t>热风炉，配套布袋除尘</w:t>
            </w:r>
          </w:p>
          <w:p>
            <w:pPr>
              <w:pStyle w:val="14"/>
              <w:spacing w:before="43"/>
              <w:ind w:left="108"/>
              <w:jc w:val="left"/>
              <w:rPr>
                <w:sz w:val="21"/>
              </w:rPr>
            </w:pPr>
            <w:r>
              <w:rPr>
                <w:sz w:val="21"/>
              </w:rPr>
              <w:t xml:space="preserve">器，烟囱高为 </w:t>
            </w:r>
            <w:r>
              <w:rPr>
                <w:rFonts w:ascii="Times New Roman" w:eastAsia="Times New Roman"/>
                <w:sz w:val="21"/>
              </w:rPr>
              <w:t>35m</w:t>
            </w:r>
            <w:r>
              <w:rPr>
                <w:sz w:val="21"/>
              </w:rPr>
              <w:t>。用于井筒防冻。</w:t>
            </w:r>
          </w:p>
        </w:tc>
        <w:tc>
          <w:tcPr>
            <w:tcW w:w="951" w:type="dxa"/>
          </w:tcPr>
          <w:p>
            <w:pPr>
              <w:pStyle w:val="14"/>
              <w:spacing w:before="177"/>
              <w:ind w:left="243" w:right="238"/>
              <w:rPr>
                <w:sz w:val="21"/>
              </w:rPr>
            </w:pPr>
            <w:r>
              <w:rPr>
                <w:sz w:val="21"/>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gridSpan w:val="2"/>
          </w:tcPr>
          <w:p>
            <w:pPr>
              <w:pStyle w:val="14"/>
              <w:spacing w:before="12"/>
              <w:jc w:val="left"/>
              <w:rPr>
                <w:b/>
                <w:sz w:val="14"/>
              </w:rPr>
            </w:pPr>
          </w:p>
          <w:p>
            <w:pPr>
              <w:pStyle w:val="14"/>
              <w:ind w:left="482"/>
              <w:jc w:val="left"/>
              <w:rPr>
                <w:sz w:val="21"/>
              </w:rPr>
            </w:pPr>
            <w:r>
              <w:rPr>
                <w:sz w:val="21"/>
              </w:rPr>
              <w:t>筛分车间</w:t>
            </w:r>
          </w:p>
        </w:tc>
        <w:tc>
          <w:tcPr>
            <w:tcW w:w="5652" w:type="dxa"/>
          </w:tcPr>
          <w:p>
            <w:pPr>
              <w:pStyle w:val="14"/>
              <w:spacing w:before="21"/>
              <w:ind w:left="108"/>
              <w:jc w:val="left"/>
              <w:rPr>
                <w:sz w:val="21"/>
              </w:rPr>
            </w:pPr>
            <w:r>
              <w:rPr>
                <w:sz w:val="21"/>
              </w:rPr>
              <w:t>筛分车间设置一套布袋除尘器，经布袋除尘器收处理后由排</w:t>
            </w:r>
          </w:p>
          <w:p>
            <w:pPr>
              <w:pStyle w:val="14"/>
              <w:spacing w:before="43"/>
              <w:ind w:left="108"/>
              <w:jc w:val="left"/>
              <w:rPr>
                <w:sz w:val="21"/>
              </w:rPr>
            </w:pPr>
            <w:r>
              <w:rPr>
                <w:sz w:val="21"/>
              </w:rPr>
              <w:t xml:space="preserve">气筒排放，除尘器除尘效率 </w:t>
            </w:r>
            <w:r>
              <w:rPr>
                <w:rFonts w:ascii="Times New Roman" w:eastAsia="Times New Roman"/>
                <w:sz w:val="21"/>
              </w:rPr>
              <w:t>99%</w:t>
            </w:r>
            <w:r>
              <w:rPr>
                <w:sz w:val="21"/>
              </w:rPr>
              <w:t>。</w:t>
            </w:r>
          </w:p>
        </w:tc>
        <w:tc>
          <w:tcPr>
            <w:tcW w:w="951" w:type="dxa"/>
          </w:tcPr>
          <w:p>
            <w:pPr>
              <w:pStyle w:val="14"/>
              <w:spacing w:before="177"/>
              <w:ind w:left="243" w:right="238"/>
              <w:rPr>
                <w:sz w:val="21"/>
              </w:rPr>
            </w:pPr>
            <w:r>
              <w:rPr>
                <w:sz w:val="21"/>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0" w:hRule="atLeast"/>
        </w:trPr>
        <w:tc>
          <w:tcPr>
            <w:tcW w:w="408" w:type="dxa"/>
            <w:vMerge w:val="continue"/>
            <w:tcBorders>
              <w:top w:val="nil"/>
            </w:tcBorders>
          </w:tcPr>
          <w:p>
            <w:pPr>
              <w:rPr>
                <w:sz w:val="2"/>
                <w:szCs w:val="2"/>
              </w:rPr>
            </w:pPr>
          </w:p>
        </w:tc>
        <w:tc>
          <w:tcPr>
            <w:tcW w:w="408" w:type="dxa"/>
            <w:vMerge w:val="restart"/>
          </w:tcPr>
          <w:p>
            <w:pPr>
              <w:pStyle w:val="14"/>
              <w:jc w:val="left"/>
              <w:rPr>
                <w:b/>
                <w:sz w:val="20"/>
              </w:rPr>
            </w:pPr>
          </w:p>
          <w:p>
            <w:pPr>
              <w:pStyle w:val="14"/>
              <w:jc w:val="left"/>
              <w:rPr>
                <w:b/>
                <w:sz w:val="20"/>
              </w:rPr>
            </w:pPr>
          </w:p>
          <w:p>
            <w:pPr>
              <w:pStyle w:val="14"/>
              <w:spacing w:before="11"/>
              <w:jc w:val="left"/>
              <w:rPr>
                <w:b/>
                <w:sz w:val="22"/>
              </w:rPr>
            </w:pPr>
          </w:p>
          <w:p>
            <w:pPr>
              <w:pStyle w:val="14"/>
              <w:spacing w:line="266" w:lineRule="auto"/>
              <w:ind w:left="108" w:right="78"/>
              <w:jc w:val="both"/>
              <w:rPr>
                <w:sz w:val="21"/>
              </w:rPr>
            </w:pPr>
            <w:r>
              <w:rPr>
                <w:sz w:val="21"/>
              </w:rPr>
              <w:t>储运工程</w:t>
            </w:r>
          </w:p>
        </w:tc>
        <w:tc>
          <w:tcPr>
            <w:tcW w:w="1805" w:type="dxa"/>
            <w:gridSpan w:val="2"/>
          </w:tcPr>
          <w:p>
            <w:pPr>
              <w:pStyle w:val="14"/>
              <w:jc w:val="left"/>
              <w:rPr>
                <w:b/>
                <w:sz w:val="20"/>
              </w:rPr>
            </w:pPr>
          </w:p>
          <w:p>
            <w:pPr>
              <w:pStyle w:val="14"/>
              <w:spacing w:before="5"/>
              <w:jc w:val="left"/>
              <w:rPr>
                <w:b/>
                <w:sz w:val="17"/>
              </w:rPr>
            </w:pPr>
          </w:p>
          <w:p>
            <w:pPr>
              <w:pStyle w:val="14"/>
              <w:ind w:left="145" w:right="140"/>
              <w:rPr>
                <w:sz w:val="21"/>
              </w:rPr>
            </w:pPr>
            <w:r>
              <w:rPr>
                <w:sz w:val="21"/>
              </w:rPr>
              <w:t>公路</w:t>
            </w:r>
          </w:p>
        </w:tc>
        <w:tc>
          <w:tcPr>
            <w:tcW w:w="5652" w:type="dxa"/>
          </w:tcPr>
          <w:p>
            <w:pPr>
              <w:pStyle w:val="14"/>
              <w:spacing w:line="300" w:lineRule="exact"/>
              <w:ind w:left="108" w:right="74"/>
              <w:jc w:val="both"/>
              <w:rPr>
                <w:sz w:val="21"/>
              </w:rPr>
            </w:pPr>
            <w:r>
              <w:rPr>
                <w:spacing w:val="-4"/>
                <w:sz w:val="21"/>
              </w:rPr>
              <w:t xml:space="preserve">该矿位于双鸭山矿业集团岭东煤矿南 </w:t>
            </w:r>
            <w:r>
              <w:rPr>
                <w:rFonts w:ascii="Times New Roman" w:eastAsia="Times New Roman"/>
                <w:sz w:val="21"/>
              </w:rPr>
              <w:t xml:space="preserve">7 </w:t>
            </w:r>
            <w:r>
              <w:rPr>
                <w:spacing w:val="-5"/>
                <w:sz w:val="21"/>
              </w:rPr>
              <w:t>千米处，在双鸭山市</w:t>
            </w:r>
            <w:r>
              <w:rPr>
                <w:spacing w:val="-5"/>
                <w:w w:val="95"/>
                <w:sz w:val="21"/>
              </w:rPr>
              <w:t xml:space="preserve">司法局劳教所东部。从岭东矿通往矿井有砂石公路可直达， </w:t>
            </w:r>
            <w:r>
              <w:rPr>
                <w:spacing w:val="-8"/>
                <w:sz w:val="21"/>
              </w:rPr>
              <w:t xml:space="preserve">距双鸭山矿业集团内部运煤专用铁路线岭东车站 </w:t>
            </w:r>
            <w:r>
              <w:rPr>
                <w:rFonts w:ascii="Times New Roman" w:eastAsia="Times New Roman"/>
                <w:spacing w:val="-7"/>
                <w:sz w:val="21"/>
              </w:rPr>
              <w:t>7km</w:t>
            </w:r>
            <w:r>
              <w:rPr>
                <w:spacing w:val="-3"/>
                <w:sz w:val="21"/>
              </w:rPr>
              <w:t>，距双</w:t>
            </w:r>
            <w:r>
              <w:rPr>
                <w:spacing w:val="-12"/>
                <w:sz w:val="21"/>
              </w:rPr>
              <w:t xml:space="preserve">鸭山火车站 </w:t>
            </w:r>
            <w:r>
              <w:rPr>
                <w:rFonts w:ascii="Times New Roman" w:eastAsia="Times New Roman"/>
                <w:sz w:val="21"/>
              </w:rPr>
              <w:t>15km</w:t>
            </w:r>
            <w:r>
              <w:rPr>
                <w:sz w:val="21"/>
              </w:rPr>
              <w:t>，交通较为方便。</w:t>
            </w:r>
          </w:p>
        </w:tc>
        <w:tc>
          <w:tcPr>
            <w:tcW w:w="951" w:type="dxa"/>
          </w:tcPr>
          <w:p>
            <w:pPr>
              <w:pStyle w:val="14"/>
              <w:spacing w:before="10"/>
              <w:jc w:val="left"/>
              <w:rPr>
                <w:b/>
                <w:sz w:val="25"/>
              </w:rPr>
            </w:pPr>
          </w:p>
          <w:p>
            <w:pPr>
              <w:pStyle w:val="14"/>
              <w:spacing w:line="266" w:lineRule="auto"/>
              <w:ind w:left="264" w:right="257"/>
              <w:jc w:val="left"/>
              <w:rPr>
                <w:sz w:val="21"/>
              </w:rPr>
            </w:pPr>
            <w:r>
              <w:rPr>
                <w:sz w:val="21"/>
              </w:rPr>
              <w:t>依托原有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gridSpan w:val="2"/>
          </w:tcPr>
          <w:p>
            <w:pPr>
              <w:pStyle w:val="14"/>
              <w:spacing w:before="85"/>
              <w:ind w:left="585"/>
              <w:jc w:val="left"/>
              <w:rPr>
                <w:sz w:val="21"/>
              </w:rPr>
            </w:pPr>
            <w:r>
              <w:rPr>
                <w:sz w:val="21"/>
              </w:rPr>
              <w:t>储煤仓</w:t>
            </w:r>
          </w:p>
        </w:tc>
        <w:tc>
          <w:tcPr>
            <w:tcW w:w="5652" w:type="dxa"/>
          </w:tcPr>
          <w:p>
            <w:pPr>
              <w:pStyle w:val="14"/>
              <w:spacing w:before="85"/>
              <w:ind w:left="108"/>
              <w:jc w:val="left"/>
              <w:rPr>
                <w:sz w:val="21"/>
              </w:rPr>
            </w:pPr>
            <w:r>
              <w:rPr>
                <w:sz w:val="21"/>
              </w:rPr>
              <w:t xml:space="preserve">工业场地建设储煤仓， 仓储储量 </w:t>
            </w:r>
            <w:r>
              <w:rPr>
                <w:rFonts w:ascii="Times New Roman" w:eastAsia="Times New Roman"/>
                <w:sz w:val="21"/>
              </w:rPr>
              <w:t>3000t</w:t>
            </w:r>
            <w:r>
              <w:rPr>
                <w:sz w:val="21"/>
              </w:rPr>
              <w:t>。</w:t>
            </w:r>
          </w:p>
        </w:tc>
        <w:tc>
          <w:tcPr>
            <w:tcW w:w="951" w:type="dxa"/>
          </w:tcPr>
          <w:p>
            <w:pPr>
              <w:pStyle w:val="14"/>
              <w:spacing w:before="85"/>
              <w:ind w:left="243" w:right="238"/>
              <w:rPr>
                <w:sz w:val="21"/>
              </w:rPr>
            </w:pPr>
            <w:r>
              <w:rPr>
                <w:sz w:val="21"/>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0"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gridSpan w:val="2"/>
          </w:tcPr>
          <w:p>
            <w:pPr>
              <w:pStyle w:val="14"/>
              <w:spacing w:before="8"/>
              <w:jc w:val="left"/>
              <w:rPr>
                <w:b/>
                <w:sz w:val="18"/>
              </w:rPr>
            </w:pPr>
          </w:p>
          <w:p>
            <w:pPr>
              <w:pStyle w:val="14"/>
              <w:spacing w:line="333" w:lineRule="auto"/>
              <w:ind w:left="797" w:right="158" w:hanging="632"/>
              <w:jc w:val="left"/>
              <w:rPr>
                <w:sz w:val="21"/>
              </w:rPr>
            </w:pPr>
            <w:r>
              <w:rPr>
                <w:sz w:val="21"/>
              </w:rPr>
              <w:t>矸石临时堆放场地</w:t>
            </w:r>
          </w:p>
        </w:tc>
        <w:tc>
          <w:tcPr>
            <w:tcW w:w="5652" w:type="dxa"/>
          </w:tcPr>
          <w:p>
            <w:pPr>
              <w:pStyle w:val="14"/>
              <w:spacing w:before="8"/>
              <w:jc w:val="left"/>
              <w:rPr>
                <w:b/>
                <w:sz w:val="18"/>
              </w:rPr>
            </w:pPr>
          </w:p>
          <w:p>
            <w:pPr>
              <w:pStyle w:val="14"/>
              <w:spacing w:line="333" w:lineRule="auto"/>
              <w:ind w:left="108" w:right="98"/>
              <w:jc w:val="left"/>
              <w:rPr>
                <w:sz w:val="21"/>
              </w:rPr>
            </w:pPr>
            <w:r>
              <w:rPr>
                <w:spacing w:val="-1"/>
                <w:w w:val="99"/>
                <w:sz w:val="21"/>
              </w:rPr>
              <w:t>矸石临时堆放场地占地面积约</w:t>
            </w:r>
            <w:r>
              <w:rPr>
                <w:spacing w:val="-53"/>
                <w:sz w:val="21"/>
              </w:rPr>
              <w:t xml:space="preserve"> </w:t>
            </w:r>
            <w:r>
              <w:rPr>
                <w:rFonts w:ascii="Times New Roman" w:eastAsia="Times New Roman"/>
                <w:spacing w:val="1"/>
                <w:w w:val="99"/>
                <w:sz w:val="21"/>
              </w:rPr>
              <w:t>857</w:t>
            </w:r>
            <w:r>
              <w:rPr>
                <w:rFonts w:ascii="Times New Roman" w:eastAsia="Times New Roman"/>
                <w:spacing w:val="-2"/>
                <w:w w:val="99"/>
                <w:sz w:val="21"/>
              </w:rPr>
              <w:t>0</w:t>
            </w:r>
            <w:r>
              <w:rPr>
                <w:rFonts w:ascii="Times New Roman" w:eastAsia="Times New Roman"/>
                <w:w w:val="99"/>
                <w:sz w:val="21"/>
              </w:rPr>
              <w:t>m</w:t>
            </w:r>
            <w:r>
              <w:rPr>
                <w:rFonts w:ascii="Times New Roman" w:eastAsia="Times New Roman"/>
                <w:spacing w:val="-2"/>
                <w:w w:val="105"/>
                <w:position w:val="7"/>
                <w:sz w:val="13"/>
              </w:rPr>
              <w:t>2</w:t>
            </w:r>
            <w:r>
              <w:rPr>
                <w:spacing w:val="-12"/>
                <w:w w:val="99"/>
                <w:sz w:val="21"/>
              </w:rPr>
              <w:t>，矸石临时堆放场地周</w:t>
            </w:r>
            <w:r>
              <w:rPr>
                <w:spacing w:val="-12"/>
                <w:sz w:val="21"/>
              </w:rPr>
              <w:t>围设置拦矸坝和截流沟，洒水控制。</w:t>
            </w:r>
          </w:p>
        </w:tc>
        <w:tc>
          <w:tcPr>
            <w:tcW w:w="951" w:type="dxa"/>
          </w:tcPr>
          <w:p>
            <w:pPr>
              <w:pStyle w:val="14"/>
              <w:spacing w:before="51"/>
              <w:ind w:left="158"/>
              <w:jc w:val="left"/>
              <w:rPr>
                <w:sz w:val="21"/>
              </w:rPr>
            </w:pPr>
            <w:r>
              <w:rPr>
                <w:w w:val="95"/>
                <w:sz w:val="21"/>
              </w:rPr>
              <w:t>新建拦</w:t>
            </w:r>
          </w:p>
          <w:p>
            <w:pPr>
              <w:pStyle w:val="14"/>
              <w:spacing w:before="5" w:line="370" w:lineRule="atLeast"/>
              <w:ind w:left="158" w:right="151"/>
              <w:jc w:val="left"/>
              <w:rPr>
                <w:sz w:val="21"/>
              </w:rPr>
            </w:pPr>
            <w:r>
              <w:rPr>
                <w:spacing w:val="-6"/>
                <w:sz w:val="21"/>
              </w:rPr>
              <w:t>矸坝和</w:t>
            </w:r>
            <w:r>
              <w:rPr>
                <w:spacing w:val="-6"/>
                <w:w w:val="95"/>
                <w:sz w:val="21"/>
              </w:rPr>
              <w:t>截流沟</w:t>
            </w:r>
          </w:p>
        </w:tc>
      </w:tr>
    </w:tbl>
    <w:p>
      <w:pPr>
        <w:spacing w:after="0" w:line="370" w:lineRule="atLeast"/>
        <w:jc w:val="left"/>
        <w:rPr>
          <w:sz w:val="21"/>
        </w:rPr>
        <w:sectPr>
          <w:pgSz w:w="11910" w:h="16840"/>
          <w:pgMar w:top="1080" w:right="720" w:bottom="1160" w:left="760" w:header="0" w:footer="89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73" name="组合 20"/>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72" name="直线 21"/>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20"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u2gi7UAAAAAwEAAA8AAAAAAAAAAQAgAAAAIgAAAGRycy9kb3ducmV2LnhtbFBL&#10;AQIUABQAAAAIAIdO4kDAZHsgMwIAALYEAAAOAAAAAAAAAAEAIAAAACMBAABkcnMvZTJvRG9jLnht&#10;bFBLBQYAAAAABgAGAFkBAADIBQAAAAA=&#10;">
                <o:lock v:ext="edit" aspectratio="f"/>
                <v:line id="直线 21" o:spid="_x0000_s1026" o:spt="20" style="position:absolute;left:0;top:7;height:0;width:8306;" filled="f" stroked="t" coordsize="21600,21600" o:gfxdata="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1cTOb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6"/>
        <w:spacing w:before="1"/>
        <w:rPr>
          <w:b/>
          <w:sz w:val="25"/>
        </w:rPr>
      </w:pPr>
    </w:p>
    <w:tbl>
      <w:tblPr>
        <w:tblStyle w:val="10"/>
        <w:tblW w:w="0" w:type="auto"/>
        <w:tblInd w:w="5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8"/>
        <w:gridCol w:w="408"/>
        <w:gridCol w:w="1805"/>
        <w:gridCol w:w="5652"/>
        <w:gridCol w:w="9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408" w:type="dxa"/>
            <w:vMerge w:val="restart"/>
          </w:tcPr>
          <w:p>
            <w:pPr>
              <w:pStyle w:val="14"/>
              <w:jc w:val="left"/>
              <w:rPr>
                <w:rFonts w:ascii="Times New Roman"/>
                <w:sz w:val="20"/>
              </w:rPr>
            </w:pPr>
          </w:p>
        </w:tc>
        <w:tc>
          <w:tcPr>
            <w:tcW w:w="408" w:type="dxa"/>
            <w:vMerge w:val="restart"/>
          </w:tcPr>
          <w:p>
            <w:pPr>
              <w:pStyle w:val="14"/>
              <w:jc w:val="left"/>
              <w:rPr>
                <w:rFonts w:ascii="Times New Roman"/>
                <w:sz w:val="20"/>
              </w:rPr>
            </w:pPr>
          </w:p>
        </w:tc>
        <w:tc>
          <w:tcPr>
            <w:tcW w:w="1805" w:type="dxa"/>
          </w:tcPr>
          <w:p>
            <w:pPr>
              <w:pStyle w:val="14"/>
              <w:spacing w:line="300" w:lineRule="atLeast"/>
              <w:ind w:left="797" w:right="158" w:hanging="632"/>
              <w:jc w:val="left"/>
              <w:rPr>
                <w:sz w:val="21"/>
              </w:rPr>
            </w:pPr>
            <w:r>
              <w:rPr>
                <w:sz w:val="21"/>
              </w:rPr>
              <w:t>燃料及灰渣堆存间</w:t>
            </w:r>
          </w:p>
        </w:tc>
        <w:tc>
          <w:tcPr>
            <w:tcW w:w="5652" w:type="dxa"/>
          </w:tcPr>
          <w:p>
            <w:pPr>
              <w:pStyle w:val="14"/>
              <w:spacing w:before="179"/>
              <w:ind w:left="108"/>
              <w:jc w:val="left"/>
              <w:rPr>
                <w:sz w:val="21"/>
              </w:rPr>
            </w:pPr>
            <w:r>
              <w:rPr>
                <w:sz w:val="21"/>
              </w:rPr>
              <w:t xml:space="preserve">建筑面积约 </w:t>
            </w:r>
            <w:r>
              <w:rPr>
                <w:rFonts w:ascii="Times New Roman" w:eastAsia="Times New Roman"/>
                <w:sz w:val="21"/>
              </w:rPr>
              <w:t>30m</w:t>
            </w:r>
            <w:r>
              <w:rPr>
                <w:rFonts w:ascii="Times New Roman" w:eastAsia="Times New Roman"/>
                <w:position w:val="7"/>
                <w:sz w:val="13"/>
              </w:rPr>
              <w:t>2</w:t>
            </w:r>
            <w:r>
              <w:rPr>
                <w:sz w:val="21"/>
              </w:rPr>
              <w:t>，用于堆存锅炉及热风炉燃料及灰渣。</w:t>
            </w:r>
          </w:p>
        </w:tc>
        <w:tc>
          <w:tcPr>
            <w:tcW w:w="951" w:type="dxa"/>
          </w:tcPr>
          <w:p>
            <w:pPr>
              <w:pStyle w:val="14"/>
              <w:spacing w:line="300" w:lineRule="atLeast"/>
              <w:ind w:left="264" w:right="257"/>
              <w:jc w:val="left"/>
              <w:rPr>
                <w:sz w:val="21"/>
              </w:rPr>
            </w:pPr>
            <w:r>
              <w:rPr>
                <w:sz w:val="21"/>
              </w:rPr>
              <w:t>依托原有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Pr>
          <w:p>
            <w:pPr>
              <w:pStyle w:val="14"/>
              <w:spacing w:before="179"/>
              <w:ind w:left="145" w:right="137"/>
              <w:rPr>
                <w:sz w:val="21"/>
              </w:rPr>
            </w:pPr>
            <w:r>
              <w:rPr>
                <w:sz w:val="21"/>
              </w:rPr>
              <w:t>危废暂存间</w:t>
            </w:r>
          </w:p>
        </w:tc>
        <w:tc>
          <w:tcPr>
            <w:tcW w:w="5652" w:type="dxa"/>
          </w:tcPr>
          <w:p>
            <w:pPr>
              <w:pStyle w:val="14"/>
              <w:spacing w:before="179"/>
              <w:ind w:left="108"/>
              <w:jc w:val="left"/>
              <w:rPr>
                <w:sz w:val="21"/>
              </w:rPr>
            </w:pPr>
            <w:r>
              <w:rPr>
                <w:sz w:val="21"/>
              </w:rPr>
              <w:t xml:space="preserve">用于存放机修间维修产生的废机油，建筑面积约 </w:t>
            </w:r>
            <w:r>
              <w:rPr>
                <w:rFonts w:ascii="Times New Roman" w:eastAsia="Times New Roman"/>
                <w:sz w:val="21"/>
              </w:rPr>
              <w:t>10m</w:t>
            </w:r>
            <w:r>
              <w:rPr>
                <w:rFonts w:ascii="Times New Roman" w:eastAsia="Times New Roman"/>
                <w:position w:val="7"/>
                <w:sz w:val="13"/>
              </w:rPr>
              <w:t>2</w:t>
            </w:r>
            <w:r>
              <w:rPr>
                <w:sz w:val="21"/>
              </w:rPr>
              <w:t>。</w:t>
            </w:r>
          </w:p>
        </w:tc>
        <w:tc>
          <w:tcPr>
            <w:tcW w:w="951" w:type="dxa"/>
          </w:tcPr>
          <w:p>
            <w:pPr>
              <w:pStyle w:val="14"/>
              <w:spacing w:line="300" w:lineRule="exact"/>
              <w:ind w:left="264" w:right="257"/>
              <w:jc w:val="left"/>
              <w:rPr>
                <w:sz w:val="21"/>
              </w:rPr>
            </w:pPr>
            <w:r>
              <w:rPr>
                <w:sz w:val="21"/>
              </w:rPr>
              <w:t>依托原有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408" w:type="dxa"/>
            <w:vMerge w:val="continue"/>
            <w:tcBorders>
              <w:top w:val="nil"/>
            </w:tcBorders>
          </w:tcPr>
          <w:p>
            <w:pPr>
              <w:rPr>
                <w:sz w:val="2"/>
                <w:szCs w:val="2"/>
              </w:rPr>
            </w:pPr>
          </w:p>
        </w:tc>
        <w:tc>
          <w:tcPr>
            <w:tcW w:w="408"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1"/>
              <w:jc w:val="left"/>
              <w:rPr>
                <w:b/>
                <w:sz w:val="27"/>
              </w:rPr>
            </w:pPr>
          </w:p>
          <w:p>
            <w:pPr>
              <w:pStyle w:val="14"/>
              <w:spacing w:line="266" w:lineRule="auto"/>
              <w:ind w:left="108" w:right="78"/>
              <w:jc w:val="both"/>
              <w:rPr>
                <w:sz w:val="21"/>
              </w:rPr>
            </w:pPr>
            <w:r>
              <w:rPr>
                <w:sz w:val="21"/>
              </w:rPr>
              <w:t>公用工程</w:t>
            </w:r>
          </w:p>
        </w:tc>
        <w:tc>
          <w:tcPr>
            <w:tcW w:w="1805" w:type="dxa"/>
            <w:tcBorders>
              <w:bottom w:val="nil"/>
            </w:tcBorders>
          </w:tcPr>
          <w:p>
            <w:pPr>
              <w:pStyle w:val="14"/>
              <w:jc w:val="left"/>
              <w:rPr>
                <w:rFonts w:ascii="Times New Roman"/>
                <w:sz w:val="20"/>
              </w:rPr>
            </w:pPr>
          </w:p>
        </w:tc>
        <w:tc>
          <w:tcPr>
            <w:tcW w:w="5652" w:type="dxa"/>
            <w:tcBorders>
              <w:bottom w:val="nil"/>
            </w:tcBorders>
          </w:tcPr>
          <w:p>
            <w:pPr>
              <w:pStyle w:val="14"/>
              <w:spacing w:before="20" w:line="266" w:lineRule="exact"/>
              <w:ind w:left="108"/>
              <w:jc w:val="left"/>
              <w:rPr>
                <w:sz w:val="21"/>
              </w:rPr>
            </w:pPr>
            <w:r>
              <w:rPr>
                <w:sz w:val="21"/>
              </w:rPr>
              <w:t>双电源来自双鸭集团岭东供电公司东三甲线和由来自双鸭</w:t>
            </w:r>
          </w:p>
        </w:tc>
        <w:tc>
          <w:tcPr>
            <w:tcW w:w="951" w:type="dxa"/>
            <w:tcBorders>
              <w:bottom w:val="nil"/>
            </w:tcBorders>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3"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Borders>
              <w:top w:val="nil"/>
            </w:tcBorders>
          </w:tcPr>
          <w:p>
            <w:pPr>
              <w:pStyle w:val="14"/>
              <w:spacing w:before="11"/>
              <w:jc w:val="left"/>
              <w:rPr>
                <w:b/>
                <w:sz w:val="26"/>
              </w:rPr>
            </w:pPr>
          </w:p>
          <w:p>
            <w:pPr>
              <w:pStyle w:val="14"/>
              <w:spacing w:before="1"/>
              <w:ind w:left="145" w:right="140"/>
              <w:rPr>
                <w:sz w:val="21"/>
              </w:rPr>
            </w:pPr>
            <w:r>
              <w:rPr>
                <w:sz w:val="21"/>
              </w:rPr>
              <w:t>供电</w:t>
            </w:r>
          </w:p>
        </w:tc>
        <w:tc>
          <w:tcPr>
            <w:tcW w:w="5652" w:type="dxa"/>
            <w:tcBorders>
              <w:top w:val="nil"/>
            </w:tcBorders>
          </w:tcPr>
          <w:p>
            <w:pPr>
              <w:pStyle w:val="14"/>
              <w:spacing w:before="18" w:line="278" w:lineRule="auto"/>
              <w:ind w:left="108" w:right="90"/>
              <w:jc w:val="both"/>
              <w:rPr>
                <w:sz w:val="21"/>
              </w:rPr>
            </w:pPr>
            <w:r>
              <w:rPr>
                <w:spacing w:val="-3"/>
                <w:sz w:val="21"/>
              </w:rPr>
              <w:t xml:space="preserve">集团岭东供电公司东七乙线 </w:t>
            </w:r>
            <w:r>
              <w:rPr>
                <w:rFonts w:ascii="Calibri" w:eastAsia="Calibri"/>
                <w:sz w:val="21"/>
              </w:rPr>
              <w:t xml:space="preserve">10kV </w:t>
            </w:r>
            <w:r>
              <w:rPr>
                <w:spacing w:val="2"/>
                <w:sz w:val="21"/>
              </w:rPr>
              <w:t>高压架空线，经地面变电</w:t>
            </w:r>
            <w:r>
              <w:rPr>
                <w:spacing w:val="-27"/>
                <w:sz w:val="21"/>
              </w:rPr>
              <w:t xml:space="preserve">所 </w:t>
            </w:r>
            <w:r>
              <w:rPr>
                <w:rFonts w:ascii="Calibri" w:eastAsia="Calibri"/>
                <w:sz w:val="21"/>
              </w:rPr>
              <w:t xml:space="preserve">4 </w:t>
            </w:r>
            <w:r>
              <w:rPr>
                <w:spacing w:val="-27"/>
                <w:sz w:val="21"/>
              </w:rPr>
              <w:t xml:space="preserve">台 </w:t>
            </w:r>
            <w:r>
              <w:rPr>
                <w:rFonts w:ascii="Calibri" w:eastAsia="Calibri"/>
                <w:spacing w:val="-4"/>
                <w:sz w:val="21"/>
              </w:rPr>
              <w:t>S9-400/10</w:t>
            </w:r>
            <w:r>
              <w:rPr>
                <w:spacing w:val="-7"/>
                <w:sz w:val="21"/>
              </w:rPr>
              <w:t xml:space="preserve">，两台变压器降压后 </w:t>
            </w:r>
            <w:r>
              <w:rPr>
                <w:rFonts w:ascii="Calibri" w:eastAsia="Calibri"/>
                <w:sz w:val="21"/>
              </w:rPr>
              <w:t xml:space="preserve">380V </w:t>
            </w:r>
            <w:r>
              <w:rPr>
                <w:sz w:val="21"/>
              </w:rPr>
              <w:t>进入地面各用电</w:t>
            </w:r>
            <w:r>
              <w:rPr>
                <w:spacing w:val="-4"/>
                <w:sz w:val="21"/>
              </w:rPr>
              <w:t xml:space="preserve">地点，两台进入井下变压器降压后 </w:t>
            </w:r>
            <w:r>
              <w:rPr>
                <w:rFonts w:ascii="Calibri" w:eastAsia="Calibri"/>
                <w:sz w:val="21"/>
              </w:rPr>
              <w:t xml:space="preserve">660V </w:t>
            </w:r>
            <w:r>
              <w:rPr>
                <w:sz w:val="21"/>
              </w:rPr>
              <w:t>入井进入各用电地</w:t>
            </w:r>
          </w:p>
          <w:p>
            <w:pPr>
              <w:pStyle w:val="14"/>
              <w:spacing w:line="266" w:lineRule="exact"/>
              <w:ind w:left="108"/>
              <w:jc w:val="left"/>
              <w:rPr>
                <w:sz w:val="21"/>
              </w:rPr>
            </w:pPr>
            <w:r>
              <w:rPr>
                <w:sz w:val="21"/>
              </w:rPr>
              <w:t>点。</w:t>
            </w:r>
          </w:p>
        </w:tc>
        <w:tc>
          <w:tcPr>
            <w:tcW w:w="951" w:type="dxa"/>
            <w:tcBorders>
              <w:top w:val="nil"/>
            </w:tcBorders>
          </w:tcPr>
          <w:p>
            <w:pPr>
              <w:pStyle w:val="14"/>
              <w:spacing w:before="11"/>
              <w:jc w:val="left"/>
              <w:rPr>
                <w:b/>
                <w:sz w:val="26"/>
              </w:rPr>
            </w:pPr>
          </w:p>
          <w:p>
            <w:pPr>
              <w:pStyle w:val="14"/>
              <w:spacing w:before="1"/>
              <w:ind w:left="243" w:right="238"/>
              <w:rPr>
                <w:sz w:val="21"/>
              </w:rPr>
            </w:pPr>
            <w:r>
              <w:rPr>
                <w:sz w:val="21"/>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Pr>
          <w:p>
            <w:pPr>
              <w:pStyle w:val="14"/>
              <w:spacing w:before="9"/>
              <w:jc w:val="left"/>
              <w:rPr>
                <w:b/>
                <w:sz w:val="25"/>
              </w:rPr>
            </w:pPr>
          </w:p>
          <w:p>
            <w:pPr>
              <w:pStyle w:val="14"/>
              <w:ind w:left="145" w:right="137"/>
              <w:rPr>
                <w:sz w:val="21"/>
              </w:rPr>
            </w:pPr>
            <w:r>
              <w:rPr>
                <w:sz w:val="21"/>
              </w:rPr>
              <w:t>供水水源</w:t>
            </w:r>
          </w:p>
        </w:tc>
        <w:tc>
          <w:tcPr>
            <w:tcW w:w="5652" w:type="dxa"/>
          </w:tcPr>
          <w:p>
            <w:pPr>
              <w:pStyle w:val="14"/>
              <w:spacing w:before="29" w:line="266" w:lineRule="auto"/>
              <w:ind w:left="108" w:right="98"/>
              <w:jc w:val="left"/>
              <w:rPr>
                <w:sz w:val="21"/>
              </w:rPr>
            </w:pPr>
            <w:r>
              <w:rPr>
                <w:spacing w:val="-1"/>
                <w:w w:val="95"/>
                <w:sz w:val="21"/>
              </w:rPr>
              <w:t xml:space="preserve">生产用水由本矿井涌水经过矿井水净化车间处理，供给矿井 </w:t>
            </w:r>
            <w:r>
              <w:rPr>
                <w:spacing w:val="-5"/>
                <w:w w:val="95"/>
                <w:sz w:val="21"/>
              </w:rPr>
              <w:t>生产、消防用水、生活用水。生活饮用水为外部购置达标饮</w:t>
            </w:r>
          </w:p>
          <w:p>
            <w:pPr>
              <w:pStyle w:val="14"/>
              <w:spacing w:before="3" w:line="250" w:lineRule="exact"/>
              <w:ind w:left="108"/>
              <w:jc w:val="left"/>
              <w:rPr>
                <w:sz w:val="21"/>
              </w:rPr>
            </w:pPr>
            <w:r>
              <w:rPr>
                <w:sz w:val="21"/>
              </w:rPr>
              <w:t>用水。</w:t>
            </w:r>
          </w:p>
        </w:tc>
        <w:tc>
          <w:tcPr>
            <w:tcW w:w="951" w:type="dxa"/>
          </w:tcPr>
          <w:p>
            <w:pPr>
              <w:pStyle w:val="14"/>
              <w:spacing w:before="1"/>
              <w:jc w:val="left"/>
              <w:rPr>
                <w:b/>
                <w:sz w:val="14"/>
              </w:rPr>
            </w:pPr>
          </w:p>
          <w:p>
            <w:pPr>
              <w:pStyle w:val="14"/>
              <w:spacing w:line="266" w:lineRule="auto"/>
              <w:ind w:left="264" w:right="257"/>
              <w:jc w:val="left"/>
              <w:rPr>
                <w:sz w:val="21"/>
              </w:rPr>
            </w:pPr>
            <w:r>
              <w:rPr>
                <w:sz w:val="21"/>
              </w:rPr>
              <w:t>依托原有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Pr>
          <w:p>
            <w:pPr>
              <w:pStyle w:val="14"/>
              <w:spacing w:before="1"/>
              <w:jc w:val="left"/>
              <w:rPr>
                <w:b/>
                <w:sz w:val="14"/>
              </w:rPr>
            </w:pPr>
          </w:p>
          <w:p>
            <w:pPr>
              <w:pStyle w:val="14"/>
              <w:ind w:left="145" w:right="140"/>
              <w:rPr>
                <w:sz w:val="21"/>
              </w:rPr>
            </w:pPr>
            <w:r>
              <w:rPr>
                <w:sz w:val="21"/>
              </w:rPr>
              <w:t>通讯</w:t>
            </w:r>
          </w:p>
        </w:tc>
        <w:tc>
          <w:tcPr>
            <w:tcW w:w="5652" w:type="dxa"/>
          </w:tcPr>
          <w:p>
            <w:pPr>
              <w:pStyle w:val="14"/>
              <w:spacing w:before="29"/>
              <w:ind w:left="108"/>
              <w:jc w:val="left"/>
              <w:rPr>
                <w:sz w:val="21"/>
              </w:rPr>
            </w:pPr>
            <w:r>
              <w:rPr>
                <w:sz w:val="21"/>
              </w:rPr>
              <w:t>该矿区通信已接入中国网通、中国电信，矿区亦属中国移动</w:t>
            </w:r>
          </w:p>
          <w:p>
            <w:pPr>
              <w:pStyle w:val="14"/>
              <w:spacing w:before="31" w:line="251" w:lineRule="exact"/>
              <w:ind w:left="108"/>
              <w:jc w:val="left"/>
              <w:rPr>
                <w:sz w:val="21"/>
              </w:rPr>
            </w:pPr>
            <w:r>
              <w:rPr>
                <w:sz w:val="21"/>
              </w:rPr>
              <w:t>和中国联通无线网络覆盖区，对外联络方式可靠。</w:t>
            </w:r>
          </w:p>
        </w:tc>
        <w:tc>
          <w:tcPr>
            <w:tcW w:w="951" w:type="dxa"/>
          </w:tcPr>
          <w:p>
            <w:pPr>
              <w:pStyle w:val="14"/>
              <w:spacing w:before="29"/>
              <w:ind w:left="264"/>
              <w:jc w:val="left"/>
              <w:rPr>
                <w:sz w:val="21"/>
              </w:rPr>
            </w:pPr>
            <w:r>
              <w:rPr>
                <w:spacing w:val="-1"/>
                <w:w w:val="95"/>
                <w:sz w:val="21"/>
              </w:rPr>
              <w:t>依托</w:t>
            </w:r>
          </w:p>
          <w:p>
            <w:pPr>
              <w:pStyle w:val="14"/>
              <w:spacing w:before="31" w:line="251" w:lineRule="exact"/>
              <w:ind w:left="264"/>
              <w:jc w:val="left"/>
              <w:rPr>
                <w:sz w:val="21"/>
              </w:rPr>
            </w:pPr>
            <w:r>
              <w:rPr>
                <w:spacing w:val="-1"/>
                <w:w w:val="95"/>
                <w:sz w:val="21"/>
              </w:rPr>
              <w:t>原有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Pr>
          <w:p>
            <w:pPr>
              <w:pStyle w:val="14"/>
              <w:jc w:val="left"/>
              <w:rPr>
                <w:b/>
                <w:sz w:val="14"/>
              </w:rPr>
            </w:pPr>
          </w:p>
          <w:p>
            <w:pPr>
              <w:pStyle w:val="14"/>
              <w:ind w:left="145" w:right="140"/>
              <w:rPr>
                <w:sz w:val="21"/>
              </w:rPr>
            </w:pPr>
            <w:r>
              <w:rPr>
                <w:sz w:val="21"/>
              </w:rPr>
              <w:t>行政与公共设施</w:t>
            </w:r>
          </w:p>
        </w:tc>
        <w:tc>
          <w:tcPr>
            <w:tcW w:w="5652" w:type="dxa"/>
          </w:tcPr>
          <w:p>
            <w:pPr>
              <w:pStyle w:val="14"/>
              <w:jc w:val="left"/>
              <w:rPr>
                <w:b/>
                <w:sz w:val="14"/>
              </w:rPr>
            </w:pPr>
          </w:p>
          <w:p>
            <w:pPr>
              <w:pStyle w:val="14"/>
              <w:ind w:left="108"/>
              <w:jc w:val="left"/>
              <w:rPr>
                <w:sz w:val="21"/>
              </w:rPr>
            </w:pPr>
            <w:r>
              <w:rPr>
                <w:sz w:val="21"/>
              </w:rPr>
              <w:t>办公、洗浴、更衣、烘干、矿灯更换、食堂等生活设施。</w:t>
            </w:r>
          </w:p>
        </w:tc>
        <w:tc>
          <w:tcPr>
            <w:tcW w:w="951" w:type="dxa"/>
          </w:tcPr>
          <w:p>
            <w:pPr>
              <w:pStyle w:val="14"/>
              <w:spacing w:line="300" w:lineRule="atLeast"/>
              <w:ind w:left="264" w:right="257"/>
              <w:jc w:val="left"/>
              <w:rPr>
                <w:sz w:val="21"/>
              </w:rPr>
            </w:pPr>
            <w:r>
              <w:rPr>
                <w:sz w:val="21"/>
              </w:rPr>
              <w:t>依托原有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Pr>
          <w:p>
            <w:pPr>
              <w:pStyle w:val="14"/>
              <w:spacing w:before="179"/>
              <w:ind w:left="145" w:right="140"/>
              <w:rPr>
                <w:sz w:val="21"/>
              </w:rPr>
            </w:pPr>
            <w:r>
              <w:rPr>
                <w:sz w:val="21"/>
              </w:rPr>
              <w:t>浴室</w:t>
            </w:r>
          </w:p>
        </w:tc>
        <w:tc>
          <w:tcPr>
            <w:tcW w:w="5652" w:type="dxa"/>
          </w:tcPr>
          <w:p>
            <w:pPr>
              <w:pStyle w:val="14"/>
              <w:spacing w:before="179"/>
              <w:ind w:left="108"/>
              <w:jc w:val="left"/>
              <w:rPr>
                <w:sz w:val="21"/>
              </w:rPr>
            </w:pPr>
            <w:r>
              <w:rPr>
                <w:sz w:val="21"/>
              </w:rPr>
              <w:t xml:space="preserve">建筑面积约 </w:t>
            </w:r>
            <w:r>
              <w:rPr>
                <w:rFonts w:ascii="Times New Roman" w:eastAsia="Times New Roman"/>
                <w:sz w:val="21"/>
              </w:rPr>
              <w:t>300m</w:t>
            </w:r>
            <w:r>
              <w:rPr>
                <w:rFonts w:ascii="Times New Roman" w:eastAsia="Times New Roman"/>
                <w:position w:val="7"/>
                <w:sz w:val="13"/>
              </w:rPr>
              <w:t>2</w:t>
            </w:r>
            <w:r>
              <w:rPr>
                <w:sz w:val="21"/>
              </w:rPr>
              <w:t>，用于员工洗浴。</w:t>
            </w:r>
          </w:p>
        </w:tc>
        <w:tc>
          <w:tcPr>
            <w:tcW w:w="951" w:type="dxa"/>
          </w:tcPr>
          <w:p>
            <w:pPr>
              <w:pStyle w:val="14"/>
              <w:spacing w:line="300" w:lineRule="atLeast"/>
              <w:ind w:left="264" w:right="257"/>
              <w:jc w:val="left"/>
              <w:rPr>
                <w:sz w:val="21"/>
              </w:rPr>
            </w:pPr>
            <w:r>
              <w:rPr>
                <w:sz w:val="21"/>
              </w:rPr>
              <w:t>依托原有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Pr>
          <w:p>
            <w:pPr>
              <w:pStyle w:val="14"/>
              <w:spacing w:before="179"/>
              <w:ind w:left="145" w:right="140"/>
              <w:rPr>
                <w:sz w:val="21"/>
              </w:rPr>
            </w:pPr>
            <w:r>
              <w:rPr>
                <w:sz w:val="21"/>
              </w:rPr>
              <w:t>食堂</w:t>
            </w:r>
          </w:p>
        </w:tc>
        <w:tc>
          <w:tcPr>
            <w:tcW w:w="5652" w:type="dxa"/>
          </w:tcPr>
          <w:p>
            <w:pPr>
              <w:pStyle w:val="14"/>
              <w:spacing w:before="179"/>
              <w:ind w:left="108"/>
              <w:jc w:val="left"/>
              <w:rPr>
                <w:sz w:val="21"/>
              </w:rPr>
            </w:pPr>
            <w:r>
              <w:rPr>
                <w:sz w:val="21"/>
              </w:rPr>
              <w:t xml:space="preserve">建筑面积约 </w:t>
            </w:r>
            <w:r>
              <w:rPr>
                <w:rFonts w:ascii="Times New Roman" w:eastAsia="Times New Roman"/>
                <w:sz w:val="21"/>
              </w:rPr>
              <w:t>400m</w:t>
            </w:r>
            <w:r>
              <w:rPr>
                <w:rFonts w:ascii="Times New Roman" w:eastAsia="Times New Roman"/>
                <w:position w:val="7"/>
                <w:sz w:val="13"/>
              </w:rPr>
              <w:t>2</w:t>
            </w:r>
            <w:r>
              <w:rPr>
                <w:sz w:val="21"/>
              </w:rPr>
              <w:t>。</w:t>
            </w:r>
          </w:p>
        </w:tc>
        <w:tc>
          <w:tcPr>
            <w:tcW w:w="951" w:type="dxa"/>
          </w:tcPr>
          <w:p>
            <w:pPr>
              <w:pStyle w:val="14"/>
              <w:spacing w:line="300" w:lineRule="exact"/>
              <w:ind w:left="264" w:right="257"/>
              <w:jc w:val="left"/>
              <w:rPr>
                <w:sz w:val="21"/>
              </w:rPr>
            </w:pPr>
            <w:r>
              <w:rPr>
                <w:sz w:val="21"/>
              </w:rPr>
              <w:t>依托原有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0" w:hRule="atLeast"/>
        </w:trPr>
        <w:tc>
          <w:tcPr>
            <w:tcW w:w="408" w:type="dxa"/>
            <w:vMerge w:val="continue"/>
            <w:tcBorders>
              <w:top w:val="nil"/>
            </w:tcBorders>
          </w:tcPr>
          <w:p>
            <w:pPr>
              <w:rPr>
                <w:sz w:val="2"/>
                <w:szCs w:val="2"/>
              </w:rPr>
            </w:pPr>
          </w:p>
        </w:tc>
        <w:tc>
          <w:tcPr>
            <w:tcW w:w="408"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160" w:line="338" w:lineRule="auto"/>
              <w:ind w:left="108" w:right="78"/>
              <w:jc w:val="both"/>
              <w:rPr>
                <w:sz w:val="21"/>
              </w:rPr>
            </w:pPr>
            <w:r>
              <w:rPr>
                <w:sz w:val="21"/>
              </w:rPr>
              <w:t>环保工程</w:t>
            </w:r>
          </w:p>
        </w:tc>
        <w:tc>
          <w:tcPr>
            <w:tcW w:w="1805" w:type="dxa"/>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11"/>
              <w:jc w:val="left"/>
              <w:rPr>
                <w:b/>
                <w:sz w:val="17"/>
              </w:rPr>
            </w:pPr>
          </w:p>
          <w:p>
            <w:pPr>
              <w:pStyle w:val="14"/>
              <w:ind w:left="145" w:right="137"/>
              <w:rPr>
                <w:sz w:val="21"/>
              </w:rPr>
            </w:pPr>
            <w:r>
              <w:rPr>
                <w:sz w:val="21"/>
              </w:rPr>
              <w:t>大气工程</w:t>
            </w:r>
          </w:p>
        </w:tc>
        <w:tc>
          <w:tcPr>
            <w:tcW w:w="5652" w:type="dxa"/>
          </w:tcPr>
          <w:p>
            <w:pPr>
              <w:pStyle w:val="14"/>
              <w:spacing w:before="30" w:line="266" w:lineRule="auto"/>
              <w:ind w:left="108" w:right="93"/>
              <w:jc w:val="left"/>
              <w:rPr>
                <w:sz w:val="21"/>
              </w:rPr>
            </w:pPr>
            <w:r>
              <w:rPr>
                <w:spacing w:val="-5"/>
                <w:sz w:val="21"/>
              </w:rPr>
              <w:t xml:space="preserve">工业广场热风炉房设置 </w:t>
            </w:r>
            <w:r>
              <w:rPr>
                <w:rFonts w:ascii="Times New Roman" w:eastAsia="Times New Roman"/>
                <w:sz w:val="21"/>
              </w:rPr>
              <w:t xml:space="preserve">1 </w:t>
            </w:r>
            <w:r>
              <w:rPr>
                <w:spacing w:val="-26"/>
                <w:sz w:val="21"/>
              </w:rPr>
              <w:t xml:space="preserve">台 </w:t>
            </w:r>
            <w:r>
              <w:rPr>
                <w:rFonts w:ascii="Times New Roman" w:eastAsia="Times New Roman"/>
                <w:sz w:val="21"/>
              </w:rPr>
              <w:t xml:space="preserve">4.2MW </w:t>
            </w:r>
            <w:r>
              <w:rPr>
                <w:sz w:val="21"/>
              </w:rPr>
              <w:t>热风炉，配套布袋除尘</w:t>
            </w:r>
            <w:r>
              <w:rPr>
                <w:spacing w:val="-9"/>
                <w:sz w:val="21"/>
              </w:rPr>
              <w:t xml:space="preserve">器，烟囱高为 </w:t>
            </w:r>
            <w:r>
              <w:rPr>
                <w:rFonts w:ascii="Times New Roman" w:eastAsia="Times New Roman"/>
                <w:sz w:val="21"/>
              </w:rPr>
              <w:t>35m</w:t>
            </w:r>
            <w:r>
              <w:rPr>
                <w:spacing w:val="-4"/>
                <w:sz w:val="21"/>
              </w:rPr>
              <w:t xml:space="preserve">。用于井筒防冻，工业广场锅炉房设置 </w:t>
            </w:r>
            <w:r>
              <w:rPr>
                <w:rFonts w:ascii="Times New Roman" w:eastAsia="Times New Roman"/>
                <w:sz w:val="21"/>
              </w:rPr>
              <w:t xml:space="preserve">1 </w:t>
            </w:r>
            <w:r>
              <w:rPr>
                <w:spacing w:val="-29"/>
                <w:sz w:val="21"/>
              </w:rPr>
              <w:t xml:space="preserve">台 </w:t>
            </w:r>
            <w:r>
              <w:rPr>
                <w:rFonts w:ascii="Times New Roman" w:eastAsia="Times New Roman"/>
                <w:sz w:val="21"/>
              </w:rPr>
              <w:t xml:space="preserve">1.4MW </w:t>
            </w:r>
            <w:r>
              <w:rPr>
                <w:sz w:val="21"/>
              </w:rPr>
              <w:t>生物质热水锅炉，为工业场地内建、构筑物的采</w:t>
            </w:r>
            <w:r>
              <w:rPr>
                <w:spacing w:val="-3"/>
                <w:sz w:val="21"/>
              </w:rPr>
              <w:t xml:space="preserve">暖及员工洗浴、干燥，配套布袋除尘器，烟囱高为 </w:t>
            </w:r>
            <w:r>
              <w:rPr>
                <w:rFonts w:ascii="Times New Roman" w:eastAsia="Times New Roman"/>
                <w:sz w:val="21"/>
              </w:rPr>
              <w:t>35m</w:t>
            </w:r>
            <w:r>
              <w:rPr>
                <w:sz w:val="21"/>
              </w:rPr>
              <w:t>。食堂安装油烟净化装置一套。</w:t>
            </w:r>
          </w:p>
          <w:p>
            <w:pPr>
              <w:pStyle w:val="14"/>
              <w:spacing w:before="6" w:line="266" w:lineRule="auto"/>
              <w:ind w:left="108" w:right="98"/>
              <w:jc w:val="left"/>
              <w:rPr>
                <w:sz w:val="21"/>
              </w:rPr>
            </w:pPr>
            <w:r>
              <w:rPr>
                <w:spacing w:val="-2"/>
                <w:w w:val="95"/>
                <w:sz w:val="21"/>
              </w:rPr>
              <w:t xml:space="preserve">筛分车间设置一套布袋除尘器，经布袋除尘器收处理后由排 </w:t>
            </w:r>
            <w:r>
              <w:rPr>
                <w:spacing w:val="-2"/>
                <w:sz w:val="21"/>
              </w:rPr>
              <w:t>气筒排放。</w:t>
            </w:r>
          </w:p>
          <w:p>
            <w:pPr>
              <w:pStyle w:val="14"/>
              <w:spacing w:before="3"/>
              <w:ind w:left="108"/>
              <w:jc w:val="left"/>
              <w:rPr>
                <w:sz w:val="21"/>
              </w:rPr>
            </w:pPr>
            <w:r>
              <w:rPr>
                <w:sz w:val="21"/>
              </w:rPr>
              <w:t>矸石临时堆放场地等易产生扬尘的工作环节设喷雾洒水装</w:t>
            </w:r>
          </w:p>
          <w:p>
            <w:pPr>
              <w:pStyle w:val="14"/>
              <w:spacing w:before="31" w:line="250" w:lineRule="exact"/>
              <w:ind w:left="108"/>
              <w:jc w:val="left"/>
              <w:rPr>
                <w:sz w:val="21"/>
              </w:rPr>
            </w:pPr>
            <w:r>
              <w:rPr>
                <w:sz w:val="21"/>
              </w:rPr>
              <w:t>置，减少扬尘对周围大气环境的影响。</w:t>
            </w:r>
          </w:p>
        </w:tc>
        <w:tc>
          <w:tcPr>
            <w:tcW w:w="951" w:type="dxa"/>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6"/>
              <w:jc w:val="left"/>
              <w:rPr>
                <w:b/>
                <w:sz w:val="17"/>
              </w:rPr>
            </w:pPr>
          </w:p>
          <w:p>
            <w:pPr>
              <w:pStyle w:val="14"/>
              <w:ind w:left="243" w:right="238"/>
              <w:rPr>
                <w:sz w:val="21"/>
              </w:rPr>
            </w:pPr>
            <w:r>
              <w:rPr>
                <w:sz w:val="21"/>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2"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Borders>
              <w:bottom w:val="nil"/>
            </w:tcBorders>
          </w:tcPr>
          <w:p>
            <w:pPr>
              <w:pStyle w:val="14"/>
              <w:jc w:val="left"/>
              <w:rPr>
                <w:b/>
                <w:sz w:val="20"/>
              </w:rPr>
            </w:pPr>
          </w:p>
          <w:p>
            <w:pPr>
              <w:pStyle w:val="14"/>
              <w:jc w:val="left"/>
              <w:rPr>
                <w:b/>
                <w:sz w:val="20"/>
              </w:rPr>
            </w:pPr>
          </w:p>
          <w:p>
            <w:pPr>
              <w:pStyle w:val="14"/>
              <w:jc w:val="left"/>
              <w:rPr>
                <w:b/>
                <w:sz w:val="20"/>
              </w:rPr>
            </w:pPr>
          </w:p>
          <w:p>
            <w:pPr>
              <w:pStyle w:val="14"/>
              <w:spacing w:before="10"/>
              <w:jc w:val="left"/>
              <w:rPr>
                <w:b/>
                <w:sz w:val="17"/>
              </w:rPr>
            </w:pPr>
          </w:p>
          <w:p>
            <w:pPr>
              <w:pStyle w:val="14"/>
              <w:spacing w:line="245" w:lineRule="exact"/>
              <w:ind w:left="145" w:right="137"/>
              <w:rPr>
                <w:sz w:val="21"/>
              </w:rPr>
            </w:pPr>
            <w:r>
              <w:rPr>
                <w:sz w:val="21"/>
              </w:rPr>
              <w:t>废水工程</w:t>
            </w:r>
          </w:p>
        </w:tc>
        <w:tc>
          <w:tcPr>
            <w:tcW w:w="5652" w:type="dxa"/>
            <w:tcBorders>
              <w:bottom w:val="nil"/>
            </w:tcBorders>
          </w:tcPr>
          <w:p>
            <w:pPr>
              <w:pStyle w:val="14"/>
              <w:spacing w:before="20" w:line="278" w:lineRule="auto"/>
              <w:ind w:left="108" w:right="98"/>
              <w:jc w:val="left"/>
              <w:rPr>
                <w:sz w:val="21"/>
              </w:rPr>
            </w:pPr>
            <w:r>
              <w:rPr>
                <w:spacing w:val="-8"/>
                <w:sz w:val="21"/>
              </w:rPr>
              <w:t xml:space="preserve">新建处理能力为 </w:t>
            </w:r>
            <w:r>
              <w:rPr>
                <w:rFonts w:ascii="Times New Roman" w:eastAsia="Times New Roman"/>
                <w:sz w:val="21"/>
              </w:rPr>
              <w:t>3720m</w:t>
            </w:r>
            <w:r>
              <w:rPr>
                <w:rFonts w:ascii="Times New Roman" w:eastAsia="Times New Roman"/>
                <w:position w:val="7"/>
                <w:sz w:val="13"/>
              </w:rPr>
              <w:t>3</w:t>
            </w:r>
            <w:r>
              <w:rPr>
                <w:rFonts w:ascii="Times New Roman" w:eastAsia="Times New Roman"/>
                <w:sz w:val="21"/>
              </w:rPr>
              <w:t xml:space="preserve">/d </w:t>
            </w:r>
            <w:r>
              <w:rPr>
                <w:spacing w:val="-10"/>
                <w:sz w:val="21"/>
              </w:rPr>
              <w:t>的矿井水处理站，处理后的矿井涌水部分回用，剩余部分外排至扁石河；</w:t>
            </w:r>
          </w:p>
          <w:p>
            <w:pPr>
              <w:pStyle w:val="14"/>
              <w:spacing w:line="269" w:lineRule="exact"/>
              <w:ind w:left="108"/>
              <w:jc w:val="left"/>
              <w:rPr>
                <w:sz w:val="21"/>
              </w:rPr>
            </w:pPr>
            <w:r>
              <w:rPr>
                <w:sz w:val="21"/>
              </w:rPr>
              <w:t xml:space="preserve">新建处理能力为 </w:t>
            </w:r>
            <w:r>
              <w:rPr>
                <w:rFonts w:ascii="Times New Roman" w:eastAsia="Times New Roman"/>
                <w:sz w:val="21"/>
              </w:rPr>
              <w:t>360m</w:t>
            </w:r>
            <w:r>
              <w:rPr>
                <w:rFonts w:ascii="Times New Roman" w:eastAsia="Times New Roman"/>
                <w:position w:val="7"/>
                <w:sz w:val="13"/>
              </w:rPr>
              <w:t>3</w:t>
            </w:r>
            <w:r>
              <w:rPr>
                <w:rFonts w:ascii="Times New Roman" w:eastAsia="Times New Roman"/>
                <w:sz w:val="21"/>
              </w:rPr>
              <w:t xml:space="preserve">/d </w:t>
            </w:r>
            <w:r>
              <w:rPr>
                <w:sz w:val="21"/>
              </w:rPr>
              <w:t>的生活污水处理站，处理后的污、</w:t>
            </w:r>
          </w:p>
          <w:p>
            <w:pPr>
              <w:pStyle w:val="14"/>
              <w:spacing w:before="43"/>
              <w:ind w:left="108"/>
              <w:jc w:val="left"/>
              <w:rPr>
                <w:sz w:val="21"/>
              </w:rPr>
            </w:pPr>
            <w:r>
              <w:rPr>
                <w:sz w:val="21"/>
              </w:rPr>
              <w:t>废水作为矿井工业场地绿化洒水用水；</w:t>
            </w:r>
          </w:p>
        </w:tc>
        <w:tc>
          <w:tcPr>
            <w:tcW w:w="951" w:type="dxa"/>
            <w:tcBorders>
              <w:bottom w:val="nil"/>
            </w:tcBorders>
          </w:tcPr>
          <w:p>
            <w:pPr>
              <w:pStyle w:val="14"/>
              <w:jc w:val="left"/>
              <w:rPr>
                <w:b/>
                <w:sz w:val="20"/>
              </w:rPr>
            </w:pPr>
          </w:p>
          <w:p>
            <w:pPr>
              <w:pStyle w:val="14"/>
              <w:jc w:val="left"/>
              <w:rPr>
                <w:b/>
                <w:sz w:val="20"/>
              </w:rPr>
            </w:pPr>
          </w:p>
          <w:p>
            <w:pPr>
              <w:pStyle w:val="14"/>
              <w:jc w:val="left"/>
              <w:rPr>
                <w:b/>
                <w:sz w:val="20"/>
              </w:rPr>
            </w:pPr>
          </w:p>
          <w:p>
            <w:pPr>
              <w:pStyle w:val="14"/>
              <w:spacing w:before="3"/>
              <w:jc w:val="left"/>
              <w:rPr>
                <w:b/>
                <w:sz w:val="17"/>
              </w:rPr>
            </w:pPr>
          </w:p>
          <w:p>
            <w:pPr>
              <w:pStyle w:val="14"/>
              <w:spacing w:line="253" w:lineRule="exact"/>
              <w:ind w:left="243" w:right="238"/>
              <w:rPr>
                <w:sz w:val="21"/>
              </w:rPr>
            </w:pPr>
            <w:r>
              <w:rPr>
                <w:sz w:val="21"/>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Borders>
              <w:top w:val="nil"/>
              <w:bottom w:val="nil"/>
            </w:tcBorders>
          </w:tcPr>
          <w:p>
            <w:pPr>
              <w:pStyle w:val="14"/>
              <w:jc w:val="left"/>
              <w:rPr>
                <w:rFonts w:ascii="Times New Roman"/>
                <w:sz w:val="20"/>
              </w:rPr>
            </w:pPr>
          </w:p>
        </w:tc>
        <w:tc>
          <w:tcPr>
            <w:tcW w:w="5652" w:type="dxa"/>
            <w:tcBorders>
              <w:top w:val="nil"/>
              <w:bottom w:val="nil"/>
            </w:tcBorders>
          </w:tcPr>
          <w:p>
            <w:pPr>
              <w:pStyle w:val="14"/>
              <w:spacing w:line="262" w:lineRule="exact"/>
              <w:ind w:left="108"/>
              <w:jc w:val="left"/>
              <w:rPr>
                <w:sz w:val="21"/>
              </w:rPr>
            </w:pPr>
            <w:r>
              <w:rPr>
                <w:sz w:val="21"/>
              </w:rPr>
              <w:t>地面生产系统冲洗废水较少，将冲洗废水收集送至矿井水处</w:t>
            </w:r>
          </w:p>
        </w:tc>
        <w:tc>
          <w:tcPr>
            <w:tcW w:w="951" w:type="dxa"/>
            <w:tcBorders>
              <w:top w:val="nil"/>
              <w:bottom w:val="nil"/>
            </w:tcBorders>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Borders>
              <w:top w:val="nil"/>
            </w:tcBorders>
          </w:tcPr>
          <w:p>
            <w:pPr>
              <w:pStyle w:val="14"/>
              <w:jc w:val="left"/>
              <w:rPr>
                <w:rFonts w:ascii="Times New Roman"/>
                <w:sz w:val="20"/>
              </w:rPr>
            </w:pPr>
          </w:p>
        </w:tc>
        <w:tc>
          <w:tcPr>
            <w:tcW w:w="5652" w:type="dxa"/>
            <w:tcBorders>
              <w:top w:val="nil"/>
            </w:tcBorders>
          </w:tcPr>
          <w:p>
            <w:pPr>
              <w:pStyle w:val="14"/>
              <w:spacing w:before="16"/>
              <w:ind w:left="108"/>
              <w:jc w:val="left"/>
              <w:rPr>
                <w:sz w:val="21"/>
              </w:rPr>
            </w:pPr>
            <w:r>
              <w:rPr>
                <w:sz w:val="21"/>
              </w:rPr>
              <w:t>理站统一处理后回用。集水池集水池平面尺寸为</w:t>
            </w:r>
          </w:p>
          <w:p>
            <w:pPr>
              <w:pStyle w:val="14"/>
              <w:spacing w:before="43"/>
              <w:ind w:left="108"/>
              <w:jc w:val="left"/>
              <w:rPr>
                <w:sz w:val="21"/>
              </w:rPr>
            </w:pPr>
            <w:r>
              <w:rPr>
                <w:rFonts w:ascii="Times New Roman" w:hAnsi="Times New Roman" w:eastAsia="Times New Roman"/>
                <w:sz w:val="21"/>
              </w:rPr>
              <w:t>L×B×H=2.40×1.50×1.50m</w:t>
            </w:r>
            <w:r>
              <w:rPr>
                <w:sz w:val="21"/>
              </w:rPr>
              <w:t>。</w:t>
            </w:r>
          </w:p>
        </w:tc>
        <w:tc>
          <w:tcPr>
            <w:tcW w:w="951" w:type="dxa"/>
            <w:tcBorders>
              <w:top w:val="nil"/>
            </w:tcBorders>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Borders>
              <w:bottom w:val="nil"/>
            </w:tcBorders>
          </w:tcPr>
          <w:p>
            <w:pPr>
              <w:pStyle w:val="14"/>
              <w:jc w:val="left"/>
              <w:rPr>
                <w:rFonts w:ascii="Times New Roman"/>
                <w:sz w:val="20"/>
              </w:rPr>
            </w:pPr>
          </w:p>
        </w:tc>
        <w:tc>
          <w:tcPr>
            <w:tcW w:w="5652" w:type="dxa"/>
            <w:tcBorders>
              <w:bottom w:val="nil"/>
            </w:tcBorders>
          </w:tcPr>
          <w:p>
            <w:pPr>
              <w:pStyle w:val="14"/>
              <w:spacing w:before="22" w:line="266" w:lineRule="exact"/>
              <w:ind w:left="108"/>
              <w:jc w:val="left"/>
              <w:rPr>
                <w:sz w:val="21"/>
              </w:rPr>
            </w:pPr>
            <w:r>
              <w:rPr>
                <w:sz w:val="21"/>
              </w:rPr>
              <w:t>矿井地面主要噪声源有：通风机、压风机房等处，这些设备</w:t>
            </w:r>
          </w:p>
        </w:tc>
        <w:tc>
          <w:tcPr>
            <w:tcW w:w="951" w:type="dxa"/>
            <w:tcBorders>
              <w:bottom w:val="nil"/>
            </w:tcBorders>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Borders>
              <w:top w:val="nil"/>
              <w:bottom w:val="nil"/>
            </w:tcBorders>
          </w:tcPr>
          <w:p>
            <w:pPr>
              <w:pStyle w:val="14"/>
              <w:jc w:val="left"/>
              <w:rPr>
                <w:rFonts w:ascii="Times New Roman"/>
                <w:sz w:val="20"/>
              </w:rPr>
            </w:pPr>
          </w:p>
        </w:tc>
        <w:tc>
          <w:tcPr>
            <w:tcW w:w="5652" w:type="dxa"/>
            <w:tcBorders>
              <w:top w:val="nil"/>
              <w:bottom w:val="nil"/>
            </w:tcBorders>
          </w:tcPr>
          <w:p>
            <w:pPr>
              <w:pStyle w:val="14"/>
              <w:spacing w:before="16" w:line="266" w:lineRule="exact"/>
              <w:ind w:left="108"/>
              <w:jc w:val="left"/>
              <w:rPr>
                <w:sz w:val="21"/>
              </w:rPr>
            </w:pPr>
            <w:r>
              <w:rPr>
                <w:sz w:val="21"/>
              </w:rPr>
              <w:t>噪声源大部分是固定噪声源。</w:t>
            </w:r>
          </w:p>
        </w:tc>
        <w:tc>
          <w:tcPr>
            <w:tcW w:w="951" w:type="dxa"/>
            <w:tcBorders>
              <w:top w:val="nil"/>
              <w:bottom w:val="nil"/>
            </w:tcBorders>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6"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Borders>
              <w:top w:val="nil"/>
              <w:bottom w:val="nil"/>
            </w:tcBorders>
          </w:tcPr>
          <w:p>
            <w:pPr>
              <w:pStyle w:val="14"/>
              <w:spacing w:before="5"/>
              <w:jc w:val="left"/>
              <w:rPr>
                <w:b/>
                <w:sz w:val="16"/>
              </w:rPr>
            </w:pPr>
          </w:p>
          <w:p>
            <w:pPr>
              <w:pStyle w:val="14"/>
              <w:ind w:left="145" w:right="137"/>
              <w:rPr>
                <w:sz w:val="21"/>
              </w:rPr>
            </w:pPr>
            <w:r>
              <w:rPr>
                <w:sz w:val="21"/>
              </w:rPr>
              <w:t>噪声工程</w:t>
            </w:r>
          </w:p>
        </w:tc>
        <w:tc>
          <w:tcPr>
            <w:tcW w:w="5652" w:type="dxa"/>
            <w:tcBorders>
              <w:top w:val="nil"/>
              <w:bottom w:val="nil"/>
            </w:tcBorders>
          </w:tcPr>
          <w:p>
            <w:pPr>
              <w:pStyle w:val="14"/>
              <w:spacing w:before="16" w:line="278" w:lineRule="auto"/>
              <w:ind w:left="108" w:right="27"/>
              <w:jc w:val="left"/>
              <w:rPr>
                <w:sz w:val="21"/>
              </w:rPr>
            </w:pPr>
            <w:r>
              <w:rPr>
                <w:w w:val="95"/>
                <w:sz w:val="21"/>
              </w:rPr>
              <w:t xml:space="preserve">通风机噪声以中、低频噪声为主。设计选用带有消声装置的 </w:t>
            </w:r>
            <w:r>
              <w:rPr>
                <w:sz w:val="21"/>
              </w:rPr>
              <w:t xml:space="preserve">轴流风机，出口噪音小于 </w:t>
            </w:r>
            <w:r>
              <w:rPr>
                <w:rFonts w:ascii="Times New Roman" w:eastAsia="Times New Roman"/>
                <w:sz w:val="21"/>
              </w:rPr>
              <w:t>85dB</w:t>
            </w:r>
            <w:r>
              <w:rPr>
                <w:sz w:val="21"/>
              </w:rPr>
              <w:t>。</w:t>
            </w:r>
          </w:p>
          <w:p>
            <w:pPr>
              <w:pStyle w:val="14"/>
              <w:spacing w:line="266" w:lineRule="exact"/>
              <w:ind w:left="108"/>
              <w:jc w:val="left"/>
              <w:rPr>
                <w:sz w:val="21"/>
              </w:rPr>
            </w:pPr>
            <w:r>
              <w:rPr>
                <w:sz w:val="21"/>
              </w:rPr>
              <w:t>锅炉房和提升机房设置隔声门窗和隔音值班室；锅炉鼓、引</w:t>
            </w:r>
          </w:p>
        </w:tc>
        <w:tc>
          <w:tcPr>
            <w:tcW w:w="951" w:type="dxa"/>
            <w:tcBorders>
              <w:top w:val="nil"/>
              <w:bottom w:val="nil"/>
            </w:tcBorders>
          </w:tcPr>
          <w:p>
            <w:pPr>
              <w:pStyle w:val="14"/>
              <w:spacing w:before="11"/>
              <w:jc w:val="left"/>
              <w:rPr>
                <w:b/>
                <w:sz w:val="15"/>
              </w:rPr>
            </w:pPr>
          </w:p>
          <w:p>
            <w:pPr>
              <w:pStyle w:val="14"/>
              <w:ind w:left="243" w:right="238"/>
              <w:rPr>
                <w:sz w:val="21"/>
              </w:rPr>
            </w:pPr>
            <w:r>
              <w:rPr>
                <w:sz w:val="21"/>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Borders>
              <w:top w:val="nil"/>
            </w:tcBorders>
          </w:tcPr>
          <w:p>
            <w:pPr>
              <w:pStyle w:val="14"/>
              <w:jc w:val="left"/>
              <w:rPr>
                <w:rFonts w:ascii="Times New Roman"/>
                <w:sz w:val="20"/>
              </w:rPr>
            </w:pPr>
          </w:p>
        </w:tc>
        <w:tc>
          <w:tcPr>
            <w:tcW w:w="5652" w:type="dxa"/>
            <w:tcBorders>
              <w:top w:val="nil"/>
            </w:tcBorders>
          </w:tcPr>
          <w:p>
            <w:pPr>
              <w:pStyle w:val="14"/>
              <w:spacing w:before="16" w:line="268" w:lineRule="exact"/>
              <w:ind w:left="108"/>
              <w:jc w:val="left"/>
              <w:rPr>
                <w:sz w:val="21"/>
              </w:rPr>
            </w:pPr>
            <w:r>
              <w:rPr>
                <w:sz w:val="21"/>
              </w:rPr>
              <w:t>风机和送风机均设置减震基础。</w:t>
            </w:r>
          </w:p>
        </w:tc>
        <w:tc>
          <w:tcPr>
            <w:tcW w:w="951" w:type="dxa"/>
            <w:tcBorders>
              <w:top w:val="nil"/>
            </w:tcBorders>
          </w:tcPr>
          <w:p>
            <w:pPr>
              <w:pStyle w:val="14"/>
              <w:jc w:val="left"/>
              <w:rPr>
                <w:rFonts w:ascii="Times New Roman"/>
                <w:sz w:val="20"/>
              </w:rPr>
            </w:pPr>
          </w:p>
        </w:tc>
      </w:tr>
    </w:tbl>
    <w:p>
      <w:pPr>
        <w:spacing w:after="0"/>
        <w:jc w:val="left"/>
        <w:rPr>
          <w:rFonts w:ascii="Times New Roman"/>
          <w:sz w:val="20"/>
        </w:rPr>
        <w:sectPr>
          <w:pgSz w:w="11910" w:h="16840"/>
          <w:pgMar w:top="1080" w:right="720" w:bottom="1080" w:left="760" w:header="0" w:footer="89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77" name="组合 22"/>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76" name="直线 23"/>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22"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aCLtQAAAADAQAADwAAAAAAAAABACAAAAAiAAAAZHJzL2Rvd25yZXYueG1s&#10;UEsBAhQAFAAAAAgAh07iQJe8zCM1AgAAtgQAAA4AAAAAAAAAAQAgAAAAIwEAAGRycy9lMm9Eb2Mu&#10;eG1sUEsFBgAAAAAGAAYAWQEAAMoFAAAAAA==&#10;">
                <o:lock v:ext="edit" aspectratio="f"/>
                <v:line id="直线 23" o:spid="_x0000_s1026" o:spt="20" style="position:absolute;left:0;top:7;height:0;width:8306;" filled="f" stroked="t" coordsize="21600,21600" o:gfxdata="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GwVOr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6"/>
        <w:spacing w:before="1"/>
        <w:rPr>
          <w:b/>
          <w:sz w:val="25"/>
        </w:rPr>
      </w:pPr>
    </w:p>
    <w:tbl>
      <w:tblPr>
        <w:tblStyle w:val="10"/>
        <w:tblW w:w="0" w:type="auto"/>
        <w:tblInd w:w="5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8"/>
        <w:gridCol w:w="408"/>
        <w:gridCol w:w="1805"/>
        <w:gridCol w:w="5652"/>
        <w:gridCol w:w="9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408" w:type="dxa"/>
            <w:vMerge w:val="restart"/>
          </w:tcPr>
          <w:p>
            <w:pPr>
              <w:pStyle w:val="14"/>
              <w:jc w:val="left"/>
              <w:rPr>
                <w:rFonts w:ascii="Times New Roman"/>
                <w:sz w:val="22"/>
              </w:rPr>
            </w:pPr>
          </w:p>
        </w:tc>
        <w:tc>
          <w:tcPr>
            <w:tcW w:w="408" w:type="dxa"/>
            <w:vMerge w:val="restart"/>
          </w:tcPr>
          <w:p>
            <w:pPr>
              <w:pStyle w:val="14"/>
              <w:jc w:val="left"/>
              <w:rPr>
                <w:rFonts w:ascii="Times New Roman"/>
                <w:sz w:val="22"/>
              </w:rPr>
            </w:pPr>
          </w:p>
        </w:tc>
        <w:tc>
          <w:tcPr>
            <w:tcW w:w="1805" w:type="dxa"/>
            <w:tcBorders>
              <w:bottom w:val="nil"/>
            </w:tcBorders>
          </w:tcPr>
          <w:p>
            <w:pPr>
              <w:pStyle w:val="14"/>
              <w:jc w:val="left"/>
              <w:rPr>
                <w:rFonts w:ascii="Times New Roman"/>
                <w:sz w:val="22"/>
              </w:rPr>
            </w:pPr>
          </w:p>
        </w:tc>
        <w:tc>
          <w:tcPr>
            <w:tcW w:w="5652" w:type="dxa"/>
            <w:tcBorders>
              <w:bottom w:val="nil"/>
            </w:tcBorders>
          </w:tcPr>
          <w:p>
            <w:pPr>
              <w:pStyle w:val="14"/>
              <w:spacing w:before="21"/>
              <w:ind w:left="108"/>
              <w:jc w:val="left"/>
              <w:rPr>
                <w:sz w:val="21"/>
              </w:rPr>
            </w:pPr>
            <w:r>
              <w:rPr>
                <w:spacing w:val="-10"/>
                <w:sz w:val="21"/>
              </w:rPr>
              <w:t xml:space="preserve">矸石临时堆放场地，占地面积 </w:t>
            </w:r>
            <w:r>
              <w:rPr>
                <w:rFonts w:ascii="Times New Roman" w:eastAsia="Times New Roman"/>
                <w:sz w:val="21"/>
              </w:rPr>
              <w:t>8570m</w:t>
            </w:r>
            <w:r>
              <w:rPr>
                <w:rFonts w:ascii="Times New Roman" w:eastAsia="Times New Roman"/>
                <w:position w:val="7"/>
                <w:sz w:val="13"/>
              </w:rPr>
              <w:t>2</w:t>
            </w:r>
            <w:r>
              <w:rPr>
                <w:spacing w:val="-8"/>
                <w:sz w:val="21"/>
              </w:rPr>
              <w:t>。矸石可以用来平整工</w:t>
            </w:r>
          </w:p>
          <w:p>
            <w:pPr>
              <w:pStyle w:val="14"/>
              <w:spacing w:before="43" w:line="266" w:lineRule="exact"/>
              <w:ind w:left="108"/>
              <w:jc w:val="left"/>
              <w:rPr>
                <w:sz w:val="21"/>
              </w:rPr>
            </w:pPr>
            <w:r>
              <w:rPr>
                <w:sz w:val="21"/>
              </w:rPr>
              <w:t>业场地；用作公路的路基石料；用于填沟造地。</w:t>
            </w:r>
          </w:p>
        </w:tc>
        <w:tc>
          <w:tcPr>
            <w:tcW w:w="951" w:type="dxa"/>
            <w:tcBorders>
              <w:bottom w:val="nil"/>
            </w:tcBorders>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Borders>
              <w:top w:val="nil"/>
              <w:bottom w:val="nil"/>
            </w:tcBorders>
          </w:tcPr>
          <w:p>
            <w:pPr>
              <w:pStyle w:val="14"/>
              <w:jc w:val="left"/>
              <w:rPr>
                <w:rFonts w:ascii="Times New Roman"/>
                <w:sz w:val="22"/>
              </w:rPr>
            </w:pPr>
          </w:p>
        </w:tc>
        <w:tc>
          <w:tcPr>
            <w:tcW w:w="5652" w:type="dxa"/>
            <w:tcBorders>
              <w:top w:val="nil"/>
              <w:bottom w:val="nil"/>
            </w:tcBorders>
          </w:tcPr>
          <w:p>
            <w:pPr>
              <w:pStyle w:val="14"/>
              <w:spacing w:before="16" w:line="266" w:lineRule="exact"/>
              <w:ind w:left="108"/>
              <w:jc w:val="left"/>
              <w:rPr>
                <w:sz w:val="21"/>
              </w:rPr>
            </w:pPr>
            <w:r>
              <w:rPr>
                <w:sz w:val="21"/>
              </w:rPr>
              <w:t>为防止雨水径流进入矸石临时堆放场地，避免渗滤液量增加</w:t>
            </w:r>
          </w:p>
        </w:tc>
        <w:tc>
          <w:tcPr>
            <w:tcW w:w="951" w:type="dxa"/>
            <w:tcBorders>
              <w:top w:val="nil"/>
              <w:bottom w:val="nil"/>
            </w:tcBorders>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Borders>
              <w:top w:val="nil"/>
              <w:bottom w:val="nil"/>
            </w:tcBorders>
          </w:tcPr>
          <w:p>
            <w:pPr>
              <w:pStyle w:val="14"/>
              <w:jc w:val="left"/>
              <w:rPr>
                <w:rFonts w:ascii="Times New Roman"/>
                <w:sz w:val="22"/>
              </w:rPr>
            </w:pPr>
          </w:p>
        </w:tc>
        <w:tc>
          <w:tcPr>
            <w:tcW w:w="5652" w:type="dxa"/>
            <w:tcBorders>
              <w:top w:val="nil"/>
              <w:bottom w:val="nil"/>
            </w:tcBorders>
          </w:tcPr>
          <w:p>
            <w:pPr>
              <w:pStyle w:val="14"/>
              <w:spacing w:before="16" w:line="266" w:lineRule="exact"/>
              <w:ind w:left="108"/>
              <w:jc w:val="left"/>
              <w:rPr>
                <w:sz w:val="21"/>
              </w:rPr>
            </w:pPr>
            <w:r>
              <w:rPr>
                <w:sz w:val="21"/>
              </w:rPr>
              <w:t>而影响地下水和地面水体水质，在矸石临时堆放场地周边新</w:t>
            </w:r>
          </w:p>
        </w:tc>
        <w:tc>
          <w:tcPr>
            <w:tcW w:w="951" w:type="dxa"/>
            <w:tcBorders>
              <w:top w:val="nil"/>
              <w:bottom w:val="nil"/>
            </w:tcBorders>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Borders>
              <w:top w:val="nil"/>
              <w:bottom w:val="nil"/>
            </w:tcBorders>
          </w:tcPr>
          <w:p>
            <w:pPr>
              <w:pStyle w:val="14"/>
              <w:spacing w:before="54" w:line="247" w:lineRule="exact"/>
              <w:ind w:left="482"/>
              <w:jc w:val="left"/>
              <w:rPr>
                <w:sz w:val="21"/>
              </w:rPr>
            </w:pPr>
            <w:r>
              <w:rPr>
                <w:sz w:val="21"/>
              </w:rPr>
              <w:t>固体废物</w:t>
            </w:r>
          </w:p>
        </w:tc>
        <w:tc>
          <w:tcPr>
            <w:tcW w:w="5652" w:type="dxa"/>
            <w:tcBorders>
              <w:top w:val="nil"/>
              <w:bottom w:val="nil"/>
            </w:tcBorders>
          </w:tcPr>
          <w:p>
            <w:pPr>
              <w:pStyle w:val="14"/>
              <w:spacing w:before="16"/>
              <w:ind w:left="108"/>
              <w:jc w:val="left"/>
              <w:rPr>
                <w:sz w:val="21"/>
              </w:rPr>
            </w:pPr>
            <w:r>
              <w:rPr>
                <w:sz w:val="21"/>
              </w:rPr>
              <w:t>建拦矸坝和截流沟。</w:t>
            </w:r>
          </w:p>
        </w:tc>
        <w:tc>
          <w:tcPr>
            <w:tcW w:w="951" w:type="dxa"/>
            <w:tcBorders>
              <w:top w:val="nil"/>
              <w:bottom w:val="nil"/>
            </w:tcBorders>
          </w:tcPr>
          <w:p>
            <w:pPr>
              <w:pStyle w:val="14"/>
              <w:spacing w:before="49" w:line="251" w:lineRule="exact"/>
              <w:ind w:left="243" w:right="238"/>
              <w:rPr>
                <w:sz w:val="21"/>
              </w:rPr>
            </w:pPr>
            <w:r>
              <w:rPr>
                <w:sz w:val="21"/>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Borders>
              <w:top w:val="nil"/>
              <w:bottom w:val="nil"/>
            </w:tcBorders>
          </w:tcPr>
          <w:p>
            <w:pPr>
              <w:pStyle w:val="14"/>
              <w:jc w:val="left"/>
              <w:rPr>
                <w:rFonts w:ascii="Times New Roman"/>
                <w:sz w:val="20"/>
              </w:rPr>
            </w:pPr>
          </w:p>
        </w:tc>
        <w:tc>
          <w:tcPr>
            <w:tcW w:w="5652" w:type="dxa"/>
            <w:tcBorders>
              <w:top w:val="nil"/>
              <w:bottom w:val="nil"/>
            </w:tcBorders>
          </w:tcPr>
          <w:p>
            <w:pPr>
              <w:pStyle w:val="14"/>
              <w:spacing w:line="263" w:lineRule="exact"/>
              <w:ind w:left="108"/>
              <w:jc w:val="left"/>
              <w:rPr>
                <w:sz w:val="21"/>
              </w:rPr>
            </w:pPr>
            <w:r>
              <w:rPr>
                <w:sz w:val="21"/>
              </w:rPr>
              <w:t>锅炉灰渣主要由工业场地锅炉、热风炉排放，工业场地锅炉</w:t>
            </w:r>
          </w:p>
        </w:tc>
        <w:tc>
          <w:tcPr>
            <w:tcW w:w="951" w:type="dxa"/>
            <w:tcBorders>
              <w:top w:val="nil"/>
              <w:bottom w:val="nil"/>
            </w:tcBorders>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Borders>
              <w:top w:val="nil"/>
              <w:bottom w:val="nil"/>
            </w:tcBorders>
          </w:tcPr>
          <w:p>
            <w:pPr>
              <w:pStyle w:val="14"/>
              <w:jc w:val="left"/>
              <w:rPr>
                <w:rFonts w:ascii="Times New Roman"/>
                <w:sz w:val="22"/>
              </w:rPr>
            </w:pPr>
          </w:p>
        </w:tc>
        <w:tc>
          <w:tcPr>
            <w:tcW w:w="5652" w:type="dxa"/>
            <w:tcBorders>
              <w:top w:val="nil"/>
              <w:bottom w:val="nil"/>
            </w:tcBorders>
          </w:tcPr>
          <w:p>
            <w:pPr>
              <w:pStyle w:val="14"/>
              <w:spacing w:before="16" w:line="266" w:lineRule="exact"/>
              <w:ind w:left="108"/>
              <w:jc w:val="left"/>
              <w:rPr>
                <w:sz w:val="21"/>
              </w:rPr>
            </w:pPr>
            <w:r>
              <w:rPr>
                <w:sz w:val="21"/>
              </w:rPr>
              <w:t>灰渣就地销售，用于筑路、生产建材等。</w:t>
            </w:r>
          </w:p>
        </w:tc>
        <w:tc>
          <w:tcPr>
            <w:tcW w:w="951" w:type="dxa"/>
            <w:tcBorders>
              <w:top w:val="nil"/>
              <w:bottom w:val="nil"/>
            </w:tcBorders>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Borders>
              <w:top w:val="nil"/>
              <w:bottom w:val="nil"/>
            </w:tcBorders>
          </w:tcPr>
          <w:p>
            <w:pPr>
              <w:pStyle w:val="14"/>
              <w:jc w:val="left"/>
              <w:rPr>
                <w:rFonts w:ascii="Times New Roman"/>
                <w:sz w:val="22"/>
              </w:rPr>
            </w:pPr>
          </w:p>
        </w:tc>
        <w:tc>
          <w:tcPr>
            <w:tcW w:w="5652" w:type="dxa"/>
            <w:tcBorders>
              <w:top w:val="nil"/>
              <w:bottom w:val="nil"/>
            </w:tcBorders>
          </w:tcPr>
          <w:p>
            <w:pPr>
              <w:pStyle w:val="14"/>
              <w:spacing w:before="16" w:line="266" w:lineRule="exact"/>
              <w:ind w:left="108"/>
              <w:jc w:val="left"/>
              <w:rPr>
                <w:sz w:val="21"/>
              </w:rPr>
            </w:pPr>
            <w:r>
              <w:rPr>
                <w:sz w:val="21"/>
              </w:rPr>
              <w:t>生活垃圾和污水处理站污泥定期委托当地市政环卫部门集</w:t>
            </w:r>
          </w:p>
        </w:tc>
        <w:tc>
          <w:tcPr>
            <w:tcW w:w="951" w:type="dxa"/>
            <w:tcBorders>
              <w:top w:val="nil"/>
              <w:bottom w:val="nil"/>
            </w:tcBorders>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Borders>
              <w:top w:val="nil"/>
            </w:tcBorders>
          </w:tcPr>
          <w:p>
            <w:pPr>
              <w:pStyle w:val="14"/>
              <w:jc w:val="left"/>
              <w:rPr>
                <w:rFonts w:ascii="Times New Roman"/>
                <w:sz w:val="22"/>
              </w:rPr>
            </w:pPr>
          </w:p>
        </w:tc>
        <w:tc>
          <w:tcPr>
            <w:tcW w:w="5652" w:type="dxa"/>
            <w:tcBorders>
              <w:top w:val="nil"/>
            </w:tcBorders>
          </w:tcPr>
          <w:p>
            <w:pPr>
              <w:pStyle w:val="14"/>
              <w:spacing w:before="16"/>
              <w:ind w:left="108"/>
              <w:jc w:val="left"/>
              <w:rPr>
                <w:sz w:val="21"/>
              </w:rPr>
            </w:pPr>
            <w:r>
              <w:rPr>
                <w:sz w:val="21"/>
              </w:rPr>
              <w:t>中处理。</w:t>
            </w:r>
          </w:p>
        </w:tc>
        <w:tc>
          <w:tcPr>
            <w:tcW w:w="951" w:type="dxa"/>
            <w:tcBorders>
              <w:top w:val="nil"/>
            </w:tcBorders>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Borders>
              <w:bottom w:val="nil"/>
            </w:tcBorders>
          </w:tcPr>
          <w:p>
            <w:pPr>
              <w:pStyle w:val="14"/>
              <w:jc w:val="left"/>
              <w:rPr>
                <w:rFonts w:ascii="Times New Roman"/>
                <w:sz w:val="22"/>
              </w:rPr>
            </w:pPr>
          </w:p>
        </w:tc>
        <w:tc>
          <w:tcPr>
            <w:tcW w:w="5652" w:type="dxa"/>
            <w:tcBorders>
              <w:bottom w:val="nil"/>
            </w:tcBorders>
          </w:tcPr>
          <w:p>
            <w:pPr>
              <w:pStyle w:val="14"/>
              <w:spacing w:before="21" w:line="266" w:lineRule="exact"/>
              <w:ind w:left="108" w:right="-15"/>
              <w:jc w:val="left"/>
              <w:rPr>
                <w:sz w:val="21"/>
              </w:rPr>
            </w:pPr>
            <w:r>
              <w:rPr>
                <w:spacing w:val="-7"/>
                <w:sz w:val="21"/>
              </w:rPr>
              <w:t>矿区绿化以构建矿区立体绿化为目标，用草坪、花坛、绿篱、</w:t>
            </w:r>
          </w:p>
        </w:tc>
        <w:tc>
          <w:tcPr>
            <w:tcW w:w="951" w:type="dxa"/>
            <w:tcBorders>
              <w:bottom w:val="nil"/>
            </w:tcBorders>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Borders>
              <w:top w:val="nil"/>
              <w:bottom w:val="nil"/>
            </w:tcBorders>
          </w:tcPr>
          <w:p>
            <w:pPr>
              <w:pStyle w:val="14"/>
              <w:jc w:val="left"/>
              <w:rPr>
                <w:rFonts w:ascii="Times New Roman"/>
                <w:sz w:val="22"/>
              </w:rPr>
            </w:pPr>
          </w:p>
        </w:tc>
        <w:tc>
          <w:tcPr>
            <w:tcW w:w="5652" w:type="dxa"/>
            <w:tcBorders>
              <w:top w:val="nil"/>
              <w:bottom w:val="nil"/>
            </w:tcBorders>
          </w:tcPr>
          <w:p>
            <w:pPr>
              <w:pStyle w:val="14"/>
              <w:spacing w:before="16" w:line="266" w:lineRule="exact"/>
              <w:ind w:left="108"/>
              <w:jc w:val="left"/>
              <w:rPr>
                <w:sz w:val="21"/>
              </w:rPr>
            </w:pPr>
            <w:r>
              <w:rPr>
                <w:sz w:val="21"/>
              </w:rPr>
              <w:t>常青树、落叶乔木和灌木等构成宜人的空间层次；在生产区</w:t>
            </w:r>
          </w:p>
        </w:tc>
        <w:tc>
          <w:tcPr>
            <w:tcW w:w="951" w:type="dxa"/>
            <w:tcBorders>
              <w:top w:val="nil"/>
              <w:bottom w:val="nil"/>
            </w:tcBorders>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Borders>
              <w:top w:val="nil"/>
              <w:bottom w:val="nil"/>
            </w:tcBorders>
          </w:tcPr>
          <w:p>
            <w:pPr>
              <w:pStyle w:val="14"/>
              <w:jc w:val="left"/>
              <w:rPr>
                <w:rFonts w:ascii="Times New Roman"/>
                <w:sz w:val="22"/>
              </w:rPr>
            </w:pPr>
          </w:p>
        </w:tc>
        <w:tc>
          <w:tcPr>
            <w:tcW w:w="5652" w:type="dxa"/>
            <w:tcBorders>
              <w:top w:val="nil"/>
              <w:bottom w:val="nil"/>
            </w:tcBorders>
          </w:tcPr>
          <w:p>
            <w:pPr>
              <w:pStyle w:val="14"/>
              <w:spacing w:before="16" w:line="266" w:lineRule="exact"/>
              <w:ind w:left="108"/>
              <w:jc w:val="left"/>
              <w:rPr>
                <w:sz w:val="21"/>
              </w:rPr>
            </w:pPr>
            <w:r>
              <w:rPr>
                <w:sz w:val="21"/>
              </w:rPr>
              <w:t>“见缝插绿”地栽培小灌木和草坪；在主、副井绞车房、压</w:t>
            </w:r>
          </w:p>
        </w:tc>
        <w:tc>
          <w:tcPr>
            <w:tcW w:w="951" w:type="dxa"/>
            <w:tcBorders>
              <w:top w:val="nil"/>
              <w:bottom w:val="nil"/>
            </w:tcBorders>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Borders>
              <w:top w:val="nil"/>
              <w:bottom w:val="nil"/>
            </w:tcBorders>
          </w:tcPr>
          <w:p>
            <w:pPr>
              <w:pStyle w:val="14"/>
              <w:spacing w:before="54" w:line="247" w:lineRule="exact"/>
              <w:ind w:left="482"/>
              <w:jc w:val="left"/>
              <w:rPr>
                <w:sz w:val="21"/>
              </w:rPr>
            </w:pPr>
            <w:r>
              <w:rPr>
                <w:sz w:val="21"/>
              </w:rPr>
              <w:t>生态环境</w:t>
            </w:r>
          </w:p>
        </w:tc>
        <w:tc>
          <w:tcPr>
            <w:tcW w:w="5652" w:type="dxa"/>
            <w:tcBorders>
              <w:top w:val="nil"/>
              <w:bottom w:val="nil"/>
            </w:tcBorders>
          </w:tcPr>
          <w:p>
            <w:pPr>
              <w:pStyle w:val="14"/>
              <w:spacing w:before="16"/>
              <w:ind w:left="108"/>
              <w:jc w:val="left"/>
              <w:rPr>
                <w:sz w:val="21"/>
              </w:rPr>
            </w:pPr>
            <w:r>
              <w:rPr>
                <w:sz w:val="21"/>
              </w:rPr>
              <w:t>风机房、动筛车间和选煤厂主厂房等处的生产噪声较强处，</w:t>
            </w:r>
          </w:p>
        </w:tc>
        <w:tc>
          <w:tcPr>
            <w:tcW w:w="951" w:type="dxa"/>
            <w:tcBorders>
              <w:top w:val="nil"/>
              <w:bottom w:val="nil"/>
            </w:tcBorders>
          </w:tcPr>
          <w:p>
            <w:pPr>
              <w:pStyle w:val="14"/>
              <w:spacing w:before="49" w:line="252" w:lineRule="exact"/>
              <w:ind w:left="243" w:right="238"/>
              <w:rPr>
                <w:sz w:val="21"/>
              </w:rPr>
            </w:pPr>
            <w:r>
              <w:rPr>
                <w:sz w:val="21"/>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Borders>
              <w:top w:val="nil"/>
              <w:bottom w:val="nil"/>
            </w:tcBorders>
          </w:tcPr>
          <w:p>
            <w:pPr>
              <w:pStyle w:val="14"/>
              <w:jc w:val="left"/>
              <w:rPr>
                <w:rFonts w:ascii="Times New Roman"/>
                <w:sz w:val="20"/>
              </w:rPr>
            </w:pPr>
          </w:p>
        </w:tc>
        <w:tc>
          <w:tcPr>
            <w:tcW w:w="5652" w:type="dxa"/>
            <w:tcBorders>
              <w:top w:val="nil"/>
              <w:bottom w:val="nil"/>
            </w:tcBorders>
          </w:tcPr>
          <w:p>
            <w:pPr>
              <w:pStyle w:val="14"/>
              <w:spacing w:line="263" w:lineRule="exact"/>
              <w:ind w:left="108"/>
              <w:jc w:val="left"/>
              <w:rPr>
                <w:sz w:val="21"/>
              </w:rPr>
            </w:pPr>
            <w:r>
              <w:rPr>
                <w:sz w:val="21"/>
              </w:rPr>
              <w:t>种植具有吸声效果的树种；在矿井工业场地场界外，进矿道</w:t>
            </w:r>
          </w:p>
        </w:tc>
        <w:tc>
          <w:tcPr>
            <w:tcW w:w="951" w:type="dxa"/>
            <w:tcBorders>
              <w:top w:val="nil"/>
              <w:bottom w:val="nil"/>
            </w:tcBorders>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Borders>
              <w:top w:val="nil"/>
              <w:bottom w:val="nil"/>
            </w:tcBorders>
          </w:tcPr>
          <w:p>
            <w:pPr>
              <w:pStyle w:val="14"/>
              <w:jc w:val="left"/>
              <w:rPr>
                <w:rFonts w:ascii="Times New Roman"/>
                <w:sz w:val="22"/>
              </w:rPr>
            </w:pPr>
          </w:p>
        </w:tc>
        <w:tc>
          <w:tcPr>
            <w:tcW w:w="5652" w:type="dxa"/>
            <w:tcBorders>
              <w:top w:val="nil"/>
              <w:bottom w:val="nil"/>
            </w:tcBorders>
          </w:tcPr>
          <w:p>
            <w:pPr>
              <w:pStyle w:val="14"/>
              <w:spacing w:before="16" w:line="266" w:lineRule="exact"/>
              <w:ind w:left="108"/>
              <w:jc w:val="left"/>
              <w:rPr>
                <w:sz w:val="21"/>
              </w:rPr>
            </w:pPr>
            <w:r>
              <w:rPr>
                <w:sz w:val="21"/>
              </w:rPr>
              <w:t>路附近密集种植大量的乔木，使得规划期内矿区绿化率达到</w:t>
            </w:r>
          </w:p>
        </w:tc>
        <w:tc>
          <w:tcPr>
            <w:tcW w:w="951" w:type="dxa"/>
            <w:tcBorders>
              <w:top w:val="nil"/>
              <w:bottom w:val="nil"/>
            </w:tcBorders>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Borders>
              <w:top w:val="nil"/>
            </w:tcBorders>
          </w:tcPr>
          <w:p>
            <w:pPr>
              <w:pStyle w:val="14"/>
              <w:jc w:val="left"/>
              <w:rPr>
                <w:rFonts w:ascii="Times New Roman"/>
                <w:sz w:val="22"/>
              </w:rPr>
            </w:pPr>
          </w:p>
        </w:tc>
        <w:tc>
          <w:tcPr>
            <w:tcW w:w="5652" w:type="dxa"/>
            <w:tcBorders>
              <w:top w:val="nil"/>
            </w:tcBorders>
          </w:tcPr>
          <w:p>
            <w:pPr>
              <w:pStyle w:val="14"/>
              <w:spacing w:before="16"/>
              <w:ind w:left="108"/>
              <w:jc w:val="left"/>
              <w:rPr>
                <w:sz w:val="21"/>
              </w:rPr>
            </w:pPr>
            <w:r>
              <w:rPr>
                <w:sz w:val="21"/>
              </w:rPr>
              <w:t>预期的指标。</w:t>
            </w:r>
          </w:p>
        </w:tc>
        <w:tc>
          <w:tcPr>
            <w:tcW w:w="951" w:type="dxa"/>
            <w:tcBorders>
              <w:top w:val="nil"/>
            </w:tcBorders>
          </w:tcPr>
          <w:p>
            <w:pPr>
              <w:pStyle w:val="14"/>
              <w:jc w:val="left"/>
              <w:rPr>
                <w:rFonts w:ascii="Times New Roman"/>
                <w:sz w:val="22"/>
              </w:rPr>
            </w:pPr>
          </w:p>
        </w:tc>
      </w:tr>
    </w:tbl>
    <w:p>
      <w:pPr>
        <w:pStyle w:val="13"/>
        <w:numPr>
          <w:ilvl w:val="2"/>
          <w:numId w:val="16"/>
        </w:numPr>
        <w:tabs>
          <w:tab w:val="left" w:pos="1669"/>
        </w:tabs>
        <w:spacing w:before="133" w:after="0" w:line="240" w:lineRule="auto"/>
        <w:ind w:left="1668" w:right="0" w:hanging="629"/>
        <w:jc w:val="both"/>
        <w:rPr>
          <w:b/>
          <w:sz w:val="28"/>
        </w:rPr>
      </w:pPr>
      <w:r>
        <w:rPr>
          <w:b/>
          <w:sz w:val="28"/>
        </w:rPr>
        <w:t>地理位置及交通</w:t>
      </w:r>
    </w:p>
    <w:p>
      <w:pPr>
        <w:pStyle w:val="6"/>
        <w:spacing w:before="214" w:line="364" w:lineRule="auto"/>
        <w:ind w:left="1040" w:right="1077" w:firstLine="480"/>
        <w:jc w:val="both"/>
      </w:pPr>
      <w:r>
        <w:rPr>
          <w:spacing w:val="-3"/>
        </w:rPr>
        <w:t xml:space="preserve">该矿位于双鸭山矿业集团岭东煤矿南 </w:t>
      </w:r>
      <w:r>
        <w:rPr>
          <w:rFonts w:ascii="Times New Roman" w:eastAsia="Times New Roman"/>
        </w:rPr>
        <w:t xml:space="preserve">7km </w:t>
      </w:r>
      <w:r>
        <w:t>处，在双鸭山市司法局劳教所东</w:t>
      </w:r>
      <w:r>
        <w:rPr>
          <w:spacing w:val="-11"/>
        </w:rPr>
        <w:t xml:space="preserve">部。从岭东矿通往矿井有砂石公路可直达，距双鸭山矿业集团内部运煤专用铁路线岭东车站 </w:t>
      </w:r>
      <w:r>
        <w:rPr>
          <w:rFonts w:ascii="Times New Roman" w:eastAsia="Times New Roman"/>
        </w:rPr>
        <w:t>7km</w:t>
      </w:r>
      <w:r>
        <w:rPr>
          <w:spacing w:val="-7"/>
        </w:rPr>
        <w:t xml:space="preserve">，距双鸭山火车站 </w:t>
      </w:r>
      <w:r>
        <w:rPr>
          <w:rFonts w:ascii="Times New Roman" w:eastAsia="Times New Roman"/>
        </w:rPr>
        <w:t>15km</w:t>
      </w:r>
      <w:r>
        <w:t>，交通较为方便。</w:t>
      </w:r>
    </w:p>
    <w:p>
      <w:pPr>
        <w:pStyle w:val="4"/>
        <w:numPr>
          <w:ilvl w:val="2"/>
          <w:numId w:val="16"/>
        </w:numPr>
        <w:tabs>
          <w:tab w:val="left" w:pos="1669"/>
        </w:tabs>
        <w:spacing w:before="53" w:after="0" w:line="240" w:lineRule="auto"/>
        <w:ind w:left="1668" w:right="0" w:hanging="629"/>
        <w:jc w:val="both"/>
      </w:pPr>
      <w:r>
        <w:t>产品方案与流向</w:t>
      </w:r>
    </w:p>
    <w:p>
      <w:pPr>
        <w:pStyle w:val="6"/>
        <w:spacing w:before="214" w:line="364" w:lineRule="auto"/>
        <w:ind w:left="1040" w:right="1077" w:firstLine="480"/>
        <w:jc w:val="both"/>
      </w:pPr>
      <w:r>
        <w:rPr>
          <w:spacing w:val="-8"/>
        </w:rPr>
        <w:t>矿井不设煤炭洗选深加工系统。井下煤炭由皮带主井提至地面在翻卸过程中</w:t>
      </w:r>
      <w:r>
        <w:rPr>
          <w:spacing w:val="-7"/>
        </w:rPr>
        <w:t>通过篦条筛进行简易筛分，筛上煤块再通过人工手选达到分选的目的。供给当地</w:t>
      </w:r>
      <w:r>
        <w:t>洗煤厂进行洗选。</w:t>
      </w:r>
    </w:p>
    <w:p>
      <w:pPr>
        <w:pStyle w:val="4"/>
        <w:numPr>
          <w:ilvl w:val="2"/>
          <w:numId w:val="16"/>
        </w:numPr>
        <w:tabs>
          <w:tab w:val="left" w:pos="1669"/>
        </w:tabs>
        <w:spacing w:before="53" w:after="0" w:line="240" w:lineRule="auto"/>
        <w:ind w:left="1668" w:right="0" w:hanging="629"/>
        <w:jc w:val="both"/>
      </w:pPr>
      <w:r>
        <w:t>项目总平面布置</w:t>
      </w:r>
    </w:p>
    <w:p>
      <w:pPr>
        <w:pStyle w:val="5"/>
        <w:numPr>
          <w:ilvl w:val="3"/>
          <w:numId w:val="17"/>
        </w:numPr>
        <w:tabs>
          <w:tab w:val="left" w:pos="1760"/>
        </w:tabs>
        <w:spacing w:before="214" w:after="0" w:line="240" w:lineRule="auto"/>
        <w:ind w:left="1760" w:right="0" w:hanging="720"/>
        <w:jc w:val="both"/>
      </w:pPr>
      <w:r>
        <w:t>项目地面布置</w:t>
      </w:r>
    </w:p>
    <w:p>
      <w:pPr>
        <w:pStyle w:val="6"/>
        <w:spacing w:before="81" w:line="364" w:lineRule="auto"/>
        <w:ind w:left="1040" w:right="1077" w:firstLine="480"/>
        <w:jc w:val="both"/>
      </w:pPr>
      <w:r>
        <w:t>双鸭山大顺矿业有限公司工业广场利用原有。本项目工业广场占地面积为</w:t>
      </w:r>
      <w:r>
        <w:rPr>
          <w:rFonts w:ascii="Times New Roman" w:eastAsia="Times New Roman"/>
        </w:rPr>
        <w:t>2.9767hm</w:t>
      </w:r>
      <w:r>
        <w:rPr>
          <w:rFonts w:ascii="Times New Roman" w:eastAsia="Times New Roman"/>
          <w:position w:val="8"/>
          <w:sz w:val="15"/>
        </w:rPr>
        <w:t>2</w:t>
      </w:r>
      <w:r>
        <w:t>，双鸭山大顺矿业有限公司工业场地功能分区较为明确，布置较为合理，基本上能够满足矿井改扩建后生产和生活的需要。</w:t>
      </w:r>
    </w:p>
    <w:p>
      <w:pPr>
        <w:pStyle w:val="5"/>
        <w:numPr>
          <w:ilvl w:val="3"/>
          <w:numId w:val="17"/>
        </w:numPr>
        <w:tabs>
          <w:tab w:val="left" w:pos="1760"/>
        </w:tabs>
        <w:spacing w:before="76" w:after="0" w:line="240" w:lineRule="auto"/>
        <w:ind w:left="1760" w:right="0" w:hanging="720"/>
        <w:jc w:val="both"/>
      </w:pPr>
      <w:r>
        <w:t>工业场地平面布置</w:t>
      </w:r>
    </w:p>
    <w:p>
      <w:pPr>
        <w:pStyle w:val="13"/>
        <w:numPr>
          <w:ilvl w:val="4"/>
          <w:numId w:val="17"/>
        </w:numPr>
        <w:tabs>
          <w:tab w:val="left" w:pos="2001"/>
        </w:tabs>
        <w:spacing w:before="161" w:after="0" w:line="240" w:lineRule="auto"/>
        <w:ind w:left="2001" w:right="0" w:hanging="601"/>
        <w:jc w:val="left"/>
        <w:rPr>
          <w:sz w:val="24"/>
        </w:rPr>
      </w:pPr>
      <w:r>
        <w:rPr>
          <w:sz w:val="24"/>
        </w:rPr>
        <w:t>平面位置的确定</w:t>
      </w:r>
    </w:p>
    <w:p>
      <w:pPr>
        <w:pStyle w:val="6"/>
        <w:spacing w:before="160" w:line="364" w:lineRule="auto"/>
        <w:ind w:left="1040" w:right="957" w:firstLine="360"/>
      </w:pPr>
      <w:r>
        <w:rPr>
          <w:spacing w:val="-6"/>
        </w:rPr>
        <w:t xml:space="preserve">工业场地的选址主要依据井下开拓布署、结合地形、地物以及工程地质情况， </w:t>
      </w:r>
      <w:r>
        <w:t>本着有力生产、方便生活、节约用地、减少压煤的原则确定。</w:t>
      </w:r>
    </w:p>
    <w:p>
      <w:pPr>
        <w:pStyle w:val="13"/>
        <w:numPr>
          <w:ilvl w:val="4"/>
          <w:numId w:val="17"/>
        </w:numPr>
        <w:tabs>
          <w:tab w:val="left" w:pos="2001"/>
        </w:tabs>
        <w:spacing w:before="2" w:after="0" w:line="240" w:lineRule="auto"/>
        <w:ind w:left="2001" w:right="0" w:hanging="601"/>
        <w:jc w:val="left"/>
        <w:rPr>
          <w:sz w:val="24"/>
        </w:rPr>
      </w:pPr>
      <w:r>
        <w:rPr>
          <w:sz w:val="24"/>
        </w:rPr>
        <w:t>平面布置的原则</w:t>
      </w:r>
    </w:p>
    <w:p>
      <w:pPr>
        <w:spacing w:after="0" w:line="240" w:lineRule="auto"/>
        <w:jc w:val="left"/>
        <w:rPr>
          <w:sz w:val="24"/>
        </w:rPr>
        <w:sectPr>
          <w:pgSz w:w="11910" w:h="16840"/>
          <w:pgMar w:top="1080" w:right="720" w:bottom="1080" w:left="760" w:header="0" w:footer="89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79" name="组合 24"/>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78" name="直线 25"/>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24"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aCLtQAAAADAQAADwAAAAAAAAABACAAAAAiAAAAZHJzL2Rvd25yZXYueG1s&#10;UEsBAhQAFAAAAAgAh07iQHaGZTM1AgAAtgQAAA4AAAAAAAAAAQAgAAAAIwEAAGRycy9lMm9Eb2Mu&#10;eG1sUEsFBgAAAAAGAAYAWQEAAMoFAAAAAA==&#10;">
                <o:lock v:ext="edit" aspectratio="f"/>
                <v:line id="直线 25" o:spid="_x0000_s1026" o:spt="20" style="position:absolute;left:0;top:7;height:0;width:8306;" filled="f" stroked="t" coordsize="21600,21600" o:gfxdata="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vyTT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pStyle w:val="6"/>
        <w:spacing w:before="2"/>
        <w:rPr>
          <w:sz w:val="26"/>
        </w:rPr>
      </w:pPr>
    </w:p>
    <w:p>
      <w:pPr>
        <w:pStyle w:val="6"/>
        <w:spacing w:before="67" w:line="364" w:lineRule="auto"/>
        <w:ind w:left="1040" w:right="1077" w:firstLine="480"/>
      </w:pPr>
      <w:r>
        <w:rPr>
          <w:spacing w:val="-9"/>
        </w:rPr>
        <w:t>①在满足矿井开拓、开采条件及地面生产工艺要求的基础上，符合国家现行</w:t>
      </w:r>
      <w:r>
        <w:t>的防火、安全、卫生、交通运输和环境保护等有关标准的规定。</w:t>
      </w:r>
    </w:p>
    <w:p>
      <w:pPr>
        <w:pStyle w:val="6"/>
        <w:spacing w:before="1" w:line="364" w:lineRule="auto"/>
        <w:ind w:left="1040" w:right="957" w:firstLine="480"/>
      </w:pPr>
      <w:r>
        <w:rPr>
          <w:spacing w:val="-13"/>
        </w:rPr>
        <w:t xml:space="preserve">②场内布置功能分区紧凑合理，线路短捷，整齐美观，有利生产，方便生活， </w:t>
      </w:r>
      <w:r>
        <w:t>便于管理，少占地。</w:t>
      </w:r>
    </w:p>
    <w:p>
      <w:pPr>
        <w:pStyle w:val="6"/>
        <w:spacing w:before="1" w:line="364" w:lineRule="auto"/>
        <w:ind w:left="1040" w:right="1077" w:firstLine="480"/>
      </w:pPr>
      <w:r>
        <w:t>③在优化地面行政福利和辅助生产设施的同时，充分考虑未来发展的可能性。</w:t>
      </w:r>
    </w:p>
    <w:p>
      <w:pPr>
        <w:pStyle w:val="6"/>
        <w:spacing w:before="1" w:line="364" w:lineRule="auto"/>
        <w:ind w:left="1040" w:right="1077" w:firstLine="480"/>
      </w:pPr>
      <w:r>
        <w:rPr>
          <w:spacing w:val="-10"/>
        </w:rPr>
        <w:t>④建</w:t>
      </w:r>
      <w:r>
        <w:t>（构</w:t>
      </w:r>
      <w:r>
        <w:rPr>
          <w:spacing w:val="-20"/>
        </w:rPr>
        <w:t>）</w:t>
      </w:r>
      <w:r>
        <w:rPr>
          <w:spacing w:val="-7"/>
        </w:rPr>
        <w:t>筑物的布置，充分考虑其位置受风向、朝向的影响，为建筑物创</w:t>
      </w:r>
      <w:r>
        <w:t>造良好的朝向和自然通风条件。加强绿化，保护环境，使工业场地园林化。</w:t>
      </w:r>
    </w:p>
    <w:p>
      <w:pPr>
        <w:pStyle w:val="13"/>
        <w:numPr>
          <w:ilvl w:val="4"/>
          <w:numId w:val="17"/>
        </w:numPr>
        <w:tabs>
          <w:tab w:val="left" w:pos="2001"/>
        </w:tabs>
        <w:spacing w:before="2" w:after="0" w:line="240" w:lineRule="auto"/>
        <w:ind w:left="2001" w:right="0" w:hanging="601"/>
        <w:jc w:val="left"/>
        <w:rPr>
          <w:sz w:val="24"/>
        </w:rPr>
      </w:pPr>
      <w:r>
        <w:rPr>
          <w:sz w:val="24"/>
        </w:rPr>
        <w:t>生产系统的工艺流程及相互关系</w:t>
      </w:r>
    </w:p>
    <w:p>
      <w:pPr>
        <w:pStyle w:val="6"/>
        <w:spacing w:before="160" w:line="364" w:lineRule="auto"/>
        <w:ind w:left="1040" w:right="1077" w:firstLine="480"/>
        <w:jc w:val="both"/>
      </w:pPr>
      <w:r>
        <w:rPr>
          <w:spacing w:val="-8"/>
        </w:rPr>
        <w:t>本矿井工业场地内设有主井、副井、风井三个斜井，主井承担原煤提升的任</w:t>
      </w:r>
      <w:r>
        <w:rPr>
          <w:spacing w:val="-11"/>
        </w:rPr>
        <w:t>务，副井担负全矿井的人员、材料、设备、矸石升降任务，兼做矿井进风和矿井</w:t>
      </w:r>
      <w:r>
        <w:t>的安全出口，风井担负全矿井的回风任务，并兼作另一个安全出口。</w:t>
      </w:r>
    </w:p>
    <w:p>
      <w:pPr>
        <w:pStyle w:val="6"/>
        <w:spacing w:before="2"/>
        <w:ind w:left="1520"/>
        <w:jc w:val="both"/>
      </w:pPr>
      <w:r>
        <w:t xml:space="preserve">本项目工业广场平面布置图附图 </w:t>
      </w:r>
      <w:r>
        <w:rPr>
          <w:rFonts w:ascii="Times New Roman" w:eastAsia="Times New Roman"/>
        </w:rPr>
        <w:t>1</w:t>
      </w:r>
      <w:r>
        <w:t>。</w:t>
      </w:r>
    </w:p>
    <w:p>
      <w:pPr>
        <w:pStyle w:val="4"/>
        <w:numPr>
          <w:ilvl w:val="2"/>
          <w:numId w:val="16"/>
        </w:numPr>
        <w:tabs>
          <w:tab w:val="left" w:pos="1669"/>
        </w:tabs>
        <w:spacing w:before="214" w:after="0" w:line="240" w:lineRule="auto"/>
        <w:ind w:left="1668" w:right="0" w:hanging="629"/>
        <w:jc w:val="both"/>
      </w:pPr>
      <w:r>
        <w:t>地面运输</w:t>
      </w:r>
    </w:p>
    <w:p>
      <w:pPr>
        <w:pStyle w:val="6"/>
        <w:spacing w:before="212" w:line="364" w:lineRule="auto"/>
        <w:ind w:left="1040" w:right="1075" w:firstLine="480"/>
        <w:jc w:val="both"/>
      </w:pPr>
      <w:r>
        <w:rPr>
          <w:spacing w:val="-8"/>
        </w:rPr>
        <w:t>地面运输采用公路方式。本矿井对外运输的主要为公路运输，该公路路况较</w:t>
      </w:r>
      <w:r>
        <w:rPr>
          <w:spacing w:val="-10"/>
        </w:rPr>
        <w:t xml:space="preserve">好，能够满足矿井改造后煤炭外运的要求。场内道路宽度为 </w:t>
      </w:r>
      <w:r>
        <w:rPr>
          <w:rFonts w:ascii="Times New Roman" w:eastAsia="Times New Roman"/>
        </w:rPr>
        <w:t xml:space="preserve">6m </w:t>
      </w:r>
      <w:r>
        <w:rPr>
          <w:spacing w:val="-30"/>
        </w:rPr>
        <w:t xml:space="preserve">和 </w:t>
      </w:r>
      <w:r>
        <w:rPr>
          <w:rFonts w:ascii="Times New Roman" w:eastAsia="Times New Roman"/>
          <w:spacing w:val="-8"/>
        </w:rPr>
        <w:t>4.5m</w:t>
      </w:r>
      <w:r>
        <w:rPr>
          <w:spacing w:val="-6"/>
        </w:rPr>
        <w:t xml:space="preserve">，路面为泥结碎石路面，最大纵坡为 </w:t>
      </w:r>
      <w:r>
        <w:rPr>
          <w:rFonts w:ascii="Times New Roman" w:eastAsia="Times New Roman"/>
        </w:rPr>
        <w:t>3%</w:t>
      </w:r>
      <w:r>
        <w:rPr>
          <w:spacing w:val="-7"/>
        </w:rPr>
        <w:t xml:space="preserve">，最小曲线半径为 </w:t>
      </w:r>
      <w:r>
        <w:rPr>
          <w:rFonts w:ascii="Times New Roman" w:eastAsia="Times New Roman"/>
        </w:rPr>
        <w:t>6m</w:t>
      </w:r>
      <w:r>
        <w:rPr>
          <w:spacing w:val="-3"/>
        </w:rPr>
        <w:t>。</w:t>
      </w:r>
      <w:r>
        <w:rPr>
          <w:rFonts w:ascii="Times New Roman" w:eastAsia="Times New Roman"/>
        </w:rPr>
        <w:t xml:space="preserve">6m </w:t>
      </w:r>
      <w:r>
        <w:rPr>
          <w:spacing w:val="-2"/>
        </w:rPr>
        <w:t>道路用于煤炭运输和</w:t>
      </w:r>
      <w:r>
        <w:t>生活区主干线，</w:t>
      </w:r>
      <w:r>
        <w:rPr>
          <w:rFonts w:ascii="Times New Roman" w:eastAsia="Times New Roman"/>
        </w:rPr>
        <w:t xml:space="preserve">4.5m </w:t>
      </w:r>
      <w:r>
        <w:t>为普通道路。</w:t>
      </w:r>
    </w:p>
    <w:p>
      <w:pPr>
        <w:pStyle w:val="4"/>
        <w:numPr>
          <w:ilvl w:val="2"/>
          <w:numId w:val="16"/>
        </w:numPr>
        <w:tabs>
          <w:tab w:val="left" w:pos="1741"/>
        </w:tabs>
        <w:spacing w:before="56" w:after="0" w:line="240" w:lineRule="auto"/>
        <w:ind w:left="1740" w:right="0" w:hanging="701"/>
        <w:jc w:val="both"/>
      </w:pPr>
      <w:r>
        <w:t>劳动组织与定员</w:t>
      </w:r>
    </w:p>
    <w:p>
      <w:pPr>
        <w:pStyle w:val="6"/>
        <w:spacing w:before="211"/>
        <w:ind w:left="1520"/>
        <w:jc w:val="both"/>
      </w:pPr>
      <w:r>
        <w:t xml:space="preserve">全矿井在籍人数为 </w:t>
      </w:r>
      <w:r>
        <w:rPr>
          <w:rFonts w:ascii="Times New Roman" w:eastAsia="Times New Roman"/>
        </w:rPr>
        <w:t xml:space="preserve">665 </w:t>
      </w:r>
      <w:r>
        <w:t xml:space="preserve">人，井下生产工人 </w:t>
      </w:r>
      <w:r>
        <w:rPr>
          <w:rFonts w:ascii="Times New Roman" w:eastAsia="Times New Roman"/>
        </w:rPr>
        <w:t xml:space="preserve">352 </w:t>
      </w:r>
      <w:r>
        <w:t xml:space="preserve">人。劳动定员详见表 </w:t>
      </w:r>
      <w:r>
        <w:rPr>
          <w:rFonts w:ascii="Times New Roman" w:eastAsia="Times New Roman"/>
        </w:rPr>
        <w:t>3.2-2</w:t>
      </w:r>
      <w:r>
        <w:t>。</w:t>
      </w:r>
    </w:p>
    <w:p>
      <w:pPr>
        <w:pStyle w:val="5"/>
        <w:spacing w:before="82" w:after="2"/>
        <w:ind w:left="1553" w:right="1585"/>
        <w:jc w:val="center"/>
      </w:pPr>
      <w:r>
        <w:t xml:space="preserve">表 </w:t>
      </w:r>
      <w:r>
        <w:rPr>
          <w:rFonts w:ascii="Times New Roman" w:eastAsia="Times New Roman"/>
        </w:rPr>
        <w:t xml:space="preserve">3.2-2  </w:t>
      </w:r>
      <w:r>
        <w:t>劳动定员汇总表</w:t>
      </w:r>
    </w:p>
    <w:tbl>
      <w:tblPr>
        <w:tblStyle w:val="10"/>
        <w:tblW w:w="0" w:type="auto"/>
        <w:tblInd w:w="5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3"/>
        <w:gridCol w:w="1885"/>
        <w:gridCol w:w="873"/>
        <w:gridCol w:w="874"/>
        <w:gridCol w:w="873"/>
        <w:gridCol w:w="877"/>
        <w:gridCol w:w="994"/>
        <w:gridCol w:w="992"/>
        <w:gridCol w:w="9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923" w:type="dxa"/>
            <w:vMerge w:val="restart"/>
          </w:tcPr>
          <w:p>
            <w:pPr>
              <w:pStyle w:val="14"/>
              <w:spacing w:before="1"/>
              <w:jc w:val="left"/>
              <w:rPr>
                <w:b/>
                <w:sz w:val="17"/>
              </w:rPr>
            </w:pPr>
          </w:p>
          <w:p>
            <w:pPr>
              <w:pStyle w:val="14"/>
              <w:ind w:left="249"/>
              <w:jc w:val="left"/>
              <w:rPr>
                <w:sz w:val="21"/>
              </w:rPr>
            </w:pPr>
            <w:r>
              <w:rPr>
                <w:sz w:val="21"/>
              </w:rPr>
              <w:t>序号</w:t>
            </w:r>
          </w:p>
        </w:tc>
        <w:tc>
          <w:tcPr>
            <w:tcW w:w="1885" w:type="dxa"/>
            <w:vMerge w:val="restart"/>
          </w:tcPr>
          <w:p>
            <w:pPr>
              <w:pStyle w:val="14"/>
              <w:spacing w:before="1"/>
              <w:jc w:val="left"/>
              <w:rPr>
                <w:b/>
                <w:sz w:val="17"/>
              </w:rPr>
            </w:pPr>
          </w:p>
          <w:p>
            <w:pPr>
              <w:pStyle w:val="14"/>
              <w:ind w:left="289" w:right="285"/>
              <w:rPr>
                <w:sz w:val="21"/>
              </w:rPr>
            </w:pPr>
            <w:r>
              <w:rPr>
                <w:sz w:val="21"/>
              </w:rPr>
              <w:t>名称</w:t>
            </w:r>
          </w:p>
        </w:tc>
        <w:tc>
          <w:tcPr>
            <w:tcW w:w="4491" w:type="dxa"/>
            <w:gridSpan w:val="5"/>
          </w:tcPr>
          <w:p>
            <w:pPr>
              <w:pStyle w:val="14"/>
              <w:spacing w:before="36"/>
              <w:ind w:left="1803" w:right="1798"/>
              <w:rPr>
                <w:sz w:val="21"/>
              </w:rPr>
            </w:pPr>
            <w:r>
              <w:rPr>
                <w:sz w:val="21"/>
              </w:rPr>
              <w:t>出勤人员</w:t>
            </w:r>
          </w:p>
        </w:tc>
        <w:tc>
          <w:tcPr>
            <w:tcW w:w="992" w:type="dxa"/>
            <w:vMerge w:val="restart"/>
          </w:tcPr>
          <w:p>
            <w:pPr>
              <w:pStyle w:val="14"/>
              <w:spacing w:before="82" w:line="244" w:lineRule="auto"/>
              <w:ind w:left="285" w:right="277"/>
              <w:jc w:val="left"/>
              <w:rPr>
                <w:sz w:val="21"/>
              </w:rPr>
            </w:pPr>
            <w:r>
              <w:rPr>
                <w:sz w:val="21"/>
              </w:rPr>
              <w:t>在籍系数</w:t>
            </w:r>
          </w:p>
        </w:tc>
        <w:tc>
          <w:tcPr>
            <w:tcW w:w="995" w:type="dxa"/>
            <w:vMerge w:val="restart"/>
          </w:tcPr>
          <w:p>
            <w:pPr>
              <w:pStyle w:val="14"/>
              <w:spacing w:before="82" w:line="244" w:lineRule="auto"/>
              <w:ind w:left="286" w:right="278"/>
              <w:jc w:val="left"/>
              <w:rPr>
                <w:sz w:val="21"/>
              </w:rPr>
            </w:pPr>
            <w:r>
              <w:rPr>
                <w:sz w:val="21"/>
              </w:rPr>
              <w:t>在籍人员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923" w:type="dxa"/>
            <w:vMerge w:val="continue"/>
            <w:tcBorders>
              <w:top w:val="nil"/>
            </w:tcBorders>
          </w:tcPr>
          <w:p>
            <w:pPr>
              <w:rPr>
                <w:sz w:val="2"/>
                <w:szCs w:val="2"/>
              </w:rPr>
            </w:pPr>
          </w:p>
        </w:tc>
        <w:tc>
          <w:tcPr>
            <w:tcW w:w="1885" w:type="dxa"/>
            <w:vMerge w:val="continue"/>
            <w:tcBorders>
              <w:top w:val="nil"/>
            </w:tcBorders>
          </w:tcPr>
          <w:p>
            <w:pPr>
              <w:rPr>
                <w:sz w:val="2"/>
                <w:szCs w:val="2"/>
              </w:rPr>
            </w:pPr>
          </w:p>
        </w:tc>
        <w:tc>
          <w:tcPr>
            <w:tcW w:w="873" w:type="dxa"/>
          </w:tcPr>
          <w:p>
            <w:pPr>
              <w:pStyle w:val="14"/>
              <w:spacing w:before="40"/>
              <w:ind w:left="204" w:right="198"/>
              <w:rPr>
                <w:sz w:val="21"/>
              </w:rPr>
            </w:pPr>
            <w:r>
              <w:rPr>
                <w:sz w:val="21"/>
              </w:rPr>
              <w:t>一班</w:t>
            </w:r>
          </w:p>
        </w:tc>
        <w:tc>
          <w:tcPr>
            <w:tcW w:w="874" w:type="dxa"/>
          </w:tcPr>
          <w:p>
            <w:pPr>
              <w:pStyle w:val="14"/>
              <w:spacing w:before="40"/>
              <w:ind w:left="204" w:right="198"/>
              <w:rPr>
                <w:sz w:val="21"/>
              </w:rPr>
            </w:pPr>
            <w:r>
              <w:rPr>
                <w:sz w:val="21"/>
              </w:rPr>
              <w:t>二班</w:t>
            </w:r>
          </w:p>
        </w:tc>
        <w:tc>
          <w:tcPr>
            <w:tcW w:w="873" w:type="dxa"/>
          </w:tcPr>
          <w:p>
            <w:pPr>
              <w:pStyle w:val="14"/>
              <w:spacing w:before="40"/>
              <w:ind w:left="204" w:right="198"/>
              <w:rPr>
                <w:sz w:val="21"/>
              </w:rPr>
            </w:pPr>
            <w:r>
              <w:rPr>
                <w:sz w:val="21"/>
              </w:rPr>
              <w:t>三班</w:t>
            </w:r>
          </w:p>
        </w:tc>
        <w:tc>
          <w:tcPr>
            <w:tcW w:w="877" w:type="dxa"/>
          </w:tcPr>
          <w:p>
            <w:pPr>
              <w:pStyle w:val="14"/>
              <w:spacing w:before="40"/>
              <w:ind w:left="205" w:right="202"/>
              <w:rPr>
                <w:sz w:val="21"/>
              </w:rPr>
            </w:pPr>
            <w:r>
              <w:rPr>
                <w:sz w:val="21"/>
              </w:rPr>
              <w:t>四班</w:t>
            </w:r>
          </w:p>
        </w:tc>
        <w:tc>
          <w:tcPr>
            <w:tcW w:w="994" w:type="dxa"/>
          </w:tcPr>
          <w:p>
            <w:pPr>
              <w:pStyle w:val="14"/>
              <w:spacing w:before="40"/>
              <w:ind w:right="278"/>
              <w:jc w:val="right"/>
              <w:rPr>
                <w:sz w:val="21"/>
              </w:rPr>
            </w:pPr>
            <w:r>
              <w:rPr>
                <w:w w:val="95"/>
                <w:sz w:val="21"/>
              </w:rPr>
              <w:t>合计</w:t>
            </w:r>
          </w:p>
        </w:tc>
        <w:tc>
          <w:tcPr>
            <w:tcW w:w="992" w:type="dxa"/>
            <w:vMerge w:val="continue"/>
            <w:tcBorders>
              <w:top w:val="nil"/>
            </w:tcBorders>
          </w:tcPr>
          <w:p>
            <w:pPr>
              <w:rPr>
                <w:sz w:val="2"/>
                <w:szCs w:val="2"/>
              </w:rPr>
            </w:pPr>
          </w:p>
        </w:tc>
        <w:tc>
          <w:tcPr>
            <w:tcW w:w="99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923" w:type="dxa"/>
          </w:tcPr>
          <w:p>
            <w:pPr>
              <w:pStyle w:val="14"/>
              <w:spacing w:before="29"/>
              <w:ind w:left="6"/>
              <w:rPr>
                <w:sz w:val="21"/>
              </w:rPr>
            </w:pPr>
            <w:r>
              <w:rPr>
                <w:w w:val="99"/>
                <w:sz w:val="21"/>
              </w:rPr>
              <w:t>一</w:t>
            </w:r>
          </w:p>
        </w:tc>
        <w:tc>
          <w:tcPr>
            <w:tcW w:w="1885" w:type="dxa"/>
          </w:tcPr>
          <w:p>
            <w:pPr>
              <w:pStyle w:val="14"/>
              <w:spacing w:before="29"/>
              <w:ind w:left="289" w:right="285"/>
              <w:rPr>
                <w:sz w:val="21"/>
              </w:rPr>
            </w:pPr>
            <w:r>
              <w:rPr>
                <w:sz w:val="21"/>
              </w:rPr>
              <w:t>原煤生产人员</w:t>
            </w:r>
          </w:p>
        </w:tc>
        <w:tc>
          <w:tcPr>
            <w:tcW w:w="873" w:type="dxa"/>
          </w:tcPr>
          <w:p>
            <w:pPr>
              <w:pStyle w:val="14"/>
              <w:spacing w:before="43"/>
              <w:ind w:left="204" w:right="195"/>
              <w:rPr>
                <w:rFonts w:ascii="Times New Roman"/>
                <w:sz w:val="21"/>
              </w:rPr>
            </w:pPr>
            <w:r>
              <w:rPr>
                <w:rFonts w:ascii="Times New Roman"/>
                <w:sz w:val="21"/>
              </w:rPr>
              <w:t>123</w:t>
            </w:r>
          </w:p>
        </w:tc>
        <w:tc>
          <w:tcPr>
            <w:tcW w:w="874" w:type="dxa"/>
          </w:tcPr>
          <w:p>
            <w:pPr>
              <w:pStyle w:val="14"/>
              <w:spacing w:before="43"/>
              <w:ind w:left="205" w:right="195"/>
              <w:rPr>
                <w:rFonts w:ascii="Times New Roman"/>
                <w:sz w:val="21"/>
              </w:rPr>
            </w:pPr>
            <w:r>
              <w:rPr>
                <w:rFonts w:ascii="Times New Roman"/>
                <w:sz w:val="21"/>
              </w:rPr>
              <w:t>123</w:t>
            </w:r>
          </w:p>
        </w:tc>
        <w:tc>
          <w:tcPr>
            <w:tcW w:w="873" w:type="dxa"/>
          </w:tcPr>
          <w:p>
            <w:pPr>
              <w:pStyle w:val="14"/>
              <w:spacing w:before="43"/>
              <w:ind w:left="204" w:right="194"/>
              <w:rPr>
                <w:rFonts w:ascii="Times New Roman"/>
                <w:sz w:val="21"/>
              </w:rPr>
            </w:pPr>
            <w:r>
              <w:rPr>
                <w:rFonts w:ascii="Times New Roman"/>
                <w:sz w:val="21"/>
              </w:rPr>
              <w:t>123</w:t>
            </w:r>
          </w:p>
        </w:tc>
        <w:tc>
          <w:tcPr>
            <w:tcW w:w="877" w:type="dxa"/>
          </w:tcPr>
          <w:p>
            <w:pPr>
              <w:pStyle w:val="14"/>
              <w:spacing w:before="43"/>
              <w:ind w:left="205" w:right="198"/>
              <w:rPr>
                <w:rFonts w:ascii="Times New Roman"/>
                <w:sz w:val="21"/>
              </w:rPr>
            </w:pPr>
            <w:r>
              <w:rPr>
                <w:rFonts w:ascii="Times New Roman"/>
                <w:sz w:val="21"/>
              </w:rPr>
              <w:t>86</w:t>
            </w:r>
          </w:p>
        </w:tc>
        <w:tc>
          <w:tcPr>
            <w:tcW w:w="994" w:type="dxa"/>
          </w:tcPr>
          <w:p>
            <w:pPr>
              <w:pStyle w:val="14"/>
              <w:spacing w:before="43"/>
              <w:ind w:right="327"/>
              <w:jc w:val="right"/>
              <w:rPr>
                <w:rFonts w:ascii="Times New Roman"/>
                <w:sz w:val="21"/>
              </w:rPr>
            </w:pPr>
            <w:r>
              <w:rPr>
                <w:rFonts w:ascii="Times New Roman"/>
                <w:sz w:val="21"/>
              </w:rPr>
              <w:t>455</w:t>
            </w:r>
          </w:p>
        </w:tc>
        <w:tc>
          <w:tcPr>
            <w:tcW w:w="992" w:type="dxa"/>
          </w:tcPr>
          <w:p>
            <w:pPr>
              <w:pStyle w:val="14"/>
              <w:jc w:val="left"/>
              <w:rPr>
                <w:rFonts w:ascii="Times New Roman"/>
                <w:sz w:val="22"/>
              </w:rPr>
            </w:pPr>
          </w:p>
        </w:tc>
        <w:tc>
          <w:tcPr>
            <w:tcW w:w="995" w:type="dxa"/>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923" w:type="dxa"/>
          </w:tcPr>
          <w:p>
            <w:pPr>
              <w:pStyle w:val="14"/>
              <w:spacing w:before="43"/>
              <w:ind w:left="7"/>
              <w:rPr>
                <w:rFonts w:ascii="Times New Roman"/>
                <w:sz w:val="21"/>
              </w:rPr>
            </w:pPr>
            <w:r>
              <w:rPr>
                <w:rFonts w:ascii="Times New Roman"/>
                <w:w w:val="99"/>
                <w:sz w:val="21"/>
              </w:rPr>
              <w:t>1</w:t>
            </w:r>
          </w:p>
        </w:tc>
        <w:tc>
          <w:tcPr>
            <w:tcW w:w="1885" w:type="dxa"/>
          </w:tcPr>
          <w:p>
            <w:pPr>
              <w:pStyle w:val="14"/>
              <w:spacing w:before="29"/>
              <w:ind w:left="289" w:right="283"/>
              <w:rPr>
                <w:sz w:val="21"/>
              </w:rPr>
            </w:pPr>
            <w:r>
              <w:rPr>
                <w:sz w:val="21"/>
              </w:rPr>
              <w:t>管理人员</w:t>
            </w:r>
          </w:p>
        </w:tc>
        <w:tc>
          <w:tcPr>
            <w:tcW w:w="873" w:type="dxa"/>
          </w:tcPr>
          <w:p>
            <w:pPr>
              <w:pStyle w:val="14"/>
              <w:spacing w:before="43"/>
              <w:ind w:left="204" w:right="195"/>
              <w:rPr>
                <w:rFonts w:ascii="Times New Roman"/>
                <w:sz w:val="21"/>
              </w:rPr>
            </w:pPr>
            <w:r>
              <w:rPr>
                <w:rFonts w:ascii="Times New Roman"/>
                <w:sz w:val="21"/>
              </w:rPr>
              <w:t>11</w:t>
            </w:r>
          </w:p>
        </w:tc>
        <w:tc>
          <w:tcPr>
            <w:tcW w:w="874" w:type="dxa"/>
          </w:tcPr>
          <w:p>
            <w:pPr>
              <w:pStyle w:val="14"/>
              <w:spacing w:before="43"/>
              <w:ind w:left="205" w:right="191"/>
              <w:rPr>
                <w:rFonts w:ascii="Times New Roman"/>
                <w:sz w:val="21"/>
              </w:rPr>
            </w:pPr>
            <w:r>
              <w:rPr>
                <w:rFonts w:ascii="Times New Roman"/>
                <w:sz w:val="21"/>
              </w:rPr>
              <w:t>11</w:t>
            </w:r>
          </w:p>
        </w:tc>
        <w:tc>
          <w:tcPr>
            <w:tcW w:w="873" w:type="dxa"/>
          </w:tcPr>
          <w:p>
            <w:pPr>
              <w:pStyle w:val="14"/>
              <w:spacing w:before="43"/>
              <w:ind w:left="204" w:right="194"/>
              <w:rPr>
                <w:rFonts w:ascii="Times New Roman"/>
                <w:sz w:val="21"/>
              </w:rPr>
            </w:pPr>
            <w:r>
              <w:rPr>
                <w:rFonts w:ascii="Times New Roman"/>
                <w:sz w:val="21"/>
              </w:rPr>
              <w:t>11</w:t>
            </w:r>
          </w:p>
        </w:tc>
        <w:tc>
          <w:tcPr>
            <w:tcW w:w="877" w:type="dxa"/>
          </w:tcPr>
          <w:p>
            <w:pPr>
              <w:pStyle w:val="14"/>
              <w:spacing w:before="43"/>
              <w:ind w:left="7"/>
              <w:rPr>
                <w:rFonts w:ascii="Times New Roman"/>
                <w:sz w:val="21"/>
              </w:rPr>
            </w:pPr>
            <w:r>
              <w:rPr>
                <w:rFonts w:ascii="Times New Roman"/>
                <w:w w:val="99"/>
                <w:sz w:val="21"/>
              </w:rPr>
              <w:t>8</w:t>
            </w:r>
          </w:p>
        </w:tc>
        <w:tc>
          <w:tcPr>
            <w:tcW w:w="994" w:type="dxa"/>
          </w:tcPr>
          <w:p>
            <w:pPr>
              <w:pStyle w:val="14"/>
              <w:spacing w:before="43"/>
              <w:ind w:right="380"/>
              <w:jc w:val="right"/>
              <w:rPr>
                <w:rFonts w:ascii="Times New Roman"/>
                <w:sz w:val="21"/>
              </w:rPr>
            </w:pPr>
            <w:r>
              <w:rPr>
                <w:rFonts w:ascii="Times New Roman"/>
                <w:sz w:val="21"/>
              </w:rPr>
              <w:t>41</w:t>
            </w:r>
          </w:p>
        </w:tc>
        <w:tc>
          <w:tcPr>
            <w:tcW w:w="992" w:type="dxa"/>
          </w:tcPr>
          <w:p>
            <w:pPr>
              <w:pStyle w:val="14"/>
              <w:spacing w:before="43"/>
              <w:ind w:left="364"/>
              <w:jc w:val="left"/>
              <w:rPr>
                <w:rFonts w:ascii="Times New Roman"/>
                <w:sz w:val="21"/>
              </w:rPr>
            </w:pPr>
            <w:r>
              <w:rPr>
                <w:rFonts w:ascii="Times New Roman"/>
                <w:sz w:val="21"/>
              </w:rPr>
              <w:t>1.0</w:t>
            </w:r>
          </w:p>
        </w:tc>
        <w:tc>
          <w:tcPr>
            <w:tcW w:w="995" w:type="dxa"/>
          </w:tcPr>
          <w:p>
            <w:pPr>
              <w:pStyle w:val="14"/>
              <w:spacing w:before="43"/>
              <w:ind w:left="317" w:right="310"/>
              <w:rPr>
                <w:rFonts w:ascii="Times New Roman"/>
                <w:sz w:val="21"/>
              </w:rPr>
            </w:pPr>
            <w:r>
              <w:rPr>
                <w:rFonts w:ascii="Times New Roman"/>
                <w:sz w:val="21"/>
              </w:rPr>
              <w:t>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923" w:type="dxa"/>
          </w:tcPr>
          <w:p>
            <w:pPr>
              <w:pStyle w:val="14"/>
              <w:spacing w:before="43"/>
              <w:ind w:left="7"/>
              <w:rPr>
                <w:rFonts w:ascii="Times New Roman"/>
                <w:sz w:val="21"/>
              </w:rPr>
            </w:pPr>
            <w:r>
              <w:rPr>
                <w:rFonts w:ascii="Times New Roman"/>
                <w:w w:val="99"/>
                <w:sz w:val="21"/>
              </w:rPr>
              <w:t>2</w:t>
            </w:r>
          </w:p>
        </w:tc>
        <w:tc>
          <w:tcPr>
            <w:tcW w:w="1885" w:type="dxa"/>
          </w:tcPr>
          <w:p>
            <w:pPr>
              <w:pStyle w:val="14"/>
              <w:spacing w:before="29"/>
              <w:ind w:left="289" w:right="283"/>
              <w:rPr>
                <w:sz w:val="21"/>
              </w:rPr>
            </w:pPr>
            <w:r>
              <w:rPr>
                <w:sz w:val="21"/>
              </w:rPr>
              <w:t>生产工人</w:t>
            </w:r>
          </w:p>
        </w:tc>
        <w:tc>
          <w:tcPr>
            <w:tcW w:w="873" w:type="dxa"/>
          </w:tcPr>
          <w:p>
            <w:pPr>
              <w:pStyle w:val="14"/>
              <w:spacing w:before="43"/>
              <w:ind w:left="204" w:right="192"/>
              <w:rPr>
                <w:rFonts w:ascii="Times New Roman"/>
                <w:sz w:val="21"/>
              </w:rPr>
            </w:pPr>
            <w:r>
              <w:rPr>
                <w:rFonts w:ascii="Times New Roman"/>
                <w:sz w:val="21"/>
              </w:rPr>
              <w:t>112</w:t>
            </w:r>
          </w:p>
        </w:tc>
        <w:tc>
          <w:tcPr>
            <w:tcW w:w="874" w:type="dxa"/>
          </w:tcPr>
          <w:p>
            <w:pPr>
              <w:pStyle w:val="14"/>
              <w:spacing w:before="43"/>
              <w:ind w:left="205" w:right="198"/>
              <w:rPr>
                <w:rFonts w:ascii="Times New Roman"/>
                <w:sz w:val="21"/>
              </w:rPr>
            </w:pPr>
            <w:r>
              <w:rPr>
                <w:rFonts w:ascii="Times New Roman"/>
                <w:sz w:val="21"/>
              </w:rPr>
              <w:t>112</w:t>
            </w:r>
          </w:p>
        </w:tc>
        <w:tc>
          <w:tcPr>
            <w:tcW w:w="873" w:type="dxa"/>
          </w:tcPr>
          <w:p>
            <w:pPr>
              <w:pStyle w:val="14"/>
              <w:spacing w:before="43"/>
              <w:ind w:left="204" w:right="192"/>
              <w:rPr>
                <w:rFonts w:ascii="Times New Roman"/>
                <w:sz w:val="21"/>
              </w:rPr>
            </w:pPr>
            <w:r>
              <w:rPr>
                <w:rFonts w:ascii="Times New Roman"/>
                <w:sz w:val="21"/>
              </w:rPr>
              <w:t>112</w:t>
            </w:r>
          </w:p>
        </w:tc>
        <w:tc>
          <w:tcPr>
            <w:tcW w:w="877" w:type="dxa"/>
          </w:tcPr>
          <w:p>
            <w:pPr>
              <w:pStyle w:val="14"/>
              <w:spacing w:before="43"/>
              <w:ind w:left="205" w:right="198"/>
              <w:rPr>
                <w:rFonts w:ascii="Times New Roman"/>
                <w:sz w:val="21"/>
              </w:rPr>
            </w:pPr>
            <w:r>
              <w:rPr>
                <w:rFonts w:ascii="Times New Roman"/>
                <w:sz w:val="21"/>
              </w:rPr>
              <w:t>78</w:t>
            </w:r>
          </w:p>
        </w:tc>
        <w:tc>
          <w:tcPr>
            <w:tcW w:w="994" w:type="dxa"/>
          </w:tcPr>
          <w:p>
            <w:pPr>
              <w:pStyle w:val="14"/>
              <w:spacing w:before="43"/>
              <w:ind w:right="327"/>
              <w:jc w:val="right"/>
              <w:rPr>
                <w:rFonts w:ascii="Times New Roman"/>
                <w:sz w:val="21"/>
              </w:rPr>
            </w:pPr>
            <w:r>
              <w:rPr>
                <w:rFonts w:ascii="Times New Roman"/>
                <w:sz w:val="21"/>
              </w:rPr>
              <w:t>414</w:t>
            </w:r>
          </w:p>
        </w:tc>
        <w:tc>
          <w:tcPr>
            <w:tcW w:w="992" w:type="dxa"/>
          </w:tcPr>
          <w:p>
            <w:pPr>
              <w:pStyle w:val="14"/>
              <w:jc w:val="left"/>
              <w:rPr>
                <w:rFonts w:ascii="Times New Roman"/>
                <w:sz w:val="22"/>
              </w:rPr>
            </w:pPr>
          </w:p>
        </w:tc>
        <w:tc>
          <w:tcPr>
            <w:tcW w:w="995" w:type="dxa"/>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923" w:type="dxa"/>
          </w:tcPr>
          <w:p>
            <w:pPr>
              <w:pStyle w:val="14"/>
              <w:spacing w:before="31"/>
              <w:ind w:left="178" w:right="169"/>
              <w:rPr>
                <w:sz w:val="21"/>
              </w:rPr>
            </w:pPr>
            <w:r>
              <w:rPr>
                <w:sz w:val="21"/>
              </w:rPr>
              <w:t>（</w:t>
            </w:r>
            <w:r>
              <w:rPr>
                <w:rFonts w:ascii="Times New Roman" w:eastAsia="Times New Roman"/>
                <w:sz w:val="21"/>
              </w:rPr>
              <w:t>1</w:t>
            </w:r>
            <w:r>
              <w:rPr>
                <w:sz w:val="21"/>
              </w:rPr>
              <w:t>）</w:t>
            </w:r>
          </w:p>
        </w:tc>
        <w:tc>
          <w:tcPr>
            <w:tcW w:w="1885" w:type="dxa"/>
          </w:tcPr>
          <w:p>
            <w:pPr>
              <w:pStyle w:val="14"/>
              <w:spacing w:before="31"/>
              <w:ind w:left="289" w:right="283"/>
              <w:rPr>
                <w:sz w:val="21"/>
              </w:rPr>
            </w:pPr>
            <w:r>
              <w:rPr>
                <w:sz w:val="21"/>
              </w:rPr>
              <w:t>井下工人</w:t>
            </w:r>
          </w:p>
        </w:tc>
        <w:tc>
          <w:tcPr>
            <w:tcW w:w="873" w:type="dxa"/>
          </w:tcPr>
          <w:p>
            <w:pPr>
              <w:pStyle w:val="14"/>
              <w:spacing w:before="45"/>
              <w:ind w:left="204" w:right="195"/>
              <w:rPr>
                <w:rFonts w:ascii="Times New Roman"/>
                <w:sz w:val="21"/>
              </w:rPr>
            </w:pPr>
            <w:r>
              <w:rPr>
                <w:rFonts w:ascii="Times New Roman"/>
                <w:sz w:val="21"/>
              </w:rPr>
              <w:t>95</w:t>
            </w:r>
          </w:p>
        </w:tc>
        <w:tc>
          <w:tcPr>
            <w:tcW w:w="874" w:type="dxa"/>
          </w:tcPr>
          <w:p>
            <w:pPr>
              <w:pStyle w:val="14"/>
              <w:spacing w:before="45"/>
              <w:ind w:left="205" w:right="195"/>
              <w:rPr>
                <w:rFonts w:ascii="Times New Roman"/>
                <w:sz w:val="21"/>
              </w:rPr>
            </w:pPr>
            <w:r>
              <w:rPr>
                <w:rFonts w:ascii="Times New Roman"/>
                <w:sz w:val="21"/>
              </w:rPr>
              <w:t>95</w:t>
            </w:r>
          </w:p>
        </w:tc>
        <w:tc>
          <w:tcPr>
            <w:tcW w:w="873" w:type="dxa"/>
          </w:tcPr>
          <w:p>
            <w:pPr>
              <w:pStyle w:val="14"/>
              <w:spacing w:before="45"/>
              <w:ind w:left="204" w:right="194"/>
              <w:rPr>
                <w:rFonts w:ascii="Times New Roman"/>
                <w:sz w:val="21"/>
              </w:rPr>
            </w:pPr>
            <w:r>
              <w:rPr>
                <w:rFonts w:ascii="Times New Roman"/>
                <w:sz w:val="21"/>
              </w:rPr>
              <w:t>95</w:t>
            </w:r>
          </w:p>
        </w:tc>
        <w:tc>
          <w:tcPr>
            <w:tcW w:w="877" w:type="dxa"/>
          </w:tcPr>
          <w:p>
            <w:pPr>
              <w:pStyle w:val="14"/>
              <w:spacing w:before="45"/>
              <w:ind w:left="205" w:right="198"/>
              <w:rPr>
                <w:rFonts w:ascii="Times New Roman"/>
                <w:sz w:val="21"/>
              </w:rPr>
            </w:pPr>
            <w:r>
              <w:rPr>
                <w:rFonts w:ascii="Times New Roman"/>
                <w:sz w:val="21"/>
              </w:rPr>
              <w:t>67</w:t>
            </w:r>
          </w:p>
        </w:tc>
        <w:tc>
          <w:tcPr>
            <w:tcW w:w="994" w:type="dxa"/>
          </w:tcPr>
          <w:p>
            <w:pPr>
              <w:pStyle w:val="14"/>
              <w:spacing w:before="45"/>
              <w:ind w:right="327"/>
              <w:jc w:val="right"/>
              <w:rPr>
                <w:rFonts w:ascii="Times New Roman"/>
                <w:sz w:val="21"/>
              </w:rPr>
            </w:pPr>
            <w:r>
              <w:rPr>
                <w:rFonts w:ascii="Times New Roman"/>
                <w:sz w:val="21"/>
              </w:rPr>
              <w:t>352</w:t>
            </w:r>
          </w:p>
        </w:tc>
        <w:tc>
          <w:tcPr>
            <w:tcW w:w="992" w:type="dxa"/>
          </w:tcPr>
          <w:p>
            <w:pPr>
              <w:pStyle w:val="14"/>
              <w:spacing w:before="45"/>
              <w:ind w:left="364"/>
              <w:jc w:val="left"/>
              <w:rPr>
                <w:rFonts w:ascii="Times New Roman"/>
                <w:sz w:val="21"/>
              </w:rPr>
            </w:pPr>
            <w:r>
              <w:rPr>
                <w:rFonts w:ascii="Times New Roman"/>
                <w:sz w:val="21"/>
              </w:rPr>
              <w:t>1.4</w:t>
            </w:r>
          </w:p>
        </w:tc>
        <w:tc>
          <w:tcPr>
            <w:tcW w:w="995" w:type="dxa"/>
          </w:tcPr>
          <w:p>
            <w:pPr>
              <w:pStyle w:val="14"/>
              <w:spacing w:before="45"/>
              <w:ind w:left="319" w:right="310"/>
              <w:rPr>
                <w:rFonts w:ascii="Times New Roman"/>
                <w:sz w:val="21"/>
              </w:rPr>
            </w:pPr>
            <w:r>
              <w:rPr>
                <w:rFonts w:ascii="Times New Roman"/>
                <w:sz w:val="21"/>
              </w:rPr>
              <w:t>493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923" w:type="dxa"/>
          </w:tcPr>
          <w:p>
            <w:pPr>
              <w:pStyle w:val="14"/>
              <w:spacing w:before="31"/>
              <w:ind w:left="178" w:right="169"/>
              <w:rPr>
                <w:sz w:val="21"/>
              </w:rPr>
            </w:pPr>
            <w:r>
              <w:rPr>
                <w:sz w:val="21"/>
              </w:rPr>
              <w:t>（</w:t>
            </w:r>
            <w:r>
              <w:rPr>
                <w:rFonts w:ascii="Times New Roman" w:eastAsia="Times New Roman"/>
                <w:sz w:val="21"/>
              </w:rPr>
              <w:t>2</w:t>
            </w:r>
            <w:r>
              <w:rPr>
                <w:sz w:val="21"/>
              </w:rPr>
              <w:t>）</w:t>
            </w:r>
          </w:p>
        </w:tc>
        <w:tc>
          <w:tcPr>
            <w:tcW w:w="1885" w:type="dxa"/>
          </w:tcPr>
          <w:p>
            <w:pPr>
              <w:pStyle w:val="14"/>
              <w:spacing w:before="31"/>
              <w:ind w:left="289" w:right="283"/>
              <w:rPr>
                <w:sz w:val="21"/>
              </w:rPr>
            </w:pPr>
            <w:r>
              <w:rPr>
                <w:sz w:val="21"/>
              </w:rPr>
              <w:t>地面工人</w:t>
            </w:r>
          </w:p>
        </w:tc>
        <w:tc>
          <w:tcPr>
            <w:tcW w:w="873" w:type="dxa"/>
          </w:tcPr>
          <w:p>
            <w:pPr>
              <w:pStyle w:val="14"/>
              <w:spacing w:before="45"/>
              <w:ind w:left="204" w:right="195"/>
              <w:rPr>
                <w:rFonts w:ascii="Times New Roman"/>
                <w:sz w:val="21"/>
              </w:rPr>
            </w:pPr>
            <w:r>
              <w:rPr>
                <w:rFonts w:ascii="Times New Roman"/>
                <w:sz w:val="21"/>
              </w:rPr>
              <w:t>17</w:t>
            </w:r>
          </w:p>
        </w:tc>
        <w:tc>
          <w:tcPr>
            <w:tcW w:w="874" w:type="dxa"/>
          </w:tcPr>
          <w:p>
            <w:pPr>
              <w:pStyle w:val="14"/>
              <w:spacing w:before="45"/>
              <w:ind w:left="205" w:right="195"/>
              <w:rPr>
                <w:rFonts w:ascii="Times New Roman"/>
                <w:sz w:val="21"/>
              </w:rPr>
            </w:pPr>
            <w:r>
              <w:rPr>
                <w:rFonts w:ascii="Times New Roman"/>
                <w:sz w:val="21"/>
              </w:rPr>
              <w:t>17</w:t>
            </w:r>
          </w:p>
        </w:tc>
        <w:tc>
          <w:tcPr>
            <w:tcW w:w="873" w:type="dxa"/>
          </w:tcPr>
          <w:p>
            <w:pPr>
              <w:pStyle w:val="14"/>
              <w:spacing w:before="45"/>
              <w:ind w:left="204" w:right="194"/>
              <w:rPr>
                <w:rFonts w:ascii="Times New Roman"/>
                <w:sz w:val="21"/>
              </w:rPr>
            </w:pPr>
            <w:r>
              <w:rPr>
                <w:rFonts w:ascii="Times New Roman"/>
                <w:sz w:val="21"/>
              </w:rPr>
              <w:t>17</w:t>
            </w:r>
          </w:p>
        </w:tc>
        <w:tc>
          <w:tcPr>
            <w:tcW w:w="877" w:type="dxa"/>
          </w:tcPr>
          <w:p>
            <w:pPr>
              <w:pStyle w:val="14"/>
              <w:spacing w:before="45"/>
              <w:ind w:left="205" w:right="193"/>
              <w:rPr>
                <w:rFonts w:ascii="Times New Roman"/>
                <w:sz w:val="21"/>
              </w:rPr>
            </w:pPr>
            <w:r>
              <w:rPr>
                <w:rFonts w:ascii="Times New Roman"/>
                <w:sz w:val="21"/>
              </w:rPr>
              <w:t>11</w:t>
            </w:r>
          </w:p>
        </w:tc>
        <w:tc>
          <w:tcPr>
            <w:tcW w:w="994" w:type="dxa"/>
          </w:tcPr>
          <w:p>
            <w:pPr>
              <w:pStyle w:val="14"/>
              <w:spacing w:before="45"/>
              <w:ind w:right="380"/>
              <w:jc w:val="right"/>
              <w:rPr>
                <w:rFonts w:ascii="Times New Roman"/>
                <w:sz w:val="21"/>
              </w:rPr>
            </w:pPr>
            <w:r>
              <w:rPr>
                <w:rFonts w:ascii="Times New Roman"/>
                <w:sz w:val="21"/>
              </w:rPr>
              <w:t>62</w:t>
            </w:r>
          </w:p>
        </w:tc>
        <w:tc>
          <w:tcPr>
            <w:tcW w:w="992" w:type="dxa"/>
          </w:tcPr>
          <w:p>
            <w:pPr>
              <w:pStyle w:val="14"/>
              <w:spacing w:before="45"/>
              <w:ind w:left="364"/>
              <w:jc w:val="left"/>
              <w:rPr>
                <w:rFonts w:ascii="Times New Roman"/>
                <w:sz w:val="21"/>
              </w:rPr>
            </w:pPr>
            <w:r>
              <w:rPr>
                <w:rFonts w:ascii="Times New Roman"/>
                <w:sz w:val="21"/>
              </w:rPr>
              <w:t>1.3</w:t>
            </w:r>
          </w:p>
        </w:tc>
        <w:tc>
          <w:tcPr>
            <w:tcW w:w="995" w:type="dxa"/>
          </w:tcPr>
          <w:p>
            <w:pPr>
              <w:pStyle w:val="14"/>
              <w:spacing w:before="45"/>
              <w:ind w:left="319" w:right="310"/>
              <w:rPr>
                <w:rFonts w:ascii="Times New Roman"/>
                <w:sz w:val="21"/>
              </w:rPr>
            </w:pPr>
            <w:r>
              <w:rPr>
                <w:rFonts w:ascii="Times New Roman"/>
                <w:sz w:val="21"/>
              </w:rPr>
              <w:t>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923" w:type="dxa"/>
          </w:tcPr>
          <w:p>
            <w:pPr>
              <w:pStyle w:val="14"/>
              <w:spacing w:before="30"/>
              <w:ind w:left="6"/>
              <w:rPr>
                <w:sz w:val="21"/>
              </w:rPr>
            </w:pPr>
            <w:r>
              <w:rPr>
                <w:w w:val="99"/>
                <w:sz w:val="21"/>
              </w:rPr>
              <w:t>二</w:t>
            </w:r>
          </w:p>
        </w:tc>
        <w:tc>
          <w:tcPr>
            <w:tcW w:w="1885" w:type="dxa"/>
          </w:tcPr>
          <w:p>
            <w:pPr>
              <w:pStyle w:val="14"/>
              <w:spacing w:before="30"/>
              <w:ind w:left="289" w:right="283"/>
              <w:rPr>
                <w:sz w:val="21"/>
              </w:rPr>
            </w:pPr>
            <w:r>
              <w:rPr>
                <w:sz w:val="21"/>
              </w:rPr>
              <w:t>服务人员</w:t>
            </w:r>
          </w:p>
        </w:tc>
        <w:tc>
          <w:tcPr>
            <w:tcW w:w="873" w:type="dxa"/>
          </w:tcPr>
          <w:p>
            <w:pPr>
              <w:pStyle w:val="14"/>
              <w:spacing w:before="44"/>
              <w:ind w:left="9"/>
              <w:rPr>
                <w:rFonts w:ascii="Times New Roman"/>
                <w:sz w:val="21"/>
              </w:rPr>
            </w:pPr>
            <w:r>
              <w:rPr>
                <w:rFonts w:ascii="Times New Roman"/>
                <w:w w:val="99"/>
                <w:sz w:val="21"/>
              </w:rPr>
              <w:t>9</w:t>
            </w:r>
          </w:p>
        </w:tc>
        <w:tc>
          <w:tcPr>
            <w:tcW w:w="874" w:type="dxa"/>
          </w:tcPr>
          <w:p>
            <w:pPr>
              <w:pStyle w:val="14"/>
              <w:spacing w:before="44"/>
              <w:ind w:left="10"/>
              <w:rPr>
                <w:rFonts w:ascii="Times New Roman"/>
                <w:sz w:val="21"/>
              </w:rPr>
            </w:pPr>
            <w:r>
              <w:rPr>
                <w:rFonts w:ascii="Times New Roman"/>
                <w:w w:val="99"/>
                <w:sz w:val="21"/>
              </w:rPr>
              <w:t>9</w:t>
            </w:r>
          </w:p>
        </w:tc>
        <w:tc>
          <w:tcPr>
            <w:tcW w:w="873" w:type="dxa"/>
          </w:tcPr>
          <w:p>
            <w:pPr>
              <w:pStyle w:val="14"/>
              <w:spacing w:before="44"/>
              <w:ind w:left="10"/>
              <w:rPr>
                <w:rFonts w:ascii="Times New Roman"/>
                <w:sz w:val="21"/>
              </w:rPr>
            </w:pPr>
            <w:r>
              <w:rPr>
                <w:rFonts w:ascii="Times New Roman"/>
                <w:w w:val="99"/>
                <w:sz w:val="21"/>
              </w:rPr>
              <w:t>9</w:t>
            </w:r>
          </w:p>
        </w:tc>
        <w:tc>
          <w:tcPr>
            <w:tcW w:w="877" w:type="dxa"/>
          </w:tcPr>
          <w:p>
            <w:pPr>
              <w:pStyle w:val="14"/>
              <w:spacing w:before="44"/>
              <w:ind w:left="7"/>
              <w:rPr>
                <w:rFonts w:ascii="Times New Roman"/>
                <w:sz w:val="21"/>
              </w:rPr>
            </w:pPr>
            <w:r>
              <w:rPr>
                <w:rFonts w:ascii="Times New Roman"/>
                <w:w w:val="99"/>
                <w:sz w:val="21"/>
              </w:rPr>
              <w:t>5</w:t>
            </w:r>
          </w:p>
        </w:tc>
        <w:tc>
          <w:tcPr>
            <w:tcW w:w="994" w:type="dxa"/>
          </w:tcPr>
          <w:p>
            <w:pPr>
              <w:pStyle w:val="14"/>
              <w:spacing w:before="44"/>
              <w:ind w:right="380"/>
              <w:jc w:val="right"/>
              <w:rPr>
                <w:rFonts w:ascii="Times New Roman"/>
                <w:sz w:val="21"/>
              </w:rPr>
            </w:pPr>
            <w:r>
              <w:rPr>
                <w:rFonts w:ascii="Times New Roman"/>
                <w:sz w:val="21"/>
              </w:rPr>
              <w:t>32</w:t>
            </w:r>
          </w:p>
        </w:tc>
        <w:tc>
          <w:tcPr>
            <w:tcW w:w="992" w:type="dxa"/>
          </w:tcPr>
          <w:p>
            <w:pPr>
              <w:pStyle w:val="14"/>
              <w:spacing w:before="44"/>
              <w:ind w:left="364"/>
              <w:jc w:val="left"/>
              <w:rPr>
                <w:rFonts w:ascii="Times New Roman"/>
                <w:sz w:val="21"/>
              </w:rPr>
            </w:pPr>
            <w:r>
              <w:rPr>
                <w:rFonts w:ascii="Times New Roman"/>
                <w:sz w:val="21"/>
              </w:rPr>
              <w:t>1.0</w:t>
            </w:r>
          </w:p>
        </w:tc>
        <w:tc>
          <w:tcPr>
            <w:tcW w:w="995" w:type="dxa"/>
          </w:tcPr>
          <w:p>
            <w:pPr>
              <w:pStyle w:val="14"/>
              <w:spacing w:before="44"/>
              <w:ind w:left="319" w:right="310"/>
              <w:rPr>
                <w:rFonts w:ascii="Times New Roman"/>
                <w:sz w:val="21"/>
              </w:rPr>
            </w:pPr>
            <w:r>
              <w:rPr>
                <w:rFonts w:ascii="Times New Roman"/>
                <w:sz w:val="21"/>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923" w:type="dxa"/>
          </w:tcPr>
          <w:p>
            <w:pPr>
              <w:pStyle w:val="14"/>
              <w:spacing w:before="30"/>
              <w:ind w:left="6"/>
              <w:rPr>
                <w:sz w:val="21"/>
              </w:rPr>
            </w:pPr>
            <w:r>
              <w:rPr>
                <w:w w:val="99"/>
                <w:sz w:val="21"/>
              </w:rPr>
              <w:t>三</w:t>
            </w:r>
          </w:p>
        </w:tc>
        <w:tc>
          <w:tcPr>
            <w:tcW w:w="1885" w:type="dxa"/>
          </w:tcPr>
          <w:p>
            <w:pPr>
              <w:pStyle w:val="14"/>
              <w:spacing w:before="30"/>
              <w:ind w:left="289" w:right="283"/>
              <w:rPr>
                <w:sz w:val="21"/>
              </w:rPr>
            </w:pPr>
            <w:r>
              <w:rPr>
                <w:sz w:val="21"/>
              </w:rPr>
              <w:t>其他人员</w:t>
            </w:r>
          </w:p>
        </w:tc>
        <w:tc>
          <w:tcPr>
            <w:tcW w:w="873" w:type="dxa"/>
          </w:tcPr>
          <w:p>
            <w:pPr>
              <w:pStyle w:val="14"/>
              <w:spacing w:before="44"/>
              <w:ind w:left="9"/>
              <w:rPr>
                <w:rFonts w:ascii="Times New Roman"/>
                <w:sz w:val="21"/>
              </w:rPr>
            </w:pPr>
            <w:r>
              <w:rPr>
                <w:rFonts w:ascii="Times New Roman"/>
                <w:w w:val="99"/>
                <w:sz w:val="21"/>
              </w:rPr>
              <w:t>5</w:t>
            </w:r>
          </w:p>
        </w:tc>
        <w:tc>
          <w:tcPr>
            <w:tcW w:w="874" w:type="dxa"/>
          </w:tcPr>
          <w:p>
            <w:pPr>
              <w:pStyle w:val="14"/>
              <w:spacing w:before="44"/>
              <w:ind w:left="10"/>
              <w:rPr>
                <w:rFonts w:ascii="Times New Roman"/>
                <w:sz w:val="21"/>
              </w:rPr>
            </w:pPr>
            <w:r>
              <w:rPr>
                <w:rFonts w:ascii="Times New Roman"/>
                <w:w w:val="99"/>
                <w:sz w:val="21"/>
              </w:rPr>
              <w:t>5</w:t>
            </w:r>
          </w:p>
        </w:tc>
        <w:tc>
          <w:tcPr>
            <w:tcW w:w="873" w:type="dxa"/>
          </w:tcPr>
          <w:p>
            <w:pPr>
              <w:pStyle w:val="14"/>
              <w:spacing w:before="44"/>
              <w:ind w:left="10"/>
              <w:rPr>
                <w:rFonts w:ascii="Times New Roman"/>
                <w:sz w:val="21"/>
              </w:rPr>
            </w:pPr>
            <w:r>
              <w:rPr>
                <w:rFonts w:ascii="Times New Roman"/>
                <w:w w:val="99"/>
                <w:sz w:val="21"/>
              </w:rPr>
              <w:t>5</w:t>
            </w:r>
          </w:p>
        </w:tc>
        <w:tc>
          <w:tcPr>
            <w:tcW w:w="877" w:type="dxa"/>
          </w:tcPr>
          <w:p>
            <w:pPr>
              <w:pStyle w:val="14"/>
              <w:spacing w:before="44"/>
              <w:ind w:left="7"/>
              <w:rPr>
                <w:rFonts w:ascii="Times New Roman"/>
                <w:sz w:val="21"/>
              </w:rPr>
            </w:pPr>
            <w:r>
              <w:rPr>
                <w:rFonts w:ascii="Times New Roman"/>
                <w:w w:val="99"/>
                <w:sz w:val="21"/>
              </w:rPr>
              <w:t>3</w:t>
            </w:r>
          </w:p>
        </w:tc>
        <w:tc>
          <w:tcPr>
            <w:tcW w:w="994" w:type="dxa"/>
          </w:tcPr>
          <w:p>
            <w:pPr>
              <w:pStyle w:val="14"/>
              <w:spacing w:before="44"/>
              <w:ind w:right="380"/>
              <w:jc w:val="right"/>
              <w:rPr>
                <w:rFonts w:ascii="Times New Roman"/>
                <w:sz w:val="21"/>
              </w:rPr>
            </w:pPr>
            <w:r>
              <w:rPr>
                <w:rFonts w:ascii="Times New Roman"/>
                <w:sz w:val="21"/>
              </w:rPr>
              <w:t>18</w:t>
            </w:r>
          </w:p>
        </w:tc>
        <w:tc>
          <w:tcPr>
            <w:tcW w:w="992" w:type="dxa"/>
          </w:tcPr>
          <w:p>
            <w:pPr>
              <w:pStyle w:val="14"/>
              <w:spacing w:before="44"/>
              <w:ind w:left="364"/>
              <w:jc w:val="left"/>
              <w:rPr>
                <w:rFonts w:ascii="Times New Roman"/>
                <w:sz w:val="21"/>
              </w:rPr>
            </w:pPr>
            <w:r>
              <w:rPr>
                <w:rFonts w:ascii="Times New Roman"/>
                <w:sz w:val="21"/>
              </w:rPr>
              <w:t>1.1</w:t>
            </w:r>
          </w:p>
        </w:tc>
        <w:tc>
          <w:tcPr>
            <w:tcW w:w="995" w:type="dxa"/>
          </w:tcPr>
          <w:p>
            <w:pPr>
              <w:pStyle w:val="14"/>
              <w:spacing w:before="44"/>
              <w:ind w:left="319" w:right="310"/>
              <w:rPr>
                <w:rFonts w:ascii="Times New Roman"/>
                <w:sz w:val="21"/>
              </w:rPr>
            </w:pPr>
            <w:r>
              <w:rPr>
                <w:rFonts w:ascii="Times New Roman"/>
                <w:sz w:val="21"/>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2808" w:type="dxa"/>
            <w:gridSpan w:val="2"/>
          </w:tcPr>
          <w:p>
            <w:pPr>
              <w:pStyle w:val="14"/>
              <w:spacing w:before="45"/>
              <w:ind w:left="1171" w:right="1166"/>
              <w:rPr>
                <w:sz w:val="21"/>
              </w:rPr>
            </w:pPr>
            <w:r>
              <w:rPr>
                <w:sz w:val="21"/>
              </w:rPr>
              <w:t>合计</w:t>
            </w:r>
          </w:p>
        </w:tc>
        <w:tc>
          <w:tcPr>
            <w:tcW w:w="873" w:type="dxa"/>
          </w:tcPr>
          <w:p>
            <w:pPr>
              <w:pStyle w:val="14"/>
              <w:spacing w:before="58"/>
              <w:ind w:left="204" w:right="195"/>
              <w:rPr>
                <w:rFonts w:ascii="Times New Roman"/>
                <w:sz w:val="21"/>
              </w:rPr>
            </w:pPr>
            <w:r>
              <w:rPr>
                <w:rFonts w:ascii="Times New Roman"/>
                <w:sz w:val="21"/>
              </w:rPr>
              <w:t>137</w:t>
            </w:r>
          </w:p>
        </w:tc>
        <w:tc>
          <w:tcPr>
            <w:tcW w:w="874" w:type="dxa"/>
          </w:tcPr>
          <w:p>
            <w:pPr>
              <w:pStyle w:val="14"/>
              <w:spacing w:before="58"/>
              <w:ind w:left="205" w:right="195"/>
              <w:rPr>
                <w:rFonts w:ascii="Times New Roman"/>
                <w:sz w:val="21"/>
              </w:rPr>
            </w:pPr>
            <w:r>
              <w:rPr>
                <w:rFonts w:ascii="Times New Roman"/>
                <w:sz w:val="21"/>
              </w:rPr>
              <w:t>137</w:t>
            </w:r>
          </w:p>
        </w:tc>
        <w:tc>
          <w:tcPr>
            <w:tcW w:w="873" w:type="dxa"/>
          </w:tcPr>
          <w:p>
            <w:pPr>
              <w:pStyle w:val="14"/>
              <w:spacing w:before="58"/>
              <w:ind w:left="204" w:right="194"/>
              <w:rPr>
                <w:rFonts w:ascii="Times New Roman"/>
                <w:sz w:val="21"/>
              </w:rPr>
            </w:pPr>
            <w:r>
              <w:rPr>
                <w:rFonts w:ascii="Times New Roman"/>
                <w:sz w:val="21"/>
              </w:rPr>
              <w:t>137</w:t>
            </w:r>
          </w:p>
        </w:tc>
        <w:tc>
          <w:tcPr>
            <w:tcW w:w="877" w:type="dxa"/>
          </w:tcPr>
          <w:p>
            <w:pPr>
              <w:pStyle w:val="14"/>
              <w:spacing w:before="58"/>
              <w:ind w:left="205" w:right="198"/>
              <w:rPr>
                <w:rFonts w:ascii="Times New Roman"/>
                <w:sz w:val="21"/>
              </w:rPr>
            </w:pPr>
            <w:r>
              <w:rPr>
                <w:rFonts w:ascii="Times New Roman"/>
                <w:sz w:val="21"/>
              </w:rPr>
              <w:t>94</w:t>
            </w:r>
          </w:p>
        </w:tc>
        <w:tc>
          <w:tcPr>
            <w:tcW w:w="994" w:type="dxa"/>
          </w:tcPr>
          <w:p>
            <w:pPr>
              <w:pStyle w:val="14"/>
              <w:spacing w:before="58"/>
              <w:ind w:right="327"/>
              <w:jc w:val="right"/>
              <w:rPr>
                <w:rFonts w:ascii="Times New Roman"/>
                <w:sz w:val="21"/>
              </w:rPr>
            </w:pPr>
            <w:r>
              <w:rPr>
                <w:rFonts w:ascii="Times New Roman"/>
                <w:sz w:val="21"/>
              </w:rPr>
              <w:t>505</w:t>
            </w:r>
          </w:p>
        </w:tc>
        <w:tc>
          <w:tcPr>
            <w:tcW w:w="992" w:type="dxa"/>
          </w:tcPr>
          <w:p>
            <w:pPr>
              <w:pStyle w:val="14"/>
              <w:jc w:val="left"/>
              <w:rPr>
                <w:rFonts w:ascii="Times New Roman"/>
                <w:sz w:val="22"/>
              </w:rPr>
            </w:pPr>
          </w:p>
        </w:tc>
        <w:tc>
          <w:tcPr>
            <w:tcW w:w="995" w:type="dxa"/>
          </w:tcPr>
          <w:p>
            <w:pPr>
              <w:pStyle w:val="14"/>
              <w:spacing w:before="58"/>
              <w:ind w:left="319" w:right="310"/>
              <w:rPr>
                <w:rFonts w:ascii="Times New Roman"/>
                <w:sz w:val="21"/>
              </w:rPr>
            </w:pPr>
            <w:r>
              <w:rPr>
                <w:rFonts w:ascii="Times New Roman"/>
                <w:sz w:val="21"/>
              </w:rPr>
              <w:t>665</w:t>
            </w:r>
          </w:p>
        </w:tc>
      </w:tr>
    </w:tbl>
    <w:p>
      <w:pPr>
        <w:spacing w:after="0"/>
        <w:rPr>
          <w:rFonts w:ascii="Times New Roman"/>
          <w:sz w:val="21"/>
        </w:rPr>
        <w:sectPr>
          <w:footerReference r:id="rId7" w:type="default"/>
          <w:pgSz w:w="11910" w:h="16840"/>
          <w:pgMar w:top="1080" w:right="720" w:bottom="1080" w:left="760" w:header="0" w:footer="891" w:gutter="0"/>
          <w:pgNumType w:start="3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45" name="组合 26"/>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44" name="直线 27"/>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26"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7toIu1AAAAAMBAAAPAAAAAAAAAAEAIAAAACIAAABkcnMvZG93bnJldi54bWxQ&#10;SwECFAAUAAAACACHTuJAx4vTezQCAAC2BAAADgAAAAAAAAABACAAAAAjAQAAZHJzL2Uyb0RvYy54&#10;bWxQSwUGAAAAAAYABgBZAQAAyQUAAAAA&#10;">
                <o:lock v:ext="edit" aspectratio="f"/>
                <v:line id="直线 27" o:spid="_x0000_s1026" o:spt="20" style="position:absolute;left:0;top:7;height:0;width:8306;" filled="f" stroked="t" coordsize="21600,21600" o:gfxdata="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Z7ka7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6"/>
        <w:spacing w:before="11"/>
        <w:rPr>
          <w:b/>
          <w:sz w:val="29"/>
        </w:rPr>
      </w:pPr>
    </w:p>
    <w:p>
      <w:pPr>
        <w:pStyle w:val="13"/>
        <w:numPr>
          <w:ilvl w:val="2"/>
          <w:numId w:val="16"/>
        </w:numPr>
        <w:tabs>
          <w:tab w:val="left" w:pos="1811"/>
        </w:tabs>
        <w:spacing w:before="73" w:after="0" w:line="240" w:lineRule="auto"/>
        <w:ind w:left="1810" w:right="0" w:hanging="771"/>
        <w:jc w:val="left"/>
        <w:rPr>
          <w:b/>
          <w:sz w:val="28"/>
        </w:rPr>
      </w:pPr>
      <w:r>
        <w:rPr>
          <w:b/>
          <w:sz w:val="28"/>
        </w:rPr>
        <w:t>项目实施计划</w:t>
      </w:r>
    </w:p>
    <w:p>
      <w:pPr>
        <w:pStyle w:val="6"/>
        <w:spacing w:before="212"/>
        <w:ind w:left="452" w:right="12"/>
        <w:jc w:val="center"/>
      </w:pPr>
      <w:r>
        <w:t xml:space="preserve">根据矿井建设工期安排，项目总工期 </w:t>
      </w:r>
      <w:r>
        <w:rPr>
          <w:rFonts w:ascii="Times New Roman" w:eastAsia="Times New Roman"/>
        </w:rPr>
        <w:t xml:space="preserve">26.5 </w:t>
      </w:r>
      <w:r>
        <w:t xml:space="preserve">个月，井巷工程 </w:t>
      </w:r>
      <w:r>
        <w:rPr>
          <w:rFonts w:ascii="Times New Roman" w:eastAsia="Times New Roman"/>
        </w:rPr>
        <w:t xml:space="preserve">21 </w:t>
      </w:r>
      <w:r>
        <w:t>个月，设备安</w:t>
      </w:r>
    </w:p>
    <w:p>
      <w:pPr>
        <w:pStyle w:val="6"/>
        <w:spacing w:before="160"/>
        <w:ind w:left="1040"/>
      </w:pPr>
      <w:r>
        <w:t xml:space="preserve">装施工期 </w:t>
      </w:r>
      <w:r>
        <w:rPr>
          <w:rFonts w:ascii="Times New Roman" w:eastAsia="Times New Roman"/>
        </w:rPr>
        <w:t xml:space="preserve">1.5 </w:t>
      </w:r>
      <w:r>
        <w:t xml:space="preserve">个月，施工准备期 </w:t>
      </w:r>
      <w:r>
        <w:rPr>
          <w:rFonts w:ascii="Times New Roman" w:eastAsia="Times New Roman"/>
        </w:rPr>
        <w:t xml:space="preserve">1 </w:t>
      </w:r>
      <w:r>
        <w:t xml:space="preserve">个月，安装和调试时间为 </w:t>
      </w:r>
      <w:r>
        <w:rPr>
          <w:rFonts w:ascii="Times New Roman" w:eastAsia="Times New Roman"/>
        </w:rPr>
        <w:t xml:space="preserve">1.5 </w:t>
      </w:r>
      <w:r>
        <w:t>个月。井筒安装、</w:t>
      </w:r>
    </w:p>
    <w:p>
      <w:pPr>
        <w:pStyle w:val="6"/>
        <w:spacing w:before="161"/>
        <w:ind w:left="1040"/>
      </w:pPr>
      <w:r>
        <w:t xml:space="preserve">联合试运转及移交验收期 </w:t>
      </w:r>
      <w:r>
        <w:rPr>
          <w:rFonts w:ascii="Times New Roman" w:eastAsia="Times New Roman"/>
        </w:rPr>
        <w:t xml:space="preserve">1.5 </w:t>
      </w:r>
      <w:r>
        <w:t>个月。</w:t>
      </w:r>
    </w:p>
    <w:p>
      <w:pPr>
        <w:pStyle w:val="4"/>
        <w:numPr>
          <w:ilvl w:val="2"/>
          <w:numId w:val="16"/>
        </w:numPr>
        <w:tabs>
          <w:tab w:val="left" w:pos="1794"/>
        </w:tabs>
        <w:spacing w:before="214" w:after="0" w:line="240" w:lineRule="auto"/>
        <w:ind w:left="1793" w:right="0" w:hanging="754"/>
        <w:jc w:val="left"/>
      </w:pPr>
      <w:r>
        <w:t>工程总投资及资金筹措</w:t>
      </w:r>
    </w:p>
    <w:p>
      <w:pPr>
        <w:tabs>
          <w:tab w:val="left" w:pos="4152"/>
        </w:tabs>
        <w:spacing w:before="211" w:line="304" w:lineRule="auto"/>
        <w:ind w:left="3113" w:right="1384" w:hanging="1594"/>
        <w:jc w:val="left"/>
        <w:rPr>
          <w:b/>
          <w:sz w:val="24"/>
        </w:rPr>
      </w:pPr>
      <w:r>
        <mc:AlternateContent>
          <mc:Choice Requires="wps">
            <w:drawing>
              <wp:anchor distT="0" distB="0" distL="114300" distR="114300" simplePos="0" relativeHeight="251675648" behindDoc="0" locked="0" layoutInCell="1" allowOverlap="1">
                <wp:simplePos x="0" y="0"/>
                <wp:positionH relativeFrom="page">
                  <wp:posOffset>826770</wp:posOffset>
                </wp:positionH>
                <wp:positionV relativeFrom="paragraph">
                  <wp:posOffset>577850</wp:posOffset>
                </wp:positionV>
                <wp:extent cx="5910580" cy="6640195"/>
                <wp:effectExtent l="0" t="0" r="0" b="0"/>
                <wp:wrapNone/>
                <wp:docPr id="243" name="文本框 28"/>
                <wp:cNvGraphicFramePr/>
                <a:graphic xmlns:a="http://schemas.openxmlformats.org/drawingml/2006/main">
                  <a:graphicData uri="http://schemas.microsoft.com/office/word/2010/wordprocessingShape">
                    <wps:wsp>
                      <wps:cNvSpPr txBox="1"/>
                      <wps:spPr>
                        <a:xfrm>
                          <a:off x="0" y="0"/>
                          <a:ext cx="5910580" cy="6640195"/>
                        </a:xfrm>
                        <a:prstGeom prst="rect">
                          <a:avLst/>
                        </a:prstGeom>
                        <a:noFill/>
                        <a:ln>
                          <a:noFill/>
                        </a:ln>
                      </wps:spPr>
                      <wps:txbx>
                        <w:txbxContent>
                          <w:tbl>
                            <w:tblPr>
                              <w:tblStyle w:val="10"/>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04"/>
                              <w:gridCol w:w="2608"/>
                              <w:gridCol w:w="891"/>
                              <w:gridCol w:w="3556"/>
                              <w:gridCol w:w="12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bottom w:val="single" w:color="000000" w:sz="4" w:space="0"/>
                                    <w:right w:val="single" w:color="000000" w:sz="4" w:space="0"/>
                                  </w:tcBorders>
                                </w:tcPr>
                                <w:p>
                                  <w:pPr>
                                    <w:pStyle w:val="14"/>
                                    <w:spacing w:before="2" w:line="250" w:lineRule="exact"/>
                                    <w:ind w:right="281"/>
                                    <w:jc w:val="right"/>
                                    <w:rPr>
                                      <w:sz w:val="21"/>
                                    </w:rPr>
                                  </w:pPr>
                                  <w:r>
                                    <w:rPr>
                                      <w:w w:val="95"/>
                                      <w:sz w:val="21"/>
                                    </w:rPr>
                                    <w:t>序号</w:t>
                                  </w:r>
                                </w:p>
                              </w:tc>
                              <w:tc>
                                <w:tcPr>
                                  <w:tcW w:w="2608" w:type="dxa"/>
                                  <w:tcBorders>
                                    <w:left w:val="single" w:color="000000" w:sz="4" w:space="0"/>
                                    <w:bottom w:val="single" w:color="000000" w:sz="4" w:space="0"/>
                                    <w:right w:val="single" w:color="000000" w:sz="4" w:space="0"/>
                                  </w:tcBorders>
                                </w:tcPr>
                                <w:p>
                                  <w:pPr>
                                    <w:pStyle w:val="14"/>
                                    <w:spacing w:before="2" w:line="250" w:lineRule="exact"/>
                                    <w:ind w:left="43" w:right="34"/>
                                    <w:rPr>
                                      <w:sz w:val="21"/>
                                    </w:rPr>
                                  </w:pPr>
                                  <w:r>
                                    <w:rPr>
                                      <w:sz w:val="21"/>
                                    </w:rPr>
                                    <w:t>指标名称</w:t>
                                  </w:r>
                                </w:p>
                              </w:tc>
                              <w:tc>
                                <w:tcPr>
                                  <w:tcW w:w="891" w:type="dxa"/>
                                  <w:tcBorders>
                                    <w:left w:val="single" w:color="000000" w:sz="4" w:space="0"/>
                                    <w:bottom w:val="single" w:color="000000" w:sz="4" w:space="0"/>
                                    <w:right w:val="single" w:color="000000" w:sz="4" w:space="0"/>
                                  </w:tcBorders>
                                </w:tcPr>
                                <w:p>
                                  <w:pPr>
                                    <w:pStyle w:val="14"/>
                                    <w:spacing w:before="2" w:line="250" w:lineRule="exact"/>
                                    <w:ind w:left="237"/>
                                    <w:jc w:val="left"/>
                                    <w:rPr>
                                      <w:sz w:val="21"/>
                                    </w:rPr>
                                  </w:pPr>
                                  <w:r>
                                    <w:rPr>
                                      <w:sz w:val="21"/>
                                    </w:rPr>
                                    <w:t>单位</w:t>
                                  </w:r>
                                </w:p>
                              </w:tc>
                              <w:tc>
                                <w:tcPr>
                                  <w:tcW w:w="3556" w:type="dxa"/>
                                  <w:tcBorders>
                                    <w:left w:val="single" w:color="000000" w:sz="4" w:space="0"/>
                                    <w:bottom w:val="single" w:color="000000" w:sz="4" w:space="0"/>
                                    <w:right w:val="single" w:color="000000" w:sz="4" w:space="0"/>
                                  </w:tcBorders>
                                </w:tcPr>
                                <w:p>
                                  <w:pPr>
                                    <w:pStyle w:val="14"/>
                                    <w:spacing w:before="2" w:line="250" w:lineRule="exact"/>
                                    <w:ind w:left="10"/>
                                    <w:rPr>
                                      <w:sz w:val="21"/>
                                    </w:rPr>
                                  </w:pPr>
                                  <w:r>
                                    <w:rPr>
                                      <w:sz w:val="21"/>
                                    </w:rPr>
                                    <w:t>指标</w:t>
                                  </w:r>
                                </w:p>
                              </w:tc>
                              <w:tc>
                                <w:tcPr>
                                  <w:tcW w:w="1227" w:type="dxa"/>
                                  <w:tcBorders>
                                    <w:left w:val="single" w:color="000000" w:sz="4" w:space="0"/>
                                    <w:bottom w:val="single" w:color="000000" w:sz="4" w:space="0"/>
                                  </w:tcBorders>
                                </w:tcPr>
                                <w:p>
                                  <w:pPr>
                                    <w:pStyle w:val="14"/>
                                    <w:spacing w:before="2" w:line="250" w:lineRule="exact"/>
                                    <w:ind w:left="405"/>
                                    <w:jc w:val="left"/>
                                    <w:rPr>
                                      <w:sz w:val="21"/>
                                    </w:rPr>
                                  </w:pPr>
                                  <w:r>
                                    <w:rPr>
                                      <w:sz w:val="21"/>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004" w:type="dxa"/>
                                  <w:tcBorders>
                                    <w:top w:val="single" w:color="000000" w:sz="4" w:space="0"/>
                                    <w:bottom w:val="single" w:color="000000" w:sz="4" w:space="0"/>
                                    <w:right w:val="single" w:color="000000" w:sz="4" w:space="0"/>
                                  </w:tcBorders>
                                </w:tcPr>
                                <w:p>
                                  <w:pPr>
                                    <w:pStyle w:val="14"/>
                                    <w:spacing w:before="14" w:line="238" w:lineRule="exact"/>
                                    <w:ind w:left="10"/>
                                    <w:rPr>
                                      <w:rFonts w:ascii="Times New Roman"/>
                                      <w:sz w:val="21"/>
                                    </w:rPr>
                                  </w:pPr>
                                  <w:r>
                                    <w:rPr>
                                      <w:rFonts w:ascii="Times New Roman"/>
                                      <w:w w:val="99"/>
                                      <w:sz w:val="21"/>
                                    </w:rPr>
                                    <w:t>1</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3" w:right="34"/>
                                    <w:rPr>
                                      <w:sz w:val="21"/>
                                    </w:rPr>
                                  </w:pPr>
                                  <w:r>
                                    <w:rPr>
                                      <w:sz w:val="21"/>
                                    </w:rPr>
                                    <w:t>井田范围</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04" w:type="dxa"/>
                                  <w:tcBorders>
                                    <w:top w:val="single" w:color="000000" w:sz="4" w:space="0"/>
                                    <w:bottom w:val="single" w:color="000000" w:sz="4" w:space="0"/>
                                    <w:right w:val="single" w:color="000000" w:sz="4" w:space="0"/>
                                  </w:tcBorders>
                                </w:tcPr>
                                <w:p>
                                  <w:pPr>
                                    <w:pStyle w:val="14"/>
                                    <w:spacing w:line="251"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1" w:lineRule="exact"/>
                                    <w:ind w:left="46" w:right="34"/>
                                    <w:rPr>
                                      <w:sz w:val="21"/>
                                    </w:rPr>
                                  </w:pPr>
                                  <w:r>
                                    <w:rPr>
                                      <w:sz w:val="21"/>
                                    </w:rPr>
                                    <w:t>平均走向长度</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4" w:line="237" w:lineRule="exact"/>
                                    <w:ind w:left="289" w:right="280"/>
                                    <w:rPr>
                                      <w:rFonts w:ascii="Times New Roman"/>
                                      <w:sz w:val="21"/>
                                    </w:rPr>
                                  </w:pPr>
                                  <w:r>
                                    <w:rPr>
                                      <w:rFonts w:ascii="Times New Roman"/>
                                      <w:sz w:val="21"/>
                                    </w:rPr>
                                    <w:t>km</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7" w:lineRule="exact"/>
                                    <w:ind w:left="16"/>
                                    <w:rPr>
                                      <w:rFonts w:ascii="Times New Roman"/>
                                      <w:sz w:val="21"/>
                                    </w:rPr>
                                  </w:pPr>
                                  <w:r>
                                    <w:rPr>
                                      <w:rFonts w:ascii="Times New Roman"/>
                                      <w:sz w:val="21"/>
                                    </w:rPr>
                                    <w:t>1.858</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2" w:line="250"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2" w:line="250" w:lineRule="exact"/>
                                    <w:ind w:left="46" w:right="34"/>
                                    <w:rPr>
                                      <w:sz w:val="21"/>
                                    </w:rPr>
                                  </w:pPr>
                                  <w:r>
                                    <w:rPr>
                                      <w:sz w:val="21"/>
                                    </w:rPr>
                                    <w:t>平均倾向长度</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6" w:line="236" w:lineRule="exact"/>
                                    <w:ind w:left="289" w:right="280"/>
                                    <w:rPr>
                                      <w:rFonts w:ascii="Times New Roman"/>
                                      <w:sz w:val="21"/>
                                    </w:rPr>
                                  </w:pPr>
                                  <w:r>
                                    <w:rPr>
                                      <w:rFonts w:ascii="Times New Roman"/>
                                      <w:sz w:val="21"/>
                                    </w:rPr>
                                    <w:t>km</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6" w:line="236" w:lineRule="exact"/>
                                    <w:ind w:left="16"/>
                                    <w:rPr>
                                      <w:rFonts w:ascii="Times New Roman"/>
                                      <w:sz w:val="21"/>
                                    </w:rPr>
                                  </w:pPr>
                                  <w:r>
                                    <w:rPr>
                                      <w:rFonts w:ascii="Times New Roman"/>
                                      <w:sz w:val="21"/>
                                    </w:rPr>
                                    <w:t>1.840</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3</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3" w:right="34"/>
                                    <w:rPr>
                                      <w:sz w:val="21"/>
                                    </w:rPr>
                                  </w:pPr>
                                  <w:r>
                                    <w:rPr>
                                      <w:sz w:val="21"/>
                                    </w:rPr>
                                    <w:t>井田面积</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4" w:line="238" w:lineRule="exact"/>
                                    <w:ind w:left="261"/>
                                    <w:jc w:val="left"/>
                                    <w:rPr>
                                      <w:rFonts w:ascii="Times New Roman"/>
                                      <w:sz w:val="21"/>
                                    </w:rPr>
                                  </w:pPr>
                                  <w:r>
                                    <w:rPr>
                                      <w:rFonts w:ascii="Times New Roman"/>
                                      <w:sz w:val="21"/>
                                    </w:rPr>
                                    <w:t>km2</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8" w:lineRule="exact"/>
                                    <w:ind w:left="11"/>
                                    <w:rPr>
                                      <w:rFonts w:ascii="Times New Roman"/>
                                      <w:sz w:val="21"/>
                                    </w:rPr>
                                  </w:pPr>
                                  <w:r>
                                    <w:rPr>
                                      <w:rFonts w:ascii="Times New Roman"/>
                                      <w:sz w:val="21"/>
                                    </w:rPr>
                                    <w:t>3.4197</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5" w:line="237" w:lineRule="exact"/>
                                    <w:ind w:left="10"/>
                                    <w:rPr>
                                      <w:rFonts w:ascii="Times New Roman"/>
                                      <w:sz w:val="21"/>
                                    </w:rPr>
                                  </w:pPr>
                                  <w:r>
                                    <w:rPr>
                                      <w:rFonts w:ascii="Times New Roman"/>
                                      <w:w w:val="99"/>
                                      <w:sz w:val="21"/>
                                    </w:rPr>
                                    <w:t>2</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6" w:right="34"/>
                                    <w:rPr>
                                      <w:sz w:val="21"/>
                                    </w:rPr>
                                  </w:pPr>
                                  <w:r>
                                    <w:rPr>
                                      <w:sz w:val="21"/>
                                    </w:rPr>
                                    <w:t>煤层</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4" w:hRule="atLeast"/>
                              </w:trPr>
                              <w:tc>
                                <w:tcPr>
                                  <w:tcW w:w="1004" w:type="dxa"/>
                                  <w:tcBorders>
                                    <w:top w:val="single" w:color="000000" w:sz="4" w:space="0"/>
                                    <w:bottom w:val="single" w:color="000000" w:sz="4" w:space="0"/>
                                    <w:right w:val="single" w:color="000000" w:sz="4" w:space="0"/>
                                  </w:tcBorders>
                                </w:tcPr>
                                <w:p>
                                  <w:pPr>
                                    <w:pStyle w:val="14"/>
                                    <w:spacing w:before="7" w:line="258"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7" w:line="258" w:lineRule="exact"/>
                                    <w:ind w:left="48" w:right="34"/>
                                    <w:rPr>
                                      <w:sz w:val="21"/>
                                    </w:rPr>
                                  </w:pPr>
                                  <w:r>
                                    <w:rPr>
                                      <w:sz w:val="21"/>
                                    </w:rPr>
                                    <w:t>可采煤层数</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7" w:line="258" w:lineRule="exact"/>
                                    <w:ind w:left="10"/>
                                    <w:rPr>
                                      <w:sz w:val="21"/>
                                    </w:rPr>
                                  </w:pPr>
                                  <w:r>
                                    <w:rPr>
                                      <w:w w:val="99"/>
                                      <w:sz w:val="21"/>
                                    </w:rPr>
                                    <w:t>层</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21"/>
                                    <w:ind w:left="13"/>
                                    <w:rPr>
                                      <w:rFonts w:ascii="Times New Roman"/>
                                      <w:sz w:val="21"/>
                                    </w:rPr>
                                  </w:pPr>
                                  <w:r>
                                    <w:rPr>
                                      <w:rFonts w:ascii="Times New Roman"/>
                                      <w:w w:val="99"/>
                                      <w:sz w:val="21"/>
                                    </w:rPr>
                                    <w:t>4</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sz w:val="21"/>
                                    </w:rPr>
                                    <w:t>可采煤层总厚度</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4" w:line="238" w:lineRule="exact"/>
                                    <w:ind w:left="11"/>
                                    <w:rPr>
                                      <w:rFonts w:ascii="Times New Roman"/>
                                      <w:sz w:val="21"/>
                                    </w:rPr>
                                  </w:pPr>
                                  <w:r>
                                    <w:rPr>
                                      <w:rFonts w:ascii="Times New Roman"/>
                                      <w:w w:val="99"/>
                                      <w:sz w:val="21"/>
                                    </w:rPr>
                                    <w:t>m</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8" w:lineRule="exact"/>
                                    <w:ind w:left="13"/>
                                    <w:rPr>
                                      <w:rFonts w:ascii="Times New Roman"/>
                                      <w:sz w:val="21"/>
                                    </w:rPr>
                                  </w:pPr>
                                  <w:r>
                                    <w:rPr>
                                      <w:rFonts w:ascii="Times New Roman"/>
                                      <w:sz w:val="21"/>
                                    </w:rPr>
                                    <w:t>3.33</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004" w:type="dxa"/>
                                  <w:tcBorders>
                                    <w:top w:val="single" w:color="000000" w:sz="4" w:space="0"/>
                                    <w:bottom w:val="single" w:color="000000" w:sz="4" w:space="0"/>
                                    <w:right w:val="single" w:color="000000" w:sz="4" w:space="0"/>
                                  </w:tcBorders>
                                </w:tcPr>
                                <w:p>
                                  <w:pPr>
                                    <w:pStyle w:val="14"/>
                                    <w:spacing w:before="1" w:line="252" w:lineRule="exact"/>
                                    <w:ind w:right="227"/>
                                    <w:jc w:val="right"/>
                                    <w:rPr>
                                      <w:sz w:val="21"/>
                                    </w:rPr>
                                  </w:pPr>
                                  <w:r>
                                    <w:rPr>
                                      <w:sz w:val="21"/>
                                    </w:rPr>
                                    <w:t>（</w:t>
                                  </w:r>
                                  <w:r>
                                    <w:rPr>
                                      <w:rFonts w:ascii="Times New Roman" w:eastAsia="Times New Roman"/>
                                      <w:sz w:val="21"/>
                                    </w:rPr>
                                    <w:t>3</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43" w:right="34"/>
                                    <w:rPr>
                                      <w:sz w:val="21"/>
                                    </w:rPr>
                                  </w:pPr>
                                  <w:r>
                                    <w:rPr>
                                      <w:sz w:val="21"/>
                                    </w:rPr>
                                    <w:t>煤层倾角</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196"/>
                                    <w:jc w:val="left"/>
                                    <w:rPr>
                                      <w:sz w:val="21"/>
                                    </w:rPr>
                                  </w:pPr>
                                  <w:r>
                                    <w:rPr>
                                      <w:sz w:val="21"/>
                                    </w:rPr>
                                    <w:t>（</w:t>
                                  </w:r>
                                  <w:r>
                                    <w:rPr>
                                      <w:rFonts w:ascii="Times New Roman" w:hAnsi="Times New Roman" w:eastAsia="Times New Roman"/>
                                      <w:sz w:val="21"/>
                                    </w:rPr>
                                    <w:t>°</w:t>
                                  </w:r>
                                  <w:r>
                                    <w:rPr>
                                      <w:sz w:val="21"/>
                                    </w:rPr>
                                    <w: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5" w:line="238" w:lineRule="exact"/>
                                    <w:ind w:left="16"/>
                                    <w:rPr>
                                      <w:rFonts w:ascii="Times New Roman"/>
                                      <w:sz w:val="21"/>
                                    </w:rPr>
                                  </w:pPr>
                                  <w:r>
                                    <w:rPr>
                                      <w:rFonts w:ascii="Times New Roman"/>
                                      <w:sz w:val="21"/>
                                    </w:rPr>
                                    <w:t>18~55</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04" w:type="dxa"/>
                                  <w:tcBorders>
                                    <w:top w:val="single" w:color="000000" w:sz="4" w:space="0"/>
                                    <w:bottom w:val="single" w:color="000000" w:sz="4" w:space="0"/>
                                    <w:right w:val="single" w:color="000000" w:sz="4" w:space="0"/>
                                  </w:tcBorders>
                                </w:tcPr>
                                <w:p>
                                  <w:pPr>
                                    <w:pStyle w:val="14"/>
                                    <w:spacing w:before="13" w:line="239" w:lineRule="exact"/>
                                    <w:ind w:left="10"/>
                                    <w:rPr>
                                      <w:rFonts w:ascii="Times New Roman"/>
                                      <w:sz w:val="21"/>
                                    </w:rPr>
                                  </w:pPr>
                                  <w:r>
                                    <w:rPr>
                                      <w:rFonts w:ascii="Times New Roman"/>
                                      <w:w w:val="99"/>
                                      <w:sz w:val="21"/>
                                    </w:rPr>
                                    <w:t>3</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sz w:val="21"/>
                                    </w:rPr>
                                    <w:t>资源</w:t>
                                  </w:r>
                                  <w:r>
                                    <w:rPr>
                                      <w:rFonts w:ascii="Times New Roman" w:eastAsia="Times New Roman"/>
                                      <w:sz w:val="21"/>
                                    </w:rPr>
                                    <w:t>/</w:t>
                                  </w:r>
                                  <w:r>
                                    <w:rPr>
                                      <w:sz w:val="21"/>
                                    </w:rPr>
                                    <w:t>储量</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4" w:line="238" w:lineRule="exact"/>
                                    <w:ind w:left="358" w:right="347"/>
                                    <w:rPr>
                                      <w:rFonts w:ascii="Times New Roman"/>
                                      <w:sz w:val="21"/>
                                    </w:rPr>
                                  </w:pPr>
                                  <w:r>
                                    <w:rPr>
                                      <w:rFonts w:ascii="Times New Roman"/>
                                      <w:sz w:val="21"/>
                                    </w:rPr>
                                    <w:t>(1)</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8" w:right="34"/>
                                    <w:rPr>
                                      <w:sz w:val="21"/>
                                    </w:rPr>
                                  </w:pPr>
                                  <w:r>
                                    <w:rPr>
                                      <w:sz w:val="21"/>
                                    </w:rPr>
                                    <w:t>地质资源量</w:t>
                                  </w:r>
                                </w:p>
                              </w:tc>
                              <w:tc>
                                <w:tcPr>
                                  <w:tcW w:w="891" w:type="dxa"/>
                                  <w:tcBorders>
                                    <w:top w:val="single" w:color="000000" w:sz="4" w:space="0"/>
                                    <w:left w:val="single" w:color="000000" w:sz="4" w:space="0"/>
                                    <w:bottom w:val="single" w:color="000000" w:sz="4" w:space="0"/>
                                    <w:right w:val="single" w:color="000000" w:sz="4" w:space="0"/>
                                  </w:tcBorders>
                                </w:tcPr>
                                <w:p>
                                  <w:pPr>
                                    <w:pStyle w:val="14"/>
                                    <w:spacing w:line="252" w:lineRule="exact"/>
                                    <w:ind w:left="288"/>
                                    <w:jc w:val="left"/>
                                    <w:rPr>
                                      <w:rFonts w:ascii="Times New Roman" w:eastAsia="Times New Roman"/>
                                      <w:sz w:val="21"/>
                                    </w:rPr>
                                  </w:pPr>
                                  <w:r>
                                    <w:rPr>
                                      <w:sz w:val="21"/>
                                    </w:rPr>
                                    <w:t xml:space="preserve">万 </w:t>
                                  </w:r>
                                  <w:r>
                                    <w:rPr>
                                      <w:rFonts w:ascii="Times New Roman" w:eastAsia="Times New Roman"/>
                                      <w:sz w:val="21"/>
                                    </w:rPr>
                                    <w:t>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8" w:lineRule="exact"/>
                                    <w:ind w:left="11"/>
                                    <w:rPr>
                                      <w:rFonts w:ascii="Times New Roman"/>
                                      <w:sz w:val="21"/>
                                    </w:rPr>
                                  </w:pPr>
                                  <w:r>
                                    <w:rPr>
                                      <w:rFonts w:ascii="Times New Roman"/>
                                      <w:sz w:val="21"/>
                                    </w:rPr>
                                    <w:t>991.28</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 w:line="252"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46" w:right="34"/>
                                    <w:rPr>
                                      <w:sz w:val="21"/>
                                    </w:rPr>
                                  </w:pPr>
                                  <w:r>
                                    <w:rPr>
                                      <w:sz w:val="21"/>
                                    </w:rPr>
                                    <w:t>工业资源</w:t>
                                  </w:r>
                                  <w:r>
                                    <w:rPr>
                                      <w:rFonts w:ascii="Times New Roman" w:eastAsia="Times New Roman"/>
                                      <w:sz w:val="21"/>
                                    </w:rPr>
                                    <w:t>/</w:t>
                                  </w:r>
                                  <w:r>
                                    <w:rPr>
                                      <w:sz w:val="21"/>
                                    </w:rPr>
                                    <w:t>储量</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288"/>
                                    <w:jc w:val="left"/>
                                    <w:rPr>
                                      <w:rFonts w:ascii="Times New Roman" w:eastAsia="Times New Roman"/>
                                      <w:sz w:val="21"/>
                                    </w:rPr>
                                  </w:pPr>
                                  <w:r>
                                    <w:rPr>
                                      <w:sz w:val="21"/>
                                    </w:rPr>
                                    <w:t xml:space="preserve">万 </w:t>
                                  </w:r>
                                  <w:r>
                                    <w:rPr>
                                      <w:rFonts w:ascii="Times New Roman" w:eastAsia="Times New Roman"/>
                                      <w:sz w:val="21"/>
                                    </w:rPr>
                                    <w:t>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5" w:line="238" w:lineRule="exact"/>
                                    <w:ind w:left="11"/>
                                    <w:rPr>
                                      <w:rFonts w:ascii="Times New Roman"/>
                                      <w:sz w:val="21"/>
                                    </w:rPr>
                                  </w:pPr>
                                  <w:r>
                                    <w:rPr>
                                      <w:rFonts w:ascii="Times New Roman"/>
                                      <w:sz w:val="21"/>
                                    </w:rPr>
                                    <w:t>924.38</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3</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sz w:val="21"/>
                                    </w:rPr>
                                    <w:t>设计资源</w:t>
                                  </w:r>
                                  <w:r>
                                    <w:rPr>
                                      <w:rFonts w:ascii="Times New Roman" w:eastAsia="Times New Roman"/>
                                      <w:sz w:val="21"/>
                                    </w:rPr>
                                    <w:t>/</w:t>
                                  </w:r>
                                  <w:r>
                                    <w:rPr>
                                      <w:sz w:val="21"/>
                                    </w:rPr>
                                    <w:t>储量</w:t>
                                  </w:r>
                                </w:p>
                              </w:tc>
                              <w:tc>
                                <w:tcPr>
                                  <w:tcW w:w="891" w:type="dxa"/>
                                  <w:tcBorders>
                                    <w:top w:val="single" w:color="000000" w:sz="4" w:space="0"/>
                                    <w:left w:val="single" w:color="000000" w:sz="4" w:space="0"/>
                                    <w:bottom w:val="single" w:color="000000" w:sz="4" w:space="0"/>
                                    <w:right w:val="single" w:color="000000" w:sz="4" w:space="0"/>
                                  </w:tcBorders>
                                </w:tcPr>
                                <w:p>
                                  <w:pPr>
                                    <w:pStyle w:val="14"/>
                                    <w:spacing w:line="252" w:lineRule="exact"/>
                                    <w:ind w:left="288"/>
                                    <w:jc w:val="left"/>
                                    <w:rPr>
                                      <w:rFonts w:ascii="Times New Roman" w:eastAsia="Times New Roman"/>
                                      <w:sz w:val="21"/>
                                    </w:rPr>
                                  </w:pPr>
                                  <w:r>
                                    <w:rPr>
                                      <w:sz w:val="21"/>
                                    </w:rPr>
                                    <w:t xml:space="preserve">万 </w:t>
                                  </w:r>
                                  <w:r>
                                    <w:rPr>
                                      <w:rFonts w:ascii="Times New Roman" w:eastAsia="Times New Roman"/>
                                      <w:sz w:val="21"/>
                                    </w:rPr>
                                    <w:t>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3" w:line="239" w:lineRule="exact"/>
                                    <w:ind w:left="11"/>
                                    <w:rPr>
                                      <w:rFonts w:ascii="Times New Roman"/>
                                      <w:sz w:val="21"/>
                                    </w:rPr>
                                  </w:pPr>
                                  <w:r>
                                    <w:rPr>
                                      <w:rFonts w:ascii="Times New Roman"/>
                                      <w:sz w:val="21"/>
                                    </w:rPr>
                                    <w:t>852.71</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4</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sz w:val="21"/>
                                    </w:rPr>
                                    <w:t>设计可采储量</w:t>
                                  </w:r>
                                </w:p>
                              </w:tc>
                              <w:tc>
                                <w:tcPr>
                                  <w:tcW w:w="891" w:type="dxa"/>
                                  <w:tcBorders>
                                    <w:top w:val="single" w:color="000000" w:sz="4" w:space="0"/>
                                    <w:left w:val="single" w:color="000000" w:sz="4" w:space="0"/>
                                    <w:bottom w:val="single" w:color="000000" w:sz="4" w:space="0"/>
                                    <w:right w:val="single" w:color="000000" w:sz="4" w:space="0"/>
                                  </w:tcBorders>
                                </w:tcPr>
                                <w:p>
                                  <w:pPr>
                                    <w:pStyle w:val="14"/>
                                    <w:spacing w:line="252" w:lineRule="exact"/>
                                    <w:ind w:left="288"/>
                                    <w:jc w:val="left"/>
                                    <w:rPr>
                                      <w:rFonts w:ascii="Times New Roman" w:eastAsia="Times New Roman"/>
                                      <w:sz w:val="21"/>
                                    </w:rPr>
                                  </w:pPr>
                                  <w:r>
                                    <w:rPr>
                                      <w:sz w:val="21"/>
                                    </w:rPr>
                                    <w:t xml:space="preserve">万 </w:t>
                                  </w:r>
                                  <w:r>
                                    <w:rPr>
                                      <w:rFonts w:ascii="Times New Roman" w:eastAsia="Times New Roman"/>
                                      <w:sz w:val="21"/>
                                    </w:rPr>
                                    <w:t>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8" w:lineRule="exact"/>
                                    <w:ind w:left="11"/>
                                    <w:rPr>
                                      <w:rFonts w:ascii="Times New Roman"/>
                                      <w:sz w:val="21"/>
                                    </w:rPr>
                                  </w:pPr>
                                  <w:r>
                                    <w:rPr>
                                      <w:rFonts w:ascii="Times New Roman"/>
                                      <w:sz w:val="21"/>
                                    </w:rPr>
                                    <w:t>646.59</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004" w:type="dxa"/>
                                  <w:tcBorders>
                                    <w:top w:val="single" w:color="000000" w:sz="4" w:space="0"/>
                                    <w:bottom w:val="single" w:color="000000" w:sz="4" w:space="0"/>
                                    <w:right w:val="single" w:color="000000" w:sz="4" w:space="0"/>
                                  </w:tcBorders>
                                </w:tcPr>
                                <w:p>
                                  <w:pPr>
                                    <w:pStyle w:val="14"/>
                                    <w:spacing w:before="15" w:line="237" w:lineRule="exact"/>
                                    <w:ind w:left="10"/>
                                    <w:rPr>
                                      <w:rFonts w:ascii="Times New Roman"/>
                                      <w:sz w:val="21"/>
                                    </w:rPr>
                                  </w:pPr>
                                  <w:r>
                                    <w:rPr>
                                      <w:rFonts w:ascii="Times New Roman"/>
                                      <w:w w:val="99"/>
                                      <w:sz w:val="21"/>
                                    </w:rPr>
                                    <w:t>4</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6" w:right="34"/>
                                    <w:rPr>
                                      <w:sz w:val="21"/>
                                    </w:rPr>
                                  </w:pPr>
                                  <w:r>
                                    <w:rPr>
                                      <w:sz w:val="21"/>
                                    </w:rPr>
                                    <w:t>煤类</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rFonts w:ascii="Times New Roman" w:eastAsia="Times New Roman"/>
                                      <w:sz w:val="21"/>
                                    </w:rPr>
                                    <w:t xml:space="preserve">10 </w:t>
                                  </w:r>
                                  <w:r>
                                    <w:rPr>
                                      <w:sz w:val="21"/>
                                    </w:rPr>
                                    <w:t>煤层</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tabs>
                                      <w:tab w:val="left" w:pos="641"/>
                                    </w:tabs>
                                    <w:spacing w:line="252" w:lineRule="exact"/>
                                    <w:ind w:left="10"/>
                                    <w:rPr>
                                      <w:sz w:val="21"/>
                                    </w:rPr>
                                  </w:pPr>
                                  <w:r>
                                    <w:rPr>
                                      <w:sz w:val="21"/>
                                    </w:rPr>
                                    <w:t>气煤</w:t>
                                  </w:r>
                                  <w:r>
                                    <w:rPr>
                                      <w:sz w:val="21"/>
                                    </w:rPr>
                                    <w:tab/>
                                  </w:r>
                                  <w:r>
                                    <w:rPr>
                                      <w:rFonts w:ascii="Times New Roman" w:eastAsia="Times New Roman"/>
                                      <w:sz w:val="21"/>
                                    </w:rPr>
                                    <w:t>1/3</w:t>
                                  </w:r>
                                  <w:r>
                                    <w:rPr>
                                      <w:rFonts w:ascii="Times New Roman" w:eastAsia="Times New Roman"/>
                                      <w:spacing w:val="-2"/>
                                      <w:sz w:val="21"/>
                                    </w:rPr>
                                    <w:t xml:space="preserve"> </w:t>
                                  </w:r>
                                  <w:r>
                                    <w:rPr>
                                      <w:sz w:val="21"/>
                                    </w:rPr>
                                    <w:t>焦煤</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rFonts w:ascii="Times New Roman" w:eastAsia="Times New Roman"/>
                                      <w:sz w:val="21"/>
                                    </w:rPr>
                                    <w:t xml:space="preserve">15 </w:t>
                                  </w:r>
                                  <w:r>
                                    <w:rPr>
                                      <w:sz w:val="21"/>
                                    </w:rPr>
                                    <w:t>煤层</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spacing w:line="252" w:lineRule="exact"/>
                                    <w:ind w:left="12"/>
                                    <w:rPr>
                                      <w:sz w:val="21"/>
                                    </w:rPr>
                                  </w:pPr>
                                  <w:r>
                                    <w:rPr>
                                      <w:rFonts w:ascii="Times New Roman" w:eastAsia="Times New Roman"/>
                                      <w:sz w:val="21"/>
                                    </w:rPr>
                                    <w:t xml:space="preserve">1/3 </w:t>
                                  </w:r>
                                  <w:r>
                                    <w:rPr>
                                      <w:sz w:val="21"/>
                                    </w:rPr>
                                    <w:t>焦</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04" w:type="dxa"/>
                                  <w:tcBorders>
                                    <w:top w:val="single" w:color="000000" w:sz="4" w:space="0"/>
                                    <w:bottom w:val="single" w:color="000000" w:sz="4" w:space="0"/>
                                    <w:right w:val="single" w:color="000000" w:sz="4" w:space="0"/>
                                  </w:tcBorders>
                                </w:tcPr>
                                <w:p>
                                  <w:pPr>
                                    <w:pStyle w:val="14"/>
                                    <w:spacing w:before="1" w:line="251" w:lineRule="exact"/>
                                    <w:ind w:right="227"/>
                                    <w:jc w:val="right"/>
                                    <w:rPr>
                                      <w:sz w:val="21"/>
                                    </w:rPr>
                                  </w:pPr>
                                  <w:r>
                                    <w:rPr>
                                      <w:sz w:val="21"/>
                                    </w:rPr>
                                    <w:t>（</w:t>
                                  </w:r>
                                  <w:r>
                                    <w:rPr>
                                      <w:rFonts w:ascii="Times New Roman" w:eastAsia="Times New Roman"/>
                                      <w:sz w:val="21"/>
                                    </w:rPr>
                                    <w:t>3</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6" w:right="34"/>
                                    <w:rPr>
                                      <w:sz w:val="21"/>
                                    </w:rPr>
                                  </w:pPr>
                                  <w:r>
                                    <w:rPr>
                                      <w:rFonts w:ascii="Times New Roman" w:eastAsia="Times New Roman"/>
                                      <w:sz w:val="21"/>
                                    </w:rPr>
                                    <w:t xml:space="preserve">20 </w:t>
                                  </w:r>
                                  <w:r>
                                    <w:rPr>
                                      <w:sz w:val="21"/>
                                    </w:rPr>
                                    <w:t>煤层</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7" w:lineRule="exact"/>
                                    <w:ind w:left="13"/>
                                    <w:rPr>
                                      <w:rFonts w:ascii="Times New Roman"/>
                                      <w:sz w:val="21"/>
                                    </w:rPr>
                                  </w:pPr>
                                  <w:r>
                                    <w:rPr>
                                      <w:rFonts w:ascii="Times New Roman"/>
                                      <w:sz w:val="21"/>
                                    </w:rPr>
                                    <w:t>1/3</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4</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rFonts w:ascii="Times New Roman" w:eastAsia="Times New Roman"/>
                                      <w:sz w:val="21"/>
                                    </w:rPr>
                                    <w:t xml:space="preserve">30 </w:t>
                                  </w:r>
                                  <w:r>
                                    <w:rPr>
                                      <w:sz w:val="21"/>
                                    </w:rPr>
                                    <w:t>煤层</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3" w:line="238" w:lineRule="exact"/>
                                    <w:ind w:left="13"/>
                                    <w:rPr>
                                      <w:rFonts w:ascii="Times New Roman"/>
                                      <w:sz w:val="21"/>
                                    </w:rPr>
                                  </w:pPr>
                                  <w:r>
                                    <w:rPr>
                                      <w:rFonts w:ascii="Times New Roman"/>
                                      <w:sz w:val="21"/>
                                    </w:rPr>
                                    <w:t>1/3</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4" w:line="238" w:lineRule="exact"/>
                                    <w:ind w:left="10"/>
                                    <w:rPr>
                                      <w:rFonts w:ascii="Times New Roman"/>
                                      <w:sz w:val="21"/>
                                    </w:rPr>
                                  </w:pPr>
                                  <w:r>
                                    <w:rPr>
                                      <w:rFonts w:ascii="Times New Roman"/>
                                      <w:w w:val="99"/>
                                      <w:sz w:val="21"/>
                                    </w:rPr>
                                    <w:t>5</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sz w:val="21"/>
                                    </w:rPr>
                                    <w:t>煤质</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3" w:hRule="atLeast"/>
                              </w:trPr>
                              <w:tc>
                                <w:tcPr>
                                  <w:tcW w:w="1004" w:type="dxa"/>
                                  <w:tcBorders>
                                    <w:top w:val="single" w:color="000000" w:sz="4" w:space="0"/>
                                    <w:bottom w:val="single" w:color="000000" w:sz="4" w:space="0"/>
                                    <w:right w:val="single" w:color="000000" w:sz="4" w:space="0"/>
                                  </w:tcBorders>
                                </w:tcPr>
                                <w:p>
                                  <w:pPr>
                                    <w:pStyle w:val="14"/>
                                    <w:spacing w:before="135"/>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35"/>
                                    <w:ind w:left="46" w:right="34"/>
                                    <w:rPr>
                                      <w:sz w:val="21"/>
                                    </w:rPr>
                                  </w:pPr>
                                  <w:r>
                                    <w:rPr>
                                      <w:sz w:val="21"/>
                                    </w:rPr>
                                    <w:t>灰分（原煤</w:t>
                                  </w:r>
                                  <w:r>
                                    <w:rPr>
                                      <w:rFonts w:ascii="Times New Roman" w:eastAsia="Times New Roman"/>
                                      <w:sz w:val="21"/>
                                    </w:rPr>
                                    <w:t>/</w:t>
                                  </w:r>
                                  <w:r>
                                    <w:rPr>
                                      <w:sz w:val="21"/>
                                    </w:rPr>
                                    <w:t>精煤）</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49"/>
                                    <w:ind w:left="13"/>
                                    <w:rPr>
                                      <w:rFonts w:ascii="Times New Roman"/>
                                      <w:sz w:val="21"/>
                                    </w:rPr>
                                  </w:pPr>
                                  <w:r>
                                    <w:rPr>
                                      <w:rFonts w:ascii="Times New Roman"/>
                                      <w:w w:val="99"/>
                                      <w:sz w:val="21"/>
                                    </w:rPr>
                                    <w: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
                                    <w:ind w:left="988"/>
                                    <w:jc w:val="left"/>
                                    <w:rPr>
                                      <w:rFonts w:ascii="Times New Roman" w:eastAsia="Times New Roman"/>
                                      <w:sz w:val="21"/>
                                    </w:rPr>
                                  </w:pPr>
                                  <w:r>
                                    <w:rPr>
                                      <w:w w:val="95"/>
                                      <w:sz w:val="21"/>
                                    </w:rPr>
                                    <w:t>原煤：</w:t>
                                  </w:r>
                                  <w:r>
                                    <w:rPr>
                                      <w:rFonts w:ascii="Times New Roman" w:eastAsia="Times New Roman"/>
                                      <w:w w:val="95"/>
                                      <w:sz w:val="21"/>
                                    </w:rPr>
                                    <w:t>9.16~42.12</w:t>
                                  </w:r>
                                </w:p>
                                <w:p>
                                  <w:pPr>
                                    <w:pStyle w:val="14"/>
                                    <w:spacing w:before="2" w:line="252" w:lineRule="exact"/>
                                    <w:ind w:left="988"/>
                                    <w:jc w:val="left"/>
                                    <w:rPr>
                                      <w:rFonts w:ascii="Times New Roman" w:eastAsia="Times New Roman"/>
                                      <w:sz w:val="21"/>
                                    </w:rPr>
                                  </w:pPr>
                                  <w:r>
                                    <w:rPr>
                                      <w:w w:val="95"/>
                                      <w:sz w:val="21"/>
                                    </w:rPr>
                                    <w:t>精煤：</w:t>
                                  </w:r>
                                  <w:r>
                                    <w:rPr>
                                      <w:rFonts w:ascii="Times New Roman" w:eastAsia="Times New Roman"/>
                                      <w:w w:val="95"/>
                                      <w:sz w:val="21"/>
                                    </w:rPr>
                                    <w:t>6.94~19.12</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004" w:type="dxa"/>
                                  <w:tcBorders>
                                    <w:top w:val="single" w:color="000000" w:sz="4" w:space="0"/>
                                    <w:bottom w:val="single" w:color="000000" w:sz="4" w:space="0"/>
                                    <w:right w:val="single" w:color="000000" w:sz="4" w:space="0"/>
                                  </w:tcBorders>
                                </w:tcPr>
                                <w:p>
                                  <w:pPr>
                                    <w:pStyle w:val="14"/>
                                    <w:spacing w:before="1" w:line="252"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46" w:right="34"/>
                                    <w:rPr>
                                      <w:sz w:val="21"/>
                                    </w:rPr>
                                  </w:pPr>
                                  <w:r>
                                    <w:rPr>
                                      <w:sz w:val="21"/>
                                    </w:rPr>
                                    <w:t>硫分（原煤</w:t>
                                  </w:r>
                                  <w:r>
                                    <w:rPr>
                                      <w:rFonts w:ascii="Times New Roman" w:eastAsia="Times New Roman"/>
                                      <w:sz w:val="21"/>
                                    </w:rPr>
                                    <w:t>/</w:t>
                                  </w:r>
                                  <w:r>
                                    <w:rPr>
                                      <w:sz w:val="21"/>
                                    </w:rPr>
                                    <w:t>精煤）</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5" w:line="238" w:lineRule="exact"/>
                                    <w:ind w:left="13"/>
                                    <w:rPr>
                                      <w:rFonts w:ascii="Times New Roman"/>
                                      <w:sz w:val="21"/>
                                    </w:rPr>
                                  </w:pPr>
                                  <w:r>
                                    <w:rPr>
                                      <w:rFonts w:ascii="Times New Roman"/>
                                      <w:w w:val="99"/>
                                      <w:sz w:val="21"/>
                                    </w:rPr>
                                    <w: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5" w:line="238" w:lineRule="exact"/>
                                    <w:ind w:left="13"/>
                                    <w:rPr>
                                      <w:rFonts w:ascii="Times New Roman"/>
                                      <w:sz w:val="21"/>
                                    </w:rPr>
                                  </w:pPr>
                                  <w:r>
                                    <w:rPr>
                                      <w:rFonts w:ascii="Times New Roman"/>
                                      <w:sz w:val="21"/>
                                    </w:rPr>
                                    <w:t>0.12~0.44</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3" w:hRule="atLeast"/>
                              </w:trPr>
                              <w:tc>
                                <w:tcPr>
                                  <w:tcW w:w="1004" w:type="dxa"/>
                                  <w:tcBorders>
                                    <w:top w:val="single" w:color="000000" w:sz="4" w:space="0"/>
                                    <w:bottom w:val="single" w:color="000000" w:sz="4" w:space="0"/>
                                    <w:right w:val="single" w:color="000000" w:sz="4" w:space="0"/>
                                  </w:tcBorders>
                                </w:tcPr>
                                <w:p>
                                  <w:pPr>
                                    <w:pStyle w:val="14"/>
                                    <w:spacing w:before="136"/>
                                    <w:ind w:right="227"/>
                                    <w:jc w:val="right"/>
                                    <w:rPr>
                                      <w:sz w:val="21"/>
                                    </w:rPr>
                                  </w:pPr>
                                  <w:r>
                                    <w:rPr>
                                      <w:sz w:val="21"/>
                                    </w:rPr>
                                    <w:t>（</w:t>
                                  </w:r>
                                  <w:r>
                                    <w:rPr>
                                      <w:rFonts w:ascii="Times New Roman" w:eastAsia="Times New Roman"/>
                                      <w:sz w:val="21"/>
                                    </w:rPr>
                                    <w:t>3</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36"/>
                                    <w:ind w:left="48" w:right="34"/>
                                    <w:rPr>
                                      <w:sz w:val="21"/>
                                    </w:rPr>
                                  </w:pPr>
                                  <w:r>
                                    <w:rPr>
                                      <w:sz w:val="21"/>
                                    </w:rPr>
                                    <w:t>挥发分（原煤</w:t>
                                  </w:r>
                                  <w:r>
                                    <w:rPr>
                                      <w:rFonts w:ascii="Times New Roman" w:eastAsia="Times New Roman"/>
                                      <w:sz w:val="21"/>
                                    </w:rPr>
                                    <w:t>/</w:t>
                                  </w:r>
                                  <w:r>
                                    <w:rPr>
                                      <w:sz w:val="21"/>
                                    </w:rPr>
                                    <w:t>精煤）</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50"/>
                                    <w:ind w:left="13"/>
                                    <w:rPr>
                                      <w:rFonts w:ascii="Times New Roman"/>
                                      <w:sz w:val="21"/>
                                    </w:rPr>
                                  </w:pPr>
                                  <w:r>
                                    <w:rPr>
                                      <w:rFonts w:ascii="Times New Roman"/>
                                      <w:w w:val="99"/>
                                      <w:sz w:val="21"/>
                                    </w:rPr>
                                    <w: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line="268" w:lineRule="exact"/>
                                    <w:ind w:left="935"/>
                                    <w:jc w:val="left"/>
                                    <w:rPr>
                                      <w:rFonts w:ascii="Times New Roman" w:eastAsia="Times New Roman"/>
                                      <w:sz w:val="21"/>
                                    </w:rPr>
                                  </w:pPr>
                                  <w:r>
                                    <w:rPr>
                                      <w:w w:val="95"/>
                                      <w:sz w:val="21"/>
                                    </w:rPr>
                                    <w:t>原煤：</w:t>
                                  </w:r>
                                  <w:r>
                                    <w:rPr>
                                      <w:rFonts w:ascii="Times New Roman" w:eastAsia="Times New Roman"/>
                                      <w:w w:val="95"/>
                                      <w:sz w:val="21"/>
                                    </w:rPr>
                                    <w:t>34.13~38.15</w:t>
                                  </w:r>
                                </w:p>
                                <w:p>
                                  <w:pPr>
                                    <w:pStyle w:val="14"/>
                                    <w:spacing w:before="4" w:line="251" w:lineRule="exact"/>
                                    <w:ind w:left="935"/>
                                    <w:jc w:val="left"/>
                                    <w:rPr>
                                      <w:rFonts w:ascii="Times New Roman" w:eastAsia="Times New Roman"/>
                                      <w:sz w:val="21"/>
                                    </w:rPr>
                                  </w:pPr>
                                  <w:r>
                                    <w:rPr>
                                      <w:w w:val="95"/>
                                      <w:sz w:val="21"/>
                                    </w:rPr>
                                    <w:t>精煤：</w:t>
                                  </w:r>
                                  <w:r>
                                    <w:rPr>
                                      <w:rFonts w:ascii="Times New Roman" w:eastAsia="Times New Roman"/>
                                      <w:w w:val="95"/>
                                      <w:sz w:val="21"/>
                                    </w:rPr>
                                    <w:t>32.89~38.34</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2" w:line="251" w:lineRule="exact"/>
                                    <w:ind w:right="227"/>
                                    <w:jc w:val="right"/>
                                    <w:rPr>
                                      <w:sz w:val="21"/>
                                    </w:rPr>
                                  </w:pPr>
                                  <w:r>
                                    <w:rPr>
                                      <w:sz w:val="21"/>
                                    </w:rPr>
                                    <w:t>（</w:t>
                                  </w:r>
                                  <w:r>
                                    <w:rPr>
                                      <w:rFonts w:ascii="Times New Roman" w:eastAsia="Times New Roman"/>
                                      <w:sz w:val="21"/>
                                    </w:rPr>
                                    <w:t>4</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left="46" w:right="34"/>
                                    <w:rPr>
                                      <w:sz w:val="21"/>
                                    </w:rPr>
                                  </w:pPr>
                                  <w:r>
                                    <w:rPr>
                                      <w:sz w:val="21"/>
                                    </w:rPr>
                                    <w:t>发热量</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6" w:line="237" w:lineRule="exact"/>
                                    <w:ind w:left="180"/>
                                    <w:jc w:val="left"/>
                                    <w:rPr>
                                      <w:rFonts w:ascii="Times New Roman"/>
                                      <w:sz w:val="21"/>
                                    </w:rPr>
                                  </w:pPr>
                                  <w:r>
                                    <w:rPr>
                                      <w:rFonts w:ascii="Times New Roman"/>
                                      <w:sz w:val="21"/>
                                    </w:rPr>
                                    <w:t>MJ/kg</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6" w:line="237" w:lineRule="exact"/>
                                    <w:ind w:left="13"/>
                                    <w:rPr>
                                      <w:rFonts w:ascii="Times New Roman"/>
                                      <w:sz w:val="21"/>
                                    </w:rPr>
                                  </w:pPr>
                                  <w:r>
                                    <w:rPr>
                                      <w:rFonts w:ascii="Times New Roman"/>
                                      <w:sz w:val="21"/>
                                    </w:rPr>
                                    <w:t>21.58~28.43</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3" w:line="238" w:lineRule="exact"/>
                                    <w:ind w:left="10"/>
                                    <w:rPr>
                                      <w:rFonts w:ascii="Times New Roman"/>
                                      <w:sz w:val="21"/>
                                    </w:rPr>
                                  </w:pPr>
                                  <w:r>
                                    <w:rPr>
                                      <w:rFonts w:ascii="Times New Roman"/>
                                      <w:w w:val="99"/>
                                      <w:sz w:val="21"/>
                                    </w:rPr>
                                    <w:t>6</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3" w:right="34"/>
                                    <w:rPr>
                                      <w:sz w:val="21"/>
                                    </w:rPr>
                                  </w:pPr>
                                  <w:r>
                                    <w:rPr>
                                      <w:sz w:val="21"/>
                                    </w:rPr>
                                    <w:t>矿井设计生产能力</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 w:line="251"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6" w:right="34"/>
                                    <w:rPr>
                                      <w:sz w:val="21"/>
                                    </w:rPr>
                                  </w:pPr>
                                  <w:r>
                                    <w:rPr>
                                      <w:sz w:val="21"/>
                                    </w:rPr>
                                    <w:t>年设计生产能力</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211"/>
                                    <w:jc w:val="left"/>
                                    <w:rPr>
                                      <w:rFonts w:ascii="Times New Roman" w:eastAsia="Times New Roman"/>
                                      <w:sz w:val="21"/>
                                    </w:rPr>
                                  </w:pPr>
                                  <w:r>
                                    <w:rPr>
                                      <w:sz w:val="21"/>
                                    </w:rPr>
                                    <w:t xml:space="preserve">万 </w:t>
                                  </w:r>
                                  <w:r>
                                    <w:rPr>
                                      <w:rFonts w:ascii="Times New Roman" w:eastAsia="Times New Roman"/>
                                      <w:sz w:val="21"/>
                                    </w:rPr>
                                    <w:t>t/a</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5" w:line="237" w:lineRule="exact"/>
                                    <w:ind w:left="13"/>
                                    <w:rPr>
                                      <w:rFonts w:ascii="Times New Roman"/>
                                      <w:sz w:val="21"/>
                                    </w:rPr>
                                  </w:pPr>
                                  <w:r>
                                    <w:rPr>
                                      <w:rFonts w:ascii="Times New Roman"/>
                                      <w:sz w:val="21"/>
                                    </w:rPr>
                                    <w:t>30</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2" w:line="251"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left="46" w:right="34"/>
                                    <w:rPr>
                                      <w:sz w:val="21"/>
                                    </w:rPr>
                                  </w:pPr>
                                  <w:r>
                                    <w:rPr>
                                      <w:sz w:val="21"/>
                                    </w:rPr>
                                    <w:t>日设计生产能力</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6" w:line="237" w:lineRule="exact"/>
                                    <w:ind w:left="290" w:right="279"/>
                                    <w:rPr>
                                      <w:rFonts w:ascii="Times New Roman"/>
                                      <w:sz w:val="21"/>
                                    </w:rPr>
                                  </w:pPr>
                                  <w:r>
                                    <w:rPr>
                                      <w:rFonts w:ascii="Times New Roman"/>
                                      <w:sz w:val="21"/>
                                    </w:rPr>
                                    <w:t>t/d</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6" w:line="237" w:lineRule="exact"/>
                                    <w:ind w:left="13"/>
                                    <w:rPr>
                                      <w:rFonts w:ascii="Times New Roman"/>
                                      <w:sz w:val="21"/>
                                    </w:rPr>
                                  </w:pPr>
                                  <w:r>
                                    <w:rPr>
                                      <w:rFonts w:ascii="Times New Roman"/>
                                      <w:sz w:val="21"/>
                                    </w:rPr>
                                    <w:t>909</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4" w:line="238" w:lineRule="exact"/>
                                    <w:ind w:left="10"/>
                                    <w:rPr>
                                      <w:rFonts w:ascii="Times New Roman"/>
                                      <w:sz w:val="21"/>
                                    </w:rPr>
                                  </w:pPr>
                                  <w:r>
                                    <w:rPr>
                                      <w:rFonts w:ascii="Times New Roman"/>
                                      <w:w w:val="99"/>
                                      <w:sz w:val="21"/>
                                    </w:rPr>
                                    <w:t>7</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sz w:val="21"/>
                                    </w:rPr>
                                    <w:t>矿井服务年限</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 w:line="251"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6" w:right="34"/>
                                    <w:rPr>
                                      <w:sz w:val="21"/>
                                    </w:rPr>
                                  </w:pPr>
                                  <w:r>
                                    <w:rPr>
                                      <w:sz w:val="21"/>
                                    </w:rPr>
                                    <w:t>设计生产年限</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5" w:line="237" w:lineRule="exact"/>
                                    <w:ind w:left="13"/>
                                    <w:rPr>
                                      <w:rFonts w:ascii="Times New Roman"/>
                                      <w:sz w:val="21"/>
                                    </w:rPr>
                                  </w:pPr>
                                  <w:r>
                                    <w:rPr>
                                      <w:rFonts w:ascii="Times New Roman"/>
                                      <w:w w:val="99"/>
                                      <w:sz w:val="21"/>
                                    </w:rPr>
                                    <w:t>a</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5" w:line="237" w:lineRule="exact"/>
                                    <w:ind w:left="13"/>
                                    <w:rPr>
                                      <w:rFonts w:ascii="Times New Roman"/>
                                      <w:sz w:val="21"/>
                                    </w:rPr>
                                  </w:pPr>
                                  <w:r>
                                    <w:rPr>
                                      <w:rFonts w:ascii="Times New Roman"/>
                                      <w:sz w:val="21"/>
                                    </w:rPr>
                                    <w:t>15.4</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3"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3" w:lineRule="exact"/>
                                    <w:ind w:left="46" w:right="34"/>
                                    <w:rPr>
                                      <w:sz w:val="21"/>
                                    </w:rPr>
                                  </w:pPr>
                                  <w:r>
                                    <w:rPr>
                                      <w:sz w:val="21"/>
                                    </w:rPr>
                                    <w:t>其中：一水平</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4" w:line="239" w:lineRule="exact"/>
                                    <w:ind w:left="13"/>
                                    <w:rPr>
                                      <w:rFonts w:ascii="Times New Roman"/>
                                      <w:sz w:val="21"/>
                                    </w:rPr>
                                  </w:pPr>
                                  <w:r>
                                    <w:rPr>
                                      <w:rFonts w:ascii="Times New Roman"/>
                                      <w:w w:val="99"/>
                                      <w:sz w:val="21"/>
                                    </w:rPr>
                                    <w:t>a</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9" w:lineRule="exact"/>
                                    <w:ind w:left="13"/>
                                    <w:rPr>
                                      <w:rFonts w:ascii="Times New Roman"/>
                                      <w:sz w:val="21"/>
                                    </w:rPr>
                                  </w:pPr>
                                  <w:r>
                                    <w:rPr>
                                      <w:rFonts w:ascii="Times New Roman"/>
                                      <w:sz w:val="21"/>
                                    </w:rPr>
                                    <w:t>15.4</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4" w:line="238" w:lineRule="exact"/>
                                    <w:ind w:left="10"/>
                                    <w:rPr>
                                      <w:rFonts w:ascii="Times New Roman"/>
                                      <w:sz w:val="21"/>
                                    </w:rPr>
                                  </w:pPr>
                                  <w:r>
                                    <w:rPr>
                                      <w:rFonts w:ascii="Times New Roman"/>
                                      <w:w w:val="99"/>
                                      <w:sz w:val="21"/>
                                    </w:rPr>
                                    <w:t>8</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3" w:right="34"/>
                                    <w:rPr>
                                      <w:sz w:val="21"/>
                                    </w:rPr>
                                  </w:pPr>
                                  <w:r>
                                    <w:rPr>
                                      <w:sz w:val="21"/>
                                    </w:rPr>
                                    <w:t>矿井设计工作制度</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 w:line="251"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8" w:right="34"/>
                                    <w:rPr>
                                      <w:sz w:val="21"/>
                                    </w:rPr>
                                  </w:pPr>
                                  <w:r>
                                    <w:rPr>
                                      <w:sz w:val="21"/>
                                    </w:rPr>
                                    <w:t>年工作天数</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5" w:line="237" w:lineRule="exact"/>
                                    <w:ind w:left="15"/>
                                    <w:rPr>
                                      <w:rFonts w:ascii="Times New Roman"/>
                                      <w:sz w:val="21"/>
                                    </w:rPr>
                                  </w:pPr>
                                  <w:r>
                                    <w:rPr>
                                      <w:rFonts w:ascii="Times New Roman"/>
                                      <w:w w:val="99"/>
                                      <w:sz w:val="21"/>
                                    </w:rPr>
                                    <w:t>d</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5" w:line="237" w:lineRule="exact"/>
                                    <w:ind w:left="13"/>
                                    <w:rPr>
                                      <w:rFonts w:ascii="Times New Roman"/>
                                      <w:sz w:val="21"/>
                                    </w:rPr>
                                  </w:pPr>
                                  <w:r>
                                    <w:rPr>
                                      <w:rFonts w:ascii="Times New Roman"/>
                                      <w:sz w:val="21"/>
                                    </w:rPr>
                                    <w:t>330</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3"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3" w:lineRule="exact"/>
                                    <w:ind w:left="48" w:right="34"/>
                                    <w:rPr>
                                      <w:sz w:val="21"/>
                                    </w:rPr>
                                  </w:pPr>
                                  <w:r>
                                    <w:rPr>
                                      <w:sz w:val="21"/>
                                    </w:rPr>
                                    <w:t>日工作班数</w:t>
                                  </w:r>
                                </w:p>
                              </w:tc>
                              <w:tc>
                                <w:tcPr>
                                  <w:tcW w:w="891" w:type="dxa"/>
                                  <w:tcBorders>
                                    <w:top w:val="single" w:color="000000" w:sz="4" w:space="0"/>
                                    <w:left w:val="single" w:color="000000" w:sz="4" w:space="0"/>
                                    <w:bottom w:val="single" w:color="000000" w:sz="4" w:space="0"/>
                                    <w:right w:val="single" w:color="000000" w:sz="4" w:space="0"/>
                                  </w:tcBorders>
                                </w:tcPr>
                                <w:p>
                                  <w:pPr>
                                    <w:pStyle w:val="14"/>
                                    <w:spacing w:line="253" w:lineRule="exact"/>
                                    <w:ind w:left="10"/>
                                    <w:rPr>
                                      <w:sz w:val="21"/>
                                    </w:rPr>
                                  </w:pPr>
                                  <w:r>
                                    <w:rPr>
                                      <w:w w:val="99"/>
                                      <w:sz w:val="21"/>
                                    </w:rPr>
                                    <w:t>班</w:t>
                                  </w:r>
                                </w:p>
                              </w:tc>
                              <w:tc>
                                <w:tcPr>
                                  <w:tcW w:w="3556" w:type="dxa"/>
                                  <w:tcBorders>
                                    <w:top w:val="single" w:color="000000" w:sz="4" w:space="0"/>
                                    <w:left w:val="single" w:color="000000" w:sz="4" w:space="0"/>
                                    <w:bottom w:val="single" w:color="000000" w:sz="4" w:space="0"/>
                                    <w:right w:val="single" w:color="000000" w:sz="4" w:space="0"/>
                                  </w:tcBorders>
                                </w:tcPr>
                                <w:p>
                                  <w:pPr>
                                    <w:pStyle w:val="14"/>
                                    <w:spacing w:line="253" w:lineRule="exact"/>
                                    <w:ind w:left="12"/>
                                    <w:rPr>
                                      <w:sz w:val="21"/>
                                    </w:rPr>
                                  </w:pPr>
                                  <w:r>
                                    <w:rPr>
                                      <w:sz w:val="21"/>
                                    </w:rPr>
                                    <w:t>井上：</w:t>
                                  </w:r>
                                  <w:r>
                                    <w:rPr>
                                      <w:rFonts w:ascii="Times New Roman" w:eastAsia="Times New Roman"/>
                                      <w:sz w:val="21"/>
                                    </w:rPr>
                                    <w:t xml:space="preserve">3 </w:t>
                                  </w:r>
                                  <w:r>
                                    <w:rPr>
                                      <w:sz w:val="21"/>
                                    </w:rPr>
                                    <w:t xml:space="preserve">班 井下 </w:t>
                                  </w:r>
                                  <w:r>
                                    <w:rPr>
                                      <w:rFonts w:ascii="Times New Roman" w:eastAsia="Times New Roman"/>
                                      <w:sz w:val="21"/>
                                    </w:rPr>
                                    <w:t xml:space="preserve">4 </w:t>
                                  </w:r>
                                  <w:r>
                                    <w:rPr>
                                      <w:sz w:val="21"/>
                                    </w:rPr>
                                    <w:t>班</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4" w:line="238" w:lineRule="exact"/>
                                    <w:ind w:left="10"/>
                                    <w:rPr>
                                      <w:rFonts w:ascii="Times New Roman"/>
                                      <w:sz w:val="21"/>
                                    </w:rPr>
                                  </w:pPr>
                                  <w:r>
                                    <w:rPr>
                                      <w:rFonts w:ascii="Times New Roman"/>
                                      <w:w w:val="99"/>
                                      <w:sz w:val="21"/>
                                    </w:rPr>
                                    <w:t>9</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3" w:right="34"/>
                                    <w:rPr>
                                      <w:sz w:val="21"/>
                                    </w:rPr>
                                  </w:pPr>
                                  <w:r>
                                    <w:rPr>
                                      <w:sz w:val="21"/>
                                    </w:rPr>
                                    <w:t>井田开拓</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9" w:hRule="atLeast"/>
                              </w:trPr>
                              <w:tc>
                                <w:tcPr>
                                  <w:tcW w:w="1004" w:type="dxa"/>
                                  <w:tcBorders>
                                    <w:top w:val="single" w:color="000000" w:sz="4" w:space="0"/>
                                    <w:right w:val="single" w:color="000000" w:sz="4" w:space="0"/>
                                  </w:tcBorders>
                                </w:tcPr>
                                <w:p>
                                  <w:pPr>
                                    <w:pStyle w:val="14"/>
                                    <w:spacing w:before="1" w:line="248"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right w:val="single" w:color="000000" w:sz="4" w:space="0"/>
                                  </w:tcBorders>
                                </w:tcPr>
                                <w:p>
                                  <w:pPr>
                                    <w:pStyle w:val="14"/>
                                    <w:spacing w:before="1" w:line="248" w:lineRule="exact"/>
                                    <w:ind w:left="43" w:right="34"/>
                                    <w:rPr>
                                      <w:sz w:val="21"/>
                                    </w:rPr>
                                  </w:pPr>
                                  <w:r>
                                    <w:rPr>
                                      <w:sz w:val="21"/>
                                    </w:rPr>
                                    <w:t>开拓方式</w:t>
                                  </w:r>
                                </w:p>
                              </w:tc>
                              <w:tc>
                                <w:tcPr>
                                  <w:tcW w:w="891" w:type="dxa"/>
                                  <w:tcBorders>
                                    <w:top w:val="single" w:color="000000" w:sz="4" w:space="0"/>
                                    <w:left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right w:val="single" w:color="000000" w:sz="4" w:space="0"/>
                                  </w:tcBorders>
                                </w:tcPr>
                                <w:p>
                                  <w:pPr>
                                    <w:pStyle w:val="14"/>
                                    <w:spacing w:before="1" w:line="248" w:lineRule="exact"/>
                                    <w:ind w:left="12"/>
                                    <w:rPr>
                                      <w:sz w:val="21"/>
                                    </w:rPr>
                                  </w:pPr>
                                  <w:r>
                                    <w:rPr>
                                      <w:sz w:val="21"/>
                                    </w:rPr>
                                    <w:t>斜井开拓</w:t>
                                  </w:r>
                                </w:p>
                              </w:tc>
                              <w:tc>
                                <w:tcPr>
                                  <w:tcW w:w="1227" w:type="dxa"/>
                                  <w:tcBorders>
                                    <w:top w:val="single" w:color="000000" w:sz="4" w:space="0"/>
                                    <w:left w:val="single" w:color="000000" w:sz="4" w:space="0"/>
                                  </w:tcBorders>
                                </w:tcPr>
                                <w:p>
                                  <w:pPr>
                                    <w:pStyle w:val="14"/>
                                    <w:jc w:val="left"/>
                                    <w:rPr>
                                      <w:rFonts w:ascii="Times New Roman"/>
                                      <w:sz w:val="20"/>
                                    </w:rPr>
                                  </w:pPr>
                                </w:p>
                              </w:tc>
                            </w:tr>
                          </w:tbl>
                          <w:p>
                            <w:pPr>
                              <w:pStyle w:val="6"/>
                            </w:pPr>
                          </w:p>
                        </w:txbxContent>
                      </wps:txbx>
                      <wps:bodyPr lIns="0" tIns="0" rIns="0" bIns="0" upright="1"/>
                    </wps:wsp>
                  </a:graphicData>
                </a:graphic>
              </wp:anchor>
            </w:drawing>
          </mc:Choice>
          <mc:Fallback>
            <w:pict>
              <v:shape id="文本框 28" o:spid="_x0000_s1026" o:spt="202" type="#_x0000_t202" style="position:absolute;left:0pt;margin-left:65.1pt;margin-top:45.5pt;height:522.85pt;width:465.4pt;mso-position-horizontal-relative:page;z-index:251675648;mso-width-relative:page;mso-height-relative:page;" filled="f" stroked="f" coordsize="21600,21600" o:gfxdata="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jVoQu2AAAAAwBAAAPAAAA&#10;AAAAAAEAIAAAACIAAABkcnMvZG93bnJldi54bWxQSwECFAAUAAAACACHTuJAAqF94aMBAAAoAwAA&#10;DgAAAAAAAAABACAAAAAnAQAAZHJzL2Uyb0RvYy54bWxQSwUGAAAAAAYABgBZAQAAPAUAAAAA&#10;">
                <v:fill on="f" focussize="0,0"/>
                <v:stroke on="f"/>
                <v:imagedata o:title=""/>
                <o:lock v:ext="edit" aspectratio="f"/>
                <v:textbox inset="0mm,0mm,0mm,0mm">
                  <w:txbxContent>
                    <w:tbl>
                      <w:tblPr>
                        <w:tblStyle w:val="10"/>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04"/>
                        <w:gridCol w:w="2608"/>
                        <w:gridCol w:w="891"/>
                        <w:gridCol w:w="3556"/>
                        <w:gridCol w:w="12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bottom w:val="single" w:color="000000" w:sz="4" w:space="0"/>
                              <w:right w:val="single" w:color="000000" w:sz="4" w:space="0"/>
                            </w:tcBorders>
                          </w:tcPr>
                          <w:p>
                            <w:pPr>
                              <w:pStyle w:val="14"/>
                              <w:spacing w:before="2" w:line="250" w:lineRule="exact"/>
                              <w:ind w:right="281"/>
                              <w:jc w:val="right"/>
                              <w:rPr>
                                <w:sz w:val="21"/>
                              </w:rPr>
                            </w:pPr>
                            <w:r>
                              <w:rPr>
                                <w:w w:val="95"/>
                                <w:sz w:val="21"/>
                              </w:rPr>
                              <w:t>序号</w:t>
                            </w:r>
                          </w:p>
                        </w:tc>
                        <w:tc>
                          <w:tcPr>
                            <w:tcW w:w="2608" w:type="dxa"/>
                            <w:tcBorders>
                              <w:left w:val="single" w:color="000000" w:sz="4" w:space="0"/>
                              <w:bottom w:val="single" w:color="000000" w:sz="4" w:space="0"/>
                              <w:right w:val="single" w:color="000000" w:sz="4" w:space="0"/>
                            </w:tcBorders>
                          </w:tcPr>
                          <w:p>
                            <w:pPr>
                              <w:pStyle w:val="14"/>
                              <w:spacing w:before="2" w:line="250" w:lineRule="exact"/>
                              <w:ind w:left="43" w:right="34"/>
                              <w:rPr>
                                <w:sz w:val="21"/>
                              </w:rPr>
                            </w:pPr>
                            <w:r>
                              <w:rPr>
                                <w:sz w:val="21"/>
                              </w:rPr>
                              <w:t>指标名称</w:t>
                            </w:r>
                          </w:p>
                        </w:tc>
                        <w:tc>
                          <w:tcPr>
                            <w:tcW w:w="891" w:type="dxa"/>
                            <w:tcBorders>
                              <w:left w:val="single" w:color="000000" w:sz="4" w:space="0"/>
                              <w:bottom w:val="single" w:color="000000" w:sz="4" w:space="0"/>
                              <w:right w:val="single" w:color="000000" w:sz="4" w:space="0"/>
                            </w:tcBorders>
                          </w:tcPr>
                          <w:p>
                            <w:pPr>
                              <w:pStyle w:val="14"/>
                              <w:spacing w:before="2" w:line="250" w:lineRule="exact"/>
                              <w:ind w:left="237"/>
                              <w:jc w:val="left"/>
                              <w:rPr>
                                <w:sz w:val="21"/>
                              </w:rPr>
                            </w:pPr>
                            <w:r>
                              <w:rPr>
                                <w:sz w:val="21"/>
                              </w:rPr>
                              <w:t>单位</w:t>
                            </w:r>
                          </w:p>
                        </w:tc>
                        <w:tc>
                          <w:tcPr>
                            <w:tcW w:w="3556" w:type="dxa"/>
                            <w:tcBorders>
                              <w:left w:val="single" w:color="000000" w:sz="4" w:space="0"/>
                              <w:bottom w:val="single" w:color="000000" w:sz="4" w:space="0"/>
                              <w:right w:val="single" w:color="000000" w:sz="4" w:space="0"/>
                            </w:tcBorders>
                          </w:tcPr>
                          <w:p>
                            <w:pPr>
                              <w:pStyle w:val="14"/>
                              <w:spacing w:before="2" w:line="250" w:lineRule="exact"/>
                              <w:ind w:left="10"/>
                              <w:rPr>
                                <w:sz w:val="21"/>
                              </w:rPr>
                            </w:pPr>
                            <w:r>
                              <w:rPr>
                                <w:sz w:val="21"/>
                              </w:rPr>
                              <w:t>指标</w:t>
                            </w:r>
                          </w:p>
                        </w:tc>
                        <w:tc>
                          <w:tcPr>
                            <w:tcW w:w="1227" w:type="dxa"/>
                            <w:tcBorders>
                              <w:left w:val="single" w:color="000000" w:sz="4" w:space="0"/>
                              <w:bottom w:val="single" w:color="000000" w:sz="4" w:space="0"/>
                            </w:tcBorders>
                          </w:tcPr>
                          <w:p>
                            <w:pPr>
                              <w:pStyle w:val="14"/>
                              <w:spacing w:before="2" w:line="250" w:lineRule="exact"/>
                              <w:ind w:left="405"/>
                              <w:jc w:val="left"/>
                              <w:rPr>
                                <w:sz w:val="21"/>
                              </w:rPr>
                            </w:pPr>
                            <w:r>
                              <w:rPr>
                                <w:sz w:val="21"/>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004" w:type="dxa"/>
                            <w:tcBorders>
                              <w:top w:val="single" w:color="000000" w:sz="4" w:space="0"/>
                              <w:bottom w:val="single" w:color="000000" w:sz="4" w:space="0"/>
                              <w:right w:val="single" w:color="000000" w:sz="4" w:space="0"/>
                            </w:tcBorders>
                          </w:tcPr>
                          <w:p>
                            <w:pPr>
                              <w:pStyle w:val="14"/>
                              <w:spacing w:before="14" w:line="238" w:lineRule="exact"/>
                              <w:ind w:left="10"/>
                              <w:rPr>
                                <w:rFonts w:ascii="Times New Roman"/>
                                <w:sz w:val="21"/>
                              </w:rPr>
                            </w:pPr>
                            <w:r>
                              <w:rPr>
                                <w:rFonts w:ascii="Times New Roman"/>
                                <w:w w:val="99"/>
                                <w:sz w:val="21"/>
                              </w:rPr>
                              <w:t>1</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3" w:right="34"/>
                              <w:rPr>
                                <w:sz w:val="21"/>
                              </w:rPr>
                            </w:pPr>
                            <w:r>
                              <w:rPr>
                                <w:sz w:val="21"/>
                              </w:rPr>
                              <w:t>井田范围</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04" w:type="dxa"/>
                            <w:tcBorders>
                              <w:top w:val="single" w:color="000000" w:sz="4" w:space="0"/>
                              <w:bottom w:val="single" w:color="000000" w:sz="4" w:space="0"/>
                              <w:right w:val="single" w:color="000000" w:sz="4" w:space="0"/>
                            </w:tcBorders>
                          </w:tcPr>
                          <w:p>
                            <w:pPr>
                              <w:pStyle w:val="14"/>
                              <w:spacing w:line="251"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1" w:lineRule="exact"/>
                              <w:ind w:left="46" w:right="34"/>
                              <w:rPr>
                                <w:sz w:val="21"/>
                              </w:rPr>
                            </w:pPr>
                            <w:r>
                              <w:rPr>
                                <w:sz w:val="21"/>
                              </w:rPr>
                              <w:t>平均走向长度</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4" w:line="237" w:lineRule="exact"/>
                              <w:ind w:left="289" w:right="280"/>
                              <w:rPr>
                                <w:rFonts w:ascii="Times New Roman"/>
                                <w:sz w:val="21"/>
                              </w:rPr>
                            </w:pPr>
                            <w:r>
                              <w:rPr>
                                <w:rFonts w:ascii="Times New Roman"/>
                                <w:sz w:val="21"/>
                              </w:rPr>
                              <w:t>km</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7" w:lineRule="exact"/>
                              <w:ind w:left="16"/>
                              <w:rPr>
                                <w:rFonts w:ascii="Times New Roman"/>
                                <w:sz w:val="21"/>
                              </w:rPr>
                            </w:pPr>
                            <w:r>
                              <w:rPr>
                                <w:rFonts w:ascii="Times New Roman"/>
                                <w:sz w:val="21"/>
                              </w:rPr>
                              <w:t>1.858</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2" w:line="250"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2" w:line="250" w:lineRule="exact"/>
                              <w:ind w:left="46" w:right="34"/>
                              <w:rPr>
                                <w:sz w:val="21"/>
                              </w:rPr>
                            </w:pPr>
                            <w:r>
                              <w:rPr>
                                <w:sz w:val="21"/>
                              </w:rPr>
                              <w:t>平均倾向长度</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6" w:line="236" w:lineRule="exact"/>
                              <w:ind w:left="289" w:right="280"/>
                              <w:rPr>
                                <w:rFonts w:ascii="Times New Roman"/>
                                <w:sz w:val="21"/>
                              </w:rPr>
                            </w:pPr>
                            <w:r>
                              <w:rPr>
                                <w:rFonts w:ascii="Times New Roman"/>
                                <w:sz w:val="21"/>
                              </w:rPr>
                              <w:t>km</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6" w:line="236" w:lineRule="exact"/>
                              <w:ind w:left="16"/>
                              <w:rPr>
                                <w:rFonts w:ascii="Times New Roman"/>
                                <w:sz w:val="21"/>
                              </w:rPr>
                            </w:pPr>
                            <w:r>
                              <w:rPr>
                                <w:rFonts w:ascii="Times New Roman"/>
                                <w:sz w:val="21"/>
                              </w:rPr>
                              <w:t>1.840</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3</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3" w:right="34"/>
                              <w:rPr>
                                <w:sz w:val="21"/>
                              </w:rPr>
                            </w:pPr>
                            <w:r>
                              <w:rPr>
                                <w:sz w:val="21"/>
                              </w:rPr>
                              <w:t>井田面积</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4" w:line="238" w:lineRule="exact"/>
                              <w:ind w:left="261"/>
                              <w:jc w:val="left"/>
                              <w:rPr>
                                <w:rFonts w:ascii="Times New Roman"/>
                                <w:sz w:val="21"/>
                              </w:rPr>
                            </w:pPr>
                            <w:r>
                              <w:rPr>
                                <w:rFonts w:ascii="Times New Roman"/>
                                <w:sz w:val="21"/>
                              </w:rPr>
                              <w:t>km2</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8" w:lineRule="exact"/>
                              <w:ind w:left="11"/>
                              <w:rPr>
                                <w:rFonts w:ascii="Times New Roman"/>
                                <w:sz w:val="21"/>
                              </w:rPr>
                            </w:pPr>
                            <w:r>
                              <w:rPr>
                                <w:rFonts w:ascii="Times New Roman"/>
                                <w:sz w:val="21"/>
                              </w:rPr>
                              <w:t>3.4197</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5" w:line="237" w:lineRule="exact"/>
                              <w:ind w:left="10"/>
                              <w:rPr>
                                <w:rFonts w:ascii="Times New Roman"/>
                                <w:sz w:val="21"/>
                              </w:rPr>
                            </w:pPr>
                            <w:r>
                              <w:rPr>
                                <w:rFonts w:ascii="Times New Roman"/>
                                <w:w w:val="99"/>
                                <w:sz w:val="21"/>
                              </w:rPr>
                              <w:t>2</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6" w:right="34"/>
                              <w:rPr>
                                <w:sz w:val="21"/>
                              </w:rPr>
                            </w:pPr>
                            <w:r>
                              <w:rPr>
                                <w:sz w:val="21"/>
                              </w:rPr>
                              <w:t>煤层</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4" w:hRule="atLeast"/>
                        </w:trPr>
                        <w:tc>
                          <w:tcPr>
                            <w:tcW w:w="1004" w:type="dxa"/>
                            <w:tcBorders>
                              <w:top w:val="single" w:color="000000" w:sz="4" w:space="0"/>
                              <w:bottom w:val="single" w:color="000000" w:sz="4" w:space="0"/>
                              <w:right w:val="single" w:color="000000" w:sz="4" w:space="0"/>
                            </w:tcBorders>
                          </w:tcPr>
                          <w:p>
                            <w:pPr>
                              <w:pStyle w:val="14"/>
                              <w:spacing w:before="7" w:line="258"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7" w:line="258" w:lineRule="exact"/>
                              <w:ind w:left="48" w:right="34"/>
                              <w:rPr>
                                <w:sz w:val="21"/>
                              </w:rPr>
                            </w:pPr>
                            <w:r>
                              <w:rPr>
                                <w:sz w:val="21"/>
                              </w:rPr>
                              <w:t>可采煤层数</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7" w:line="258" w:lineRule="exact"/>
                              <w:ind w:left="10"/>
                              <w:rPr>
                                <w:sz w:val="21"/>
                              </w:rPr>
                            </w:pPr>
                            <w:r>
                              <w:rPr>
                                <w:w w:val="99"/>
                                <w:sz w:val="21"/>
                              </w:rPr>
                              <w:t>层</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21"/>
                              <w:ind w:left="13"/>
                              <w:rPr>
                                <w:rFonts w:ascii="Times New Roman"/>
                                <w:sz w:val="21"/>
                              </w:rPr>
                            </w:pPr>
                            <w:r>
                              <w:rPr>
                                <w:rFonts w:ascii="Times New Roman"/>
                                <w:w w:val="99"/>
                                <w:sz w:val="21"/>
                              </w:rPr>
                              <w:t>4</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sz w:val="21"/>
                              </w:rPr>
                              <w:t>可采煤层总厚度</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4" w:line="238" w:lineRule="exact"/>
                              <w:ind w:left="11"/>
                              <w:rPr>
                                <w:rFonts w:ascii="Times New Roman"/>
                                <w:sz w:val="21"/>
                              </w:rPr>
                            </w:pPr>
                            <w:r>
                              <w:rPr>
                                <w:rFonts w:ascii="Times New Roman"/>
                                <w:w w:val="99"/>
                                <w:sz w:val="21"/>
                              </w:rPr>
                              <w:t>m</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8" w:lineRule="exact"/>
                              <w:ind w:left="13"/>
                              <w:rPr>
                                <w:rFonts w:ascii="Times New Roman"/>
                                <w:sz w:val="21"/>
                              </w:rPr>
                            </w:pPr>
                            <w:r>
                              <w:rPr>
                                <w:rFonts w:ascii="Times New Roman"/>
                                <w:sz w:val="21"/>
                              </w:rPr>
                              <w:t>3.33</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004" w:type="dxa"/>
                            <w:tcBorders>
                              <w:top w:val="single" w:color="000000" w:sz="4" w:space="0"/>
                              <w:bottom w:val="single" w:color="000000" w:sz="4" w:space="0"/>
                              <w:right w:val="single" w:color="000000" w:sz="4" w:space="0"/>
                            </w:tcBorders>
                          </w:tcPr>
                          <w:p>
                            <w:pPr>
                              <w:pStyle w:val="14"/>
                              <w:spacing w:before="1" w:line="252" w:lineRule="exact"/>
                              <w:ind w:right="227"/>
                              <w:jc w:val="right"/>
                              <w:rPr>
                                <w:sz w:val="21"/>
                              </w:rPr>
                            </w:pPr>
                            <w:r>
                              <w:rPr>
                                <w:sz w:val="21"/>
                              </w:rPr>
                              <w:t>（</w:t>
                            </w:r>
                            <w:r>
                              <w:rPr>
                                <w:rFonts w:ascii="Times New Roman" w:eastAsia="Times New Roman"/>
                                <w:sz w:val="21"/>
                              </w:rPr>
                              <w:t>3</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43" w:right="34"/>
                              <w:rPr>
                                <w:sz w:val="21"/>
                              </w:rPr>
                            </w:pPr>
                            <w:r>
                              <w:rPr>
                                <w:sz w:val="21"/>
                              </w:rPr>
                              <w:t>煤层倾角</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196"/>
                              <w:jc w:val="left"/>
                              <w:rPr>
                                <w:sz w:val="21"/>
                              </w:rPr>
                            </w:pPr>
                            <w:r>
                              <w:rPr>
                                <w:sz w:val="21"/>
                              </w:rPr>
                              <w:t>（</w:t>
                            </w:r>
                            <w:r>
                              <w:rPr>
                                <w:rFonts w:ascii="Times New Roman" w:hAnsi="Times New Roman" w:eastAsia="Times New Roman"/>
                                <w:sz w:val="21"/>
                              </w:rPr>
                              <w:t>°</w:t>
                            </w:r>
                            <w:r>
                              <w:rPr>
                                <w:sz w:val="21"/>
                              </w:rPr>
                              <w: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5" w:line="238" w:lineRule="exact"/>
                              <w:ind w:left="16"/>
                              <w:rPr>
                                <w:rFonts w:ascii="Times New Roman"/>
                                <w:sz w:val="21"/>
                              </w:rPr>
                            </w:pPr>
                            <w:r>
                              <w:rPr>
                                <w:rFonts w:ascii="Times New Roman"/>
                                <w:sz w:val="21"/>
                              </w:rPr>
                              <w:t>18~55</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04" w:type="dxa"/>
                            <w:tcBorders>
                              <w:top w:val="single" w:color="000000" w:sz="4" w:space="0"/>
                              <w:bottom w:val="single" w:color="000000" w:sz="4" w:space="0"/>
                              <w:right w:val="single" w:color="000000" w:sz="4" w:space="0"/>
                            </w:tcBorders>
                          </w:tcPr>
                          <w:p>
                            <w:pPr>
                              <w:pStyle w:val="14"/>
                              <w:spacing w:before="13" w:line="239" w:lineRule="exact"/>
                              <w:ind w:left="10"/>
                              <w:rPr>
                                <w:rFonts w:ascii="Times New Roman"/>
                                <w:sz w:val="21"/>
                              </w:rPr>
                            </w:pPr>
                            <w:r>
                              <w:rPr>
                                <w:rFonts w:ascii="Times New Roman"/>
                                <w:w w:val="99"/>
                                <w:sz w:val="21"/>
                              </w:rPr>
                              <w:t>3</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sz w:val="21"/>
                              </w:rPr>
                              <w:t>资源</w:t>
                            </w:r>
                            <w:r>
                              <w:rPr>
                                <w:rFonts w:ascii="Times New Roman" w:eastAsia="Times New Roman"/>
                                <w:sz w:val="21"/>
                              </w:rPr>
                              <w:t>/</w:t>
                            </w:r>
                            <w:r>
                              <w:rPr>
                                <w:sz w:val="21"/>
                              </w:rPr>
                              <w:t>储量</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4" w:line="238" w:lineRule="exact"/>
                              <w:ind w:left="358" w:right="347"/>
                              <w:rPr>
                                <w:rFonts w:ascii="Times New Roman"/>
                                <w:sz w:val="21"/>
                              </w:rPr>
                            </w:pPr>
                            <w:r>
                              <w:rPr>
                                <w:rFonts w:ascii="Times New Roman"/>
                                <w:sz w:val="21"/>
                              </w:rPr>
                              <w:t>(1)</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8" w:right="34"/>
                              <w:rPr>
                                <w:sz w:val="21"/>
                              </w:rPr>
                            </w:pPr>
                            <w:r>
                              <w:rPr>
                                <w:sz w:val="21"/>
                              </w:rPr>
                              <w:t>地质资源量</w:t>
                            </w:r>
                          </w:p>
                        </w:tc>
                        <w:tc>
                          <w:tcPr>
                            <w:tcW w:w="891" w:type="dxa"/>
                            <w:tcBorders>
                              <w:top w:val="single" w:color="000000" w:sz="4" w:space="0"/>
                              <w:left w:val="single" w:color="000000" w:sz="4" w:space="0"/>
                              <w:bottom w:val="single" w:color="000000" w:sz="4" w:space="0"/>
                              <w:right w:val="single" w:color="000000" w:sz="4" w:space="0"/>
                            </w:tcBorders>
                          </w:tcPr>
                          <w:p>
                            <w:pPr>
                              <w:pStyle w:val="14"/>
                              <w:spacing w:line="252" w:lineRule="exact"/>
                              <w:ind w:left="288"/>
                              <w:jc w:val="left"/>
                              <w:rPr>
                                <w:rFonts w:ascii="Times New Roman" w:eastAsia="Times New Roman"/>
                                <w:sz w:val="21"/>
                              </w:rPr>
                            </w:pPr>
                            <w:r>
                              <w:rPr>
                                <w:sz w:val="21"/>
                              </w:rPr>
                              <w:t xml:space="preserve">万 </w:t>
                            </w:r>
                            <w:r>
                              <w:rPr>
                                <w:rFonts w:ascii="Times New Roman" w:eastAsia="Times New Roman"/>
                                <w:sz w:val="21"/>
                              </w:rPr>
                              <w:t>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8" w:lineRule="exact"/>
                              <w:ind w:left="11"/>
                              <w:rPr>
                                <w:rFonts w:ascii="Times New Roman"/>
                                <w:sz w:val="21"/>
                              </w:rPr>
                            </w:pPr>
                            <w:r>
                              <w:rPr>
                                <w:rFonts w:ascii="Times New Roman"/>
                                <w:sz w:val="21"/>
                              </w:rPr>
                              <w:t>991.28</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 w:line="252"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46" w:right="34"/>
                              <w:rPr>
                                <w:sz w:val="21"/>
                              </w:rPr>
                            </w:pPr>
                            <w:r>
                              <w:rPr>
                                <w:sz w:val="21"/>
                              </w:rPr>
                              <w:t>工业资源</w:t>
                            </w:r>
                            <w:r>
                              <w:rPr>
                                <w:rFonts w:ascii="Times New Roman" w:eastAsia="Times New Roman"/>
                                <w:sz w:val="21"/>
                              </w:rPr>
                              <w:t>/</w:t>
                            </w:r>
                            <w:r>
                              <w:rPr>
                                <w:sz w:val="21"/>
                              </w:rPr>
                              <w:t>储量</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288"/>
                              <w:jc w:val="left"/>
                              <w:rPr>
                                <w:rFonts w:ascii="Times New Roman" w:eastAsia="Times New Roman"/>
                                <w:sz w:val="21"/>
                              </w:rPr>
                            </w:pPr>
                            <w:r>
                              <w:rPr>
                                <w:sz w:val="21"/>
                              </w:rPr>
                              <w:t xml:space="preserve">万 </w:t>
                            </w:r>
                            <w:r>
                              <w:rPr>
                                <w:rFonts w:ascii="Times New Roman" w:eastAsia="Times New Roman"/>
                                <w:sz w:val="21"/>
                              </w:rPr>
                              <w:t>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5" w:line="238" w:lineRule="exact"/>
                              <w:ind w:left="11"/>
                              <w:rPr>
                                <w:rFonts w:ascii="Times New Roman"/>
                                <w:sz w:val="21"/>
                              </w:rPr>
                            </w:pPr>
                            <w:r>
                              <w:rPr>
                                <w:rFonts w:ascii="Times New Roman"/>
                                <w:sz w:val="21"/>
                              </w:rPr>
                              <w:t>924.38</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3</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sz w:val="21"/>
                              </w:rPr>
                              <w:t>设计资源</w:t>
                            </w:r>
                            <w:r>
                              <w:rPr>
                                <w:rFonts w:ascii="Times New Roman" w:eastAsia="Times New Roman"/>
                                <w:sz w:val="21"/>
                              </w:rPr>
                              <w:t>/</w:t>
                            </w:r>
                            <w:r>
                              <w:rPr>
                                <w:sz w:val="21"/>
                              </w:rPr>
                              <w:t>储量</w:t>
                            </w:r>
                          </w:p>
                        </w:tc>
                        <w:tc>
                          <w:tcPr>
                            <w:tcW w:w="891" w:type="dxa"/>
                            <w:tcBorders>
                              <w:top w:val="single" w:color="000000" w:sz="4" w:space="0"/>
                              <w:left w:val="single" w:color="000000" w:sz="4" w:space="0"/>
                              <w:bottom w:val="single" w:color="000000" w:sz="4" w:space="0"/>
                              <w:right w:val="single" w:color="000000" w:sz="4" w:space="0"/>
                            </w:tcBorders>
                          </w:tcPr>
                          <w:p>
                            <w:pPr>
                              <w:pStyle w:val="14"/>
                              <w:spacing w:line="252" w:lineRule="exact"/>
                              <w:ind w:left="288"/>
                              <w:jc w:val="left"/>
                              <w:rPr>
                                <w:rFonts w:ascii="Times New Roman" w:eastAsia="Times New Roman"/>
                                <w:sz w:val="21"/>
                              </w:rPr>
                            </w:pPr>
                            <w:r>
                              <w:rPr>
                                <w:sz w:val="21"/>
                              </w:rPr>
                              <w:t xml:space="preserve">万 </w:t>
                            </w:r>
                            <w:r>
                              <w:rPr>
                                <w:rFonts w:ascii="Times New Roman" w:eastAsia="Times New Roman"/>
                                <w:sz w:val="21"/>
                              </w:rPr>
                              <w:t>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3" w:line="239" w:lineRule="exact"/>
                              <w:ind w:left="11"/>
                              <w:rPr>
                                <w:rFonts w:ascii="Times New Roman"/>
                                <w:sz w:val="21"/>
                              </w:rPr>
                            </w:pPr>
                            <w:r>
                              <w:rPr>
                                <w:rFonts w:ascii="Times New Roman"/>
                                <w:sz w:val="21"/>
                              </w:rPr>
                              <w:t>852.71</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4</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sz w:val="21"/>
                              </w:rPr>
                              <w:t>设计可采储量</w:t>
                            </w:r>
                          </w:p>
                        </w:tc>
                        <w:tc>
                          <w:tcPr>
                            <w:tcW w:w="891" w:type="dxa"/>
                            <w:tcBorders>
                              <w:top w:val="single" w:color="000000" w:sz="4" w:space="0"/>
                              <w:left w:val="single" w:color="000000" w:sz="4" w:space="0"/>
                              <w:bottom w:val="single" w:color="000000" w:sz="4" w:space="0"/>
                              <w:right w:val="single" w:color="000000" w:sz="4" w:space="0"/>
                            </w:tcBorders>
                          </w:tcPr>
                          <w:p>
                            <w:pPr>
                              <w:pStyle w:val="14"/>
                              <w:spacing w:line="252" w:lineRule="exact"/>
                              <w:ind w:left="288"/>
                              <w:jc w:val="left"/>
                              <w:rPr>
                                <w:rFonts w:ascii="Times New Roman" w:eastAsia="Times New Roman"/>
                                <w:sz w:val="21"/>
                              </w:rPr>
                            </w:pPr>
                            <w:r>
                              <w:rPr>
                                <w:sz w:val="21"/>
                              </w:rPr>
                              <w:t xml:space="preserve">万 </w:t>
                            </w:r>
                            <w:r>
                              <w:rPr>
                                <w:rFonts w:ascii="Times New Roman" w:eastAsia="Times New Roman"/>
                                <w:sz w:val="21"/>
                              </w:rPr>
                              <w:t>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8" w:lineRule="exact"/>
                              <w:ind w:left="11"/>
                              <w:rPr>
                                <w:rFonts w:ascii="Times New Roman"/>
                                <w:sz w:val="21"/>
                              </w:rPr>
                            </w:pPr>
                            <w:r>
                              <w:rPr>
                                <w:rFonts w:ascii="Times New Roman"/>
                                <w:sz w:val="21"/>
                              </w:rPr>
                              <w:t>646.59</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004" w:type="dxa"/>
                            <w:tcBorders>
                              <w:top w:val="single" w:color="000000" w:sz="4" w:space="0"/>
                              <w:bottom w:val="single" w:color="000000" w:sz="4" w:space="0"/>
                              <w:right w:val="single" w:color="000000" w:sz="4" w:space="0"/>
                            </w:tcBorders>
                          </w:tcPr>
                          <w:p>
                            <w:pPr>
                              <w:pStyle w:val="14"/>
                              <w:spacing w:before="15" w:line="237" w:lineRule="exact"/>
                              <w:ind w:left="10"/>
                              <w:rPr>
                                <w:rFonts w:ascii="Times New Roman"/>
                                <w:sz w:val="21"/>
                              </w:rPr>
                            </w:pPr>
                            <w:r>
                              <w:rPr>
                                <w:rFonts w:ascii="Times New Roman"/>
                                <w:w w:val="99"/>
                                <w:sz w:val="21"/>
                              </w:rPr>
                              <w:t>4</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6" w:right="34"/>
                              <w:rPr>
                                <w:sz w:val="21"/>
                              </w:rPr>
                            </w:pPr>
                            <w:r>
                              <w:rPr>
                                <w:sz w:val="21"/>
                              </w:rPr>
                              <w:t>煤类</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rFonts w:ascii="Times New Roman" w:eastAsia="Times New Roman"/>
                                <w:sz w:val="21"/>
                              </w:rPr>
                              <w:t xml:space="preserve">10 </w:t>
                            </w:r>
                            <w:r>
                              <w:rPr>
                                <w:sz w:val="21"/>
                              </w:rPr>
                              <w:t>煤层</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tabs>
                                <w:tab w:val="left" w:pos="641"/>
                              </w:tabs>
                              <w:spacing w:line="252" w:lineRule="exact"/>
                              <w:ind w:left="10"/>
                              <w:rPr>
                                <w:sz w:val="21"/>
                              </w:rPr>
                            </w:pPr>
                            <w:r>
                              <w:rPr>
                                <w:sz w:val="21"/>
                              </w:rPr>
                              <w:t>气煤</w:t>
                            </w:r>
                            <w:r>
                              <w:rPr>
                                <w:sz w:val="21"/>
                              </w:rPr>
                              <w:tab/>
                            </w:r>
                            <w:r>
                              <w:rPr>
                                <w:rFonts w:ascii="Times New Roman" w:eastAsia="Times New Roman"/>
                                <w:sz w:val="21"/>
                              </w:rPr>
                              <w:t>1/3</w:t>
                            </w:r>
                            <w:r>
                              <w:rPr>
                                <w:rFonts w:ascii="Times New Roman" w:eastAsia="Times New Roman"/>
                                <w:spacing w:val="-2"/>
                                <w:sz w:val="21"/>
                              </w:rPr>
                              <w:t xml:space="preserve"> </w:t>
                            </w:r>
                            <w:r>
                              <w:rPr>
                                <w:sz w:val="21"/>
                              </w:rPr>
                              <w:t>焦煤</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rFonts w:ascii="Times New Roman" w:eastAsia="Times New Roman"/>
                                <w:sz w:val="21"/>
                              </w:rPr>
                              <w:t xml:space="preserve">15 </w:t>
                            </w:r>
                            <w:r>
                              <w:rPr>
                                <w:sz w:val="21"/>
                              </w:rPr>
                              <w:t>煤层</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spacing w:line="252" w:lineRule="exact"/>
                              <w:ind w:left="12"/>
                              <w:rPr>
                                <w:sz w:val="21"/>
                              </w:rPr>
                            </w:pPr>
                            <w:r>
                              <w:rPr>
                                <w:rFonts w:ascii="Times New Roman" w:eastAsia="Times New Roman"/>
                                <w:sz w:val="21"/>
                              </w:rPr>
                              <w:t xml:space="preserve">1/3 </w:t>
                            </w:r>
                            <w:r>
                              <w:rPr>
                                <w:sz w:val="21"/>
                              </w:rPr>
                              <w:t>焦</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04" w:type="dxa"/>
                            <w:tcBorders>
                              <w:top w:val="single" w:color="000000" w:sz="4" w:space="0"/>
                              <w:bottom w:val="single" w:color="000000" w:sz="4" w:space="0"/>
                              <w:right w:val="single" w:color="000000" w:sz="4" w:space="0"/>
                            </w:tcBorders>
                          </w:tcPr>
                          <w:p>
                            <w:pPr>
                              <w:pStyle w:val="14"/>
                              <w:spacing w:before="1" w:line="251" w:lineRule="exact"/>
                              <w:ind w:right="227"/>
                              <w:jc w:val="right"/>
                              <w:rPr>
                                <w:sz w:val="21"/>
                              </w:rPr>
                            </w:pPr>
                            <w:r>
                              <w:rPr>
                                <w:sz w:val="21"/>
                              </w:rPr>
                              <w:t>（</w:t>
                            </w:r>
                            <w:r>
                              <w:rPr>
                                <w:rFonts w:ascii="Times New Roman" w:eastAsia="Times New Roman"/>
                                <w:sz w:val="21"/>
                              </w:rPr>
                              <w:t>3</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6" w:right="34"/>
                              <w:rPr>
                                <w:sz w:val="21"/>
                              </w:rPr>
                            </w:pPr>
                            <w:r>
                              <w:rPr>
                                <w:rFonts w:ascii="Times New Roman" w:eastAsia="Times New Roman"/>
                                <w:sz w:val="21"/>
                              </w:rPr>
                              <w:t xml:space="preserve">20 </w:t>
                            </w:r>
                            <w:r>
                              <w:rPr>
                                <w:sz w:val="21"/>
                              </w:rPr>
                              <w:t>煤层</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7" w:lineRule="exact"/>
                              <w:ind w:left="13"/>
                              <w:rPr>
                                <w:rFonts w:ascii="Times New Roman"/>
                                <w:sz w:val="21"/>
                              </w:rPr>
                            </w:pPr>
                            <w:r>
                              <w:rPr>
                                <w:rFonts w:ascii="Times New Roman"/>
                                <w:sz w:val="21"/>
                              </w:rPr>
                              <w:t>1/3</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4</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rFonts w:ascii="Times New Roman" w:eastAsia="Times New Roman"/>
                                <w:sz w:val="21"/>
                              </w:rPr>
                              <w:t xml:space="preserve">30 </w:t>
                            </w:r>
                            <w:r>
                              <w:rPr>
                                <w:sz w:val="21"/>
                              </w:rPr>
                              <w:t>煤层</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3" w:line="238" w:lineRule="exact"/>
                              <w:ind w:left="13"/>
                              <w:rPr>
                                <w:rFonts w:ascii="Times New Roman"/>
                                <w:sz w:val="21"/>
                              </w:rPr>
                            </w:pPr>
                            <w:r>
                              <w:rPr>
                                <w:rFonts w:ascii="Times New Roman"/>
                                <w:sz w:val="21"/>
                              </w:rPr>
                              <w:t>1/3</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4" w:line="238" w:lineRule="exact"/>
                              <w:ind w:left="10"/>
                              <w:rPr>
                                <w:rFonts w:ascii="Times New Roman"/>
                                <w:sz w:val="21"/>
                              </w:rPr>
                            </w:pPr>
                            <w:r>
                              <w:rPr>
                                <w:rFonts w:ascii="Times New Roman"/>
                                <w:w w:val="99"/>
                                <w:sz w:val="21"/>
                              </w:rPr>
                              <w:t>5</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sz w:val="21"/>
                              </w:rPr>
                              <w:t>煤质</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3" w:hRule="atLeast"/>
                        </w:trPr>
                        <w:tc>
                          <w:tcPr>
                            <w:tcW w:w="1004" w:type="dxa"/>
                            <w:tcBorders>
                              <w:top w:val="single" w:color="000000" w:sz="4" w:space="0"/>
                              <w:bottom w:val="single" w:color="000000" w:sz="4" w:space="0"/>
                              <w:right w:val="single" w:color="000000" w:sz="4" w:space="0"/>
                            </w:tcBorders>
                          </w:tcPr>
                          <w:p>
                            <w:pPr>
                              <w:pStyle w:val="14"/>
                              <w:spacing w:before="135"/>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35"/>
                              <w:ind w:left="46" w:right="34"/>
                              <w:rPr>
                                <w:sz w:val="21"/>
                              </w:rPr>
                            </w:pPr>
                            <w:r>
                              <w:rPr>
                                <w:sz w:val="21"/>
                              </w:rPr>
                              <w:t>灰分（原煤</w:t>
                            </w:r>
                            <w:r>
                              <w:rPr>
                                <w:rFonts w:ascii="Times New Roman" w:eastAsia="Times New Roman"/>
                                <w:sz w:val="21"/>
                              </w:rPr>
                              <w:t>/</w:t>
                            </w:r>
                            <w:r>
                              <w:rPr>
                                <w:sz w:val="21"/>
                              </w:rPr>
                              <w:t>精煤）</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49"/>
                              <w:ind w:left="13"/>
                              <w:rPr>
                                <w:rFonts w:ascii="Times New Roman"/>
                                <w:sz w:val="21"/>
                              </w:rPr>
                            </w:pPr>
                            <w:r>
                              <w:rPr>
                                <w:rFonts w:ascii="Times New Roman"/>
                                <w:w w:val="99"/>
                                <w:sz w:val="21"/>
                              </w:rPr>
                              <w: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
                              <w:ind w:left="988"/>
                              <w:jc w:val="left"/>
                              <w:rPr>
                                <w:rFonts w:ascii="Times New Roman" w:eastAsia="Times New Roman"/>
                                <w:sz w:val="21"/>
                              </w:rPr>
                            </w:pPr>
                            <w:r>
                              <w:rPr>
                                <w:w w:val="95"/>
                                <w:sz w:val="21"/>
                              </w:rPr>
                              <w:t>原煤：</w:t>
                            </w:r>
                            <w:r>
                              <w:rPr>
                                <w:rFonts w:ascii="Times New Roman" w:eastAsia="Times New Roman"/>
                                <w:w w:val="95"/>
                                <w:sz w:val="21"/>
                              </w:rPr>
                              <w:t>9.16~42.12</w:t>
                            </w:r>
                          </w:p>
                          <w:p>
                            <w:pPr>
                              <w:pStyle w:val="14"/>
                              <w:spacing w:before="2" w:line="252" w:lineRule="exact"/>
                              <w:ind w:left="988"/>
                              <w:jc w:val="left"/>
                              <w:rPr>
                                <w:rFonts w:ascii="Times New Roman" w:eastAsia="Times New Roman"/>
                                <w:sz w:val="21"/>
                              </w:rPr>
                            </w:pPr>
                            <w:r>
                              <w:rPr>
                                <w:w w:val="95"/>
                                <w:sz w:val="21"/>
                              </w:rPr>
                              <w:t>精煤：</w:t>
                            </w:r>
                            <w:r>
                              <w:rPr>
                                <w:rFonts w:ascii="Times New Roman" w:eastAsia="Times New Roman"/>
                                <w:w w:val="95"/>
                                <w:sz w:val="21"/>
                              </w:rPr>
                              <w:t>6.94~19.12</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004" w:type="dxa"/>
                            <w:tcBorders>
                              <w:top w:val="single" w:color="000000" w:sz="4" w:space="0"/>
                              <w:bottom w:val="single" w:color="000000" w:sz="4" w:space="0"/>
                              <w:right w:val="single" w:color="000000" w:sz="4" w:space="0"/>
                            </w:tcBorders>
                          </w:tcPr>
                          <w:p>
                            <w:pPr>
                              <w:pStyle w:val="14"/>
                              <w:spacing w:before="1" w:line="252"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46" w:right="34"/>
                              <w:rPr>
                                <w:sz w:val="21"/>
                              </w:rPr>
                            </w:pPr>
                            <w:r>
                              <w:rPr>
                                <w:sz w:val="21"/>
                              </w:rPr>
                              <w:t>硫分（原煤</w:t>
                            </w:r>
                            <w:r>
                              <w:rPr>
                                <w:rFonts w:ascii="Times New Roman" w:eastAsia="Times New Roman"/>
                                <w:sz w:val="21"/>
                              </w:rPr>
                              <w:t>/</w:t>
                            </w:r>
                            <w:r>
                              <w:rPr>
                                <w:sz w:val="21"/>
                              </w:rPr>
                              <w:t>精煤）</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5" w:line="238" w:lineRule="exact"/>
                              <w:ind w:left="13"/>
                              <w:rPr>
                                <w:rFonts w:ascii="Times New Roman"/>
                                <w:sz w:val="21"/>
                              </w:rPr>
                            </w:pPr>
                            <w:r>
                              <w:rPr>
                                <w:rFonts w:ascii="Times New Roman"/>
                                <w:w w:val="99"/>
                                <w:sz w:val="21"/>
                              </w:rPr>
                              <w: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5" w:line="238" w:lineRule="exact"/>
                              <w:ind w:left="13"/>
                              <w:rPr>
                                <w:rFonts w:ascii="Times New Roman"/>
                                <w:sz w:val="21"/>
                              </w:rPr>
                            </w:pPr>
                            <w:r>
                              <w:rPr>
                                <w:rFonts w:ascii="Times New Roman"/>
                                <w:sz w:val="21"/>
                              </w:rPr>
                              <w:t>0.12~0.44</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3" w:hRule="atLeast"/>
                        </w:trPr>
                        <w:tc>
                          <w:tcPr>
                            <w:tcW w:w="1004" w:type="dxa"/>
                            <w:tcBorders>
                              <w:top w:val="single" w:color="000000" w:sz="4" w:space="0"/>
                              <w:bottom w:val="single" w:color="000000" w:sz="4" w:space="0"/>
                              <w:right w:val="single" w:color="000000" w:sz="4" w:space="0"/>
                            </w:tcBorders>
                          </w:tcPr>
                          <w:p>
                            <w:pPr>
                              <w:pStyle w:val="14"/>
                              <w:spacing w:before="136"/>
                              <w:ind w:right="227"/>
                              <w:jc w:val="right"/>
                              <w:rPr>
                                <w:sz w:val="21"/>
                              </w:rPr>
                            </w:pPr>
                            <w:r>
                              <w:rPr>
                                <w:sz w:val="21"/>
                              </w:rPr>
                              <w:t>（</w:t>
                            </w:r>
                            <w:r>
                              <w:rPr>
                                <w:rFonts w:ascii="Times New Roman" w:eastAsia="Times New Roman"/>
                                <w:sz w:val="21"/>
                              </w:rPr>
                              <w:t>3</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36"/>
                              <w:ind w:left="48" w:right="34"/>
                              <w:rPr>
                                <w:sz w:val="21"/>
                              </w:rPr>
                            </w:pPr>
                            <w:r>
                              <w:rPr>
                                <w:sz w:val="21"/>
                              </w:rPr>
                              <w:t>挥发分（原煤</w:t>
                            </w:r>
                            <w:r>
                              <w:rPr>
                                <w:rFonts w:ascii="Times New Roman" w:eastAsia="Times New Roman"/>
                                <w:sz w:val="21"/>
                              </w:rPr>
                              <w:t>/</w:t>
                            </w:r>
                            <w:r>
                              <w:rPr>
                                <w:sz w:val="21"/>
                              </w:rPr>
                              <w:t>精煤）</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50"/>
                              <w:ind w:left="13"/>
                              <w:rPr>
                                <w:rFonts w:ascii="Times New Roman"/>
                                <w:sz w:val="21"/>
                              </w:rPr>
                            </w:pPr>
                            <w:r>
                              <w:rPr>
                                <w:rFonts w:ascii="Times New Roman"/>
                                <w:w w:val="99"/>
                                <w:sz w:val="21"/>
                              </w:rPr>
                              <w: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line="268" w:lineRule="exact"/>
                              <w:ind w:left="935"/>
                              <w:jc w:val="left"/>
                              <w:rPr>
                                <w:rFonts w:ascii="Times New Roman" w:eastAsia="Times New Roman"/>
                                <w:sz w:val="21"/>
                              </w:rPr>
                            </w:pPr>
                            <w:r>
                              <w:rPr>
                                <w:w w:val="95"/>
                                <w:sz w:val="21"/>
                              </w:rPr>
                              <w:t>原煤：</w:t>
                            </w:r>
                            <w:r>
                              <w:rPr>
                                <w:rFonts w:ascii="Times New Roman" w:eastAsia="Times New Roman"/>
                                <w:w w:val="95"/>
                                <w:sz w:val="21"/>
                              </w:rPr>
                              <w:t>34.13~38.15</w:t>
                            </w:r>
                          </w:p>
                          <w:p>
                            <w:pPr>
                              <w:pStyle w:val="14"/>
                              <w:spacing w:before="4" w:line="251" w:lineRule="exact"/>
                              <w:ind w:left="935"/>
                              <w:jc w:val="left"/>
                              <w:rPr>
                                <w:rFonts w:ascii="Times New Roman" w:eastAsia="Times New Roman"/>
                                <w:sz w:val="21"/>
                              </w:rPr>
                            </w:pPr>
                            <w:r>
                              <w:rPr>
                                <w:w w:val="95"/>
                                <w:sz w:val="21"/>
                              </w:rPr>
                              <w:t>精煤：</w:t>
                            </w:r>
                            <w:r>
                              <w:rPr>
                                <w:rFonts w:ascii="Times New Roman" w:eastAsia="Times New Roman"/>
                                <w:w w:val="95"/>
                                <w:sz w:val="21"/>
                              </w:rPr>
                              <w:t>32.89~38.34</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2" w:line="251" w:lineRule="exact"/>
                              <w:ind w:right="227"/>
                              <w:jc w:val="right"/>
                              <w:rPr>
                                <w:sz w:val="21"/>
                              </w:rPr>
                            </w:pPr>
                            <w:r>
                              <w:rPr>
                                <w:sz w:val="21"/>
                              </w:rPr>
                              <w:t>（</w:t>
                            </w:r>
                            <w:r>
                              <w:rPr>
                                <w:rFonts w:ascii="Times New Roman" w:eastAsia="Times New Roman"/>
                                <w:sz w:val="21"/>
                              </w:rPr>
                              <w:t>4</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left="46" w:right="34"/>
                              <w:rPr>
                                <w:sz w:val="21"/>
                              </w:rPr>
                            </w:pPr>
                            <w:r>
                              <w:rPr>
                                <w:sz w:val="21"/>
                              </w:rPr>
                              <w:t>发热量</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6" w:line="237" w:lineRule="exact"/>
                              <w:ind w:left="180"/>
                              <w:jc w:val="left"/>
                              <w:rPr>
                                <w:rFonts w:ascii="Times New Roman"/>
                                <w:sz w:val="21"/>
                              </w:rPr>
                            </w:pPr>
                            <w:r>
                              <w:rPr>
                                <w:rFonts w:ascii="Times New Roman"/>
                                <w:sz w:val="21"/>
                              </w:rPr>
                              <w:t>MJ/kg</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6" w:line="237" w:lineRule="exact"/>
                              <w:ind w:left="13"/>
                              <w:rPr>
                                <w:rFonts w:ascii="Times New Roman"/>
                                <w:sz w:val="21"/>
                              </w:rPr>
                            </w:pPr>
                            <w:r>
                              <w:rPr>
                                <w:rFonts w:ascii="Times New Roman"/>
                                <w:sz w:val="21"/>
                              </w:rPr>
                              <w:t>21.58~28.43</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3" w:line="238" w:lineRule="exact"/>
                              <w:ind w:left="10"/>
                              <w:rPr>
                                <w:rFonts w:ascii="Times New Roman"/>
                                <w:sz w:val="21"/>
                              </w:rPr>
                            </w:pPr>
                            <w:r>
                              <w:rPr>
                                <w:rFonts w:ascii="Times New Roman"/>
                                <w:w w:val="99"/>
                                <w:sz w:val="21"/>
                              </w:rPr>
                              <w:t>6</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3" w:right="34"/>
                              <w:rPr>
                                <w:sz w:val="21"/>
                              </w:rPr>
                            </w:pPr>
                            <w:r>
                              <w:rPr>
                                <w:sz w:val="21"/>
                              </w:rPr>
                              <w:t>矿井设计生产能力</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 w:line="251"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6" w:right="34"/>
                              <w:rPr>
                                <w:sz w:val="21"/>
                              </w:rPr>
                            </w:pPr>
                            <w:r>
                              <w:rPr>
                                <w:sz w:val="21"/>
                              </w:rPr>
                              <w:t>年设计生产能力</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211"/>
                              <w:jc w:val="left"/>
                              <w:rPr>
                                <w:rFonts w:ascii="Times New Roman" w:eastAsia="Times New Roman"/>
                                <w:sz w:val="21"/>
                              </w:rPr>
                            </w:pPr>
                            <w:r>
                              <w:rPr>
                                <w:sz w:val="21"/>
                              </w:rPr>
                              <w:t xml:space="preserve">万 </w:t>
                            </w:r>
                            <w:r>
                              <w:rPr>
                                <w:rFonts w:ascii="Times New Roman" w:eastAsia="Times New Roman"/>
                                <w:sz w:val="21"/>
                              </w:rPr>
                              <w:t>t/a</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5" w:line="237" w:lineRule="exact"/>
                              <w:ind w:left="13"/>
                              <w:rPr>
                                <w:rFonts w:ascii="Times New Roman"/>
                                <w:sz w:val="21"/>
                              </w:rPr>
                            </w:pPr>
                            <w:r>
                              <w:rPr>
                                <w:rFonts w:ascii="Times New Roman"/>
                                <w:sz w:val="21"/>
                              </w:rPr>
                              <w:t>30</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2" w:line="251"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left="46" w:right="34"/>
                              <w:rPr>
                                <w:sz w:val="21"/>
                              </w:rPr>
                            </w:pPr>
                            <w:r>
                              <w:rPr>
                                <w:sz w:val="21"/>
                              </w:rPr>
                              <w:t>日设计生产能力</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6" w:line="237" w:lineRule="exact"/>
                              <w:ind w:left="290" w:right="279"/>
                              <w:rPr>
                                <w:rFonts w:ascii="Times New Roman"/>
                                <w:sz w:val="21"/>
                              </w:rPr>
                            </w:pPr>
                            <w:r>
                              <w:rPr>
                                <w:rFonts w:ascii="Times New Roman"/>
                                <w:sz w:val="21"/>
                              </w:rPr>
                              <w:t>t/d</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6" w:line="237" w:lineRule="exact"/>
                              <w:ind w:left="13"/>
                              <w:rPr>
                                <w:rFonts w:ascii="Times New Roman"/>
                                <w:sz w:val="21"/>
                              </w:rPr>
                            </w:pPr>
                            <w:r>
                              <w:rPr>
                                <w:rFonts w:ascii="Times New Roman"/>
                                <w:sz w:val="21"/>
                              </w:rPr>
                              <w:t>909</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4" w:line="238" w:lineRule="exact"/>
                              <w:ind w:left="10"/>
                              <w:rPr>
                                <w:rFonts w:ascii="Times New Roman"/>
                                <w:sz w:val="21"/>
                              </w:rPr>
                            </w:pPr>
                            <w:r>
                              <w:rPr>
                                <w:rFonts w:ascii="Times New Roman"/>
                                <w:w w:val="99"/>
                                <w:sz w:val="21"/>
                              </w:rPr>
                              <w:t>7</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sz w:val="21"/>
                              </w:rPr>
                              <w:t>矿井服务年限</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 w:line="251"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6" w:right="34"/>
                              <w:rPr>
                                <w:sz w:val="21"/>
                              </w:rPr>
                            </w:pPr>
                            <w:r>
                              <w:rPr>
                                <w:sz w:val="21"/>
                              </w:rPr>
                              <w:t>设计生产年限</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5" w:line="237" w:lineRule="exact"/>
                              <w:ind w:left="13"/>
                              <w:rPr>
                                <w:rFonts w:ascii="Times New Roman"/>
                                <w:sz w:val="21"/>
                              </w:rPr>
                            </w:pPr>
                            <w:r>
                              <w:rPr>
                                <w:rFonts w:ascii="Times New Roman"/>
                                <w:w w:val="99"/>
                                <w:sz w:val="21"/>
                              </w:rPr>
                              <w:t>a</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5" w:line="237" w:lineRule="exact"/>
                              <w:ind w:left="13"/>
                              <w:rPr>
                                <w:rFonts w:ascii="Times New Roman"/>
                                <w:sz w:val="21"/>
                              </w:rPr>
                            </w:pPr>
                            <w:r>
                              <w:rPr>
                                <w:rFonts w:ascii="Times New Roman"/>
                                <w:sz w:val="21"/>
                              </w:rPr>
                              <w:t>15.4</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3"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3" w:lineRule="exact"/>
                              <w:ind w:left="46" w:right="34"/>
                              <w:rPr>
                                <w:sz w:val="21"/>
                              </w:rPr>
                            </w:pPr>
                            <w:r>
                              <w:rPr>
                                <w:sz w:val="21"/>
                              </w:rPr>
                              <w:t>其中：一水平</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4" w:line="239" w:lineRule="exact"/>
                              <w:ind w:left="13"/>
                              <w:rPr>
                                <w:rFonts w:ascii="Times New Roman"/>
                                <w:sz w:val="21"/>
                              </w:rPr>
                            </w:pPr>
                            <w:r>
                              <w:rPr>
                                <w:rFonts w:ascii="Times New Roman"/>
                                <w:w w:val="99"/>
                                <w:sz w:val="21"/>
                              </w:rPr>
                              <w:t>a</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9" w:lineRule="exact"/>
                              <w:ind w:left="13"/>
                              <w:rPr>
                                <w:rFonts w:ascii="Times New Roman"/>
                                <w:sz w:val="21"/>
                              </w:rPr>
                            </w:pPr>
                            <w:r>
                              <w:rPr>
                                <w:rFonts w:ascii="Times New Roman"/>
                                <w:sz w:val="21"/>
                              </w:rPr>
                              <w:t>15.4</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4" w:line="238" w:lineRule="exact"/>
                              <w:ind w:left="10"/>
                              <w:rPr>
                                <w:rFonts w:ascii="Times New Roman"/>
                                <w:sz w:val="21"/>
                              </w:rPr>
                            </w:pPr>
                            <w:r>
                              <w:rPr>
                                <w:rFonts w:ascii="Times New Roman"/>
                                <w:w w:val="99"/>
                                <w:sz w:val="21"/>
                              </w:rPr>
                              <w:t>8</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3" w:right="34"/>
                              <w:rPr>
                                <w:sz w:val="21"/>
                              </w:rPr>
                            </w:pPr>
                            <w:r>
                              <w:rPr>
                                <w:sz w:val="21"/>
                              </w:rPr>
                              <w:t>矿井设计工作制度</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 w:line="251"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8" w:right="34"/>
                              <w:rPr>
                                <w:sz w:val="21"/>
                              </w:rPr>
                            </w:pPr>
                            <w:r>
                              <w:rPr>
                                <w:sz w:val="21"/>
                              </w:rPr>
                              <w:t>年工作天数</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5" w:line="237" w:lineRule="exact"/>
                              <w:ind w:left="15"/>
                              <w:rPr>
                                <w:rFonts w:ascii="Times New Roman"/>
                                <w:sz w:val="21"/>
                              </w:rPr>
                            </w:pPr>
                            <w:r>
                              <w:rPr>
                                <w:rFonts w:ascii="Times New Roman"/>
                                <w:w w:val="99"/>
                                <w:sz w:val="21"/>
                              </w:rPr>
                              <w:t>d</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5" w:line="237" w:lineRule="exact"/>
                              <w:ind w:left="13"/>
                              <w:rPr>
                                <w:rFonts w:ascii="Times New Roman"/>
                                <w:sz w:val="21"/>
                              </w:rPr>
                            </w:pPr>
                            <w:r>
                              <w:rPr>
                                <w:rFonts w:ascii="Times New Roman"/>
                                <w:sz w:val="21"/>
                              </w:rPr>
                              <w:t>330</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3"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3" w:lineRule="exact"/>
                              <w:ind w:left="48" w:right="34"/>
                              <w:rPr>
                                <w:sz w:val="21"/>
                              </w:rPr>
                            </w:pPr>
                            <w:r>
                              <w:rPr>
                                <w:sz w:val="21"/>
                              </w:rPr>
                              <w:t>日工作班数</w:t>
                            </w:r>
                          </w:p>
                        </w:tc>
                        <w:tc>
                          <w:tcPr>
                            <w:tcW w:w="891" w:type="dxa"/>
                            <w:tcBorders>
                              <w:top w:val="single" w:color="000000" w:sz="4" w:space="0"/>
                              <w:left w:val="single" w:color="000000" w:sz="4" w:space="0"/>
                              <w:bottom w:val="single" w:color="000000" w:sz="4" w:space="0"/>
                              <w:right w:val="single" w:color="000000" w:sz="4" w:space="0"/>
                            </w:tcBorders>
                          </w:tcPr>
                          <w:p>
                            <w:pPr>
                              <w:pStyle w:val="14"/>
                              <w:spacing w:line="253" w:lineRule="exact"/>
                              <w:ind w:left="10"/>
                              <w:rPr>
                                <w:sz w:val="21"/>
                              </w:rPr>
                            </w:pPr>
                            <w:r>
                              <w:rPr>
                                <w:w w:val="99"/>
                                <w:sz w:val="21"/>
                              </w:rPr>
                              <w:t>班</w:t>
                            </w:r>
                          </w:p>
                        </w:tc>
                        <w:tc>
                          <w:tcPr>
                            <w:tcW w:w="3556" w:type="dxa"/>
                            <w:tcBorders>
                              <w:top w:val="single" w:color="000000" w:sz="4" w:space="0"/>
                              <w:left w:val="single" w:color="000000" w:sz="4" w:space="0"/>
                              <w:bottom w:val="single" w:color="000000" w:sz="4" w:space="0"/>
                              <w:right w:val="single" w:color="000000" w:sz="4" w:space="0"/>
                            </w:tcBorders>
                          </w:tcPr>
                          <w:p>
                            <w:pPr>
                              <w:pStyle w:val="14"/>
                              <w:spacing w:line="253" w:lineRule="exact"/>
                              <w:ind w:left="12"/>
                              <w:rPr>
                                <w:sz w:val="21"/>
                              </w:rPr>
                            </w:pPr>
                            <w:r>
                              <w:rPr>
                                <w:sz w:val="21"/>
                              </w:rPr>
                              <w:t>井上：</w:t>
                            </w:r>
                            <w:r>
                              <w:rPr>
                                <w:rFonts w:ascii="Times New Roman" w:eastAsia="Times New Roman"/>
                                <w:sz w:val="21"/>
                              </w:rPr>
                              <w:t xml:space="preserve">3 </w:t>
                            </w:r>
                            <w:r>
                              <w:rPr>
                                <w:sz w:val="21"/>
                              </w:rPr>
                              <w:t xml:space="preserve">班 井下 </w:t>
                            </w:r>
                            <w:r>
                              <w:rPr>
                                <w:rFonts w:ascii="Times New Roman" w:eastAsia="Times New Roman"/>
                                <w:sz w:val="21"/>
                              </w:rPr>
                              <w:t xml:space="preserve">4 </w:t>
                            </w:r>
                            <w:r>
                              <w:rPr>
                                <w:sz w:val="21"/>
                              </w:rPr>
                              <w:t>班</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4" w:line="238" w:lineRule="exact"/>
                              <w:ind w:left="10"/>
                              <w:rPr>
                                <w:rFonts w:ascii="Times New Roman"/>
                                <w:sz w:val="21"/>
                              </w:rPr>
                            </w:pPr>
                            <w:r>
                              <w:rPr>
                                <w:rFonts w:ascii="Times New Roman"/>
                                <w:w w:val="99"/>
                                <w:sz w:val="21"/>
                              </w:rPr>
                              <w:t>9</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3" w:right="34"/>
                              <w:rPr>
                                <w:sz w:val="21"/>
                              </w:rPr>
                            </w:pPr>
                            <w:r>
                              <w:rPr>
                                <w:sz w:val="21"/>
                              </w:rPr>
                              <w:t>井田开拓</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9" w:hRule="atLeast"/>
                        </w:trPr>
                        <w:tc>
                          <w:tcPr>
                            <w:tcW w:w="1004" w:type="dxa"/>
                            <w:tcBorders>
                              <w:top w:val="single" w:color="000000" w:sz="4" w:space="0"/>
                              <w:right w:val="single" w:color="000000" w:sz="4" w:space="0"/>
                            </w:tcBorders>
                          </w:tcPr>
                          <w:p>
                            <w:pPr>
                              <w:pStyle w:val="14"/>
                              <w:spacing w:before="1" w:line="248"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right w:val="single" w:color="000000" w:sz="4" w:space="0"/>
                            </w:tcBorders>
                          </w:tcPr>
                          <w:p>
                            <w:pPr>
                              <w:pStyle w:val="14"/>
                              <w:spacing w:before="1" w:line="248" w:lineRule="exact"/>
                              <w:ind w:left="43" w:right="34"/>
                              <w:rPr>
                                <w:sz w:val="21"/>
                              </w:rPr>
                            </w:pPr>
                            <w:r>
                              <w:rPr>
                                <w:sz w:val="21"/>
                              </w:rPr>
                              <w:t>开拓方式</w:t>
                            </w:r>
                          </w:p>
                        </w:tc>
                        <w:tc>
                          <w:tcPr>
                            <w:tcW w:w="891" w:type="dxa"/>
                            <w:tcBorders>
                              <w:top w:val="single" w:color="000000" w:sz="4" w:space="0"/>
                              <w:left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right w:val="single" w:color="000000" w:sz="4" w:space="0"/>
                            </w:tcBorders>
                          </w:tcPr>
                          <w:p>
                            <w:pPr>
                              <w:pStyle w:val="14"/>
                              <w:spacing w:before="1" w:line="248" w:lineRule="exact"/>
                              <w:ind w:left="12"/>
                              <w:rPr>
                                <w:sz w:val="21"/>
                              </w:rPr>
                            </w:pPr>
                            <w:r>
                              <w:rPr>
                                <w:sz w:val="21"/>
                              </w:rPr>
                              <w:t>斜井开拓</w:t>
                            </w:r>
                          </w:p>
                        </w:tc>
                        <w:tc>
                          <w:tcPr>
                            <w:tcW w:w="1227" w:type="dxa"/>
                            <w:tcBorders>
                              <w:top w:val="single" w:color="000000" w:sz="4" w:space="0"/>
                              <w:left w:val="single" w:color="000000" w:sz="4" w:space="0"/>
                            </w:tcBorders>
                          </w:tcPr>
                          <w:p>
                            <w:pPr>
                              <w:pStyle w:val="14"/>
                              <w:jc w:val="left"/>
                              <w:rPr>
                                <w:rFonts w:ascii="Times New Roman"/>
                                <w:sz w:val="20"/>
                              </w:rPr>
                            </w:pPr>
                          </w:p>
                        </w:tc>
                      </w:tr>
                    </w:tbl>
                    <w:p>
                      <w:pPr>
                        <w:pStyle w:val="6"/>
                      </w:pPr>
                    </w:p>
                  </w:txbxContent>
                </v:textbox>
              </v:shape>
            </w:pict>
          </mc:Fallback>
        </mc:AlternateContent>
      </w:r>
      <w:r>
        <w:rPr>
          <w:sz w:val="24"/>
        </w:rPr>
        <w:t>本项目工程总投资为</w:t>
      </w:r>
      <w:r>
        <w:rPr>
          <w:spacing w:val="-61"/>
          <w:sz w:val="24"/>
        </w:rPr>
        <w:t xml:space="preserve"> </w:t>
      </w:r>
      <w:r>
        <w:rPr>
          <w:sz w:val="24"/>
        </w:rPr>
        <w:t>6755.07</w:t>
      </w:r>
      <w:r>
        <w:rPr>
          <w:spacing w:val="-60"/>
          <w:sz w:val="24"/>
        </w:rPr>
        <w:t xml:space="preserve"> </w:t>
      </w:r>
      <w:r>
        <w:rPr>
          <w:sz w:val="24"/>
        </w:rPr>
        <w:t>万元。工程主要技术经济指标见表</w:t>
      </w:r>
      <w:r>
        <w:rPr>
          <w:spacing w:val="-60"/>
          <w:sz w:val="24"/>
        </w:rPr>
        <w:t xml:space="preserve"> </w:t>
      </w:r>
      <w:r>
        <w:rPr>
          <w:rFonts w:ascii="Times New Roman" w:eastAsia="Times New Roman"/>
          <w:sz w:val="24"/>
        </w:rPr>
        <w:t>3.2-3</w:t>
      </w:r>
      <w:r>
        <w:rPr>
          <w:spacing w:val="-16"/>
          <w:sz w:val="24"/>
        </w:rPr>
        <w:t>。</w:t>
      </w:r>
      <w:r>
        <w:rPr>
          <w:b/>
          <w:sz w:val="24"/>
        </w:rPr>
        <w:t>表</w:t>
      </w:r>
      <w:r>
        <w:rPr>
          <w:b/>
          <w:spacing w:val="-62"/>
          <w:sz w:val="24"/>
        </w:rPr>
        <w:t xml:space="preserve"> </w:t>
      </w:r>
      <w:r>
        <w:rPr>
          <w:rFonts w:ascii="Times New Roman" w:eastAsia="Times New Roman"/>
          <w:b/>
          <w:sz w:val="24"/>
        </w:rPr>
        <w:t>3.2-3</w:t>
      </w:r>
      <w:r>
        <w:rPr>
          <w:rFonts w:ascii="Times New Roman" w:eastAsia="Times New Roman"/>
          <w:b/>
          <w:sz w:val="24"/>
        </w:rPr>
        <w:tab/>
      </w:r>
      <w:r>
        <w:rPr>
          <w:b/>
          <w:sz w:val="24"/>
        </w:rPr>
        <w:t>矿井设计主要技术经济指标表</w:t>
      </w:r>
    </w:p>
    <w:p>
      <w:pPr>
        <w:spacing w:after="0" w:line="304" w:lineRule="auto"/>
        <w:jc w:val="left"/>
        <w:rPr>
          <w:sz w:val="24"/>
        </w:rPr>
        <w:sectPr>
          <w:pgSz w:w="11910" w:h="16840"/>
          <w:pgMar w:top="1080" w:right="720" w:bottom="1160" w:left="760" w:header="0" w:footer="89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81" name="组合 29"/>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80" name="直线 30"/>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29"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aCLtQAAAADAQAADwAAAAAAAAABACAAAAAiAAAAZHJzL2Rvd25yZXYueG1s&#10;UEsBAhQAFAAAAAgAh07iQCLdU/Y1AgAAtgQAAA4AAAAAAAAAAQAgAAAAIwEAAGRycy9lMm9Eb2Mu&#10;eG1sUEsFBgAAAAAGAAYAWQEAAMoFAAAAAA==&#10;">
                <o:lock v:ext="edit" aspectratio="f"/>
                <v:line id="直线 30" o:spid="_x0000_s1026" o:spt="20" style="position:absolute;left:0;top:7;height:0;width:8306;" filled="f" stroked="t" coordsize="21600,21600" o:gfxdata="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HFjy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pStyle w:val="6"/>
        <w:spacing w:before="1"/>
        <w:rPr>
          <w:b/>
          <w:sz w:val="25"/>
        </w:rPr>
      </w:pPr>
    </w:p>
    <w:tbl>
      <w:tblPr>
        <w:tblStyle w:val="10"/>
        <w:tblW w:w="0" w:type="auto"/>
        <w:tblInd w:w="55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04"/>
        <w:gridCol w:w="2608"/>
        <w:gridCol w:w="891"/>
        <w:gridCol w:w="3556"/>
        <w:gridCol w:w="12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bottom w:val="single" w:color="000000" w:sz="4" w:space="0"/>
              <w:right w:val="single" w:color="000000" w:sz="4" w:space="0"/>
            </w:tcBorders>
          </w:tcPr>
          <w:p>
            <w:pPr>
              <w:pStyle w:val="14"/>
              <w:spacing w:before="2" w:line="250" w:lineRule="exact"/>
              <w:ind w:right="281"/>
              <w:jc w:val="right"/>
              <w:rPr>
                <w:sz w:val="21"/>
              </w:rPr>
            </w:pPr>
            <w:r>
              <w:rPr>
                <w:w w:val="95"/>
                <w:sz w:val="21"/>
              </w:rPr>
              <w:t>序号</w:t>
            </w:r>
          </w:p>
        </w:tc>
        <w:tc>
          <w:tcPr>
            <w:tcW w:w="2608" w:type="dxa"/>
            <w:tcBorders>
              <w:left w:val="single" w:color="000000" w:sz="4" w:space="0"/>
              <w:bottom w:val="single" w:color="000000" w:sz="4" w:space="0"/>
              <w:right w:val="single" w:color="000000" w:sz="4" w:space="0"/>
            </w:tcBorders>
          </w:tcPr>
          <w:p>
            <w:pPr>
              <w:pStyle w:val="14"/>
              <w:spacing w:before="2" w:line="250" w:lineRule="exact"/>
              <w:ind w:left="43" w:right="34"/>
              <w:rPr>
                <w:sz w:val="21"/>
              </w:rPr>
            </w:pPr>
            <w:r>
              <w:rPr>
                <w:sz w:val="21"/>
              </w:rPr>
              <w:t>指标名称</w:t>
            </w:r>
          </w:p>
        </w:tc>
        <w:tc>
          <w:tcPr>
            <w:tcW w:w="891" w:type="dxa"/>
            <w:tcBorders>
              <w:left w:val="single" w:color="000000" w:sz="4" w:space="0"/>
              <w:bottom w:val="single" w:color="000000" w:sz="4" w:space="0"/>
              <w:right w:val="single" w:color="000000" w:sz="4" w:space="0"/>
            </w:tcBorders>
          </w:tcPr>
          <w:p>
            <w:pPr>
              <w:pStyle w:val="14"/>
              <w:spacing w:before="2" w:line="250" w:lineRule="exact"/>
              <w:ind w:left="237"/>
              <w:jc w:val="left"/>
              <w:rPr>
                <w:sz w:val="21"/>
              </w:rPr>
            </w:pPr>
            <w:r>
              <w:rPr>
                <w:sz w:val="21"/>
              </w:rPr>
              <w:t>单位</w:t>
            </w:r>
          </w:p>
        </w:tc>
        <w:tc>
          <w:tcPr>
            <w:tcW w:w="3556" w:type="dxa"/>
            <w:tcBorders>
              <w:left w:val="single" w:color="000000" w:sz="4" w:space="0"/>
              <w:bottom w:val="single" w:color="000000" w:sz="4" w:space="0"/>
              <w:right w:val="single" w:color="000000" w:sz="4" w:space="0"/>
            </w:tcBorders>
          </w:tcPr>
          <w:p>
            <w:pPr>
              <w:pStyle w:val="14"/>
              <w:spacing w:before="2" w:line="250" w:lineRule="exact"/>
              <w:ind w:left="10"/>
              <w:rPr>
                <w:sz w:val="21"/>
              </w:rPr>
            </w:pPr>
            <w:r>
              <w:rPr>
                <w:sz w:val="21"/>
              </w:rPr>
              <w:t>指标</w:t>
            </w:r>
          </w:p>
        </w:tc>
        <w:tc>
          <w:tcPr>
            <w:tcW w:w="1227" w:type="dxa"/>
            <w:tcBorders>
              <w:left w:val="single" w:color="000000" w:sz="4" w:space="0"/>
              <w:bottom w:val="single" w:color="000000" w:sz="4" w:space="0"/>
            </w:tcBorders>
          </w:tcPr>
          <w:p>
            <w:pPr>
              <w:pStyle w:val="14"/>
              <w:spacing w:before="2" w:line="250" w:lineRule="exact"/>
              <w:ind w:left="405"/>
              <w:jc w:val="left"/>
              <w:rPr>
                <w:sz w:val="21"/>
              </w:rPr>
            </w:pPr>
            <w:r>
              <w:rPr>
                <w:sz w:val="21"/>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3" w:right="34"/>
              <w:rPr>
                <w:sz w:val="21"/>
              </w:rPr>
            </w:pPr>
            <w:r>
              <w:rPr>
                <w:sz w:val="21"/>
              </w:rPr>
              <w:t>水平数目</w:t>
            </w:r>
          </w:p>
        </w:tc>
        <w:tc>
          <w:tcPr>
            <w:tcW w:w="891" w:type="dxa"/>
            <w:tcBorders>
              <w:top w:val="single" w:color="000000" w:sz="4" w:space="0"/>
              <w:left w:val="single" w:color="000000" w:sz="4" w:space="0"/>
              <w:bottom w:val="single" w:color="000000" w:sz="4" w:space="0"/>
              <w:right w:val="single" w:color="000000" w:sz="4" w:space="0"/>
            </w:tcBorders>
          </w:tcPr>
          <w:p>
            <w:pPr>
              <w:pStyle w:val="14"/>
              <w:spacing w:line="252" w:lineRule="exact"/>
              <w:ind w:left="10"/>
              <w:rPr>
                <w:sz w:val="21"/>
              </w:rPr>
            </w:pPr>
            <w:r>
              <w:rPr>
                <w:w w:val="99"/>
                <w:sz w:val="21"/>
              </w:rPr>
              <w:t>个</w:t>
            </w:r>
          </w:p>
        </w:tc>
        <w:tc>
          <w:tcPr>
            <w:tcW w:w="3556" w:type="dxa"/>
            <w:tcBorders>
              <w:top w:val="single" w:color="000000" w:sz="4" w:space="0"/>
              <w:left w:val="single" w:color="000000" w:sz="4" w:space="0"/>
              <w:bottom w:val="single" w:color="000000" w:sz="4" w:space="0"/>
              <w:right w:val="single" w:color="000000" w:sz="4" w:space="0"/>
            </w:tcBorders>
          </w:tcPr>
          <w:p>
            <w:pPr>
              <w:pStyle w:val="14"/>
              <w:spacing w:line="252" w:lineRule="exact"/>
              <w:ind w:left="12"/>
              <w:rPr>
                <w:sz w:val="21"/>
              </w:rPr>
            </w:pPr>
            <w:r>
              <w:rPr>
                <w:rFonts w:ascii="Times New Roman" w:eastAsia="Times New Roman"/>
                <w:sz w:val="21"/>
              </w:rPr>
              <w:t xml:space="preserve">1 </w:t>
            </w:r>
            <w:r>
              <w:rPr>
                <w:sz w:val="21"/>
              </w:rPr>
              <w:t>个</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 w:line="251" w:lineRule="exact"/>
              <w:ind w:right="227"/>
              <w:jc w:val="right"/>
              <w:rPr>
                <w:sz w:val="21"/>
              </w:rPr>
            </w:pPr>
            <w:r>
              <w:rPr>
                <w:sz w:val="21"/>
              </w:rPr>
              <w:t>（</w:t>
            </w:r>
            <w:r>
              <w:rPr>
                <w:rFonts w:ascii="Times New Roman" w:eastAsia="Times New Roman"/>
                <w:sz w:val="21"/>
              </w:rPr>
              <w:t>3</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6" w:right="34"/>
              <w:rPr>
                <w:sz w:val="21"/>
              </w:rPr>
            </w:pPr>
            <w:r>
              <w:rPr>
                <w:sz w:val="21"/>
              </w:rPr>
              <w:t>第一水平标高</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4" w:line="237" w:lineRule="exact"/>
              <w:ind w:left="11"/>
              <w:rPr>
                <w:rFonts w:ascii="Times New Roman"/>
                <w:sz w:val="21"/>
              </w:rPr>
            </w:pPr>
            <w:r>
              <w:rPr>
                <w:rFonts w:ascii="Times New Roman"/>
                <w:w w:val="99"/>
                <w:sz w:val="21"/>
              </w:rPr>
              <w:t>m</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7" w:lineRule="exact"/>
              <w:ind w:left="13"/>
              <w:rPr>
                <w:rFonts w:ascii="Times New Roman"/>
                <w:sz w:val="21"/>
              </w:rPr>
            </w:pPr>
            <w:r>
              <w:rPr>
                <w:rFonts w:ascii="Times New Roman"/>
                <w:sz w:val="21"/>
              </w:rPr>
              <w:t>-30</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04" w:type="dxa"/>
            <w:tcBorders>
              <w:top w:val="single" w:color="000000" w:sz="4" w:space="0"/>
              <w:bottom w:val="single" w:color="000000" w:sz="4" w:space="0"/>
              <w:right w:val="single" w:color="000000" w:sz="4" w:space="0"/>
            </w:tcBorders>
          </w:tcPr>
          <w:p>
            <w:pPr>
              <w:pStyle w:val="14"/>
              <w:spacing w:before="2" w:line="250" w:lineRule="exact"/>
              <w:ind w:right="227"/>
              <w:jc w:val="right"/>
              <w:rPr>
                <w:sz w:val="21"/>
              </w:rPr>
            </w:pPr>
            <w:r>
              <w:rPr>
                <w:sz w:val="21"/>
              </w:rPr>
              <w:t>（</w:t>
            </w:r>
            <w:r>
              <w:rPr>
                <w:rFonts w:ascii="Times New Roman" w:eastAsia="Times New Roman"/>
                <w:sz w:val="21"/>
              </w:rPr>
              <w:t>4</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2" w:line="250" w:lineRule="exact"/>
              <w:ind w:left="46" w:right="34"/>
              <w:rPr>
                <w:sz w:val="21"/>
              </w:rPr>
            </w:pPr>
            <w:r>
              <w:rPr>
                <w:sz w:val="21"/>
              </w:rPr>
              <w:t>回风水平标高</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6" w:line="236" w:lineRule="exact"/>
              <w:ind w:left="11"/>
              <w:rPr>
                <w:rFonts w:ascii="Times New Roman"/>
                <w:sz w:val="21"/>
              </w:rPr>
            </w:pPr>
            <w:r>
              <w:rPr>
                <w:rFonts w:ascii="Times New Roman"/>
                <w:w w:val="99"/>
                <w:sz w:val="21"/>
              </w:rPr>
              <w:t>m</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6" w:line="236" w:lineRule="exact"/>
              <w:ind w:left="13"/>
              <w:rPr>
                <w:rFonts w:ascii="Times New Roman"/>
                <w:sz w:val="21"/>
              </w:rPr>
            </w:pPr>
            <w:r>
              <w:rPr>
                <w:rFonts w:ascii="Times New Roman"/>
                <w:sz w:val="21"/>
              </w:rPr>
              <w:t>-30</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004" w:type="dxa"/>
            <w:tcBorders>
              <w:top w:val="single" w:color="000000" w:sz="4" w:space="0"/>
              <w:bottom w:val="single" w:color="000000" w:sz="4" w:space="0"/>
              <w:right w:val="single" w:color="000000" w:sz="4" w:space="0"/>
            </w:tcBorders>
          </w:tcPr>
          <w:p>
            <w:pPr>
              <w:pStyle w:val="14"/>
              <w:spacing w:before="1" w:line="252" w:lineRule="exact"/>
              <w:ind w:right="227"/>
              <w:jc w:val="right"/>
              <w:rPr>
                <w:sz w:val="21"/>
              </w:rPr>
            </w:pPr>
            <w:r>
              <w:rPr>
                <w:sz w:val="21"/>
              </w:rPr>
              <w:t>（</w:t>
            </w:r>
            <w:r>
              <w:rPr>
                <w:rFonts w:ascii="Times New Roman" w:eastAsia="Times New Roman"/>
                <w:sz w:val="21"/>
              </w:rPr>
              <w:t>5</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43" w:right="34"/>
              <w:rPr>
                <w:sz w:val="21"/>
              </w:rPr>
            </w:pPr>
            <w:r>
              <w:rPr>
                <w:sz w:val="21"/>
              </w:rPr>
              <w:t>大巷主要运输方式</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940"/>
              <w:jc w:val="left"/>
              <w:rPr>
                <w:sz w:val="21"/>
              </w:rPr>
            </w:pPr>
            <w:r>
              <w:rPr>
                <w:sz w:val="21"/>
              </w:rPr>
              <w:t>胶带机连续化运输</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04" w:type="dxa"/>
            <w:tcBorders>
              <w:top w:val="single" w:color="000000" w:sz="4" w:space="0"/>
              <w:bottom w:val="single" w:color="000000" w:sz="4" w:space="0"/>
              <w:right w:val="single" w:color="000000" w:sz="4" w:space="0"/>
            </w:tcBorders>
          </w:tcPr>
          <w:p>
            <w:pPr>
              <w:pStyle w:val="14"/>
              <w:spacing w:before="1" w:line="251" w:lineRule="exact"/>
              <w:ind w:right="227"/>
              <w:jc w:val="right"/>
              <w:rPr>
                <w:sz w:val="21"/>
              </w:rPr>
            </w:pPr>
            <w:r>
              <w:rPr>
                <w:sz w:val="21"/>
              </w:rPr>
              <w:t>（</w:t>
            </w:r>
            <w:r>
              <w:rPr>
                <w:rFonts w:ascii="Times New Roman" w:eastAsia="Times New Roman"/>
                <w:sz w:val="21"/>
              </w:rPr>
              <w:t>6</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3" w:right="34"/>
              <w:rPr>
                <w:sz w:val="21"/>
              </w:rPr>
            </w:pPr>
            <w:r>
              <w:rPr>
                <w:sz w:val="21"/>
              </w:rPr>
              <w:t>大巷辅助运输方式</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10"/>
              <w:rPr>
                <w:sz w:val="21"/>
              </w:rPr>
            </w:pPr>
            <w:r>
              <w:rPr>
                <w:sz w:val="21"/>
              </w:rPr>
              <w:t>矿车</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6" w:line="236" w:lineRule="exact"/>
              <w:ind w:left="357" w:right="347"/>
              <w:rPr>
                <w:rFonts w:ascii="Times New Roman"/>
                <w:sz w:val="21"/>
              </w:rPr>
            </w:pPr>
            <w:r>
              <w:rPr>
                <w:rFonts w:ascii="Times New Roman"/>
                <w:sz w:val="21"/>
              </w:rPr>
              <w:t>10</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2" w:line="250" w:lineRule="exact"/>
              <w:ind w:left="46" w:right="34"/>
              <w:rPr>
                <w:sz w:val="21"/>
              </w:rPr>
            </w:pPr>
            <w:r>
              <w:rPr>
                <w:sz w:val="21"/>
              </w:rPr>
              <w:t>采区</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 w:line="252"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46" w:right="34"/>
              <w:rPr>
                <w:sz w:val="21"/>
              </w:rPr>
            </w:pPr>
            <w:r>
              <w:rPr>
                <w:sz w:val="21"/>
              </w:rPr>
              <w:t>回采工作面个数</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10"/>
              <w:rPr>
                <w:sz w:val="21"/>
              </w:rPr>
            </w:pPr>
            <w:r>
              <w:rPr>
                <w:w w:val="99"/>
                <w:sz w:val="21"/>
              </w:rPr>
              <w:t>个</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5" w:line="238" w:lineRule="exact"/>
              <w:ind w:left="13"/>
              <w:rPr>
                <w:rFonts w:ascii="Times New Roman"/>
                <w:sz w:val="21"/>
              </w:rPr>
            </w:pPr>
            <w:r>
              <w:rPr>
                <w:rFonts w:ascii="Times New Roman"/>
                <w:w w:val="99"/>
                <w:sz w:val="21"/>
              </w:rPr>
              <w:t>1</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 w:line="251"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6" w:right="34"/>
              <w:rPr>
                <w:sz w:val="21"/>
              </w:rPr>
            </w:pPr>
            <w:r>
              <w:rPr>
                <w:sz w:val="21"/>
              </w:rPr>
              <w:t>掘进工作面个数</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10"/>
              <w:rPr>
                <w:sz w:val="21"/>
              </w:rPr>
            </w:pPr>
            <w:r>
              <w:rPr>
                <w:w w:val="99"/>
                <w:sz w:val="21"/>
              </w:rPr>
              <w:t>个</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5" w:line="237" w:lineRule="exact"/>
              <w:ind w:left="13"/>
              <w:rPr>
                <w:rFonts w:ascii="Times New Roman"/>
                <w:sz w:val="21"/>
              </w:rPr>
            </w:pPr>
            <w:r>
              <w:rPr>
                <w:rFonts w:ascii="Times New Roman"/>
                <w:w w:val="99"/>
                <w:sz w:val="21"/>
              </w:rPr>
              <w:t>2</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3</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3" w:right="34"/>
              <w:rPr>
                <w:sz w:val="21"/>
              </w:rPr>
            </w:pPr>
            <w:r>
              <w:rPr>
                <w:sz w:val="21"/>
              </w:rPr>
              <w:t>采煤方法</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spacing w:line="252" w:lineRule="exact"/>
              <w:ind w:left="12"/>
              <w:rPr>
                <w:sz w:val="21"/>
              </w:rPr>
            </w:pPr>
            <w:r>
              <w:rPr>
                <w:sz w:val="21"/>
              </w:rPr>
              <w:t>走向长壁</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 w:line="252" w:lineRule="exact"/>
              <w:ind w:right="227"/>
              <w:jc w:val="right"/>
              <w:rPr>
                <w:sz w:val="21"/>
              </w:rPr>
            </w:pPr>
            <w:r>
              <w:rPr>
                <w:sz w:val="21"/>
              </w:rPr>
              <w:t>（</w:t>
            </w:r>
            <w:r>
              <w:rPr>
                <w:rFonts w:ascii="Times New Roman" w:eastAsia="Times New Roman"/>
                <w:sz w:val="21"/>
              </w:rPr>
              <w:t>4</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46" w:right="34"/>
              <w:rPr>
                <w:sz w:val="21"/>
              </w:rPr>
            </w:pPr>
            <w:r>
              <w:rPr>
                <w:sz w:val="21"/>
              </w:rPr>
              <w:t>主要采煤设备</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jc w:val="left"/>
              <w:rPr>
                <w:rFonts w:ascii="Times New Roman"/>
                <w:sz w:val="20"/>
              </w:rPr>
            </w:pP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sz w:val="21"/>
              </w:rPr>
              <w:t>采煤机</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3" w:line="239" w:lineRule="exact"/>
              <w:ind w:left="983"/>
              <w:jc w:val="left"/>
              <w:rPr>
                <w:rFonts w:ascii="Times New Roman"/>
                <w:sz w:val="21"/>
              </w:rPr>
            </w:pPr>
            <w:r>
              <w:rPr>
                <w:rFonts w:ascii="Times New Roman"/>
                <w:sz w:val="21"/>
              </w:rPr>
              <w:t>MG100-240-BWD</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jc w:val="left"/>
              <w:rPr>
                <w:rFonts w:ascii="Times New Roman"/>
                <w:sz w:val="20"/>
              </w:rPr>
            </w:pP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sz w:val="21"/>
              </w:rPr>
              <w:t>支架</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8" w:lineRule="exact"/>
              <w:ind w:left="1185"/>
              <w:jc w:val="left"/>
              <w:rPr>
                <w:rFonts w:ascii="Times New Roman"/>
                <w:sz w:val="21"/>
              </w:rPr>
            </w:pPr>
            <w:r>
              <w:rPr>
                <w:rFonts w:ascii="Times New Roman"/>
                <w:sz w:val="21"/>
              </w:rPr>
              <w:t>DZ08-25/80G</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jc w:val="left"/>
              <w:rPr>
                <w:rFonts w:ascii="Times New Roman"/>
                <w:sz w:val="20"/>
              </w:rPr>
            </w:pP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46" w:right="34"/>
              <w:rPr>
                <w:sz w:val="21"/>
              </w:rPr>
            </w:pPr>
            <w:r>
              <w:rPr>
                <w:sz w:val="21"/>
              </w:rPr>
              <w:t>运输机</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5" w:line="238" w:lineRule="exact"/>
              <w:ind w:left="1098"/>
              <w:jc w:val="left"/>
              <w:rPr>
                <w:rFonts w:ascii="Times New Roman"/>
                <w:sz w:val="21"/>
              </w:rPr>
            </w:pPr>
            <w:r>
              <w:rPr>
                <w:rFonts w:ascii="Times New Roman"/>
                <w:sz w:val="21"/>
              </w:rPr>
              <w:t>SGB630/150CT</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3" w:line="239" w:lineRule="exact"/>
              <w:ind w:left="358" w:right="343"/>
              <w:rPr>
                <w:rFonts w:ascii="Times New Roman"/>
                <w:sz w:val="21"/>
              </w:rPr>
            </w:pPr>
            <w:r>
              <w:rPr>
                <w:rFonts w:ascii="Times New Roman"/>
                <w:sz w:val="21"/>
              </w:rPr>
              <w:t>11</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8" w:right="34"/>
              <w:rPr>
                <w:sz w:val="21"/>
              </w:rPr>
            </w:pPr>
            <w:r>
              <w:rPr>
                <w:sz w:val="21"/>
              </w:rPr>
              <w:t>井巷工程量</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3"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3" w:lineRule="exact"/>
              <w:ind w:left="43" w:right="34"/>
              <w:rPr>
                <w:sz w:val="21"/>
              </w:rPr>
            </w:pPr>
            <w:r>
              <w:rPr>
                <w:sz w:val="21"/>
              </w:rPr>
              <w:t>巷道长度</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4" w:line="239" w:lineRule="exact"/>
              <w:ind w:left="11"/>
              <w:rPr>
                <w:rFonts w:ascii="Times New Roman"/>
                <w:sz w:val="21"/>
              </w:rPr>
            </w:pPr>
            <w:r>
              <w:rPr>
                <w:rFonts w:ascii="Times New Roman"/>
                <w:w w:val="99"/>
                <w:sz w:val="21"/>
              </w:rPr>
              <w:t>m</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9" w:lineRule="exact"/>
              <w:ind w:left="13"/>
              <w:rPr>
                <w:rFonts w:ascii="Times New Roman"/>
                <w:sz w:val="21"/>
              </w:rPr>
            </w:pPr>
            <w:r>
              <w:rPr>
                <w:rFonts w:ascii="Times New Roman"/>
                <w:sz w:val="21"/>
              </w:rPr>
              <w:t>6005</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1"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1" w:lineRule="exact"/>
              <w:ind w:left="43" w:right="34"/>
              <w:rPr>
                <w:sz w:val="21"/>
              </w:rPr>
            </w:pPr>
            <w:r>
              <w:rPr>
                <w:sz w:val="21"/>
              </w:rPr>
              <w:t>掘进体积</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5" w:line="237" w:lineRule="exact"/>
              <w:ind w:left="290" w:right="277"/>
              <w:rPr>
                <w:rFonts w:ascii="Times New Roman"/>
                <w:sz w:val="13"/>
              </w:rPr>
            </w:pPr>
            <w:r>
              <w:rPr>
                <w:rFonts w:ascii="Times New Roman"/>
                <w:position w:val="-6"/>
                <w:sz w:val="21"/>
              </w:rPr>
              <w:t>m</w:t>
            </w:r>
            <w:r>
              <w:rPr>
                <w:rFonts w:ascii="Times New Roman"/>
                <w:sz w:val="13"/>
              </w:rPr>
              <w:t>3</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7" w:lineRule="exact"/>
              <w:ind w:left="11"/>
              <w:rPr>
                <w:rFonts w:ascii="Times New Roman"/>
                <w:sz w:val="21"/>
              </w:rPr>
            </w:pPr>
            <w:r>
              <w:rPr>
                <w:rFonts w:ascii="Times New Roman"/>
                <w:sz w:val="21"/>
              </w:rPr>
              <w:t>43302</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3</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8" w:right="34"/>
              <w:rPr>
                <w:sz w:val="21"/>
              </w:rPr>
            </w:pPr>
            <w:r>
              <w:rPr>
                <w:sz w:val="21"/>
              </w:rPr>
              <w:t>万吨掘进率</w:t>
            </w:r>
          </w:p>
        </w:tc>
        <w:tc>
          <w:tcPr>
            <w:tcW w:w="891" w:type="dxa"/>
            <w:tcBorders>
              <w:top w:val="single" w:color="000000" w:sz="4" w:space="0"/>
              <w:left w:val="single" w:color="000000" w:sz="4" w:space="0"/>
              <w:bottom w:val="single" w:color="000000" w:sz="4" w:space="0"/>
              <w:right w:val="single" w:color="000000" w:sz="4" w:space="0"/>
            </w:tcBorders>
          </w:tcPr>
          <w:p>
            <w:pPr>
              <w:pStyle w:val="14"/>
              <w:spacing w:line="252" w:lineRule="exact"/>
              <w:ind w:left="177"/>
              <w:jc w:val="left"/>
              <w:rPr>
                <w:rFonts w:ascii="Times New Roman" w:eastAsia="Times New Roman"/>
                <w:sz w:val="21"/>
              </w:rPr>
            </w:pPr>
            <w:r>
              <w:rPr>
                <w:rFonts w:ascii="Times New Roman" w:eastAsia="Times New Roman"/>
                <w:sz w:val="21"/>
              </w:rPr>
              <w:t>m/</w:t>
            </w:r>
            <w:r>
              <w:rPr>
                <w:sz w:val="21"/>
              </w:rPr>
              <w:t xml:space="preserve">万 </w:t>
            </w:r>
            <w:r>
              <w:rPr>
                <w:rFonts w:ascii="Times New Roman" w:eastAsia="Times New Roman"/>
                <w:sz w:val="21"/>
              </w:rPr>
              <w:t>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3" w:line="239" w:lineRule="exact"/>
              <w:ind w:left="14"/>
              <w:rPr>
                <w:rFonts w:ascii="Times New Roman"/>
                <w:sz w:val="21"/>
              </w:rPr>
            </w:pPr>
            <w:r>
              <w:rPr>
                <w:rFonts w:ascii="Times New Roman"/>
                <w:sz w:val="21"/>
              </w:rPr>
              <w:t>200.</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4" w:line="238" w:lineRule="exact"/>
              <w:ind w:left="357" w:right="347"/>
              <w:rPr>
                <w:rFonts w:ascii="Times New Roman"/>
                <w:sz w:val="21"/>
              </w:rPr>
            </w:pPr>
            <w:r>
              <w:rPr>
                <w:rFonts w:ascii="Times New Roman"/>
                <w:sz w:val="21"/>
              </w:rPr>
              <w:t>12</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sz w:val="21"/>
              </w:rPr>
              <w:t>矿井主要设备</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04" w:type="dxa"/>
            <w:tcBorders>
              <w:top w:val="single" w:color="000000" w:sz="4" w:space="0"/>
              <w:bottom w:val="single" w:color="000000" w:sz="4" w:space="0"/>
              <w:right w:val="single" w:color="000000" w:sz="4" w:space="0"/>
            </w:tcBorders>
          </w:tcPr>
          <w:p>
            <w:pPr>
              <w:pStyle w:val="14"/>
              <w:spacing w:before="1" w:line="251"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6" w:right="34"/>
              <w:rPr>
                <w:sz w:val="21"/>
              </w:rPr>
            </w:pPr>
            <w:r>
              <w:rPr>
                <w:sz w:val="21"/>
              </w:rPr>
              <w:t>主井提升设备</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10"/>
              <w:rPr>
                <w:sz w:val="21"/>
              </w:rPr>
            </w:pPr>
            <w:r>
              <w:rPr>
                <w:w w:val="99"/>
                <w:sz w:val="21"/>
              </w:rPr>
              <w:t>台</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793"/>
              <w:jc w:val="right"/>
              <w:rPr>
                <w:sz w:val="21"/>
              </w:rPr>
            </w:pPr>
            <w:r>
              <w:rPr>
                <w:rFonts w:ascii="Times New Roman" w:eastAsia="Times New Roman"/>
                <w:sz w:val="21"/>
              </w:rPr>
              <w:t xml:space="preserve">ST/S2000 </w:t>
            </w:r>
            <w:r>
              <w:rPr>
                <w:sz w:val="21"/>
              </w:rPr>
              <w:t>胶带输送机</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sz w:val="21"/>
              </w:rPr>
              <w:t>副井提升设备</w:t>
            </w:r>
          </w:p>
        </w:tc>
        <w:tc>
          <w:tcPr>
            <w:tcW w:w="891" w:type="dxa"/>
            <w:tcBorders>
              <w:top w:val="single" w:color="000000" w:sz="4" w:space="0"/>
              <w:left w:val="single" w:color="000000" w:sz="4" w:space="0"/>
              <w:bottom w:val="single" w:color="000000" w:sz="4" w:space="0"/>
              <w:right w:val="single" w:color="000000" w:sz="4" w:space="0"/>
            </w:tcBorders>
          </w:tcPr>
          <w:p>
            <w:pPr>
              <w:pStyle w:val="14"/>
              <w:spacing w:line="252" w:lineRule="exact"/>
              <w:ind w:left="10"/>
              <w:rPr>
                <w:sz w:val="21"/>
              </w:rPr>
            </w:pPr>
            <w:r>
              <w:rPr>
                <w:w w:val="99"/>
                <w:sz w:val="21"/>
              </w:rPr>
              <w:t>台</w:t>
            </w:r>
          </w:p>
        </w:tc>
        <w:tc>
          <w:tcPr>
            <w:tcW w:w="3556" w:type="dxa"/>
            <w:tcBorders>
              <w:top w:val="single" w:color="000000" w:sz="4" w:space="0"/>
              <w:left w:val="single" w:color="000000" w:sz="4" w:space="0"/>
              <w:bottom w:val="single" w:color="000000" w:sz="4" w:space="0"/>
              <w:right w:val="single" w:color="000000" w:sz="4" w:space="0"/>
            </w:tcBorders>
          </w:tcPr>
          <w:p>
            <w:pPr>
              <w:pStyle w:val="14"/>
              <w:tabs>
                <w:tab w:val="left" w:pos="1511"/>
              </w:tabs>
              <w:spacing w:line="252" w:lineRule="exact"/>
              <w:ind w:right="826"/>
              <w:jc w:val="right"/>
              <w:rPr>
                <w:sz w:val="21"/>
              </w:rPr>
            </w:pPr>
            <w:r>
              <w:rPr>
                <w:rFonts w:ascii="Times New Roman" w:hAnsi="Times New Roman" w:eastAsia="Times New Roman"/>
                <w:sz w:val="21"/>
              </w:rPr>
              <w:t>JKB-2.5×2.3P</w:t>
            </w:r>
            <w:r>
              <w:rPr>
                <w:rFonts w:ascii="Times New Roman" w:hAnsi="Times New Roman" w:eastAsia="Times New Roman"/>
                <w:sz w:val="21"/>
              </w:rPr>
              <w:tab/>
            </w:r>
            <w:r>
              <w:rPr>
                <w:rFonts w:ascii="Times New Roman" w:hAnsi="Times New Roman" w:eastAsia="Times New Roman"/>
                <w:sz w:val="21"/>
              </w:rPr>
              <w:t>1</w:t>
            </w:r>
            <w:r>
              <w:rPr>
                <w:rFonts w:ascii="Times New Roman" w:hAnsi="Times New Roman" w:eastAsia="Times New Roman"/>
                <w:spacing w:val="-3"/>
                <w:sz w:val="21"/>
              </w:rPr>
              <w:t xml:space="preserve"> </w:t>
            </w:r>
            <w:r>
              <w:rPr>
                <w:sz w:val="21"/>
              </w:rPr>
              <w:t>台</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3</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3" w:right="34"/>
              <w:rPr>
                <w:sz w:val="21"/>
              </w:rPr>
            </w:pPr>
            <w:r>
              <w:rPr>
                <w:sz w:val="21"/>
              </w:rPr>
              <w:t>通风设备</w:t>
            </w:r>
          </w:p>
        </w:tc>
        <w:tc>
          <w:tcPr>
            <w:tcW w:w="891" w:type="dxa"/>
            <w:tcBorders>
              <w:top w:val="single" w:color="000000" w:sz="4" w:space="0"/>
              <w:left w:val="single" w:color="000000" w:sz="4" w:space="0"/>
              <w:bottom w:val="single" w:color="000000" w:sz="4" w:space="0"/>
              <w:right w:val="single" w:color="000000" w:sz="4" w:space="0"/>
            </w:tcBorders>
          </w:tcPr>
          <w:p>
            <w:pPr>
              <w:pStyle w:val="14"/>
              <w:spacing w:line="252" w:lineRule="exact"/>
              <w:ind w:left="10"/>
              <w:rPr>
                <w:sz w:val="21"/>
              </w:rPr>
            </w:pPr>
            <w:r>
              <w:rPr>
                <w:w w:val="99"/>
                <w:sz w:val="21"/>
              </w:rPr>
              <w:t>台</w:t>
            </w:r>
          </w:p>
        </w:tc>
        <w:tc>
          <w:tcPr>
            <w:tcW w:w="3556" w:type="dxa"/>
            <w:tcBorders>
              <w:top w:val="single" w:color="000000" w:sz="4" w:space="0"/>
              <w:left w:val="single" w:color="000000" w:sz="4" w:space="0"/>
              <w:bottom w:val="single" w:color="000000" w:sz="4" w:space="0"/>
              <w:right w:val="single" w:color="000000" w:sz="4" w:space="0"/>
            </w:tcBorders>
          </w:tcPr>
          <w:p>
            <w:pPr>
              <w:pStyle w:val="14"/>
              <w:tabs>
                <w:tab w:val="left" w:pos="1703"/>
              </w:tabs>
              <w:spacing w:line="252" w:lineRule="exact"/>
              <w:ind w:right="730"/>
              <w:jc w:val="right"/>
              <w:rPr>
                <w:sz w:val="21"/>
              </w:rPr>
            </w:pPr>
            <w:r>
              <w:rPr>
                <w:rFonts w:ascii="Times New Roman" w:eastAsia="Times New Roman"/>
                <w:sz w:val="21"/>
              </w:rPr>
              <w:t>FBCDZ-6No-18</w:t>
            </w:r>
            <w:r>
              <w:rPr>
                <w:rFonts w:ascii="Times New Roman" w:eastAsia="Times New Roman"/>
                <w:sz w:val="21"/>
              </w:rPr>
              <w:tab/>
            </w:r>
            <w:r>
              <w:rPr>
                <w:rFonts w:ascii="Times New Roman" w:eastAsia="Times New Roman"/>
                <w:sz w:val="21"/>
              </w:rPr>
              <w:t>2</w:t>
            </w:r>
            <w:r>
              <w:rPr>
                <w:rFonts w:ascii="Times New Roman" w:eastAsia="Times New Roman"/>
                <w:spacing w:val="-3"/>
                <w:sz w:val="21"/>
              </w:rPr>
              <w:t xml:space="preserve"> </w:t>
            </w:r>
            <w:r>
              <w:rPr>
                <w:sz w:val="21"/>
              </w:rPr>
              <w:t>台</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 w:line="251" w:lineRule="exact"/>
              <w:ind w:right="227"/>
              <w:jc w:val="right"/>
              <w:rPr>
                <w:sz w:val="21"/>
              </w:rPr>
            </w:pPr>
            <w:r>
              <w:rPr>
                <w:sz w:val="21"/>
              </w:rPr>
              <w:t>（</w:t>
            </w:r>
            <w:r>
              <w:rPr>
                <w:rFonts w:ascii="Times New Roman" w:eastAsia="Times New Roman"/>
                <w:sz w:val="21"/>
              </w:rPr>
              <w:t>4</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3" w:right="34"/>
              <w:rPr>
                <w:sz w:val="21"/>
              </w:rPr>
            </w:pPr>
            <w:r>
              <w:rPr>
                <w:sz w:val="21"/>
              </w:rPr>
              <w:t>排水设备</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10"/>
              <w:rPr>
                <w:sz w:val="21"/>
              </w:rPr>
            </w:pPr>
            <w:r>
              <w:rPr>
                <w:w w:val="99"/>
                <w:sz w:val="21"/>
              </w:rPr>
              <w:t>台</w:t>
            </w:r>
          </w:p>
        </w:tc>
        <w:tc>
          <w:tcPr>
            <w:tcW w:w="3556" w:type="dxa"/>
            <w:tcBorders>
              <w:top w:val="single" w:color="000000" w:sz="4" w:space="0"/>
              <w:left w:val="single" w:color="000000" w:sz="4" w:space="0"/>
              <w:bottom w:val="single" w:color="000000" w:sz="4" w:space="0"/>
              <w:right w:val="single" w:color="000000" w:sz="4" w:space="0"/>
            </w:tcBorders>
          </w:tcPr>
          <w:p>
            <w:pPr>
              <w:pStyle w:val="14"/>
              <w:tabs>
                <w:tab w:val="left" w:pos="2279"/>
              </w:tabs>
              <w:spacing w:before="1" w:line="251" w:lineRule="exact"/>
              <w:ind w:left="913"/>
              <w:jc w:val="left"/>
              <w:rPr>
                <w:sz w:val="21"/>
              </w:rPr>
            </w:pPr>
            <w:r>
              <w:rPr>
                <w:rFonts w:ascii="Times New Roman" w:hAnsi="Times New Roman" w:eastAsia="Times New Roman"/>
                <w:sz w:val="21"/>
              </w:rPr>
              <w:t>MD155-67×6</w:t>
            </w:r>
            <w:r>
              <w:rPr>
                <w:rFonts w:ascii="Times New Roman" w:hAnsi="Times New Roman" w:eastAsia="Times New Roman"/>
                <w:sz w:val="21"/>
              </w:rPr>
              <w:tab/>
            </w:r>
            <w:r>
              <w:rPr>
                <w:rFonts w:ascii="Times New Roman" w:hAnsi="Times New Roman" w:eastAsia="Times New Roman"/>
                <w:sz w:val="21"/>
              </w:rPr>
              <w:t xml:space="preserve">3 </w:t>
            </w:r>
            <w:r>
              <w:rPr>
                <w:sz w:val="21"/>
              </w:rPr>
              <w:t>台</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5</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3" w:right="34"/>
              <w:rPr>
                <w:sz w:val="21"/>
              </w:rPr>
            </w:pPr>
            <w:r>
              <w:rPr>
                <w:sz w:val="21"/>
              </w:rPr>
              <w:t>压风设备</w:t>
            </w:r>
          </w:p>
        </w:tc>
        <w:tc>
          <w:tcPr>
            <w:tcW w:w="891" w:type="dxa"/>
            <w:tcBorders>
              <w:top w:val="single" w:color="000000" w:sz="4" w:space="0"/>
              <w:left w:val="single" w:color="000000" w:sz="4" w:space="0"/>
              <w:bottom w:val="single" w:color="000000" w:sz="4" w:space="0"/>
              <w:right w:val="single" w:color="000000" w:sz="4" w:space="0"/>
            </w:tcBorders>
          </w:tcPr>
          <w:p>
            <w:pPr>
              <w:pStyle w:val="14"/>
              <w:spacing w:line="252" w:lineRule="exact"/>
              <w:ind w:left="10"/>
              <w:rPr>
                <w:sz w:val="21"/>
              </w:rPr>
            </w:pPr>
            <w:r>
              <w:rPr>
                <w:w w:val="99"/>
                <w:sz w:val="21"/>
              </w:rPr>
              <w:t>台</w:t>
            </w:r>
          </w:p>
        </w:tc>
        <w:tc>
          <w:tcPr>
            <w:tcW w:w="3556" w:type="dxa"/>
            <w:tcBorders>
              <w:top w:val="single" w:color="000000" w:sz="4" w:space="0"/>
              <w:left w:val="single" w:color="000000" w:sz="4" w:space="0"/>
              <w:bottom w:val="single" w:color="000000" w:sz="4" w:space="0"/>
              <w:right w:val="single" w:color="000000" w:sz="4" w:space="0"/>
            </w:tcBorders>
          </w:tcPr>
          <w:p>
            <w:pPr>
              <w:pStyle w:val="14"/>
              <w:tabs>
                <w:tab w:val="left" w:pos="2135"/>
              </w:tabs>
              <w:spacing w:line="252" w:lineRule="exact"/>
              <w:ind w:left="1057"/>
              <w:jc w:val="left"/>
              <w:rPr>
                <w:sz w:val="21"/>
              </w:rPr>
            </w:pPr>
            <w:r>
              <w:rPr>
                <w:rFonts w:ascii="Times New Roman" w:eastAsia="Times New Roman"/>
                <w:sz w:val="21"/>
              </w:rPr>
              <w:t>SF-110D</w:t>
            </w:r>
            <w:r>
              <w:rPr>
                <w:rFonts w:ascii="Times New Roman" w:eastAsia="Times New Roman"/>
                <w:sz w:val="21"/>
              </w:rPr>
              <w:tab/>
            </w:r>
            <w:r>
              <w:rPr>
                <w:rFonts w:ascii="Times New Roman" w:eastAsia="Times New Roman"/>
                <w:sz w:val="21"/>
              </w:rPr>
              <w:t xml:space="preserve">2 </w:t>
            </w:r>
            <w:r>
              <w:rPr>
                <w:sz w:val="21"/>
              </w:rPr>
              <w:t>台</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5" w:line="238" w:lineRule="exact"/>
              <w:ind w:left="357" w:right="347"/>
              <w:rPr>
                <w:rFonts w:ascii="Times New Roman"/>
                <w:sz w:val="21"/>
              </w:rPr>
            </w:pPr>
            <w:r>
              <w:rPr>
                <w:rFonts w:ascii="Times New Roman"/>
                <w:sz w:val="21"/>
              </w:rPr>
              <w:t>13</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43" w:right="34"/>
              <w:rPr>
                <w:sz w:val="21"/>
              </w:rPr>
            </w:pPr>
            <w:r>
              <w:rPr>
                <w:sz w:val="21"/>
              </w:rPr>
              <w:t>地面运输</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 w:line="251"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6" w:right="34"/>
              <w:rPr>
                <w:sz w:val="21"/>
              </w:rPr>
            </w:pPr>
            <w:r>
              <w:rPr>
                <w:sz w:val="21"/>
              </w:rPr>
              <w:t>准轨铁路总长度</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5" w:line="237" w:lineRule="exact"/>
              <w:ind w:left="289" w:right="280"/>
              <w:rPr>
                <w:rFonts w:ascii="Times New Roman"/>
                <w:sz w:val="21"/>
              </w:rPr>
            </w:pPr>
            <w:r>
              <w:rPr>
                <w:rFonts w:ascii="Times New Roman"/>
                <w:sz w:val="21"/>
              </w:rPr>
              <w:t>km</w:t>
            </w: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04" w:type="dxa"/>
            <w:tcBorders>
              <w:top w:val="single" w:color="000000" w:sz="4" w:space="0"/>
              <w:bottom w:val="single" w:color="000000" w:sz="4" w:space="0"/>
              <w:right w:val="single" w:color="000000" w:sz="4" w:space="0"/>
            </w:tcBorders>
          </w:tcPr>
          <w:p>
            <w:pPr>
              <w:pStyle w:val="14"/>
              <w:jc w:val="left"/>
              <w:rPr>
                <w:rFonts w:ascii="Times New Roman"/>
                <w:sz w:val="20"/>
              </w:rPr>
            </w:pP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3" w:right="34"/>
              <w:rPr>
                <w:sz w:val="21"/>
              </w:rPr>
            </w:pPr>
            <w:r>
              <w:rPr>
                <w:sz w:val="21"/>
              </w:rPr>
              <w:t>其中：专用线长度</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4" w:line="238" w:lineRule="exact"/>
              <w:ind w:left="289" w:right="280"/>
              <w:rPr>
                <w:rFonts w:ascii="Times New Roman"/>
                <w:sz w:val="21"/>
              </w:rPr>
            </w:pPr>
            <w:r>
              <w:rPr>
                <w:rFonts w:ascii="Times New Roman"/>
                <w:sz w:val="21"/>
              </w:rPr>
              <w:t>km</w:t>
            </w: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004" w:type="dxa"/>
            <w:tcBorders>
              <w:top w:val="single" w:color="000000" w:sz="4" w:space="0"/>
              <w:bottom w:val="single" w:color="000000" w:sz="4" w:space="0"/>
              <w:right w:val="single" w:color="000000" w:sz="4" w:space="0"/>
            </w:tcBorders>
          </w:tcPr>
          <w:p>
            <w:pPr>
              <w:pStyle w:val="14"/>
              <w:jc w:val="left"/>
              <w:rPr>
                <w:rFonts w:ascii="Times New Roman"/>
                <w:sz w:val="20"/>
              </w:rPr>
            </w:pP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43" w:right="34"/>
              <w:rPr>
                <w:sz w:val="21"/>
              </w:rPr>
            </w:pPr>
            <w:r>
              <w:rPr>
                <w:sz w:val="21"/>
              </w:rPr>
              <w:t>站线长度</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5" w:line="238" w:lineRule="exact"/>
              <w:ind w:left="289" w:right="280"/>
              <w:rPr>
                <w:rFonts w:ascii="Times New Roman"/>
                <w:sz w:val="21"/>
              </w:rPr>
            </w:pPr>
            <w:r>
              <w:rPr>
                <w:rFonts w:ascii="Times New Roman"/>
                <w:sz w:val="21"/>
              </w:rPr>
              <w:t>km</w:t>
            </w: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sz w:val="21"/>
              </w:rPr>
              <w:t>场外公路长度</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3" w:line="239" w:lineRule="exact"/>
              <w:ind w:left="289" w:right="280"/>
              <w:rPr>
                <w:rFonts w:ascii="Times New Roman"/>
                <w:sz w:val="21"/>
              </w:rPr>
            </w:pPr>
            <w:r>
              <w:rPr>
                <w:rFonts w:ascii="Times New Roman"/>
                <w:sz w:val="21"/>
              </w:rPr>
              <w:t>km</w:t>
            </w: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4" w:line="238" w:lineRule="exact"/>
              <w:ind w:left="357" w:right="347"/>
              <w:rPr>
                <w:rFonts w:ascii="Times New Roman"/>
                <w:sz w:val="21"/>
              </w:rPr>
            </w:pPr>
            <w:r>
              <w:rPr>
                <w:rFonts w:ascii="Times New Roman"/>
                <w:sz w:val="21"/>
              </w:rPr>
              <w:t>14</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3" w:right="34"/>
              <w:rPr>
                <w:sz w:val="21"/>
              </w:rPr>
            </w:pPr>
            <w:r>
              <w:rPr>
                <w:sz w:val="21"/>
              </w:rPr>
              <w:t>建设用地</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 w:line="252"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48" w:right="34"/>
              <w:rPr>
                <w:sz w:val="21"/>
              </w:rPr>
            </w:pPr>
            <w:r>
              <w:rPr>
                <w:sz w:val="21"/>
              </w:rPr>
              <w:t>用地总面积</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5" w:line="238" w:lineRule="exact"/>
              <w:ind w:left="278"/>
              <w:jc w:val="left"/>
              <w:rPr>
                <w:rFonts w:ascii="Times New Roman"/>
                <w:sz w:val="13"/>
              </w:rPr>
            </w:pPr>
            <w:r>
              <w:rPr>
                <w:rFonts w:ascii="Times New Roman"/>
                <w:sz w:val="21"/>
              </w:rPr>
              <w:t>hm</w:t>
            </w:r>
            <w:r>
              <w:rPr>
                <w:rFonts w:ascii="Times New Roman"/>
                <w:position w:val="7"/>
                <w:sz w:val="13"/>
              </w:rPr>
              <w:t>2</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5" w:line="238" w:lineRule="exact"/>
              <w:ind w:left="13"/>
              <w:rPr>
                <w:rFonts w:ascii="Times New Roman"/>
                <w:sz w:val="21"/>
              </w:rPr>
            </w:pPr>
            <w:r>
              <w:rPr>
                <w:rFonts w:ascii="Times New Roman"/>
                <w:sz w:val="21"/>
              </w:rPr>
              <w:t>10.6</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jc w:val="left"/>
              <w:rPr>
                <w:rFonts w:ascii="Times New Roman"/>
                <w:sz w:val="20"/>
              </w:rPr>
            </w:pP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130" w:right="6"/>
              <w:rPr>
                <w:sz w:val="21"/>
              </w:rPr>
            </w:pPr>
            <w:r>
              <w:rPr>
                <w:spacing w:val="-4"/>
                <w:w w:val="95"/>
                <w:sz w:val="21"/>
              </w:rPr>
              <w:t>其中：工业场地</w:t>
            </w:r>
            <w:r>
              <w:rPr>
                <w:w w:val="95"/>
                <w:sz w:val="21"/>
              </w:rPr>
              <w:t>（围墙内）</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3" w:line="239" w:lineRule="exact"/>
              <w:ind w:left="278"/>
              <w:jc w:val="left"/>
              <w:rPr>
                <w:rFonts w:ascii="Times New Roman"/>
                <w:sz w:val="13"/>
              </w:rPr>
            </w:pPr>
            <w:r>
              <w:rPr>
                <w:rFonts w:ascii="Times New Roman"/>
                <w:sz w:val="21"/>
              </w:rPr>
              <w:t>hm</w:t>
            </w:r>
            <w:r>
              <w:rPr>
                <w:rFonts w:ascii="Times New Roman"/>
                <w:position w:val="7"/>
                <w:sz w:val="13"/>
              </w:rPr>
              <w:t>2</w:t>
            </w: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jc w:val="left"/>
              <w:rPr>
                <w:rFonts w:ascii="Times New Roman"/>
                <w:sz w:val="20"/>
              </w:rPr>
            </w:pP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8" w:right="34"/>
              <w:rPr>
                <w:sz w:val="21"/>
              </w:rPr>
            </w:pPr>
            <w:r>
              <w:rPr>
                <w:sz w:val="21"/>
              </w:rPr>
              <w:t>风井场地（围墙内）</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4" w:line="238" w:lineRule="exact"/>
              <w:ind w:left="278"/>
              <w:jc w:val="left"/>
              <w:rPr>
                <w:rFonts w:ascii="Times New Roman"/>
                <w:sz w:val="13"/>
              </w:rPr>
            </w:pPr>
            <w:r>
              <w:rPr>
                <w:rFonts w:ascii="Times New Roman"/>
                <w:sz w:val="21"/>
              </w:rPr>
              <w:t>hm</w:t>
            </w:r>
            <w:r>
              <w:rPr>
                <w:rFonts w:ascii="Times New Roman"/>
                <w:position w:val="7"/>
                <w:sz w:val="13"/>
              </w:rPr>
              <w:t>2</w:t>
            </w: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5" w:line="237" w:lineRule="exact"/>
              <w:ind w:left="357" w:right="347"/>
              <w:rPr>
                <w:rFonts w:ascii="Times New Roman"/>
                <w:sz w:val="21"/>
              </w:rPr>
            </w:pPr>
            <w:r>
              <w:rPr>
                <w:rFonts w:ascii="Times New Roman"/>
                <w:sz w:val="21"/>
              </w:rPr>
              <w:t>15</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3" w:right="34"/>
              <w:rPr>
                <w:sz w:val="21"/>
              </w:rPr>
            </w:pPr>
            <w:r>
              <w:rPr>
                <w:sz w:val="21"/>
              </w:rPr>
              <w:t>地面建筑</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sz w:val="21"/>
              </w:rPr>
              <w:t>工业建、构筑物总体积</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3" w:line="239" w:lineRule="exact"/>
              <w:ind w:left="302"/>
              <w:jc w:val="left"/>
              <w:rPr>
                <w:rFonts w:ascii="Times New Roman"/>
                <w:sz w:val="21"/>
              </w:rPr>
            </w:pPr>
            <w:r>
              <w:rPr>
                <w:rFonts w:ascii="Times New Roman"/>
                <w:sz w:val="21"/>
              </w:rPr>
              <w:t>M3</w:t>
            </w: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1"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1" w:lineRule="exact"/>
              <w:ind w:left="46" w:right="34"/>
              <w:rPr>
                <w:sz w:val="21"/>
              </w:rPr>
            </w:pPr>
            <w:r>
              <w:rPr>
                <w:sz w:val="21"/>
              </w:rPr>
              <w:t>行政公共建筑物总面积</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4" w:line="237" w:lineRule="exact"/>
              <w:ind w:left="290" w:right="279"/>
              <w:rPr>
                <w:rFonts w:ascii="Times New Roman"/>
                <w:sz w:val="21"/>
              </w:rPr>
            </w:pPr>
            <w:r>
              <w:rPr>
                <w:rFonts w:ascii="Times New Roman"/>
                <w:sz w:val="21"/>
              </w:rPr>
              <w:t>m2</w:t>
            </w: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5" w:line="237" w:lineRule="exact"/>
              <w:ind w:left="357" w:right="347"/>
              <w:rPr>
                <w:rFonts w:ascii="Times New Roman"/>
                <w:sz w:val="21"/>
              </w:rPr>
            </w:pPr>
            <w:r>
              <w:rPr>
                <w:rFonts w:ascii="Times New Roman"/>
                <w:sz w:val="21"/>
              </w:rPr>
              <w:t>16</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left="43" w:right="34"/>
              <w:rPr>
                <w:sz w:val="21"/>
              </w:rPr>
            </w:pPr>
            <w:r>
              <w:rPr>
                <w:sz w:val="21"/>
              </w:rPr>
              <w:t>人员配置</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sz w:val="21"/>
              </w:rPr>
              <w:t>在籍员工总数</w:t>
            </w:r>
          </w:p>
        </w:tc>
        <w:tc>
          <w:tcPr>
            <w:tcW w:w="891" w:type="dxa"/>
            <w:tcBorders>
              <w:top w:val="single" w:color="000000" w:sz="4" w:space="0"/>
              <w:left w:val="single" w:color="000000" w:sz="4" w:space="0"/>
              <w:bottom w:val="single" w:color="000000" w:sz="4" w:space="0"/>
              <w:right w:val="single" w:color="000000" w:sz="4" w:space="0"/>
            </w:tcBorders>
          </w:tcPr>
          <w:p>
            <w:pPr>
              <w:pStyle w:val="14"/>
              <w:spacing w:line="252" w:lineRule="exact"/>
              <w:ind w:left="10"/>
              <w:rPr>
                <w:sz w:val="21"/>
              </w:rPr>
            </w:pPr>
            <w:r>
              <w:rPr>
                <w:w w:val="99"/>
                <w:sz w:val="21"/>
              </w:rPr>
              <w:t>人</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3" w:line="238" w:lineRule="exact"/>
              <w:ind w:left="13"/>
              <w:rPr>
                <w:rFonts w:ascii="Times New Roman"/>
                <w:sz w:val="21"/>
              </w:rPr>
            </w:pPr>
            <w:r>
              <w:rPr>
                <w:rFonts w:ascii="Times New Roman"/>
                <w:sz w:val="21"/>
              </w:rPr>
              <w:t>655</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04" w:type="dxa"/>
            <w:tcBorders>
              <w:top w:val="single" w:color="000000" w:sz="4" w:space="0"/>
              <w:bottom w:val="single" w:color="000000" w:sz="4" w:space="0"/>
              <w:right w:val="single" w:color="000000" w:sz="4" w:space="0"/>
            </w:tcBorders>
          </w:tcPr>
          <w:p>
            <w:pPr>
              <w:pStyle w:val="14"/>
              <w:jc w:val="left"/>
              <w:rPr>
                <w:rFonts w:ascii="Times New Roman"/>
                <w:sz w:val="20"/>
              </w:rPr>
            </w:pP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3" w:right="34"/>
              <w:rPr>
                <w:sz w:val="21"/>
              </w:rPr>
            </w:pPr>
            <w:r>
              <w:rPr>
                <w:sz w:val="21"/>
              </w:rPr>
              <w:t>其中原煤生产人员</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10"/>
              <w:rPr>
                <w:sz w:val="21"/>
              </w:rPr>
            </w:pPr>
            <w:r>
              <w:rPr>
                <w:w w:val="99"/>
                <w:sz w:val="21"/>
              </w:rPr>
              <w:t>人</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7" w:lineRule="exact"/>
              <w:ind w:left="13"/>
              <w:rPr>
                <w:rFonts w:ascii="Times New Roman"/>
                <w:sz w:val="21"/>
              </w:rPr>
            </w:pPr>
            <w:r>
              <w:rPr>
                <w:rFonts w:ascii="Times New Roman"/>
                <w:sz w:val="21"/>
              </w:rPr>
              <w:t>455</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004" w:type="dxa"/>
            <w:tcBorders>
              <w:top w:val="single" w:color="000000" w:sz="4" w:space="0"/>
              <w:bottom w:val="single" w:color="000000" w:sz="4" w:space="0"/>
              <w:right w:val="single" w:color="000000" w:sz="4" w:space="0"/>
            </w:tcBorders>
          </w:tcPr>
          <w:p>
            <w:pPr>
              <w:pStyle w:val="14"/>
              <w:jc w:val="left"/>
              <w:rPr>
                <w:rFonts w:ascii="Times New Roman"/>
                <w:sz w:val="20"/>
              </w:rPr>
            </w:pP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left="43" w:right="34"/>
              <w:rPr>
                <w:sz w:val="21"/>
              </w:rPr>
            </w:pPr>
            <w:r>
              <w:rPr>
                <w:sz w:val="21"/>
              </w:rPr>
              <w:t>生产工人</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left="10"/>
              <w:rPr>
                <w:sz w:val="21"/>
              </w:rPr>
            </w:pPr>
            <w:r>
              <w:rPr>
                <w:w w:val="99"/>
                <w:sz w:val="21"/>
              </w:rPr>
              <w:t>人</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6" w:line="237" w:lineRule="exact"/>
              <w:ind w:left="13"/>
              <w:rPr>
                <w:rFonts w:ascii="Times New Roman"/>
                <w:sz w:val="21"/>
              </w:rPr>
            </w:pPr>
            <w:r>
              <w:rPr>
                <w:rFonts w:ascii="Times New Roman"/>
                <w:sz w:val="21"/>
              </w:rPr>
              <w:t>414</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3" w:right="34"/>
              <w:rPr>
                <w:sz w:val="21"/>
              </w:rPr>
            </w:pPr>
            <w:r>
              <w:rPr>
                <w:sz w:val="21"/>
              </w:rPr>
              <w:t>全员效率</w:t>
            </w:r>
          </w:p>
        </w:tc>
        <w:tc>
          <w:tcPr>
            <w:tcW w:w="891" w:type="dxa"/>
            <w:tcBorders>
              <w:top w:val="single" w:color="000000" w:sz="4" w:space="0"/>
              <w:left w:val="single" w:color="000000" w:sz="4" w:space="0"/>
              <w:bottom w:val="single" w:color="000000" w:sz="4" w:space="0"/>
              <w:right w:val="single" w:color="000000" w:sz="4" w:space="0"/>
            </w:tcBorders>
          </w:tcPr>
          <w:p>
            <w:pPr>
              <w:pStyle w:val="14"/>
              <w:spacing w:line="252" w:lineRule="exact"/>
              <w:ind w:left="283"/>
              <w:jc w:val="left"/>
              <w:rPr>
                <w:sz w:val="21"/>
              </w:rPr>
            </w:pPr>
            <w:r>
              <w:rPr>
                <w:rFonts w:ascii="Times New Roman" w:eastAsia="Times New Roman"/>
                <w:sz w:val="21"/>
              </w:rPr>
              <w:t>t/</w:t>
            </w:r>
            <w:r>
              <w:rPr>
                <w:sz w:val="21"/>
              </w:rPr>
              <w:t>工</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3" w:line="238" w:lineRule="exact"/>
              <w:ind w:left="13"/>
              <w:rPr>
                <w:rFonts w:ascii="Times New Roman"/>
                <w:sz w:val="21"/>
              </w:rPr>
            </w:pPr>
            <w:r>
              <w:rPr>
                <w:rFonts w:ascii="Times New Roman"/>
                <w:sz w:val="21"/>
              </w:rPr>
              <w:t>2.0</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5" w:line="237" w:lineRule="exact"/>
              <w:ind w:left="357" w:right="347"/>
              <w:rPr>
                <w:rFonts w:ascii="Times New Roman"/>
                <w:sz w:val="21"/>
              </w:rPr>
            </w:pPr>
            <w:r>
              <w:rPr>
                <w:rFonts w:ascii="Times New Roman"/>
                <w:sz w:val="21"/>
              </w:rPr>
              <w:t>17</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6" w:right="34"/>
              <w:rPr>
                <w:sz w:val="21"/>
              </w:rPr>
            </w:pPr>
            <w:r>
              <w:rPr>
                <w:sz w:val="21"/>
              </w:rPr>
              <w:t>项目投资估算</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2" w:line="251"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left="46" w:right="34"/>
              <w:rPr>
                <w:sz w:val="21"/>
              </w:rPr>
            </w:pPr>
            <w:r>
              <w:rPr>
                <w:sz w:val="21"/>
              </w:rPr>
              <w:t>建设投资估算</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left="237"/>
              <w:jc w:val="left"/>
              <w:rPr>
                <w:sz w:val="21"/>
              </w:rPr>
            </w:pPr>
            <w:r>
              <w:rPr>
                <w:sz w:val="21"/>
              </w:rPr>
              <w:t>万元</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6" w:line="237" w:lineRule="exact"/>
              <w:ind w:left="16"/>
              <w:rPr>
                <w:rFonts w:ascii="Times New Roman"/>
                <w:sz w:val="21"/>
              </w:rPr>
            </w:pPr>
            <w:r>
              <w:rPr>
                <w:rFonts w:ascii="Times New Roman"/>
                <w:sz w:val="21"/>
              </w:rPr>
              <w:t>6226.52</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jc w:val="left"/>
              <w:rPr>
                <w:rFonts w:ascii="Times New Roman"/>
                <w:sz w:val="20"/>
              </w:rPr>
            </w:pP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sz w:val="21"/>
              </w:rPr>
              <w:t>其中：矿建工程</w:t>
            </w:r>
          </w:p>
        </w:tc>
        <w:tc>
          <w:tcPr>
            <w:tcW w:w="891" w:type="dxa"/>
            <w:tcBorders>
              <w:top w:val="single" w:color="000000" w:sz="4" w:space="0"/>
              <w:left w:val="single" w:color="000000" w:sz="4" w:space="0"/>
              <w:bottom w:val="single" w:color="000000" w:sz="4" w:space="0"/>
              <w:right w:val="single" w:color="000000" w:sz="4" w:space="0"/>
            </w:tcBorders>
          </w:tcPr>
          <w:p>
            <w:pPr>
              <w:pStyle w:val="14"/>
              <w:spacing w:line="252" w:lineRule="exact"/>
              <w:ind w:left="237"/>
              <w:jc w:val="left"/>
              <w:rPr>
                <w:sz w:val="21"/>
              </w:rPr>
            </w:pPr>
            <w:r>
              <w:rPr>
                <w:sz w:val="21"/>
              </w:rPr>
              <w:t>万元</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8" w:lineRule="exact"/>
              <w:ind w:left="16"/>
              <w:rPr>
                <w:rFonts w:ascii="Times New Roman"/>
                <w:sz w:val="21"/>
              </w:rPr>
            </w:pPr>
            <w:r>
              <w:rPr>
                <w:rFonts w:ascii="Times New Roman"/>
                <w:sz w:val="21"/>
              </w:rPr>
              <w:t>2457.48</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jc w:val="left"/>
              <w:rPr>
                <w:rFonts w:ascii="Times New Roman"/>
                <w:sz w:val="20"/>
              </w:rPr>
            </w:pP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3" w:right="34"/>
              <w:rPr>
                <w:sz w:val="21"/>
              </w:rPr>
            </w:pPr>
            <w:r>
              <w:rPr>
                <w:sz w:val="21"/>
              </w:rPr>
              <w:t>土建工程</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237"/>
              <w:jc w:val="left"/>
              <w:rPr>
                <w:sz w:val="21"/>
              </w:rPr>
            </w:pPr>
            <w:r>
              <w:rPr>
                <w:sz w:val="21"/>
              </w:rPr>
              <w:t>万元</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5" w:line="237" w:lineRule="exact"/>
              <w:ind w:left="11"/>
              <w:rPr>
                <w:rFonts w:ascii="Times New Roman"/>
                <w:sz w:val="21"/>
              </w:rPr>
            </w:pPr>
            <w:r>
              <w:rPr>
                <w:rFonts w:ascii="Times New Roman"/>
                <w:sz w:val="21"/>
              </w:rPr>
              <w:t>164.54</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jc w:val="left"/>
              <w:rPr>
                <w:rFonts w:ascii="Times New Roman"/>
                <w:sz w:val="20"/>
              </w:rPr>
            </w:pP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3" w:lineRule="exact"/>
              <w:ind w:left="43" w:right="34"/>
              <w:rPr>
                <w:sz w:val="21"/>
              </w:rPr>
            </w:pPr>
            <w:r>
              <w:rPr>
                <w:sz w:val="21"/>
              </w:rPr>
              <w:t>设备及工器具购置</w:t>
            </w:r>
          </w:p>
        </w:tc>
        <w:tc>
          <w:tcPr>
            <w:tcW w:w="891" w:type="dxa"/>
            <w:tcBorders>
              <w:top w:val="single" w:color="000000" w:sz="4" w:space="0"/>
              <w:left w:val="single" w:color="000000" w:sz="4" w:space="0"/>
              <w:bottom w:val="single" w:color="000000" w:sz="4" w:space="0"/>
              <w:right w:val="single" w:color="000000" w:sz="4" w:space="0"/>
            </w:tcBorders>
          </w:tcPr>
          <w:p>
            <w:pPr>
              <w:pStyle w:val="14"/>
              <w:spacing w:line="253" w:lineRule="exact"/>
              <w:ind w:left="237"/>
              <w:jc w:val="left"/>
              <w:rPr>
                <w:sz w:val="21"/>
              </w:rPr>
            </w:pPr>
            <w:r>
              <w:rPr>
                <w:sz w:val="21"/>
              </w:rPr>
              <w:t>万元</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9" w:lineRule="exact"/>
              <w:ind w:left="16"/>
              <w:rPr>
                <w:rFonts w:ascii="Times New Roman"/>
                <w:sz w:val="21"/>
              </w:rPr>
            </w:pPr>
            <w:r>
              <w:rPr>
                <w:rFonts w:ascii="Times New Roman"/>
                <w:sz w:val="21"/>
              </w:rPr>
              <w:t>2204.16</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jc w:val="left"/>
              <w:rPr>
                <w:rFonts w:ascii="Times New Roman"/>
                <w:sz w:val="20"/>
              </w:rPr>
            </w:pP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3" w:right="34"/>
              <w:rPr>
                <w:sz w:val="21"/>
              </w:rPr>
            </w:pPr>
            <w:r>
              <w:rPr>
                <w:sz w:val="21"/>
              </w:rPr>
              <w:t>安装工程</w:t>
            </w:r>
          </w:p>
        </w:tc>
        <w:tc>
          <w:tcPr>
            <w:tcW w:w="891" w:type="dxa"/>
            <w:tcBorders>
              <w:top w:val="single" w:color="000000" w:sz="4" w:space="0"/>
              <w:left w:val="single" w:color="000000" w:sz="4" w:space="0"/>
              <w:bottom w:val="single" w:color="000000" w:sz="4" w:space="0"/>
              <w:right w:val="single" w:color="000000" w:sz="4" w:space="0"/>
            </w:tcBorders>
          </w:tcPr>
          <w:p>
            <w:pPr>
              <w:pStyle w:val="14"/>
              <w:spacing w:line="252" w:lineRule="exact"/>
              <w:ind w:left="237"/>
              <w:jc w:val="left"/>
              <w:rPr>
                <w:sz w:val="21"/>
              </w:rPr>
            </w:pPr>
            <w:r>
              <w:rPr>
                <w:sz w:val="21"/>
              </w:rPr>
              <w:t>万元</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8" w:lineRule="exact"/>
              <w:ind w:left="11"/>
              <w:rPr>
                <w:rFonts w:ascii="Times New Roman"/>
                <w:sz w:val="21"/>
              </w:rPr>
            </w:pPr>
            <w:r>
              <w:rPr>
                <w:rFonts w:ascii="Times New Roman"/>
                <w:sz w:val="21"/>
              </w:rPr>
              <w:t>503.41</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jc w:val="left"/>
              <w:rPr>
                <w:rFonts w:ascii="Times New Roman"/>
                <w:sz w:val="20"/>
              </w:rPr>
            </w:pP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43" w:right="34"/>
              <w:rPr>
                <w:sz w:val="21"/>
              </w:rPr>
            </w:pPr>
            <w:r>
              <w:rPr>
                <w:sz w:val="21"/>
              </w:rPr>
              <w:t>工程建设其它费用</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237"/>
              <w:jc w:val="left"/>
              <w:rPr>
                <w:sz w:val="21"/>
              </w:rPr>
            </w:pPr>
            <w:r>
              <w:rPr>
                <w:sz w:val="21"/>
              </w:rPr>
              <w:t>万元</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5" w:line="238" w:lineRule="exact"/>
              <w:ind w:left="11"/>
              <w:rPr>
                <w:rFonts w:ascii="Times New Roman"/>
                <w:sz w:val="21"/>
              </w:rPr>
            </w:pPr>
            <w:r>
              <w:rPr>
                <w:rFonts w:ascii="Times New Roman"/>
                <w:sz w:val="21"/>
              </w:rPr>
              <w:t>600.43</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9" w:hRule="atLeast"/>
        </w:trPr>
        <w:tc>
          <w:tcPr>
            <w:tcW w:w="1004" w:type="dxa"/>
            <w:tcBorders>
              <w:top w:val="single" w:color="000000" w:sz="4" w:space="0"/>
              <w:right w:val="single" w:color="000000" w:sz="4" w:space="0"/>
            </w:tcBorders>
          </w:tcPr>
          <w:p>
            <w:pPr>
              <w:pStyle w:val="14"/>
              <w:jc w:val="left"/>
              <w:rPr>
                <w:rFonts w:ascii="Times New Roman"/>
                <w:sz w:val="20"/>
              </w:rPr>
            </w:pPr>
          </w:p>
        </w:tc>
        <w:tc>
          <w:tcPr>
            <w:tcW w:w="2608" w:type="dxa"/>
            <w:tcBorders>
              <w:top w:val="single" w:color="000000" w:sz="4" w:space="0"/>
              <w:left w:val="single" w:color="000000" w:sz="4" w:space="0"/>
              <w:right w:val="single" w:color="000000" w:sz="4" w:space="0"/>
            </w:tcBorders>
          </w:tcPr>
          <w:p>
            <w:pPr>
              <w:pStyle w:val="14"/>
              <w:spacing w:line="250" w:lineRule="exact"/>
              <w:ind w:left="48" w:right="34"/>
              <w:rPr>
                <w:sz w:val="21"/>
              </w:rPr>
            </w:pPr>
            <w:r>
              <w:rPr>
                <w:sz w:val="21"/>
              </w:rPr>
              <w:t>工程预备费</w:t>
            </w:r>
          </w:p>
        </w:tc>
        <w:tc>
          <w:tcPr>
            <w:tcW w:w="891" w:type="dxa"/>
            <w:tcBorders>
              <w:top w:val="single" w:color="000000" w:sz="4" w:space="0"/>
              <w:left w:val="single" w:color="000000" w:sz="4" w:space="0"/>
              <w:right w:val="single" w:color="000000" w:sz="4" w:space="0"/>
            </w:tcBorders>
          </w:tcPr>
          <w:p>
            <w:pPr>
              <w:pStyle w:val="14"/>
              <w:spacing w:line="250" w:lineRule="exact"/>
              <w:ind w:left="237"/>
              <w:jc w:val="left"/>
              <w:rPr>
                <w:sz w:val="21"/>
              </w:rPr>
            </w:pPr>
            <w:r>
              <w:rPr>
                <w:sz w:val="21"/>
              </w:rPr>
              <w:t>万元</w:t>
            </w:r>
          </w:p>
        </w:tc>
        <w:tc>
          <w:tcPr>
            <w:tcW w:w="3556" w:type="dxa"/>
            <w:tcBorders>
              <w:top w:val="single" w:color="000000" w:sz="4" w:space="0"/>
              <w:left w:val="single" w:color="000000" w:sz="4" w:space="0"/>
              <w:right w:val="single" w:color="000000" w:sz="4" w:space="0"/>
            </w:tcBorders>
          </w:tcPr>
          <w:p>
            <w:pPr>
              <w:pStyle w:val="14"/>
              <w:spacing w:before="13" w:line="237" w:lineRule="exact"/>
              <w:ind w:left="11"/>
              <w:rPr>
                <w:rFonts w:ascii="Times New Roman"/>
                <w:sz w:val="21"/>
              </w:rPr>
            </w:pPr>
            <w:r>
              <w:rPr>
                <w:rFonts w:ascii="Times New Roman"/>
                <w:sz w:val="21"/>
              </w:rPr>
              <w:t>296.50</w:t>
            </w:r>
          </w:p>
        </w:tc>
        <w:tc>
          <w:tcPr>
            <w:tcW w:w="1227" w:type="dxa"/>
            <w:tcBorders>
              <w:top w:val="single" w:color="000000" w:sz="4" w:space="0"/>
              <w:left w:val="single" w:color="000000" w:sz="4" w:space="0"/>
            </w:tcBorders>
          </w:tcPr>
          <w:p>
            <w:pPr>
              <w:pStyle w:val="14"/>
              <w:jc w:val="left"/>
              <w:rPr>
                <w:rFonts w:ascii="Times New Roman"/>
                <w:sz w:val="20"/>
              </w:rPr>
            </w:pPr>
          </w:p>
        </w:tc>
      </w:tr>
    </w:tbl>
    <w:p>
      <w:pPr>
        <w:spacing w:after="0"/>
        <w:jc w:val="left"/>
        <w:rPr>
          <w:rFonts w:ascii="Times New Roman"/>
          <w:sz w:val="20"/>
        </w:rPr>
        <w:sectPr>
          <w:pgSz w:w="11910" w:h="16840"/>
          <w:pgMar w:top="1080" w:right="720" w:bottom="1080" w:left="760" w:header="0" w:footer="89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228" name="组合 31"/>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227" name="直线 32"/>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31"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aCLtQAAAADAQAADwAAAAAAAAABACAAAAAiAAAAZHJzL2Rvd25yZXYueG1s&#10;UEsBAhQAFAAAAAgAh07iQCX1TQE1AgAAtgQAAA4AAAAAAAAAAQAgAAAAIwEAAGRycy9lMm9Eb2Mu&#10;eG1sUEsFBgAAAAAGAAYAWQEAAMoFAAAAAA==&#10;">
                <o:lock v:ext="edit" aspectratio="f"/>
                <v:line id="直线 32" o:spid="_x0000_s1026" o:spt="20" style="position:absolute;left:0;top:7;height:0;width:8306;" filled="f" stroked="t" coordsize="21600,21600" o:gfxdata="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tv7A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pStyle w:val="6"/>
        <w:spacing w:before="1"/>
        <w:rPr>
          <w:b/>
          <w:sz w:val="25"/>
        </w:rPr>
      </w:pPr>
    </w:p>
    <w:tbl>
      <w:tblPr>
        <w:tblStyle w:val="10"/>
        <w:tblW w:w="0" w:type="auto"/>
        <w:tblInd w:w="55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04"/>
        <w:gridCol w:w="2608"/>
        <w:gridCol w:w="891"/>
        <w:gridCol w:w="3556"/>
        <w:gridCol w:w="12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bottom w:val="single" w:color="000000" w:sz="4" w:space="0"/>
              <w:right w:val="single" w:color="000000" w:sz="4" w:space="0"/>
            </w:tcBorders>
          </w:tcPr>
          <w:p>
            <w:pPr>
              <w:pStyle w:val="14"/>
              <w:spacing w:before="2" w:line="250" w:lineRule="exact"/>
              <w:ind w:right="281"/>
              <w:jc w:val="right"/>
              <w:rPr>
                <w:sz w:val="21"/>
              </w:rPr>
            </w:pPr>
            <w:r>
              <w:rPr>
                <w:w w:val="95"/>
                <w:sz w:val="21"/>
              </w:rPr>
              <w:t>序号</w:t>
            </w:r>
          </w:p>
        </w:tc>
        <w:tc>
          <w:tcPr>
            <w:tcW w:w="2608" w:type="dxa"/>
            <w:tcBorders>
              <w:left w:val="single" w:color="000000" w:sz="4" w:space="0"/>
              <w:bottom w:val="single" w:color="000000" w:sz="4" w:space="0"/>
              <w:right w:val="single" w:color="000000" w:sz="4" w:space="0"/>
            </w:tcBorders>
          </w:tcPr>
          <w:p>
            <w:pPr>
              <w:pStyle w:val="14"/>
              <w:spacing w:before="2" w:line="250" w:lineRule="exact"/>
              <w:ind w:left="43" w:right="34"/>
              <w:rPr>
                <w:sz w:val="21"/>
              </w:rPr>
            </w:pPr>
            <w:r>
              <w:rPr>
                <w:sz w:val="21"/>
              </w:rPr>
              <w:t>指标名称</w:t>
            </w:r>
          </w:p>
        </w:tc>
        <w:tc>
          <w:tcPr>
            <w:tcW w:w="891" w:type="dxa"/>
            <w:tcBorders>
              <w:left w:val="single" w:color="000000" w:sz="4" w:space="0"/>
              <w:bottom w:val="single" w:color="000000" w:sz="4" w:space="0"/>
              <w:right w:val="single" w:color="000000" w:sz="4" w:space="0"/>
            </w:tcBorders>
          </w:tcPr>
          <w:p>
            <w:pPr>
              <w:pStyle w:val="14"/>
              <w:spacing w:before="2" w:line="250" w:lineRule="exact"/>
              <w:ind w:right="223"/>
              <w:jc w:val="right"/>
              <w:rPr>
                <w:sz w:val="21"/>
              </w:rPr>
            </w:pPr>
            <w:r>
              <w:rPr>
                <w:w w:val="95"/>
                <w:sz w:val="21"/>
              </w:rPr>
              <w:t>单位</w:t>
            </w:r>
          </w:p>
        </w:tc>
        <w:tc>
          <w:tcPr>
            <w:tcW w:w="3556" w:type="dxa"/>
            <w:tcBorders>
              <w:left w:val="single" w:color="000000" w:sz="4" w:space="0"/>
              <w:bottom w:val="single" w:color="000000" w:sz="4" w:space="0"/>
              <w:right w:val="single" w:color="000000" w:sz="4" w:space="0"/>
            </w:tcBorders>
          </w:tcPr>
          <w:p>
            <w:pPr>
              <w:pStyle w:val="14"/>
              <w:spacing w:before="2" w:line="250" w:lineRule="exact"/>
              <w:ind w:left="10"/>
              <w:rPr>
                <w:sz w:val="21"/>
              </w:rPr>
            </w:pPr>
            <w:r>
              <w:rPr>
                <w:sz w:val="21"/>
              </w:rPr>
              <w:t>指标</w:t>
            </w:r>
          </w:p>
        </w:tc>
        <w:tc>
          <w:tcPr>
            <w:tcW w:w="1227" w:type="dxa"/>
            <w:tcBorders>
              <w:left w:val="single" w:color="000000" w:sz="4" w:space="0"/>
              <w:bottom w:val="single" w:color="000000" w:sz="4" w:space="0"/>
            </w:tcBorders>
          </w:tcPr>
          <w:p>
            <w:pPr>
              <w:pStyle w:val="14"/>
              <w:spacing w:before="2" w:line="250" w:lineRule="exact"/>
              <w:ind w:left="405"/>
              <w:jc w:val="left"/>
              <w:rPr>
                <w:sz w:val="21"/>
              </w:rPr>
            </w:pPr>
            <w:r>
              <w:rPr>
                <w:sz w:val="21"/>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jc w:val="left"/>
              <w:rPr>
                <w:rFonts w:ascii="Times New Roman"/>
                <w:sz w:val="20"/>
              </w:rPr>
            </w:pP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8" w:right="34"/>
              <w:rPr>
                <w:sz w:val="21"/>
              </w:rPr>
            </w:pPr>
            <w:r>
              <w:rPr>
                <w:sz w:val="21"/>
              </w:rPr>
              <w:t>工程造价调整预备费</w:t>
            </w:r>
          </w:p>
        </w:tc>
        <w:tc>
          <w:tcPr>
            <w:tcW w:w="891" w:type="dxa"/>
            <w:tcBorders>
              <w:top w:val="single" w:color="000000" w:sz="4" w:space="0"/>
              <w:left w:val="single" w:color="000000" w:sz="4" w:space="0"/>
              <w:bottom w:val="single" w:color="000000" w:sz="4" w:space="0"/>
              <w:right w:val="single" w:color="000000" w:sz="4" w:space="0"/>
            </w:tcBorders>
          </w:tcPr>
          <w:p>
            <w:pPr>
              <w:pStyle w:val="14"/>
              <w:spacing w:line="252" w:lineRule="exact"/>
              <w:ind w:right="223"/>
              <w:jc w:val="right"/>
              <w:rPr>
                <w:sz w:val="21"/>
              </w:rPr>
            </w:pPr>
            <w:r>
              <w:rPr>
                <w:w w:val="95"/>
                <w:sz w:val="21"/>
              </w:rPr>
              <w:t>万元</w:t>
            </w: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 w:line="251"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8" w:right="34"/>
              <w:rPr>
                <w:sz w:val="21"/>
              </w:rPr>
            </w:pPr>
            <w:r>
              <w:rPr>
                <w:sz w:val="21"/>
              </w:rPr>
              <w:t>建设期利息</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223"/>
              <w:jc w:val="right"/>
              <w:rPr>
                <w:sz w:val="21"/>
              </w:rPr>
            </w:pPr>
            <w:r>
              <w:rPr>
                <w:w w:val="95"/>
                <w:sz w:val="21"/>
              </w:rPr>
              <w:t>万元</w:t>
            </w: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04" w:type="dxa"/>
            <w:tcBorders>
              <w:top w:val="single" w:color="000000" w:sz="4" w:space="0"/>
              <w:bottom w:val="single" w:color="000000" w:sz="4" w:space="0"/>
              <w:right w:val="single" w:color="000000" w:sz="4" w:space="0"/>
            </w:tcBorders>
          </w:tcPr>
          <w:p>
            <w:pPr>
              <w:pStyle w:val="14"/>
              <w:spacing w:before="2" w:line="250" w:lineRule="exact"/>
              <w:ind w:right="227"/>
              <w:jc w:val="right"/>
              <w:rPr>
                <w:sz w:val="21"/>
              </w:rPr>
            </w:pPr>
            <w:r>
              <w:rPr>
                <w:sz w:val="21"/>
              </w:rPr>
              <w:t>（</w:t>
            </w:r>
            <w:r>
              <w:rPr>
                <w:rFonts w:ascii="Times New Roman" w:eastAsia="Times New Roman"/>
                <w:sz w:val="21"/>
              </w:rPr>
              <w:t>3</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2" w:line="250" w:lineRule="exact"/>
              <w:ind w:left="46" w:right="34"/>
              <w:rPr>
                <w:sz w:val="21"/>
              </w:rPr>
            </w:pPr>
            <w:r>
              <w:rPr>
                <w:sz w:val="21"/>
              </w:rPr>
              <w:t>建设项目总造价</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2" w:line="250" w:lineRule="exact"/>
              <w:ind w:right="223"/>
              <w:jc w:val="right"/>
              <w:rPr>
                <w:sz w:val="21"/>
              </w:rPr>
            </w:pPr>
            <w:r>
              <w:rPr>
                <w:w w:val="95"/>
                <w:sz w:val="21"/>
              </w:rPr>
              <w:t>万元</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6" w:line="236" w:lineRule="exact"/>
              <w:ind w:right="1421"/>
              <w:jc w:val="right"/>
              <w:rPr>
                <w:rFonts w:ascii="Times New Roman"/>
                <w:sz w:val="21"/>
              </w:rPr>
            </w:pPr>
            <w:r>
              <w:rPr>
                <w:rFonts w:ascii="Times New Roman"/>
                <w:w w:val="95"/>
                <w:sz w:val="21"/>
              </w:rPr>
              <w:t>6226.52</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004" w:type="dxa"/>
            <w:tcBorders>
              <w:top w:val="single" w:color="000000" w:sz="4" w:space="0"/>
              <w:bottom w:val="single" w:color="000000" w:sz="4" w:space="0"/>
              <w:right w:val="single" w:color="000000" w:sz="4" w:space="0"/>
            </w:tcBorders>
          </w:tcPr>
          <w:p>
            <w:pPr>
              <w:pStyle w:val="14"/>
              <w:spacing w:before="1" w:line="252" w:lineRule="exact"/>
              <w:ind w:right="227"/>
              <w:jc w:val="right"/>
              <w:rPr>
                <w:sz w:val="21"/>
              </w:rPr>
            </w:pPr>
            <w:r>
              <w:rPr>
                <w:sz w:val="21"/>
              </w:rPr>
              <w:t>（</w:t>
            </w:r>
            <w:r>
              <w:rPr>
                <w:rFonts w:ascii="Times New Roman" w:eastAsia="Times New Roman"/>
                <w:sz w:val="21"/>
              </w:rPr>
              <w:t>4</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43" w:right="34"/>
              <w:rPr>
                <w:sz w:val="21"/>
              </w:rPr>
            </w:pPr>
            <w:r>
              <w:rPr>
                <w:sz w:val="21"/>
              </w:rPr>
              <w:t>流动资金</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right="223"/>
              <w:jc w:val="right"/>
              <w:rPr>
                <w:sz w:val="21"/>
              </w:rPr>
            </w:pPr>
            <w:r>
              <w:rPr>
                <w:w w:val="95"/>
                <w:sz w:val="21"/>
              </w:rPr>
              <w:t>万元</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8" w:lineRule="exact"/>
              <w:ind w:left="11"/>
              <w:rPr>
                <w:rFonts w:ascii="Times New Roman"/>
                <w:sz w:val="21"/>
              </w:rPr>
            </w:pPr>
            <w:r>
              <w:rPr>
                <w:rFonts w:ascii="Times New Roman"/>
                <w:sz w:val="21"/>
              </w:rPr>
              <w:t>528.55</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04" w:type="dxa"/>
            <w:tcBorders>
              <w:top w:val="single" w:color="000000" w:sz="4" w:space="0"/>
              <w:bottom w:val="single" w:color="000000" w:sz="4" w:space="0"/>
              <w:right w:val="single" w:color="000000" w:sz="4" w:space="0"/>
            </w:tcBorders>
          </w:tcPr>
          <w:p>
            <w:pPr>
              <w:pStyle w:val="14"/>
              <w:spacing w:before="1" w:line="251" w:lineRule="exact"/>
              <w:ind w:right="227"/>
              <w:jc w:val="right"/>
              <w:rPr>
                <w:sz w:val="21"/>
              </w:rPr>
            </w:pPr>
            <w:r>
              <w:rPr>
                <w:sz w:val="21"/>
              </w:rPr>
              <w:t>（</w:t>
            </w:r>
            <w:r>
              <w:rPr>
                <w:rFonts w:ascii="Times New Roman" w:eastAsia="Times New Roman"/>
                <w:sz w:val="21"/>
              </w:rPr>
              <w:t>5</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8" w:right="34"/>
              <w:rPr>
                <w:sz w:val="21"/>
              </w:rPr>
            </w:pPr>
            <w:r>
              <w:rPr>
                <w:sz w:val="21"/>
              </w:rPr>
              <w:t>项目总投资</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223"/>
              <w:jc w:val="right"/>
              <w:rPr>
                <w:sz w:val="21"/>
              </w:rPr>
            </w:pPr>
            <w:r>
              <w:rPr>
                <w:w w:val="95"/>
                <w:sz w:val="21"/>
              </w:rPr>
              <w:t>万元</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5" w:line="237" w:lineRule="exact"/>
              <w:ind w:right="1421"/>
              <w:jc w:val="right"/>
              <w:rPr>
                <w:rFonts w:ascii="Times New Roman"/>
                <w:sz w:val="21"/>
              </w:rPr>
            </w:pPr>
            <w:r>
              <w:rPr>
                <w:rFonts w:ascii="Times New Roman"/>
                <w:w w:val="95"/>
                <w:sz w:val="21"/>
              </w:rPr>
              <w:t>6755.07</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2" w:line="250" w:lineRule="exact"/>
              <w:ind w:right="227"/>
              <w:jc w:val="right"/>
              <w:rPr>
                <w:sz w:val="21"/>
              </w:rPr>
            </w:pPr>
            <w:r>
              <w:rPr>
                <w:sz w:val="21"/>
              </w:rPr>
              <w:t>（</w:t>
            </w:r>
            <w:r>
              <w:rPr>
                <w:rFonts w:ascii="Times New Roman" w:eastAsia="Times New Roman"/>
                <w:sz w:val="21"/>
              </w:rPr>
              <w:t>6</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2" w:line="250" w:lineRule="exact"/>
              <w:ind w:left="48" w:right="34"/>
              <w:rPr>
                <w:sz w:val="21"/>
              </w:rPr>
            </w:pPr>
            <w:r>
              <w:rPr>
                <w:sz w:val="21"/>
              </w:rPr>
              <w:t>吨煤总投资</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2" w:line="250" w:lineRule="exact"/>
              <w:ind w:right="268"/>
              <w:jc w:val="right"/>
              <w:rPr>
                <w:rFonts w:ascii="Times New Roman" w:eastAsia="Times New Roman"/>
                <w:sz w:val="21"/>
              </w:rPr>
            </w:pPr>
            <w:r>
              <w:rPr>
                <w:w w:val="95"/>
                <w:sz w:val="21"/>
              </w:rPr>
              <w:t>元</w:t>
            </w:r>
            <w:r>
              <w:rPr>
                <w:rFonts w:ascii="Times New Roman" w:eastAsia="Times New Roman"/>
                <w:w w:val="95"/>
                <w:sz w:val="21"/>
              </w:rPr>
              <w:t>/t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6" w:line="236" w:lineRule="exact"/>
              <w:ind w:left="16"/>
              <w:rPr>
                <w:rFonts w:ascii="Times New Roman"/>
                <w:sz w:val="21"/>
              </w:rPr>
            </w:pPr>
            <w:r>
              <w:rPr>
                <w:rFonts w:ascii="Times New Roman"/>
                <w:sz w:val="21"/>
              </w:rPr>
              <w:t>259.8</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5" w:line="238" w:lineRule="exact"/>
              <w:ind w:left="357" w:right="347"/>
              <w:rPr>
                <w:rFonts w:ascii="Times New Roman"/>
                <w:sz w:val="21"/>
              </w:rPr>
            </w:pPr>
            <w:r>
              <w:rPr>
                <w:rFonts w:ascii="Times New Roman"/>
                <w:sz w:val="21"/>
              </w:rPr>
              <w:t>18</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46" w:right="34"/>
              <w:rPr>
                <w:sz w:val="21"/>
              </w:rPr>
            </w:pPr>
            <w:r>
              <w:rPr>
                <w:sz w:val="21"/>
              </w:rPr>
              <w:t>原煤成本与售价</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 w:line="251"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6" w:right="34"/>
              <w:rPr>
                <w:sz w:val="21"/>
              </w:rPr>
            </w:pPr>
            <w:r>
              <w:rPr>
                <w:sz w:val="21"/>
              </w:rPr>
              <w:t>原煤成本费用</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268"/>
              <w:jc w:val="right"/>
              <w:rPr>
                <w:rFonts w:ascii="Times New Roman" w:eastAsia="Times New Roman"/>
                <w:sz w:val="21"/>
              </w:rPr>
            </w:pPr>
            <w:r>
              <w:rPr>
                <w:w w:val="95"/>
                <w:sz w:val="21"/>
              </w:rPr>
              <w:t>元</w:t>
            </w:r>
            <w:r>
              <w:rPr>
                <w:rFonts w:ascii="Times New Roman" w:eastAsia="Times New Roman"/>
                <w:w w:val="95"/>
                <w:sz w:val="21"/>
              </w:rPr>
              <w:t>/t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5" w:line="237" w:lineRule="exact"/>
              <w:ind w:left="11"/>
              <w:rPr>
                <w:rFonts w:ascii="Times New Roman"/>
                <w:sz w:val="21"/>
              </w:rPr>
            </w:pPr>
            <w:r>
              <w:rPr>
                <w:rFonts w:ascii="Times New Roman"/>
                <w:sz w:val="21"/>
              </w:rPr>
              <w:t>314.59</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sz w:val="21"/>
              </w:rPr>
              <w:t>原煤平均售价</w:t>
            </w:r>
          </w:p>
        </w:tc>
        <w:tc>
          <w:tcPr>
            <w:tcW w:w="891" w:type="dxa"/>
            <w:tcBorders>
              <w:top w:val="single" w:color="000000" w:sz="4" w:space="0"/>
              <w:left w:val="single" w:color="000000" w:sz="4" w:space="0"/>
              <w:bottom w:val="single" w:color="000000" w:sz="4" w:space="0"/>
              <w:right w:val="single" w:color="000000" w:sz="4" w:space="0"/>
            </w:tcBorders>
          </w:tcPr>
          <w:p>
            <w:pPr>
              <w:pStyle w:val="14"/>
              <w:spacing w:line="252" w:lineRule="exact"/>
              <w:ind w:right="268"/>
              <w:jc w:val="right"/>
              <w:rPr>
                <w:rFonts w:ascii="Times New Roman" w:eastAsia="Times New Roman"/>
                <w:sz w:val="21"/>
              </w:rPr>
            </w:pPr>
            <w:r>
              <w:rPr>
                <w:w w:val="95"/>
                <w:sz w:val="21"/>
              </w:rPr>
              <w:t>元</w:t>
            </w:r>
            <w:r>
              <w:rPr>
                <w:rFonts w:ascii="Times New Roman" w:eastAsia="Times New Roman"/>
                <w:w w:val="95"/>
                <w:sz w:val="21"/>
              </w:rPr>
              <w:t>/t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8" w:lineRule="exact"/>
              <w:ind w:left="13"/>
              <w:rPr>
                <w:rFonts w:ascii="Times New Roman"/>
                <w:sz w:val="21"/>
              </w:rPr>
            </w:pPr>
            <w:r>
              <w:rPr>
                <w:rFonts w:ascii="Times New Roman"/>
                <w:sz w:val="21"/>
              </w:rPr>
              <w:t>580</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5" w:line="238" w:lineRule="exact"/>
              <w:ind w:left="357" w:right="347"/>
              <w:rPr>
                <w:rFonts w:ascii="Times New Roman"/>
                <w:sz w:val="21"/>
              </w:rPr>
            </w:pPr>
            <w:r>
              <w:rPr>
                <w:rFonts w:ascii="Times New Roman"/>
                <w:sz w:val="21"/>
              </w:rPr>
              <w:t>19</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48" w:right="34"/>
              <w:rPr>
                <w:sz w:val="21"/>
              </w:rPr>
            </w:pPr>
            <w:r>
              <w:rPr>
                <w:sz w:val="21"/>
              </w:rPr>
              <w:t>项目建设期</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3" w:right="34"/>
              <w:rPr>
                <w:sz w:val="21"/>
              </w:rPr>
            </w:pPr>
            <w:r>
              <w:rPr>
                <w:sz w:val="21"/>
              </w:rPr>
              <w:t>建设工期</w:t>
            </w:r>
          </w:p>
        </w:tc>
        <w:tc>
          <w:tcPr>
            <w:tcW w:w="891" w:type="dxa"/>
            <w:tcBorders>
              <w:top w:val="single" w:color="000000" w:sz="4" w:space="0"/>
              <w:left w:val="single" w:color="000000" w:sz="4" w:space="0"/>
              <w:bottom w:val="single" w:color="000000" w:sz="4" w:space="0"/>
              <w:right w:val="single" w:color="000000" w:sz="4" w:space="0"/>
            </w:tcBorders>
          </w:tcPr>
          <w:p>
            <w:pPr>
              <w:pStyle w:val="14"/>
              <w:spacing w:line="252" w:lineRule="exact"/>
              <w:ind w:left="10"/>
              <w:rPr>
                <w:sz w:val="21"/>
              </w:rPr>
            </w:pPr>
            <w:r>
              <w:rPr>
                <w:w w:val="99"/>
                <w:sz w:val="21"/>
              </w:rPr>
              <w:t>月</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3" w:line="239" w:lineRule="exact"/>
              <w:ind w:left="13"/>
              <w:rPr>
                <w:rFonts w:ascii="Times New Roman"/>
                <w:sz w:val="21"/>
              </w:rPr>
            </w:pPr>
            <w:r>
              <w:rPr>
                <w:rFonts w:ascii="Times New Roman"/>
                <w:sz w:val="21"/>
              </w:rPr>
              <w:t>30</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8" w:right="34"/>
              <w:rPr>
                <w:sz w:val="21"/>
              </w:rPr>
            </w:pPr>
            <w:r>
              <w:rPr>
                <w:sz w:val="21"/>
              </w:rPr>
              <w:t>项目投产至达产时间</w:t>
            </w:r>
          </w:p>
        </w:tc>
        <w:tc>
          <w:tcPr>
            <w:tcW w:w="891" w:type="dxa"/>
            <w:tcBorders>
              <w:top w:val="single" w:color="000000" w:sz="4" w:space="0"/>
              <w:left w:val="single" w:color="000000" w:sz="4" w:space="0"/>
              <w:bottom w:val="single" w:color="000000" w:sz="4" w:space="0"/>
              <w:right w:val="single" w:color="000000" w:sz="4" w:space="0"/>
            </w:tcBorders>
          </w:tcPr>
          <w:p>
            <w:pPr>
              <w:pStyle w:val="14"/>
              <w:spacing w:line="252" w:lineRule="exact"/>
              <w:ind w:left="10"/>
              <w:rPr>
                <w:sz w:val="21"/>
              </w:rPr>
            </w:pPr>
            <w:r>
              <w:rPr>
                <w:w w:val="99"/>
                <w:sz w:val="21"/>
              </w:rPr>
              <w:t>月</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8" w:lineRule="exact"/>
              <w:ind w:left="13"/>
              <w:rPr>
                <w:rFonts w:ascii="Times New Roman"/>
                <w:sz w:val="21"/>
              </w:rPr>
            </w:pPr>
            <w:r>
              <w:rPr>
                <w:rFonts w:ascii="Times New Roman"/>
                <w:sz w:val="21"/>
              </w:rPr>
              <w:t>30</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5" w:line="238" w:lineRule="exact"/>
              <w:ind w:left="357" w:right="347"/>
              <w:rPr>
                <w:rFonts w:ascii="Times New Roman"/>
                <w:sz w:val="21"/>
              </w:rPr>
            </w:pPr>
            <w:r>
              <w:rPr>
                <w:rFonts w:ascii="Times New Roman"/>
                <w:sz w:val="21"/>
              </w:rPr>
              <w:t>20</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46" w:right="34"/>
              <w:rPr>
                <w:sz w:val="21"/>
              </w:rPr>
            </w:pPr>
            <w:r>
              <w:rPr>
                <w:sz w:val="21"/>
              </w:rPr>
              <w:t>财务评价指标</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trPr>
        <w:tc>
          <w:tcPr>
            <w:tcW w:w="1004" w:type="dxa"/>
            <w:tcBorders>
              <w:top w:val="single" w:color="000000" w:sz="4" w:space="0"/>
              <w:bottom w:val="single" w:color="000000" w:sz="4" w:space="0"/>
              <w:right w:val="single" w:color="000000" w:sz="4" w:space="0"/>
            </w:tcBorders>
          </w:tcPr>
          <w:p>
            <w:pPr>
              <w:pStyle w:val="14"/>
              <w:spacing w:before="136"/>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68" w:lineRule="exact"/>
              <w:ind w:left="46" w:right="34"/>
              <w:rPr>
                <w:sz w:val="21"/>
              </w:rPr>
            </w:pPr>
            <w:r>
              <w:rPr>
                <w:sz w:val="21"/>
              </w:rPr>
              <w:t>项目投资财务内部收益率</w:t>
            </w:r>
          </w:p>
          <w:p>
            <w:pPr>
              <w:pStyle w:val="14"/>
              <w:spacing w:before="4" w:line="252" w:lineRule="exact"/>
              <w:ind w:left="46" w:right="34"/>
              <w:rPr>
                <w:sz w:val="21"/>
              </w:rPr>
            </w:pPr>
            <w:r>
              <w:rPr>
                <w:sz w:val="21"/>
              </w:rPr>
              <w:t>（所得税前）</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50"/>
              <w:ind w:left="13"/>
              <w:rPr>
                <w:rFonts w:ascii="Times New Roman"/>
                <w:sz w:val="21"/>
              </w:rPr>
            </w:pPr>
            <w:r>
              <w:rPr>
                <w:rFonts w:ascii="Times New Roman"/>
                <w:w w:val="99"/>
                <w:sz w:val="21"/>
              </w:rPr>
              <w: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50"/>
              <w:ind w:left="16"/>
              <w:rPr>
                <w:rFonts w:ascii="Times New Roman"/>
                <w:sz w:val="21"/>
              </w:rPr>
            </w:pPr>
            <w:r>
              <w:rPr>
                <w:rFonts w:ascii="Times New Roman"/>
                <w:sz w:val="21"/>
              </w:rPr>
              <w:t>60.81</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4" w:hRule="atLeast"/>
        </w:trPr>
        <w:tc>
          <w:tcPr>
            <w:tcW w:w="1004" w:type="dxa"/>
            <w:tcBorders>
              <w:top w:val="single" w:color="000000" w:sz="4" w:space="0"/>
              <w:bottom w:val="single" w:color="000000" w:sz="4" w:space="0"/>
              <w:right w:val="single" w:color="000000" w:sz="4" w:space="0"/>
            </w:tcBorders>
          </w:tcPr>
          <w:p>
            <w:pPr>
              <w:pStyle w:val="14"/>
              <w:spacing w:before="135"/>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ind w:left="46" w:right="34"/>
              <w:rPr>
                <w:sz w:val="21"/>
              </w:rPr>
            </w:pPr>
            <w:r>
              <w:rPr>
                <w:sz w:val="21"/>
              </w:rPr>
              <w:t>项目投资财务内部收益率</w:t>
            </w:r>
          </w:p>
          <w:p>
            <w:pPr>
              <w:pStyle w:val="14"/>
              <w:spacing w:before="2" w:line="252" w:lineRule="exact"/>
              <w:ind w:left="46" w:right="34"/>
              <w:rPr>
                <w:sz w:val="21"/>
              </w:rPr>
            </w:pPr>
            <w:r>
              <w:rPr>
                <w:sz w:val="21"/>
              </w:rPr>
              <w:t>（所得税后）</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49"/>
              <w:ind w:left="13"/>
              <w:rPr>
                <w:rFonts w:ascii="Times New Roman"/>
                <w:sz w:val="21"/>
              </w:rPr>
            </w:pPr>
            <w:r>
              <w:rPr>
                <w:rFonts w:ascii="Times New Roman"/>
                <w:w w:val="99"/>
                <w:sz w:val="21"/>
              </w:rPr>
              <w: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9"/>
              <w:ind w:left="16"/>
              <w:rPr>
                <w:rFonts w:ascii="Times New Roman"/>
                <w:sz w:val="21"/>
              </w:rPr>
            </w:pPr>
            <w:r>
              <w:rPr>
                <w:rFonts w:ascii="Times New Roman"/>
                <w:sz w:val="21"/>
              </w:rPr>
              <w:t>48.13</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4" w:hRule="atLeast"/>
        </w:trPr>
        <w:tc>
          <w:tcPr>
            <w:tcW w:w="1004" w:type="dxa"/>
            <w:tcBorders>
              <w:top w:val="single" w:color="000000" w:sz="4" w:space="0"/>
              <w:bottom w:val="single" w:color="000000" w:sz="4" w:space="0"/>
              <w:right w:val="single" w:color="000000" w:sz="4" w:space="0"/>
            </w:tcBorders>
          </w:tcPr>
          <w:p>
            <w:pPr>
              <w:pStyle w:val="14"/>
              <w:spacing w:before="136"/>
              <w:ind w:right="227"/>
              <w:jc w:val="right"/>
              <w:rPr>
                <w:sz w:val="21"/>
              </w:rPr>
            </w:pPr>
            <w:r>
              <w:rPr>
                <w:sz w:val="21"/>
              </w:rPr>
              <w:t>（</w:t>
            </w:r>
            <w:r>
              <w:rPr>
                <w:rFonts w:ascii="Times New Roman" w:eastAsia="Times New Roman"/>
                <w:sz w:val="21"/>
              </w:rPr>
              <w:t>3</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ind w:left="46" w:right="34"/>
              <w:rPr>
                <w:sz w:val="21"/>
              </w:rPr>
            </w:pPr>
            <w:r>
              <w:rPr>
                <w:sz w:val="21"/>
              </w:rPr>
              <w:t>项目投资财务净现值（所</w:t>
            </w:r>
          </w:p>
          <w:p>
            <w:pPr>
              <w:pStyle w:val="14"/>
              <w:spacing w:before="2" w:line="252" w:lineRule="exact"/>
              <w:ind w:left="43" w:right="34"/>
              <w:rPr>
                <w:sz w:val="21"/>
              </w:rPr>
            </w:pPr>
            <w:r>
              <w:rPr>
                <w:sz w:val="21"/>
              </w:rPr>
              <w:t>得税前）</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36"/>
              <w:ind w:right="223"/>
              <w:jc w:val="right"/>
              <w:rPr>
                <w:sz w:val="21"/>
              </w:rPr>
            </w:pPr>
            <w:r>
              <w:rPr>
                <w:w w:val="95"/>
                <w:sz w:val="21"/>
              </w:rPr>
              <w:t>万元</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52"/>
              <w:ind w:right="1421"/>
              <w:jc w:val="right"/>
              <w:rPr>
                <w:rFonts w:ascii="Times New Roman"/>
                <w:sz w:val="21"/>
              </w:rPr>
            </w:pPr>
            <w:r>
              <w:rPr>
                <w:rFonts w:ascii="Times New Roman"/>
                <w:w w:val="95"/>
                <w:sz w:val="21"/>
              </w:rPr>
              <w:t>26277.1</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trPr>
        <w:tc>
          <w:tcPr>
            <w:tcW w:w="1004" w:type="dxa"/>
            <w:tcBorders>
              <w:top w:val="single" w:color="000000" w:sz="4" w:space="0"/>
              <w:bottom w:val="single" w:color="000000" w:sz="4" w:space="0"/>
              <w:right w:val="single" w:color="000000" w:sz="4" w:space="0"/>
            </w:tcBorders>
          </w:tcPr>
          <w:p>
            <w:pPr>
              <w:pStyle w:val="14"/>
              <w:spacing w:before="135"/>
              <w:ind w:right="227"/>
              <w:jc w:val="right"/>
              <w:rPr>
                <w:sz w:val="21"/>
              </w:rPr>
            </w:pPr>
            <w:r>
              <w:rPr>
                <w:sz w:val="21"/>
              </w:rPr>
              <w:t>（</w:t>
            </w:r>
            <w:r>
              <w:rPr>
                <w:rFonts w:ascii="Times New Roman" w:eastAsia="Times New Roman"/>
                <w:sz w:val="21"/>
              </w:rPr>
              <w:t>4</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ind w:left="46" w:right="34"/>
              <w:rPr>
                <w:sz w:val="21"/>
              </w:rPr>
            </w:pPr>
            <w:r>
              <w:rPr>
                <w:sz w:val="21"/>
              </w:rPr>
              <w:t>项目投资财务净现值（所</w:t>
            </w:r>
          </w:p>
          <w:p>
            <w:pPr>
              <w:pStyle w:val="14"/>
              <w:spacing w:before="2" w:line="253" w:lineRule="exact"/>
              <w:ind w:left="43" w:right="34"/>
              <w:rPr>
                <w:sz w:val="21"/>
              </w:rPr>
            </w:pPr>
            <w:r>
              <w:rPr>
                <w:sz w:val="21"/>
              </w:rPr>
              <w:t>得税后）</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35"/>
              <w:ind w:right="223"/>
              <w:jc w:val="right"/>
              <w:rPr>
                <w:sz w:val="21"/>
              </w:rPr>
            </w:pPr>
            <w:r>
              <w:rPr>
                <w:w w:val="95"/>
                <w:sz w:val="21"/>
              </w:rPr>
              <w:t>万元</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9"/>
              <w:ind w:right="1368"/>
              <w:jc w:val="right"/>
              <w:rPr>
                <w:rFonts w:ascii="Times New Roman"/>
                <w:sz w:val="21"/>
              </w:rPr>
            </w:pPr>
            <w:r>
              <w:rPr>
                <w:rFonts w:ascii="Times New Roman"/>
                <w:w w:val="95"/>
                <w:sz w:val="21"/>
              </w:rPr>
              <w:t>18652.48</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5</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sz w:val="21"/>
              </w:rPr>
              <w:t>项目投资回收期</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4" w:line="238" w:lineRule="exact"/>
              <w:ind w:left="13"/>
              <w:rPr>
                <w:rFonts w:ascii="Times New Roman"/>
                <w:sz w:val="21"/>
              </w:rPr>
            </w:pPr>
            <w:r>
              <w:rPr>
                <w:rFonts w:ascii="Times New Roman"/>
                <w:w w:val="99"/>
                <w:sz w:val="21"/>
              </w:rPr>
              <w:t>a</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8" w:lineRule="exact"/>
              <w:ind w:left="13"/>
              <w:rPr>
                <w:rFonts w:ascii="Times New Roman"/>
                <w:sz w:val="21"/>
              </w:rPr>
            </w:pPr>
            <w:r>
              <w:rPr>
                <w:rFonts w:ascii="Times New Roman"/>
                <w:sz w:val="21"/>
              </w:rPr>
              <w:t>4.15</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trPr>
        <w:tc>
          <w:tcPr>
            <w:tcW w:w="1004" w:type="dxa"/>
            <w:tcBorders>
              <w:top w:val="single" w:color="000000" w:sz="4" w:space="0"/>
              <w:bottom w:val="single" w:color="000000" w:sz="4" w:space="0"/>
              <w:right w:val="single" w:color="000000" w:sz="4" w:space="0"/>
            </w:tcBorders>
          </w:tcPr>
          <w:p>
            <w:pPr>
              <w:pStyle w:val="14"/>
              <w:spacing w:before="135"/>
              <w:ind w:right="227"/>
              <w:jc w:val="right"/>
              <w:rPr>
                <w:sz w:val="21"/>
              </w:rPr>
            </w:pPr>
            <w:r>
              <w:rPr>
                <w:sz w:val="21"/>
              </w:rPr>
              <w:t>（</w:t>
            </w:r>
            <w:r>
              <w:rPr>
                <w:rFonts w:ascii="Times New Roman" w:eastAsia="Times New Roman"/>
                <w:sz w:val="21"/>
              </w:rPr>
              <w:t>6</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68" w:lineRule="exact"/>
              <w:ind w:left="46" w:right="34"/>
              <w:rPr>
                <w:sz w:val="21"/>
              </w:rPr>
            </w:pPr>
            <w:r>
              <w:rPr>
                <w:sz w:val="21"/>
              </w:rPr>
              <w:t>项目资本金财务内部收益</w:t>
            </w:r>
          </w:p>
          <w:p>
            <w:pPr>
              <w:pStyle w:val="14"/>
              <w:spacing w:before="4" w:line="252" w:lineRule="exact"/>
              <w:ind w:left="14"/>
              <w:rPr>
                <w:sz w:val="21"/>
              </w:rPr>
            </w:pPr>
            <w:r>
              <w:rPr>
                <w:w w:val="99"/>
                <w:sz w:val="21"/>
              </w:rPr>
              <w:t>率</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49"/>
              <w:ind w:left="13"/>
              <w:rPr>
                <w:rFonts w:ascii="Times New Roman"/>
                <w:sz w:val="21"/>
              </w:rPr>
            </w:pPr>
            <w:r>
              <w:rPr>
                <w:rFonts w:ascii="Times New Roman"/>
                <w:w w:val="99"/>
                <w:sz w:val="21"/>
              </w:rPr>
              <w: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9"/>
              <w:ind w:left="16"/>
              <w:rPr>
                <w:rFonts w:ascii="Times New Roman"/>
                <w:sz w:val="21"/>
              </w:rPr>
            </w:pPr>
            <w:r>
              <w:rPr>
                <w:rFonts w:ascii="Times New Roman"/>
                <w:sz w:val="21"/>
              </w:rPr>
              <w:t>65.08</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1" w:lineRule="exact"/>
              <w:ind w:right="227"/>
              <w:jc w:val="right"/>
              <w:rPr>
                <w:sz w:val="21"/>
              </w:rPr>
            </w:pPr>
            <w:r>
              <w:rPr>
                <w:sz w:val="21"/>
              </w:rPr>
              <w:t>（</w:t>
            </w:r>
            <w:r>
              <w:rPr>
                <w:rFonts w:ascii="Times New Roman" w:eastAsia="Times New Roman"/>
                <w:sz w:val="21"/>
              </w:rPr>
              <w:t>7</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1" w:lineRule="exact"/>
              <w:ind w:left="46" w:right="34"/>
              <w:rPr>
                <w:sz w:val="21"/>
              </w:rPr>
            </w:pPr>
            <w:r>
              <w:rPr>
                <w:sz w:val="21"/>
              </w:rPr>
              <w:t>总投资收益率</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4" w:line="237" w:lineRule="exact"/>
              <w:ind w:left="13"/>
              <w:rPr>
                <w:rFonts w:ascii="Times New Roman"/>
                <w:sz w:val="21"/>
              </w:rPr>
            </w:pPr>
            <w:r>
              <w:rPr>
                <w:rFonts w:ascii="Times New Roman"/>
                <w:w w:val="99"/>
                <w:sz w:val="21"/>
              </w:rPr>
              <w: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7" w:lineRule="exact"/>
              <w:ind w:left="16"/>
              <w:rPr>
                <w:rFonts w:ascii="Times New Roman"/>
                <w:sz w:val="21"/>
              </w:rPr>
            </w:pPr>
            <w:r>
              <w:rPr>
                <w:rFonts w:ascii="Times New Roman"/>
                <w:sz w:val="21"/>
              </w:rPr>
              <w:t>74.02</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8</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8" w:right="34"/>
              <w:rPr>
                <w:sz w:val="21"/>
              </w:rPr>
            </w:pPr>
            <w:r>
              <w:rPr>
                <w:sz w:val="21"/>
              </w:rPr>
              <w:t>项目资本金净利润率</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3" w:line="238" w:lineRule="exact"/>
              <w:ind w:left="13"/>
              <w:rPr>
                <w:rFonts w:ascii="Times New Roman"/>
                <w:sz w:val="21"/>
              </w:rPr>
            </w:pPr>
            <w:r>
              <w:rPr>
                <w:rFonts w:ascii="Times New Roman"/>
                <w:w w:val="99"/>
                <w:sz w:val="21"/>
              </w:rPr>
              <w: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3" w:line="238" w:lineRule="exact"/>
              <w:ind w:left="16"/>
              <w:rPr>
                <w:rFonts w:ascii="Times New Roman"/>
                <w:sz w:val="21"/>
              </w:rPr>
            </w:pPr>
            <w:r>
              <w:rPr>
                <w:rFonts w:ascii="Times New Roman"/>
                <w:sz w:val="21"/>
              </w:rPr>
              <w:t>57.72</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004" w:type="dxa"/>
            <w:tcBorders>
              <w:top w:val="single" w:color="000000" w:sz="4" w:space="0"/>
              <w:bottom w:val="single" w:color="000000" w:sz="4" w:space="0"/>
              <w:right w:val="single" w:color="000000" w:sz="4" w:space="0"/>
            </w:tcBorders>
          </w:tcPr>
          <w:p>
            <w:pPr>
              <w:pStyle w:val="14"/>
              <w:spacing w:before="14" w:line="238" w:lineRule="exact"/>
              <w:ind w:left="357" w:right="347"/>
              <w:rPr>
                <w:rFonts w:ascii="Times New Roman"/>
                <w:sz w:val="21"/>
              </w:rPr>
            </w:pPr>
            <w:r>
              <w:rPr>
                <w:rFonts w:ascii="Times New Roman"/>
                <w:sz w:val="21"/>
              </w:rPr>
              <w:t>21</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sz w:val="21"/>
              </w:rPr>
              <w:t>经济费用效益分析指标</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04" w:type="dxa"/>
            <w:tcBorders>
              <w:top w:val="single" w:color="000000" w:sz="4" w:space="0"/>
              <w:bottom w:val="single" w:color="000000" w:sz="4" w:space="0"/>
              <w:right w:val="single" w:color="000000" w:sz="4" w:space="0"/>
            </w:tcBorders>
          </w:tcPr>
          <w:p>
            <w:pPr>
              <w:pStyle w:val="14"/>
              <w:spacing w:before="1" w:line="251"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6" w:right="34"/>
              <w:rPr>
                <w:sz w:val="21"/>
              </w:rPr>
            </w:pPr>
            <w:r>
              <w:rPr>
                <w:sz w:val="21"/>
              </w:rPr>
              <w:t>经济内部收益率</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5" w:line="237" w:lineRule="exact"/>
              <w:ind w:left="13"/>
              <w:rPr>
                <w:rFonts w:ascii="Times New Roman"/>
                <w:sz w:val="21"/>
              </w:rPr>
            </w:pPr>
            <w:r>
              <w:rPr>
                <w:rFonts w:ascii="Times New Roman"/>
                <w:w w:val="99"/>
                <w:sz w:val="21"/>
              </w:rPr>
              <w:t>%</w:t>
            </w: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8" w:right="34"/>
              <w:rPr>
                <w:sz w:val="21"/>
              </w:rPr>
            </w:pPr>
            <w:r>
              <w:rPr>
                <w:sz w:val="21"/>
              </w:rPr>
              <w:t>经济净现值</w:t>
            </w:r>
          </w:p>
        </w:tc>
        <w:tc>
          <w:tcPr>
            <w:tcW w:w="891" w:type="dxa"/>
            <w:tcBorders>
              <w:top w:val="single" w:color="000000" w:sz="4" w:space="0"/>
              <w:left w:val="single" w:color="000000" w:sz="4" w:space="0"/>
              <w:bottom w:val="single" w:color="000000" w:sz="4" w:space="0"/>
              <w:right w:val="single" w:color="000000" w:sz="4" w:space="0"/>
            </w:tcBorders>
          </w:tcPr>
          <w:p>
            <w:pPr>
              <w:pStyle w:val="14"/>
              <w:spacing w:line="252" w:lineRule="exact"/>
              <w:ind w:right="223"/>
              <w:jc w:val="right"/>
              <w:rPr>
                <w:sz w:val="21"/>
              </w:rPr>
            </w:pPr>
            <w:r>
              <w:rPr>
                <w:w w:val="95"/>
                <w:sz w:val="21"/>
              </w:rPr>
              <w:t>万元</w:t>
            </w: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right w:val="single" w:color="000000" w:sz="4" w:space="0"/>
            </w:tcBorders>
          </w:tcPr>
          <w:p>
            <w:pPr>
              <w:pStyle w:val="14"/>
              <w:spacing w:before="1" w:line="252" w:lineRule="exact"/>
              <w:ind w:right="227"/>
              <w:jc w:val="right"/>
              <w:rPr>
                <w:sz w:val="21"/>
              </w:rPr>
            </w:pPr>
            <w:r>
              <w:rPr>
                <w:sz w:val="21"/>
              </w:rPr>
              <w:t>（</w:t>
            </w:r>
            <w:r>
              <w:rPr>
                <w:rFonts w:ascii="Times New Roman" w:eastAsia="Times New Roman"/>
                <w:sz w:val="21"/>
              </w:rPr>
              <w:t>3</w:t>
            </w:r>
            <w:r>
              <w:rPr>
                <w:sz w:val="21"/>
              </w:rPr>
              <w:t>）</w:t>
            </w:r>
          </w:p>
        </w:tc>
        <w:tc>
          <w:tcPr>
            <w:tcW w:w="2608" w:type="dxa"/>
            <w:tcBorders>
              <w:top w:val="single" w:color="000000" w:sz="4" w:space="0"/>
              <w:left w:val="single" w:color="000000" w:sz="4" w:space="0"/>
              <w:right w:val="single" w:color="000000" w:sz="4" w:space="0"/>
            </w:tcBorders>
          </w:tcPr>
          <w:p>
            <w:pPr>
              <w:pStyle w:val="14"/>
              <w:spacing w:before="1" w:line="252" w:lineRule="exact"/>
              <w:ind w:left="46" w:right="34"/>
              <w:rPr>
                <w:sz w:val="21"/>
              </w:rPr>
            </w:pPr>
            <w:r>
              <w:rPr>
                <w:sz w:val="21"/>
              </w:rPr>
              <w:t>经济效益费用比</w:t>
            </w:r>
          </w:p>
        </w:tc>
        <w:tc>
          <w:tcPr>
            <w:tcW w:w="891" w:type="dxa"/>
            <w:tcBorders>
              <w:top w:val="single" w:color="000000" w:sz="4" w:space="0"/>
              <w:left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tcBorders>
          </w:tcPr>
          <w:p>
            <w:pPr>
              <w:pStyle w:val="14"/>
              <w:jc w:val="left"/>
              <w:rPr>
                <w:rFonts w:ascii="Times New Roman"/>
                <w:sz w:val="20"/>
              </w:rPr>
            </w:pPr>
          </w:p>
        </w:tc>
      </w:tr>
    </w:tbl>
    <w:p>
      <w:pPr>
        <w:pStyle w:val="3"/>
        <w:numPr>
          <w:ilvl w:val="1"/>
          <w:numId w:val="16"/>
        </w:numPr>
        <w:tabs>
          <w:tab w:val="left" w:pos="1566"/>
        </w:tabs>
        <w:spacing w:before="120" w:after="0" w:line="240" w:lineRule="auto"/>
        <w:ind w:left="1565" w:right="0" w:hanging="526"/>
        <w:jc w:val="left"/>
      </w:pPr>
      <w:bookmarkStart w:id="93" w:name="_bookmark17"/>
      <w:bookmarkEnd w:id="93"/>
      <w:bookmarkStart w:id="94" w:name="_bookmark17"/>
      <w:bookmarkEnd w:id="94"/>
      <w:bookmarkStart w:id="95" w:name="3.3 工程分析"/>
      <w:bookmarkEnd w:id="95"/>
      <w:r>
        <w:t>工程分析</w:t>
      </w:r>
    </w:p>
    <w:p>
      <w:pPr>
        <w:pStyle w:val="4"/>
        <w:numPr>
          <w:ilvl w:val="2"/>
          <w:numId w:val="16"/>
        </w:numPr>
        <w:tabs>
          <w:tab w:val="left" w:pos="1669"/>
        </w:tabs>
        <w:spacing w:before="123" w:after="0" w:line="240" w:lineRule="auto"/>
        <w:ind w:left="1668" w:right="0" w:hanging="629"/>
        <w:jc w:val="left"/>
      </w:pPr>
      <w:bookmarkStart w:id="96" w:name="3.3.1原有工程污染情况"/>
      <w:bookmarkEnd w:id="96"/>
      <w:bookmarkStart w:id="97" w:name="3.3.1原有工程污染情况"/>
      <w:bookmarkEnd w:id="97"/>
      <w:r>
        <w:t>原有工程污染情况</w:t>
      </w:r>
    </w:p>
    <w:p>
      <w:pPr>
        <w:pStyle w:val="5"/>
        <w:numPr>
          <w:ilvl w:val="0"/>
          <w:numId w:val="18"/>
        </w:numPr>
        <w:tabs>
          <w:tab w:val="left" w:pos="1701"/>
        </w:tabs>
        <w:spacing w:before="185" w:after="0" w:line="240" w:lineRule="auto"/>
        <w:ind w:left="1701" w:right="0" w:hanging="181"/>
        <w:jc w:val="left"/>
      </w:pPr>
      <w:r>
        <w:t>环境空气污染分析及源强</w:t>
      </w:r>
    </w:p>
    <w:p>
      <w:pPr>
        <w:pStyle w:val="13"/>
        <w:numPr>
          <w:ilvl w:val="0"/>
          <w:numId w:val="19"/>
        </w:numPr>
        <w:tabs>
          <w:tab w:val="left" w:pos="2121"/>
        </w:tabs>
        <w:spacing w:before="155" w:after="0" w:line="240" w:lineRule="auto"/>
        <w:ind w:left="2121" w:right="0" w:hanging="601"/>
        <w:jc w:val="left"/>
        <w:rPr>
          <w:rFonts w:ascii="Times New Roman" w:eastAsia="Times New Roman"/>
          <w:sz w:val="24"/>
        </w:rPr>
      </w:pPr>
      <w:r>
        <w:rPr>
          <w:spacing w:val="-10"/>
          <w:position w:val="2"/>
          <w:sz w:val="24"/>
        </w:rPr>
        <w:t xml:space="preserve">锅炉烟尘与 </w:t>
      </w:r>
      <w:r>
        <w:rPr>
          <w:rFonts w:ascii="Times New Roman" w:eastAsia="Times New Roman"/>
          <w:position w:val="2"/>
          <w:sz w:val="24"/>
        </w:rPr>
        <w:t>SO</w:t>
      </w:r>
      <w:r>
        <w:rPr>
          <w:rFonts w:ascii="Times New Roman" w:eastAsia="Times New Roman"/>
          <w:position w:val="2"/>
          <w:sz w:val="24"/>
          <w:vertAlign w:val="subscript"/>
        </w:rPr>
        <w:t>2</w:t>
      </w:r>
    </w:p>
    <w:p>
      <w:pPr>
        <w:pStyle w:val="6"/>
        <w:spacing w:before="156" w:line="364" w:lineRule="auto"/>
        <w:ind w:left="1040" w:right="1075" w:firstLine="480"/>
        <w:jc w:val="both"/>
      </w:pPr>
      <w:r>
        <w:rPr>
          <w:position w:val="2"/>
        </w:rPr>
        <w:t>锅炉运行产生的污染物为烟尘、</w:t>
      </w:r>
      <w:r>
        <w:rPr>
          <w:rFonts w:ascii="Times New Roman" w:eastAsia="Times New Roman"/>
          <w:position w:val="2"/>
        </w:rPr>
        <w:t>SO</w:t>
      </w:r>
      <w:r>
        <w:rPr>
          <w:rFonts w:ascii="Times New Roman" w:eastAsia="Times New Roman"/>
          <w:position w:val="2"/>
          <w:vertAlign w:val="subscript"/>
        </w:rPr>
        <w:t>2</w:t>
      </w:r>
      <w:r>
        <w:rPr>
          <w:rFonts w:ascii="Times New Roman" w:eastAsia="Times New Roman"/>
          <w:position w:val="2"/>
          <w:vertAlign w:val="baseline"/>
        </w:rPr>
        <w:t xml:space="preserve"> </w:t>
      </w:r>
      <w:r>
        <w:rPr>
          <w:spacing w:val="-24"/>
          <w:position w:val="2"/>
          <w:vertAlign w:val="baseline"/>
        </w:rPr>
        <w:t xml:space="preserve">与 </w:t>
      </w:r>
      <w:r>
        <w:rPr>
          <w:rFonts w:ascii="Times New Roman" w:eastAsia="Times New Roman"/>
          <w:position w:val="2"/>
          <w:vertAlign w:val="baseline"/>
        </w:rPr>
        <w:t xml:space="preserve">NOx </w:t>
      </w:r>
      <w:r>
        <w:rPr>
          <w:position w:val="2"/>
          <w:vertAlign w:val="baseline"/>
        </w:rPr>
        <w:t>等，为非稳态有组织排放。原</w:t>
      </w:r>
      <w:r>
        <w:rPr>
          <w:spacing w:val="-4"/>
          <w:vertAlign w:val="baseline"/>
        </w:rPr>
        <w:t xml:space="preserve">双鸭山大顺矿业有限公司锅炉使用情况为 </w:t>
      </w:r>
      <w:r>
        <w:rPr>
          <w:rFonts w:ascii="Times New Roman" w:eastAsia="Times New Roman"/>
          <w:vertAlign w:val="baseline"/>
        </w:rPr>
        <w:t xml:space="preserve">1 </w:t>
      </w:r>
      <w:r>
        <w:rPr>
          <w:spacing w:val="-2"/>
          <w:vertAlign w:val="baseline"/>
        </w:rPr>
        <w:t>台常压热水锅炉，</w:t>
      </w:r>
      <w:r>
        <w:rPr>
          <w:rFonts w:ascii="Times New Roman" w:eastAsia="Times New Roman"/>
          <w:spacing w:val="-9"/>
          <w:vertAlign w:val="baseline"/>
        </w:rPr>
        <w:t xml:space="preserve">1 </w:t>
      </w:r>
      <w:r>
        <w:rPr>
          <w:spacing w:val="-6"/>
          <w:vertAlign w:val="baseline"/>
        </w:rPr>
        <w:t>台热风炉，锅炉</w:t>
      </w:r>
      <w:r>
        <w:rPr>
          <w:spacing w:val="-2"/>
          <w:vertAlign w:val="baseline"/>
        </w:rPr>
        <w:t xml:space="preserve">燃用本矿生产的原煤，燃煤量约 </w:t>
      </w:r>
      <w:r>
        <w:rPr>
          <w:rFonts w:ascii="Times New Roman" w:eastAsia="Times New Roman"/>
          <w:vertAlign w:val="baseline"/>
        </w:rPr>
        <w:t>1000t/a</w:t>
      </w:r>
      <w:r>
        <w:rPr>
          <w:vertAlign w:val="baseline"/>
        </w:rPr>
        <w:t>，锅炉无脱硫除尘设施，锅炉排放烟气</w:t>
      </w:r>
      <w:r>
        <w:rPr>
          <w:spacing w:val="-4"/>
          <w:vertAlign w:val="baseline"/>
        </w:rPr>
        <w:t xml:space="preserve">不能达标。锅炉正常运转时设备指标见表 </w:t>
      </w:r>
      <w:r>
        <w:rPr>
          <w:rFonts w:ascii="Times New Roman" w:eastAsia="Times New Roman"/>
          <w:vertAlign w:val="baseline"/>
        </w:rPr>
        <w:t>3.3-1</w:t>
      </w:r>
      <w:r>
        <w:rPr>
          <w:vertAlign w:val="baseline"/>
        </w:rPr>
        <w:t>。</w:t>
      </w:r>
    </w:p>
    <w:p>
      <w:pPr>
        <w:pStyle w:val="5"/>
        <w:spacing w:after="3" w:line="304" w:lineRule="exact"/>
        <w:ind w:left="3593"/>
        <w:jc w:val="both"/>
      </w:pPr>
      <w:r>
        <w:t xml:space="preserve">表 </w:t>
      </w:r>
      <w:r>
        <w:rPr>
          <w:rFonts w:ascii="Times New Roman" w:eastAsia="Times New Roman"/>
        </w:rPr>
        <w:t xml:space="preserve">3.3-1  </w:t>
      </w:r>
      <w:r>
        <w:t>锅炉正常运转时设备指标</w:t>
      </w:r>
    </w:p>
    <w:tbl>
      <w:tblPr>
        <w:tblStyle w:val="10"/>
        <w:tblW w:w="0" w:type="auto"/>
        <w:tblInd w:w="82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83"/>
        <w:gridCol w:w="1991"/>
        <w:gridCol w:w="528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7" w:hRule="atLeast"/>
        </w:trPr>
        <w:tc>
          <w:tcPr>
            <w:tcW w:w="1483" w:type="dxa"/>
          </w:tcPr>
          <w:p>
            <w:pPr>
              <w:pStyle w:val="14"/>
              <w:spacing w:before="79"/>
              <w:ind w:left="425"/>
              <w:jc w:val="left"/>
              <w:rPr>
                <w:sz w:val="21"/>
              </w:rPr>
            </w:pPr>
            <w:r>
              <w:rPr>
                <w:sz w:val="21"/>
              </w:rPr>
              <w:t>污染源</w:t>
            </w:r>
          </w:p>
        </w:tc>
        <w:tc>
          <w:tcPr>
            <w:tcW w:w="1991" w:type="dxa"/>
          </w:tcPr>
          <w:p>
            <w:pPr>
              <w:pStyle w:val="14"/>
              <w:spacing w:before="79"/>
              <w:ind w:left="574"/>
              <w:jc w:val="left"/>
              <w:rPr>
                <w:sz w:val="21"/>
              </w:rPr>
            </w:pPr>
            <w:r>
              <w:rPr>
                <w:sz w:val="21"/>
              </w:rPr>
              <w:t>排放特征</w:t>
            </w:r>
          </w:p>
        </w:tc>
        <w:tc>
          <w:tcPr>
            <w:tcW w:w="5286" w:type="dxa"/>
          </w:tcPr>
          <w:p>
            <w:pPr>
              <w:pStyle w:val="14"/>
              <w:spacing w:before="79"/>
              <w:ind w:left="2201" w:right="1770"/>
              <w:rPr>
                <w:sz w:val="21"/>
              </w:rPr>
            </w:pPr>
            <w:r>
              <w:rPr>
                <w:sz w:val="21"/>
              </w:rPr>
              <w:t>排放量（</w:t>
            </w:r>
            <w:r>
              <w:rPr>
                <w:rFonts w:ascii="Times New Roman" w:eastAsia="Times New Roman"/>
                <w:sz w:val="21"/>
              </w:rPr>
              <w:t>t/a</w:t>
            </w:r>
            <w:r>
              <w:rPr>
                <w:sz w:val="21"/>
              </w:rPr>
              <w:t>）</w:t>
            </w:r>
          </w:p>
        </w:tc>
      </w:tr>
    </w:tbl>
    <w:p>
      <w:pPr>
        <w:spacing w:after="0"/>
        <w:rPr>
          <w:sz w:val="21"/>
        </w:rPr>
        <w:sectPr>
          <w:pgSz w:w="11910" w:h="16840"/>
          <w:pgMar w:top="1080" w:right="720" w:bottom="1080" w:left="760" w:header="0" w:footer="89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232" name="组合 33"/>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231" name="直线 34"/>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33"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7toIu1AAAAAMBAAAPAAAAAAAAAAEAIAAAACIAAABkcnMvZG93bnJldi54bWxQ&#10;SwECFAAUAAAACACHTuJArPvY3zQCAAC2BAAADgAAAAAAAAABACAAAAAjAQAAZHJzL2Uyb0RvYy54&#10;bWxQSwUGAAAAAAYABgBZAQAAyQUAAAAA&#10;">
                <o:lock v:ext="edit" aspectratio="f"/>
                <v:line id="直线 34" o:spid="_x0000_s1026" o:spt="20" style="position:absolute;left:0;top:7;height:0;width:8306;" filled="f" stroked="t" coordsize="21600,21600" o:gfxdata="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ylXy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pStyle w:val="6"/>
        <w:spacing w:before="1"/>
        <w:rPr>
          <w:b/>
          <w:sz w:val="25"/>
        </w:rPr>
      </w:pPr>
    </w:p>
    <w:tbl>
      <w:tblPr>
        <w:tblStyle w:val="10"/>
        <w:tblW w:w="0" w:type="auto"/>
        <w:tblInd w:w="82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83"/>
        <w:gridCol w:w="809"/>
        <w:gridCol w:w="1182"/>
        <w:gridCol w:w="1828"/>
        <w:gridCol w:w="1750"/>
        <w:gridCol w:w="170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0" w:hRule="atLeast"/>
        </w:trPr>
        <w:tc>
          <w:tcPr>
            <w:tcW w:w="1483" w:type="dxa"/>
          </w:tcPr>
          <w:p>
            <w:pPr>
              <w:pStyle w:val="14"/>
              <w:jc w:val="left"/>
              <w:rPr>
                <w:rFonts w:ascii="Times New Roman"/>
                <w:sz w:val="22"/>
              </w:rPr>
            </w:pPr>
          </w:p>
        </w:tc>
        <w:tc>
          <w:tcPr>
            <w:tcW w:w="1991" w:type="dxa"/>
            <w:gridSpan w:val="2"/>
          </w:tcPr>
          <w:p>
            <w:pPr>
              <w:pStyle w:val="14"/>
              <w:jc w:val="left"/>
              <w:rPr>
                <w:rFonts w:ascii="Times New Roman"/>
                <w:sz w:val="22"/>
              </w:rPr>
            </w:pPr>
          </w:p>
        </w:tc>
        <w:tc>
          <w:tcPr>
            <w:tcW w:w="1828" w:type="dxa"/>
          </w:tcPr>
          <w:p>
            <w:pPr>
              <w:pStyle w:val="14"/>
              <w:spacing w:before="2"/>
              <w:jc w:val="left"/>
              <w:rPr>
                <w:b/>
                <w:sz w:val="16"/>
              </w:rPr>
            </w:pPr>
          </w:p>
          <w:p>
            <w:pPr>
              <w:pStyle w:val="14"/>
              <w:ind w:left="955"/>
              <w:jc w:val="left"/>
              <w:rPr>
                <w:rFonts w:ascii="Times New Roman"/>
                <w:sz w:val="21"/>
              </w:rPr>
            </w:pPr>
            <w:r>
              <w:rPr>
                <w:rFonts w:ascii="Times New Roman"/>
                <w:position w:val="2"/>
                <w:sz w:val="21"/>
              </w:rPr>
              <w:t>SO</w:t>
            </w:r>
            <w:r>
              <w:rPr>
                <w:rFonts w:ascii="Times New Roman"/>
                <w:position w:val="2"/>
                <w:sz w:val="21"/>
                <w:vertAlign w:val="subscript"/>
              </w:rPr>
              <w:t>2</w:t>
            </w:r>
          </w:p>
        </w:tc>
        <w:tc>
          <w:tcPr>
            <w:tcW w:w="1750" w:type="dxa"/>
          </w:tcPr>
          <w:p>
            <w:pPr>
              <w:pStyle w:val="14"/>
              <w:spacing w:before="136"/>
              <w:ind w:left="354" w:right="166"/>
              <w:rPr>
                <w:sz w:val="21"/>
              </w:rPr>
            </w:pPr>
            <w:r>
              <w:rPr>
                <w:sz w:val="21"/>
              </w:rPr>
              <w:t>烟（粉）尘</w:t>
            </w:r>
          </w:p>
        </w:tc>
        <w:tc>
          <w:tcPr>
            <w:tcW w:w="1708" w:type="dxa"/>
          </w:tcPr>
          <w:p>
            <w:pPr>
              <w:pStyle w:val="14"/>
              <w:spacing w:before="150"/>
              <w:ind w:right="548"/>
              <w:jc w:val="right"/>
              <w:rPr>
                <w:rFonts w:ascii="Times New Roman"/>
                <w:sz w:val="21"/>
              </w:rPr>
            </w:pPr>
            <w:r>
              <w:rPr>
                <w:rFonts w:ascii="Times New Roman"/>
                <w:w w:val="95"/>
                <w:sz w:val="21"/>
              </w:rPr>
              <w:t>NOx</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7" w:hRule="atLeast"/>
        </w:trPr>
        <w:tc>
          <w:tcPr>
            <w:tcW w:w="1483" w:type="dxa"/>
          </w:tcPr>
          <w:p>
            <w:pPr>
              <w:pStyle w:val="14"/>
              <w:spacing w:before="137"/>
              <w:ind w:left="111"/>
              <w:jc w:val="left"/>
              <w:rPr>
                <w:sz w:val="21"/>
              </w:rPr>
            </w:pPr>
            <w:r>
              <w:rPr>
                <w:sz w:val="21"/>
              </w:rPr>
              <w:t>锅炉、热风炉</w:t>
            </w:r>
          </w:p>
        </w:tc>
        <w:tc>
          <w:tcPr>
            <w:tcW w:w="809" w:type="dxa"/>
          </w:tcPr>
          <w:p>
            <w:pPr>
              <w:pStyle w:val="14"/>
              <w:spacing w:before="137"/>
              <w:ind w:left="193"/>
              <w:jc w:val="left"/>
              <w:rPr>
                <w:sz w:val="21"/>
              </w:rPr>
            </w:pPr>
            <w:r>
              <w:rPr>
                <w:sz w:val="21"/>
              </w:rPr>
              <w:t>点源</w:t>
            </w:r>
          </w:p>
        </w:tc>
        <w:tc>
          <w:tcPr>
            <w:tcW w:w="1182" w:type="dxa"/>
          </w:tcPr>
          <w:p>
            <w:pPr>
              <w:pStyle w:val="14"/>
              <w:spacing w:before="151"/>
              <w:ind w:left="274"/>
              <w:jc w:val="left"/>
              <w:rPr>
                <w:rFonts w:ascii="Times New Roman"/>
                <w:sz w:val="21"/>
              </w:rPr>
            </w:pPr>
            <w:r>
              <w:rPr>
                <w:rFonts w:ascii="Times New Roman"/>
                <w:sz w:val="21"/>
              </w:rPr>
              <w:t>1000t/a</w:t>
            </w:r>
          </w:p>
        </w:tc>
        <w:tc>
          <w:tcPr>
            <w:tcW w:w="1828" w:type="dxa"/>
          </w:tcPr>
          <w:p>
            <w:pPr>
              <w:pStyle w:val="14"/>
              <w:spacing w:before="151"/>
              <w:ind w:left="796" w:right="609"/>
              <w:rPr>
                <w:rFonts w:ascii="Times New Roman"/>
                <w:sz w:val="21"/>
              </w:rPr>
            </w:pPr>
            <w:r>
              <w:rPr>
                <w:rFonts w:ascii="Times New Roman"/>
                <w:sz w:val="21"/>
              </w:rPr>
              <w:t>4.14</w:t>
            </w:r>
          </w:p>
        </w:tc>
        <w:tc>
          <w:tcPr>
            <w:tcW w:w="1750" w:type="dxa"/>
          </w:tcPr>
          <w:p>
            <w:pPr>
              <w:pStyle w:val="14"/>
              <w:spacing w:before="151"/>
              <w:ind w:left="354" w:right="164"/>
              <w:rPr>
                <w:rFonts w:ascii="Times New Roman"/>
                <w:sz w:val="21"/>
              </w:rPr>
            </w:pPr>
            <w:r>
              <w:rPr>
                <w:rFonts w:ascii="Times New Roman"/>
                <w:sz w:val="21"/>
              </w:rPr>
              <w:t>18.54</w:t>
            </w:r>
          </w:p>
        </w:tc>
        <w:tc>
          <w:tcPr>
            <w:tcW w:w="1708" w:type="dxa"/>
          </w:tcPr>
          <w:p>
            <w:pPr>
              <w:pStyle w:val="14"/>
              <w:spacing w:before="151"/>
              <w:ind w:right="566"/>
              <w:jc w:val="right"/>
              <w:rPr>
                <w:rFonts w:ascii="Times New Roman"/>
                <w:sz w:val="21"/>
              </w:rPr>
            </w:pPr>
            <w:r>
              <w:rPr>
                <w:rFonts w:ascii="Times New Roman"/>
                <w:sz w:val="21"/>
              </w:rPr>
              <w:t>5.58</w:t>
            </w:r>
          </w:p>
        </w:tc>
      </w:tr>
    </w:tbl>
    <w:p>
      <w:pPr>
        <w:pStyle w:val="13"/>
        <w:numPr>
          <w:ilvl w:val="0"/>
          <w:numId w:val="19"/>
        </w:numPr>
        <w:tabs>
          <w:tab w:val="left" w:pos="2121"/>
        </w:tabs>
        <w:spacing w:before="1" w:after="0" w:line="240" w:lineRule="auto"/>
        <w:ind w:left="2121" w:right="0" w:hanging="601"/>
        <w:jc w:val="left"/>
        <w:rPr>
          <w:sz w:val="24"/>
        </w:rPr>
      </w:pPr>
      <w:r>
        <w:rPr>
          <w:sz w:val="24"/>
        </w:rPr>
        <w:t>粉尘</w:t>
      </w:r>
    </w:p>
    <w:p>
      <w:pPr>
        <w:pStyle w:val="6"/>
        <w:spacing w:before="161" w:line="362" w:lineRule="auto"/>
        <w:ind w:left="1040" w:right="1077" w:firstLine="480"/>
      </w:pPr>
      <w:r>
        <w:rPr>
          <w:spacing w:val="-6"/>
        </w:rPr>
        <w:t>原有工程粉尘污染源主要为原煤物料、煤炭运输过程中产生的扬尘，为随机</w:t>
      </w:r>
      <w:r>
        <w:t>性无组织排放，对周围环境空气有一定影响。</w:t>
      </w:r>
    </w:p>
    <w:p>
      <w:pPr>
        <w:pStyle w:val="5"/>
        <w:numPr>
          <w:ilvl w:val="0"/>
          <w:numId w:val="18"/>
        </w:numPr>
        <w:tabs>
          <w:tab w:val="left" w:pos="1701"/>
        </w:tabs>
        <w:spacing w:before="5" w:after="0" w:line="240" w:lineRule="auto"/>
        <w:ind w:left="1701" w:right="0" w:hanging="181"/>
        <w:jc w:val="left"/>
      </w:pPr>
      <w:r>
        <w:t>水污染分析及源强</w:t>
      </w:r>
    </w:p>
    <w:p>
      <w:pPr>
        <w:pStyle w:val="6"/>
        <w:spacing w:before="158" w:line="364" w:lineRule="auto"/>
        <w:ind w:left="1040" w:right="955" w:firstLine="480"/>
      </w:pPr>
      <w:r>
        <w:rPr>
          <w:spacing w:val="1"/>
        </w:rPr>
        <w:t>该矿改扩建前矿井涌水排放量约为</w:t>
      </w:r>
      <w:r>
        <w:rPr>
          <w:rFonts w:ascii="Times New Roman" w:hAnsi="Times New Roman" w:eastAsia="Times New Roman"/>
        </w:rPr>
        <w:t>1200m</w:t>
      </w:r>
      <w:r>
        <w:rPr>
          <w:rFonts w:ascii="Times New Roman" w:hAnsi="Times New Roman" w:eastAsia="Times New Roman"/>
          <w:spacing w:val="-2"/>
          <w:w w:val="104"/>
          <w:position w:val="8"/>
          <w:sz w:val="15"/>
        </w:rPr>
        <w:t>3</w:t>
      </w:r>
      <w:r>
        <w:rPr>
          <w:rFonts w:ascii="Times New Roman" w:hAnsi="Times New Roman" w:eastAsia="Times New Roman"/>
        </w:rPr>
        <w:t>/d</w:t>
      </w:r>
      <w:r>
        <w:rPr>
          <w:spacing w:val="-9"/>
        </w:rPr>
        <w:t>；生活污水排放量约为</w:t>
      </w:r>
      <w:r>
        <w:rPr>
          <w:rFonts w:ascii="Times New Roman" w:hAnsi="Times New Roman" w:eastAsia="Times New Roman"/>
        </w:rPr>
        <w:t>300m</w:t>
      </w:r>
      <w:r>
        <w:rPr>
          <w:rFonts w:ascii="Times New Roman" w:hAnsi="Times New Roman" w:eastAsia="Times New Roman"/>
          <w:spacing w:val="1"/>
          <w:w w:val="104"/>
          <w:position w:val="8"/>
          <w:sz w:val="15"/>
        </w:rPr>
        <w:t>3</w:t>
      </w:r>
      <w:r>
        <w:rPr>
          <w:rFonts w:ascii="Times New Roman" w:hAnsi="Times New Roman" w:eastAsia="Times New Roman"/>
        </w:rPr>
        <w:t>/</w:t>
      </w:r>
      <w:r>
        <w:rPr>
          <w:rFonts w:ascii="Times New Roman" w:hAnsi="Times New Roman" w:eastAsia="Times New Roman"/>
          <w:spacing w:val="-3"/>
        </w:rPr>
        <w:t>d</w:t>
      </w:r>
      <w:r>
        <w:rPr>
          <w:spacing w:val="-11"/>
        </w:rPr>
        <w:t>。</w:t>
      </w:r>
      <w:r>
        <w:rPr>
          <w:spacing w:val="-8"/>
        </w:rPr>
        <w:t xml:space="preserve">污水直接外排，总排水量约为 </w:t>
      </w:r>
      <w:r>
        <w:rPr>
          <w:rFonts w:ascii="Times New Roman" w:hAnsi="Times New Roman" w:eastAsia="Times New Roman"/>
        </w:rPr>
        <w:t>49.5</w:t>
      </w:r>
      <w:r>
        <w:rPr>
          <w:color w:val="333333"/>
          <w:sz w:val="19"/>
        </w:rPr>
        <w:t>×</w:t>
      </w:r>
      <w:r>
        <w:rPr>
          <w:rFonts w:ascii="Times New Roman" w:hAnsi="Times New Roman" w:eastAsia="Times New Roman"/>
        </w:rPr>
        <w:t>10</w:t>
      </w:r>
      <w:r>
        <w:rPr>
          <w:rFonts w:ascii="Times New Roman" w:hAnsi="Times New Roman" w:eastAsia="Times New Roman"/>
          <w:position w:val="8"/>
          <w:sz w:val="15"/>
        </w:rPr>
        <w:t>4</w:t>
      </w:r>
      <w:r>
        <w:rPr>
          <w:rFonts w:ascii="Times New Roman" w:hAnsi="Times New Roman" w:eastAsia="Times New Roman"/>
        </w:rPr>
        <w:t>m</w:t>
      </w:r>
      <w:r>
        <w:rPr>
          <w:rFonts w:ascii="Times New Roman" w:hAnsi="Times New Roman" w:eastAsia="Times New Roman"/>
          <w:position w:val="8"/>
          <w:sz w:val="15"/>
        </w:rPr>
        <w:t>3</w:t>
      </w:r>
      <w:r>
        <w:rPr>
          <w:rFonts w:ascii="Times New Roman" w:hAnsi="Times New Roman" w:eastAsia="Times New Roman"/>
        </w:rPr>
        <w:t>/a</w:t>
      </w:r>
      <w:r>
        <w:rPr>
          <w:spacing w:val="-9"/>
        </w:rPr>
        <w:t>。污水排放浓度不能满足《煤炭工业</w:t>
      </w:r>
      <w:r>
        <w:rPr>
          <w:spacing w:val="-10"/>
        </w:rPr>
        <w:t>污染物排放标准》</w:t>
      </w:r>
      <w:r>
        <w:t>（</w:t>
      </w:r>
      <w:r>
        <w:rPr>
          <w:rFonts w:ascii="Times New Roman" w:hAnsi="Times New Roman" w:eastAsia="Times New Roman"/>
        </w:rPr>
        <w:t>GB20426-2006</w:t>
      </w:r>
      <w:r>
        <w:t>）</w:t>
      </w:r>
      <w:r>
        <w:rPr>
          <w:spacing w:val="-31"/>
        </w:rPr>
        <w:t xml:space="preserve">表 </w:t>
      </w:r>
      <w:r>
        <w:rPr>
          <w:rFonts w:ascii="Times New Roman" w:hAnsi="Times New Roman" w:eastAsia="Times New Roman"/>
        </w:rPr>
        <w:t>1</w:t>
      </w:r>
      <w:r>
        <w:rPr>
          <w:spacing w:val="-5"/>
        </w:rPr>
        <w:t>、</w:t>
      </w:r>
      <w:r>
        <w:rPr>
          <w:rFonts w:ascii="Times New Roman" w:hAnsi="Times New Roman" w:eastAsia="Times New Roman"/>
        </w:rPr>
        <w:t xml:space="preserve">2 </w:t>
      </w:r>
      <w:r>
        <w:rPr>
          <w:spacing w:val="-1"/>
        </w:rPr>
        <w:t>标准限值要求及《地表水环境质量标准》（</w:t>
      </w:r>
      <w:r>
        <w:rPr>
          <w:rFonts w:ascii="Times New Roman" w:hAnsi="Times New Roman" w:eastAsia="Times New Roman"/>
          <w:spacing w:val="-1"/>
        </w:rPr>
        <w:t>GB3838-2002</w:t>
      </w:r>
      <w:r>
        <w:rPr>
          <w:spacing w:val="-1"/>
        </w:rPr>
        <w:t>）中Ⅲ类标准限值。</w:t>
      </w:r>
    </w:p>
    <w:p>
      <w:pPr>
        <w:pStyle w:val="5"/>
        <w:numPr>
          <w:ilvl w:val="0"/>
          <w:numId w:val="18"/>
        </w:numPr>
        <w:tabs>
          <w:tab w:val="left" w:pos="1701"/>
        </w:tabs>
        <w:spacing w:before="0" w:after="0" w:line="240" w:lineRule="auto"/>
        <w:ind w:left="1701" w:right="0" w:hanging="181"/>
        <w:jc w:val="left"/>
      </w:pPr>
      <w:r>
        <w:t>声污染分析及源强</w:t>
      </w:r>
    </w:p>
    <w:p>
      <w:pPr>
        <w:pStyle w:val="6"/>
        <w:spacing w:before="158" w:line="364" w:lineRule="auto"/>
        <w:ind w:left="1040" w:right="1077" w:firstLine="480"/>
        <w:jc w:val="both"/>
      </w:pPr>
      <w:r>
        <w:rPr>
          <w:spacing w:val="-6"/>
        </w:rPr>
        <w:t>声环境主要噪声源为通风机房的通风机及电机等。以空气动力性噪声、电磁</w:t>
      </w:r>
      <w:r>
        <w:rPr>
          <w:spacing w:val="-4"/>
        </w:rPr>
        <w:t xml:space="preserve">噪声为主，噪声声级一般在 </w:t>
      </w:r>
      <w:r>
        <w:rPr>
          <w:rFonts w:ascii="Times New Roman" w:eastAsia="Times New Roman"/>
        </w:rPr>
        <w:t>90dB</w:t>
      </w:r>
      <w:r>
        <w:t>（</w:t>
      </w:r>
      <w:r>
        <w:rPr>
          <w:rFonts w:ascii="Times New Roman" w:eastAsia="Times New Roman"/>
        </w:rPr>
        <w:t>A</w:t>
      </w:r>
      <w:r>
        <w:t>）～</w:t>
      </w:r>
      <w:r>
        <w:rPr>
          <w:rFonts w:ascii="Times New Roman" w:eastAsia="Times New Roman"/>
        </w:rPr>
        <w:t>100dB</w:t>
      </w:r>
      <w:r>
        <w:t>（</w:t>
      </w:r>
      <w:r>
        <w:rPr>
          <w:rFonts w:ascii="Times New Roman" w:eastAsia="Times New Roman"/>
        </w:rPr>
        <w:t>A</w:t>
      </w:r>
      <w:r>
        <w:t>）</w:t>
      </w:r>
      <w:r>
        <w:rPr>
          <w:spacing w:val="-2"/>
        </w:rPr>
        <w:t>之间。另外还有运输车辆</w:t>
      </w:r>
      <w:r>
        <w:t>产生的运输噪声，为随机性噪声源。对声环境有一定的影响。</w:t>
      </w:r>
    </w:p>
    <w:p>
      <w:pPr>
        <w:pStyle w:val="5"/>
        <w:numPr>
          <w:ilvl w:val="0"/>
          <w:numId w:val="18"/>
        </w:numPr>
        <w:tabs>
          <w:tab w:val="left" w:pos="1701"/>
        </w:tabs>
        <w:spacing w:before="0" w:after="0" w:line="307" w:lineRule="exact"/>
        <w:ind w:left="1701" w:right="0" w:hanging="181"/>
        <w:jc w:val="left"/>
      </w:pPr>
      <w:r>
        <w:t>固体废物</w:t>
      </w:r>
    </w:p>
    <w:p>
      <w:pPr>
        <w:pStyle w:val="6"/>
        <w:spacing w:before="158" w:line="364" w:lineRule="auto"/>
        <w:ind w:left="1040" w:right="1077" w:firstLine="480"/>
      </w:pPr>
      <w:r>
        <w:rPr>
          <w:spacing w:val="-8"/>
        </w:rPr>
        <w:t>固体废物主要为矸石、炉渣与生活垃圾。矸石产生量较少，大部分回填采空</w:t>
      </w:r>
      <w:r>
        <w:t>区；生活垃圾集中收集，委托市政环卫部门统一处理。</w:t>
      </w:r>
    </w:p>
    <w:p>
      <w:pPr>
        <w:pStyle w:val="5"/>
        <w:numPr>
          <w:ilvl w:val="0"/>
          <w:numId w:val="18"/>
        </w:numPr>
        <w:tabs>
          <w:tab w:val="left" w:pos="1701"/>
        </w:tabs>
        <w:spacing w:before="0" w:after="0" w:line="306" w:lineRule="exact"/>
        <w:ind w:left="1701" w:right="0" w:hanging="181"/>
        <w:jc w:val="left"/>
      </w:pPr>
      <w:r>
        <w:t>生态环境</w:t>
      </w:r>
    </w:p>
    <w:p>
      <w:pPr>
        <w:pStyle w:val="6"/>
        <w:spacing w:before="160"/>
        <w:ind w:left="1520"/>
      </w:pPr>
      <w:r>
        <w:t>本项目处于丘陵地区，该区域主要为次生林地，据调查地表无明显塌陷。</w:t>
      </w:r>
    </w:p>
    <w:p>
      <w:pPr>
        <w:pStyle w:val="4"/>
        <w:numPr>
          <w:ilvl w:val="2"/>
          <w:numId w:val="16"/>
        </w:numPr>
        <w:tabs>
          <w:tab w:val="left" w:pos="1669"/>
        </w:tabs>
        <w:spacing w:before="159" w:after="0" w:line="240" w:lineRule="auto"/>
        <w:ind w:left="1668" w:right="0" w:hanging="629"/>
        <w:jc w:val="left"/>
      </w:pPr>
      <w:bookmarkStart w:id="98" w:name="3.3.2改扩建工程"/>
      <w:bookmarkEnd w:id="98"/>
      <w:bookmarkStart w:id="99" w:name="3.3.2改扩建工程"/>
      <w:bookmarkEnd w:id="99"/>
      <w:r>
        <w:t>改扩建工程</w:t>
      </w:r>
    </w:p>
    <w:p>
      <w:pPr>
        <w:pStyle w:val="5"/>
        <w:numPr>
          <w:ilvl w:val="3"/>
          <w:numId w:val="20"/>
        </w:numPr>
        <w:tabs>
          <w:tab w:val="left" w:pos="1760"/>
        </w:tabs>
        <w:spacing w:before="265" w:after="0" w:line="240" w:lineRule="auto"/>
        <w:ind w:left="1760" w:right="0" w:hanging="720"/>
        <w:jc w:val="left"/>
      </w:pPr>
      <w:r>
        <w:rPr>
          <w:w w:val="95"/>
        </w:rPr>
        <w:t>井田境界及储量</w:t>
      </w:r>
    </w:p>
    <w:p>
      <w:pPr>
        <w:pStyle w:val="13"/>
        <w:numPr>
          <w:ilvl w:val="4"/>
          <w:numId w:val="20"/>
        </w:numPr>
        <w:tabs>
          <w:tab w:val="left" w:pos="2121"/>
        </w:tabs>
        <w:spacing w:before="81" w:after="0" w:line="240" w:lineRule="auto"/>
        <w:ind w:left="2121" w:right="0" w:hanging="601"/>
        <w:jc w:val="left"/>
        <w:rPr>
          <w:sz w:val="24"/>
        </w:rPr>
      </w:pPr>
      <w:r>
        <w:rPr>
          <w:sz w:val="24"/>
        </w:rPr>
        <w:t>井田境界</w:t>
      </w:r>
    </w:p>
    <w:p>
      <w:pPr>
        <w:tabs>
          <w:tab w:val="left" w:pos="4243"/>
        </w:tabs>
        <w:spacing w:before="160" w:after="4" w:line="362" w:lineRule="auto"/>
        <w:ind w:left="3262" w:right="2644" w:hanging="1743"/>
        <w:jc w:val="left"/>
        <w:rPr>
          <w:b/>
          <w:sz w:val="24"/>
        </w:rPr>
      </w:pPr>
      <w:r>
        <w:rPr>
          <w:sz w:val="24"/>
        </w:rPr>
        <w:t>改扩建后双鸭山大顺矿业有限公司范围拐点坐标见表</w:t>
      </w:r>
      <w:r>
        <w:rPr>
          <w:rFonts w:ascii="Times New Roman" w:eastAsia="Times New Roman"/>
          <w:sz w:val="24"/>
        </w:rPr>
        <w:t>3.3-2</w:t>
      </w:r>
      <w:r>
        <w:rPr>
          <w:spacing w:val="-16"/>
          <w:sz w:val="24"/>
        </w:rPr>
        <w:t>。</w:t>
      </w:r>
      <w:r>
        <w:rPr>
          <w:b/>
          <w:sz w:val="24"/>
        </w:rPr>
        <w:t>表</w:t>
      </w:r>
      <w:r>
        <w:rPr>
          <w:rFonts w:ascii="Times New Roman" w:eastAsia="Times New Roman"/>
          <w:b/>
          <w:sz w:val="24"/>
        </w:rPr>
        <w:t>3.3-2</w:t>
      </w:r>
      <w:r>
        <w:rPr>
          <w:rFonts w:ascii="Times New Roman" w:eastAsia="Times New Roman"/>
          <w:b/>
          <w:sz w:val="24"/>
        </w:rPr>
        <w:tab/>
      </w:r>
      <w:r>
        <w:rPr>
          <w:b/>
          <w:sz w:val="24"/>
        </w:rPr>
        <w:t>改造后矿区范围拐点坐标表</w:t>
      </w:r>
    </w:p>
    <w:tbl>
      <w:tblPr>
        <w:tblStyle w:val="10"/>
        <w:tblW w:w="0" w:type="auto"/>
        <w:tblInd w:w="10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3"/>
        <w:gridCol w:w="938"/>
        <w:gridCol w:w="1525"/>
        <w:gridCol w:w="1429"/>
        <w:gridCol w:w="708"/>
        <w:gridCol w:w="1475"/>
        <w:gridCol w:w="15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restart"/>
          </w:tcPr>
          <w:p>
            <w:pPr>
              <w:pStyle w:val="14"/>
              <w:spacing w:before="3"/>
              <w:jc w:val="left"/>
              <w:rPr>
                <w:b/>
                <w:sz w:val="14"/>
              </w:rPr>
            </w:pPr>
          </w:p>
          <w:p>
            <w:pPr>
              <w:pStyle w:val="14"/>
              <w:ind w:left="260"/>
              <w:jc w:val="left"/>
              <w:rPr>
                <w:sz w:val="21"/>
              </w:rPr>
            </w:pPr>
            <w:r>
              <w:rPr>
                <w:sz w:val="21"/>
              </w:rPr>
              <w:t>煤层</w:t>
            </w:r>
          </w:p>
        </w:tc>
        <w:tc>
          <w:tcPr>
            <w:tcW w:w="938" w:type="dxa"/>
            <w:vMerge w:val="restart"/>
          </w:tcPr>
          <w:p>
            <w:pPr>
              <w:pStyle w:val="14"/>
              <w:spacing w:before="3"/>
              <w:jc w:val="left"/>
              <w:rPr>
                <w:b/>
                <w:sz w:val="14"/>
              </w:rPr>
            </w:pPr>
          </w:p>
          <w:p>
            <w:pPr>
              <w:pStyle w:val="14"/>
              <w:ind w:left="258"/>
              <w:jc w:val="left"/>
              <w:rPr>
                <w:sz w:val="21"/>
              </w:rPr>
            </w:pPr>
            <w:r>
              <w:rPr>
                <w:sz w:val="21"/>
              </w:rPr>
              <w:t>拐点</w:t>
            </w:r>
          </w:p>
        </w:tc>
        <w:tc>
          <w:tcPr>
            <w:tcW w:w="2954" w:type="dxa"/>
            <w:gridSpan w:val="2"/>
          </w:tcPr>
          <w:p>
            <w:pPr>
              <w:pStyle w:val="14"/>
              <w:spacing w:before="22"/>
              <w:ind w:left="1245" w:right="1238"/>
              <w:rPr>
                <w:sz w:val="21"/>
              </w:rPr>
            </w:pPr>
            <w:r>
              <w:rPr>
                <w:sz w:val="21"/>
              </w:rPr>
              <w:t>坐标</w:t>
            </w:r>
          </w:p>
        </w:tc>
        <w:tc>
          <w:tcPr>
            <w:tcW w:w="708" w:type="dxa"/>
            <w:vMerge w:val="restart"/>
          </w:tcPr>
          <w:p>
            <w:pPr>
              <w:pStyle w:val="14"/>
              <w:spacing w:before="3"/>
              <w:jc w:val="left"/>
              <w:rPr>
                <w:b/>
                <w:sz w:val="14"/>
              </w:rPr>
            </w:pPr>
          </w:p>
          <w:p>
            <w:pPr>
              <w:pStyle w:val="14"/>
              <w:ind w:left="144"/>
              <w:jc w:val="left"/>
              <w:rPr>
                <w:sz w:val="21"/>
              </w:rPr>
            </w:pPr>
            <w:r>
              <w:rPr>
                <w:sz w:val="21"/>
              </w:rPr>
              <w:t>拐点</w:t>
            </w:r>
          </w:p>
        </w:tc>
        <w:tc>
          <w:tcPr>
            <w:tcW w:w="2979" w:type="dxa"/>
            <w:gridSpan w:val="2"/>
          </w:tcPr>
          <w:p>
            <w:pPr>
              <w:pStyle w:val="14"/>
              <w:spacing w:before="22"/>
              <w:ind w:left="1258" w:right="1251"/>
              <w:rPr>
                <w:sz w:val="21"/>
              </w:rPr>
            </w:pPr>
            <w:r>
              <w:rPr>
                <w:sz w:val="21"/>
              </w:rPr>
              <w:t>坐标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continue"/>
            <w:tcBorders>
              <w:top w:val="nil"/>
            </w:tcBorders>
          </w:tcPr>
          <w:p>
            <w:pPr>
              <w:rPr>
                <w:sz w:val="2"/>
                <w:szCs w:val="2"/>
              </w:rPr>
            </w:pPr>
          </w:p>
        </w:tc>
        <w:tc>
          <w:tcPr>
            <w:tcW w:w="938" w:type="dxa"/>
            <w:vMerge w:val="continue"/>
            <w:tcBorders>
              <w:top w:val="nil"/>
            </w:tcBorders>
          </w:tcPr>
          <w:p>
            <w:pPr>
              <w:rPr>
                <w:sz w:val="2"/>
                <w:szCs w:val="2"/>
              </w:rPr>
            </w:pPr>
          </w:p>
        </w:tc>
        <w:tc>
          <w:tcPr>
            <w:tcW w:w="1525" w:type="dxa"/>
          </w:tcPr>
          <w:p>
            <w:pPr>
              <w:pStyle w:val="14"/>
              <w:spacing w:before="35"/>
              <w:ind w:left="8"/>
              <w:rPr>
                <w:rFonts w:ascii="Times New Roman"/>
                <w:sz w:val="21"/>
              </w:rPr>
            </w:pPr>
            <w:r>
              <w:rPr>
                <w:rFonts w:ascii="Times New Roman"/>
                <w:w w:val="99"/>
                <w:sz w:val="21"/>
              </w:rPr>
              <w:t>X</w:t>
            </w:r>
          </w:p>
        </w:tc>
        <w:tc>
          <w:tcPr>
            <w:tcW w:w="1429" w:type="dxa"/>
          </w:tcPr>
          <w:p>
            <w:pPr>
              <w:pStyle w:val="14"/>
              <w:spacing w:before="35"/>
              <w:ind w:left="11"/>
              <w:rPr>
                <w:rFonts w:ascii="Times New Roman"/>
                <w:sz w:val="21"/>
              </w:rPr>
            </w:pPr>
            <w:r>
              <w:rPr>
                <w:rFonts w:ascii="Times New Roman"/>
                <w:w w:val="99"/>
                <w:sz w:val="21"/>
              </w:rPr>
              <w:t>Y</w:t>
            </w:r>
          </w:p>
        </w:tc>
        <w:tc>
          <w:tcPr>
            <w:tcW w:w="708" w:type="dxa"/>
            <w:vMerge w:val="continue"/>
            <w:tcBorders>
              <w:top w:val="nil"/>
            </w:tcBorders>
          </w:tcPr>
          <w:p>
            <w:pPr>
              <w:rPr>
                <w:sz w:val="2"/>
                <w:szCs w:val="2"/>
              </w:rPr>
            </w:pPr>
          </w:p>
        </w:tc>
        <w:tc>
          <w:tcPr>
            <w:tcW w:w="1475" w:type="dxa"/>
          </w:tcPr>
          <w:p>
            <w:pPr>
              <w:pStyle w:val="14"/>
              <w:spacing w:before="35"/>
              <w:ind w:left="11"/>
              <w:rPr>
                <w:rFonts w:ascii="Times New Roman"/>
                <w:sz w:val="21"/>
              </w:rPr>
            </w:pPr>
            <w:r>
              <w:rPr>
                <w:rFonts w:ascii="Times New Roman"/>
                <w:w w:val="99"/>
                <w:sz w:val="21"/>
              </w:rPr>
              <w:t>X</w:t>
            </w:r>
          </w:p>
        </w:tc>
        <w:tc>
          <w:tcPr>
            <w:tcW w:w="1504" w:type="dxa"/>
          </w:tcPr>
          <w:p>
            <w:pPr>
              <w:pStyle w:val="14"/>
              <w:spacing w:before="35"/>
              <w:ind w:left="8"/>
              <w:rPr>
                <w:rFonts w:ascii="Times New Roman"/>
                <w:sz w:val="21"/>
              </w:rPr>
            </w:pPr>
            <w:r>
              <w:rPr>
                <w:rFonts w:ascii="Times New Roman"/>
                <w:w w:val="99"/>
                <w:sz w:val="21"/>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restart"/>
          </w:tcPr>
          <w:p>
            <w:pPr>
              <w:pStyle w:val="14"/>
              <w:jc w:val="left"/>
              <w:rPr>
                <w:b/>
                <w:sz w:val="22"/>
              </w:rPr>
            </w:pPr>
          </w:p>
          <w:p>
            <w:pPr>
              <w:pStyle w:val="14"/>
              <w:spacing w:before="12"/>
              <w:jc w:val="left"/>
              <w:rPr>
                <w:b/>
                <w:sz w:val="30"/>
              </w:rPr>
            </w:pPr>
          </w:p>
          <w:p>
            <w:pPr>
              <w:pStyle w:val="14"/>
              <w:ind w:left="346" w:right="337"/>
              <w:rPr>
                <w:rFonts w:ascii="Times New Roman"/>
                <w:sz w:val="21"/>
              </w:rPr>
            </w:pPr>
            <w:r>
              <w:rPr>
                <w:rFonts w:ascii="Times New Roman"/>
                <w:sz w:val="21"/>
              </w:rPr>
              <w:t>10</w:t>
            </w:r>
          </w:p>
        </w:tc>
        <w:tc>
          <w:tcPr>
            <w:tcW w:w="938" w:type="dxa"/>
          </w:tcPr>
          <w:p>
            <w:pPr>
              <w:pStyle w:val="14"/>
              <w:spacing w:before="35"/>
              <w:ind w:right="406"/>
              <w:jc w:val="right"/>
              <w:rPr>
                <w:rFonts w:ascii="Times New Roman"/>
                <w:sz w:val="21"/>
              </w:rPr>
            </w:pPr>
            <w:r>
              <w:rPr>
                <w:rFonts w:ascii="Times New Roman"/>
                <w:w w:val="99"/>
                <w:sz w:val="21"/>
              </w:rPr>
              <w:t>1</w:t>
            </w:r>
          </w:p>
        </w:tc>
        <w:tc>
          <w:tcPr>
            <w:tcW w:w="1525" w:type="dxa"/>
          </w:tcPr>
          <w:p>
            <w:pPr>
              <w:pStyle w:val="14"/>
              <w:spacing w:before="35"/>
              <w:ind w:left="217" w:right="208"/>
              <w:rPr>
                <w:rFonts w:ascii="Times New Roman"/>
                <w:sz w:val="21"/>
              </w:rPr>
            </w:pPr>
            <w:r>
              <w:rPr>
                <w:rFonts w:ascii="Times New Roman"/>
                <w:sz w:val="21"/>
              </w:rPr>
              <w:t>5153365.16</w:t>
            </w:r>
          </w:p>
        </w:tc>
        <w:tc>
          <w:tcPr>
            <w:tcW w:w="1429" w:type="dxa"/>
          </w:tcPr>
          <w:p>
            <w:pPr>
              <w:pStyle w:val="14"/>
              <w:spacing w:before="35"/>
              <w:ind w:left="115" w:right="108"/>
              <w:rPr>
                <w:rFonts w:ascii="Times New Roman"/>
                <w:sz w:val="21"/>
              </w:rPr>
            </w:pPr>
            <w:r>
              <w:rPr>
                <w:rFonts w:ascii="Times New Roman"/>
                <w:sz w:val="21"/>
              </w:rPr>
              <w:t>44437595.11</w:t>
            </w:r>
          </w:p>
        </w:tc>
        <w:tc>
          <w:tcPr>
            <w:tcW w:w="708" w:type="dxa"/>
          </w:tcPr>
          <w:p>
            <w:pPr>
              <w:pStyle w:val="14"/>
              <w:spacing w:before="35"/>
              <w:ind w:left="300"/>
              <w:jc w:val="left"/>
              <w:rPr>
                <w:rFonts w:ascii="Times New Roman"/>
                <w:sz w:val="21"/>
              </w:rPr>
            </w:pPr>
            <w:r>
              <w:rPr>
                <w:rFonts w:ascii="Times New Roman"/>
                <w:w w:val="99"/>
                <w:sz w:val="21"/>
              </w:rPr>
              <w:t>8</w:t>
            </w:r>
          </w:p>
        </w:tc>
        <w:tc>
          <w:tcPr>
            <w:tcW w:w="1475" w:type="dxa"/>
          </w:tcPr>
          <w:p>
            <w:pPr>
              <w:pStyle w:val="14"/>
              <w:spacing w:before="35"/>
              <w:ind w:left="191" w:right="184"/>
              <w:rPr>
                <w:rFonts w:ascii="Times New Roman"/>
                <w:sz w:val="21"/>
              </w:rPr>
            </w:pPr>
            <w:r>
              <w:rPr>
                <w:rFonts w:ascii="Times New Roman"/>
                <w:sz w:val="21"/>
              </w:rPr>
              <w:t>5152005.72</w:t>
            </w:r>
          </w:p>
        </w:tc>
        <w:tc>
          <w:tcPr>
            <w:tcW w:w="1504" w:type="dxa"/>
          </w:tcPr>
          <w:p>
            <w:pPr>
              <w:pStyle w:val="14"/>
              <w:spacing w:before="35"/>
              <w:ind w:left="97" w:right="88"/>
              <w:rPr>
                <w:rFonts w:ascii="Times New Roman"/>
                <w:sz w:val="21"/>
              </w:rPr>
            </w:pPr>
            <w:r>
              <w:rPr>
                <w:rFonts w:ascii="Times New Roman"/>
                <w:sz w:val="21"/>
              </w:rPr>
              <w:t>44435834.20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43" w:type="dxa"/>
            <w:vMerge w:val="continue"/>
            <w:tcBorders>
              <w:top w:val="nil"/>
            </w:tcBorders>
          </w:tcPr>
          <w:p>
            <w:pPr>
              <w:rPr>
                <w:sz w:val="2"/>
                <w:szCs w:val="2"/>
              </w:rPr>
            </w:pPr>
          </w:p>
        </w:tc>
        <w:tc>
          <w:tcPr>
            <w:tcW w:w="938" w:type="dxa"/>
          </w:tcPr>
          <w:p>
            <w:pPr>
              <w:pStyle w:val="14"/>
              <w:spacing w:before="35"/>
              <w:ind w:right="406"/>
              <w:jc w:val="right"/>
              <w:rPr>
                <w:rFonts w:ascii="Times New Roman"/>
                <w:sz w:val="21"/>
              </w:rPr>
            </w:pPr>
            <w:r>
              <w:rPr>
                <w:rFonts w:ascii="Times New Roman"/>
                <w:w w:val="99"/>
                <w:sz w:val="21"/>
              </w:rPr>
              <w:t>2</w:t>
            </w:r>
          </w:p>
        </w:tc>
        <w:tc>
          <w:tcPr>
            <w:tcW w:w="1525" w:type="dxa"/>
          </w:tcPr>
          <w:p>
            <w:pPr>
              <w:pStyle w:val="14"/>
              <w:spacing w:before="35"/>
              <w:ind w:left="217" w:right="208"/>
              <w:rPr>
                <w:rFonts w:ascii="Times New Roman"/>
                <w:sz w:val="21"/>
              </w:rPr>
            </w:pPr>
            <w:r>
              <w:rPr>
                <w:rFonts w:ascii="Times New Roman"/>
                <w:sz w:val="21"/>
              </w:rPr>
              <w:t>5152040.64</w:t>
            </w:r>
          </w:p>
        </w:tc>
        <w:tc>
          <w:tcPr>
            <w:tcW w:w="1429" w:type="dxa"/>
          </w:tcPr>
          <w:p>
            <w:pPr>
              <w:pStyle w:val="14"/>
              <w:spacing w:before="35"/>
              <w:ind w:left="115" w:right="108"/>
              <w:rPr>
                <w:rFonts w:ascii="Times New Roman"/>
                <w:sz w:val="21"/>
              </w:rPr>
            </w:pPr>
            <w:r>
              <w:rPr>
                <w:rFonts w:ascii="Times New Roman"/>
                <w:sz w:val="21"/>
              </w:rPr>
              <w:t>44437595.11</w:t>
            </w:r>
          </w:p>
        </w:tc>
        <w:tc>
          <w:tcPr>
            <w:tcW w:w="708" w:type="dxa"/>
          </w:tcPr>
          <w:p>
            <w:pPr>
              <w:pStyle w:val="14"/>
              <w:spacing w:before="35"/>
              <w:ind w:left="300"/>
              <w:jc w:val="left"/>
              <w:rPr>
                <w:rFonts w:ascii="Times New Roman"/>
                <w:sz w:val="21"/>
              </w:rPr>
            </w:pPr>
            <w:r>
              <w:rPr>
                <w:rFonts w:ascii="Times New Roman"/>
                <w:w w:val="99"/>
                <w:sz w:val="21"/>
              </w:rPr>
              <w:t>9</w:t>
            </w:r>
          </w:p>
        </w:tc>
        <w:tc>
          <w:tcPr>
            <w:tcW w:w="1475" w:type="dxa"/>
          </w:tcPr>
          <w:p>
            <w:pPr>
              <w:pStyle w:val="14"/>
              <w:spacing w:before="35"/>
              <w:ind w:left="191" w:right="184"/>
              <w:rPr>
                <w:rFonts w:ascii="Times New Roman"/>
                <w:sz w:val="21"/>
              </w:rPr>
            </w:pPr>
            <w:r>
              <w:rPr>
                <w:rFonts w:ascii="Times New Roman"/>
                <w:sz w:val="21"/>
              </w:rPr>
              <w:t>5151935.72</w:t>
            </w:r>
          </w:p>
        </w:tc>
        <w:tc>
          <w:tcPr>
            <w:tcW w:w="1504" w:type="dxa"/>
          </w:tcPr>
          <w:p>
            <w:pPr>
              <w:pStyle w:val="14"/>
              <w:spacing w:before="35"/>
              <w:ind w:left="97" w:right="88"/>
              <w:rPr>
                <w:rFonts w:ascii="Times New Roman"/>
                <w:sz w:val="21"/>
              </w:rPr>
            </w:pPr>
            <w:r>
              <w:rPr>
                <w:rFonts w:ascii="Times New Roman"/>
                <w:sz w:val="21"/>
              </w:rPr>
              <w:t>44435784.20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continue"/>
            <w:tcBorders>
              <w:top w:val="nil"/>
            </w:tcBorders>
          </w:tcPr>
          <w:p>
            <w:pPr>
              <w:rPr>
                <w:sz w:val="2"/>
                <w:szCs w:val="2"/>
              </w:rPr>
            </w:pPr>
          </w:p>
        </w:tc>
        <w:tc>
          <w:tcPr>
            <w:tcW w:w="938" w:type="dxa"/>
          </w:tcPr>
          <w:p>
            <w:pPr>
              <w:pStyle w:val="14"/>
              <w:spacing w:before="34"/>
              <w:ind w:right="406"/>
              <w:jc w:val="right"/>
              <w:rPr>
                <w:rFonts w:ascii="Times New Roman"/>
                <w:sz w:val="21"/>
              </w:rPr>
            </w:pPr>
            <w:r>
              <w:rPr>
                <w:rFonts w:ascii="Times New Roman"/>
                <w:w w:val="99"/>
                <w:sz w:val="21"/>
              </w:rPr>
              <w:t>3</w:t>
            </w:r>
          </w:p>
        </w:tc>
        <w:tc>
          <w:tcPr>
            <w:tcW w:w="1525" w:type="dxa"/>
          </w:tcPr>
          <w:p>
            <w:pPr>
              <w:pStyle w:val="14"/>
              <w:spacing w:before="34"/>
              <w:ind w:left="217" w:right="208"/>
              <w:rPr>
                <w:rFonts w:ascii="Times New Roman"/>
                <w:sz w:val="21"/>
              </w:rPr>
            </w:pPr>
            <w:r>
              <w:rPr>
                <w:rFonts w:ascii="Times New Roman"/>
                <w:sz w:val="21"/>
              </w:rPr>
              <w:t>5151538.11</w:t>
            </w:r>
          </w:p>
        </w:tc>
        <w:tc>
          <w:tcPr>
            <w:tcW w:w="1429" w:type="dxa"/>
          </w:tcPr>
          <w:p>
            <w:pPr>
              <w:pStyle w:val="14"/>
              <w:spacing w:before="34"/>
              <w:ind w:left="115" w:right="108"/>
              <w:rPr>
                <w:rFonts w:ascii="Times New Roman"/>
                <w:sz w:val="21"/>
              </w:rPr>
            </w:pPr>
            <w:r>
              <w:rPr>
                <w:rFonts w:ascii="Times New Roman"/>
                <w:sz w:val="21"/>
              </w:rPr>
              <w:t>44438201.85</w:t>
            </w:r>
          </w:p>
        </w:tc>
        <w:tc>
          <w:tcPr>
            <w:tcW w:w="708" w:type="dxa"/>
          </w:tcPr>
          <w:p>
            <w:pPr>
              <w:pStyle w:val="14"/>
              <w:spacing w:before="34"/>
              <w:ind w:left="249"/>
              <w:jc w:val="left"/>
              <w:rPr>
                <w:rFonts w:ascii="Times New Roman"/>
                <w:sz w:val="21"/>
              </w:rPr>
            </w:pPr>
            <w:r>
              <w:rPr>
                <w:rFonts w:ascii="Times New Roman"/>
                <w:sz w:val="21"/>
              </w:rPr>
              <w:t>10</w:t>
            </w:r>
          </w:p>
        </w:tc>
        <w:tc>
          <w:tcPr>
            <w:tcW w:w="1475" w:type="dxa"/>
          </w:tcPr>
          <w:p>
            <w:pPr>
              <w:pStyle w:val="14"/>
              <w:spacing w:before="34"/>
              <w:ind w:left="191" w:right="184"/>
              <w:rPr>
                <w:rFonts w:ascii="Times New Roman"/>
                <w:sz w:val="21"/>
              </w:rPr>
            </w:pPr>
            <w:r>
              <w:rPr>
                <w:rFonts w:ascii="Times New Roman"/>
                <w:sz w:val="21"/>
              </w:rPr>
              <w:t>5151978.72</w:t>
            </w:r>
          </w:p>
        </w:tc>
        <w:tc>
          <w:tcPr>
            <w:tcW w:w="1504" w:type="dxa"/>
          </w:tcPr>
          <w:p>
            <w:pPr>
              <w:pStyle w:val="14"/>
              <w:spacing w:before="34"/>
              <w:ind w:left="97" w:right="88"/>
              <w:rPr>
                <w:rFonts w:ascii="Times New Roman"/>
                <w:sz w:val="21"/>
              </w:rPr>
            </w:pPr>
            <w:r>
              <w:rPr>
                <w:rFonts w:ascii="Times New Roman"/>
                <w:sz w:val="21"/>
              </w:rPr>
              <w:t>44435746.20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continue"/>
            <w:tcBorders>
              <w:top w:val="nil"/>
            </w:tcBorders>
          </w:tcPr>
          <w:p>
            <w:pPr>
              <w:rPr>
                <w:sz w:val="2"/>
                <w:szCs w:val="2"/>
              </w:rPr>
            </w:pPr>
          </w:p>
        </w:tc>
        <w:tc>
          <w:tcPr>
            <w:tcW w:w="938" w:type="dxa"/>
          </w:tcPr>
          <w:p>
            <w:pPr>
              <w:pStyle w:val="14"/>
              <w:spacing w:before="34"/>
              <w:ind w:right="406"/>
              <w:jc w:val="right"/>
              <w:rPr>
                <w:rFonts w:ascii="Times New Roman"/>
                <w:sz w:val="21"/>
              </w:rPr>
            </w:pPr>
            <w:r>
              <w:rPr>
                <w:rFonts w:ascii="Times New Roman"/>
                <w:w w:val="99"/>
                <w:sz w:val="21"/>
              </w:rPr>
              <w:t>4</w:t>
            </w:r>
          </w:p>
        </w:tc>
        <w:tc>
          <w:tcPr>
            <w:tcW w:w="1525" w:type="dxa"/>
          </w:tcPr>
          <w:p>
            <w:pPr>
              <w:pStyle w:val="14"/>
              <w:spacing w:before="34"/>
              <w:ind w:left="217" w:right="208"/>
              <w:rPr>
                <w:rFonts w:ascii="Times New Roman"/>
                <w:sz w:val="21"/>
              </w:rPr>
            </w:pPr>
            <w:r>
              <w:rPr>
                <w:rFonts w:ascii="Times New Roman"/>
                <w:sz w:val="21"/>
              </w:rPr>
              <w:t>5151397.49</w:t>
            </w:r>
          </w:p>
        </w:tc>
        <w:tc>
          <w:tcPr>
            <w:tcW w:w="1429" w:type="dxa"/>
          </w:tcPr>
          <w:p>
            <w:pPr>
              <w:pStyle w:val="14"/>
              <w:spacing w:before="34"/>
              <w:ind w:left="115" w:right="108"/>
              <w:rPr>
                <w:rFonts w:ascii="Times New Roman"/>
                <w:sz w:val="21"/>
              </w:rPr>
            </w:pPr>
            <w:r>
              <w:rPr>
                <w:rFonts w:ascii="Times New Roman"/>
                <w:sz w:val="21"/>
              </w:rPr>
              <w:t>44436770.68</w:t>
            </w:r>
          </w:p>
        </w:tc>
        <w:tc>
          <w:tcPr>
            <w:tcW w:w="708" w:type="dxa"/>
          </w:tcPr>
          <w:p>
            <w:pPr>
              <w:pStyle w:val="14"/>
              <w:spacing w:before="34"/>
              <w:ind w:left="252"/>
              <w:jc w:val="left"/>
              <w:rPr>
                <w:rFonts w:ascii="Times New Roman"/>
                <w:sz w:val="21"/>
              </w:rPr>
            </w:pPr>
            <w:r>
              <w:rPr>
                <w:rFonts w:ascii="Times New Roman"/>
                <w:sz w:val="21"/>
              </w:rPr>
              <w:t>11</w:t>
            </w:r>
          </w:p>
        </w:tc>
        <w:tc>
          <w:tcPr>
            <w:tcW w:w="1475" w:type="dxa"/>
          </w:tcPr>
          <w:p>
            <w:pPr>
              <w:pStyle w:val="14"/>
              <w:spacing w:before="34"/>
              <w:ind w:left="191" w:right="184"/>
              <w:rPr>
                <w:rFonts w:ascii="Times New Roman"/>
                <w:sz w:val="21"/>
              </w:rPr>
            </w:pPr>
            <w:r>
              <w:rPr>
                <w:rFonts w:ascii="Times New Roman"/>
                <w:sz w:val="21"/>
              </w:rPr>
              <w:t>5151915.72</w:t>
            </w:r>
          </w:p>
        </w:tc>
        <w:tc>
          <w:tcPr>
            <w:tcW w:w="1504" w:type="dxa"/>
          </w:tcPr>
          <w:p>
            <w:pPr>
              <w:pStyle w:val="14"/>
              <w:spacing w:before="34"/>
              <w:ind w:left="97" w:right="88"/>
              <w:rPr>
                <w:rFonts w:ascii="Times New Roman"/>
                <w:sz w:val="21"/>
              </w:rPr>
            </w:pPr>
            <w:r>
              <w:rPr>
                <w:rFonts w:ascii="Times New Roman"/>
                <w:sz w:val="21"/>
              </w:rPr>
              <w:t>44435689.20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943" w:type="dxa"/>
            <w:vMerge w:val="continue"/>
            <w:tcBorders>
              <w:top w:val="nil"/>
            </w:tcBorders>
          </w:tcPr>
          <w:p>
            <w:pPr>
              <w:rPr>
                <w:sz w:val="2"/>
                <w:szCs w:val="2"/>
              </w:rPr>
            </w:pPr>
          </w:p>
        </w:tc>
        <w:tc>
          <w:tcPr>
            <w:tcW w:w="938" w:type="dxa"/>
          </w:tcPr>
          <w:p>
            <w:pPr>
              <w:pStyle w:val="14"/>
              <w:spacing w:before="36"/>
              <w:ind w:right="406"/>
              <w:jc w:val="right"/>
              <w:rPr>
                <w:rFonts w:ascii="Times New Roman"/>
                <w:sz w:val="21"/>
              </w:rPr>
            </w:pPr>
            <w:r>
              <w:rPr>
                <w:rFonts w:ascii="Times New Roman"/>
                <w:w w:val="99"/>
                <w:sz w:val="21"/>
              </w:rPr>
              <w:t>5</w:t>
            </w:r>
          </w:p>
        </w:tc>
        <w:tc>
          <w:tcPr>
            <w:tcW w:w="1525" w:type="dxa"/>
          </w:tcPr>
          <w:p>
            <w:pPr>
              <w:pStyle w:val="14"/>
              <w:spacing w:before="36"/>
              <w:ind w:left="217" w:right="208"/>
              <w:rPr>
                <w:rFonts w:ascii="Times New Roman"/>
                <w:sz w:val="21"/>
              </w:rPr>
            </w:pPr>
            <w:r>
              <w:rPr>
                <w:rFonts w:ascii="Times New Roman"/>
                <w:sz w:val="21"/>
              </w:rPr>
              <w:t>5151654.92</w:t>
            </w:r>
          </w:p>
        </w:tc>
        <w:tc>
          <w:tcPr>
            <w:tcW w:w="1429" w:type="dxa"/>
          </w:tcPr>
          <w:p>
            <w:pPr>
              <w:pStyle w:val="14"/>
              <w:spacing w:before="36"/>
              <w:ind w:left="115" w:right="108"/>
              <w:rPr>
                <w:rFonts w:ascii="Times New Roman"/>
                <w:sz w:val="21"/>
              </w:rPr>
            </w:pPr>
            <w:r>
              <w:rPr>
                <w:rFonts w:ascii="Times New Roman"/>
                <w:sz w:val="21"/>
              </w:rPr>
              <w:t>44436210.11</w:t>
            </w:r>
          </w:p>
        </w:tc>
        <w:tc>
          <w:tcPr>
            <w:tcW w:w="708" w:type="dxa"/>
          </w:tcPr>
          <w:p>
            <w:pPr>
              <w:pStyle w:val="14"/>
              <w:spacing w:before="36"/>
              <w:ind w:left="249"/>
              <w:jc w:val="left"/>
              <w:rPr>
                <w:rFonts w:ascii="Times New Roman"/>
                <w:sz w:val="21"/>
              </w:rPr>
            </w:pPr>
            <w:r>
              <w:rPr>
                <w:rFonts w:ascii="Times New Roman"/>
                <w:sz w:val="21"/>
              </w:rPr>
              <w:t>12</w:t>
            </w:r>
          </w:p>
        </w:tc>
        <w:tc>
          <w:tcPr>
            <w:tcW w:w="1475" w:type="dxa"/>
          </w:tcPr>
          <w:p>
            <w:pPr>
              <w:pStyle w:val="14"/>
              <w:spacing w:before="36"/>
              <w:ind w:left="191" w:right="184"/>
              <w:rPr>
                <w:rFonts w:ascii="Times New Roman"/>
                <w:sz w:val="21"/>
              </w:rPr>
            </w:pPr>
            <w:r>
              <w:rPr>
                <w:rFonts w:ascii="Times New Roman"/>
                <w:sz w:val="21"/>
              </w:rPr>
              <w:t>5152321.72</w:t>
            </w:r>
          </w:p>
        </w:tc>
        <w:tc>
          <w:tcPr>
            <w:tcW w:w="1504" w:type="dxa"/>
          </w:tcPr>
          <w:p>
            <w:pPr>
              <w:pStyle w:val="14"/>
              <w:spacing w:before="36"/>
              <w:ind w:left="97" w:right="88"/>
              <w:rPr>
                <w:rFonts w:ascii="Times New Roman"/>
                <w:sz w:val="21"/>
              </w:rPr>
            </w:pPr>
            <w:r>
              <w:rPr>
                <w:rFonts w:ascii="Times New Roman"/>
                <w:sz w:val="21"/>
              </w:rPr>
              <w:t>44435666.19</w:t>
            </w:r>
          </w:p>
        </w:tc>
      </w:tr>
    </w:tbl>
    <w:p>
      <w:pPr>
        <w:spacing w:after="0"/>
        <w:rPr>
          <w:rFonts w:ascii="Times New Roman"/>
          <w:sz w:val="21"/>
        </w:rPr>
        <w:sectPr>
          <w:pgSz w:w="11910" w:h="16840"/>
          <w:pgMar w:top="1080" w:right="720" w:bottom="1160" w:left="760" w:header="0" w:footer="89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234" name="组合 35"/>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233" name="直线 36"/>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35"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u2gi7UAAAAAwEAAA8AAAAAAAAAAQAgAAAAIgAAAGRycy9kb3ducmV2Lnht&#10;bFBLAQIUABQAAAAIAIdO4kBQk/pCNgIAALYEAAAOAAAAAAAAAAEAIAAAACMBAABkcnMvZTJvRG9j&#10;LnhtbFBLBQYAAAAABgAGAFkBAADLBQAAAAA=&#10;">
                <o:lock v:ext="edit" aspectratio="f"/>
                <v:line id="直线 36" o:spid="_x0000_s1026" o:spt="20" style="position:absolute;left:0;top:7;height:0;width:8306;" filled="f" stroked="t" coordsize="21600,21600" o:gfxdata="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VG4e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pStyle w:val="6"/>
        <w:spacing w:before="1"/>
        <w:rPr>
          <w:b/>
          <w:sz w:val="25"/>
        </w:rPr>
      </w:pPr>
    </w:p>
    <w:tbl>
      <w:tblPr>
        <w:tblStyle w:val="10"/>
        <w:tblW w:w="0" w:type="auto"/>
        <w:tblInd w:w="10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3"/>
        <w:gridCol w:w="938"/>
        <w:gridCol w:w="1525"/>
        <w:gridCol w:w="1429"/>
        <w:gridCol w:w="708"/>
        <w:gridCol w:w="1475"/>
        <w:gridCol w:w="15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restart"/>
          </w:tcPr>
          <w:p>
            <w:pPr>
              <w:pStyle w:val="14"/>
              <w:jc w:val="left"/>
              <w:rPr>
                <w:rFonts w:ascii="Times New Roman"/>
                <w:sz w:val="20"/>
              </w:rPr>
            </w:pPr>
          </w:p>
        </w:tc>
        <w:tc>
          <w:tcPr>
            <w:tcW w:w="938" w:type="dxa"/>
          </w:tcPr>
          <w:p>
            <w:pPr>
              <w:pStyle w:val="14"/>
              <w:spacing w:before="35"/>
              <w:ind w:right="406"/>
              <w:jc w:val="right"/>
              <w:rPr>
                <w:rFonts w:ascii="Times New Roman"/>
                <w:sz w:val="21"/>
              </w:rPr>
            </w:pPr>
            <w:r>
              <w:rPr>
                <w:rFonts w:ascii="Times New Roman"/>
                <w:w w:val="99"/>
                <w:sz w:val="21"/>
              </w:rPr>
              <w:t>6</w:t>
            </w:r>
          </w:p>
        </w:tc>
        <w:tc>
          <w:tcPr>
            <w:tcW w:w="1525" w:type="dxa"/>
          </w:tcPr>
          <w:p>
            <w:pPr>
              <w:pStyle w:val="14"/>
              <w:spacing w:before="35"/>
              <w:ind w:right="251"/>
              <w:jc w:val="right"/>
              <w:rPr>
                <w:rFonts w:ascii="Times New Roman"/>
                <w:sz w:val="21"/>
              </w:rPr>
            </w:pPr>
            <w:r>
              <w:rPr>
                <w:rFonts w:ascii="Times New Roman"/>
                <w:w w:val="95"/>
                <w:sz w:val="21"/>
              </w:rPr>
              <w:t>5151810.72</w:t>
            </w:r>
          </w:p>
        </w:tc>
        <w:tc>
          <w:tcPr>
            <w:tcW w:w="1429" w:type="dxa"/>
          </w:tcPr>
          <w:p>
            <w:pPr>
              <w:pStyle w:val="14"/>
              <w:spacing w:before="35"/>
              <w:ind w:left="115" w:right="108"/>
              <w:rPr>
                <w:rFonts w:ascii="Times New Roman"/>
                <w:sz w:val="21"/>
              </w:rPr>
            </w:pPr>
            <w:r>
              <w:rPr>
                <w:rFonts w:ascii="Times New Roman"/>
                <w:sz w:val="21"/>
              </w:rPr>
              <w:t>44436210.20</w:t>
            </w:r>
          </w:p>
        </w:tc>
        <w:tc>
          <w:tcPr>
            <w:tcW w:w="708" w:type="dxa"/>
          </w:tcPr>
          <w:p>
            <w:pPr>
              <w:pStyle w:val="14"/>
              <w:spacing w:before="35"/>
              <w:ind w:left="249"/>
              <w:jc w:val="left"/>
              <w:rPr>
                <w:rFonts w:ascii="Times New Roman"/>
                <w:sz w:val="21"/>
              </w:rPr>
            </w:pPr>
            <w:r>
              <w:rPr>
                <w:rFonts w:ascii="Times New Roman"/>
                <w:sz w:val="21"/>
              </w:rPr>
              <w:t>13</w:t>
            </w:r>
          </w:p>
        </w:tc>
        <w:tc>
          <w:tcPr>
            <w:tcW w:w="1475" w:type="dxa"/>
          </w:tcPr>
          <w:p>
            <w:pPr>
              <w:pStyle w:val="14"/>
              <w:spacing w:before="35"/>
              <w:ind w:left="191" w:right="184"/>
              <w:rPr>
                <w:rFonts w:ascii="Times New Roman"/>
                <w:sz w:val="21"/>
              </w:rPr>
            </w:pPr>
            <w:r>
              <w:rPr>
                <w:rFonts w:ascii="Times New Roman"/>
                <w:sz w:val="21"/>
              </w:rPr>
              <w:t>5152348.45</w:t>
            </w:r>
          </w:p>
        </w:tc>
        <w:tc>
          <w:tcPr>
            <w:tcW w:w="1504" w:type="dxa"/>
          </w:tcPr>
          <w:p>
            <w:pPr>
              <w:pStyle w:val="14"/>
              <w:spacing w:before="35"/>
              <w:ind w:right="188"/>
              <w:jc w:val="right"/>
              <w:rPr>
                <w:rFonts w:ascii="Times New Roman"/>
                <w:sz w:val="21"/>
              </w:rPr>
            </w:pPr>
            <w:r>
              <w:rPr>
                <w:rFonts w:ascii="Times New Roman"/>
                <w:w w:val="95"/>
                <w:sz w:val="21"/>
              </w:rPr>
              <w:t>44435931.32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43" w:type="dxa"/>
            <w:vMerge w:val="continue"/>
            <w:tcBorders>
              <w:top w:val="nil"/>
            </w:tcBorders>
          </w:tcPr>
          <w:p>
            <w:pPr>
              <w:rPr>
                <w:sz w:val="2"/>
                <w:szCs w:val="2"/>
              </w:rPr>
            </w:pPr>
          </w:p>
        </w:tc>
        <w:tc>
          <w:tcPr>
            <w:tcW w:w="938" w:type="dxa"/>
          </w:tcPr>
          <w:p>
            <w:pPr>
              <w:pStyle w:val="14"/>
              <w:spacing w:before="34"/>
              <w:ind w:right="406"/>
              <w:jc w:val="right"/>
              <w:rPr>
                <w:rFonts w:ascii="Times New Roman"/>
                <w:sz w:val="21"/>
              </w:rPr>
            </w:pPr>
            <w:r>
              <w:rPr>
                <w:rFonts w:ascii="Times New Roman"/>
                <w:w w:val="99"/>
                <w:sz w:val="21"/>
              </w:rPr>
              <w:t>7</w:t>
            </w:r>
          </w:p>
        </w:tc>
        <w:tc>
          <w:tcPr>
            <w:tcW w:w="1525" w:type="dxa"/>
          </w:tcPr>
          <w:p>
            <w:pPr>
              <w:pStyle w:val="14"/>
              <w:spacing w:before="34"/>
              <w:ind w:right="251"/>
              <w:jc w:val="right"/>
              <w:rPr>
                <w:rFonts w:ascii="Times New Roman"/>
                <w:sz w:val="21"/>
              </w:rPr>
            </w:pPr>
            <w:r>
              <w:rPr>
                <w:rFonts w:ascii="Times New Roman"/>
                <w:w w:val="95"/>
                <w:sz w:val="21"/>
              </w:rPr>
              <w:t>5151902.72</w:t>
            </w:r>
          </w:p>
        </w:tc>
        <w:tc>
          <w:tcPr>
            <w:tcW w:w="1429" w:type="dxa"/>
          </w:tcPr>
          <w:p>
            <w:pPr>
              <w:pStyle w:val="14"/>
              <w:spacing w:before="34"/>
              <w:ind w:left="115" w:right="108"/>
              <w:rPr>
                <w:rFonts w:ascii="Times New Roman"/>
                <w:sz w:val="21"/>
              </w:rPr>
            </w:pPr>
            <w:r>
              <w:rPr>
                <w:rFonts w:ascii="Times New Roman"/>
                <w:sz w:val="21"/>
              </w:rPr>
              <w:t>44436010.20</w:t>
            </w:r>
          </w:p>
        </w:tc>
        <w:tc>
          <w:tcPr>
            <w:tcW w:w="708" w:type="dxa"/>
          </w:tcPr>
          <w:p>
            <w:pPr>
              <w:pStyle w:val="14"/>
              <w:spacing w:before="34"/>
              <w:ind w:left="249"/>
              <w:jc w:val="left"/>
              <w:rPr>
                <w:rFonts w:ascii="Times New Roman"/>
                <w:sz w:val="21"/>
              </w:rPr>
            </w:pPr>
            <w:r>
              <w:rPr>
                <w:rFonts w:ascii="Times New Roman"/>
                <w:sz w:val="21"/>
              </w:rPr>
              <w:t>14</w:t>
            </w:r>
          </w:p>
        </w:tc>
        <w:tc>
          <w:tcPr>
            <w:tcW w:w="1475" w:type="dxa"/>
          </w:tcPr>
          <w:p>
            <w:pPr>
              <w:pStyle w:val="14"/>
              <w:spacing w:before="34"/>
              <w:ind w:left="191" w:right="184"/>
              <w:rPr>
                <w:rFonts w:ascii="Times New Roman"/>
                <w:sz w:val="21"/>
              </w:rPr>
            </w:pPr>
            <w:r>
              <w:rPr>
                <w:rFonts w:ascii="Times New Roman"/>
                <w:sz w:val="21"/>
              </w:rPr>
              <w:t>5153263.71</w:t>
            </w:r>
          </w:p>
        </w:tc>
        <w:tc>
          <w:tcPr>
            <w:tcW w:w="1504" w:type="dxa"/>
          </w:tcPr>
          <w:p>
            <w:pPr>
              <w:pStyle w:val="14"/>
              <w:spacing w:before="34"/>
              <w:ind w:right="188"/>
              <w:jc w:val="right"/>
              <w:rPr>
                <w:rFonts w:ascii="Times New Roman"/>
                <w:sz w:val="21"/>
              </w:rPr>
            </w:pPr>
            <w:r>
              <w:rPr>
                <w:rFonts w:ascii="Times New Roman"/>
                <w:w w:val="95"/>
                <w:sz w:val="21"/>
              </w:rPr>
              <w:t>44436396.52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continue"/>
            <w:tcBorders>
              <w:top w:val="nil"/>
            </w:tcBorders>
          </w:tcPr>
          <w:p>
            <w:pPr>
              <w:rPr>
                <w:sz w:val="2"/>
                <w:szCs w:val="2"/>
              </w:rPr>
            </w:pPr>
          </w:p>
        </w:tc>
        <w:tc>
          <w:tcPr>
            <w:tcW w:w="7579" w:type="dxa"/>
            <w:gridSpan w:val="6"/>
          </w:tcPr>
          <w:p>
            <w:pPr>
              <w:pStyle w:val="14"/>
              <w:spacing w:before="20"/>
              <w:ind w:left="2665" w:right="2655"/>
              <w:rPr>
                <w:rFonts w:ascii="Times New Roman" w:eastAsia="Times New Roman"/>
                <w:sz w:val="21"/>
              </w:rPr>
            </w:pPr>
            <w:r>
              <w:rPr>
                <w:sz w:val="21"/>
              </w:rPr>
              <w:t>开采标高：</w:t>
            </w:r>
            <w:r>
              <w:rPr>
                <w:rFonts w:ascii="Times New Roman" w:eastAsia="Times New Roman"/>
                <w:sz w:val="21"/>
              </w:rPr>
              <w:t xml:space="preserve">370 </w:t>
            </w:r>
            <w:r>
              <w:rPr>
                <w:sz w:val="21"/>
              </w:rPr>
              <w:t>至</w:t>
            </w:r>
            <w:r>
              <w:rPr>
                <w:rFonts w:ascii="Times New Roman" w:eastAsia="Times New Roman"/>
                <w:sz w:val="21"/>
              </w:rPr>
              <w:t>-210m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restart"/>
          </w:tcPr>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spacing w:before="195"/>
              <w:ind w:left="346" w:right="337"/>
              <w:rPr>
                <w:rFonts w:ascii="Times New Roman"/>
                <w:sz w:val="21"/>
              </w:rPr>
            </w:pPr>
            <w:r>
              <w:rPr>
                <w:rFonts w:ascii="Times New Roman"/>
                <w:sz w:val="21"/>
              </w:rPr>
              <w:t>15</w:t>
            </w:r>
          </w:p>
        </w:tc>
        <w:tc>
          <w:tcPr>
            <w:tcW w:w="938" w:type="dxa"/>
          </w:tcPr>
          <w:p>
            <w:pPr>
              <w:pStyle w:val="14"/>
              <w:spacing w:before="34"/>
              <w:ind w:right="406"/>
              <w:jc w:val="right"/>
              <w:rPr>
                <w:rFonts w:ascii="Times New Roman"/>
                <w:sz w:val="21"/>
              </w:rPr>
            </w:pPr>
            <w:r>
              <w:rPr>
                <w:rFonts w:ascii="Times New Roman"/>
                <w:w w:val="99"/>
                <w:sz w:val="21"/>
              </w:rPr>
              <w:t>1</w:t>
            </w:r>
          </w:p>
        </w:tc>
        <w:tc>
          <w:tcPr>
            <w:tcW w:w="1525" w:type="dxa"/>
          </w:tcPr>
          <w:p>
            <w:pPr>
              <w:pStyle w:val="14"/>
              <w:spacing w:before="34"/>
              <w:ind w:right="251"/>
              <w:jc w:val="right"/>
              <w:rPr>
                <w:rFonts w:ascii="Times New Roman"/>
                <w:sz w:val="21"/>
              </w:rPr>
            </w:pPr>
            <w:r>
              <w:rPr>
                <w:rFonts w:ascii="Times New Roman"/>
                <w:w w:val="95"/>
                <w:sz w:val="21"/>
              </w:rPr>
              <w:t>5153365.16</w:t>
            </w:r>
          </w:p>
        </w:tc>
        <w:tc>
          <w:tcPr>
            <w:tcW w:w="1429" w:type="dxa"/>
          </w:tcPr>
          <w:p>
            <w:pPr>
              <w:pStyle w:val="14"/>
              <w:spacing w:before="34"/>
              <w:ind w:left="115" w:right="108"/>
              <w:rPr>
                <w:rFonts w:ascii="Times New Roman"/>
                <w:sz w:val="21"/>
              </w:rPr>
            </w:pPr>
            <w:r>
              <w:rPr>
                <w:rFonts w:ascii="Times New Roman"/>
                <w:sz w:val="21"/>
              </w:rPr>
              <w:t>44437595.11</w:t>
            </w:r>
          </w:p>
        </w:tc>
        <w:tc>
          <w:tcPr>
            <w:tcW w:w="708" w:type="dxa"/>
          </w:tcPr>
          <w:p>
            <w:pPr>
              <w:pStyle w:val="14"/>
              <w:spacing w:before="34"/>
              <w:ind w:left="300"/>
              <w:jc w:val="left"/>
              <w:rPr>
                <w:rFonts w:ascii="Times New Roman"/>
                <w:sz w:val="21"/>
              </w:rPr>
            </w:pPr>
            <w:r>
              <w:rPr>
                <w:rFonts w:ascii="Times New Roman"/>
                <w:w w:val="99"/>
                <w:sz w:val="21"/>
              </w:rPr>
              <w:t>9</w:t>
            </w:r>
          </w:p>
        </w:tc>
        <w:tc>
          <w:tcPr>
            <w:tcW w:w="1475" w:type="dxa"/>
          </w:tcPr>
          <w:p>
            <w:pPr>
              <w:pStyle w:val="14"/>
              <w:spacing w:before="34"/>
              <w:ind w:left="191" w:right="184"/>
              <w:rPr>
                <w:rFonts w:ascii="Times New Roman"/>
                <w:sz w:val="21"/>
              </w:rPr>
            </w:pPr>
            <w:r>
              <w:rPr>
                <w:rFonts w:ascii="Times New Roman"/>
                <w:sz w:val="21"/>
              </w:rPr>
              <w:t>5151902.72</w:t>
            </w:r>
          </w:p>
        </w:tc>
        <w:tc>
          <w:tcPr>
            <w:tcW w:w="1504" w:type="dxa"/>
          </w:tcPr>
          <w:p>
            <w:pPr>
              <w:pStyle w:val="14"/>
              <w:spacing w:before="34"/>
              <w:ind w:right="188"/>
              <w:jc w:val="right"/>
              <w:rPr>
                <w:rFonts w:ascii="Times New Roman"/>
                <w:sz w:val="21"/>
              </w:rPr>
            </w:pPr>
            <w:r>
              <w:rPr>
                <w:rFonts w:ascii="Times New Roman"/>
                <w:w w:val="95"/>
                <w:sz w:val="21"/>
              </w:rPr>
              <w:t>44436010.20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continue"/>
            <w:tcBorders>
              <w:top w:val="nil"/>
            </w:tcBorders>
          </w:tcPr>
          <w:p>
            <w:pPr>
              <w:rPr>
                <w:sz w:val="2"/>
                <w:szCs w:val="2"/>
              </w:rPr>
            </w:pPr>
          </w:p>
        </w:tc>
        <w:tc>
          <w:tcPr>
            <w:tcW w:w="938" w:type="dxa"/>
          </w:tcPr>
          <w:p>
            <w:pPr>
              <w:pStyle w:val="14"/>
              <w:spacing w:before="36"/>
              <w:ind w:right="406"/>
              <w:jc w:val="right"/>
              <w:rPr>
                <w:rFonts w:ascii="Times New Roman"/>
                <w:sz w:val="21"/>
              </w:rPr>
            </w:pPr>
            <w:r>
              <w:rPr>
                <w:rFonts w:ascii="Times New Roman"/>
                <w:w w:val="99"/>
                <w:sz w:val="21"/>
              </w:rPr>
              <w:t>2</w:t>
            </w:r>
          </w:p>
        </w:tc>
        <w:tc>
          <w:tcPr>
            <w:tcW w:w="1525" w:type="dxa"/>
          </w:tcPr>
          <w:p>
            <w:pPr>
              <w:pStyle w:val="14"/>
              <w:spacing w:before="36"/>
              <w:ind w:right="251"/>
              <w:jc w:val="right"/>
              <w:rPr>
                <w:rFonts w:ascii="Times New Roman"/>
                <w:sz w:val="21"/>
              </w:rPr>
            </w:pPr>
            <w:r>
              <w:rPr>
                <w:rFonts w:ascii="Times New Roman"/>
                <w:w w:val="95"/>
                <w:sz w:val="21"/>
              </w:rPr>
              <w:t>5152040.64</w:t>
            </w:r>
          </w:p>
        </w:tc>
        <w:tc>
          <w:tcPr>
            <w:tcW w:w="1429" w:type="dxa"/>
          </w:tcPr>
          <w:p>
            <w:pPr>
              <w:pStyle w:val="14"/>
              <w:spacing w:before="36"/>
              <w:ind w:left="115" w:right="108"/>
              <w:rPr>
                <w:rFonts w:ascii="Times New Roman"/>
                <w:sz w:val="21"/>
              </w:rPr>
            </w:pPr>
            <w:r>
              <w:rPr>
                <w:rFonts w:ascii="Times New Roman"/>
                <w:sz w:val="21"/>
              </w:rPr>
              <w:t>44437595.11</w:t>
            </w:r>
          </w:p>
        </w:tc>
        <w:tc>
          <w:tcPr>
            <w:tcW w:w="708" w:type="dxa"/>
          </w:tcPr>
          <w:p>
            <w:pPr>
              <w:pStyle w:val="14"/>
              <w:spacing w:before="36"/>
              <w:ind w:left="249"/>
              <w:jc w:val="left"/>
              <w:rPr>
                <w:rFonts w:ascii="Times New Roman"/>
                <w:sz w:val="21"/>
              </w:rPr>
            </w:pPr>
            <w:r>
              <w:rPr>
                <w:rFonts w:ascii="Times New Roman"/>
                <w:sz w:val="21"/>
              </w:rPr>
              <w:t>10</w:t>
            </w:r>
          </w:p>
        </w:tc>
        <w:tc>
          <w:tcPr>
            <w:tcW w:w="1475" w:type="dxa"/>
          </w:tcPr>
          <w:p>
            <w:pPr>
              <w:pStyle w:val="14"/>
              <w:spacing w:before="36"/>
              <w:ind w:left="191" w:right="184"/>
              <w:rPr>
                <w:rFonts w:ascii="Times New Roman"/>
                <w:sz w:val="21"/>
              </w:rPr>
            </w:pPr>
            <w:r>
              <w:rPr>
                <w:rFonts w:ascii="Times New Roman"/>
                <w:sz w:val="21"/>
              </w:rPr>
              <w:t>5152005.72</w:t>
            </w:r>
          </w:p>
        </w:tc>
        <w:tc>
          <w:tcPr>
            <w:tcW w:w="1504" w:type="dxa"/>
          </w:tcPr>
          <w:p>
            <w:pPr>
              <w:pStyle w:val="14"/>
              <w:spacing w:before="36"/>
              <w:ind w:right="188"/>
              <w:jc w:val="right"/>
              <w:rPr>
                <w:rFonts w:ascii="Times New Roman"/>
                <w:sz w:val="21"/>
              </w:rPr>
            </w:pPr>
            <w:r>
              <w:rPr>
                <w:rFonts w:ascii="Times New Roman"/>
                <w:w w:val="95"/>
                <w:sz w:val="21"/>
              </w:rPr>
              <w:t>44435834.20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continue"/>
            <w:tcBorders>
              <w:top w:val="nil"/>
            </w:tcBorders>
          </w:tcPr>
          <w:p>
            <w:pPr>
              <w:rPr>
                <w:sz w:val="2"/>
                <w:szCs w:val="2"/>
              </w:rPr>
            </w:pPr>
          </w:p>
        </w:tc>
        <w:tc>
          <w:tcPr>
            <w:tcW w:w="938" w:type="dxa"/>
          </w:tcPr>
          <w:p>
            <w:pPr>
              <w:pStyle w:val="14"/>
              <w:spacing w:before="35"/>
              <w:ind w:right="406"/>
              <w:jc w:val="right"/>
              <w:rPr>
                <w:rFonts w:ascii="Times New Roman"/>
                <w:sz w:val="21"/>
              </w:rPr>
            </w:pPr>
            <w:r>
              <w:rPr>
                <w:rFonts w:ascii="Times New Roman"/>
                <w:w w:val="99"/>
                <w:sz w:val="21"/>
              </w:rPr>
              <w:t>3</w:t>
            </w:r>
          </w:p>
        </w:tc>
        <w:tc>
          <w:tcPr>
            <w:tcW w:w="1525" w:type="dxa"/>
          </w:tcPr>
          <w:p>
            <w:pPr>
              <w:pStyle w:val="14"/>
              <w:spacing w:before="35"/>
              <w:ind w:right="251"/>
              <w:jc w:val="right"/>
              <w:rPr>
                <w:rFonts w:ascii="Times New Roman"/>
                <w:sz w:val="21"/>
              </w:rPr>
            </w:pPr>
            <w:r>
              <w:rPr>
                <w:rFonts w:ascii="Times New Roman"/>
                <w:w w:val="95"/>
                <w:sz w:val="21"/>
              </w:rPr>
              <w:t>5151538.11</w:t>
            </w:r>
          </w:p>
        </w:tc>
        <w:tc>
          <w:tcPr>
            <w:tcW w:w="1429" w:type="dxa"/>
          </w:tcPr>
          <w:p>
            <w:pPr>
              <w:pStyle w:val="14"/>
              <w:spacing w:before="35"/>
              <w:ind w:left="115" w:right="108"/>
              <w:rPr>
                <w:rFonts w:ascii="Times New Roman"/>
                <w:sz w:val="21"/>
              </w:rPr>
            </w:pPr>
            <w:r>
              <w:rPr>
                <w:rFonts w:ascii="Times New Roman"/>
                <w:sz w:val="21"/>
              </w:rPr>
              <w:t>44438201.85</w:t>
            </w:r>
          </w:p>
        </w:tc>
        <w:tc>
          <w:tcPr>
            <w:tcW w:w="708" w:type="dxa"/>
          </w:tcPr>
          <w:p>
            <w:pPr>
              <w:pStyle w:val="14"/>
              <w:spacing w:before="35"/>
              <w:ind w:left="252"/>
              <w:jc w:val="left"/>
              <w:rPr>
                <w:rFonts w:ascii="Times New Roman"/>
                <w:sz w:val="21"/>
              </w:rPr>
            </w:pPr>
            <w:r>
              <w:rPr>
                <w:rFonts w:ascii="Times New Roman"/>
                <w:sz w:val="21"/>
              </w:rPr>
              <w:t>11</w:t>
            </w:r>
          </w:p>
        </w:tc>
        <w:tc>
          <w:tcPr>
            <w:tcW w:w="1475" w:type="dxa"/>
          </w:tcPr>
          <w:p>
            <w:pPr>
              <w:pStyle w:val="14"/>
              <w:spacing w:before="35"/>
              <w:ind w:left="191" w:right="184"/>
              <w:rPr>
                <w:rFonts w:ascii="Times New Roman"/>
                <w:sz w:val="21"/>
              </w:rPr>
            </w:pPr>
            <w:r>
              <w:rPr>
                <w:rFonts w:ascii="Times New Roman"/>
                <w:sz w:val="21"/>
              </w:rPr>
              <w:t>5151935.72</w:t>
            </w:r>
          </w:p>
        </w:tc>
        <w:tc>
          <w:tcPr>
            <w:tcW w:w="1504" w:type="dxa"/>
          </w:tcPr>
          <w:p>
            <w:pPr>
              <w:pStyle w:val="14"/>
              <w:spacing w:before="35"/>
              <w:ind w:right="188"/>
              <w:jc w:val="right"/>
              <w:rPr>
                <w:rFonts w:ascii="Times New Roman"/>
                <w:sz w:val="21"/>
              </w:rPr>
            </w:pPr>
            <w:r>
              <w:rPr>
                <w:rFonts w:ascii="Times New Roman"/>
                <w:w w:val="95"/>
                <w:sz w:val="21"/>
              </w:rPr>
              <w:t>44435784.20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43" w:type="dxa"/>
            <w:vMerge w:val="continue"/>
            <w:tcBorders>
              <w:top w:val="nil"/>
            </w:tcBorders>
          </w:tcPr>
          <w:p>
            <w:pPr>
              <w:rPr>
                <w:sz w:val="2"/>
                <w:szCs w:val="2"/>
              </w:rPr>
            </w:pPr>
          </w:p>
        </w:tc>
        <w:tc>
          <w:tcPr>
            <w:tcW w:w="938" w:type="dxa"/>
          </w:tcPr>
          <w:p>
            <w:pPr>
              <w:pStyle w:val="14"/>
              <w:spacing w:before="35"/>
              <w:ind w:right="406"/>
              <w:jc w:val="right"/>
              <w:rPr>
                <w:rFonts w:ascii="Times New Roman"/>
                <w:sz w:val="21"/>
              </w:rPr>
            </w:pPr>
            <w:r>
              <w:rPr>
                <w:rFonts w:ascii="Times New Roman"/>
                <w:w w:val="99"/>
                <w:sz w:val="21"/>
              </w:rPr>
              <w:t>4</w:t>
            </w:r>
          </w:p>
        </w:tc>
        <w:tc>
          <w:tcPr>
            <w:tcW w:w="1525" w:type="dxa"/>
          </w:tcPr>
          <w:p>
            <w:pPr>
              <w:pStyle w:val="14"/>
              <w:spacing w:before="35"/>
              <w:ind w:right="251"/>
              <w:jc w:val="right"/>
              <w:rPr>
                <w:rFonts w:ascii="Times New Roman"/>
                <w:sz w:val="21"/>
              </w:rPr>
            </w:pPr>
            <w:r>
              <w:rPr>
                <w:rFonts w:ascii="Times New Roman"/>
                <w:w w:val="95"/>
                <w:sz w:val="21"/>
              </w:rPr>
              <w:t>5151487.72</w:t>
            </w:r>
          </w:p>
        </w:tc>
        <w:tc>
          <w:tcPr>
            <w:tcW w:w="1429" w:type="dxa"/>
          </w:tcPr>
          <w:p>
            <w:pPr>
              <w:pStyle w:val="14"/>
              <w:spacing w:before="35"/>
              <w:ind w:left="115" w:right="108"/>
              <w:rPr>
                <w:rFonts w:ascii="Times New Roman"/>
                <w:sz w:val="21"/>
              </w:rPr>
            </w:pPr>
            <w:r>
              <w:rPr>
                <w:rFonts w:ascii="Times New Roman"/>
                <w:sz w:val="21"/>
              </w:rPr>
              <w:t>44437234.21</w:t>
            </w:r>
          </w:p>
        </w:tc>
        <w:tc>
          <w:tcPr>
            <w:tcW w:w="708" w:type="dxa"/>
          </w:tcPr>
          <w:p>
            <w:pPr>
              <w:pStyle w:val="14"/>
              <w:spacing w:before="35"/>
              <w:ind w:left="249"/>
              <w:jc w:val="left"/>
              <w:rPr>
                <w:rFonts w:ascii="Times New Roman"/>
                <w:sz w:val="21"/>
              </w:rPr>
            </w:pPr>
            <w:r>
              <w:rPr>
                <w:rFonts w:ascii="Times New Roman"/>
                <w:sz w:val="21"/>
              </w:rPr>
              <w:t>12</w:t>
            </w:r>
          </w:p>
        </w:tc>
        <w:tc>
          <w:tcPr>
            <w:tcW w:w="1475" w:type="dxa"/>
          </w:tcPr>
          <w:p>
            <w:pPr>
              <w:pStyle w:val="14"/>
              <w:spacing w:before="35"/>
              <w:ind w:left="191" w:right="184"/>
              <w:rPr>
                <w:rFonts w:ascii="Times New Roman"/>
                <w:sz w:val="21"/>
              </w:rPr>
            </w:pPr>
            <w:r>
              <w:rPr>
                <w:rFonts w:ascii="Times New Roman"/>
                <w:sz w:val="21"/>
              </w:rPr>
              <w:t>5151978.72</w:t>
            </w:r>
          </w:p>
        </w:tc>
        <w:tc>
          <w:tcPr>
            <w:tcW w:w="1504" w:type="dxa"/>
          </w:tcPr>
          <w:p>
            <w:pPr>
              <w:pStyle w:val="14"/>
              <w:spacing w:before="35"/>
              <w:ind w:right="188"/>
              <w:jc w:val="right"/>
              <w:rPr>
                <w:rFonts w:ascii="Times New Roman"/>
                <w:sz w:val="21"/>
              </w:rPr>
            </w:pPr>
            <w:r>
              <w:rPr>
                <w:rFonts w:ascii="Times New Roman"/>
                <w:w w:val="95"/>
                <w:sz w:val="21"/>
              </w:rPr>
              <w:t>44435746.20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continue"/>
            <w:tcBorders>
              <w:top w:val="nil"/>
            </w:tcBorders>
          </w:tcPr>
          <w:p>
            <w:pPr>
              <w:rPr>
                <w:sz w:val="2"/>
                <w:szCs w:val="2"/>
              </w:rPr>
            </w:pPr>
          </w:p>
        </w:tc>
        <w:tc>
          <w:tcPr>
            <w:tcW w:w="938" w:type="dxa"/>
          </w:tcPr>
          <w:p>
            <w:pPr>
              <w:pStyle w:val="14"/>
              <w:spacing w:before="34"/>
              <w:ind w:right="406"/>
              <w:jc w:val="right"/>
              <w:rPr>
                <w:rFonts w:ascii="Times New Roman"/>
                <w:sz w:val="21"/>
              </w:rPr>
            </w:pPr>
            <w:r>
              <w:rPr>
                <w:rFonts w:ascii="Times New Roman"/>
                <w:w w:val="99"/>
                <w:sz w:val="21"/>
              </w:rPr>
              <w:t>5</w:t>
            </w:r>
          </w:p>
        </w:tc>
        <w:tc>
          <w:tcPr>
            <w:tcW w:w="1525" w:type="dxa"/>
          </w:tcPr>
          <w:p>
            <w:pPr>
              <w:pStyle w:val="14"/>
              <w:spacing w:before="34"/>
              <w:ind w:right="251"/>
              <w:jc w:val="right"/>
              <w:rPr>
                <w:rFonts w:ascii="Times New Roman"/>
                <w:sz w:val="21"/>
              </w:rPr>
            </w:pPr>
            <w:r>
              <w:rPr>
                <w:rFonts w:ascii="Times New Roman"/>
                <w:w w:val="95"/>
                <w:sz w:val="21"/>
              </w:rPr>
              <w:t>5151491.72</w:t>
            </w:r>
          </w:p>
        </w:tc>
        <w:tc>
          <w:tcPr>
            <w:tcW w:w="1429" w:type="dxa"/>
          </w:tcPr>
          <w:p>
            <w:pPr>
              <w:pStyle w:val="14"/>
              <w:spacing w:before="34"/>
              <w:ind w:left="115" w:right="108"/>
              <w:rPr>
                <w:rFonts w:ascii="Times New Roman"/>
                <w:sz w:val="21"/>
              </w:rPr>
            </w:pPr>
            <w:r>
              <w:rPr>
                <w:rFonts w:ascii="Times New Roman"/>
                <w:sz w:val="21"/>
              </w:rPr>
              <w:t>44436858.20</w:t>
            </w:r>
          </w:p>
        </w:tc>
        <w:tc>
          <w:tcPr>
            <w:tcW w:w="708" w:type="dxa"/>
          </w:tcPr>
          <w:p>
            <w:pPr>
              <w:pStyle w:val="14"/>
              <w:spacing w:before="34"/>
              <w:ind w:left="249"/>
              <w:jc w:val="left"/>
              <w:rPr>
                <w:rFonts w:ascii="Times New Roman"/>
                <w:sz w:val="21"/>
              </w:rPr>
            </w:pPr>
            <w:r>
              <w:rPr>
                <w:rFonts w:ascii="Times New Roman"/>
                <w:sz w:val="21"/>
              </w:rPr>
              <w:t>13</w:t>
            </w:r>
          </w:p>
        </w:tc>
        <w:tc>
          <w:tcPr>
            <w:tcW w:w="1475" w:type="dxa"/>
          </w:tcPr>
          <w:p>
            <w:pPr>
              <w:pStyle w:val="14"/>
              <w:spacing w:before="34"/>
              <w:ind w:left="191" w:right="184"/>
              <w:rPr>
                <w:rFonts w:ascii="Times New Roman"/>
                <w:sz w:val="21"/>
              </w:rPr>
            </w:pPr>
            <w:r>
              <w:rPr>
                <w:rFonts w:ascii="Times New Roman"/>
                <w:sz w:val="21"/>
              </w:rPr>
              <w:t>5151915.72</w:t>
            </w:r>
          </w:p>
        </w:tc>
        <w:tc>
          <w:tcPr>
            <w:tcW w:w="1504" w:type="dxa"/>
          </w:tcPr>
          <w:p>
            <w:pPr>
              <w:pStyle w:val="14"/>
              <w:spacing w:before="34"/>
              <w:ind w:right="188"/>
              <w:jc w:val="right"/>
              <w:rPr>
                <w:rFonts w:ascii="Times New Roman"/>
                <w:sz w:val="21"/>
              </w:rPr>
            </w:pPr>
            <w:r>
              <w:rPr>
                <w:rFonts w:ascii="Times New Roman"/>
                <w:w w:val="95"/>
                <w:sz w:val="21"/>
              </w:rPr>
              <w:t>44435689.20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continue"/>
            <w:tcBorders>
              <w:top w:val="nil"/>
            </w:tcBorders>
          </w:tcPr>
          <w:p>
            <w:pPr>
              <w:rPr>
                <w:sz w:val="2"/>
                <w:szCs w:val="2"/>
              </w:rPr>
            </w:pPr>
          </w:p>
        </w:tc>
        <w:tc>
          <w:tcPr>
            <w:tcW w:w="938" w:type="dxa"/>
          </w:tcPr>
          <w:p>
            <w:pPr>
              <w:pStyle w:val="14"/>
              <w:spacing w:before="34"/>
              <w:ind w:right="406"/>
              <w:jc w:val="right"/>
              <w:rPr>
                <w:rFonts w:ascii="Times New Roman"/>
                <w:sz w:val="21"/>
              </w:rPr>
            </w:pPr>
            <w:r>
              <w:rPr>
                <w:rFonts w:ascii="Times New Roman"/>
                <w:w w:val="99"/>
                <w:sz w:val="21"/>
              </w:rPr>
              <w:t>6</w:t>
            </w:r>
          </w:p>
        </w:tc>
        <w:tc>
          <w:tcPr>
            <w:tcW w:w="1525" w:type="dxa"/>
          </w:tcPr>
          <w:p>
            <w:pPr>
              <w:pStyle w:val="14"/>
              <w:spacing w:before="34"/>
              <w:ind w:right="251"/>
              <w:jc w:val="right"/>
              <w:rPr>
                <w:rFonts w:ascii="Times New Roman"/>
                <w:sz w:val="21"/>
              </w:rPr>
            </w:pPr>
            <w:r>
              <w:rPr>
                <w:rFonts w:ascii="Times New Roman"/>
                <w:w w:val="95"/>
                <w:sz w:val="21"/>
              </w:rPr>
              <w:t>5151466.64</w:t>
            </w:r>
          </w:p>
        </w:tc>
        <w:tc>
          <w:tcPr>
            <w:tcW w:w="1429" w:type="dxa"/>
          </w:tcPr>
          <w:p>
            <w:pPr>
              <w:pStyle w:val="14"/>
              <w:spacing w:before="34"/>
              <w:ind w:left="115" w:right="108"/>
              <w:rPr>
                <w:rFonts w:ascii="Times New Roman"/>
                <w:sz w:val="21"/>
              </w:rPr>
            </w:pPr>
            <w:r>
              <w:rPr>
                <w:rFonts w:ascii="Times New Roman"/>
                <w:sz w:val="21"/>
              </w:rPr>
              <w:t>44436620.11</w:t>
            </w:r>
          </w:p>
        </w:tc>
        <w:tc>
          <w:tcPr>
            <w:tcW w:w="708" w:type="dxa"/>
          </w:tcPr>
          <w:p>
            <w:pPr>
              <w:pStyle w:val="14"/>
              <w:spacing w:before="34"/>
              <w:ind w:left="249"/>
              <w:jc w:val="left"/>
              <w:rPr>
                <w:rFonts w:ascii="Times New Roman"/>
                <w:sz w:val="21"/>
              </w:rPr>
            </w:pPr>
            <w:r>
              <w:rPr>
                <w:rFonts w:ascii="Times New Roman"/>
                <w:sz w:val="21"/>
              </w:rPr>
              <w:t>14</w:t>
            </w:r>
          </w:p>
        </w:tc>
        <w:tc>
          <w:tcPr>
            <w:tcW w:w="1475" w:type="dxa"/>
          </w:tcPr>
          <w:p>
            <w:pPr>
              <w:pStyle w:val="14"/>
              <w:spacing w:before="34"/>
              <w:ind w:left="191" w:right="184"/>
              <w:rPr>
                <w:rFonts w:ascii="Times New Roman"/>
                <w:sz w:val="21"/>
              </w:rPr>
            </w:pPr>
            <w:r>
              <w:rPr>
                <w:rFonts w:ascii="Times New Roman"/>
                <w:sz w:val="21"/>
              </w:rPr>
              <w:t>5152581.72</w:t>
            </w:r>
          </w:p>
        </w:tc>
        <w:tc>
          <w:tcPr>
            <w:tcW w:w="1504" w:type="dxa"/>
          </w:tcPr>
          <w:p>
            <w:pPr>
              <w:pStyle w:val="14"/>
              <w:spacing w:before="34"/>
              <w:ind w:right="188"/>
              <w:jc w:val="right"/>
              <w:rPr>
                <w:rFonts w:ascii="Times New Roman"/>
                <w:sz w:val="21"/>
              </w:rPr>
            </w:pPr>
            <w:r>
              <w:rPr>
                <w:rFonts w:ascii="Times New Roman"/>
                <w:w w:val="95"/>
                <w:sz w:val="21"/>
              </w:rPr>
              <w:t>44435580.19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continue"/>
            <w:tcBorders>
              <w:top w:val="nil"/>
            </w:tcBorders>
          </w:tcPr>
          <w:p>
            <w:pPr>
              <w:rPr>
                <w:sz w:val="2"/>
                <w:szCs w:val="2"/>
              </w:rPr>
            </w:pPr>
          </w:p>
        </w:tc>
        <w:tc>
          <w:tcPr>
            <w:tcW w:w="938" w:type="dxa"/>
          </w:tcPr>
          <w:p>
            <w:pPr>
              <w:pStyle w:val="14"/>
              <w:spacing w:before="34"/>
              <w:ind w:right="406"/>
              <w:jc w:val="right"/>
              <w:rPr>
                <w:rFonts w:ascii="Times New Roman"/>
                <w:sz w:val="21"/>
              </w:rPr>
            </w:pPr>
            <w:r>
              <w:rPr>
                <w:rFonts w:ascii="Times New Roman"/>
                <w:w w:val="99"/>
                <w:sz w:val="21"/>
              </w:rPr>
              <w:t>7</w:t>
            </w:r>
          </w:p>
        </w:tc>
        <w:tc>
          <w:tcPr>
            <w:tcW w:w="1525" w:type="dxa"/>
          </w:tcPr>
          <w:p>
            <w:pPr>
              <w:pStyle w:val="14"/>
              <w:spacing w:before="34"/>
              <w:ind w:right="251"/>
              <w:jc w:val="right"/>
              <w:rPr>
                <w:rFonts w:ascii="Times New Roman"/>
                <w:sz w:val="21"/>
              </w:rPr>
            </w:pPr>
            <w:r>
              <w:rPr>
                <w:rFonts w:ascii="Times New Roman"/>
                <w:w w:val="95"/>
                <w:sz w:val="21"/>
              </w:rPr>
              <w:t>5151654.92</w:t>
            </w:r>
          </w:p>
        </w:tc>
        <w:tc>
          <w:tcPr>
            <w:tcW w:w="1429" w:type="dxa"/>
          </w:tcPr>
          <w:p>
            <w:pPr>
              <w:pStyle w:val="14"/>
              <w:spacing w:before="34"/>
              <w:ind w:left="115" w:right="108"/>
              <w:rPr>
                <w:rFonts w:ascii="Times New Roman"/>
                <w:sz w:val="21"/>
              </w:rPr>
            </w:pPr>
            <w:r>
              <w:rPr>
                <w:rFonts w:ascii="Times New Roman"/>
                <w:sz w:val="21"/>
              </w:rPr>
              <w:t>44436210.11</w:t>
            </w:r>
          </w:p>
        </w:tc>
        <w:tc>
          <w:tcPr>
            <w:tcW w:w="708" w:type="dxa"/>
          </w:tcPr>
          <w:p>
            <w:pPr>
              <w:pStyle w:val="14"/>
              <w:spacing w:before="34"/>
              <w:ind w:left="249"/>
              <w:jc w:val="left"/>
              <w:rPr>
                <w:rFonts w:ascii="Times New Roman"/>
                <w:sz w:val="21"/>
              </w:rPr>
            </w:pPr>
            <w:r>
              <w:rPr>
                <w:rFonts w:ascii="Times New Roman"/>
                <w:sz w:val="21"/>
              </w:rPr>
              <w:t>15</w:t>
            </w:r>
          </w:p>
        </w:tc>
        <w:tc>
          <w:tcPr>
            <w:tcW w:w="1475" w:type="dxa"/>
          </w:tcPr>
          <w:p>
            <w:pPr>
              <w:pStyle w:val="14"/>
              <w:spacing w:before="34"/>
              <w:ind w:left="191" w:right="184"/>
              <w:rPr>
                <w:rFonts w:ascii="Times New Roman"/>
                <w:sz w:val="21"/>
              </w:rPr>
            </w:pPr>
            <w:r>
              <w:rPr>
                <w:rFonts w:ascii="Times New Roman"/>
                <w:sz w:val="21"/>
              </w:rPr>
              <w:t>5152348.45</w:t>
            </w:r>
          </w:p>
        </w:tc>
        <w:tc>
          <w:tcPr>
            <w:tcW w:w="1504" w:type="dxa"/>
          </w:tcPr>
          <w:p>
            <w:pPr>
              <w:pStyle w:val="14"/>
              <w:spacing w:before="34"/>
              <w:ind w:right="188"/>
              <w:jc w:val="right"/>
              <w:rPr>
                <w:rFonts w:ascii="Times New Roman"/>
                <w:sz w:val="21"/>
              </w:rPr>
            </w:pPr>
            <w:r>
              <w:rPr>
                <w:rFonts w:ascii="Times New Roman"/>
                <w:w w:val="95"/>
                <w:sz w:val="21"/>
              </w:rPr>
              <w:t>44435931.32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continue"/>
            <w:tcBorders>
              <w:top w:val="nil"/>
            </w:tcBorders>
          </w:tcPr>
          <w:p>
            <w:pPr>
              <w:rPr>
                <w:sz w:val="2"/>
                <w:szCs w:val="2"/>
              </w:rPr>
            </w:pPr>
          </w:p>
        </w:tc>
        <w:tc>
          <w:tcPr>
            <w:tcW w:w="938" w:type="dxa"/>
          </w:tcPr>
          <w:p>
            <w:pPr>
              <w:pStyle w:val="14"/>
              <w:spacing w:before="36"/>
              <w:ind w:right="406"/>
              <w:jc w:val="right"/>
              <w:rPr>
                <w:rFonts w:ascii="Times New Roman"/>
                <w:sz w:val="21"/>
              </w:rPr>
            </w:pPr>
            <w:r>
              <w:rPr>
                <w:rFonts w:ascii="Times New Roman"/>
                <w:w w:val="99"/>
                <w:sz w:val="21"/>
              </w:rPr>
              <w:t>8</w:t>
            </w:r>
          </w:p>
        </w:tc>
        <w:tc>
          <w:tcPr>
            <w:tcW w:w="1525" w:type="dxa"/>
          </w:tcPr>
          <w:p>
            <w:pPr>
              <w:pStyle w:val="14"/>
              <w:spacing w:before="36"/>
              <w:ind w:right="251"/>
              <w:jc w:val="right"/>
              <w:rPr>
                <w:rFonts w:ascii="Times New Roman"/>
                <w:sz w:val="21"/>
              </w:rPr>
            </w:pPr>
            <w:r>
              <w:rPr>
                <w:rFonts w:ascii="Times New Roman"/>
                <w:w w:val="95"/>
                <w:sz w:val="21"/>
              </w:rPr>
              <w:t>5151810.72</w:t>
            </w:r>
          </w:p>
        </w:tc>
        <w:tc>
          <w:tcPr>
            <w:tcW w:w="1429" w:type="dxa"/>
          </w:tcPr>
          <w:p>
            <w:pPr>
              <w:pStyle w:val="14"/>
              <w:spacing w:before="36"/>
              <w:ind w:left="115" w:right="108"/>
              <w:rPr>
                <w:rFonts w:ascii="Times New Roman"/>
                <w:sz w:val="21"/>
              </w:rPr>
            </w:pPr>
            <w:r>
              <w:rPr>
                <w:rFonts w:ascii="Times New Roman"/>
                <w:sz w:val="21"/>
              </w:rPr>
              <w:t>44436210.20</w:t>
            </w:r>
          </w:p>
        </w:tc>
        <w:tc>
          <w:tcPr>
            <w:tcW w:w="708" w:type="dxa"/>
          </w:tcPr>
          <w:p>
            <w:pPr>
              <w:pStyle w:val="14"/>
              <w:spacing w:before="36"/>
              <w:ind w:left="249"/>
              <w:jc w:val="left"/>
              <w:rPr>
                <w:rFonts w:ascii="Times New Roman"/>
                <w:sz w:val="21"/>
              </w:rPr>
            </w:pPr>
            <w:r>
              <w:rPr>
                <w:rFonts w:ascii="Times New Roman"/>
                <w:sz w:val="21"/>
              </w:rPr>
              <w:t>16</w:t>
            </w:r>
          </w:p>
        </w:tc>
        <w:tc>
          <w:tcPr>
            <w:tcW w:w="1475" w:type="dxa"/>
          </w:tcPr>
          <w:p>
            <w:pPr>
              <w:pStyle w:val="14"/>
              <w:spacing w:before="36"/>
              <w:ind w:left="191" w:right="184"/>
              <w:rPr>
                <w:rFonts w:ascii="Times New Roman"/>
                <w:sz w:val="21"/>
              </w:rPr>
            </w:pPr>
            <w:r>
              <w:rPr>
                <w:rFonts w:ascii="Times New Roman"/>
                <w:sz w:val="21"/>
              </w:rPr>
              <w:t>5153263.71</w:t>
            </w:r>
          </w:p>
        </w:tc>
        <w:tc>
          <w:tcPr>
            <w:tcW w:w="1504" w:type="dxa"/>
          </w:tcPr>
          <w:p>
            <w:pPr>
              <w:pStyle w:val="14"/>
              <w:spacing w:before="36"/>
              <w:ind w:right="188"/>
              <w:jc w:val="right"/>
              <w:rPr>
                <w:rFonts w:ascii="Times New Roman"/>
                <w:sz w:val="21"/>
              </w:rPr>
            </w:pPr>
            <w:r>
              <w:rPr>
                <w:rFonts w:ascii="Times New Roman"/>
                <w:w w:val="95"/>
                <w:sz w:val="21"/>
              </w:rPr>
              <w:t>44436396.52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43" w:type="dxa"/>
            <w:vMerge w:val="continue"/>
            <w:tcBorders>
              <w:top w:val="nil"/>
            </w:tcBorders>
          </w:tcPr>
          <w:p>
            <w:pPr>
              <w:rPr>
                <w:sz w:val="2"/>
                <w:szCs w:val="2"/>
              </w:rPr>
            </w:pPr>
          </w:p>
        </w:tc>
        <w:tc>
          <w:tcPr>
            <w:tcW w:w="7579" w:type="dxa"/>
            <w:gridSpan w:val="6"/>
          </w:tcPr>
          <w:p>
            <w:pPr>
              <w:pStyle w:val="14"/>
              <w:spacing w:before="21"/>
              <w:ind w:left="2665" w:right="2655"/>
              <w:rPr>
                <w:rFonts w:ascii="Times New Roman" w:eastAsia="Times New Roman"/>
                <w:sz w:val="21"/>
              </w:rPr>
            </w:pPr>
            <w:r>
              <w:rPr>
                <w:sz w:val="21"/>
              </w:rPr>
              <w:t>开采标高：</w:t>
            </w:r>
            <w:r>
              <w:rPr>
                <w:rFonts w:ascii="Times New Roman" w:eastAsia="Times New Roman"/>
                <w:sz w:val="21"/>
              </w:rPr>
              <w:t xml:space="preserve">370 </w:t>
            </w:r>
            <w:r>
              <w:rPr>
                <w:sz w:val="21"/>
              </w:rPr>
              <w:t>至</w:t>
            </w:r>
            <w:r>
              <w:rPr>
                <w:rFonts w:ascii="Times New Roman" w:eastAsia="Times New Roman"/>
                <w:sz w:val="21"/>
              </w:rPr>
              <w:t>-210m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restart"/>
          </w:tcPr>
          <w:p>
            <w:pPr>
              <w:pStyle w:val="14"/>
              <w:jc w:val="left"/>
              <w:rPr>
                <w:b/>
                <w:sz w:val="22"/>
              </w:rPr>
            </w:pPr>
          </w:p>
          <w:p>
            <w:pPr>
              <w:pStyle w:val="14"/>
              <w:spacing w:before="12"/>
              <w:jc w:val="left"/>
              <w:rPr>
                <w:b/>
                <w:sz w:val="30"/>
              </w:rPr>
            </w:pPr>
          </w:p>
          <w:p>
            <w:pPr>
              <w:pStyle w:val="14"/>
              <w:ind w:left="346" w:right="337"/>
              <w:rPr>
                <w:rFonts w:ascii="Times New Roman"/>
                <w:sz w:val="21"/>
              </w:rPr>
            </w:pPr>
            <w:r>
              <w:rPr>
                <w:rFonts w:ascii="Times New Roman"/>
                <w:sz w:val="21"/>
              </w:rPr>
              <w:t>20</w:t>
            </w:r>
          </w:p>
        </w:tc>
        <w:tc>
          <w:tcPr>
            <w:tcW w:w="938" w:type="dxa"/>
          </w:tcPr>
          <w:p>
            <w:pPr>
              <w:pStyle w:val="14"/>
              <w:spacing w:before="35"/>
              <w:ind w:right="406"/>
              <w:jc w:val="right"/>
              <w:rPr>
                <w:rFonts w:ascii="Times New Roman"/>
                <w:sz w:val="21"/>
              </w:rPr>
            </w:pPr>
            <w:r>
              <w:rPr>
                <w:rFonts w:ascii="Times New Roman"/>
                <w:w w:val="99"/>
                <w:sz w:val="21"/>
              </w:rPr>
              <w:t>1</w:t>
            </w:r>
          </w:p>
        </w:tc>
        <w:tc>
          <w:tcPr>
            <w:tcW w:w="1525" w:type="dxa"/>
          </w:tcPr>
          <w:p>
            <w:pPr>
              <w:pStyle w:val="14"/>
              <w:spacing w:before="35"/>
              <w:ind w:right="251"/>
              <w:jc w:val="right"/>
              <w:rPr>
                <w:rFonts w:ascii="Times New Roman"/>
                <w:sz w:val="21"/>
              </w:rPr>
            </w:pPr>
            <w:r>
              <w:rPr>
                <w:rFonts w:ascii="Times New Roman"/>
                <w:w w:val="95"/>
                <w:sz w:val="21"/>
              </w:rPr>
              <w:t>5153365.16</w:t>
            </w:r>
          </w:p>
        </w:tc>
        <w:tc>
          <w:tcPr>
            <w:tcW w:w="1429" w:type="dxa"/>
          </w:tcPr>
          <w:p>
            <w:pPr>
              <w:pStyle w:val="14"/>
              <w:spacing w:before="35"/>
              <w:ind w:left="115" w:right="108"/>
              <w:rPr>
                <w:rFonts w:ascii="Times New Roman"/>
                <w:sz w:val="21"/>
              </w:rPr>
            </w:pPr>
            <w:r>
              <w:rPr>
                <w:rFonts w:ascii="Times New Roman"/>
                <w:sz w:val="21"/>
              </w:rPr>
              <w:t>44437595.11</w:t>
            </w:r>
          </w:p>
        </w:tc>
        <w:tc>
          <w:tcPr>
            <w:tcW w:w="708" w:type="dxa"/>
          </w:tcPr>
          <w:p>
            <w:pPr>
              <w:pStyle w:val="14"/>
              <w:spacing w:before="35"/>
              <w:ind w:left="300"/>
              <w:jc w:val="left"/>
              <w:rPr>
                <w:rFonts w:ascii="Times New Roman"/>
                <w:sz w:val="21"/>
              </w:rPr>
            </w:pPr>
            <w:r>
              <w:rPr>
                <w:rFonts w:ascii="Times New Roman"/>
                <w:w w:val="99"/>
                <w:sz w:val="21"/>
              </w:rPr>
              <w:t>5</w:t>
            </w:r>
          </w:p>
        </w:tc>
        <w:tc>
          <w:tcPr>
            <w:tcW w:w="1475" w:type="dxa"/>
          </w:tcPr>
          <w:p>
            <w:pPr>
              <w:pStyle w:val="14"/>
              <w:spacing w:before="35"/>
              <w:ind w:left="191" w:right="184"/>
              <w:rPr>
                <w:rFonts w:ascii="Times New Roman"/>
                <w:sz w:val="21"/>
              </w:rPr>
            </w:pPr>
            <w:r>
              <w:rPr>
                <w:rFonts w:ascii="Times New Roman"/>
                <w:sz w:val="21"/>
              </w:rPr>
              <w:t>5152867.73</w:t>
            </w:r>
          </w:p>
        </w:tc>
        <w:tc>
          <w:tcPr>
            <w:tcW w:w="1504" w:type="dxa"/>
          </w:tcPr>
          <w:p>
            <w:pPr>
              <w:pStyle w:val="14"/>
              <w:spacing w:before="35"/>
              <w:ind w:right="188"/>
              <w:jc w:val="right"/>
              <w:rPr>
                <w:rFonts w:ascii="Times New Roman"/>
                <w:sz w:val="21"/>
              </w:rPr>
            </w:pPr>
            <w:r>
              <w:rPr>
                <w:rFonts w:ascii="Times New Roman"/>
                <w:w w:val="95"/>
                <w:sz w:val="21"/>
              </w:rPr>
              <w:t>44436062.19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43" w:type="dxa"/>
            <w:vMerge w:val="continue"/>
            <w:tcBorders>
              <w:top w:val="nil"/>
            </w:tcBorders>
          </w:tcPr>
          <w:p>
            <w:pPr>
              <w:rPr>
                <w:sz w:val="2"/>
                <w:szCs w:val="2"/>
              </w:rPr>
            </w:pPr>
          </w:p>
        </w:tc>
        <w:tc>
          <w:tcPr>
            <w:tcW w:w="938" w:type="dxa"/>
          </w:tcPr>
          <w:p>
            <w:pPr>
              <w:pStyle w:val="14"/>
              <w:spacing w:before="34"/>
              <w:ind w:right="406"/>
              <w:jc w:val="right"/>
              <w:rPr>
                <w:rFonts w:ascii="Times New Roman"/>
                <w:sz w:val="21"/>
              </w:rPr>
            </w:pPr>
            <w:r>
              <w:rPr>
                <w:rFonts w:ascii="Times New Roman"/>
                <w:w w:val="99"/>
                <w:sz w:val="21"/>
              </w:rPr>
              <w:t>2</w:t>
            </w:r>
          </w:p>
        </w:tc>
        <w:tc>
          <w:tcPr>
            <w:tcW w:w="1525" w:type="dxa"/>
          </w:tcPr>
          <w:p>
            <w:pPr>
              <w:pStyle w:val="14"/>
              <w:spacing w:before="34"/>
              <w:ind w:right="251"/>
              <w:jc w:val="right"/>
              <w:rPr>
                <w:rFonts w:ascii="Times New Roman"/>
                <w:sz w:val="21"/>
              </w:rPr>
            </w:pPr>
            <w:r>
              <w:rPr>
                <w:rFonts w:ascii="Times New Roman"/>
                <w:w w:val="95"/>
                <w:sz w:val="21"/>
              </w:rPr>
              <w:t>5152040.64</w:t>
            </w:r>
          </w:p>
        </w:tc>
        <w:tc>
          <w:tcPr>
            <w:tcW w:w="1429" w:type="dxa"/>
          </w:tcPr>
          <w:p>
            <w:pPr>
              <w:pStyle w:val="14"/>
              <w:spacing w:before="34"/>
              <w:ind w:left="115" w:right="108"/>
              <w:rPr>
                <w:rFonts w:ascii="Times New Roman"/>
                <w:sz w:val="21"/>
              </w:rPr>
            </w:pPr>
            <w:r>
              <w:rPr>
                <w:rFonts w:ascii="Times New Roman"/>
                <w:sz w:val="21"/>
              </w:rPr>
              <w:t>44437595.11</w:t>
            </w:r>
          </w:p>
        </w:tc>
        <w:tc>
          <w:tcPr>
            <w:tcW w:w="708" w:type="dxa"/>
          </w:tcPr>
          <w:p>
            <w:pPr>
              <w:pStyle w:val="14"/>
              <w:spacing w:before="34"/>
              <w:ind w:left="300"/>
              <w:jc w:val="left"/>
              <w:rPr>
                <w:rFonts w:ascii="Times New Roman"/>
                <w:sz w:val="21"/>
              </w:rPr>
            </w:pPr>
            <w:r>
              <w:rPr>
                <w:rFonts w:ascii="Times New Roman"/>
                <w:w w:val="99"/>
                <w:sz w:val="21"/>
              </w:rPr>
              <w:t>6</w:t>
            </w:r>
          </w:p>
        </w:tc>
        <w:tc>
          <w:tcPr>
            <w:tcW w:w="1475" w:type="dxa"/>
          </w:tcPr>
          <w:p>
            <w:pPr>
              <w:pStyle w:val="14"/>
              <w:spacing w:before="34"/>
              <w:ind w:left="191" w:right="184"/>
              <w:rPr>
                <w:rFonts w:ascii="Times New Roman"/>
                <w:sz w:val="21"/>
              </w:rPr>
            </w:pPr>
            <w:r>
              <w:rPr>
                <w:rFonts w:ascii="Times New Roman"/>
                <w:sz w:val="21"/>
              </w:rPr>
              <w:t>5152920.73</w:t>
            </w:r>
          </w:p>
        </w:tc>
        <w:tc>
          <w:tcPr>
            <w:tcW w:w="1504" w:type="dxa"/>
          </w:tcPr>
          <w:p>
            <w:pPr>
              <w:pStyle w:val="14"/>
              <w:spacing w:before="34"/>
              <w:ind w:right="188"/>
              <w:jc w:val="right"/>
              <w:rPr>
                <w:rFonts w:ascii="Times New Roman"/>
                <w:sz w:val="21"/>
              </w:rPr>
            </w:pPr>
            <w:r>
              <w:rPr>
                <w:rFonts w:ascii="Times New Roman"/>
                <w:w w:val="95"/>
                <w:sz w:val="21"/>
              </w:rPr>
              <w:t>44436222.20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continue"/>
            <w:tcBorders>
              <w:top w:val="nil"/>
            </w:tcBorders>
          </w:tcPr>
          <w:p>
            <w:pPr>
              <w:rPr>
                <w:sz w:val="2"/>
                <w:szCs w:val="2"/>
              </w:rPr>
            </w:pPr>
          </w:p>
        </w:tc>
        <w:tc>
          <w:tcPr>
            <w:tcW w:w="938" w:type="dxa"/>
          </w:tcPr>
          <w:p>
            <w:pPr>
              <w:pStyle w:val="14"/>
              <w:spacing w:before="34"/>
              <w:ind w:right="406"/>
              <w:jc w:val="right"/>
              <w:rPr>
                <w:rFonts w:ascii="Times New Roman"/>
                <w:sz w:val="21"/>
              </w:rPr>
            </w:pPr>
            <w:r>
              <w:rPr>
                <w:rFonts w:ascii="Times New Roman"/>
                <w:w w:val="99"/>
                <w:sz w:val="21"/>
              </w:rPr>
              <w:t>3</w:t>
            </w:r>
          </w:p>
        </w:tc>
        <w:tc>
          <w:tcPr>
            <w:tcW w:w="1525" w:type="dxa"/>
          </w:tcPr>
          <w:p>
            <w:pPr>
              <w:pStyle w:val="14"/>
              <w:spacing w:before="34"/>
              <w:ind w:right="251"/>
              <w:jc w:val="right"/>
              <w:rPr>
                <w:rFonts w:ascii="Times New Roman"/>
                <w:sz w:val="21"/>
              </w:rPr>
            </w:pPr>
            <w:r>
              <w:rPr>
                <w:rFonts w:ascii="Times New Roman"/>
                <w:w w:val="95"/>
                <w:sz w:val="21"/>
              </w:rPr>
              <w:t>5152236.48</w:t>
            </w:r>
          </w:p>
        </w:tc>
        <w:tc>
          <w:tcPr>
            <w:tcW w:w="1429" w:type="dxa"/>
          </w:tcPr>
          <w:p>
            <w:pPr>
              <w:pStyle w:val="14"/>
              <w:spacing w:before="34"/>
              <w:ind w:left="115" w:right="108"/>
              <w:rPr>
                <w:rFonts w:ascii="Times New Roman"/>
                <w:sz w:val="21"/>
              </w:rPr>
            </w:pPr>
            <w:r>
              <w:rPr>
                <w:rFonts w:ascii="Times New Roman"/>
                <w:sz w:val="21"/>
              </w:rPr>
              <w:t>44435636.70</w:t>
            </w:r>
          </w:p>
        </w:tc>
        <w:tc>
          <w:tcPr>
            <w:tcW w:w="708" w:type="dxa"/>
          </w:tcPr>
          <w:p>
            <w:pPr>
              <w:pStyle w:val="14"/>
              <w:spacing w:before="34"/>
              <w:ind w:left="300"/>
              <w:jc w:val="left"/>
              <w:rPr>
                <w:rFonts w:ascii="Times New Roman"/>
                <w:sz w:val="21"/>
              </w:rPr>
            </w:pPr>
            <w:r>
              <w:rPr>
                <w:rFonts w:ascii="Times New Roman"/>
                <w:w w:val="99"/>
                <w:sz w:val="21"/>
              </w:rPr>
              <w:t>7</w:t>
            </w:r>
          </w:p>
        </w:tc>
        <w:tc>
          <w:tcPr>
            <w:tcW w:w="1475" w:type="dxa"/>
          </w:tcPr>
          <w:p>
            <w:pPr>
              <w:pStyle w:val="14"/>
              <w:spacing w:before="34"/>
              <w:ind w:left="191" w:right="184"/>
              <w:rPr>
                <w:rFonts w:ascii="Times New Roman"/>
                <w:sz w:val="21"/>
              </w:rPr>
            </w:pPr>
            <w:r>
              <w:rPr>
                <w:rFonts w:ascii="Times New Roman"/>
                <w:sz w:val="21"/>
              </w:rPr>
              <w:t>5153263.71</w:t>
            </w:r>
          </w:p>
        </w:tc>
        <w:tc>
          <w:tcPr>
            <w:tcW w:w="1504" w:type="dxa"/>
          </w:tcPr>
          <w:p>
            <w:pPr>
              <w:pStyle w:val="14"/>
              <w:spacing w:before="34"/>
              <w:ind w:right="188"/>
              <w:jc w:val="right"/>
              <w:rPr>
                <w:rFonts w:ascii="Times New Roman"/>
                <w:sz w:val="21"/>
              </w:rPr>
            </w:pPr>
            <w:r>
              <w:rPr>
                <w:rFonts w:ascii="Times New Roman"/>
                <w:w w:val="95"/>
                <w:sz w:val="21"/>
              </w:rPr>
              <w:t>44436396.52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continue"/>
            <w:tcBorders>
              <w:top w:val="nil"/>
            </w:tcBorders>
          </w:tcPr>
          <w:p>
            <w:pPr>
              <w:rPr>
                <w:sz w:val="2"/>
                <w:szCs w:val="2"/>
              </w:rPr>
            </w:pPr>
          </w:p>
        </w:tc>
        <w:tc>
          <w:tcPr>
            <w:tcW w:w="938" w:type="dxa"/>
          </w:tcPr>
          <w:p>
            <w:pPr>
              <w:pStyle w:val="14"/>
              <w:spacing w:before="34"/>
              <w:ind w:right="406"/>
              <w:jc w:val="right"/>
              <w:rPr>
                <w:rFonts w:ascii="Times New Roman"/>
                <w:sz w:val="21"/>
              </w:rPr>
            </w:pPr>
            <w:r>
              <w:rPr>
                <w:rFonts w:ascii="Times New Roman"/>
                <w:w w:val="99"/>
                <w:sz w:val="21"/>
              </w:rPr>
              <w:t>4</w:t>
            </w:r>
          </w:p>
        </w:tc>
        <w:tc>
          <w:tcPr>
            <w:tcW w:w="1525" w:type="dxa"/>
          </w:tcPr>
          <w:p>
            <w:pPr>
              <w:pStyle w:val="14"/>
              <w:spacing w:before="34"/>
              <w:ind w:right="251"/>
              <w:jc w:val="right"/>
              <w:rPr>
                <w:rFonts w:ascii="Times New Roman"/>
                <w:sz w:val="21"/>
              </w:rPr>
            </w:pPr>
            <w:r>
              <w:rPr>
                <w:rFonts w:ascii="Times New Roman"/>
                <w:w w:val="95"/>
                <w:sz w:val="21"/>
              </w:rPr>
              <w:t>5152924.72</w:t>
            </w:r>
          </w:p>
        </w:tc>
        <w:tc>
          <w:tcPr>
            <w:tcW w:w="1429" w:type="dxa"/>
          </w:tcPr>
          <w:p>
            <w:pPr>
              <w:pStyle w:val="14"/>
              <w:spacing w:before="34"/>
              <w:ind w:left="115" w:right="108"/>
              <w:rPr>
                <w:rFonts w:ascii="Times New Roman"/>
                <w:sz w:val="21"/>
              </w:rPr>
            </w:pPr>
            <w:r>
              <w:rPr>
                <w:rFonts w:ascii="Times New Roman"/>
                <w:sz w:val="21"/>
              </w:rPr>
              <w:t>44435432.19</w:t>
            </w:r>
          </w:p>
        </w:tc>
        <w:tc>
          <w:tcPr>
            <w:tcW w:w="708" w:type="dxa"/>
          </w:tcPr>
          <w:p>
            <w:pPr>
              <w:pStyle w:val="14"/>
              <w:jc w:val="left"/>
              <w:rPr>
                <w:rFonts w:ascii="Times New Roman"/>
                <w:sz w:val="20"/>
              </w:rPr>
            </w:pPr>
          </w:p>
        </w:tc>
        <w:tc>
          <w:tcPr>
            <w:tcW w:w="1475" w:type="dxa"/>
          </w:tcPr>
          <w:p>
            <w:pPr>
              <w:pStyle w:val="14"/>
              <w:jc w:val="left"/>
              <w:rPr>
                <w:rFonts w:ascii="Times New Roman"/>
                <w:sz w:val="20"/>
              </w:rPr>
            </w:pPr>
          </w:p>
        </w:tc>
        <w:tc>
          <w:tcPr>
            <w:tcW w:w="1504" w:type="dxa"/>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43" w:type="dxa"/>
            <w:vMerge w:val="continue"/>
            <w:tcBorders>
              <w:top w:val="nil"/>
            </w:tcBorders>
          </w:tcPr>
          <w:p>
            <w:pPr>
              <w:rPr>
                <w:sz w:val="2"/>
                <w:szCs w:val="2"/>
              </w:rPr>
            </w:pPr>
          </w:p>
        </w:tc>
        <w:tc>
          <w:tcPr>
            <w:tcW w:w="7579" w:type="dxa"/>
            <w:gridSpan w:val="6"/>
          </w:tcPr>
          <w:p>
            <w:pPr>
              <w:pStyle w:val="14"/>
              <w:spacing w:before="22"/>
              <w:ind w:left="2665" w:right="2655"/>
              <w:rPr>
                <w:rFonts w:ascii="Times New Roman" w:eastAsia="Times New Roman"/>
                <w:sz w:val="21"/>
              </w:rPr>
            </w:pPr>
            <w:r>
              <w:rPr>
                <w:sz w:val="21"/>
              </w:rPr>
              <w:t>开采标高：</w:t>
            </w:r>
            <w:r>
              <w:rPr>
                <w:rFonts w:ascii="Times New Roman" w:eastAsia="Times New Roman"/>
                <w:sz w:val="21"/>
              </w:rPr>
              <w:t xml:space="preserve">345 </w:t>
            </w:r>
            <w:r>
              <w:rPr>
                <w:sz w:val="21"/>
              </w:rPr>
              <w:t>至</w:t>
            </w:r>
            <w:r>
              <w:rPr>
                <w:rFonts w:ascii="Times New Roman" w:eastAsia="Times New Roman"/>
                <w:sz w:val="21"/>
              </w:rPr>
              <w:t>-250m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restart"/>
          </w:tcPr>
          <w:p>
            <w:pPr>
              <w:pStyle w:val="14"/>
              <w:jc w:val="left"/>
              <w:rPr>
                <w:b/>
                <w:sz w:val="22"/>
              </w:rPr>
            </w:pPr>
          </w:p>
          <w:p>
            <w:pPr>
              <w:pStyle w:val="14"/>
              <w:jc w:val="left"/>
              <w:rPr>
                <w:b/>
                <w:sz w:val="22"/>
              </w:rPr>
            </w:pPr>
          </w:p>
          <w:p>
            <w:pPr>
              <w:pStyle w:val="14"/>
              <w:spacing w:before="6"/>
              <w:jc w:val="left"/>
              <w:rPr>
                <w:b/>
                <w:sz w:val="21"/>
              </w:rPr>
            </w:pPr>
          </w:p>
          <w:p>
            <w:pPr>
              <w:pStyle w:val="14"/>
              <w:ind w:left="346" w:right="337"/>
              <w:rPr>
                <w:rFonts w:ascii="Times New Roman"/>
                <w:sz w:val="21"/>
              </w:rPr>
            </w:pPr>
            <w:r>
              <w:rPr>
                <w:rFonts w:ascii="Times New Roman"/>
                <w:sz w:val="21"/>
              </w:rPr>
              <w:t>30</w:t>
            </w:r>
          </w:p>
        </w:tc>
        <w:tc>
          <w:tcPr>
            <w:tcW w:w="938" w:type="dxa"/>
          </w:tcPr>
          <w:p>
            <w:pPr>
              <w:pStyle w:val="14"/>
              <w:spacing w:before="35"/>
              <w:ind w:right="406"/>
              <w:jc w:val="right"/>
              <w:rPr>
                <w:rFonts w:ascii="Times New Roman"/>
                <w:sz w:val="21"/>
              </w:rPr>
            </w:pPr>
            <w:r>
              <w:rPr>
                <w:rFonts w:ascii="Times New Roman"/>
                <w:w w:val="99"/>
                <w:sz w:val="21"/>
              </w:rPr>
              <w:t>1</w:t>
            </w:r>
          </w:p>
        </w:tc>
        <w:tc>
          <w:tcPr>
            <w:tcW w:w="1525" w:type="dxa"/>
          </w:tcPr>
          <w:p>
            <w:pPr>
              <w:pStyle w:val="14"/>
              <w:spacing w:before="35"/>
              <w:ind w:right="251"/>
              <w:jc w:val="right"/>
              <w:rPr>
                <w:rFonts w:ascii="Times New Roman"/>
                <w:sz w:val="21"/>
              </w:rPr>
            </w:pPr>
            <w:r>
              <w:rPr>
                <w:rFonts w:ascii="Times New Roman"/>
                <w:w w:val="95"/>
                <w:sz w:val="21"/>
              </w:rPr>
              <w:t>5153365.16</w:t>
            </w:r>
          </w:p>
        </w:tc>
        <w:tc>
          <w:tcPr>
            <w:tcW w:w="1429" w:type="dxa"/>
          </w:tcPr>
          <w:p>
            <w:pPr>
              <w:pStyle w:val="14"/>
              <w:spacing w:before="35"/>
              <w:ind w:left="115" w:right="108"/>
              <w:rPr>
                <w:rFonts w:ascii="Times New Roman"/>
                <w:sz w:val="21"/>
              </w:rPr>
            </w:pPr>
            <w:r>
              <w:rPr>
                <w:rFonts w:ascii="Times New Roman"/>
                <w:sz w:val="21"/>
              </w:rPr>
              <w:t>44437595.11</w:t>
            </w:r>
          </w:p>
        </w:tc>
        <w:tc>
          <w:tcPr>
            <w:tcW w:w="708" w:type="dxa"/>
          </w:tcPr>
          <w:p>
            <w:pPr>
              <w:pStyle w:val="14"/>
              <w:spacing w:before="35"/>
              <w:ind w:left="300"/>
              <w:jc w:val="left"/>
              <w:rPr>
                <w:rFonts w:ascii="Times New Roman"/>
                <w:sz w:val="21"/>
              </w:rPr>
            </w:pPr>
            <w:r>
              <w:rPr>
                <w:rFonts w:ascii="Times New Roman"/>
                <w:w w:val="99"/>
                <w:sz w:val="21"/>
              </w:rPr>
              <w:t>6</w:t>
            </w:r>
          </w:p>
        </w:tc>
        <w:tc>
          <w:tcPr>
            <w:tcW w:w="1475" w:type="dxa"/>
          </w:tcPr>
          <w:p>
            <w:pPr>
              <w:pStyle w:val="14"/>
              <w:spacing w:before="35"/>
              <w:ind w:left="191" w:right="184"/>
              <w:rPr>
                <w:rFonts w:ascii="Times New Roman"/>
                <w:sz w:val="21"/>
              </w:rPr>
            </w:pPr>
            <w:r>
              <w:rPr>
                <w:rFonts w:ascii="Times New Roman"/>
                <w:sz w:val="21"/>
              </w:rPr>
              <w:t>5151478.18</w:t>
            </w:r>
          </w:p>
        </w:tc>
        <w:tc>
          <w:tcPr>
            <w:tcW w:w="1504" w:type="dxa"/>
          </w:tcPr>
          <w:p>
            <w:pPr>
              <w:pStyle w:val="14"/>
              <w:spacing w:before="35"/>
              <w:ind w:right="188"/>
              <w:jc w:val="right"/>
              <w:rPr>
                <w:rFonts w:ascii="Times New Roman"/>
                <w:sz w:val="21"/>
              </w:rPr>
            </w:pPr>
            <w:r>
              <w:rPr>
                <w:rFonts w:ascii="Times New Roman"/>
                <w:w w:val="95"/>
                <w:sz w:val="21"/>
              </w:rPr>
              <w:t>44436128.07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43" w:type="dxa"/>
            <w:vMerge w:val="continue"/>
            <w:tcBorders>
              <w:top w:val="nil"/>
            </w:tcBorders>
          </w:tcPr>
          <w:p>
            <w:pPr>
              <w:rPr>
                <w:sz w:val="2"/>
                <w:szCs w:val="2"/>
              </w:rPr>
            </w:pPr>
          </w:p>
        </w:tc>
        <w:tc>
          <w:tcPr>
            <w:tcW w:w="938" w:type="dxa"/>
          </w:tcPr>
          <w:p>
            <w:pPr>
              <w:pStyle w:val="14"/>
              <w:spacing w:before="35"/>
              <w:ind w:right="406"/>
              <w:jc w:val="right"/>
              <w:rPr>
                <w:rFonts w:ascii="Times New Roman"/>
                <w:sz w:val="21"/>
              </w:rPr>
            </w:pPr>
            <w:r>
              <w:rPr>
                <w:rFonts w:ascii="Times New Roman"/>
                <w:w w:val="99"/>
                <w:sz w:val="21"/>
              </w:rPr>
              <w:t>2</w:t>
            </w:r>
          </w:p>
        </w:tc>
        <w:tc>
          <w:tcPr>
            <w:tcW w:w="1525" w:type="dxa"/>
          </w:tcPr>
          <w:p>
            <w:pPr>
              <w:pStyle w:val="14"/>
              <w:spacing w:before="35"/>
              <w:ind w:right="251"/>
              <w:jc w:val="right"/>
              <w:rPr>
                <w:rFonts w:ascii="Times New Roman"/>
                <w:sz w:val="21"/>
              </w:rPr>
            </w:pPr>
            <w:r>
              <w:rPr>
                <w:rFonts w:ascii="Times New Roman"/>
                <w:w w:val="95"/>
                <w:sz w:val="21"/>
              </w:rPr>
              <w:t>5152495.07</w:t>
            </w:r>
          </w:p>
        </w:tc>
        <w:tc>
          <w:tcPr>
            <w:tcW w:w="1429" w:type="dxa"/>
          </w:tcPr>
          <w:p>
            <w:pPr>
              <w:pStyle w:val="14"/>
              <w:spacing w:before="35"/>
              <w:ind w:left="115" w:right="108"/>
              <w:rPr>
                <w:rFonts w:ascii="Times New Roman"/>
                <w:sz w:val="21"/>
              </w:rPr>
            </w:pPr>
            <w:r>
              <w:rPr>
                <w:rFonts w:ascii="Times New Roman"/>
                <w:sz w:val="21"/>
              </w:rPr>
              <w:t>44437595.11</w:t>
            </w:r>
          </w:p>
        </w:tc>
        <w:tc>
          <w:tcPr>
            <w:tcW w:w="708" w:type="dxa"/>
          </w:tcPr>
          <w:p>
            <w:pPr>
              <w:pStyle w:val="14"/>
              <w:spacing w:before="35"/>
              <w:ind w:left="300"/>
              <w:jc w:val="left"/>
              <w:rPr>
                <w:rFonts w:ascii="Times New Roman"/>
                <w:sz w:val="21"/>
              </w:rPr>
            </w:pPr>
            <w:r>
              <w:rPr>
                <w:rFonts w:ascii="Times New Roman"/>
                <w:w w:val="99"/>
                <w:sz w:val="21"/>
              </w:rPr>
              <w:t>7</w:t>
            </w:r>
          </w:p>
        </w:tc>
        <w:tc>
          <w:tcPr>
            <w:tcW w:w="1475" w:type="dxa"/>
          </w:tcPr>
          <w:p>
            <w:pPr>
              <w:pStyle w:val="14"/>
              <w:spacing w:before="35"/>
              <w:ind w:left="191" w:right="184"/>
              <w:rPr>
                <w:rFonts w:ascii="Times New Roman"/>
                <w:sz w:val="21"/>
              </w:rPr>
            </w:pPr>
            <w:r>
              <w:rPr>
                <w:rFonts w:ascii="Times New Roman"/>
                <w:sz w:val="21"/>
              </w:rPr>
              <w:t>5152091.72</w:t>
            </w:r>
          </w:p>
        </w:tc>
        <w:tc>
          <w:tcPr>
            <w:tcW w:w="1504" w:type="dxa"/>
          </w:tcPr>
          <w:p>
            <w:pPr>
              <w:pStyle w:val="14"/>
              <w:spacing w:before="35"/>
              <w:ind w:right="188"/>
              <w:jc w:val="right"/>
              <w:rPr>
                <w:rFonts w:ascii="Times New Roman"/>
                <w:sz w:val="21"/>
              </w:rPr>
            </w:pPr>
            <w:r>
              <w:rPr>
                <w:rFonts w:ascii="Times New Roman"/>
                <w:w w:val="95"/>
                <w:sz w:val="21"/>
              </w:rPr>
              <w:t>44435726.20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continue"/>
            <w:tcBorders>
              <w:top w:val="nil"/>
            </w:tcBorders>
          </w:tcPr>
          <w:p>
            <w:pPr>
              <w:rPr>
                <w:sz w:val="2"/>
                <w:szCs w:val="2"/>
              </w:rPr>
            </w:pPr>
          </w:p>
        </w:tc>
        <w:tc>
          <w:tcPr>
            <w:tcW w:w="938" w:type="dxa"/>
          </w:tcPr>
          <w:p>
            <w:pPr>
              <w:pStyle w:val="14"/>
              <w:spacing w:before="34"/>
              <w:ind w:right="406"/>
              <w:jc w:val="right"/>
              <w:rPr>
                <w:rFonts w:ascii="Times New Roman"/>
                <w:sz w:val="21"/>
              </w:rPr>
            </w:pPr>
            <w:r>
              <w:rPr>
                <w:rFonts w:ascii="Times New Roman"/>
                <w:w w:val="99"/>
                <w:sz w:val="21"/>
              </w:rPr>
              <w:t>3</w:t>
            </w:r>
          </w:p>
        </w:tc>
        <w:tc>
          <w:tcPr>
            <w:tcW w:w="1525" w:type="dxa"/>
          </w:tcPr>
          <w:p>
            <w:pPr>
              <w:pStyle w:val="14"/>
              <w:spacing w:before="34"/>
              <w:ind w:right="251"/>
              <w:jc w:val="right"/>
              <w:rPr>
                <w:rFonts w:ascii="Times New Roman"/>
                <w:sz w:val="21"/>
              </w:rPr>
            </w:pPr>
            <w:r>
              <w:rPr>
                <w:rFonts w:ascii="Times New Roman"/>
                <w:w w:val="95"/>
                <w:sz w:val="21"/>
              </w:rPr>
              <w:t>5152416.73</w:t>
            </w:r>
          </w:p>
        </w:tc>
        <w:tc>
          <w:tcPr>
            <w:tcW w:w="1429" w:type="dxa"/>
          </w:tcPr>
          <w:p>
            <w:pPr>
              <w:pStyle w:val="14"/>
              <w:spacing w:before="34"/>
              <w:ind w:left="115" w:right="108"/>
              <w:rPr>
                <w:rFonts w:ascii="Times New Roman"/>
                <w:sz w:val="21"/>
              </w:rPr>
            </w:pPr>
            <w:r>
              <w:rPr>
                <w:rFonts w:ascii="Times New Roman"/>
                <w:sz w:val="21"/>
              </w:rPr>
              <w:t>44437052.20</w:t>
            </w:r>
          </w:p>
        </w:tc>
        <w:tc>
          <w:tcPr>
            <w:tcW w:w="708" w:type="dxa"/>
          </w:tcPr>
          <w:p>
            <w:pPr>
              <w:pStyle w:val="14"/>
              <w:spacing w:before="34"/>
              <w:ind w:left="300"/>
              <w:jc w:val="left"/>
              <w:rPr>
                <w:rFonts w:ascii="Times New Roman"/>
                <w:sz w:val="21"/>
              </w:rPr>
            </w:pPr>
            <w:r>
              <w:rPr>
                <w:rFonts w:ascii="Times New Roman"/>
                <w:w w:val="99"/>
                <w:sz w:val="21"/>
              </w:rPr>
              <w:t>8</w:t>
            </w:r>
          </w:p>
        </w:tc>
        <w:tc>
          <w:tcPr>
            <w:tcW w:w="1475" w:type="dxa"/>
          </w:tcPr>
          <w:p>
            <w:pPr>
              <w:pStyle w:val="14"/>
              <w:spacing w:before="34"/>
              <w:ind w:left="191" w:right="184"/>
              <w:rPr>
                <w:rFonts w:ascii="Times New Roman"/>
                <w:sz w:val="21"/>
              </w:rPr>
            </w:pPr>
            <w:r>
              <w:rPr>
                <w:rFonts w:ascii="Times New Roman"/>
                <w:sz w:val="21"/>
              </w:rPr>
              <w:t>5152129.24</w:t>
            </w:r>
          </w:p>
        </w:tc>
        <w:tc>
          <w:tcPr>
            <w:tcW w:w="1504" w:type="dxa"/>
          </w:tcPr>
          <w:p>
            <w:pPr>
              <w:pStyle w:val="14"/>
              <w:spacing w:before="34"/>
              <w:ind w:right="188"/>
              <w:jc w:val="right"/>
              <w:rPr>
                <w:rFonts w:ascii="Times New Roman"/>
                <w:sz w:val="21"/>
              </w:rPr>
            </w:pPr>
            <w:r>
              <w:rPr>
                <w:rFonts w:ascii="Times New Roman"/>
                <w:w w:val="95"/>
                <w:sz w:val="21"/>
              </w:rPr>
              <w:t>44435819.90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43" w:type="dxa"/>
            <w:vMerge w:val="continue"/>
            <w:tcBorders>
              <w:top w:val="nil"/>
            </w:tcBorders>
          </w:tcPr>
          <w:p>
            <w:pPr>
              <w:rPr>
                <w:sz w:val="2"/>
                <w:szCs w:val="2"/>
              </w:rPr>
            </w:pPr>
          </w:p>
        </w:tc>
        <w:tc>
          <w:tcPr>
            <w:tcW w:w="938" w:type="dxa"/>
          </w:tcPr>
          <w:p>
            <w:pPr>
              <w:pStyle w:val="14"/>
              <w:spacing w:before="34"/>
              <w:ind w:right="406"/>
              <w:jc w:val="right"/>
              <w:rPr>
                <w:rFonts w:ascii="Times New Roman"/>
                <w:sz w:val="21"/>
              </w:rPr>
            </w:pPr>
            <w:r>
              <w:rPr>
                <w:rFonts w:ascii="Times New Roman"/>
                <w:w w:val="99"/>
                <w:sz w:val="21"/>
              </w:rPr>
              <w:t>4</w:t>
            </w:r>
          </w:p>
        </w:tc>
        <w:tc>
          <w:tcPr>
            <w:tcW w:w="1525" w:type="dxa"/>
          </w:tcPr>
          <w:p>
            <w:pPr>
              <w:pStyle w:val="14"/>
              <w:spacing w:before="34"/>
              <w:ind w:right="251"/>
              <w:jc w:val="right"/>
              <w:rPr>
                <w:rFonts w:ascii="Times New Roman"/>
                <w:sz w:val="21"/>
              </w:rPr>
            </w:pPr>
            <w:r>
              <w:rPr>
                <w:rFonts w:ascii="Times New Roman"/>
                <w:w w:val="95"/>
                <w:sz w:val="21"/>
              </w:rPr>
              <w:t>5152017.72</w:t>
            </w:r>
          </w:p>
        </w:tc>
        <w:tc>
          <w:tcPr>
            <w:tcW w:w="1429" w:type="dxa"/>
          </w:tcPr>
          <w:p>
            <w:pPr>
              <w:pStyle w:val="14"/>
              <w:spacing w:before="34"/>
              <w:ind w:left="115" w:right="108"/>
              <w:rPr>
                <w:rFonts w:ascii="Times New Roman"/>
                <w:sz w:val="21"/>
              </w:rPr>
            </w:pPr>
            <w:r>
              <w:rPr>
                <w:rFonts w:ascii="Times New Roman"/>
                <w:sz w:val="21"/>
              </w:rPr>
              <w:t>44436510.20</w:t>
            </w:r>
          </w:p>
        </w:tc>
        <w:tc>
          <w:tcPr>
            <w:tcW w:w="708" w:type="dxa"/>
          </w:tcPr>
          <w:p>
            <w:pPr>
              <w:pStyle w:val="14"/>
              <w:spacing w:before="34"/>
              <w:ind w:left="300"/>
              <w:jc w:val="left"/>
              <w:rPr>
                <w:rFonts w:ascii="Times New Roman"/>
                <w:sz w:val="21"/>
              </w:rPr>
            </w:pPr>
            <w:r>
              <w:rPr>
                <w:rFonts w:ascii="Times New Roman"/>
                <w:w w:val="99"/>
                <w:sz w:val="21"/>
              </w:rPr>
              <w:t>9</w:t>
            </w:r>
          </w:p>
        </w:tc>
        <w:tc>
          <w:tcPr>
            <w:tcW w:w="1475" w:type="dxa"/>
          </w:tcPr>
          <w:p>
            <w:pPr>
              <w:pStyle w:val="14"/>
              <w:spacing w:before="34"/>
              <w:ind w:left="191" w:right="184"/>
              <w:rPr>
                <w:rFonts w:ascii="Times New Roman"/>
                <w:sz w:val="21"/>
              </w:rPr>
            </w:pPr>
            <w:r>
              <w:rPr>
                <w:rFonts w:ascii="Times New Roman"/>
                <w:sz w:val="21"/>
              </w:rPr>
              <w:t>5153263.71</w:t>
            </w:r>
          </w:p>
        </w:tc>
        <w:tc>
          <w:tcPr>
            <w:tcW w:w="1504" w:type="dxa"/>
          </w:tcPr>
          <w:p>
            <w:pPr>
              <w:pStyle w:val="14"/>
              <w:spacing w:before="34"/>
              <w:ind w:right="188"/>
              <w:jc w:val="right"/>
              <w:rPr>
                <w:rFonts w:ascii="Times New Roman"/>
                <w:sz w:val="21"/>
              </w:rPr>
            </w:pPr>
            <w:r>
              <w:rPr>
                <w:rFonts w:ascii="Times New Roman"/>
                <w:w w:val="95"/>
                <w:sz w:val="21"/>
              </w:rPr>
              <w:t>44436396.52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continue"/>
            <w:tcBorders>
              <w:top w:val="nil"/>
            </w:tcBorders>
          </w:tcPr>
          <w:p>
            <w:pPr>
              <w:rPr>
                <w:sz w:val="2"/>
                <w:szCs w:val="2"/>
              </w:rPr>
            </w:pPr>
          </w:p>
        </w:tc>
        <w:tc>
          <w:tcPr>
            <w:tcW w:w="938" w:type="dxa"/>
          </w:tcPr>
          <w:p>
            <w:pPr>
              <w:pStyle w:val="14"/>
              <w:spacing w:before="34"/>
              <w:ind w:right="406"/>
              <w:jc w:val="right"/>
              <w:rPr>
                <w:rFonts w:ascii="Times New Roman"/>
                <w:sz w:val="21"/>
              </w:rPr>
            </w:pPr>
            <w:r>
              <w:rPr>
                <w:rFonts w:ascii="Times New Roman"/>
                <w:w w:val="99"/>
                <w:sz w:val="21"/>
              </w:rPr>
              <w:t>5</w:t>
            </w:r>
          </w:p>
        </w:tc>
        <w:tc>
          <w:tcPr>
            <w:tcW w:w="1525" w:type="dxa"/>
          </w:tcPr>
          <w:p>
            <w:pPr>
              <w:pStyle w:val="14"/>
              <w:spacing w:before="34"/>
              <w:ind w:right="251"/>
              <w:jc w:val="right"/>
              <w:rPr>
                <w:rFonts w:ascii="Times New Roman"/>
                <w:sz w:val="21"/>
              </w:rPr>
            </w:pPr>
            <w:r>
              <w:rPr>
                <w:rFonts w:ascii="Times New Roman"/>
                <w:w w:val="95"/>
                <w:sz w:val="21"/>
              </w:rPr>
              <w:t>5151491.72</w:t>
            </w:r>
          </w:p>
        </w:tc>
        <w:tc>
          <w:tcPr>
            <w:tcW w:w="1429" w:type="dxa"/>
          </w:tcPr>
          <w:p>
            <w:pPr>
              <w:pStyle w:val="14"/>
              <w:spacing w:before="34"/>
              <w:ind w:left="115" w:right="108"/>
              <w:rPr>
                <w:rFonts w:ascii="Times New Roman"/>
                <w:sz w:val="21"/>
              </w:rPr>
            </w:pPr>
            <w:r>
              <w:rPr>
                <w:rFonts w:ascii="Times New Roman"/>
                <w:sz w:val="21"/>
              </w:rPr>
              <w:t>44436858.20</w:t>
            </w:r>
          </w:p>
        </w:tc>
        <w:tc>
          <w:tcPr>
            <w:tcW w:w="708" w:type="dxa"/>
          </w:tcPr>
          <w:p>
            <w:pPr>
              <w:pStyle w:val="14"/>
              <w:jc w:val="left"/>
              <w:rPr>
                <w:rFonts w:ascii="Times New Roman"/>
                <w:sz w:val="20"/>
              </w:rPr>
            </w:pPr>
          </w:p>
        </w:tc>
        <w:tc>
          <w:tcPr>
            <w:tcW w:w="1475" w:type="dxa"/>
          </w:tcPr>
          <w:p>
            <w:pPr>
              <w:pStyle w:val="14"/>
              <w:jc w:val="left"/>
              <w:rPr>
                <w:rFonts w:ascii="Times New Roman"/>
                <w:sz w:val="20"/>
              </w:rPr>
            </w:pPr>
          </w:p>
        </w:tc>
        <w:tc>
          <w:tcPr>
            <w:tcW w:w="1504" w:type="dxa"/>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continue"/>
            <w:tcBorders>
              <w:top w:val="nil"/>
            </w:tcBorders>
          </w:tcPr>
          <w:p>
            <w:pPr>
              <w:rPr>
                <w:sz w:val="2"/>
                <w:szCs w:val="2"/>
              </w:rPr>
            </w:pPr>
          </w:p>
        </w:tc>
        <w:tc>
          <w:tcPr>
            <w:tcW w:w="7579" w:type="dxa"/>
            <w:gridSpan w:val="6"/>
          </w:tcPr>
          <w:p>
            <w:pPr>
              <w:pStyle w:val="14"/>
              <w:spacing w:before="22"/>
              <w:ind w:left="2665" w:right="2655"/>
              <w:rPr>
                <w:rFonts w:ascii="Times New Roman" w:eastAsia="Times New Roman"/>
                <w:sz w:val="21"/>
              </w:rPr>
            </w:pPr>
            <w:r>
              <w:rPr>
                <w:sz w:val="21"/>
              </w:rPr>
              <w:t>开采标高：</w:t>
            </w:r>
            <w:r>
              <w:rPr>
                <w:rFonts w:ascii="Times New Roman" w:eastAsia="Times New Roman"/>
                <w:sz w:val="21"/>
              </w:rPr>
              <w:t xml:space="preserve">390 </w:t>
            </w:r>
            <w:r>
              <w:rPr>
                <w:sz w:val="21"/>
              </w:rPr>
              <w:t>至</w:t>
            </w:r>
            <w:r>
              <w:rPr>
                <w:rFonts w:ascii="Times New Roman" w:eastAsia="Times New Roman"/>
                <w:sz w:val="21"/>
              </w:rPr>
              <w:t>-210m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43" w:type="dxa"/>
            <w:vMerge w:val="restart"/>
          </w:tcPr>
          <w:p>
            <w:pPr>
              <w:pStyle w:val="14"/>
              <w:spacing w:before="31"/>
              <w:ind w:left="107"/>
              <w:jc w:val="left"/>
              <w:rPr>
                <w:rFonts w:ascii="Times New Roman" w:eastAsia="Times New Roman"/>
                <w:sz w:val="21"/>
              </w:rPr>
            </w:pPr>
            <w:r>
              <w:rPr>
                <w:spacing w:val="-18"/>
                <w:sz w:val="21"/>
              </w:rPr>
              <w:t xml:space="preserve">扣除 </w:t>
            </w:r>
            <w:r>
              <w:rPr>
                <w:rFonts w:ascii="Times New Roman" w:eastAsia="Times New Roman"/>
                <w:sz w:val="21"/>
              </w:rPr>
              <w:t>10</w:t>
            </w:r>
          </w:p>
          <w:p>
            <w:pPr>
              <w:pStyle w:val="14"/>
              <w:spacing w:before="2" w:line="310" w:lineRule="atLeast"/>
              <w:ind w:left="155" w:right="146"/>
              <w:jc w:val="left"/>
              <w:rPr>
                <w:sz w:val="21"/>
              </w:rPr>
            </w:pPr>
            <w:r>
              <w:rPr>
                <w:spacing w:val="-6"/>
                <w:sz w:val="21"/>
              </w:rPr>
              <w:t>层水源</w:t>
            </w:r>
            <w:r>
              <w:rPr>
                <w:spacing w:val="-6"/>
                <w:w w:val="95"/>
                <w:sz w:val="21"/>
              </w:rPr>
              <w:t>地范围</w:t>
            </w:r>
          </w:p>
        </w:tc>
        <w:tc>
          <w:tcPr>
            <w:tcW w:w="938" w:type="dxa"/>
          </w:tcPr>
          <w:p>
            <w:pPr>
              <w:pStyle w:val="14"/>
              <w:spacing w:before="35"/>
              <w:ind w:right="406"/>
              <w:jc w:val="right"/>
              <w:rPr>
                <w:rFonts w:ascii="Times New Roman"/>
                <w:sz w:val="21"/>
              </w:rPr>
            </w:pPr>
            <w:r>
              <w:rPr>
                <w:rFonts w:ascii="Times New Roman"/>
                <w:w w:val="99"/>
                <w:sz w:val="21"/>
              </w:rPr>
              <w:t>1</w:t>
            </w:r>
          </w:p>
        </w:tc>
        <w:tc>
          <w:tcPr>
            <w:tcW w:w="1525" w:type="dxa"/>
          </w:tcPr>
          <w:p>
            <w:pPr>
              <w:pStyle w:val="14"/>
              <w:spacing w:before="35"/>
              <w:ind w:right="251"/>
              <w:jc w:val="right"/>
              <w:rPr>
                <w:rFonts w:ascii="Times New Roman"/>
                <w:sz w:val="21"/>
              </w:rPr>
            </w:pPr>
            <w:r>
              <w:rPr>
                <w:rFonts w:ascii="Times New Roman"/>
                <w:w w:val="95"/>
                <w:sz w:val="21"/>
              </w:rPr>
              <w:t>5151915.72</w:t>
            </w:r>
          </w:p>
        </w:tc>
        <w:tc>
          <w:tcPr>
            <w:tcW w:w="1429" w:type="dxa"/>
          </w:tcPr>
          <w:p>
            <w:pPr>
              <w:pStyle w:val="14"/>
              <w:spacing w:before="35"/>
              <w:ind w:left="115" w:right="108"/>
              <w:rPr>
                <w:rFonts w:ascii="Times New Roman"/>
                <w:sz w:val="21"/>
              </w:rPr>
            </w:pPr>
            <w:r>
              <w:rPr>
                <w:rFonts w:ascii="Times New Roman"/>
                <w:sz w:val="21"/>
              </w:rPr>
              <w:t>44435689.20</w:t>
            </w:r>
          </w:p>
        </w:tc>
        <w:tc>
          <w:tcPr>
            <w:tcW w:w="708" w:type="dxa"/>
          </w:tcPr>
          <w:p>
            <w:pPr>
              <w:pStyle w:val="14"/>
              <w:spacing w:before="35"/>
              <w:ind w:left="300"/>
              <w:jc w:val="left"/>
              <w:rPr>
                <w:rFonts w:ascii="Times New Roman"/>
                <w:sz w:val="21"/>
              </w:rPr>
            </w:pPr>
            <w:r>
              <w:rPr>
                <w:rFonts w:ascii="Times New Roman"/>
                <w:w w:val="99"/>
                <w:sz w:val="21"/>
              </w:rPr>
              <w:t>3</w:t>
            </w:r>
          </w:p>
        </w:tc>
        <w:tc>
          <w:tcPr>
            <w:tcW w:w="1475" w:type="dxa"/>
          </w:tcPr>
          <w:p>
            <w:pPr>
              <w:pStyle w:val="14"/>
              <w:spacing w:before="35"/>
              <w:ind w:left="191" w:right="184"/>
              <w:rPr>
                <w:rFonts w:ascii="Times New Roman"/>
                <w:sz w:val="21"/>
              </w:rPr>
            </w:pPr>
            <w:r>
              <w:rPr>
                <w:rFonts w:ascii="Times New Roman"/>
                <w:sz w:val="21"/>
              </w:rPr>
              <w:t>5152321.72</w:t>
            </w:r>
          </w:p>
        </w:tc>
        <w:tc>
          <w:tcPr>
            <w:tcW w:w="1504" w:type="dxa"/>
          </w:tcPr>
          <w:p>
            <w:pPr>
              <w:pStyle w:val="14"/>
              <w:spacing w:before="35"/>
              <w:ind w:right="188"/>
              <w:jc w:val="right"/>
              <w:rPr>
                <w:rFonts w:ascii="Times New Roman"/>
                <w:sz w:val="21"/>
              </w:rPr>
            </w:pPr>
            <w:r>
              <w:rPr>
                <w:rFonts w:ascii="Times New Roman"/>
                <w:w w:val="95"/>
                <w:sz w:val="21"/>
              </w:rPr>
              <w:t>44435666.19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continue"/>
            <w:tcBorders>
              <w:top w:val="nil"/>
            </w:tcBorders>
          </w:tcPr>
          <w:p>
            <w:pPr>
              <w:rPr>
                <w:sz w:val="2"/>
                <w:szCs w:val="2"/>
              </w:rPr>
            </w:pPr>
          </w:p>
        </w:tc>
        <w:tc>
          <w:tcPr>
            <w:tcW w:w="938" w:type="dxa"/>
          </w:tcPr>
          <w:p>
            <w:pPr>
              <w:pStyle w:val="14"/>
              <w:spacing w:before="35"/>
              <w:ind w:right="406"/>
              <w:jc w:val="right"/>
              <w:rPr>
                <w:rFonts w:ascii="Times New Roman"/>
                <w:sz w:val="21"/>
              </w:rPr>
            </w:pPr>
            <w:r>
              <w:rPr>
                <w:rFonts w:ascii="Times New Roman"/>
                <w:w w:val="99"/>
                <w:sz w:val="21"/>
              </w:rPr>
              <w:t>2</w:t>
            </w:r>
          </w:p>
        </w:tc>
        <w:tc>
          <w:tcPr>
            <w:tcW w:w="1525" w:type="dxa"/>
          </w:tcPr>
          <w:p>
            <w:pPr>
              <w:pStyle w:val="14"/>
              <w:spacing w:before="35"/>
              <w:ind w:right="251"/>
              <w:jc w:val="right"/>
              <w:rPr>
                <w:rFonts w:ascii="Times New Roman"/>
                <w:sz w:val="21"/>
              </w:rPr>
            </w:pPr>
            <w:r>
              <w:rPr>
                <w:rFonts w:ascii="Times New Roman"/>
                <w:w w:val="95"/>
                <w:sz w:val="21"/>
              </w:rPr>
              <w:t>5152261.72</w:t>
            </w:r>
          </w:p>
        </w:tc>
        <w:tc>
          <w:tcPr>
            <w:tcW w:w="1429" w:type="dxa"/>
          </w:tcPr>
          <w:p>
            <w:pPr>
              <w:pStyle w:val="14"/>
              <w:spacing w:before="35"/>
              <w:ind w:left="115" w:right="108"/>
              <w:rPr>
                <w:rFonts w:ascii="Times New Roman"/>
                <w:sz w:val="21"/>
              </w:rPr>
            </w:pPr>
            <w:r>
              <w:rPr>
                <w:rFonts w:ascii="Times New Roman"/>
                <w:sz w:val="21"/>
              </w:rPr>
              <w:t>44435384.19</w:t>
            </w:r>
          </w:p>
        </w:tc>
        <w:tc>
          <w:tcPr>
            <w:tcW w:w="708" w:type="dxa"/>
          </w:tcPr>
          <w:p>
            <w:pPr>
              <w:pStyle w:val="14"/>
              <w:spacing w:before="35"/>
              <w:ind w:left="300"/>
              <w:jc w:val="left"/>
              <w:rPr>
                <w:rFonts w:ascii="Times New Roman"/>
                <w:sz w:val="21"/>
              </w:rPr>
            </w:pPr>
            <w:r>
              <w:rPr>
                <w:rFonts w:ascii="Times New Roman"/>
                <w:w w:val="99"/>
                <w:sz w:val="21"/>
              </w:rPr>
              <w:t>4</w:t>
            </w:r>
          </w:p>
        </w:tc>
        <w:tc>
          <w:tcPr>
            <w:tcW w:w="1475" w:type="dxa"/>
          </w:tcPr>
          <w:p>
            <w:pPr>
              <w:pStyle w:val="14"/>
              <w:jc w:val="left"/>
              <w:rPr>
                <w:rFonts w:ascii="Times New Roman"/>
                <w:sz w:val="20"/>
              </w:rPr>
            </w:pPr>
          </w:p>
        </w:tc>
        <w:tc>
          <w:tcPr>
            <w:tcW w:w="1504" w:type="dxa"/>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43" w:type="dxa"/>
            <w:vMerge w:val="continue"/>
            <w:tcBorders>
              <w:top w:val="nil"/>
            </w:tcBorders>
          </w:tcPr>
          <w:p>
            <w:pPr>
              <w:rPr>
                <w:sz w:val="2"/>
                <w:szCs w:val="2"/>
              </w:rPr>
            </w:pPr>
          </w:p>
        </w:tc>
        <w:tc>
          <w:tcPr>
            <w:tcW w:w="7579" w:type="dxa"/>
            <w:gridSpan w:val="6"/>
          </w:tcPr>
          <w:p>
            <w:pPr>
              <w:pStyle w:val="14"/>
              <w:spacing w:before="21"/>
              <w:ind w:left="2665" w:right="2655"/>
              <w:rPr>
                <w:rFonts w:ascii="Times New Roman" w:eastAsia="Times New Roman"/>
                <w:sz w:val="21"/>
              </w:rPr>
            </w:pPr>
            <w:r>
              <w:rPr>
                <w:rFonts w:hint="eastAsia" w:ascii="仿宋" w:eastAsia="仿宋"/>
                <w:sz w:val="21"/>
              </w:rPr>
              <w:t>标高：</w:t>
            </w:r>
            <w:r>
              <w:rPr>
                <w:rFonts w:ascii="Times New Roman" w:eastAsia="Times New Roman"/>
                <w:sz w:val="21"/>
              </w:rPr>
              <w:t xml:space="preserve">370 </w:t>
            </w:r>
            <w:r>
              <w:rPr>
                <w:rFonts w:hint="eastAsia" w:ascii="仿宋" w:eastAsia="仿宋"/>
                <w:sz w:val="21"/>
              </w:rPr>
              <w:t xml:space="preserve">至 </w:t>
            </w:r>
            <w:r>
              <w:rPr>
                <w:rFonts w:ascii="Times New Roman" w:eastAsia="Times New Roman"/>
                <w:sz w:val="21"/>
              </w:rPr>
              <w:t>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restart"/>
          </w:tcPr>
          <w:p>
            <w:pPr>
              <w:pStyle w:val="14"/>
              <w:spacing w:before="30"/>
              <w:ind w:left="107"/>
              <w:jc w:val="left"/>
              <w:rPr>
                <w:rFonts w:ascii="Times New Roman" w:eastAsia="Times New Roman"/>
                <w:sz w:val="21"/>
              </w:rPr>
            </w:pPr>
            <w:r>
              <w:rPr>
                <w:spacing w:val="-18"/>
                <w:sz w:val="21"/>
              </w:rPr>
              <w:t xml:space="preserve">扣除 </w:t>
            </w:r>
            <w:r>
              <w:rPr>
                <w:rFonts w:ascii="Times New Roman" w:eastAsia="Times New Roman"/>
                <w:sz w:val="21"/>
              </w:rPr>
              <w:t>15</w:t>
            </w:r>
          </w:p>
          <w:p>
            <w:pPr>
              <w:pStyle w:val="14"/>
              <w:spacing w:before="2" w:line="310" w:lineRule="atLeast"/>
              <w:ind w:left="155" w:right="146"/>
              <w:jc w:val="left"/>
              <w:rPr>
                <w:sz w:val="21"/>
              </w:rPr>
            </w:pPr>
            <w:r>
              <w:rPr>
                <w:spacing w:val="-6"/>
                <w:sz w:val="21"/>
              </w:rPr>
              <w:t>层水源</w:t>
            </w:r>
            <w:r>
              <w:rPr>
                <w:spacing w:val="-6"/>
                <w:w w:val="95"/>
                <w:sz w:val="21"/>
              </w:rPr>
              <w:t>地范围</w:t>
            </w:r>
          </w:p>
        </w:tc>
        <w:tc>
          <w:tcPr>
            <w:tcW w:w="938" w:type="dxa"/>
          </w:tcPr>
          <w:p>
            <w:pPr>
              <w:pStyle w:val="14"/>
              <w:spacing w:before="34"/>
              <w:ind w:right="406"/>
              <w:jc w:val="right"/>
              <w:rPr>
                <w:rFonts w:ascii="Times New Roman"/>
                <w:sz w:val="21"/>
              </w:rPr>
            </w:pPr>
            <w:r>
              <w:rPr>
                <w:rFonts w:ascii="Times New Roman"/>
                <w:w w:val="99"/>
                <w:sz w:val="21"/>
              </w:rPr>
              <w:t>1</w:t>
            </w:r>
          </w:p>
        </w:tc>
        <w:tc>
          <w:tcPr>
            <w:tcW w:w="1525" w:type="dxa"/>
          </w:tcPr>
          <w:p>
            <w:pPr>
              <w:pStyle w:val="14"/>
              <w:spacing w:before="34"/>
              <w:ind w:right="251"/>
              <w:jc w:val="right"/>
              <w:rPr>
                <w:rFonts w:ascii="Times New Roman"/>
                <w:sz w:val="21"/>
              </w:rPr>
            </w:pPr>
            <w:r>
              <w:rPr>
                <w:rFonts w:ascii="Times New Roman"/>
                <w:w w:val="95"/>
                <w:sz w:val="21"/>
              </w:rPr>
              <w:t>5151915.72</w:t>
            </w:r>
          </w:p>
        </w:tc>
        <w:tc>
          <w:tcPr>
            <w:tcW w:w="1429" w:type="dxa"/>
          </w:tcPr>
          <w:p>
            <w:pPr>
              <w:pStyle w:val="14"/>
              <w:spacing w:before="34"/>
              <w:ind w:left="115" w:right="108"/>
              <w:rPr>
                <w:rFonts w:ascii="Times New Roman"/>
                <w:sz w:val="21"/>
              </w:rPr>
            </w:pPr>
            <w:r>
              <w:rPr>
                <w:rFonts w:ascii="Times New Roman"/>
                <w:sz w:val="21"/>
              </w:rPr>
              <w:t>44435689.20</w:t>
            </w:r>
          </w:p>
        </w:tc>
        <w:tc>
          <w:tcPr>
            <w:tcW w:w="708" w:type="dxa"/>
          </w:tcPr>
          <w:p>
            <w:pPr>
              <w:pStyle w:val="14"/>
              <w:spacing w:before="34"/>
              <w:ind w:left="300"/>
              <w:jc w:val="left"/>
              <w:rPr>
                <w:rFonts w:ascii="Times New Roman"/>
                <w:sz w:val="21"/>
              </w:rPr>
            </w:pPr>
            <w:r>
              <w:rPr>
                <w:rFonts w:ascii="Times New Roman"/>
                <w:w w:val="99"/>
                <w:sz w:val="21"/>
              </w:rPr>
              <w:t>3</w:t>
            </w:r>
          </w:p>
        </w:tc>
        <w:tc>
          <w:tcPr>
            <w:tcW w:w="1475" w:type="dxa"/>
          </w:tcPr>
          <w:p>
            <w:pPr>
              <w:pStyle w:val="14"/>
              <w:spacing w:before="34"/>
              <w:ind w:left="191" w:right="184"/>
              <w:rPr>
                <w:rFonts w:ascii="Times New Roman"/>
                <w:sz w:val="21"/>
              </w:rPr>
            </w:pPr>
            <w:r>
              <w:rPr>
                <w:rFonts w:ascii="Times New Roman"/>
                <w:sz w:val="21"/>
              </w:rPr>
              <w:t>5152581.72</w:t>
            </w:r>
          </w:p>
        </w:tc>
        <w:tc>
          <w:tcPr>
            <w:tcW w:w="1504" w:type="dxa"/>
          </w:tcPr>
          <w:p>
            <w:pPr>
              <w:pStyle w:val="14"/>
              <w:spacing w:before="34"/>
              <w:ind w:right="188"/>
              <w:jc w:val="right"/>
              <w:rPr>
                <w:rFonts w:ascii="Times New Roman"/>
                <w:sz w:val="21"/>
              </w:rPr>
            </w:pPr>
            <w:r>
              <w:rPr>
                <w:rFonts w:ascii="Times New Roman"/>
                <w:w w:val="95"/>
                <w:sz w:val="21"/>
              </w:rPr>
              <w:t>44435580.19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43" w:type="dxa"/>
            <w:vMerge w:val="continue"/>
            <w:tcBorders>
              <w:top w:val="nil"/>
            </w:tcBorders>
          </w:tcPr>
          <w:p>
            <w:pPr>
              <w:rPr>
                <w:sz w:val="2"/>
                <w:szCs w:val="2"/>
              </w:rPr>
            </w:pPr>
          </w:p>
        </w:tc>
        <w:tc>
          <w:tcPr>
            <w:tcW w:w="938" w:type="dxa"/>
          </w:tcPr>
          <w:p>
            <w:pPr>
              <w:pStyle w:val="14"/>
              <w:spacing w:before="34"/>
              <w:ind w:right="406"/>
              <w:jc w:val="right"/>
              <w:rPr>
                <w:rFonts w:ascii="Times New Roman"/>
                <w:sz w:val="21"/>
              </w:rPr>
            </w:pPr>
            <w:r>
              <w:rPr>
                <w:rFonts w:ascii="Times New Roman"/>
                <w:w w:val="99"/>
                <w:sz w:val="21"/>
              </w:rPr>
              <w:t>2</w:t>
            </w:r>
          </w:p>
        </w:tc>
        <w:tc>
          <w:tcPr>
            <w:tcW w:w="1525" w:type="dxa"/>
          </w:tcPr>
          <w:p>
            <w:pPr>
              <w:pStyle w:val="14"/>
              <w:spacing w:before="34"/>
              <w:ind w:right="251"/>
              <w:jc w:val="right"/>
              <w:rPr>
                <w:rFonts w:ascii="Times New Roman"/>
                <w:sz w:val="21"/>
              </w:rPr>
            </w:pPr>
            <w:r>
              <w:rPr>
                <w:rFonts w:ascii="Times New Roman"/>
                <w:w w:val="95"/>
                <w:sz w:val="21"/>
              </w:rPr>
              <w:t>5152213.72</w:t>
            </w:r>
          </w:p>
        </w:tc>
        <w:tc>
          <w:tcPr>
            <w:tcW w:w="1429" w:type="dxa"/>
          </w:tcPr>
          <w:p>
            <w:pPr>
              <w:pStyle w:val="14"/>
              <w:spacing w:before="34"/>
              <w:ind w:left="115" w:right="108"/>
              <w:rPr>
                <w:rFonts w:ascii="Times New Roman"/>
                <w:sz w:val="21"/>
              </w:rPr>
            </w:pPr>
            <w:r>
              <w:rPr>
                <w:rFonts w:ascii="Times New Roman"/>
                <w:sz w:val="21"/>
              </w:rPr>
              <w:t>44435373.19</w:t>
            </w:r>
          </w:p>
        </w:tc>
        <w:tc>
          <w:tcPr>
            <w:tcW w:w="708" w:type="dxa"/>
          </w:tcPr>
          <w:p>
            <w:pPr>
              <w:pStyle w:val="14"/>
              <w:spacing w:before="34"/>
              <w:ind w:left="300"/>
              <w:jc w:val="left"/>
              <w:rPr>
                <w:rFonts w:ascii="Times New Roman"/>
                <w:sz w:val="21"/>
              </w:rPr>
            </w:pPr>
            <w:r>
              <w:rPr>
                <w:rFonts w:ascii="Times New Roman"/>
                <w:w w:val="99"/>
                <w:sz w:val="21"/>
              </w:rPr>
              <w:t>4</w:t>
            </w:r>
          </w:p>
        </w:tc>
        <w:tc>
          <w:tcPr>
            <w:tcW w:w="1475" w:type="dxa"/>
          </w:tcPr>
          <w:p>
            <w:pPr>
              <w:pStyle w:val="14"/>
              <w:jc w:val="left"/>
              <w:rPr>
                <w:rFonts w:ascii="Times New Roman"/>
                <w:sz w:val="20"/>
              </w:rPr>
            </w:pPr>
          </w:p>
        </w:tc>
        <w:tc>
          <w:tcPr>
            <w:tcW w:w="1504" w:type="dxa"/>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continue"/>
            <w:tcBorders>
              <w:top w:val="nil"/>
            </w:tcBorders>
          </w:tcPr>
          <w:p>
            <w:pPr>
              <w:rPr>
                <w:sz w:val="2"/>
                <w:szCs w:val="2"/>
              </w:rPr>
            </w:pPr>
          </w:p>
        </w:tc>
        <w:tc>
          <w:tcPr>
            <w:tcW w:w="7579" w:type="dxa"/>
            <w:gridSpan w:val="6"/>
          </w:tcPr>
          <w:p>
            <w:pPr>
              <w:pStyle w:val="14"/>
              <w:spacing w:before="22"/>
              <w:ind w:left="2665" w:right="2657"/>
              <w:rPr>
                <w:rFonts w:ascii="Times New Roman" w:eastAsia="Times New Roman"/>
                <w:sz w:val="21"/>
              </w:rPr>
            </w:pPr>
            <w:r>
              <w:rPr>
                <w:rFonts w:hint="eastAsia" w:ascii="仿宋" w:eastAsia="仿宋"/>
                <w:sz w:val="21"/>
              </w:rPr>
              <w:t>标高：</w:t>
            </w:r>
            <w:r>
              <w:rPr>
                <w:rFonts w:ascii="Times New Roman" w:eastAsia="Times New Roman"/>
                <w:sz w:val="21"/>
              </w:rPr>
              <w:t xml:space="preserve">370 </w:t>
            </w:r>
            <w:r>
              <w:rPr>
                <w:rFonts w:hint="eastAsia" w:ascii="仿宋" w:eastAsia="仿宋"/>
                <w:sz w:val="21"/>
              </w:rPr>
              <w:t>至</w:t>
            </w:r>
            <w:r>
              <w:rPr>
                <w:rFonts w:ascii="Times New Roman" w:eastAsia="Times New Roman"/>
                <w:sz w:val="21"/>
              </w:rPr>
              <w:t>-160m</w:t>
            </w:r>
          </w:p>
        </w:tc>
      </w:tr>
    </w:tbl>
    <w:p>
      <w:pPr>
        <w:pStyle w:val="6"/>
        <w:spacing w:before="1"/>
        <w:ind w:left="1520"/>
      </w:pPr>
      <w:r>
        <w:t>本项目井田境界见附图。</w:t>
      </w:r>
    </w:p>
    <w:p>
      <w:pPr>
        <w:pStyle w:val="13"/>
        <w:numPr>
          <w:ilvl w:val="4"/>
          <w:numId w:val="20"/>
        </w:numPr>
        <w:tabs>
          <w:tab w:val="left" w:pos="2121"/>
        </w:tabs>
        <w:spacing w:before="161" w:after="0" w:line="240" w:lineRule="auto"/>
        <w:ind w:left="2121" w:right="0" w:hanging="601"/>
        <w:jc w:val="left"/>
        <w:rPr>
          <w:sz w:val="24"/>
        </w:rPr>
      </w:pPr>
      <w:r>
        <w:rPr>
          <w:sz w:val="24"/>
        </w:rPr>
        <w:t>储量</w:t>
      </w:r>
    </w:p>
    <w:p>
      <w:pPr>
        <w:pStyle w:val="6"/>
        <w:spacing w:before="158" w:line="364" w:lineRule="auto"/>
        <w:ind w:left="1040" w:right="1077" w:firstLine="480"/>
      </w:pPr>
      <w:r>
        <w:rPr>
          <w:spacing w:val="-4"/>
        </w:rPr>
        <w:t xml:space="preserve">矿井改扩建后，本矿井的地质储量 </w:t>
      </w:r>
      <w:r>
        <w:rPr>
          <w:rFonts w:ascii="Times New Roman" w:eastAsia="Times New Roman"/>
        </w:rPr>
        <w:t xml:space="preserve">952.98 </w:t>
      </w:r>
      <w:r>
        <w:rPr>
          <w:spacing w:val="-29"/>
        </w:rPr>
        <w:t xml:space="preserve">万 </w:t>
      </w:r>
      <w:r>
        <w:rPr>
          <w:rFonts w:ascii="Times New Roman" w:eastAsia="Times New Roman"/>
        </w:rPr>
        <w:t>t</w:t>
      </w:r>
      <w:r>
        <w:rPr>
          <w:spacing w:val="-9"/>
        </w:rPr>
        <w:t xml:space="preserve">，可采储量为 </w:t>
      </w:r>
      <w:r>
        <w:rPr>
          <w:rFonts w:ascii="Times New Roman" w:eastAsia="Times New Roman"/>
        </w:rPr>
        <w:t xml:space="preserve">646.59 </w:t>
      </w:r>
      <w:r>
        <w:rPr>
          <w:spacing w:val="-29"/>
        </w:rPr>
        <w:t xml:space="preserve">万 </w:t>
      </w:r>
      <w:r>
        <w:rPr>
          <w:rFonts w:ascii="Times New Roman" w:eastAsia="Times New Roman"/>
        </w:rPr>
        <w:t>t</w:t>
      </w:r>
      <w:r>
        <w:rPr>
          <w:spacing w:val="-7"/>
        </w:rPr>
        <w:t>，生</w:t>
      </w:r>
      <w:r>
        <w:rPr>
          <w:spacing w:val="-12"/>
        </w:rPr>
        <w:t xml:space="preserve">产能力按 </w:t>
      </w:r>
      <w:r>
        <w:rPr>
          <w:rFonts w:ascii="Times New Roman" w:eastAsia="Times New Roman"/>
        </w:rPr>
        <w:t xml:space="preserve">30 </w:t>
      </w:r>
      <w:r>
        <w:rPr>
          <w:spacing w:val="-30"/>
        </w:rPr>
        <w:t xml:space="preserve">万 </w:t>
      </w:r>
      <w:r>
        <w:rPr>
          <w:rFonts w:ascii="Times New Roman" w:eastAsia="Times New Roman"/>
        </w:rPr>
        <w:t xml:space="preserve">t/a </w:t>
      </w:r>
      <w:r>
        <w:rPr>
          <w:spacing w:val="-4"/>
        </w:rPr>
        <w:t xml:space="preserve">进行计算，本矿井的服务年限为 </w:t>
      </w:r>
      <w:r>
        <w:rPr>
          <w:rFonts w:ascii="Times New Roman" w:eastAsia="Times New Roman"/>
        </w:rPr>
        <w:t xml:space="preserve">15.4 </w:t>
      </w:r>
      <w:r>
        <w:t>年。</w:t>
      </w:r>
    </w:p>
    <w:p>
      <w:pPr>
        <w:pStyle w:val="5"/>
        <w:numPr>
          <w:ilvl w:val="3"/>
          <w:numId w:val="20"/>
        </w:numPr>
        <w:tabs>
          <w:tab w:val="left" w:pos="1760"/>
        </w:tabs>
        <w:spacing w:before="0" w:after="0" w:line="306" w:lineRule="exact"/>
        <w:ind w:left="1760" w:right="0" w:hanging="720"/>
        <w:jc w:val="left"/>
      </w:pPr>
      <w:r>
        <w:t>矿区地质特征</w:t>
      </w:r>
    </w:p>
    <w:p>
      <w:pPr>
        <w:pStyle w:val="6"/>
        <w:spacing w:before="160"/>
        <w:ind w:left="1520"/>
      </w:pPr>
      <w:r>
        <w:t>（一）地层</w:t>
      </w:r>
    </w:p>
    <w:p>
      <w:pPr>
        <w:pStyle w:val="6"/>
        <w:spacing w:before="158"/>
        <w:ind w:left="1520"/>
      </w:pPr>
      <w:r>
        <w:rPr>
          <w:rFonts w:ascii="Times New Roman" w:eastAsia="Times New Roman"/>
        </w:rPr>
        <w:t>1</w:t>
      </w:r>
      <w:r>
        <w:t>、区域地层</w:t>
      </w:r>
    </w:p>
    <w:p>
      <w:pPr>
        <w:pStyle w:val="6"/>
        <w:spacing w:before="161" w:line="364" w:lineRule="auto"/>
        <w:ind w:left="1040" w:right="1077" w:firstLine="480"/>
      </w:pPr>
      <w:r>
        <w:rPr>
          <w:spacing w:val="-7"/>
        </w:rPr>
        <w:t>双鸭山煤田西起佳木斯隆起，东止富锦隆起，南起完达山的分水岭，北止松</w:t>
      </w:r>
      <w:r>
        <w:t>花江南岸。</w:t>
      </w:r>
    </w:p>
    <w:p>
      <w:pPr>
        <w:pStyle w:val="6"/>
        <w:spacing w:line="306" w:lineRule="exact"/>
        <w:ind w:left="1520"/>
        <w:rPr>
          <w:rFonts w:ascii="Times New Roman" w:hAnsi="Times New Roman" w:eastAsia="Times New Roman"/>
        </w:rPr>
      </w:pPr>
      <w:r>
        <w:t>其地理坐标：东经</w:t>
      </w:r>
      <w:r>
        <w:rPr>
          <w:rFonts w:ascii="Times New Roman" w:hAnsi="Times New Roman" w:eastAsia="Times New Roman"/>
        </w:rPr>
        <w:t>131°03′—131°45′</w:t>
      </w:r>
      <w:r>
        <w:t>；北纬</w:t>
      </w:r>
      <w:r>
        <w:rPr>
          <w:rFonts w:ascii="Times New Roman" w:hAnsi="Times New Roman" w:eastAsia="Times New Roman"/>
        </w:rPr>
        <w:t>46°22′—46°43′</w:t>
      </w:r>
      <w:r>
        <w:t>煤田东西走向长</w:t>
      </w:r>
      <w:r>
        <w:rPr>
          <w:rFonts w:ascii="Times New Roman" w:hAnsi="Times New Roman" w:eastAsia="Times New Roman"/>
        </w:rPr>
        <w:t>50</w:t>
      </w:r>
    </w:p>
    <w:p>
      <w:pPr>
        <w:spacing w:after="0" w:line="306" w:lineRule="exact"/>
        <w:rPr>
          <w:rFonts w:ascii="Times New Roman" w:hAnsi="Times New Roman" w:eastAsia="Times New Roman"/>
        </w:rPr>
        <w:sectPr>
          <w:pgSz w:w="11910" w:h="16840"/>
          <w:pgMar w:top="1080" w:right="720" w:bottom="1160" w:left="760" w:header="0" w:footer="891" w:gutter="0"/>
        </w:sectPr>
      </w:pPr>
    </w:p>
    <w:p>
      <w:pPr>
        <w:pStyle w:val="6"/>
        <w:spacing w:line="20" w:lineRule="exact"/>
        <w:ind w:left="1032"/>
        <w:rPr>
          <w:rFonts w:ascii="Times New Roman"/>
          <w:sz w:val="2"/>
        </w:rPr>
      </w:pPr>
      <w:r>
        <w:rPr>
          <w:rFonts w:ascii="Times New Roman"/>
          <w:sz w:val="2"/>
        </w:rPr>
        <mc:AlternateContent>
          <mc:Choice Requires="wpg">
            <w:drawing>
              <wp:inline distT="0" distB="0" distL="114300" distR="114300">
                <wp:extent cx="5274310" cy="9525"/>
                <wp:effectExtent l="0" t="0" r="0" b="0"/>
                <wp:docPr id="236" name="组合 37"/>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235" name="直线 38"/>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37"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aCLtQAAAADAQAADwAAAAAAAAABACAAAAAiAAAAZHJzL2Rvd25yZXYueG1s&#10;UEsBAhQAFAAAAAgAh07iQICT+6c1AgAAtgQAAA4AAAAAAAAAAQAgAAAAIwEAAGRycy9lMm9Eb2Mu&#10;eG1sUEsFBgAAAAAGAAYAWQEAAMoFAAAAAA==&#10;">
                <o:lock v:ext="edit" aspectratio="f"/>
                <v:line id="直线 38" o:spid="_x0000_s1026" o:spt="20" style="position:absolute;left:0;top:7;height:0;width:8306;" filled="f" stroked="t" coordsize="21600,21600" o:gfxdata="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T8b4A&#10;AADcAAAADwAAAAAAAAABACAAAAAiAAAAZHJzL2Rvd25yZXYueG1sUEsBAhQAFAAAAAgAh07iQDMv&#10;BZ47AAAAOQAAABAAAAAAAAAAAQAgAAAADQEAAGRycy9zaGFwZXhtbC54bWxQSwUGAAAAAAYABgBb&#10;AQAAtwMAAAAA&#10;">
                  <v:fill on="f" focussize="0,0"/>
                  <v:stroke weight="0.72pt" color="#000000" joinstyle="round"/>
                  <v:imagedata o:title=""/>
                  <o:lock v:ext="edit" aspectratio="f"/>
                </v:line>
                <w10:wrap type="none"/>
                <w10:anchorlock/>
              </v:group>
            </w:pict>
          </mc:Fallback>
        </mc:AlternateContent>
      </w:r>
    </w:p>
    <w:p>
      <w:pPr>
        <w:pStyle w:val="6"/>
        <w:spacing w:before="7"/>
        <w:rPr>
          <w:rFonts w:ascii="Times New Roman"/>
          <w:sz w:val="21"/>
        </w:rPr>
      </w:pPr>
    </w:p>
    <w:p>
      <w:pPr>
        <w:pStyle w:val="6"/>
        <w:spacing w:before="74" w:line="364" w:lineRule="auto"/>
        <w:ind w:left="1040" w:right="985"/>
      </w:pPr>
      <w:r>
        <w:t>千米，南北宽</w:t>
      </w:r>
      <w:r>
        <w:rPr>
          <w:rFonts w:ascii="Times New Roman" w:hAnsi="Times New Roman" w:eastAsia="Times New Roman"/>
        </w:rPr>
        <w:t>5—20</w:t>
      </w:r>
      <w:r>
        <w:t>千米，面积约</w:t>
      </w:r>
      <w:r>
        <w:rPr>
          <w:rFonts w:ascii="Times New Roman" w:hAnsi="Times New Roman" w:eastAsia="Times New Roman"/>
        </w:rPr>
        <w:t>600</w:t>
      </w:r>
      <w:r>
        <w:rPr>
          <w:spacing w:val="-1"/>
        </w:rPr>
        <w:t>平方千米，行政区划属黑龙江省双鸭山市、</w:t>
      </w:r>
      <w:r>
        <w:rPr>
          <w:spacing w:val="-11"/>
        </w:rPr>
        <w:t>宝清县、友谊县。在第三、第四纪松散半胶结地层掩盖下早白垩世含煤地层广泛分布，其地层系统由老至新见表</w:t>
      </w:r>
      <w:r>
        <w:rPr>
          <w:rFonts w:ascii="Times New Roman" w:hAnsi="Times New Roman" w:eastAsia="Times New Roman"/>
          <w:spacing w:val="-11"/>
        </w:rPr>
        <w:t>3.3-3</w:t>
      </w:r>
      <w:r>
        <w:rPr>
          <w:spacing w:val="-11"/>
        </w:rPr>
        <w:t>。</w:t>
      </w:r>
    </w:p>
    <w:p>
      <w:pPr>
        <w:pStyle w:val="5"/>
        <w:spacing w:line="307" w:lineRule="exact"/>
        <w:ind w:left="3862"/>
      </w:pPr>
      <w:r>
        <w:t>表</w:t>
      </w:r>
      <w:r>
        <w:rPr>
          <w:rFonts w:ascii="Times New Roman" w:eastAsia="Times New Roman"/>
        </w:rPr>
        <w:t>3.3-3</w:t>
      </w:r>
      <w:r>
        <w:t>双鸭山区域地层表</w:t>
      </w:r>
    </w:p>
    <w:p>
      <w:pPr>
        <w:pStyle w:val="6"/>
        <w:rPr>
          <w:b/>
          <w:sz w:val="20"/>
        </w:rPr>
      </w:pPr>
    </w:p>
    <w:p>
      <w:pPr>
        <w:pStyle w:val="6"/>
        <w:spacing w:before="7"/>
        <w:rPr>
          <w:b/>
          <w:sz w:val="11"/>
        </w:rPr>
      </w:pPr>
    </w:p>
    <w:tbl>
      <w:tblPr>
        <w:tblStyle w:val="10"/>
        <w:tblW w:w="0" w:type="auto"/>
        <w:tblInd w:w="12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4"/>
        <w:gridCol w:w="1227"/>
        <w:gridCol w:w="1293"/>
        <w:gridCol w:w="1683"/>
        <w:gridCol w:w="1057"/>
        <w:gridCol w:w="14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84" w:type="dxa"/>
          </w:tcPr>
          <w:p>
            <w:pPr>
              <w:pStyle w:val="14"/>
              <w:spacing w:before="21"/>
              <w:ind w:left="7"/>
              <w:rPr>
                <w:sz w:val="21"/>
              </w:rPr>
            </w:pPr>
            <w:r>
              <w:rPr>
                <w:w w:val="99"/>
                <w:sz w:val="21"/>
              </w:rPr>
              <w:t>界</w:t>
            </w:r>
          </w:p>
        </w:tc>
        <w:tc>
          <w:tcPr>
            <w:tcW w:w="1227" w:type="dxa"/>
          </w:tcPr>
          <w:p>
            <w:pPr>
              <w:pStyle w:val="14"/>
              <w:spacing w:before="21"/>
              <w:ind w:left="5"/>
              <w:rPr>
                <w:sz w:val="21"/>
              </w:rPr>
            </w:pPr>
            <w:r>
              <w:rPr>
                <w:w w:val="99"/>
                <w:sz w:val="21"/>
              </w:rPr>
              <w:t>系</w:t>
            </w:r>
          </w:p>
        </w:tc>
        <w:tc>
          <w:tcPr>
            <w:tcW w:w="1293" w:type="dxa"/>
          </w:tcPr>
          <w:p>
            <w:pPr>
              <w:pStyle w:val="14"/>
              <w:spacing w:before="21"/>
              <w:ind w:left="204" w:right="199"/>
              <w:rPr>
                <w:sz w:val="21"/>
              </w:rPr>
            </w:pPr>
            <w:r>
              <w:rPr>
                <w:sz w:val="21"/>
              </w:rPr>
              <w:t>群（统）</w:t>
            </w:r>
          </w:p>
        </w:tc>
        <w:tc>
          <w:tcPr>
            <w:tcW w:w="1683" w:type="dxa"/>
          </w:tcPr>
          <w:p>
            <w:pPr>
              <w:pStyle w:val="14"/>
              <w:spacing w:before="21"/>
              <w:ind w:left="5"/>
              <w:rPr>
                <w:sz w:val="21"/>
              </w:rPr>
            </w:pPr>
            <w:r>
              <w:rPr>
                <w:w w:val="99"/>
                <w:sz w:val="21"/>
              </w:rPr>
              <w:t>组</w:t>
            </w:r>
          </w:p>
        </w:tc>
        <w:tc>
          <w:tcPr>
            <w:tcW w:w="1057" w:type="dxa"/>
          </w:tcPr>
          <w:p>
            <w:pPr>
              <w:pStyle w:val="14"/>
              <w:spacing w:before="21"/>
              <w:ind w:right="310"/>
              <w:jc w:val="right"/>
              <w:rPr>
                <w:sz w:val="21"/>
              </w:rPr>
            </w:pPr>
            <w:r>
              <w:rPr>
                <w:w w:val="95"/>
                <w:sz w:val="21"/>
              </w:rPr>
              <w:t>符号</w:t>
            </w:r>
          </w:p>
        </w:tc>
        <w:tc>
          <w:tcPr>
            <w:tcW w:w="1461" w:type="dxa"/>
          </w:tcPr>
          <w:p>
            <w:pPr>
              <w:pStyle w:val="14"/>
              <w:spacing w:before="21"/>
              <w:ind w:left="324" w:right="316"/>
              <w:rPr>
                <w:rFonts w:ascii="Times New Roman" w:eastAsia="Times New Roman"/>
                <w:sz w:val="21"/>
              </w:rPr>
            </w:pPr>
            <w:r>
              <w:rPr>
                <w:sz w:val="21"/>
              </w:rPr>
              <w:t>厚度</w:t>
            </w:r>
            <w:r>
              <w:rPr>
                <w:rFonts w:ascii="Times New Roman" w:eastAsia="Times New Roman"/>
                <w:sz w:val="21"/>
              </w:rPr>
              <w:t>(</w:t>
            </w:r>
            <w:r>
              <w:rPr>
                <w:sz w:val="21"/>
              </w:rPr>
              <w:t>米</w:t>
            </w:r>
            <w:r>
              <w:rPr>
                <w:rFonts w:ascii="Times New Roman" w:eastAsia="Times New Roman"/>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84" w:type="dxa"/>
            <w:vMerge w:val="restart"/>
          </w:tcPr>
          <w:p>
            <w:pPr>
              <w:pStyle w:val="14"/>
              <w:jc w:val="left"/>
              <w:rPr>
                <w:b/>
                <w:sz w:val="20"/>
              </w:rPr>
            </w:pPr>
          </w:p>
          <w:p>
            <w:pPr>
              <w:pStyle w:val="14"/>
              <w:spacing w:before="3"/>
              <w:jc w:val="left"/>
              <w:rPr>
                <w:b/>
                <w:sz w:val="19"/>
              </w:rPr>
            </w:pPr>
          </w:p>
          <w:p>
            <w:pPr>
              <w:pStyle w:val="14"/>
              <w:spacing w:before="1"/>
              <w:ind w:left="277"/>
              <w:jc w:val="left"/>
              <w:rPr>
                <w:sz w:val="21"/>
              </w:rPr>
            </w:pPr>
            <w:r>
              <w:rPr>
                <w:sz w:val="21"/>
              </w:rPr>
              <w:t>新生界</w:t>
            </w:r>
          </w:p>
        </w:tc>
        <w:tc>
          <w:tcPr>
            <w:tcW w:w="1227" w:type="dxa"/>
          </w:tcPr>
          <w:p>
            <w:pPr>
              <w:pStyle w:val="14"/>
              <w:spacing w:before="21"/>
              <w:ind w:left="277" w:right="269"/>
              <w:rPr>
                <w:sz w:val="21"/>
              </w:rPr>
            </w:pPr>
            <w:r>
              <w:rPr>
                <w:sz w:val="21"/>
              </w:rPr>
              <w:t>第四系</w:t>
            </w:r>
          </w:p>
        </w:tc>
        <w:tc>
          <w:tcPr>
            <w:tcW w:w="1293" w:type="dxa"/>
          </w:tcPr>
          <w:p>
            <w:pPr>
              <w:pStyle w:val="14"/>
              <w:spacing w:before="21"/>
              <w:ind w:left="204" w:right="196"/>
              <w:rPr>
                <w:sz w:val="21"/>
              </w:rPr>
            </w:pPr>
            <w:r>
              <w:rPr>
                <w:sz w:val="21"/>
              </w:rPr>
              <w:t>全新统</w:t>
            </w:r>
          </w:p>
        </w:tc>
        <w:tc>
          <w:tcPr>
            <w:tcW w:w="1683" w:type="dxa"/>
          </w:tcPr>
          <w:p>
            <w:pPr>
              <w:pStyle w:val="14"/>
              <w:spacing w:before="21"/>
              <w:ind w:left="399" w:right="391"/>
              <w:rPr>
                <w:sz w:val="21"/>
              </w:rPr>
            </w:pPr>
            <w:r>
              <w:rPr>
                <w:sz w:val="21"/>
              </w:rPr>
              <w:t>冲积层</w:t>
            </w:r>
          </w:p>
        </w:tc>
        <w:tc>
          <w:tcPr>
            <w:tcW w:w="1057" w:type="dxa"/>
          </w:tcPr>
          <w:p>
            <w:pPr>
              <w:pStyle w:val="14"/>
              <w:spacing w:before="32" w:line="260" w:lineRule="exact"/>
              <w:ind w:left="397" w:right="390"/>
              <w:rPr>
                <w:rFonts w:ascii="Times New Roman"/>
                <w:sz w:val="21"/>
              </w:rPr>
            </w:pPr>
            <w:r>
              <w:rPr>
                <w:rFonts w:ascii="Times New Roman"/>
                <w:position w:val="2"/>
                <w:sz w:val="21"/>
              </w:rPr>
              <w:t>Q</w:t>
            </w:r>
            <w:r>
              <w:rPr>
                <w:rFonts w:ascii="Times New Roman"/>
                <w:position w:val="2"/>
                <w:sz w:val="21"/>
                <w:vertAlign w:val="subscript"/>
              </w:rPr>
              <w:t>4</w:t>
            </w:r>
          </w:p>
        </w:tc>
        <w:tc>
          <w:tcPr>
            <w:tcW w:w="1461" w:type="dxa"/>
          </w:tcPr>
          <w:p>
            <w:pPr>
              <w:pStyle w:val="14"/>
              <w:spacing w:before="35"/>
              <w:ind w:left="321" w:right="316"/>
              <w:rPr>
                <w:rFonts w:ascii="Times New Roman"/>
                <w:sz w:val="21"/>
              </w:rPr>
            </w:pPr>
            <w:r>
              <w:rPr>
                <w:rFonts w:ascii="Times New Roman"/>
                <w:sz w:val="21"/>
              </w:rPr>
              <w:t>2-60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84" w:type="dxa"/>
            <w:vMerge w:val="continue"/>
            <w:tcBorders>
              <w:top w:val="nil"/>
            </w:tcBorders>
          </w:tcPr>
          <w:p>
            <w:pPr>
              <w:rPr>
                <w:sz w:val="2"/>
                <w:szCs w:val="2"/>
              </w:rPr>
            </w:pPr>
          </w:p>
        </w:tc>
        <w:tc>
          <w:tcPr>
            <w:tcW w:w="1227" w:type="dxa"/>
          </w:tcPr>
          <w:p>
            <w:pPr>
              <w:pStyle w:val="14"/>
              <w:spacing w:before="21"/>
              <w:ind w:left="277" w:right="269"/>
              <w:rPr>
                <w:sz w:val="21"/>
              </w:rPr>
            </w:pPr>
            <w:r>
              <w:rPr>
                <w:sz w:val="21"/>
              </w:rPr>
              <w:t>第三系</w:t>
            </w:r>
          </w:p>
        </w:tc>
        <w:tc>
          <w:tcPr>
            <w:tcW w:w="1293" w:type="dxa"/>
          </w:tcPr>
          <w:p>
            <w:pPr>
              <w:pStyle w:val="14"/>
              <w:spacing w:before="21"/>
              <w:ind w:left="204" w:right="196"/>
              <w:rPr>
                <w:sz w:val="21"/>
              </w:rPr>
            </w:pPr>
            <w:r>
              <w:rPr>
                <w:sz w:val="21"/>
              </w:rPr>
              <w:t>中新统</w:t>
            </w:r>
          </w:p>
        </w:tc>
        <w:tc>
          <w:tcPr>
            <w:tcW w:w="1683" w:type="dxa"/>
          </w:tcPr>
          <w:p>
            <w:pPr>
              <w:pStyle w:val="14"/>
              <w:spacing w:before="21"/>
              <w:ind w:left="399" w:right="391"/>
              <w:rPr>
                <w:sz w:val="21"/>
              </w:rPr>
            </w:pPr>
            <w:r>
              <w:rPr>
                <w:sz w:val="21"/>
              </w:rPr>
              <w:t>玄武岩</w:t>
            </w:r>
          </w:p>
        </w:tc>
        <w:tc>
          <w:tcPr>
            <w:tcW w:w="1057" w:type="dxa"/>
          </w:tcPr>
          <w:p>
            <w:pPr>
              <w:pStyle w:val="14"/>
              <w:spacing w:before="17"/>
              <w:ind w:right="378"/>
              <w:jc w:val="right"/>
              <w:rPr>
                <w:rFonts w:ascii="Times New Roman" w:hAnsi="Times New Roman"/>
                <w:sz w:val="13"/>
              </w:rPr>
            </w:pPr>
            <w:r>
              <w:rPr>
                <w:position w:val="2"/>
                <w:sz w:val="21"/>
              </w:rPr>
              <w:t>Β</w:t>
            </w:r>
            <w:r>
              <w:rPr>
                <w:rFonts w:ascii="Times New Roman" w:hAnsi="Times New Roman"/>
                <w:sz w:val="13"/>
              </w:rPr>
              <w:t>n</w:t>
            </w:r>
          </w:p>
        </w:tc>
        <w:tc>
          <w:tcPr>
            <w:tcW w:w="1461" w:type="dxa"/>
          </w:tcPr>
          <w:p>
            <w:pPr>
              <w:pStyle w:val="14"/>
              <w:spacing w:before="34"/>
              <w:ind w:left="324" w:right="315"/>
              <w:rPr>
                <w:rFonts w:ascii="Times New Roman"/>
                <w:sz w:val="21"/>
              </w:rPr>
            </w:pPr>
            <w:r>
              <w:rPr>
                <w:rFonts w:ascii="Times New Roman"/>
                <w:sz w:val="21"/>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84" w:type="dxa"/>
            <w:vMerge w:val="continue"/>
            <w:tcBorders>
              <w:top w:val="nil"/>
            </w:tcBorders>
          </w:tcPr>
          <w:p>
            <w:pPr>
              <w:rPr>
                <w:sz w:val="2"/>
                <w:szCs w:val="2"/>
              </w:rPr>
            </w:pPr>
          </w:p>
        </w:tc>
        <w:tc>
          <w:tcPr>
            <w:tcW w:w="1227" w:type="dxa"/>
            <w:vMerge w:val="restart"/>
          </w:tcPr>
          <w:p>
            <w:pPr>
              <w:pStyle w:val="14"/>
              <w:spacing w:before="1"/>
              <w:jc w:val="left"/>
              <w:rPr>
                <w:b/>
                <w:sz w:val="14"/>
              </w:rPr>
            </w:pPr>
          </w:p>
          <w:p>
            <w:pPr>
              <w:pStyle w:val="14"/>
              <w:spacing w:before="1"/>
              <w:ind w:left="298"/>
              <w:jc w:val="left"/>
              <w:rPr>
                <w:sz w:val="21"/>
              </w:rPr>
            </w:pPr>
            <w:r>
              <w:rPr>
                <w:sz w:val="21"/>
              </w:rPr>
              <w:t>白垩系</w:t>
            </w:r>
          </w:p>
        </w:tc>
        <w:tc>
          <w:tcPr>
            <w:tcW w:w="1293" w:type="dxa"/>
            <w:vMerge w:val="restart"/>
          </w:tcPr>
          <w:p>
            <w:pPr>
              <w:pStyle w:val="14"/>
              <w:spacing w:before="1"/>
              <w:jc w:val="left"/>
              <w:rPr>
                <w:b/>
                <w:sz w:val="14"/>
              </w:rPr>
            </w:pPr>
          </w:p>
          <w:p>
            <w:pPr>
              <w:pStyle w:val="14"/>
              <w:spacing w:before="1"/>
              <w:ind w:left="204" w:right="196"/>
              <w:rPr>
                <w:sz w:val="21"/>
              </w:rPr>
            </w:pPr>
            <w:r>
              <w:rPr>
                <w:sz w:val="21"/>
              </w:rPr>
              <w:t>上统</w:t>
            </w:r>
          </w:p>
        </w:tc>
        <w:tc>
          <w:tcPr>
            <w:tcW w:w="1683" w:type="dxa"/>
          </w:tcPr>
          <w:p>
            <w:pPr>
              <w:pStyle w:val="14"/>
              <w:spacing w:before="20"/>
              <w:ind w:left="399" w:right="391"/>
              <w:rPr>
                <w:sz w:val="21"/>
              </w:rPr>
            </w:pPr>
            <w:r>
              <w:rPr>
                <w:sz w:val="21"/>
              </w:rPr>
              <w:t>穆棱组</w:t>
            </w:r>
          </w:p>
        </w:tc>
        <w:tc>
          <w:tcPr>
            <w:tcW w:w="1057" w:type="dxa"/>
          </w:tcPr>
          <w:p>
            <w:pPr>
              <w:pStyle w:val="14"/>
              <w:spacing w:before="31" w:line="261" w:lineRule="exact"/>
              <w:ind w:right="352"/>
              <w:jc w:val="right"/>
              <w:rPr>
                <w:rFonts w:ascii="Times New Roman"/>
                <w:sz w:val="21"/>
              </w:rPr>
            </w:pPr>
            <w:r>
              <w:rPr>
                <w:rFonts w:ascii="Times New Roman"/>
                <w:position w:val="2"/>
                <w:sz w:val="21"/>
              </w:rPr>
              <w:t>K</w:t>
            </w:r>
            <w:r>
              <w:rPr>
                <w:rFonts w:ascii="Times New Roman"/>
                <w:position w:val="2"/>
                <w:sz w:val="21"/>
                <w:vertAlign w:val="subscript"/>
              </w:rPr>
              <w:t>1m</w:t>
            </w:r>
          </w:p>
        </w:tc>
        <w:tc>
          <w:tcPr>
            <w:tcW w:w="1461" w:type="dxa"/>
          </w:tcPr>
          <w:p>
            <w:pPr>
              <w:pStyle w:val="14"/>
              <w:spacing w:before="34"/>
              <w:ind w:left="324" w:right="315"/>
              <w:rPr>
                <w:rFonts w:ascii="Times New Roman"/>
                <w:sz w:val="21"/>
              </w:rPr>
            </w:pPr>
            <w:r>
              <w:rPr>
                <w:rFonts w:ascii="Times New Roman"/>
                <w:sz w:val="21"/>
              </w:rPr>
              <w:t>250-600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84" w:type="dxa"/>
            <w:vMerge w:val="continue"/>
            <w:tcBorders>
              <w:top w:val="nil"/>
            </w:tcBorders>
          </w:tcPr>
          <w:p>
            <w:pPr>
              <w:rPr>
                <w:sz w:val="2"/>
                <w:szCs w:val="2"/>
              </w:rPr>
            </w:pPr>
          </w:p>
        </w:tc>
        <w:tc>
          <w:tcPr>
            <w:tcW w:w="1227"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1683" w:type="dxa"/>
          </w:tcPr>
          <w:p>
            <w:pPr>
              <w:pStyle w:val="14"/>
              <w:spacing w:before="20"/>
              <w:ind w:left="399" w:right="394"/>
              <w:rPr>
                <w:sz w:val="21"/>
              </w:rPr>
            </w:pPr>
            <w:r>
              <w:rPr>
                <w:sz w:val="21"/>
              </w:rPr>
              <w:t>城子河组</w:t>
            </w:r>
          </w:p>
        </w:tc>
        <w:tc>
          <w:tcPr>
            <w:tcW w:w="1057" w:type="dxa"/>
          </w:tcPr>
          <w:p>
            <w:pPr>
              <w:pStyle w:val="14"/>
              <w:spacing w:before="33" w:line="259" w:lineRule="exact"/>
              <w:ind w:right="340"/>
              <w:jc w:val="right"/>
              <w:rPr>
                <w:rFonts w:ascii="Times New Roman"/>
                <w:sz w:val="21"/>
              </w:rPr>
            </w:pPr>
            <w:r>
              <w:rPr>
                <w:rFonts w:ascii="Times New Roman"/>
                <w:position w:val="2"/>
                <w:sz w:val="21"/>
              </w:rPr>
              <w:t>K</w:t>
            </w:r>
            <w:r>
              <w:rPr>
                <w:rFonts w:ascii="Times New Roman"/>
                <w:position w:val="2"/>
                <w:sz w:val="21"/>
                <w:vertAlign w:val="subscript"/>
              </w:rPr>
              <w:t>1ch</w:t>
            </w:r>
          </w:p>
        </w:tc>
        <w:tc>
          <w:tcPr>
            <w:tcW w:w="1461" w:type="dxa"/>
          </w:tcPr>
          <w:p>
            <w:pPr>
              <w:pStyle w:val="14"/>
              <w:spacing w:before="34"/>
              <w:ind w:left="324" w:right="315"/>
              <w:rPr>
                <w:rFonts w:ascii="Times New Roman"/>
                <w:sz w:val="21"/>
              </w:rPr>
            </w:pPr>
            <w:r>
              <w:rPr>
                <w:rFonts w:ascii="Times New Roman"/>
                <w:sz w:val="21"/>
              </w:rPr>
              <w:t>250-600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84" w:type="dxa"/>
          </w:tcPr>
          <w:p>
            <w:pPr>
              <w:pStyle w:val="14"/>
              <w:spacing w:before="22"/>
              <w:ind w:left="256" w:right="247"/>
              <w:rPr>
                <w:sz w:val="21"/>
              </w:rPr>
            </w:pPr>
            <w:r>
              <w:rPr>
                <w:sz w:val="21"/>
              </w:rPr>
              <w:t>古生界</w:t>
            </w:r>
          </w:p>
        </w:tc>
        <w:tc>
          <w:tcPr>
            <w:tcW w:w="1227" w:type="dxa"/>
          </w:tcPr>
          <w:p>
            <w:pPr>
              <w:pStyle w:val="14"/>
              <w:jc w:val="left"/>
              <w:rPr>
                <w:rFonts w:ascii="Times New Roman"/>
                <w:sz w:val="22"/>
              </w:rPr>
            </w:pPr>
          </w:p>
        </w:tc>
        <w:tc>
          <w:tcPr>
            <w:tcW w:w="1293" w:type="dxa"/>
          </w:tcPr>
          <w:p>
            <w:pPr>
              <w:pStyle w:val="14"/>
              <w:spacing w:before="22"/>
              <w:ind w:left="204" w:right="196"/>
              <w:rPr>
                <w:sz w:val="21"/>
              </w:rPr>
            </w:pPr>
            <w:r>
              <w:rPr>
                <w:sz w:val="21"/>
              </w:rPr>
              <w:t>麻山群</w:t>
            </w:r>
          </w:p>
        </w:tc>
        <w:tc>
          <w:tcPr>
            <w:tcW w:w="1683" w:type="dxa"/>
          </w:tcPr>
          <w:p>
            <w:pPr>
              <w:pStyle w:val="14"/>
              <w:spacing w:before="22"/>
              <w:ind w:left="399" w:right="391"/>
              <w:rPr>
                <w:sz w:val="21"/>
              </w:rPr>
            </w:pPr>
            <w:r>
              <w:rPr>
                <w:sz w:val="21"/>
              </w:rPr>
              <w:t>柳毛组</w:t>
            </w:r>
          </w:p>
        </w:tc>
        <w:tc>
          <w:tcPr>
            <w:tcW w:w="1057" w:type="dxa"/>
          </w:tcPr>
          <w:p>
            <w:pPr>
              <w:pStyle w:val="14"/>
              <w:spacing w:before="32" w:line="259" w:lineRule="exact"/>
              <w:ind w:right="367"/>
              <w:jc w:val="right"/>
              <w:rPr>
                <w:rFonts w:ascii="Times New Roman"/>
                <w:sz w:val="21"/>
              </w:rPr>
            </w:pPr>
            <w:r>
              <w:rPr>
                <w:rFonts w:ascii="Times New Roman"/>
                <w:position w:val="2"/>
                <w:sz w:val="21"/>
              </w:rPr>
              <w:t>P</w:t>
            </w:r>
            <w:r>
              <w:rPr>
                <w:rFonts w:ascii="Times New Roman"/>
                <w:position w:val="2"/>
                <w:sz w:val="21"/>
                <w:vertAlign w:val="subscript"/>
              </w:rPr>
              <w:t>tlm</w:t>
            </w:r>
          </w:p>
        </w:tc>
        <w:tc>
          <w:tcPr>
            <w:tcW w:w="1461" w:type="dxa"/>
          </w:tcPr>
          <w:p>
            <w:pPr>
              <w:pStyle w:val="14"/>
              <w:spacing w:before="22"/>
              <w:ind w:left="324" w:right="315"/>
              <w:rPr>
                <w:rFonts w:ascii="Times New Roman" w:eastAsia="Times New Roman"/>
                <w:sz w:val="21"/>
              </w:rPr>
            </w:pPr>
            <w:r>
              <w:rPr>
                <w:sz w:val="21"/>
              </w:rPr>
              <w:t>＞</w:t>
            </w:r>
            <w:r>
              <w:rPr>
                <w:rFonts w:ascii="Times New Roman" w:eastAsia="Times New Roman"/>
                <w:sz w:val="21"/>
              </w:rPr>
              <w:t>800</w:t>
            </w:r>
          </w:p>
        </w:tc>
      </w:tr>
    </w:tbl>
    <w:p>
      <w:pPr>
        <w:pStyle w:val="6"/>
        <w:spacing w:before="4"/>
        <w:ind w:left="1520"/>
      </w:pPr>
      <w:r>
        <w:t>地层层序由老至新分述如下：</w:t>
      </w:r>
    </w:p>
    <w:p>
      <w:pPr>
        <w:pStyle w:val="13"/>
        <w:numPr>
          <w:ilvl w:val="0"/>
          <w:numId w:val="21"/>
        </w:numPr>
        <w:tabs>
          <w:tab w:val="left" w:pos="2121"/>
        </w:tabs>
        <w:spacing w:before="158" w:after="0" w:line="240" w:lineRule="auto"/>
        <w:ind w:left="2121" w:right="0" w:hanging="601"/>
        <w:jc w:val="left"/>
        <w:rPr>
          <w:sz w:val="24"/>
        </w:rPr>
      </w:pPr>
      <w:r>
        <w:rPr>
          <w:sz w:val="24"/>
        </w:rPr>
        <w:t>元古界麻山群</w:t>
      </w:r>
    </w:p>
    <w:p>
      <w:pPr>
        <w:pStyle w:val="6"/>
        <w:spacing w:before="160" w:line="362" w:lineRule="auto"/>
        <w:ind w:left="1040" w:right="985" w:firstLine="480"/>
      </w:pPr>
      <w:r>
        <w:t>广泛出露于矿区的南部，构成煤系地层基底，主要岩性为花岗岩、片麻岩， 其次为黑云母片岩，绿泥石片岩等变质岩类。</w:t>
      </w:r>
    </w:p>
    <w:p>
      <w:pPr>
        <w:pStyle w:val="13"/>
        <w:numPr>
          <w:ilvl w:val="0"/>
          <w:numId w:val="21"/>
        </w:numPr>
        <w:tabs>
          <w:tab w:val="left" w:pos="2121"/>
        </w:tabs>
        <w:spacing w:before="5" w:after="0" w:line="240" w:lineRule="auto"/>
        <w:ind w:left="2121" w:right="0" w:hanging="601"/>
        <w:jc w:val="left"/>
        <w:rPr>
          <w:sz w:val="24"/>
        </w:rPr>
      </w:pPr>
      <w:r>
        <w:rPr>
          <w:sz w:val="24"/>
        </w:rPr>
        <w:t>中生界白垩系鸡西群</w:t>
      </w:r>
    </w:p>
    <w:p>
      <w:pPr>
        <w:pStyle w:val="6"/>
        <w:spacing w:before="158"/>
        <w:ind w:left="1520"/>
      </w:pPr>
      <w:r>
        <w:t>为一套陆相含煤碎屑岩系，不整合于元古界麻山群花岗岩之上，总厚度达</w:t>
      </w:r>
    </w:p>
    <w:p>
      <w:pPr>
        <w:pStyle w:val="6"/>
        <w:spacing w:before="161"/>
        <w:ind w:left="1040"/>
      </w:pPr>
      <w:r>
        <w:rPr>
          <w:rFonts w:ascii="Times New Roman" w:eastAsia="Times New Roman"/>
        </w:rPr>
        <w:t>1000</w:t>
      </w:r>
      <w:r>
        <w:t>米。同时划分为城子河组和穆棱组。</w:t>
      </w:r>
    </w:p>
    <w:p>
      <w:pPr>
        <w:pStyle w:val="6"/>
        <w:spacing w:before="158" w:line="364" w:lineRule="auto"/>
        <w:ind w:left="1040" w:right="955" w:firstLine="480"/>
      </w:pPr>
      <w:r>
        <w:t>①城子河组：全区发育，从钻孔控制来看，厚度</w:t>
      </w:r>
      <w:r>
        <w:rPr>
          <w:rFonts w:ascii="Times New Roman" w:hAnsi="Times New Roman" w:eastAsia="Times New Roman"/>
        </w:rPr>
        <w:t>300-450</w:t>
      </w:r>
      <w:r>
        <w:t>米，其岩性大部分</w:t>
      </w:r>
      <w:r>
        <w:rPr>
          <w:spacing w:val="-14"/>
        </w:rPr>
        <w:t>为灰白色中粒砂岩，灰色粉砂岩及少量泥岩，煤页岩及煤组成。依据岩性、岩相、</w:t>
      </w:r>
      <w:r>
        <w:t>含煤特征，把城子河组分为二段。</w:t>
      </w:r>
    </w:p>
    <w:p>
      <w:pPr>
        <w:pStyle w:val="6"/>
        <w:spacing w:line="364" w:lineRule="auto"/>
        <w:ind w:left="1040" w:right="985" w:firstLine="480"/>
      </w:pPr>
      <w:r>
        <w:t>下段：顶部以</w:t>
      </w:r>
      <w:r>
        <w:rPr>
          <w:rFonts w:ascii="Times New Roman" w:eastAsia="Times New Roman"/>
        </w:rPr>
        <w:t>40</w:t>
      </w:r>
      <w:r>
        <w:rPr>
          <w:spacing w:val="-1"/>
        </w:rPr>
        <w:t xml:space="preserve">煤层下粗砂岩到城子河组底部砾岩，以粗粒的河床相为主， </w:t>
      </w:r>
      <w:r>
        <w:rPr>
          <w:spacing w:val="-9"/>
        </w:rPr>
        <w:t>含有凝灰质，含煤性较差，几乎无可采层，岩性、岩相均较上段变化大，沉积旋回不完整，反应本段沉积环境相当不稳定。</w:t>
      </w:r>
    </w:p>
    <w:p>
      <w:pPr>
        <w:pStyle w:val="6"/>
        <w:spacing w:line="364" w:lineRule="auto"/>
        <w:ind w:left="1040" w:right="1077" w:firstLine="480"/>
        <w:jc w:val="both"/>
      </w:pPr>
      <w:r>
        <w:rPr>
          <w:spacing w:val="-7"/>
        </w:rPr>
        <w:t>上段：顶部以穆棱组底部砂砾岩底界至</w:t>
      </w:r>
      <w:r>
        <w:rPr>
          <w:rFonts w:ascii="Times New Roman" w:eastAsia="Times New Roman"/>
        </w:rPr>
        <w:t>40</w:t>
      </w:r>
      <w:r>
        <w:rPr>
          <w:spacing w:val="-7"/>
        </w:rPr>
        <w:t>煤层下部粗砂岩。以中粗与细粒相</w:t>
      </w:r>
      <w:r>
        <w:t>间的河床相</w:t>
      </w:r>
      <w:r>
        <w:rPr>
          <w:rFonts w:ascii="Times New Roman" w:eastAsia="Times New Roman"/>
        </w:rPr>
        <w:t>-</w:t>
      </w:r>
      <w:r>
        <w:t>河漫相，沼泽相互更替为特点，是煤层主要的赋存部位，亦是勘探的主要对象。</w:t>
      </w:r>
    </w:p>
    <w:p>
      <w:pPr>
        <w:pStyle w:val="6"/>
        <w:spacing w:line="364" w:lineRule="auto"/>
        <w:ind w:left="1040" w:right="957" w:firstLine="480"/>
      </w:pPr>
      <w:r>
        <w:rPr>
          <w:spacing w:val="-5"/>
        </w:rPr>
        <w:t>②穆棱组：以灰白色中粒砂岩和灰</w:t>
      </w:r>
      <w:r>
        <w:rPr>
          <w:rFonts w:ascii="Times New Roman" w:hAnsi="Times New Roman" w:eastAsia="Times New Roman"/>
        </w:rPr>
        <w:t>-</w:t>
      </w:r>
      <w:r>
        <w:rPr>
          <w:spacing w:val="-5"/>
        </w:rPr>
        <w:t>深灰色砂岩相间，沉积韵律较频为特色。</w:t>
      </w:r>
      <w:r>
        <w:rPr>
          <w:spacing w:val="-8"/>
        </w:rPr>
        <w:t>夹凝灰质岩石、炭页和煤层，是以静水相为主，河床相几乎不见、湖泊相、泥炭沼泽相常见，含不可采煤层</w:t>
      </w:r>
      <w:r>
        <w:rPr>
          <w:rFonts w:ascii="Times New Roman" w:hAnsi="Times New Roman" w:eastAsia="Times New Roman"/>
          <w:spacing w:val="-8"/>
        </w:rPr>
        <w:t>6</w:t>
      </w:r>
      <w:r>
        <w:rPr>
          <w:spacing w:val="-8"/>
        </w:rPr>
        <w:t>层，厚度大于</w:t>
      </w:r>
      <w:r>
        <w:rPr>
          <w:rFonts w:ascii="Times New Roman" w:hAnsi="Times New Roman" w:eastAsia="Times New Roman"/>
          <w:spacing w:val="-8"/>
        </w:rPr>
        <w:t>600</w:t>
      </w:r>
      <w:r>
        <w:rPr>
          <w:spacing w:val="-8"/>
        </w:rPr>
        <w:t>米。</w:t>
      </w:r>
    </w:p>
    <w:p>
      <w:pPr>
        <w:pStyle w:val="13"/>
        <w:numPr>
          <w:ilvl w:val="0"/>
          <w:numId w:val="21"/>
        </w:numPr>
        <w:tabs>
          <w:tab w:val="left" w:pos="2121"/>
        </w:tabs>
        <w:spacing w:before="0" w:after="0" w:line="307" w:lineRule="exact"/>
        <w:ind w:left="2121" w:right="0" w:hanging="601"/>
        <w:jc w:val="left"/>
        <w:rPr>
          <w:sz w:val="24"/>
        </w:rPr>
      </w:pPr>
      <w:r>
        <w:rPr>
          <w:sz w:val="24"/>
        </w:rPr>
        <w:t>第三系</w:t>
      </w:r>
    </w:p>
    <w:p>
      <w:pPr>
        <w:pStyle w:val="6"/>
        <w:spacing w:before="154"/>
        <w:ind w:left="1520"/>
      </w:pPr>
      <w:r>
        <w:t>主要岩性为玄武岩，不整合覆盖于煤系地层之上，黑色致密，隐晶质结构。</w:t>
      </w:r>
    </w:p>
    <w:p>
      <w:pPr>
        <w:spacing w:after="0"/>
        <w:sectPr>
          <w:pgSz w:w="11910" w:h="16840"/>
          <w:pgMar w:top="1080" w:right="720" w:bottom="1160" w:left="760" w:header="0" w:footer="89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238" name="组合 39"/>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237" name="直线 40"/>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39"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7toIu1AAAAAMBAAAPAAAAAAAAAAEAIAAAACIAAABkcnMvZG93bnJldi54bWxQ&#10;SwECFAAUAAAACACHTuJAkegVgTQCAAC2BAAADgAAAAAAAAABACAAAAAjAQAAZHJzL2Uyb0RvYy54&#10;bWxQSwUGAAAAAAYABgBZAQAAyQUAAAAA&#10;">
                <o:lock v:ext="edit" aspectratio="f"/>
                <v:line id="直线 40" o:spid="_x0000_s1026" o:spt="20" style="position:absolute;left:0;top:7;height:0;width:8306;" filled="f" stroked="t" coordsize="21600,21600" o:gfxdata="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b2gd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pStyle w:val="6"/>
        <w:spacing w:before="5"/>
        <w:rPr>
          <w:sz w:val="19"/>
        </w:rPr>
      </w:pPr>
    </w:p>
    <w:p>
      <w:pPr>
        <w:pStyle w:val="13"/>
        <w:numPr>
          <w:ilvl w:val="0"/>
          <w:numId w:val="21"/>
        </w:numPr>
        <w:tabs>
          <w:tab w:val="left" w:pos="2121"/>
        </w:tabs>
        <w:spacing w:before="74" w:after="0" w:line="240" w:lineRule="auto"/>
        <w:ind w:left="2121" w:right="0" w:hanging="601"/>
        <w:jc w:val="left"/>
        <w:rPr>
          <w:sz w:val="24"/>
        </w:rPr>
      </w:pPr>
      <w:r>
        <w:rPr>
          <w:sz w:val="24"/>
        </w:rPr>
        <w:t>第四系</w:t>
      </w:r>
    </w:p>
    <w:p>
      <w:pPr>
        <w:pStyle w:val="6"/>
        <w:spacing w:before="161" w:line="362" w:lineRule="auto"/>
        <w:ind w:left="1040" w:right="1077" w:firstLine="480"/>
      </w:pPr>
      <w:r>
        <w:rPr>
          <w:spacing w:val="-8"/>
        </w:rPr>
        <w:t>位于山谷至山麓一带，谷底为冲积层，向上渐变为坡积层，成分多为黏土和</w:t>
      </w:r>
      <w:r>
        <w:t>风化玄武岩，砂岩碎块，两极厚度为</w:t>
      </w:r>
      <w:r>
        <w:rPr>
          <w:rFonts w:ascii="Times New Roman" w:eastAsia="Times New Roman"/>
        </w:rPr>
        <w:t>2-17</w:t>
      </w:r>
      <w:r>
        <w:t>米，一般厚度</w:t>
      </w:r>
      <w:r>
        <w:rPr>
          <w:rFonts w:ascii="Times New Roman" w:eastAsia="Times New Roman"/>
        </w:rPr>
        <w:t>5</w:t>
      </w:r>
      <w:r>
        <w:t>米。</w:t>
      </w:r>
    </w:p>
    <w:p>
      <w:pPr>
        <w:pStyle w:val="6"/>
        <w:spacing w:before="5"/>
        <w:ind w:left="1520"/>
      </w:pPr>
      <w:r>
        <w:rPr>
          <w:rFonts w:ascii="Times New Roman" w:eastAsia="Times New Roman"/>
        </w:rPr>
        <w:t>2</w:t>
      </w:r>
      <w:r>
        <w:t>、井田地层</w:t>
      </w:r>
    </w:p>
    <w:p>
      <w:pPr>
        <w:pStyle w:val="6"/>
        <w:spacing w:before="158"/>
        <w:ind w:left="1520"/>
        <w:rPr>
          <w:b/>
        </w:rPr>
      </w:pPr>
      <w:r>
        <w:t>本井田地层见表</w:t>
      </w:r>
      <w:r>
        <w:rPr>
          <w:rFonts w:ascii="Times New Roman" w:eastAsia="Times New Roman"/>
        </w:rPr>
        <w:t>3.3-4</w:t>
      </w:r>
      <w:r>
        <w:rPr>
          <w:b/>
        </w:rPr>
        <w:t>。</w:t>
      </w:r>
    </w:p>
    <w:p>
      <w:pPr>
        <w:pStyle w:val="5"/>
        <w:spacing w:before="160"/>
        <w:ind w:left="1553" w:right="1108"/>
        <w:jc w:val="center"/>
      </w:pPr>
      <w:r>
        <w:t>表</w:t>
      </w:r>
      <w:r>
        <w:rPr>
          <w:rFonts w:ascii="Times New Roman" w:eastAsia="Times New Roman"/>
        </w:rPr>
        <w:t>3.3-4</w:t>
      </w:r>
      <w:r>
        <w:rPr>
          <w:rFonts w:ascii="Times New Roman" w:eastAsia="Times New Roman"/>
          <w:spacing w:val="59"/>
        </w:rPr>
        <w:t xml:space="preserve"> </w:t>
      </w:r>
      <w:r>
        <w:t>井田地层表</w:t>
      </w:r>
    </w:p>
    <w:p>
      <w:pPr>
        <w:pStyle w:val="6"/>
        <w:rPr>
          <w:b/>
          <w:sz w:val="20"/>
        </w:rPr>
      </w:pPr>
    </w:p>
    <w:p>
      <w:pPr>
        <w:pStyle w:val="6"/>
        <w:spacing w:before="6"/>
        <w:rPr>
          <w:b/>
          <w:sz w:val="11"/>
        </w:rPr>
      </w:pPr>
    </w:p>
    <w:tbl>
      <w:tblPr>
        <w:tblStyle w:val="10"/>
        <w:tblW w:w="0" w:type="auto"/>
        <w:tblInd w:w="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0"/>
        <w:gridCol w:w="1450"/>
        <w:gridCol w:w="1529"/>
        <w:gridCol w:w="1990"/>
        <w:gridCol w:w="1250"/>
        <w:gridCol w:w="17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400" w:type="dxa"/>
          </w:tcPr>
          <w:p>
            <w:pPr>
              <w:pStyle w:val="14"/>
              <w:spacing w:before="22"/>
              <w:ind w:left="110"/>
              <w:rPr>
                <w:sz w:val="21"/>
              </w:rPr>
            </w:pPr>
            <w:r>
              <w:rPr>
                <w:w w:val="99"/>
                <w:sz w:val="21"/>
              </w:rPr>
              <w:t>界</w:t>
            </w:r>
          </w:p>
        </w:tc>
        <w:tc>
          <w:tcPr>
            <w:tcW w:w="1450" w:type="dxa"/>
          </w:tcPr>
          <w:p>
            <w:pPr>
              <w:pStyle w:val="14"/>
              <w:spacing w:before="22"/>
              <w:ind w:left="6"/>
              <w:rPr>
                <w:sz w:val="21"/>
              </w:rPr>
            </w:pPr>
            <w:r>
              <w:rPr>
                <w:w w:val="99"/>
                <w:sz w:val="21"/>
              </w:rPr>
              <w:t>系</w:t>
            </w:r>
          </w:p>
        </w:tc>
        <w:tc>
          <w:tcPr>
            <w:tcW w:w="1529" w:type="dxa"/>
          </w:tcPr>
          <w:p>
            <w:pPr>
              <w:pStyle w:val="14"/>
              <w:spacing w:before="22"/>
              <w:ind w:left="323" w:right="315"/>
              <w:rPr>
                <w:sz w:val="21"/>
              </w:rPr>
            </w:pPr>
            <w:r>
              <w:rPr>
                <w:sz w:val="21"/>
              </w:rPr>
              <w:t>群（统）</w:t>
            </w:r>
          </w:p>
        </w:tc>
        <w:tc>
          <w:tcPr>
            <w:tcW w:w="1990" w:type="dxa"/>
          </w:tcPr>
          <w:p>
            <w:pPr>
              <w:pStyle w:val="14"/>
              <w:spacing w:before="22"/>
              <w:ind w:left="7"/>
              <w:rPr>
                <w:sz w:val="21"/>
              </w:rPr>
            </w:pPr>
            <w:r>
              <w:rPr>
                <w:w w:val="99"/>
                <w:sz w:val="21"/>
              </w:rPr>
              <w:t>组</w:t>
            </w:r>
          </w:p>
        </w:tc>
        <w:tc>
          <w:tcPr>
            <w:tcW w:w="1250" w:type="dxa"/>
          </w:tcPr>
          <w:p>
            <w:pPr>
              <w:pStyle w:val="14"/>
              <w:spacing w:before="22"/>
              <w:ind w:left="392" w:right="387"/>
              <w:rPr>
                <w:sz w:val="21"/>
              </w:rPr>
            </w:pPr>
            <w:r>
              <w:rPr>
                <w:sz w:val="21"/>
              </w:rPr>
              <w:t>符号</w:t>
            </w:r>
          </w:p>
        </w:tc>
        <w:tc>
          <w:tcPr>
            <w:tcW w:w="1725" w:type="dxa"/>
          </w:tcPr>
          <w:p>
            <w:pPr>
              <w:pStyle w:val="14"/>
              <w:spacing w:before="22"/>
              <w:ind w:left="456" w:right="448"/>
              <w:rPr>
                <w:rFonts w:ascii="Times New Roman" w:eastAsia="Times New Roman"/>
                <w:sz w:val="21"/>
              </w:rPr>
            </w:pPr>
            <w:r>
              <w:rPr>
                <w:sz w:val="21"/>
              </w:rPr>
              <w:t>厚度</w:t>
            </w:r>
            <w:r>
              <w:rPr>
                <w:rFonts w:ascii="Times New Roman" w:eastAsia="Times New Roman"/>
                <w:sz w:val="21"/>
              </w:rPr>
              <w:t>(</w:t>
            </w:r>
            <w:r>
              <w:rPr>
                <w:sz w:val="21"/>
              </w:rPr>
              <w:t>米</w:t>
            </w:r>
            <w:r>
              <w:rPr>
                <w:rFonts w:ascii="Times New Roman" w:eastAsia="Times New Roman"/>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00" w:type="dxa"/>
            <w:vMerge w:val="restart"/>
          </w:tcPr>
          <w:p>
            <w:pPr>
              <w:pStyle w:val="14"/>
              <w:jc w:val="left"/>
              <w:rPr>
                <w:b/>
                <w:sz w:val="20"/>
              </w:rPr>
            </w:pPr>
          </w:p>
          <w:p>
            <w:pPr>
              <w:pStyle w:val="14"/>
              <w:spacing w:before="4"/>
              <w:jc w:val="left"/>
              <w:rPr>
                <w:b/>
                <w:sz w:val="19"/>
              </w:rPr>
            </w:pPr>
          </w:p>
          <w:p>
            <w:pPr>
              <w:pStyle w:val="14"/>
              <w:ind w:left="384"/>
              <w:jc w:val="left"/>
              <w:rPr>
                <w:sz w:val="21"/>
              </w:rPr>
            </w:pPr>
            <w:r>
              <w:rPr>
                <w:sz w:val="21"/>
              </w:rPr>
              <w:t>新生界</w:t>
            </w:r>
          </w:p>
        </w:tc>
        <w:tc>
          <w:tcPr>
            <w:tcW w:w="1450" w:type="dxa"/>
          </w:tcPr>
          <w:p>
            <w:pPr>
              <w:pStyle w:val="14"/>
              <w:spacing w:before="22"/>
              <w:ind w:left="389" w:right="381"/>
              <w:rPr>
                <w:sz w:val="21"/>
              </w:rPr>
            </w:pPr>
            <w:r>
              <w:rPr>
                <w:sz w:val="21"/>
              </w:rPr>
              <w:t>第四系</w:t>
            </w:r>
          </w:p>
        </w:tc>
        <w:tc>
          <w:tcPr>
            <w:tcW w:w="1529" w:type="dxa"/>
          </w:tcPr>
          <w:p>
            <w:pPr>
              <w:pStyle w:val="14"/>
              <w:spacing w:before="22"/>
              <w:ind w:left="320" w:right="315"/>
              <w:rPr>
                <w:sz w:val="21"/>
              </w:rPr>
            </w:pPr>
            <w:r>
              <w:rPr>
                <w:sz w:val="21"/>
              </w:rPr>
              <w:t>全新统</w:t>
            </w:r>
          </w:p>
        </w:tc>
        <w:tc>
          <w:tcPr>
            <w:tcW w:w="1990" w:type="dxa"/>
          </w:tcPr>
          <w:p>
            <w:pPr>
              <w:pStyle w:val="14"/>
              <w:spacing w:before="22"/>
              <w:ind w:left="553" w:right="543"/>
              <w:rPr>
                <w:sz w:val="21"/>
              </w:rPr>
            </w:pPr>
            <w:r>
              <w:rPr>
                <w:sz w:val="21"/>
              </w:rPr>
              <w:t>冲积层</w:t>
            </w:r>
          </w:p>
        </w:tc>
        <w:tc>
          <w:tcPr>
            <w:tcW w:w="1250" w:type="dxa"/>
          </w:tcPr>
          <w:p>
            <w:pPr>
              <w:pStyle w:val="14"/>
              <w:spacing w:before="35"/>
              <w:ind w:left="392" w:right="381"/>
              <w:rPr>
                <w:rFonts w:ascii="Times New Roman"/>
                <w:sz w:val="21"/>
              </w:rPr>
            </w:pPr>
            <w:r>
              <w:rPr>
                <w:rFonts w:ascii="Times New Roman"/>
                <w:sz w:val="21"/>
              </w:rPr>
              <w:t>Q4</w:t>
            </w:r>
          </w:p>
        </w:tc>
        <w:tc>
          <w:tcPr>
            <w:tcW w:w="1725" w:type="dxa"/>
          </w:tcPr>
          <w:p>
            <w:pPr>
              <w:pStyle w:val="14"/>
              <w:spacing w:before="35"/>
              <w:ind w:left="453" w:right="448"/>
              <w:rPr>
                <w:rFonts w:ascii="Times New Roman"/>
                <w:sz w:val="21"/>
              </w:rPr>
            </w:pPr>
            <w:r>
              <w:rPr>
                <w:rFonts w:ascii="Times New Roman"/>
                <w:sz w:val="21"/>
              </w:rPr>
              <w:t>2-60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400" w:type="dxa"/>
            <w:vMerge w:val="continue"/>
            <w:tcBorders>
              <w:top w:val="nil"/>
            </w:tcBorders>
          </w:tcPr>
          <w:p>
            <w:pPr>
              <w:rPr>
                <w:sz w:val="2"/>
                <w:szCs w:val="2"/>
              </w:rPr>
            </w:pPr>
          </w:p>
        </w:tc>
        <w:tc>
          <w:tcPr>
            <w:tcW w:w="1450" w:type="dxa"/>
          </w:tcPr>
          <w:p>
            <w:pPr>
              <w:pStyle w:val="14"/>
              <w:spacing w:before="21"/>
              <w:ind w:left="389" w:right="381"/>
              <w:rPr>
                <w:sz w:val="21"/>
              </w:rPr>
            </w:pPr>
            <w:r>
              <w:rPr>
                <w:sz w:val="21"/>
              </w:rPr>
              <w:t>新近系</w:t>
            </w:r>
          </w:p>
        </w:tc>
        <w:tc>
          <w:tcPr>
            <w:tcW w:w="1529" w:type="dxa"/>
          </w:tcPr>
          <w:p>
            <w:pPr>
              <w:pStyle w:val="14"/>
              <w:spacing w:before="21"/>
              <w:ind w:left="320" w:right="315"/>
              <w:rPr>
                <w:sz w:val="21"/>
              </w:rPr>
            </w:pPr>
            <w:r>
              <w:rPr>
                <w:sz w:val="21"/>
              </w:rPr>
              <w:t>中新统</w:t>
            </w:r>
          </w:p>
        </w:tc>
        <w:tc>
          <w:tcPr>
            <w:tcW w:w="1990" w:type="dxa"/>
          </w:tcPr>
          <w:p>
            <w:pPr>
              <w:pStyle w:val="14"/>
              <w:spacing w:before="21"/>
              <w:ind w:left="553" w:right="543"/>
              <w:rPr>
                <w:sz w:val="21"/>
              </w:rPr>
            </w:pPr>
            <w:r>
              <w:rPr>
                <w:sz w:val="21"/>
              </w:rPr>
              <w:t>玄武岩</w:t>
            </w:r>
          </w:p>
        </w:tc>
        <w:tc>
          <w:tcPr>
            <w:tcW w:w="1250" w:type="dxa"/>
          </w:tcPr>
          <w:p>
            <w:pPr>
              <w:pStyle w:val="14"/>
              <w:spacing w:before="35"/>
              <w:ind w:left="392" w:right="384"/>
              <w:rPr>
                <w:rFonts w:ascii="Times New Roman" w:hAnsi="Times New Roman"/>
                <w:sz w:val="21"/>
              </w:rPr>
            </w:pPr>
            <w:r>
              <w:rPr>
                <w:rFonts w:ascii="Times New Roman" w:hAnsi="Times New Roman"/>
                <w:sz w:val="21"/>
              </w:rPr>
              <w:t>Βn</w:t>
            </w:r>
          </w:p>
        </w:tc>
        <w:tc>
          <w:tcPr>
            <w:tcW w:w="1725" w:type="dxa"/>
          </w:tcPr>
          <w:p>
            <w:pPr>
              <w:pStyle w:val="14"/>
              <w:spacing w:before="35"/>
              <w:ind w:left="453" w:right="448"/>
              <w:rPr>
                <w:rFonts w:ascii="Times New Roman"/>
                <w:sz w:val="21"/>
              </w:rPr>
            </w:pPr>
            <w:r>
              <w:rPr>
                <w:rFonts w:ascii="Times New Roman"/>
                <w:sz w:val="21"/>
              </w:rPr>
              <w:t>0-40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00" w:type="dxa"/>
            <w:vMerge w:val="continue"/>
            <w:tcBorders>
              <w:top w:val="nil"/>
            </w:tcBorders>
          </w:tcPr>
          <w:p>
            <w:pPr>
              <w:rPr>
                <w:sz w:val="2"/>
                <w:szCs w:val="2"/>
              </w:rPr>
            </w:pPr>
          </w:p>
        </w:tc>
        <w:tc>
          <w:tcPr>
            <w:tcW w:w="1450" w:type="dxa"/>
            <w:vMerge w:val="restart"/>
          </w:tcPr>
          <w:p>
            <w:pPr>
              <w:pStyle w:val="14"/>
              <w:spacing w:before="2"/>
              <w:jc w:val="left"/>
              <w:rPr>
                <w:b/>
                <w:sz w:val="14"/>
              </w:rPr>
            </w:pPr>
          </w:p>
          <w:p>
            <w:pPr>
              <w:pStyle w:val="14"/>
              <w:ind w:left="409"/>
              <w:jc w:val="left"/>
              <w:rPr>
                <w:sz w:val="21"/>
              </w:rPr>
            </w:pPr>
            <w:r>
              <w:rPr>
                <w:sz w:val="21"/>
              </w:rPr>
              <w:t>白垩系</w:t>
            </w:r>
          </w:p>
        </w:tc>
        <w:tc>
          <w:tcPr>
            <w:tcW w:w="1529" w:type="dxa"/>
            <w:vMerge w:val="restart"/>
          </w:tcPr>
          <w:p>
            <w:pPr>
              <w:pStyle w:val="14"/>
              <w:spacing w:before="2"/>
              <w:jc w:val="left"/>
              <w:rPr>
                <w:b/>
                <w:sz w:val="14"/>
              </w:rPr>
            </w:pPr>
          </w:p>
          <w:p>
            <w:pPr>
              <w:pStyle w:val="14"/>
              <w:ind w:left="320" w:right="315"/>
              <w:rPr>
                <w:sz w:val="21"/>
              </w:rPr>
            </w:pPr>
            <w:r>
              <w:rPr>
                <w:sz w:val="21"/>
              </w:rPr>
              <w:t>下统</w:t>
            </w:r>
          </w:p>
        </w:tc>
        <w:tc>
          <w:tcPr>
            <w:tcW w:w="1990" w:type="dxa"/>
          </w:tcPr>
          <w:p>
            <w:pPr>
              <w:pStyle w:val="14"/>
              <w:spacing w:before="21"/>
              <w:ind w:left="553" w:right="543"/>
              <w:rPr>
                <w:sz w:val="21"/>
              </w:rPr>
            </w:pPr>
            <w:r>
              <w:rPr>
                <w:sz w:val="21"/>
              </w:rPr>
              <w:t>穆棱组</w:t>
            </w:r>
          </w:p>
        </w:tc>
        <w:tc>
          <w:tcPr>
            <w:tcW w:w="1250" w:type="dxa"/>
          </w:tcPr>
          <w:p>
            <w:pPr>
              <w:pStyle w:val="14"/>
              <w:spacing w:before="35"/>
              <w:ind w:left="392" w:right="386"/>
              <w:rPr>
                <w:rFonts w:ascii="Times New Roman"/>
                <w:sz w:val="21"/>
              </w:rPr>
            </w:pPr>
            <w:r>
              <w:rPr>
                <w:rFonts w:ascii="Times New Roman"/>
                <w:sz w:val="21"/>
              </w:rPr>
              <w:t>K1m</w:t>
            </w:r>
          </w:p>
        </w:tc>
        <w:tc>
          <w:tcPr>
            <w:tcW w:w="1725" w:type="dxa"/>
          </w:tcPr>
          <w:p>
            <w:pPr>
              <w:pStyle w:val="14"/>
              <w:spacing w:before="35"/>
              <w:ind w:left="456" w:right="447"/>
              <w:rPr>
                <w:rFonts w:ascii="Times New Roman"/>
                <w:sz w:val="21"/>
              </w:rPr>
            </w:pPr>
            <w:r>
              <w:rPr>
                <w:rFonts w:ascii="Times New Roman"/>
                <w:sz w:val="21"/>
              </w:rPr>
              <w:t>0-300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00" w:type="dxa"/>
            <w:vMerge w:val="continue"/>
            <w:tcBorders>
              <w:top w:val="nil"/>
            </w:tcBorders>
          </w:tcPr>
          <w:p>
            <w:pPr>
              <w:rPr>
                <w:sz w:val="2"/>
                <w:szCs w:val="2"/>
              </w:rPr>
            </w:pPr>
          </w:p>
        </w:tc>
        <w:tc>
          <w:tcPr>
            <w:tcW w:w="1450" w:type="dxa"/>
            <w:vMerge w:val="continue"/>
            <w:tcBorders>
              <w:top w:val="nil"/>
            </w:tcBorders>
          </w:tcPr>
          <w:p>
            <w:pPr>
              <w:rPr>
                <w:sz w:val="2"/>
                <w:szCs w:val="2"/>
              </w:rPr>
            </w:pPr>
          </w:p>
        </w:tc>
        <w:tc>
          <w:tcPr>
            <w:tcW w:w="1529" w:type="dxa"/>
            <w:vMerge w:val="continue"/>
            <w:tcBorders>
              <w:top w:val="nil"/>
            </w:tcBorders>
          </w:tcPr>
          <w:p>
            <w:pPr>
              <w:rPr>
                <w:sz w:val="2"/>
                <w:szCs w:val="2"/>
              </w:rPr>
            </w:pPr>
          </w:p>
        </w:tc>
        <w:tc>
          <w:tcPr>
            <w:tcW w:w="1990" w:type="dxa"/>
          </w:tcPr>
          <w:p>
            <w:pPr>
              <w:pStyle w:val="14"/>
              <w:spacing w:before="20"/>
              <w:ind w:left="553" w:right="546"/>
              <w:rPr>
                <w:sz w:val="21"/>
              </w:rPr>
            </w:pPr>
            <w:r>
              <w:rPr>
                <w:sz w:val="21"/>
              </w:rPr>
              <w:t>城子河组</w:t>
            </w:r>
          </w:p>
        </w:tc>
        <w:tc>
          <w:tcPr>
            <w:tcW w:w="1250" w:type="dxa"/>
          </w:tcPr>
          <w:p>
            <w:pPr>
              <w:pStyle w:val="14"/>
              <w:spacing w:before="34"/>
              <w:ind w:left="392" w:right="383"/>
              <w:rPr>
                <w:rFonts w:ascii="Times New Roman"/>
                <w:sz w:val="21"/>
              </w:rPr>
            </w:pPr>
            <w:r>
              <w:rPr>
                <w:rFonts w:ascii="Times New Roman"/>
                <w:sz w:val="21"/>
              </w:rPr>
              <w:t>K1c</w:t>
            </w:r>
          </w:p>
        </w:tc>
        <w:tc>
          <w:tcPr>
            <w:tcW w:w="1725" w:type="dxa"/>
          </w:tcPr>
          <w:p>
            <w:pPr>
              <w:pStyle w:val="14"/>
              <w:spacing w:before="34"/>
              <w:ind w:left="456" w:right="447"/>
              <w:rPr>
                <w:rFonts w:ascii="Times New Roman"/>
                <w:sz w:val="21"/>
              </w:rPr>
            </w:pPr>
            <w:r>
              <w:rPr>
                <w:rFonts w:ascii="Times New Roman"/>
                <w:sz w:val="21"/>
              </w:rPr>
              <w:t>250-500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400" w:type="dxa"/>
          </w:tcPr>
          <w:p>
            <w:pPr>
              <w:pStyle w:val="14"/>
              <w:spacing w:before="20"/>
              <w:ind w:left="240" w:right="233"/>
              <w:rPr>
                <w:sz w:val="21"/>
              </w:rPr>
            </w:pPr>
            <w:r>
              <w:rPr>
                <w:sz w:val="21"/>
              </w:rPr>
              <w:t>古生界</w:t>
            </w:r>
          </w:p>
        </w:tc>
        <w:tc>
          <w:tcPr>
            <w:tcW w:w="1450" w:type="dxa"/>
          </w:tcPr>
          <w:p>
            <w:pPr>
              <w:pStyle w:val="14"/>
              <w:jc w:val="left"/>
              <w:rPr>
                <w:rFonts w:ascii="Times New Roman"/>
                <w:sz w:val="22"/>
              </w:rPr>
            </w:pPr>
          </w:p>
        </w:tc>
        <w:tc>
          <w:tcPr>
            <w:tcW w:w="1529" w:type="dxa"/>
          </w:tcPr>
          <w:p>
            <w:pPr>
              <w:pStyle w:val="14"/>
              <w:spacing w:before="20"/>
              <w:ind w:left="320" w:right="315"/>
              <w:rPr>
                <w:sz w:val="21"/>
              </w:rPr>
            </w:pPr>
            <w:r>
              <w:rPr>
                <w:sz w:val="21"/>
              </w:rPr>
              <w:t>麻山群</w:t>
            </w:r>
          </w:p>
        </w:tc>
        <w:tc>
          <w:tcPr>
            <w:tcW w:w="1990" w:type="dxa"/>
          </w:tcPr>
          <w:p>
            <w:pPr>
              <w:pStyle w:val="14"/>
              <w:spacing w:before="20"/>
              <w:ind w:left="553" w:right="543"/>
              <w:rPr>
                <w:sz w:val="21"/>
              </w:rPr>
            </w:pPr>
            <w:r>
              <w:rPr>
                <w:sz w:val="21"/>
              </w:rPr>
              <w:t>柳毛组</w:t>
            </w:r>
          </w:p>
        </w:tc>
        <w:tc>
          <w:tcPr>
            <w:tcW w:w="1250" w:type="dxa"/>
          </w:tcPr>
          <w:p>
            <w:pPr>
              <w:pStyle w:val="14"/>
              <w:spacing w:before="34"/>
              <w:ind w:left="392" w:right="386"/>
              <w:rPr>
                <w:rFonts w:ascii="Times New Roman"/>
                <w:sz w:val="21"/>
              </w:rPr>
            </w:pPr>
            <w:r>
              <w:rPr>
                <w:rFonts w:ascii="Times New Roman"/>
                <w:sz w:val="21"/>
              </w:rPr>
              <w:t>Ptlm</w:t>
            </w:r>
          </w:p>
        </w:tc>
        <w:tc>
          <w:tcPr>
            <w:tcW w:w="1725" w:type="dxa"/>
          </w:tcPr>
          <w:p>
            <w:pPr>
              <w:pStyle w:val="14"/>
              <w:spacing w:before="20"/>
              <w:ind w:left="456" w:right="447"/>
              <w:rPr>
                <w:rFonts w:ascii="Times New Roman" w:eastAsia="Times New Roman"/>
                <w:sz w:val="21"/>
              </w:rPr>
            </w:pPr>
            <w:r>
              <w:rPr>
                <w:sz w:val="21"/>
              </w:rPr>
              <w:t>＞</w:t>
            </w:r>
            <w:r>
              <w:rPr>
                <w:rFonts w:ascii="Times New Roman" w:eastAsia="Times New Roman"/>
                <w:sz w:val="21"/>
              </w:rPr>
              <w:t>800</w:t>
            </w:r>
          </w:p>
        </w:tc>
      </w:tr>
    </w:tbl>
    <w:p>
      <w:pPr>
        <w:pStyle w:val="6"/>
        <w:spacing w:before="4"/>
        <w:ind w:left="1520"/>
      </w:pPr>
      <w:r>
        <w:t>地层层序由老至新分述如下：</w:t>
      </w:r>
    </w:p>
    <w:p>
      <w:pPr>
        <w:pStyle w:val="13"/>
        <w:numPr>
          <w:ilvl w:val="0"/>
          <w:numId w:val="22"/>
        </w:numPr>
        <w:tabs>
          <w:tab w:val="left" w:pos="2121"/>
        </w:tabs>
        <w:spacing w:before="158" w:after="0" w:line="240" w:lineRule="auto"/>
        <w:ind w:left="2121" w:right="0" w:hanging="601"/>
        <w:jc w:val="left"/>
        <w:rPr>
          <w:sz w:val="24"/>
        </w:rPr>
      </w:pPr>
      <w:r>
        <w:rPr>
          <w:sz w:val="24"/>
        </w:rPr>
        <w:t>元古界麻山群</w:t>
      </w:r>
    </w:p>
    <w:p>
      <w:pPr>
        <w:pStyle w:val="6"/>
        <w:spacing w:before="158" w:line="364" w:lineRule="auto"/>
        <w:ind w:left="1040" w:right="985" w:firstLine="480"/>
      </w:pPr>
      <w:r>
        <w:t>广泛出露于矿区的南部，构成煤系地层基底，主要岩性为花岗岩、片麻岩， 其次为黑云母片岩，绿泥石片岩等变质岩类，厚度大于</w:t>
      </w:r>
      <w:r>
        <w:rPr>
          <w:rFonts w:ascii="Times New Roman" w:eastAsia="Times New Roman"/>
        </w:rPr>
        <w:t>800</w:t>
      </w:r>
      <w:r>
        <w:t>米。</w:t>
      </w:r>
    </w:p>
    <w:p>
      <w:pPr>
        <w:pStyle w:val="13"/>
        <w:numPr>
          <w:ilvl w:val="0"/>
          <w:numId w:val="22"/>
        </w:numPr>
        <w:tabs>
          <w:tab w:val="left" w:pos="2121"/>
        </w:tabs>
        <w:spacing w:before="0" w:after="0" w:line="306" w:lineRule="exact"/>
        <w:ind w:left="2121" w:right="0" w:hanging="601"/>
        <w:jc w:val="left"/>
        <w:rPr>
          <w:sz w:val="24"/>
        </w:rPr>
      </w:pPr>
      <w:r>
        <w:rPr>
          <w:sz w:val="24"/>
        </w:rPr>
        <w:t>中生界白垩系鸡西群</w:t>
      </w:r>
    </w:p>
    <w:p>
      <w:pPr>
        <w:pStyle w:val="6"/>
        <w:spacing w:before="161" w:line="364" w:lineRule="auto"/>
        <w:ind w:left="1040" w:right="1077" w:firstLine="480"/>
      </w:pPr>
      <w:r>
        <w:rPr>
          <w:spacing w:val="-13"/>
        </w:rPr>
        <w:t>为一套陆相含煤碎屑岩系，不整合于元古界麻山群花岗岩之上，总厚度达</w:t>
      </w:r>
      <w:r>
        <w:rPr>
          <w:rFonts w:ascii="Times New Roman" w:eastAsia="Times New Roman"/>
          <w:spacing w:val="-6"/>
        </w:rPr>
        <w:t xml:space="preserve">800 </w:t>
      </w:r>
      <w:r>
        <w:t>米。划分为城子河组和穆棱组。</w:t>
      </w:r>
    </w:p>
    <w:p>
      <w:pPr>
        <w:pStyle w:val="6"/>
        <w:spacing w:line="364" w:lineRule="auto"/>
        <w:ind w:left="1040" w:right="1077" w:firstLine="480"/>
        <w:jc w:val="both"/>
      </w:pPr>
      <w:r>
        <w:rPr>
          <w:spacing w:val="-11"/>
        </w:rPr>
        <w:t>①城子河组：全区发育，其岩性大部分为灰白色中粒砂岩，灰色粉砂岩及少</w:t>
      </w:r>
      <w:r>
        <w:rPr>
          <w:spacing w:val="-10"/>
        </w:rPr>
        <w:t>量泥岩，煤页岩及煤组成。依据岩性、岩相、含煤特征，该组地层在横头山地区</w:t>
      </w:r>
      <w:r>
        <w:t>总厚度</w:t>
      </w:r>
      <w:r>
        <w:rPr>
          <w:rFonts w:ascii="Times New Roman" w:hAnsi="Times New Roman" w:eastAsia="Times New Roman"/>
        </w:rPr>
        <w:t>500</w:t>
      </w:r>
      <w:r>
        <w:t>余米，含煤</w:t>
      </w:r>
      <w:r>
        <w:rPr>
          <w:rFonts w:ascii="Times New Roman" w:hAnsi="Times New Roman" w:eastAsia="Times New Roman"/>
        </w:rPr>
        <w:t>20</w:t>
      </w:r>
      <w:r>
        <w:t>多层，其中煤厚达工业指标要求的有</w:t>
      </w:r>
      <w:r>
        <w:rPr>
          <w:rFonts w:ascii="Times New Roman" w:hAnsi="Times New Roman" w:eastAsia="Times New Roman"/>
        </w:rPr>
        <w:t>10</w:t>
      </w:r>
      <w:r>
        <w:t>、</w:t>
      </w:r>
      <w:r>
        <w:rPr>
          <w:rFonts w:ascii="Times New Roman" w:hAnsi="Times New Roman" w:eastAsia="Times New Roman"/>
        </w:rPr>
        <w:t>15</w:t>
      </w:r>
      <w:r>
        <w:t>、</w:t>
      </w:r>
      <w:r>
        <w:rPr>
          <w:rFonts w:ascii="Times New Roman" w:hAnsi="Times New Roman" w:eastAsia="Times New Roman"/>
        </w:rPr>
        <w:t>20</w:t>
      </w:r>
      <w:r>
        <w:t>、</w:t>
      </w:r>
      <w:r>
        <w:rPr>
          <w:rFonts w:ascii="Times New Roman" w:hAnsi="Times New Roman" w:eastAsia="Times New Roman"/>
        </w:rPr>
        <w:t>30</w:t>
      </w:r>
      <w:r>
        <w:rPr>
          <w:spacing w:val="-13"/>
        </w:rPr>
        <w:t>等</w:t>
      </w:r>
      <w:r>
        <w:rPr>
          <w:spacing w:val="-9"/>
        </w:rPr>
        <w:t>四个煤层。依据岩性及含煤性等组合特征，将该组地层划分为上、中、下三个含</w:t>
      </w:r>
      <w:r>
        <w:t>煤段。</w:t>
      </w:r>
    </w:p>
    <w:p>
      <w:pPr>
        <w:pStyle w:val="6"/>
        <w:spacing w:line="306" w:lineRule="exact"/>
        <w:ind w:left="1520"/>
      </w:pPr>
      <w:r>
        <w:t>上含煤段</w:t>
      </w:r>
    </w:p>
    <w:p>
      <w:pPr>
        <w:pStyle w:val="6"/>
        <w:spacing w:before="157" w:line="364" w:lineRule="auto"/>
        <w:ind w:left="1040" w:right="1077" w:firstLine="480"/>
        <w:jc w:val="both"/>
      </w:pPr>
      <w:r>
        <w:t>从穆棱组底界面以下到</w:t>
      </w:r>
      <w:r>
        <w:rPr>
          <w:rFonts w:ascii="Times New Roman" w:eastAsia="Times New Roman"/>
        </w:rPr>
        <w:t>10</w:t>
      </w:r>
      <w:r>
        <w:t>煤层之上</w:t>
      </w:r>
      <w:r>
        <w:rPr>
          <w:rFonts w:ascii="Times New Roman" w:eastAsia="Times New Roman"/>
        </w:rPr>
        <w:t>20</w:t>
      </w:r>
      <w:r>
        <w:rPr>
          <w:spacing w:val="-8"/>
        </w:rPr>
        <w:t>余米处一层灰色含砾中粗砂岩。该段地</w:t>
      </w:r>
      <w:r>
        <w:t>层厚度</w:t>
      </w:r>
      <w:r>
        <w:rPr>
          <w:rFonts w:ascii="Times New Roman" w:eastAsia="Times New Roman"/>
        </w:rPr>
        <w:t>180</w:t>
      </w:r>
      <w:r>
        <w:t>余米，含煤</w:t>
      </w:r>
      <w:r>
        <w:rPr>
          <w:rFonts w:ascii="Times New Roman" w:eastAsia="Times New Roman"/>
        </w:rPr>
        <w:t>10</w:t>
      </w:r>
      <w:r>
        <w:rPr>
          <w:spacing w:val="-1"/>
        </w:rPr>
        <w:t>余层，均不可采。该段岩性以深灰色粉砂岩为主，夹有</w:t>
      </w:r>
      <w:r>
        <w:t>少量灰白色中细砂岩组成。</w:t>
      </w:r>
    </w:p>
    <w:p>
      <w:pPr>
        <w:pStyle w:val="6"/>
        <w:spacing w:line="307" w:lineRule="exact"/>
        <w:ind w:left="1520"/>
      </w:pPr>
      <w:r>
        <w:t>中含煤段</w:t>
      </w:r>
    </w:p>
    <w:p>
      <w:pPr>
        <w:pStyle w:val="6"/>
        <w:spacing w:before="158" w:line="364" w:lineRule="auto"/>
        <w:ind w:left="1040" w:right="1077" w:firstLine="480"/>
      </w:pPr>
      <w:r>
        <w:t>从上含煤段底界面到</w:t>
      </w:r>
      <w:r>
        <w:rPr>
          <w:rFonts w:ascii="Times New Roman" w:eastAsia="Times New Roman"/>
        </w:rPr>
        <w:t>50</w:t>
      </w:r>
      <w:r>
        <w:t>煤层下部</w:t>
      </w:r>
      <w:r>
        <w:rPr>
          <w:rFonts w:ascii="Times New Roman" w:eastAsia="Times New Roman"/>
        </w:rPr>
        <w:t>10</w:t>
      </w:r>
      <w:r>
        <w:t>米处粗砂岩。该段地层厚度在</w:t>
      </w:r>
      <w:r>
        <w:rPr>
          <w:rFonts w:ascii="Times New Roman" w:eastAsia="Times New Roman"/>
        </w:rPr>
        <w:t>200</w:t>
      </w:r>
      <w:r>
        <w:rPr>
          <w:spacing w:val="-5"/>
        </w:rPr>
        <w:t>米，含</w:t>
      </w:r>
      <w:r>
        <w:t>煤</w:t>
      </w:r>
      <w:r>
        <w:rPr>
          <w:rFonts w:ascii="Times New Roman" w:eastAsia="Times New Roman"/>
        </w:rPr>
        <w:t>7</w:t>
      </w:r>
      <w:r>
        <w:t>－</w:t>
      </w:r>
      <w:r>
        <w:rPr>
          <w:rFonts w:ascii="Times New Roman" w:eastAsia="Times New Roman"/>
        </w:rPr>
        <w:t>8</w:t>
      </w:r>
      <w:r>
        <w:rPr>
          <w:spacing w:val="-6"/>
        </w:rPr>
        <w:t>层，其中</w:t>
      </w:r>
      <w:r>
        <w:rPr>
          <w:rFonts w:ascii="Times New Roman" w:eastAsia="Times New Roman"/>
        </w:rPr>
        <w:t>10</w:t>
      </w:r>
      <w:r>
        <w:rPr>
          <w:spacing w:val="-20"/>
        </w:rPr>
        <w:t>、</w:t>
      </w:r>
      <w:r>
        <w:rPr>
          <w:rFonts w:ascii="Times New Roman" w:eastAsia="Times New Roman"/>
        </w:rPr>
        <w:t>15</w:t>
      </w:r>
      <w:r>
        <w:rPr>
          <w:spacing w:val="-1"/>
        </w:rPr>
        <w:t>号煤层为主要可采煤层，</w:t>
      </w:r>
      <w:r>
        <w:rPr>
          <w:rFonts w:ascii="Times New Roman" w:eastAsia="Times New Roman"/>
          <w:spacing w:val="-6"/>
        </w:rPr>
        <w:t>20</w:t>
      </w:r>
      <w:r>
        <w:rPr>
          <w:spacing w:val="-20"/>
        </w:rPr>
        <w:t>、</w:t>
      </w:r>
      <w:r>
        <w:rPr>
          <w:rFonts w:ascii="Times New Roman" w:eastAsia="Times New Roman"/>
        </w:rPr>
        <w:t>30</w:t>
      </w:r>
      <w:r>
        <w:rPr>
          <w:spacing w:val="-4"/>
        </w:rPr>
        <w:t>煤层为局部可采煤层。其</w:t>
      </w:r>
    </w:p>
    <w:p>
      <w:pPr>
        <w:spacing w:after="0" w:line="364" w:lineRule="auto"/>
        <w:sectPr>
          <w:pgSz w:w="11910" w:h="16840"/>
          <w:pgMar w:top="1080" w:right="720" w:bottom="1160" w:left="760" w:header="0" w:footer="89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240" name="组合 41"/>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239" name="直线 42"/>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41"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aCLtQAAAADAQAADwAAAAAAAAABACAAAAAiAAAAZHJzL2Rvd25yZXYueG1s&#10;UEsBAhQAFAAAAAgAh07iQDCgFHQ1AgAAtgQAAA4AAAAAAAAAAQAgAAAAIwEAAGRycy9lMm9Eb2Mu&#10;eG1sUEsFBgAAAAAGAAYAWQEAAMoFAAAAAA==&#10;">
                <o:lock v:ext="edit" aspectratio="f"/>
                <v:line id="直线 42" o:spid="_x0000_s1026" o:spt="20" style="position:absolute;left:0;top:7;height:0;width:8306;" filled="f" stroked="t" coordsize="21600,21600" o:gfxdata="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xZ9L4A&#10;AADcAAAADwAAAAAAAAABACAAAAAiAAAAZHJzL2Rvd25yZXYueG1sUEsBAhQAFAAAAAgAh07iQDMv&#10;BZ47AAAAOQAAABAAAAAAAAAAAQAgAAAADQEAAGRycy9zaGFwZXhtbC54bWxQSwUGAAAAAAYABgBb&#10;AQAAtwMAAAAA&#10;">
                  <v:fill on="f" focussize="0,0"/>
                  <v:stroke weight="0.72pt" color="#000000" joinstyle="round"/>
                  <v:imagedata o:title=""/>
                  <o:lock v:ext="edit" aspectratio="f"/>
                </v:line>
                <w10:wrap type="none"/>
                <w10:anchorlock/>
              </v:group>
            </w:pict>
          </mc:Fallback>
        </mc:AlternateContent>
      </w:r>
    </w:p>
    <w:p>
      <w:pPr>
        <w:pStyle w:val="6"/>
        <w:spacing w:before="5"/>
        <w:rPr>
          <w:sz w:val="19"/>
        </w:rPr>
      </w:pPr>
    </w:p>
    <w:p>
      <w:pPr>
        <w:pStyle w:val="6"/>
        <w:spacing w:before="74" w:line="364" w:lineRule="auto"/>
        <w:ind w:left="1040" w:right="985"/>
      </w:pPr>
      <w:r>
        <w:t>中</w:t>
      </w:r>
      <w:r>
        <w:rPr>
          <w:rFonts w:ascii="Times New Roman" w:eastAsia="Times New Roman"/>
        </w:rPr>
        <w:t>20</w:t>
      </w:r>
      <w:r>
        <w:t xml:space="preserve">煤层可采范围在大顺煤矿的北部即现在的扩大区范围和原顺达煤矿范围内， </w:t>
      </w:r>
      <w:r>
        <w:rPr>
          <w:rFonts w:ascii="Times New Roman" w:eastAsia="Times New Roman"/>
        </w:rPr>
        <w:t>30</w:t>
      </w:r>
      <w:r>
        <w:t>煤层可采范围在大顺煤矿的西部及扩大区范围，其它各煤层均不可采。煤层为薄</w:t>
      </w:r>
      <w:r>
        <w:rPr>
          <w:rFonts w:ascii="Times New Roman" w:eastAsia="Times New Roman"/>
        </w:rPr>
        <w:t>-</w:t>
      </w:r>
      <w:r>
        <w:t>中厚煤层，其中</w:t>
      </w:r>
      <w:r>
        <w:rPr>
          <w:rFonts w:ascii="Times New Roman" w:eastAsia="Times New Roman"/>
        </w:rPr>
        <w:t>15</w:t>
      </w:r>
      <w:r>
        <w:t>煤层为薄</w:t>
      </w:r>
      <w:r>
        <w:rPr>
          <w:rFonts w:ascii="Times New Roman" w:eastAsia="Times New Roman"/>
        </w:rPr>
        <w:t>-</w:t>
      </w:r>
      <w:r>
        <w:t>中厚煤层，其它煤层为薄煤层。该段岩性以灰白色细砂岩为主，夹有深灰色粉砂岩。</w:t>
      </w:r>
    </w:p>
    <w:p>
      <w:pPr>
        <w:pStyle w:val="6"/>
        <w:spacing w:line="305" w:lineRule="exact"/>
        <w:ind w:left="1520"/>
      </w:pPr>
      <w:r>
        <w:t>下含煤段</w:t>
      </w:r>
    </w:p>
    <w:p>
      <w:pPr>
        <w:pStyle w:val="6"/>
        <w:spacing w:before="161" w:line="364" w:lineRule="auto"/>
        <w:ind w:left="1040" w:right="957" w:firstLine="480"/>
      </w:pPr>
      <w:r>
        <w:t>从中含煤段以下到基底之间这段地层。一般厚度在</w:t>
      </w:r>
      <w:r>
        <w:rPr>
          <w:rFonts w:ascii="Times New Roman" w:eastAsia="Times New Roman"/>
        </w:rPr>
        <w:t>100</w:t>
      </w:r>
      <w:r>
        <w:t>余米，含有</w:t>
      </w:r>
      <w:r>
        <w:rPr>
          <w:rFonts w:ascii="Times New Roman" w:eastAsia="Times New Roman"/>
        </w:rPr>
        <w:t>6</w:t>
      </w:r>
      <w:r>
        <w:t>－</w:t>
      </w:r>
      <w:r>
        <w:rPr>
          <w:rFonts w:ascii="Times New Roman" w:eastAsia="Times New Roman"/>
        </w:rPr>
        <w:t>7</w:t>
      </w:r>
      <w:r>
        <w:t>层薄</w:t>
      </w:r>
      <w:r>
        <w:rPr>
          <w:spacing w:val="-13"/>
        </w:rPr>
        <w:t>煤层，均无开采价值。该段岩性上部夹有两层浅绿色厚度在</w:t>
      </w:r>
      <w:r>
        <w:rPr>
          <w:rFonts w:ascii="Times New Roman" w:eastAsia="Times New Roman"/>
        </w:rPr>
        <w:t>1.00</w:t>
      </w:r>
      <w:r>
        <w:rPr>
          <w:spacing w:val="-2"/>
        </w:rPr>
        <w:t xml:space="preserve">米左右的凝灰岩， </w:t>
      </w:r>
      <w:r>
        <w:t>全段以灰－灰白色中砂岩为主，夹有薄层深灰色粉砂岩及灰色含砾粗砂岩。</w:t>
      </w:r>
    </w:p>
    <w:p>
      <w:pPr>
        <w:pStyle w:val="6"/>
        <w:spacing w:line="362" w:lineRule="auto"/>
        <w:ind w:left="1040" w:right="1077" w:firstLine="480"/>
        <w:jc w:val="both"/>
      </w:pPr>
      <w:r>
        <w:t>②穆棱组：整合覆于城子河组之上</w:t>
      </w:r>
      <w:r>
        <w:rPr>
          <w:rFonts w:ascii="Times New Roman" w:hAnsi="Times New Roman" w:eastAsia="Times New Roman"/>
        </w:rPr>
        <w:t>,</w:t>
      </w:r>
      <w:r>
        <w:t xml:space="preserve">主要岩性为灰色、灰白色砂质粉砂岩， </w:t>
      </w:r>
      <w:r>
        <w:rPr>
          <w:spacing w:val="-12"/>
        </w:rPr>
        <w:t>细、粉砂岩互层，其次为细砂岩及薄层中粗砂岩。含多层灰绿色凝灰质粉砂岩及</w:t>
      </w:r>
      <w:r>
        <w:t>薄煤，煤厚在</w:t>
      </w:r>
      <w:r>
        <w:rPr>
          <w:rFonts w:ascii="Times New Roman" w:hAnsi="Times New Roman" w:eastAsia="Times New Roman"/>
        </w:rPr>
        <w:t>0.5</w:t>
      </w:r>
      <w:r>
        <w:t>米左右者</w:t>
      </w:r>
      <w:r>
        <w:rPr>
          <w:rFonts w:ascii="Times New Roman" w:hAnsi="Times New Roman" w:eastAsia="Times New Roman"/>
        </w:rPr>
        <w:t>5</w:t>
      </w:r>
      <w:r>
        <w:t>层。在本区东部发育，厚度在</w:t>
      </w:r>
      <w:r>
        <w:rPr>
          <w:rFonts w:ascii="Times New Roman" w:hAnsi="Times New Roman" w:eastAsia="Times New Roman"/>
        </w:rPr>
        <w:t>0-300</w:t>
      </w:r>
      <w:r>
        <w:t>米。</w:t>
      </w:r>
    </w:p>
    <w:p>
      <w:pPr>
        <w:pStyle w:val="13"/>
        <w:numPr>
          <w:ilvl w:val="0"/>
          <w:numId w:val="22"/>
        </w:numPr>
        <w:tabs>
          <w:tab w:val="left" w:pos="2121"/>
        </w:tabs>
        <w:spacing w:before="5" w:after="0" w:line="240" w:lineRule="auto"/>
        <w:ind w:left="2121" w:right="0" w:hanging="601"/>
        <w:jc w:val="left"/>
        <w:rPr>
          <w:sz w:val="24"/>
        </w:rPr>
      </w:pPr>
      <w:r>
        <w:rPr>
          <w:sz w:val="24"/>
        </w:rPr>
        <w:t>新近系</w:t>
      </w:r>
    </w:p>
    <w:p>
      <w:pPr>
        <w:pStyle w:val="6"/>
        <w:spacing w:before="161" w:line="362" w:lineRule="auto"/>
        <w:ind w:left="1040" w:right="985" w:firstLine="480"/>
      </w:pPr>
      <w:r>
        <w:t>主要岩性为玄武岩，不整合覆盖于煤系地层之上，黑色致密，隐晶质结构， 厚度一般</w:t>
      </w:r>
      <w:r>
        <w:rPr>
          <w:rFonts w:ascii="Times New Roman" w:eastAsia="Times New Roman"/>
        </w:rPr>
        <w:t>0-40</w:t>
      </w:r>
      <w:r>
        <w:t>米。</w:t>
      </w:r>
    </w:p>
    <w:p>
      <w:pPr>
        <w:pStyle w:val="13"/>
        <w:numPr>
          <w:ilvl w:val="0"/>
          <w:numId w:val="22"/>
        </w:numPr>
        <w:tabs>
          <w:tab w:val="left" w:pos="2121"/>
        </w:tabs>
        <w:spacing w:before="5" w:after="0" w:line="240" w:lineRule="auto"/>
        <w:ind w:left="2121" w:right="0" w:hanging="601"/>
        <w:jc w:val="left"/>
        <w:rPr>
          <w:sz w:val="24"/>
        </w:rPr>
      </w:pPr>
      <w:r>
        <w:rPr>
          <w:sz w:val="24"/>
        </w:rPr>
        <w:t>第四系</w:t>
      </w:r>
    </w:p>
    <w:p>
      <w:pPr>
        <w:pStyle w:val="6"/>
        <w:spacing w:before="158" w:line="364" w:lineRule="auto"/>
        <w:ind w:left="1040" w:right="1077" w:firstLine="480"/>
      </w:pPr>
      <w:r>
        <w:rPr>
          <w:spacing w:val="-8"/>
        </w:rPr>
        <w:t>位于山谷至山麓一带，谷底为冲积层，向上渐变为坡积层，成分多为黏土和</w:t>
      </w:r>
      <w:r>
        <w:t>风化玄武岩、砂岩碎块，两极厚度为</w:t>
      </w:r>
      <w:r>
        <w:rPr>
          <w:rFonts w:ascii="Times New Roman" w:eastAsia="Times New Roman"/>
        </w:rPr>
        <w:t>2-17</w:t>
      </w:r>
      <w:r>
        <w:t>米，一般厚度</w:t>
      </w:r>
      <w:r>
        <w:rPr>
          <w:rFonts w:ascii="Times New Roman" w:eastAsia="Times New Roman"/>
        </w:rPr>
        <w:t>5</w:t>
      </w:r>
      <w:r>
        <w:t>米。</w:t>
      </w:r>
    </w:p>
    <w:p>
      <w:pPr>
        <w:pStyle w:val="6"/>
        <w:spacing w:line="306" w:lineRule="exact"/>
        <w:ind w:left="1520"/>
      </w:pPr>
      <w:r>
        <w:t>（二）构造</w:t>
      </w:r>
    </w:p>
    <w:p>
      <w:pPr>
        <w:pStyle w:val="6"/>
        <w:spacing w:before="160" w:line="364" w:lineRule="auto"/>
        <w:ind w:left="1040" w:right="952" w:firstLine="480"/>
      </w:pPr>
      <w:r>
        <w:rPr>
          <w:spacing w:val="-6"/>
        </w:rPr>
        <w:t>该矿处于双鸭山煤田西部，紧靠双鸭山煤田南部逆冲断层北侧。井区内被近东西向的</w:t>
      </w:r>
      <w:r>
        <w:rPr>
          <w:rFonts w:ascii="Times New Roman" w:hAnsi="Times New Roman" w:eastAsia="Times New Roman"/>
          <w:spacing w:val="-6"/>
        </w:rPr>
        <w:t>F12</w:t>
      </w:r>
      <w:r>
        <w:rPr>
          <w:spacing w:val="-6"/>
        </w:rPr>
        <w:t>断层分为南北两部分。其中南部为呈一向南东倾伏的向斜构造，轴向</w:t>
      </w:r>
      <w:r>
        <w:rPr>
          <w:rFonts w:ascii="Times New Roman" w:hAnsi="Times New Roman" w:eastAsia="Times New Roman"/>
          <w:spacing w:val="-6"/>
        </w:rPr>
        <w:t>N65°W</w:t>
      </w:r>
      <w:r>
        <w:rPr>
          <w:spacing w:val="-6"/>
        </w:rPr>
        <w:t>；向斜北翼地层走向</w:t>
      </w:r>
      <w:r>
        <w:rPr>
          <w:rFonts w:ascii="Times New Roman" w:hAnsi="Times New Roman" w:eastAsia="Times New Roman"/>
        </w:rPr>
        <w:t>N450</w:t>
      </w:r>
      <w:r>
        <w:t>－</w:t>
      </w:r>
      <w:r>
        <w:rPr>
          <w:rFonts w:ascii="Times New Roman" w:hAnsi="Times New Roman" w:eastAsia="Times New Roman"/>
        </w:rPr>
        <w:t>800E</w:t>
      </w:r>
      <w:r>
        <w:t>，倾角</w:t>
      </w:r>
      <w:r>
        <w:rPr>
          <w:rFonts w:ascii="Times New Roman" w:hAnsi="Times New Roman" w:eastAsia="Times New Roman"/>
        </w:rPr>
        <w:t>30-45°</w:t>
      </w:r>
      <w:r>
        <w:rPr>
          <w:spacing w:val="-1"/>
        </w:rPr>
        <w:t xml:space="preserve">左右；南翼走向近东西， </w:t>
      </w:r>
      <w:r>
        <w:rPr>
          <w:spacing w:val="12"/>
        </w:rPr>
        <w:t>地层走向</w:t>
      </w:r>
      <w:r>
        <w:rPr>
          <w:rFonts w:ascii="Times New Roman" w:hAnsi="Times New Roman" w:eastAsia="Times New Roman"/>
          <w:spacing w:val="2"/>
        </w:rPr>
        <w:t>70°-80°</w:t>
      </w:r>
      <w:r>
        <w:rPr>
          <w:spacing w:val="8"/>
        </w:rPr>
        <w:t>，倾角</w:t>
      </w:r>
      <w:r>
        <w:rPr>
          <w:rFonts w:ascii="Times New Roman" w:hAnsi="Times New Roman" w:eastAsia="Times New Roman"/>
          <w:spacing w:val="4"/>
        </w:rPr>
        <w:t>55o</w:t>
      </w:r>
      <w:r>
        <w:rPr>
          <w:spacing w:val="12"/>
        </w:rPr>
        <w:t>左右。</w:t>
      </w:r>
      <w:r>
        <w:rPr>
          <w:rFonts w:ascii="Times New Roman" w:hAnsi="Times New Roman" w:eastAsia="Times New Roman"/>
          <w:spacing w:val="4"/>
        </w:rPr>
        <w:t>F12</w:t>
      </w:r>
      <w:r>
        <w:rPr>
          <w:spacing w:val="11"/>
        </w:rPr>
        <w:t>断层以北为单斜构造，地层走向</w:t>
      </w:r>
      <w:r>
        <w:rPr>
          <w:rFonts w:ascii="Times New Roman" w:hAnsi="Times New Roman" w:eastAsia="Times New Roman"/>
        </w:rPr>
        <w:t>S800</w:t>
      </w:r>
      <w:r>
        <w:t xml:space="preserve">－ </w:t>
      </w:r>
      <w:r>
        <w:rPr>
          <w:rFonts w:ascii="Times New Roman" w:hAnsi="Times New Roman" w:eastAsia="Times New Roman"/>
        </w:rPr>
        <w:t>880W</w:t>
      </w:r>
      <w:r>
        <w:t>，倾角</w:t>
      </w:r>
      <w:r>
        <w:rPr>
          <w:rFonts w:ascii="Times New Roman" w:hAnsi="Times New Roman" w:eastAsia="Times New Roman"/>
        </w:rPr>
        <w:t>18°</w:t>
      </w:r>
      <w:r>
        <w:t>左右。</w:t>
      </w:r>
    </w:p>
    <w:p>
      <w:pPr>
        <w:pStyle w:val="6"/>
        <w:spacing w:line="362" w:lineRule="auto"/>
        <w:ind w:left="1040" w:right="1077" w:firstLine="480"/>
      </w:pPr>
      <w:r>
        <w:rPr>
          <w:spacing w:val="-7"/>
        </w:rPr>
        <w:t>井区内断层以正断层为主，逆断层次之；断层走向分为北东、北西和近东西</w:t>
      </w:r>
      <w:r>
        <w:t>向三组，其中以北东向为主，北西向较少，近东西向都是大断层。</w:t>
      </w:r>
    </w:p>
    <w:p>
      <w:pPr>
        <w:pStyle w:val="6"/>
        <w:spacing w:before="1" w:line="364" w:lineRule="auto"/>
        <w:ind w:left="1040" w:right="1075" w:firstLine="480"/>
        <w:jc w:val="both"/>
      </w:pPr>
      <w:r>
        <w:rPr>
          <w:spacing w:val="4"/>
        </w:rPr>
        <w:t>《双鸭山煤田岭东煤矿九斜井勘探区地质勘探最终报告》（精查）</w:t>
      </w:r>
      <w:r>
        <w:rPr>
          <w:spacing w:val="5"/>
        </w:rPr>
        <w:t>中有</w:t>
      </w:r>
      <w:r>
        <w:rPr>
          <w:rFonts w:ascii="Times New Roman" w:eastAsia="Times New Roman"/>
          <w:spacing w:val="-4"/>
        </w:rPr>
        <w:t xml:space="preserve">11 </w:t>
      </w:r>
      <w:r>
        <w:rPr>
          <w:spacing w:val="-2"/>
        </w:rPr>
        <w:t>条断层，分别是</w:t>
      </w:r>
      <w:r>
        <w:rPr>
          <w:rFonts w:ascii="Times New Roman" w:eastAsia="Times New Roman"/>
          <w:spacing w:val="-3"/>
        </w:rPr>
        <w:t>R1-R11</w:t>
      </w:r>
      <w:r>
        <w:rPr>
          <w:spacing w:val="-3"/>
        </w:rPr>
        <w:t>，对矿区影响较大的断层为</w:t>
      </w:r>
      <w:r>
        <w:rPr>
          <w:rFonts w:ascii="Times New Roman" w:eastAsia="Times New Roman"/>
        </w:rPr>
        <w:t>R3</w:t>
      </w:r>
      <w:r>
        <w:rPr>
          <w:spacing w:val="-5"/>
        </w:rPr>
        <w:t>、</w:t>
      </w:r>
      <w:r>
        <w:rPr>
          <w:rFonts w:ascii="Times New Roman" w:eastAsia="Times New Roman"/>
        </w:rPr>
        <w:t>R4</w:t>
      </w:r>
      <w:r>
        <w:rPr>
          <w:spacing w:val="-5"/>
        </w:rPr>
        <w:t>、</w:t>
      </w:r>
      <w:r>
        <w:rPr>
          <w:rFonts w:ascii="Times New Roman" w:eastAsia="Times New Roman"/>
          <w:spacing w:val="-4"/>
        </w:rPr>
        <w:t>R11</w:t>
      </w:r>
      <w:r>
        <w:rPr>
          <w:spacing w:val="-2"/>
        </w:rPr>
        <w:t>。其中</w:t>
      </w:r>
      <w:r>
        <w:rPr>
          <w:rFonts w:ascii="Times New Roman" w:eastAsia="Times New Roman"/>
          <w:spacing w:val="-4"/>
        </w:rPr>
        <w:t>R11</w:t>
      </w:r>
      <w:r>
        <w:t>断层为控制边界断层。</w:t>
      </w:r>
    </w:p>
    <w:p>
      <w:pPr>
        <w:pStyle w:val="6"/>
        <w:spacing w:line="307" w:lineRule="exact"/>
        <w:ind w:left="1520"/>
      </w:pPr>
      <w:r>
        <w:t>西北部邻近矿井岭东区顺达煤井位于九斜井勘探区内，顺达煤井井区内发育</w:t>
      </w:r>
    </w:p>
    <w:p>
      <w:pPr>
        <w:pStyle w:val="6"/>
        <w:spacing w:before="161"/>
        <w:ind w:left="1040"/>
      </w:pPr>
      <w:r>
        <w:rPr>
          <w:rFonts w:ascii="Times New Roman" w:eastAsia="Times New Roman"/>
        </w:rPr>
        <w:t>R5</w:t>
      </w:r>
      <w:r>
        <w:t>、</w:t>
      </w:r>
      <w:r>
        <w:rPr>
          <w:rFonts w:ascii="Times New Roman" w:eastAsia="Times New Roman"/>
        </w:rPr>
        <w:t>R11</w:t>
      </w:r>
      <w:r>
        <w:t>等两条逆断层（详见下表</w:t>
      </w:r>
      <w:r>
        <w:rPr>
          <w:rFonts w:ascii="Times New Roman" w:eastAsia="Times New Roman"/>
        </w:rPr>
        <w:t>3.3-5</w:t>
      </w:r>
      <w:r>
        <w:t>）。</w:t>
      </w:r>
    </w:p>
    <w:p>
      <w:pPr>
        <w:spacing w:after="0"/>
        <w:sectPr>
          <w:pgSz w:w="11910" w:h="16840"/>
          <w:pgMar w:top="1080" w:right="720" w:bottom="1160" w:left="760" w:header="0" w:footer="89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242" name="组合 43"/>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241" name="直线 44"/>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43"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7toIu1AAAAAMBAAAPAAAAAAAAAAEAIAAAACIAAABkcnMvZG93bnJldi54bWxQ&#10;SwECFAAUAAAACACHTuJACQPcyDQCAAC2BAAADgAAAAAAAAABACAAAAAjAQAAZHJzL2Uyb0RvYy54&#10;bWxQSwUGAAAAAAYABgBZAQAAyQUAAAAA&#10;">
                <o:lock v:ext="edit" aspectratio="f"/>
                <v:line id="直线 44" o:spid="_x0000_s1026" o:spt="20" style="position:absolute;left:0;top:7;height:0;width:8306;" filled="f" stroked="t" coordsize="21600,21600" o:gfxdata="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zCaP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pStyle w:val="6"/>
        <w:spacing w:before="5"/>
        <w:rPr>
          <w:sz w:val="19"/>
        </w:rPr>
      </w:pPr>
    </w:p>
    <w:p>
      <w:pPr>
        <w:pStyle w:val="5"/>
        <w:spacing w:before="74"/>
        <w:ind w:left="1553" w:right="1096"/>
        <w:jc w:val="center"/>
      </w:pPr>
      <w:r>
        <w:t>表</w:t>
      </w:r>
      <w:r>
        <w:rPr>
          <w:rFonts w:ascii="Times New Roman" w:eastAsia="Times New Roman"/>
        </w:rPr>
        <w:t>3.3-5</w:t>
      </w:r>
      <w:r>
        <w:t>双鸭山岭东区顺达煤井井区内主要断层表</w:t>
      </w:r>
    </w:p>
    <w:p>
      <w:pPr>
        <w:pStyle w:val="6"/>
        <w:spacing w:before="5"/>
        <w:rPr>
          <w:b/>
          <w:sz w:val="12"/>
        </w:rPr>
      </w:pPr>
    </w:p>
    <w:tbl>
      <w:tblPr>
        <w:tblStyle w:val="10"/>
        <w:tblW w:w="0" w:type="auto"/>
        <w:tblInd w:w="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9"/>
        <w:gridCol w:w="856"/>
        <w:gridCol w:w="1424"/>
        <w:gridCol w:w="1426"/>
        <w:gridCol w:w="998"/>
        <w:gridCol w:w="1344"/>
        <w:gridCol w:w="21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 w:hRule="atLeast"/>
        </w:trPr>
        <w:tc>
          <w:tcPr>
            <w:tcW w:w="1139" w:type="dxa"/>
          </w:tcPr>
          <w:p>
            <w:pPr>
              <w:pStyle w:val="14"/>
              <w:spacing w:before="8"/>
              <w:jc w:val="left"/>
              <w:rPr>
                <w:b/>
                <w:sz w:val="17"/>
              </w:rPr>
            </w:pPr>
          </w:p>
          <w:p>
            <w:pPr>
              <w:pStyle w:val="14"/>
              <w:ind w:left="357"/>
              <w:jc w:val="left"/>
              <w:rPr>
                <w:sz w:val="21"/>
              </w:rPr>
            </w:pPr>
            <w:r>
              <w:rPr>
                <w:sz w:val="21"/>
              </w:rPr>
              <w:t>范围</w:t>
            </w:r>
          </w:p>
        </w:tc>
        <w:tc>
          <w:tcPr>
            <w:tcW w:w="856" w:type="dxa"/>
          </w:tcPr>
          <w:p>
            <w:pPr>
              <w:pStyle w:val="14"/>
              <w:spacing w:before="70" w:line="278" w:lineRule="auto"/>
              <w:ind w:left="217" w:right="208"/>
              <w:jc w:val="left"/>
              <w:rPr>
                <w:sz w:val="21"/>
              </w:rPr>
            </w:pPr>
            <w:r>
              <w:rPr>
                <w:sz w:val="21"/>
              </w:rPr>
              <w:t>断层编号</w:t>
            </w:r>
          </w:p>
        </w:tc>
        <w:tc>
          <w:tcPr>
            <w:tcW w:w="1424" w:type="dxa"/>
          </w:tcPr>
          <w:p>
            <w:pPr>
              <w:pStyle w:val="14"/>
              <w:spacing w:before="8"/>
              <w:jc w:val="left"/>
              <w:rPr>
                <w:b/>
                <w:sz w:val="17"/>
              </w:rPr>
            </w:pPr>
          </w:p>
          <w:p>
            <w:pPr>
              <w:pStyle w:val="14"/>
              <w:ind w:left="271" w:right="260"/>
              <w:rPr>
                <w:rFonts w:ascii="Times New Roman" w:hAnsi="Times New Roman" w:eastAsia="Times New Roman"/>
                <w:sz w:val="21"/>
              </w:rPr>
            </w:pPr>
            <w:r>
              <w:rPr>
                <w:sz w:val="21"/>
              </w:rPr>
              <w:t>倾向</w:t>
            </w:r>
            <w:r>
              <w:rPr>
                <w:rFonts w:ascii="Times New Roman" w:hAnsi="Times New Roman" w:eastAsia="Times New Roman"/>
                <w:sz w:val="21"/>
              </w:rPr>
              <w:t>(</w:t>
            </w:r>
            <w:r>
              <w:rPr>
                <w:sz w:val="21"/>
              </w:rPr>
              <w:t>°</w:t>
            </w:r>
            <w:r>
              <w:rPr>
                <w:rFonts w:ascii="Times New Roman" w:hAnsi="Times New Roman" w:eastAsia="Times New Roman"/>
                <w:sz w:val="21"/>
              </w:rPr>
              <w:t>)</w:t>
            </w:r>
          </w:p>
        </w:tc>
        <w:tc>
          <w:tcPr>
            <w:tcW w:w="1426" w:type="dxa"/>
          </w:tcPr>
          <w:p>
            <w:pPr>
              <w:pStyle w:val="14"/>
              <w:spacing w:before="8"/>
              <w:jc w:val="left"/>
              <w:rPr>
                <w:b/>
                <w:sz w:val="17"/>
              </w:rPr>
            </w:pPr>
          </w:p>
          <w:p>
            <w:pPr>
              <w:pStyle w:val="14"/>
              <w:ind w:left="307" w:right="298"/>
              <w:rPr>
                <w:rFonts w:ascii="Times New Roman" w:hAnsi="Times New Roman" w:eastAsia="Times New Roman"/>
                <w:sz w:val="21"/>
              </w:rPr>
            </w:pPr>
            <w:r>
              <w:rPr>
                <w:sz w:val="21"/>
              </w:rPr>
              <w:t>倾角</w:t>
            </w:r>
            <w:r>
              <w:rPr>
                <w:rFonts w:ascii="Times New Roman" w:hAnsi="Times New Roman" w:eastAsia="Times New Roman"/>
                <w:sz w:val="21"/>
              </w:rPr>
              <w:t>(</w:t>
            </w:r>
            <w:r>
              <w:rPr>
                <w:sz w:val="21"/>
              </w:rPr>
              <w:t>°</w:t>
            </w:r>
            <w:r>
              <w:rPr>
                <w:rFonts w:ascii="Times New Roman" w:hAnsi="Times New Roman" w:eastAsia="Times New Roman"/>
                <w:sz w:val="21"/>
              </w:rPr>
              <w:t>)</w:t>
            </w:r>
          </w:p>
        </w:tc>
        <w:tc>
          <w:tcPr>
            <w:tcW w:w="998" w:type="dxa"/>
          </w:tcPr>
          <w:p>
            <w:pPr>
              <w:pStyle w:val="14"/>
              <w:spacing w:before="8"/>
              <w:jc w:val="left"/>
              <w:rPr>
                <w:b/>
                <w:sz w:val="17"/>
              </w:rPr>
            </w:pPr>
          </w:p>
          <w:p>
            <w:pPr>
              <w:pStyle w:val="14"/>
              <w:ind w:left="162" w:right="155"/>
              <w:rPr>
                <w:sz w:val="21"/>
              </w:rPr>
            </w:pPr>
            <w:r>
              <w:rPr>
                <w:sz w:val="21"/>
              </w:rPr>
              <w:t>性质</w:t>
            </w:r>
          </w:p>
        </w:tc>
        <w:tc>
          <w:tcPr>
            <w:tcW w:w="1344" w:type="dxa"/>
          </w:tcPr>
          <w:p>
            <w:pPr>
              <w:pStyle w:val="14"/>
              <w:spacing w:before="70"/>
              <w:ind w:left="336" w:right="328"/>
              <w:rPr>
                <w:sz w:val="21"/>
              </w:rPr>
            </w:pPr>
            <w:r>
              <w:rPr>
                <w:sz w:val="21"/>
              </w:rPr>
              <w:t>落差</w:t>
            </w:r>
          </w:p>
          <w:p>
            <w:pPr>
              <w:pStyle w:val="14"/>
              <w:spacing w:before="43"/>
              <w:ind w:left="336" w:right="328"/>
              <w:rPr>
                <w:sz w:val="21"/>
              </w:rPr>
            </w:pPr>
            <w:r>
              <w:rPr>
                <w:sz w:val="21"/>
              </w:rPr>
              <w:t>（米）</w:t>
            </w:r>
          </w:p>
        </w:tc>
        <w:tc>
          <w:tcPr>
            <w:tcW w:w="2157" w:type="dxa"/>
          </w:tcPr>
          <w:p>
            <w:pPr>
              <w:pStyle w:val="14"/>
              <w:spacing w:before="8"/>
              <w:jc w:val="left"/>
              <w:rPr>
                <w:b/>
                <w:sz w:val="17"/>
              </w:rPr>
            </w:pPr>
          </w:p>
          <w:p>
            <w:pPr>
              <w:pStyle w:val="14"/>
              <w:ind w:left="215" w:right="209"/>
              <w:rPr>
                <w:sz w:val="21"/>
              </w:rPr>
            </w:pPr>
            <w:r>
              <w:rPr>
                <w:sz w:val="21"/>
              </w:rPr>
              <w:t>可靠性及依据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39" w:type="dxa"/>
            <w:vMerge w:val="restart"/>
          </w:tcPr>
          <w:p>
            <w:pPr>
              <w:pStyle w:val="14"/>
              <w:spacing w:before="75" w:line="278" w:lineRule="auto"/>
              <w:ind w:left="254" w:right="140" w:hanging="106"/>
              <w:jc w:val="left"/>
              <w:rPr>
                <w:sz w:val="21"/>
              </w:rPr>
            </w:pPr>
            <w:r>
              <w:rPr>
                <w:sz w:val="21"/>
              </w:rPr>
              <w:t>顺达煤矿范围内</w:t>
            </w:r>
          </w:p>
        </w:tc>
        <w:tc>
          <w:tcPr>
            <w:tcW w:w="856" w:type="dxa"/>
          </w:tcPr>
          <w:p>
            <w:pPr>
              <w:pStyle w:val="14"/>
              <w:spacing w:before="33"/>
              <w:ind w:right="296"/>
              <w:jc w:val="right"/>
              <w:rPr>
                <w:rFonts w:ascii="Times New Roman"/>
                <w:sz w:val="21"/>
              </w:rPr>
            </w:pPr>
            <w:r>
              <w:rPr>
                <w:rFonts w:ascii="Times New Roman"/>
                <w:w w:val="95"/>
                <w:sz w:val="21"/>
              </w:rPr>
              <w:t>R5</w:t>
            </w:r>
          </w:p>
        </w:tc>
        <w:tc>
          <w:tcPr>
            <w:tcW w:w="1424" w:type="dxa"/>
          </w:tcPr>
          <w:p>
            <w:pPr>
              <w:pStyle w:val="14"/>
              <w:spacing w:before="20"/>
              <w:ind w:left="269" w:right="263"/>
              <w:rPr>
                <w:sz w:val="21"/>
              </w:rPr>
            </w:pPr>
            <w:r>
              <w:rPr>
                <w:rFonts w:ascii="Times New Roman" w:hAnsi="Times New Roman" w:eastAsia="Times New Roman"/>
                <w:sz w:val="21"/>
              </w:rPr>
              <w:t>60</w:t>
            </w:r>
            <w:r>
              <w:rPr>
                <w:sz w:val="21"/>
              </w:rPr>
              <w:t>°南</w:t>
            </w:r>
          </w:p>
        </w:tc>
        <w:tc>
          <w:tcPr>
            <w:tcW w:w="1426" w:type="dxa"/>
          </w:tcPr>
          <w:p>
            <w:pPr>
              <w:pStyle w:val="14"/>
              <w:spacing w:before="33"/>
              <w:ind w:left="307" w:right="296"/>
              <w:rPr>
                <w:rFonts w:ascii="Times New Roman"/>
                <w:sz w:val="21"/>
              </w:rPr>
            </w:pPr>
            <w:r>
              <w:rPr>
                <w:rFonts w:ascii="Times New Roman"/>
                <w:sz w:val="21"/>
              </w:rPr>
              <w:t>60</w:t>
            </w:r>
          </w:p>
        </w:tc>
        <w:tc>
          <w:tcPr>
            <w:tcW w:w="998" w:type="dxa"/>
          </w:tcPr>
          <w:p>
            <w:pPr>
              <w:pStyle w:val="14"/>
              <w:spacing w:before="20"/>
              <w:ind w:left="162" w:right="155"/>
              <w:rPr>
                <w:sz w:val="21"/>
              </w:rPr>
            </w:pPr>
            <w:r>
              <w:rPr>
                <w:sz w:val="21"/>
              </w:rPr>
              <w:t>逆断层</w:t>
            </w:r>
          </w:p>
        </w:tc>
        <w:tc>
          <w:tcPr>
            <w:tcW w:w="1344" w:type="dxa"/>
          </w:tcPr>
          <w:p>
            <w:pPr>
              <w:pStyle w:val="14"/>
              <w:spacing w:before="33"/>
              <w:ind w:left="6"/>
              <w:rPr>
                <w:rFonts w:ascii="Times New Roman"/>
                <w:sz w:val="21"/>
              </w:rPr>
            </w:pPr>
            <w:r>
              <w:rPr>
                <w:rFonts w:ascii="Times New Roman"/>
                <w:w w:val="99"/>
                <w:sz w:val="21"/>
              </w:rPr>
              <w:t>6</w:t>
            </w:r>
          </w:p>
        </w:tc>
        <w:tc>
          <w:tcPr>
            <w:tcW w:w="2157" w:type="dxa"/>
          </w:tcPr>
          <w:p>
            <w:pPr>
              <w:pStyle w:val="14"/>
              <w:spacing w:before="20"/>
              <w:ind w:left="215" w:right="209"/>
              <w:rPr>
                <w:sz w:val="21"/>
              </w:rPr>
            </w:pPr>
            <w:r>
              <w:rPr>
                <w:sz w:val="21"/>
              </w:rPr>
              <w:t>九井实见，可靠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139" w:type="dxa"/>
            <w:vMerge w:val="continue"/>
            <w:tcBorders>
              <w:top w:val="nil"/>
            </w:tcBorders>
          </w:tcPr>
          <w:p>
            <w:pPr>
              <w:rPr>
                <w:sz w:val="2"/>
                <w:szCs w:val="2"/>
              </w:rPr>
            </w:pPr>
          </w:p>
        </w:tc>
        <w:tc>
          <w:tcPr>
            <w:tcW w:w="856" w:type="dxa"/>
          </w:tcPr>
          <w:p>
            <w:pPr>
              <w:pStyle w:val="14"/>
              <w:spacing w:before="83"/>
              <w:ind w:right="243"/>
              <w:jc w:val="right"/>
              <w:rPr>
                <w:rFonts w:ascii="Times New Roman"/>
                <w:sz w:val="21"/>
              </w:rPr>
            </w:pPr>
            <w:r>
              <w:rPr>
                <w:rFonts w:ascii="Times New Roman"/>
                <w:w w:val="95"/>
                <w:sz w:val="21"/>
              </w:rPr>
              <w:t>R11</w:t>
            </w:r>
          </w:p>
        </w:tc>
        <w:tc>
          <w:tcPr>
            <w:tcW w:w="1424" w:type="dxa"/>
          </w:tcPr>
          <w:p>
            <w:pPr>
              <w:pStyle w:val="14"/>
              <w:spacing w:before="70"/>
              <w:ind w:left="271" w:right="263"/>
              <w:rPr>
                <w:sz w:val="21"/>
              </w:rPr>
            </w:pPr>
            <w:r>
              <w:rPr>
                <w:sz w:val="21"/>
              </w:rPr>
              <w:t>倾向东南</w:t>
            </w:r>
          </w:p>
        </w:tc>
        <w:tc>
          <w:tcPr>
            <w:tcW w:w="1426" w:type="dxa"/>
          </w:tcPr>
          <w:p>
            <w:pPr>
              <w:pStyle w:val="14"/>
              <w:spacing w:before="83"/>
              <w:ind w:left="307" w:right="296"/>
              <w:rPr>
                <w:rFonts w:ascii="Times New Roman"/>
                <w:sz w:val="21"/>
              </w:rPr>
            </w:pPr>
            <w:r>
              <w:rPr>
                <w:rFonts w:ascii="Times New Roman"/>
                <w:sz w:val="21"/>
              </w:rPr>
              <w:t>70</w:t>
            </w:r>
          </w:p>
        </w:tc>
        <w:tc>
          <w:tcPr>
            <w:tcW w:w="998" w:type="dxa"/>
          </w:tcPr>
          <w:p>
            <w:pPr>
              <w:pStyle w:val="14"/>
              <w:spacing w:before="70"/>
              <w:ind w:left="162" w:right="155"/>
              <w:rPr>
                <w:sz w:val="21"/>
              </w:rPr>
            </w:pPr>
            <w:r>
              <w:rPr>
                <w:sz w:val="21"/>
              </w:rPr>
              <w:t>逆断层</w:t>
            </w:r>
          </w:p>
        </w:tc>
        <w:tc>
          <w:tcPr>
            <w:tcW w:w="1344" w:type="dxa"/>
          </w:tcPr>
          <w:p>
            <w:pPr>
              <w:pStyle w:val="14"/>
              <w:spacing w:before="83"/>
              <w:ind w:left="334" w:right="328"/>
              <w:rPr>
                <w:rFonts w:ascii="Times New Roman"/>
                <w:sz w:val="21"/>
              </w:rPr>
            </w:pPr>
            <w:r>
              <w:rPr>
                <w:rFonts w:ascii="Times New Roman"/>
                <w:sz w:val="21"/>
              </w:rPr>
              <w:t>100</w:t>
            </w:r>
          </w:p>
        </w:tc>
        <w:tc>
          <w:tcPr>
            <w:tcW w:w="2157" w:type="dxa"/>
          </w:tcPr>
          <w:p>
            <w:pPr>
              <w:pStyle w:val="14"/>
              <w:spacing w:before="70"/>
              <w:ind w:left="215" w:right="212"/>
              <w:rPr>
                <w:sz w:val="21"/>
              </w:rPr>
            </w:pPr>
            <w:r>
              <w:rPr>
                <w:sz w:val="21"/>
              </w:rPr>
              <w:t>钻孔控制，较可靠</w:t>
            </w:r>
          </w:p>
        </w:tc>
      </w:tr>
    </w:tbl>
    <w:p>
      <w:pPr>
        <w:pStyle w:val="6"/>
        <w:spacing w:before="1" w:line="364" w:lineRule="auto"/>
        <w:ind w:left="1040" w:right="1075" w:firstLine="480"/>
        <w:jc w:val="both"/>
      </w:pPr>
      <w:r>
        <w:rPr>
          <w:spacing w:val="-3"/>
        </w:rPr>
        <w:t>《黑龙江省双鸭山市横头山区小井勘探地质报告》中有断层</w:t>
      </w:r>
      <w:r>
        <w:rPr>
          <w:rFonts w:ascii="Times New Roman" w:eastAsia="Times New Roman"/>
        </w:rPr>
        <w:t>12</w:t>
      </w:r>
      <w:r>
        <w:rPr>
          <w:spacing w:val="-11"/>
        </w:rPr>
        <w:t>条，对矿区影</w:t>
      </w:r>
      <w:r>
        <w:t>响较大的断层为</w:t>
      </w:r>
      <w:r>
        <w:rPr>
          <w:rFonts w:ascii="Times New Roman" w:eastAsia="Times New Roman"/>
        </w:rPr>
        <w:t>F1</w:t>
      </w:r>
      <w:r>
        <w:t>、</w:t>
      </w:r>
      <w:r>
        <w:rPr>
          <w:rFonts w:ascii="Times New Roman" w:eastAsia="Times New Roman"/>
        </w:rPr>
        <w:t>F2</w:t>
      </w:r>
      <w:r>
        <w:t>、</w:t>
      </w:r>
      <w:r>
        <w:rPr>
          <w:rFonts w:ascii="Times New Roman" w:eastAsia="Times New Roman"/>
        </w:rPr>
        <w:t>F3</w:t>
      </w:r>
      <w:r>
        <w:t>、</w:t>
      </w:r>
      <w:r>
        <w:rPr>
          <w:rFonts w:ascii="Times New Roman" w:eastAsia="Times New Roman"/>
        </w:rPr>
        <w:t>F4</w:t>
      </w:r>
      <w:r>
        <w:t>、</w:t>
      </w:r>
      <w:r>
        <w:rPr>
          <w:rFonts w:ascii="Times New Roman" w:eastAsia="Times New Roman"/>
        </w:rPr>
        <w:t>F5</w:t>
      </w:r>
      <w:r>
        <w:t>、</w:t>
      </w:r>
      <w:r>
        <w:rPr>
          <w:rFonts w:ascii="Times New Roman" w:eastAsia="Times New Roman"/>
        </w:rPr>
        <w:t>F6</w:t>
      </w:r>
      <w:r>
        <w:t>、</w:t>
      </w:r>
      <w:r>
        <w:rPr>
          <w:rFonts w:ascii="Times New Roman" w:eastAsia="Times New Roman"/>
        </w:rPr>
        <w:t>F7</w:t>
      </w:r>
      <w:r>
        <w:t>等断层，其中</w:t>
      </w:r>
      <w:r>
        <w:rPr>
          <w:rFonts w:ascii="Times New Roman" w:eastAsia="Times New Roman"/>
        </w:rPr>
        <w:t>F1</w:t>
      </w:r>
      <w:r>
        <w:t>、</w:t>
      </w:r>
      <w:r>
        <w:rPr>
          <w:rFonts w:ascii="Times New Roman" w:eastAsia="Times New Roman"/>
        </w:rPr>
        <w:t>F4</w:t>
      </w:r>
      <w:r>
        <w:t>断层为控制边界断层。</w:t>
      </w:r>
    </w:p>
    <w:p>
      <w:pPr>
        <w:pStyle w:val="6"/>
        <w:spacing w:line="362" w:lineRule="auto"/>
        <w:ind w:left="1040" w:right="1077" w:firstLine="480"/>
      </w:pPr>
      <w:r>
        <w:t>大顺煤矿原范围位于横头山区小井勘探区内，大顺煤矿矿区范围内断层有</w:t>
      </w:r>
      <w:r>
        <w:rPr>
          <w:rFonts w:ascii="Times New Roman" w:eastAsia="Times New Roman"/>
        </w:rPr>
        <w:t xml:space="preserve">6 </w:t>
      </w:r>
      <w:r>
        <w:t>条，详见下表</w:t>
      </w:r>
      <w:r>
        <w:rPr>
          <w:rFonts w:ascii="Times New Roman" w:eastAsia="Times New Roman"/>
        </w:rPr>
        <w:t>3.3-6</w:t>
      </w:r>
      <w:r>
        <w:t>。</w:t>
      </w:r>
    </w:p>
    <w:p>
      <w:pPr>
        <w:pStyle w:val="5"/>
        <w:spacing w:before="4"/>
        <w:ind w:left="3082"/>
      </w:pPr>
      <w:r>
        <w:t>表</w:t>
      </w:r>
      <w:r>
        <w:rPr>
          <w:rFonts w:ascii="Times New Roman" w:eastAsia="Times New Roman"/>
        </w:rPr>
        <w:t>3.3-6</w:t>
      </w:r>
      <w:r>
        <w:rPr>
          <w:rFonts w:ascii="Times New Roman" w:eastAsia="Times New Roman"/>
          <w:spacing w:val="59"/>
        </w:rPr>
        <w:t xml:space="preserve"> </w:t>
      </w:r>
      <w:r>
        <w:t>原双鸭山大顺煤矿井区内主要断层表</w:t>
      </w:r>
    </w:p>
    <w:p>
      <w:pPr>
        <w:pStyle w:val="6"/>
        <w:spacing w:before="4"/>
        <w:rPr>
          <w:b/>
          <w:sz w:val="12"/>
        </w:rPr>
      </w:pPr>
    </w:p>
    <w:tbl>
      <w:tblPr>
        <w:tblStyle w:val="10"/>
        <w:tblW w:w="0" w:type="auto"/>
        <w:tblInd w:w="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1"/>
        <w:gridCol w:w="768"/>
        <w:gridCol w:w="1228"/>
        <w:gridCol w:w="1527"/>
        <w:gridCol w:w="1170"/>
        <w:gridCol w:w="3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41" w:type="dxa"/>
          </w:tcPr>
          <w:p>
            <w:pPr>
              <w:pStyle w:val="14"/>
              <w:spacing w:before="20"/>
              <w:ind w:left="360"/>
              <w:jc w:val="left"/>
              <w:rPr>
                <w:sz w:val="21"/>
              </w:rPr>
            </w:pPr>
            <w:r>
              <w:rPr>
                <w:sz w:val="21"/>
              </w:rPr>
              <w:t>范围</w:t>
            </w:r>
          </w:p>
        </w:tc>
        <w:tc>
          <w:tcPr>
            <w:tcW w:w="768" w:type="dxa"/>
          </w:tcPr>
          <w:p>
            <w:pPr>
              <w:pStyle w:val="14"/>
              <w:spacing w:before="20"/>
              <w:ind w:left="153" w:right="145"/>
              <w:rPr>
                <w:sz w:val="21"/>
              </w:rPr>
            </w:pPr>
            <w:r>
              <w:rPr>
                <w:sz w:val="21"/>
              </w:rPr>
              <w:t>编号</w:t>
            </w:r>
          </w:p>
        </w:tc>
        <w:tc>
          <w:tcPr>
            <w:tcW w:w="1228" w:type="dxa"/>
          </w:tcPr>
          <w:p>
            <w:pPr>
              <w:pStyle w:val="14"/>
              <w:spacing w:before="20"/>
              <w:ind w:left="273" w:right="269"/>
              <w:rPr>
                <w:sz w:val="21"/>
              </w:rPr>
            </w:pPr>
            <w:r>
              <w:rPr>
                <w:sz w:val="21"/>
              </w:rPr>
              <w:t>性质</w:t>
            </w:r>
          </w:p>
        </w:tc>
        <w:tc>
          <w:tcPr>
            <w:tcW w:w="1527" w:type="dxa"/>
          </w:tcPr>
          <w:p>
            <w:pPr>
              <w:pStyle w:val="14"/>
              <w:spacing w:before="20"/>
              <w:ind w:left="320" w:right="315"/>
              <w:rPr>
                <w:sz w:val="21"/>
              </w:rPr>
            </w:pPr>
            <w:r>
              <w:rPr>
                <w:sz w:val="21"/>
              </w:rPr>
              <w:t>倾向</w:t>
            </w:r>
          </w:p>
        </w:tc>
        <w:tc>
          <w:tcPr>
            <w:tcW w:w="1170" w:type="dxa"/>
          </w:tcPr>
          <w:p>
            <w:pPr>
              <w:pStyle w:val="14"/>
              <w:spacing w:before="20"/>
              <w:ind w:left="201" w:right="194"/>
              <w:rPr>
                <w:rFonts w:ascii="Times New Roman" w:eastAsia="Times New Roman"/>
                <w:sz w:val="21"/>
              </w:rPr>
            </w:pPr>
            <w:r>
              <w:rPr>
                <w:sz w:val="21"/>
              </w:rPr>
              <w:t>落差</w:t>
            </w:r>
            <w:r>
              <w:rPr>
                <w:rFonts w:ascii="Times New Roman" w:eastAsia="Times New Roman"/>
                <w:sz w:val="21"/>
              </w:rPr>
              <w:t>(m)</w:t>
            </w:r>
          </w:p>
        </w:tc>
        <w:tc>
          <w:tcPr>
            <w:tcW w:w="3510" w:type="dxa"/>
          </w:tcPr>
          <w:p>
            <w:pPr>
              <w:pStyle w:val="14"/>
              <w:spacing w:before="20"/>
              <w:ind w:left="158" w:right="150"/>
              <w:rPr>
                <w:sz w:val="21"/>
              </w:rPr>
            </w:pPr>
            <w:r>
              <w:rPr>
                <w:sz w:val="21"/>
              </w:rPr>
              <w:t>控制程度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41" w:type="dxa"/>
            <w:vMerge w:val="restart"/>
          </w:tcPr>
          <w:p>
            <w:pPr>
              <w:pStyle w:val="14"/>
              <w:jc w:val="left"/>
              <w:rPr>
                <w:b/>
                <w:sz w:val="20"/>
              </w:rPr>
            </w:pPr>
          </w:p>
          <w:p>
            <w:pPr>
              <w:pStyle w:val="14"/>
              <w:jc w:val="left"/>
              <w:rPr>
                <w:b/>
                <w:sz w:val="20"/>
              </w:rPr>
            </w:pPr>
          </w:p>
          <w:p>
            <w:pPr>
              <w:pStyle w:val="14"/>
              <w:jc w:val="left"/>
              <w:rPr>
                <w:b/>
                <w:sz w:val="20"/>
              </w:rPr>
            </w:pPr>
          </w:p>
          <w:p>
            <w:pPr>
              <w:pStyle w:val="14"/>
              <w:spacing w:before="8"/>
              <w:jc w:val="left"/>
              <w:rPr>
                <w:b/>
                <w:sz w:val="16"/>
              </w:rPr>
            </w:pPr>
          </w:p>
          <w:p>
            <w:pPr>
              <w:pStyle w:val="14"/>
              <w:spacing w:before="1" w:line="278" w:lineRule="auto"/>
              <w:ind w:left="149" w:right="142"/>
              <w:jc w:val="left"/>
              <w:rPr>
                <w:sz w:val="21"/>
              </w:rPr>
            </w:pPr>
            <w:r>
              <w:rPr>
                <w:sz w:val="21"/>
              </w:rPr>
              <w:t>原大顺煤矿范围内</w:t>
            </w:r>
          </w:p>
        </w:tc>
        <w:tc>
          <w:tcPr>
            <w:tcW w:w="768" w:type="dxa"/>
          </w:tcPr>
          <w:p>
            <w:pPr>
              <w:pStyle w:val="14"/>
              <w:spacing w:before="34"/>
              <w:ind w:left="152" w:right="145"/>
              <w:rPr>
                <w:rFonts w:ascii="Times New Roman"/>
                <w:sz w:val="21"/>
              </w:rPr>
            </w:pPr>
            <w:r>
              <w:rPr>
                <w:rFonts w:ascii="Times New Roman"/>
                <w:sz w:val="21"/>
              </w:rPr>
              <w:t>F4</w:t>
            </w:r>
          </w:p>
        </w:tc>
        <w:tc>
          <w:tcPr>
            <w:tcW w:w="1228" w:type="dxa"/>
          </w:tcPr>
          <w:p>
            <w:pPr>
              <w:pStyle w:val="14"/>
              <w:spacing w:before="20"/>
              <w:ind w:left="278" w:right="269"/>
              <w:rPr>
                <w:sz w:val="21"/>
              </w:rPr>
            </w:pPr>
            <w:r>
              <w:rPr>
                <w:sz w:val="21"/>
              </w:rPr>
              <w:t>正断层</w:t>
            </w:r>
          </w:p>
        </w:tc>
        <w:tc>
          <w:tcPr>
            <w:tcW w:w="1527" w:type="dxa"/>
          </w:tcPr>
          <w:p>
            <w:pPr>
              <w:pStyle w:val="14"/>
              <w:spacing w:before="20"/>
              <w:ind w:left="320" w:right="315"/>
              <w:rPr>
                <w:sz w:val="21"/>
              </w:rPr>
            </w:pPr>
            <w:r>
              <w:rPr>
                <w:sz w:val="21"/>
              </w:rPr>
              <w:t>倾向东</w:t>
            </w:r>
          </w:p>
        </w:tc>
        <w:tc>
          <w:tcPr>
            <w:tcW w:w="1170" w:type="dxa"/>
          </w:tcPr>
          <w:p>
            <w:pPr>
              <w:pStyle w:val="14"/>
              <w:spacing w:before="20"/>
              <w:ind w:left="199" w:right="194"/>
              <w:rPr>
                <w:sz w:val="21"/>
              </w:rPr>
            </w:pPr>
            <w:r>
              <w:rPr>
                <w:sz w:val="21"/>
              </w:rPr>
              <w:t>不详</w:t>
            </w:r>
          </w:p>
        </w:tc>
        <w:tc>
          <w:tcPr>
            <w:tcW w:w="3510" w:type="dxa"/>
          </w:tcPr>
          <w:p>
            <w:pPr>
              <w:pStyle w:val="14"/>
              <w:spacing w:before="20"/>
              <w:ind w:left="158" w:right="150"/>
              <w:rPr>
                <w:sz w:val="21"/>
              </w:rPr>
            </w:pPr>
            <w:r>
              <w:rPr>
                <w:rFonts w:ascii="Times New Roman" w:eastAsia="Times New Roman"/>
                <w:sz w:val="21"/>
              </w:rPr>
              <w:t>90-2</w:t>
            </w:r>
            <w:r>
              <w:rPr>
                <w:sz w:val="21"/>
              </w:rPr>
              <w:t>、</w:t>
            </w:r>
            <w:r>
              <w:rPr>
                <w:rFonts w:ascii="Times New Roman" w:eastAsia="Times New Roman"/>
                <w:sz w:val="21"/>
              </w:rPr>
              <w:t xml:space="preserve">90-1 </w:t>
            </w:r>
            <w:r>
              <w:rPr>
                <w:sz w:val="21"/>
              </w:rPr>
              <w:t>钻孔推定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41" w:type="dxa"/>
            <w:vMerge w:val="continue"/>
            <w:tcBorders>
              <w:top w:val="nil"/>
            </w:tcBorders>
          </w:tcPr>
          <w:p>
            <w:pPr>
              <w:rPr>
                <w:sz w:val="2"/>
                <w:szCs w:val="2"/>
              </w:rPr>
            </w:pPr>
          </w:p>
        </w:tc>
        <w:tc>
          <w:tcPr>
            <w:tcW w:w="768" w:type="dxa"/>
          </w:tcPr>
          <w:p>
            <w:pPr>
              <w:pStyle w:val="14"/>
              <w:spacing w:before="192"/>
              <w:ind w:left="152" w:right="145"/>
              <w:rPr>
                <w:rFonts w:ascii="Times New Roman"/>
                <w:sz w:val="21"/>
              </w:rPr>
            </w:pPr>
            <w:r>
              <w:rPr>
                <w:rFonts w:ascii="Times New Roman"/>
                <w:sz w:val="21"/>
              </w:rPr>
              <w:t>F5</w:t>
            </w:r>
          </w:p>
        </w:tc>
        <w:tc>
          <w:tcPr>
            <w:tcW w:w="1228" w:type="dxa"/>
          </w:tcPr>
          <w:p>
            <w:pPr>
              <w:pStyle w:val="14"/>
              <w:spacing w:before="178"/>
              <w:ind w:left="278" w:right="269"/>
              <w:rPr>
                <w:sz w:val="21"/>
              </w:rPr>
            </w:pPr>
            <w:r>
              <w:rPr>
                <w:sz w:val="21"/>
              </w:rPr>
              <w:t>正断层</w:t>
            </w:r>
          </w:p>
        </w:tc>
        <w:tc>
          <w:tcPr>
            <w:tcW w:w="1527" w:type="dxa"/>
          </w:tcPr>
          <w:p>
            <w:pPr>
              <w:pStyle w:val="14"/>
              <w:spacing w:before="178"/>
              <w:ind w:left="322" w:right="315"/>
              <w:rPr>
                <w:sz w:val="21"/>
              </w:rPr>
            </w:pPr>
            <w:r>
              <w:rPr>
                <w:sz w:val="21"/>
              </w:rPr>
              <w:t>倾向北东</w:t>
            </w:r>
          </w:p>
        </w:tc>
        <w:tc>
          <w:tcPr>
            <w:tcW w:w="1170" w:type="dxa"/>
          </w:tcPr>
          <w:p>
            <w:pPr>
              <w:pStyle w:val="14"/>
              <w:spacing w:before="192"/>
              <w:ind w:left="201" w:right="192"/>
              <w:rPr>
                <w:rFonts w:ascii="Times New Roman"/>
                <w:sz w:val="21"/>
              </w:rPr>
            </w:pPr>
            <w:r>
              <w:rPr>
                <w:rFonts w:ascii="Times New Roman"/>
                <w:sz w:val="21"/>
              </w:rPr>
              <w:t>15-30</w:t>
            </w:r>
          </w:p>
        </w:tc>
        <w:tc>
          <w:tcPr>
            <w:tcW w:w="3510" w:type="dxa"/>
          </w:tcPr>
          <w:p>
            <w:pPr>
              <w:pStyle w:val="14"/>
              <w:spacing w:before="22"/>
              <w:ind w:left="158" w:right="150"/>
              <w:rPr>
                <w:sz w:val="21"/>
              </w:rPr>
            </w:pPr>
            <w:r>
              <w:rPr>
                <w:rFonts w:ascii="Times New Roman" w:eastAsia="Times New Roman"/>
                <w:sz w:val="21"/>
              </w:rPr>
              <w:t>90</w:t>
            </w:r>
            <w:r>
              <w:rPr>
                <w:sz w:val="21"/>
              </w:rPr>
              <w:t>－</w:t>
            </w:r>
            <w:r>
              <w:rPr>
                <w:rFonts w:ascii="Times New Roman" w:eastAsia="Times New Roman"/>
                <w:sz w:val="21"/>
              </w:rPr>
              <w:t xml:space="preserve">1 </w:t>
            </w:r>
            <w:r>
              <w:rPr>
                <w:sz w:val="21"/>
              </w:rPr>
              <w:t>钻孔及一井片盘</w:t>
            </w:r>
          </w:p>
          <w:p>
            <w:pPr>
              <w:pStyle w:val="14"/>
              <w:spacing w:before="43"/>
              <w:ind w:left="158" w:right="150"/>
              <w:rPr>
                <w:sz w:val="21"/>
              </w:rPr>
            </w:pPr>
            <w:r>
              <w:rPr>
                <w:sz w:val="21"/>
              </w:rPr>
              <w:t>之间实见</w:t>
            </w:r>
            <w:r>
              <w:rPr>
                <w:rFonts w:ascii="Times New Roman" w:eastAsia="Times New Roman"/>
                <w:sz w:val="21"/>
              </w:rPr>
              <w:t>,</w:t>
            </w:r>
            <w:r>
              <w:rPr>
                <w:sz w:val="21"/>
              </w:rPr>
              <w:t>较可靠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41" w:type="dxa"/>
            <w:vMerge w:val="continue"/>
            <w:tcBorders>
              <w:top w:val="nil"/>
            </w:tcBorders>
          </w:tcPr>
          <w:p>
            <w:pPr>
              <w:rPr>
                <w:sz w:val="2"/>
                <w:szCs w:val="2"/>
              </w:rPr>
            </w:pPr>
          </w:p>
        </w:tc>
        <w:tc>
          <w:tcPr>
            <w:tcW w:w="768" w:type="dxa"/>
          </w:tcPr>
          <w:p>
            <w:pPr>
              <w:pStyle w:val="14"/>
              <w:spacing w:before="35"/>
              <w:ind w:left="152" w:right="145"/>
              <w:rPr>
                <w:rFonts w:ascii="Times New Roman"/>
                <w:sz w:val="21"/>
              </w:rPr>
            </w:pPr>
            <w:r>
              <w:rPr>
                <w:rFonts w:ascii="Times New Roman"/>
                <w:sz w:val="21"/>
              </w:rPr>
              <w:t>F6</w:t>
            </w:r>
          </w:p>
        </w:tc>
        <w:tc>
          <w:tcPr>
            <w:tcW w:w="1228" w:type="dxa"/>
          </w:tcPr>
          <w:p>
            <w:pPr>
              <w:pStyle w:val="14"/>
              <w:spacing w:before="21"/>
              <w:ind w:left="278" w:right="269"/>
              <w:rPr>
                <w:sz w:val="21"/>
              </w:rPr>
            </w:pPr>
            <w:r>
              <w:rPr>
                <w:sz w:val="21"/>
              </w:rPr>
              <w:t>正断层</w:t>
            </w:r>
          </w:p>
        </w:tc>
        <w:tc>
          <w:tcPr>
            <w:tcW w:w="1527" w:type="dxa"/>
          </w:tcPr>
          <w:p>
            <w:pPr>
              <w:pStyle w:val="14"/>
              <w:spacing w:before="21"/>
              <w:ind w:left="322" w:right="315"/>
              <w:rPr>
                <w:sz w:val="21"/>
              </w:rPr>
            </w:pPr>
            <w:r>
              <w:rPr>
                <w:sz w:val="21"/>
              </w:rPr>
              <w:t>倾向西北</w:t>
            </w:r>
          </w:p>
        </w:tc>
        <w:tc>
          <w:tcPr>
            <w:tcW w:w="1170" w:type="dxa"/>
          </w:tcPr>
          <w:p>
            <w:pPr>
              <w:pStyle w:val="14"/>
              <w:spacing w:before="35"/>
              <w:ind w:left="201" w:right="192"/>
              <w:rPr>
                <w:rFonts w:ascii="Times New Roman"/>
                <w:sz w:val="21"/>
              </w:rPr>
            </w:pPr>
            <w:r>
              <w:rPr>
                <w:rFonts w:ascii="Times New Roman"/>
                <w:sz w:val="21"/>
              </w:rPr>
              <w:t>0-20</w:t>
            </w:r>
          </w:p>
        </w:tc>
        <w:tc>
          <w:tcPr>
            <w:tcW w:w="3510" w:type="dxa"/>
          </w:tcPr>
          <w:p>
            <w:pPr>
              <w:pStyle w:val="14"/>
              <w:spacing w:before="21"/>
              <w:ind w:left="155" w:right="150"/>
              <w:rPr>
                <w:sz w:val="21"/>
              </w:rPr>
            </w:pPr>
            <w:r>
              <w:rPr>
                <w:sz w:val="21"/>
              </w:rPr>
              <w:t>由长胜井、二井巷道实见，可靠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41" w:type="dxa"/>
            <w:vMerge w:val="continue"/>
            <w:tcBorders>
              <w:top w:val="nil"/>
            </w:tcBorders>
          </w:tcPr>
          <w:p>
            <w:pPr>
              <w:rPr>
                <w:sz w:val="2"/>
                <w:szCs w:val="2"/>
              </w:rPr>
            </w:pPr>
          </w:p>
        </w:tc>
        <w:tc>
          <w:tcPr>
            <w:tcW w:w="768" w:type="dxa"/>
          </w:tcPr>
          <w:p>
            <w:pPr>
              <w:pStyle w:val="14"/>
              <w:spacing w:before="35"/>
              <w:ind w:left="152" w:right="145"/>
              <w:rPr>
                <w:rFonts w:ascii="Times New Roman"/>
                <w:sz w:val="21"/>
              </w:rPr>
            </w:pPr>
            <w:r>
              <w:rPr>
                <w:rFonts w:ascii="Times New Roman"/>
                <w:sz w:val="21"/>
              </w:rPr>
              <w:t>F7</w:t>
            </w:r>
          </w:p>
        </w:tc>
        <w:tc>
          <w:tcPr>
            <w:tcW w:w="1228" w:type="dxa"/>
          </w:tcPr>
          <w:p>
            <w:pPr>
              <w:pStyle w:val="14"/>
              <w:spacing w:before="21"/>
              <w:ind w:left="278" w:right="269"/>
              <w:rPr>
                <w:sz w:val="21"/>
              </w:rPr>
            </w:pPr>
            <w:r>
              <w:rPr>
                <w:sz w:val="21"/>
              </w:rPr>
              <w:t>正断层</w:t>
            </w:r>
          </w:p>
        </w:tc>
        <w:tc>
          <w:tcPr>
            <w:tcW w:w="1527" w:type="dxa"/>
          </w:tcPr>
          <w:p>
            <w:pPr>
              <w:pStyle w:val="14"/>
              <w:spacing w:before="21"/>
              <w:ind w:left="322" w:right="315"/>
              <w:rPr>
                <w:sz w:val="21"/>
              </w:rPr>
            </w:pPr>
            <w:r>
              <w:rPr>
                <w:sz w:val="21"/>
              </w:rPr>
              <w:t>倾向西北</w:t>
            </w:r>
          </w:p>
        </w:tc>
        <w:tc>
          <w:tcPr>
            <w:tcW w:w="1170" w:type="dxa"/>
          </w:tcPr>
          <w:p>
            <w:pPr>
              <w:pStyle w:val="14"/>
              <w:spacing w:before="35"/>
              <w:ind w:left="201" w:right="192"/>
              <w:rPr>
                <w:rFonts w:ascii="Times New Roman"/>
                <w:sz w:val="21"/>
              </w:rPr>
            </w:pPr>
            <w:r>
              <w:rPr>
                <w:rFonts w:ascii="Times New Roman"/>
                <w:sz w:val="21"/>
              </w:rPr>
              <w:t>20</w:t>
            </w:r>
          </w:p>
        </w:tc>
        <w:tc>
          <w:tcPr>
            <w:tcW w:w="3510" w:type="dxa"/>
          </w:tcPr>
          <w:p>
            <w:pPr>
              <w:pStyle w:val="14"/>
              <w:spacing w:before="21"/>
              <w:ind w:left="158" w:right="150"/>
              <w:rPr>
                <w:sz w:val="21"/>
              </w:rPr>
            </w:pPr>
            <w:r>
              <w:rPr>
                <w:sz w:val="21"/>
              </w:rPr>
              <w:t>三井实见，可靠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41" w:type="dxa"/>
            <w:vMerge w:val="continue"/>
            <w:tcBorders>
              <w:top w:val="nil"/>
            </w:tcBorders>
          </w:tcPr>
          <w:p>
            <w:pPr>
              <w:rPr>
                <w:sz w:val="2"/>
                <w:szCs w:val="2"/>
              </w:rPr>
            </w:pPr>
          </w:p>
        </w:tc>
        <w:tc>
          <w:tcPr>
            <w:tcW w:w="768" w:type="dxa"/>
          </w:tcPr>
          <w:p>
            <w:pPr>
              <w:pStyle w:val="14"/>
              <w:spacing w:before="35"/>
              <w:ind w:left="152" w:right="145"/>
              <w:rPr>
                <w:rFonts w:ascii="Times New Roman"/>
                <w:sz w:val="21"/>
              </w:rPr>
            </w:pPr>
            <w:r>
              <w:rPr>
                <w:rFonts w:ascii="Times New Roman"/>
                <w:sz w:val="21"/>
              </w:rPr>
              <w:t>F1</w:t>
            </w:r>
          </w:p>
        </w:tc>
        <w:tc>
          <w:tcPr>
            <w:tcW w:w="1228" w:type="dxa"/>
          </w:tcPr>
          <w:p>
            <w:pPr>
              <w:pStyle w:val="14"/>
              <w:spacing w:before="21"/>
              <w:ind w:left="278" w:right="269"/>
              <w:rPr>
                <w:sz w:val="21"/>
              </w:rPr>
            </w:pPr>
            <w:r>
              <w:rPr>
                <w:sz w:val="21"/>
              </w:rPr>
              <w:t>正断层</w:t>
            </w:r>
          </w:p>
        </w:tc>
        <w:tc>
          <w:tcPr>
            <w:tcW w:w="1527" w:type="dxa"/>
          </w:tcPr>
          <w:p>
            <w:pPr>
              <w:pStyle w:val="14"/>
              <w:spacing w:before="21"/>
              <w:ind w:left="320" w:right="315"/>
              <w:rPr>
                <w:sz w:val="21"/>
              </w:rPr>
            </w:pPr>
            <w:r>
              <w:rPr>
                <w:sz w:val="21"/>
              </w:rPr>
              <w:t>倾向北</w:t>
            </w:r>
          </w:p>
        </w:tc>
        <w:tc>
          <w:tcPr>
            <w:tcW w:w="1170" w:type="dxa"/>
          </w:tcPr>
          <w:p>
            <w:pPr>
              <w:pStyle w:val="14"/>
              <w:spacing w:before="35"/>
              <w:ind w:left="201" w:right="192"/>
              <w:rPr>
                <w:rFonts w:ascii="Times New Roman"/>
                <w:sz w:val="21"/>
              </w:rPr>
            </w:pPr>
            <w:r>
              <w:rPr>
                <w:rFonts w:ascii="Times New Roman"/>
                <w:sz w:val="21"/>
              </w:rPr>
              <w:t>200-250</w:t>
            </w:r>
          </w:p>
        </w:tc>
        <w:tc>
          <w:tcPr>
            <w:tcW w:w="3510" w:type="dxa"/>
          </w:tcPr>
          <w:p>
            <w:pPr>
              <w:pStyle w:val="14"/>
              <w:spacing w:before="21"/>
              <w:ind w:left="158" w:right="150"/>
              <w:rPr>
                <w:sz w:val="21"/>
              </w:rPr>
            </w:pPr>
            <w:r>
              <w:rPr>
                <w:rFonts w:ascii="Times New Roman" w:eastAsia="Times New Roman"/>
                <w:sz w:val="21"/>
              </w:rPr>
              <w:t xml:space="preserve">90-7 </w:t>
            </w:r>
            <w:r>
              <w:rPr>
                <w:sz w:val="21"/>
              </w:rPr>
              <w:t>号钻孔控制，较可靠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41" w:type="dxa"/>
            <w:vMerge w:val="continue"/>
            <w:tcBorders>
              <w:top w:val="nil"/>
            </w:tcBorders>
          </w:tcPr>
          <w:p>
            <w:pPr>
              <w:rPr>
                <w:sz w:val="2"/>
                <w:szCs w:val="2"/>
              </w:rPr>
            </w:pPr>
          </w:p>
        </w:tc>
        <w:tc>
          <w:tcPr>
            <w:tcW w:w="768" w:type="dxa"/>
          </w:tcPr>
          <w:p>
            <w:pPr>
              <w:pStyle w:val="14"/>
              <w:spacing w:before="190"/>
              <w:ind w:left="152" w:right="145"/>
              <w:rPr>
                <w:rFonts w:ascii="Times New Roman"/>
                <w:sz w:val="21"/>
              </w:rPr>
            </w:pPr>
            <w:r>
              <w:rPr>
                <w:rFonts w:ascii="Times New Roman"/>
                <w:sz w:val="21"/>
              </w:rPr>
              <w:t>F2</w:t>
            </w:r>
          </w:p>
        </w:tc>
        <w:tc>
          <w:tcPr>
            <w:tcW w:w="1228" w:type="dxa"/>
          </w:tcPr>
          <w:p>
            <w:pPr>
              <w:pStyle w:val="14"/>
              <w:spacing w:before="176"/>
              <w:ind w:left="278" w:right="269"/>
              <w:rPr>
                <w:sz w:val="21"/>
              </w:rPr>
            </w:pPr>
            <w:r>
              <w:rPr>
                <w:sz w:val="21"/>
              </w:rPr>
              <w:t>逆断层</w:t>
            </w:r>
          </w:p>
        </w:tc>
        <w:tc>
          <w:tcPr>
            <w:tcW w:w="1527" w:type="dxa"/>
          </w:tcPr>
          <w:p>
            <w:pPr>
              <w:pStyle w:val="14"/>
              <w:spacing w:before="176"/>
              <w:ind w:left="320" w:right="315"/>
              <w:rPr>
                <w:sz w:val="21"/>
              </w:rPr>
            </w:pPr>
            <w:r>
              <w:rPr>
                <w:sz w:val="21"/>
              </w:rPr>
              <w:t>倾向南</w:t>
            </w:r>
          </w:p>
        </w:tc>
        <w:tc>
          <w:tcPr>
            <w:tcW w:w="1170" w:type="dxa"/>
          </w:tcPr>
          <w:p>
            <w:pPr>
              <w:pStyle w:val="14"/>
              <w:spacing w:before="190"/>
              <w:ind w:left="201" w:right="192"/>
              <w:rPr>
                <w:rFonts w:ascii="Times New Roman"/>
                <w:sz w:val="21"/>
              </w:rPr>
            </w:pPr>
            <w:r>
              <w:rPr>
                <w:rFonts w:ascii="Times New Roman"/>
                <w:sz w:val="21"/>
              </w:rPr>
              <w:t>500</w:t>
            </w:r>
          </w:p>
        </w:tc>
        <w:tc>
          <w:tcPr>
            <w:tcW w:w="3510" w:type="dxa"/>
          </w:tcPr>
          <w:p>
            <w:pPr>
              <w:pStyle w:val="14"/>
              <w:spacing w:before="20"/>
              <w:ind w:left="160" w:right="150"/>
              <w:rPr>
                <w:sz w:val="21"/>
              </w:rPr>
            </w:pPr>
            <w:r>
              <w:rPr>
                <w:sz w:val="21"/>
              </w:rPr>
              <w:t>北盘为城子河组，南盘为基底花岗</w:t>
            </w:r>
          </w:p>
          <w:p>
            <w:pPr>
              <w:pStyle w:val="14"/>
              <w:spacing w:before="43"/>
              <w:ind w:left="158" w:right="150"/>
              <w:rPr>
                <w:sz w:val="21"/>
              </w:rPr>
            </w:pPr>
            <w:r>
              <w:rPr>
                <w:sz w:val="21"/>
              </w:rPr>
              <w:t>岩，属于推断断层。</w:t>
            </w:r>
          </w:p>
        </w:tc>
      </w:tr>
    </w:tbl>
    <w:p>
      <w:pPr>
        <w:pStyle w:val="6"/>
        <w:spacing w:before="5"/>
        <w:rPr>
          <w:b/>
          <w:sz w:val="32"/>
        </w:rPr>
      </w:pPr>
    </w:p>
    <w:p>
      <w:pPr>
        <w:pStyle w:val="6"/>
        <w:spacing w:line="364" w:lineRule="auto"/>
        <w:ind w:left="1040" w:right="1077" w:firstLine="480"/>
        <w:jc w:val="both"/>
      </w:pPr>
      <w:r>
        <w:t>本次扩大区范围内及周边共有断层</w:t>
      </w:r>
      <w:r>
        <w:rPr>
          <w:rFonts w:ascii="Times New Roman" w:eastAsia="Times New Roman"/>
        </w:rPr>
        <w:t>10</w:t>
      </w:r>
      <w:r>
        <w:rPr>
          <w:spacing w:val="-12"/>
        </w:rPr>
        <w:t>条，分布在西北部邻近矿井岭东区顺达</w:t>
      </w:r>
      <w:r>
        <w:t>煤井矿区范围内有</w:t>
      </w:r>
      <w:r>
        <w:rPr>
          <w:rFonts w:ascii="Times New Roman" w:eastAsia="Times New Roman"/>
        </w:rPr>
        <w:t>2</w:t>
      </w:r>
      <w:r>
        <w:rPr>
          <w:spacing w:val="-7"/>
        </w:rPr>
        <w:t>条，分布在原大顺煤矿范围内有</w:t>
      </w:r>
      <w:r>
        <w:rPr>
          <w:rFonts w:ascii="Times New Roman" w:eastAsia="Times New Roman"/>
        </w:rPr>
        <w:t>6</w:t>
      </w:r>
      <w:r>
        <w:rPr>
          <w:spacing w:val="-8"/>
        </w:rPr>
        <w:t>条，分布在两矿之间边界断</w:t>
      </w:r>
      <w:r>
        <w:t>层</w:t>
      </w:r>
      <w:r>
        <w:rPr>
          <w:rFonts w:ascii="Times New Roman" w:eastAsia="Times New Roman"/>
        </w:rPr>
        <w:t>1</w:t>
      </w:r>
      <w:r>
        <w:rPr>
          <w:spacing w:val="-6"/>
        </w:rPr>
        <w:t>条，分布在扩大区与长山六井之间</w:t>
      </w:r>
      <w:r>
        <w:rPr>
          <w:rFonts w:ascii="Times New Roman" w:eastAsia="Times New Roman"/>
        </w:rPr>
        <w:t>1</w:t>
      </w:r>
      <w:r>
        <w:rPr>
          <w:spacing w:val="-10"/>
        </w:rPr>
        <w:t>条，以及劳教所煤矿向斜。现分别叙述如</w:t>
      </w:r>
      <w:r>
        <w:t>下：</w:t>
      </w:r>
    </w:p>
    <w:p>
      <w:pPr>
        <w:pStyle w:val="13"/>
        <w:numPr>
          <w:ilvl w:val="0"/>
          <w:numId w:val="23"/>
        </w:numPr>
        <w:tabs>
          <w:tab w:val="left" w:pos="2121"/>
        </w:tabs>
        <w:spacing w:before="0" w:after="0" w:line="364" w:lineRule="auto"/>
        <w:ind w:left="1040" w:right="957" w:firstLine="480"/>
        <w:jc w:val="left"/>
        <w:rPr>
          <w:sz w:val="24"/>
        </w:rPr>
      </w:pPr>
      <w:r>
        <w:rPr>
          <w:spacing w:val="-6"/>
          <w:sz w:val="24"/>
        </w:rPr>
        <w:t>劳教所煤矿向斜：为一轴向南东，向南东倾伏，向西北抬起的北翼缓</w:t>
      </w:r>
      <w:r>
        <w:rPr>
          <w:spacing w:val="-7"/>
          <w:sz w:val="24"/>
        </w:rPr>
        <w:t>、南翼陡的不对称向斜。向斜北翼地层走向</w:t>
      </w:r>
      <w:r>
        <w:rPr>
          <w:rFonts w:ascii="Times New Roman" w:hAnsi="Times New Roman" w:eastAsia="Times New Roman"/>
          <w:spacing w:val="-4"/>
          <w:sz w:val="24"/>
        </w:rPr>
        <w:t>N450</w:t>
      </w:r>
      <w:r>
        <w:rPr>
          <w:spacing w:val="-4"/>
          <w:sz w:val="24"/>
        </w:rPr>
        <w:t>－</w:t>
      </w:r>
      <w:r>
        <w:rPr>
          <w:rFonts w:ascii="Times New Roman" w:hAnsi="Times New Roman" w:eastAsia="Times New Roman"/>
          <w:spacing w:val="-4"/>
          <w:sz w:val="24"/>
        </w:rPr>
        <w:t>800E</w:t>
      </w:r>
      <w:r>
        <w:rPr>
          <w:spacing w:val="-2"/>
          <w:sz w:val="24"/>
        </w:rPr>
        <w:t>，倾角</w:t>
      </w:r>
      <w:r>
        <w:rPr>
          <w:rFonts w:ascii="Times New Roman" w:hAnsi="Times New Roman" w:eastAsia="Times New Roman"/>
          <w:sz w:val="24"/>
        </w:rPr>
        <w:t>30-45</w:t>
      </w:r>
      <w:r>
        <w:rPr>
          <w:rFonts w:ascii="Times New Roman" w:hAnsi="Times New Roman" w:eastAsia="Times New Roman"/>
          <w:position w:val="8"/>
          <w:sz w:val="15"/>
        </w:rPr>
        <w:t>o</w:t>
      </w:r>
      <w:r>
        <w:rPr>
          <w:spacing w:val="-8"/>
          <w:sz w:val="24"/>
        </w:rPr>
        <w:t>左右；南翼走向近东西，地层走向</w:t>
      </w:r>
      <w:r>
        <w:rPr>
          <w:rFonts w:ascii="Times New Roman" w:hAnsi="Times New Roman" w:eastAsia="Times New Roman"/>
          <w:spacing w:val="-8"/>
          <w:sz w:val="24"/>
        </w:rPr>
        <w:t>70°-80°</w:t>
      </w:r>
      <w:r>
        <w:rPr>
          <w:spacing w:val="-8"/>
          <w:sz w:val="24"/>
        </w:rPr>
        <w:t>，倾角</w:t>
      </w:r>
      <w:r>
        <w:rPr>
          <w:rFonts w:ascii="Times New Roman" w:hAnsi="Times New Roman" w:eastAsia="Times New Roman"/>
          <w:spacing w:val="-8"/>
          <w:sz w:val="24"/>
        </w:rPr>
        <w:t>55</w:t>
      </w:r>
      <w:r>
        <w:rPr>
          <w:rFonts w:ascii="Times New Roman" w:hAnsi="Times New Roman" w:eastAsia="Times New Roman"/>
          <w:spacing w:val="-8"/>
          <w:position w:val="8"/>
          <w:sz w:val="15"/>
        </w:rPr>
        <w:t>o</w:t>
      </w:r>
      <w:r>
        <w:rPr>
          <w:spacing w:val="-8"/>
          <w:sz w:val="24"/>
        </w:rPr>
        <w:t>左右。</w:t>
      </w:r>
    </w:p>
    <w:p>
      <w:pPr>
        <w:pStyle w:val="13"/>
        <w:numPr>
          <w:ilvl w:val="0"/>
          <w:numId w:val="23"/>
        </w:numPr>
        <w:tabs>
          <w:tab w:val="left" w:pos="2121"/>
        </w:tabs>
        <w:spacing w:before="0" w:after="0" w:line="364" w:lineRule="auto"/>
        <w:ind w:left="1040" w:right="1072" w:firstLine="480"/>
        <w:jc w:val="left"/>
        <w:rPr>
          <w:sz w:val="24"/>
        </w:rPr>
      </w:pPr>
      <w:r>
        <w:rPr>
          <w:rFonts w:ascii="Times New Roman" w:hAnsi="Times New Roman" w:eastAsia="Times New Roman"/>
          <w:sz w:val="24"/>
        </w:rPr>
        <w:t>F1</w:t>
      </w:r>
      <w:r>
        <w:rPr>
          <w:spacing w:val="-13"/>
          <w:sz w:val="24"/>
        </w:rPr>
        <w:t>号断层：走向北东，倾向南、倾角</w:t>
      </w:r>
      <w:r>
        <w:rPr>
          <w:rFonts w:ascii="Times New Roman" w:hAnsi="Times New Roman" w:eastAsia="Times New Roman"/>
          <w:spacing w:val="-13"/>
          <w:sz w:val="24"/>
        </w:rPr>
        <w:t>70°</w:t>
      </w:r>
      <w:r>
        <w:rPr>
          <w:spacing w:val="-7"/>
          <w:sz w:val="24"/>
        </w:rPr>
        <w:t>，由</w:t>
      </w:r>
      <w:r>
        <w:rPr>
          <w:rFonts w:ascii="Times New Roman" w:hAnsi="Times New Roman" w:eastAsia="Times New Roman"/>
          <w:sz w:val="24"/>
        </w:rPr>
        <w:t>90-4</w:t>
      </w:r>
      <w:r>
        <w:rPr>
          <w:sz w:val="24"/>
        </w:rPr>
        <w:t>号钻孔第五勘探线</w:t>
      </w:r>
      <w:r>
        <w:rPr>
          <w:rFonts w:ascii="Times New Roman" w:hAnsi="Times New Roman" w:eastAsia="Times New Roman"/>
          <w:spacing w:val="-5"/>
          <w:sz w:val="24"/>
        </w:rPr>
        <w:t>90-2</w:t>
      </w:r>
      <w:r>
        <w:rPr>
          <w:sz w:val="24"/>
        </w:rPr>
        <w:t>号孔、</w:t>
      </w:r>
      <w:r>
        <w:rPr>
          <w:rFonts w:ascii="Times New Roman" w:hAnsi="Times New Roman" w:eastAsia="Times New Roman"/>
          <w:sz w:val="24"/>
        </w:rPr>
        <w:t>90-7</w:t>
      </w:r>
      <w:r>
        <w:rPr>
          <w:sz w:val="24"/>
        </w:rPr>
        <w:t>号孔推定。落差大于</w:t>
      </w:r>
      <w:r>
        <w:rPr>
          <w:rFonts w:ascii="Times New Roman" w:hAnsi="Times New Roman" w:eastAsia="Times New Roman"/>
          <w:sz w:val="24"/>
        </w:rPr>
        <w:t>200</w:t>
      </w:r>
      <w:r>
        <w:rPr>
          <w:sz w:val="24"/>
        </w:rPr>
        <w:t>米，属推断断层。</w:t>
      </w:r>
    </w:p>
    <w:p>
      <w:pPr>
        <w:pStyle w:val="13"/>
        <w:numPr>
          <w:ilvl w:val="0"/>
          <w:numId w:val="23"/>
        </w:numPr>
        <w:tabs>
          <w:tab w:val="left" w:pos="2121"/>
        </w:tabs>
        <w:spacing w:before="0" w:after="0" w:line="362" w:lineRule="auto"/>
        <w:ind w:left="1040" w:right="1077" w:firstLine="480"/>
        <w:jc w:val="left"/>
        <w:rPr>
          <w:sz w:val="24"/>
        </w:rPr>
      </w:pPr>
      <w:r>
        <w:rPr>
          <w:rFonts w:ascii="Times New Roman" w:hAnsi="Times New Roman" w:eastAsia="Times New Roman"/>
          <w:sz w:val="24"/>
        </w:rPr>
        <w:t>F2</w:t>
      </w:r>
      <w:r>
        <w:rPr>
          <w:spacing w:val="-7"/>
          <w:sz w:val="24"/>
        </w:rPr>
        <w:t>断层：走向近东西，倾向南、倾角</w:t>
      </w:r>
      <w:r>
        <w:rPr>
          <w:rFonts w:ascii="Times New Roman" w:hAnsi="Times New Roman" w:eastAsia="Times New Roman"/>
          <w:spacing w:val="-4"/>
          <w:sz w:val="24"/>
        </w:rPr>
        <w:t>70°</w:t>
      </w:r>
      <w:r>
        <w:rPr>
          <w:spacing w:val="-5"/>
          <w:sz w:val="24"/>
        </w:rPr>
        <w:t>，为逆冲断层，北盘为城子河</w:t>
      </w:r>
      <w:r>
        <w:rPr>
          <w:sz w:val="24"/>
        </w:rPr>
        <w:t>组、穆棱组地层，南盘为基底花岗岩，落差</w:t>
      </w:r>
      <w:r>
        <w:rPr>
          <w:rFonts w:ascii="Times New Roman" w:hAnsi="Times New Roman" w:eastAsia="Times New Roman"/>
          <w:sz w:val="24"/>
        </w:rPr>
        <w:t>500</w:t>
      </w:r>
      <w:r>
        <w:rPr>
          <w:sz w:val="24"/>
        </w:rPr>
        <w:t>米，属推断断层。</w:t>
      </w:r>
    </w:p>
    <w:p>
      <w:pPr>
        <w:pStyle w:val="13"/>
        <w:numPr>
          <w:ilvl w:val="0"/>
          <w:numId w:val="23"/>
        </w:numPr>
        <w:tabs>
          <w:tab w:val="left" w:pos="2121"/>
        </w:tabs>
        <w:spacing w:before="1" w:after="0" w:line="240" w:lineRule="auto"/>
        <w:ind w:left="2121" w:right="0" w:hanging="601"/>
        <w:jc w:val="left"/>
        <w:rPr>
          <w:sz w:val="24"/>
        </w:rPr>
      </w:pPr>
      <w:r>
        <w:rPr>
          <w:rFonts w:ascii="Times New Roman" w:hAnsi="Times New Roman" w:eastAsia="Times New Roman"/>
          <w:sz w:val="24"/>
        </w:rPr>
        <w:t>F3</w:t>
      </w:r>
      <w:r>
        <w:rPr>
          <w:spacing w:val="-5"/>
          <w:sz w:val="24"/>
        </w:rPr>
        <w:t>断层：走向北西，倾向北东、倾角</w:t>
      </w:r>
      <w:r>
        <w:rPr>
          <w:rFonts w:ascii="Times New Roman" w:hAnsi="Times New Roman" w:eastAsia="Times New Roman"/>
          <w:sz w:val="24"/>
        </w:rPr>
        <w:t>70°</w:t>
      </w:r>
      <w:r>
        <w:rPr>
          <w:spacing w:val="-2"/>
          <w:sz w:val="24"/>
        </w:rPr>
        <w:t>，为正断层，落差</w:t>
      </w:r>
      <w:r>
        <w:rPr>
          <w:rFonts w:ascii="Times New Roman" w:hAnsi="Times New Roman" w:eastAsia="Times New Roman"/>
          <w:sz w:val="24"/>
        </w:rPr>
        <w:t>350-380</w:t>
      </w:r>
      <w:r>
        <w:rPr>
          <w:sz w:val="24"/>
        </w:rPr>
        <w:t>米，</w:t>
      </w:r>
    </w:p>
    <w:p>
      <w:pPr>
        <w:spacing w:after="0" w:line="240" w:lineRule="auto"/>
        <w:jc w:val="left"/>
        <w:rPr>
          <w:sz w:val="24"/>
        </w:rPr>
        <w:sectPr>
          <w:pgSz w:w="11910" w:h="16840"/>
          <w:pgMar w:top="1080" w:right="720" w:bottom="1160" w:left="760" w:header="0" w:footer="89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00" name="组合 45"/>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99" name="直线 46"/>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45"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aCLtQAAAADAQAADwAAAAAAAAABACAAAAAiAAAAZHJzL2Rvd25yZXYueG1s&#10;UEsBAhQAFAAAAAgAh07iQJCu0601AgAAtQQAAA4AAAAAAAAAAQAgAAAAIwEAAGRycy9lMm9Eb2Mu&#10;eG1sUEsFBgAAAAAGAAYAWQEAAMoFAAAAAA==&#10;">
                <o:lock v:ext="edit" aspectratio="f"/>
                <v:line id="直线 46" o:spid="_x0000_s1026" o:spt="20" style="position:absolute;left:0;top:7;height:0;width:8306;" filled="f" stroked="t" coordsize="21600,21600" o:gfxdata="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NtbIvQAA&#10;ANs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pStyle w:val="6"/>
        <w:spacing w:before="5"/>
        <w:rPr>
          <w:sz w:val="19"/>
        </w:rPr>
      </w:pPr>
    </w:p>
    <w:p>
      <w:pPr>
        <w:pStyle w:val="6"/>
        <w:spacing w:before="74" w:line="364" w:lineRule="auto"/>
        <w:ind w:left="1040" w:right="955"/>
      </w:pPr>
      <w:r>
        <w:t>东南端由</w:t>
      </w:r>
      <w:r>
        <w:rPr>
          <w:rFonts w:ascii="Times New Roman" w:eastAsia="Times New Roman"/>
        </w:rPr>
        <w:t>2000-4</w:t>
      </w:r>
      <w:r>
        <w:t>和</w:t>
      </w:r>
      <w:r>
        <w:rPr>
          <w:rFonts w:ascii="Times New Roman" w:eastAsia="Times New Roman"/>
        </w:rPr>
        <w:t>90-2</w:t>
      </w:r>
      <w:r>
        <w:rPr>
          <w:spacing w:val="-10"/>
        </w:rPr>
        <w:t>号孔控制，北西端双鸭山矿务局长山六井报告</w:t>
      </w:r>
      <w:r>
        <w:rPr>
          <w:rFonts w:ascii="Times New Roman" w:eastAsia="Times New Roman"/>
        </w:rPr>
        <w:t>87-7</w:t>
      </w:r>
      <w:r>
        <w:rPr>
          <w:spacing w:val="-4"/>
        </w:rPr>
        <w:t>号钻孔、</w:t>
      </w:r>
      <w:r>
        <w:t>顺达补勘</w:t>
      </w:r>
      <w:r>
        <w:rPr>
          <w:rFonts w:ascii="Times New Roman" w:eastAsia="Times New Roman"/>
        </w:rPr>
        <w:t>2000-3</w:t>
      </w:r>
      <w:r>
        <w:t>号钻孔控制，属较可靠。为本次核实新推断断层。</w:t>
      </w:r>
    </w:p>
    <w:p>
      <w:pPr>
        <w:pStyle w:val="13"/>
        <w:numPr>
          <w:ilvl w:val="0"/>
          <w:numId w:val="23"/>
        </w:numPr>
        <w:tabs>
          <w:tab w:val="left" w:pos="2130"/>
        </w:tabs>
        <w:spacing w:before="0" w:after="0" w:line="364" w:lineRule="auto"/>
        <w:ind w:left="1040" w:right="1075" w:firstLine="480"/>
        <w:jc w:val="left"/>
        <w:rPr>
          <w:sz w:val="24"/>
        </w:rPr>
      </w:pPr>
      <w:r>
        <w:rPr>
          <w:rFonts w:ascii="Times New Roman" w:eastAsia="Times New Roman"/>
          <w:sz w:val="24"/>
        </w:rPr>
        <w:t>F4</w:t>
      </w:r>
      <w:r>
        <w:rPr>
          <w:sz w:val="24"/>
        </w:rPr>
        <w:t>号断层：走向北西，倾向东，由</w:t>
      </w:r>
      <w:r>
        <w:rPr>
          <w:rFonts w:ascii="Times New Roman" w:eastAsia="Times New Roman"/>
          <w:sz w:val="24"/>
        </w:rPr>
        <w:t>90-1</w:t>
      </w:r>
      <w:r>
        <w:rPr>
          <w:sz w:val="24"/>
        </w:rPr>
        <w:t>、</w:t>
      </w:r>
      <w:r>
        <w:rPr>
          <w:rFonts w:ascii="Times New Roman" w:eastAsia="Times New Roman"/>
          <w:sz w:val="24"/>
        </w:rPr>
        <w:t>90-2</w:t>
      </w:r>
      <w:r>
        <w:rPr>
          <w:sz w:val="24"/>
        </w:rPr>
        <w:t>孔推定。同一水平，西盘为城子河组，东盘为穆棱组地层。落差不详，属推断断层。</w:t>
      </w:r>
    </w:p>
    <w:p>
      <w:pPr>
        <w:pStyle w:val="13"/>
        <w:numPr>
          <w:ilvl w:val="0"/>
          <w:numId w:val="23"/>
        </w:numPr>
        <w:tabs>
          <w:tab w:val="left" w:pos="2121"/>
        </w:tabs>
        <w:spacing w:before="0" w:after="0" w:line="364" w:lineRule="auto"/>
        <w:ind w:left="1040" w:right="1072" w:firstLine="480"/>
        <w:jc w:val="left"/>
        <w:rPr>
          <w:sz w:val="24"/>
        </w:rPr>
      </w:pPr>
      <w:r>
        <w:rPr>
          <w:rFonts w:ascii="Times New Roman" w:eastAsia="Times New Roman"/>
          <w:sz w:val="24"/>
        </w:rPr>
        <w:t>F5</w:t>
      </w:r>
      <w:r>
        <w:rPr>
          <w:spacing w:val="-4"/>
          <w:sz w:val="24"/>
        </w:rPr>
        <w:t>号地层：走向北东，倾向南东，落差</w:t>
      </w:r>
      <w:r>
        <w:rPr>
          <w:rFonts w:ascii="Times New Roman" w:eastAsia="Times New Roman"/>
          <w:sz w:val="24"/>
        </w:rPr>
        <w:t>15-30</w:t>
      </w:r>
      <w:r>
        <w:rPr>
          <w:sz w:val="24"/>
        </w:rPr>
        <w:t>米，</w:t>
      </w:r>
      <w:r>
        <w:rPr>
          <w:rFonts w:ascii="Times New Roman" w:eastAsia="Times New Roman"/>
          <w:sz w:val="24"/>
        </w:rPr>
        <w:t>90-1</w:t>
      </w:r>
      <w:r>
        <w:rPr>
          <w:spacing w:val="-3"/>
          <w:sz w:val="24"/>
        </w:rPr>
        <w:t>号钻孔控制，一</w:t>
      </w:r>
      <w:r>
        <w:rPr>
          <w:sz w:val="24"/>
        </w:rPr>
        <w:t>井东部巷道控制，属较可靠。</w:t>
      </w:r>
    </w:p>
    <w:p>
      <w:pPr>
        <w:pStyle w:val="13"/>
        <w:numPr>
          <w:ilvl w:val="0"/>
          <w:numId w:val="23"/>
        </w:numPr>
        <w:tabs>
          <w:tab w:val="left" w:pos="2125"/>
        </w:tabs>
        <w:spacing w:before="0" w:after="0" w:line="364" w:lineRule="auto"/>
        <w:ind w:left="1040" w:right="1077" w:firstLine="480"/>
        <w:jc w:val="left"/>
        <w:rPr>
          <w:sz w:val="24"/>
        </w:rPr>
      </w:pPr>
      <w:r>
        <w:rPr>
          <w:rFonts w:ascii="Times New Roman" w:eastAsia="Times New Roman"/>
          <w:sz w:val="24"/>
        </w:rPr>
        <w:t>F6</w:t>
      </w:r>
      <w:r>
        <w:rPr>
          <w:sz w:val="24"/>
        </w:rPr>
        <w:t>号断层：走向北东，倾向北西、落差</w:t>
      </w:r>
      <w:r>
        <w:rPr>
          <w:rFonts w:ascii="Times New Roman" w:eastAsia="Times New Roman"/>
          <w:sz w:val="24"/>
        </w:rPr>
        <w:t>0-20</w:t>
      </w:r>
      <w:r>
        <w:rPr>
          <w:sz w:val="24"/>
        </w:rPr>
        <w:t>米，由长胜井、二井巷道实见，属可靠。</w:t>
      </w:r>
    </w:p>
    <w:p>
      <w:pPr>
        <w:pStyle w:val="13"/>
        <w:numPr>
          <w:ilvl w:val="0"/>
          <w:numId w:val="23"/>
        </w:numPr>
        <w:tabs>
          <w:tab w:val="left" w:pos="2121"/>
        </w:tabs>
        <w:spacing w:before="0" w:after="0" w:line="362" w:lineRule="auto"/>
        <w:ind w:left="1040" w:right="1077" w:firstLine="480"/>
        <w:jc w:val="left"/>
        <w:rPr>
          <w:sz w:val="24"/>
        </w:rPr>
      </w:pPr>
      <w:r>
        <w:rPr>
          <w:rFonts w:ascii="Times New Roman" w:eastAsia="Times New Roman"/>
          <w:sz w:val="24"/>
        </w:rPr>
        <w:t>F7</w:t>
      </w:r>
      <w:r>
        <w:rPr>
          <w:sz w:val="24"/>
        </w:rPr>
        <w:t>号断层：走向北东东，倾向北西、落差</w:t>
      </w:r>
      <w:r>
        <w:rPr>
          <w:rFonts w:ascii="Times New Roman" w:eastAsia="Times New Roman"/>
          <w:sz w:val="24"/>
        </w:rPr>
        <w:t>20</w:t>
      </w:r>
      <w:r>
        <w:rPr>
          <w:spacing w:val="-2"/>
          <w:sz w:val="24"/>
        </w:rPr>
        <w:t>米，由三井巷道实见，属</w:t>
      </w:r>
      <w:r>
        <w:rPr>
          <w:sz w:val="24"/>
        </w:rPr>
        <w:t>可靠。</w:t>
      </w:r>
    </w:p>
    <w:p>
      <w:pPr>
        <w:pStyle w:val="13"/>
        <w:numPr>
          <w:ilvl w:val="0"/>
          <w:numId w:val="23"/>
        </w:numPr>
        <w:tabs>
          <w:tab w:val="left" w:pos="2121"/>
        </w:tabs>
        <w:spacing w:before="0" w:after="0" w:line="240" w:lineRule="auto"/>
        <w:ind w:left="2121" w:right="0" w:hanging="601"/>
        <w:jc w:val="left"/>
        <w:rPr>
          <w:sz w:val="24"/>
        </w:rPr>
      </w:pPr>
      <w:r>
        <w:rPr>
          <w:rFonts w:ascii="Times New Roman" w:hAnsi="Times New Roman" w:eastAsia="Times New Roman"/>
          <w:sz w:val="24"/>
        </w:rPr>
        <w:t>R5</w:t>
      </w:r>
      <w:r>
        <w:rPr>
          <w:sz w:val="24"/>
        </w:rPr>
        <w:t>号断层：逆断层，倾向</w:t>
      </w:r>
      <w:r>
        <w:rPr>
          <w:rFonts w:ascii="Times New Roman" w:hAnsi="Times New Roman" w:eastAsia="Times New Roman"/>
          <w:sz w:val="24"/>
        </w:rPr>
        <w:t>60°</w:t>
      </w:r>
      <w:r>
        <w:rPr>
          <w:sz w:val="24"/>
        </w:rPr>
        <w:t>南东，落差</w:t>
      </w:r>
      <w:r>
        <w:rPr>
          <w:rFonts w:ascii="Times New Roman" w:hAnsi="Times New Roman" w:eastAsia="Times New Roman"/>
          <w:sz w:val="24"/>
        </w:rPr>
        <w:t>6</w:t>
      </w:r>
      <w:r>
        <w:rPr>
          <w:sz w:val="24"/>
        </w:rPr>
        <w:t>米，九井实见，属于可靠。</w:t>
      </w:r>
    </w:p>
    <w:p>
      <w:pPr>
        <w:pStyle w:val="13"/>
        <w:numPr>
          <w:ilvl w:val="0"/>
          <w:numId w:val="23"/>
        </w:numPr>
        <w:tabs>
          <w:tab w:val="left" w:pos="2243"/>
        </w:tabs>
        <w:spacing w:before="161" w:after="0" w:line="364" w:lineRule="auto"/>
        <w:ind w:left="1040" w:right="1075" w:firstLine="480"/>
        <w:jc w:val="left"/>
        <w:rPr>
          <w:sz w:val="24"/>
        </w:rPr>
      </w:pPr>
      <w:r>
        <w:rPr>
          <w:rFonts w:ascii="Times New Roman" w:hAnsi="Times New Roman" w:eastAsia="Times New Roman"/>
          <w:spacing w:val="-4"/>
          <w:sz w:val="24"/>
        </w:rPr>
        <w:t>R11</w:t>
      </w:r>
      <w:r>
        <w:rPr>
          <w:sz w:val="24"/>
        </w:rPr>
        <w:t>号断层：逆断层，倾向南东，倾角</w:t>
      </w:r>
      <w:r>
        <w:rPr>
          <w:rFonts w:ascii="Times New Roman" w:hAnsi="Times New Roman" w:eastAsia="Times New Roman"/>
          <w:sz w:val="24"/>
        </w:rPr>
        <w:t>60°</w:t>
      </w:r>
      <w:r>
        <w:rPr>
          <w:sz w:val="24"/>
        </w:rPr>
        <w:t>，落差</w:t>
      </w:r>
      <w:r>
        <w:rPr>
          <w:rFonts w:ascii="Times New Roman" w:hAnsi="Times New Roman" w:eastAsia="Times New Roman"/>
          <w:sz w:val="24"/>
        </w:rPr>
        <w:t>100</w:t>
      </w:r>
      <w:r>
        <w:rPr>
          <w:spacing w:val="-2"/>
          <w:sz w:val="24"/>
        </w:rPr>
        <w:t xml:space="preserve">米，钻孔控制， </w:t>
      </w:r>
      <w:r>
        <w:rPr>
          <w:sz w:val="24"/>
        </w:rPr>
        <w:t>较可靠。</w:t>
      </w:r>
    </w:p>
    <w:p>
      <w:pPr>
        <w:pStyle w:val="13"/>
        <w:numPr>
          <w:ilvl w:val="0"/>
          <w:numId w:val="23"/>
        </w:numPr>
        <w:tabs>
          <w:tab w:val="left" w:pos="2232"/>
        </w:tabs>
        <w:spacing w:before="0" w:after="0" w:line="364" w:lineRule="auto"/>
        <w:ind w:left="1040" w:right="955" w:firstLine="480"/>
        <w:jc w:val="left"/>
        <w:rPr>
          <w:sz w:val="24"/>
        </w:rPr>
      </w:pPr>
      <w:r>
        <w:rPr>
          <w:rFonts w:ascii="Times New Roman" w:hAnsi="Times New Roman" w:eastAsia="Times New Roman"/>
          <w:sz w:val="24"/>
        </w:rPr>
        <w:t>F12</w:t>
      </w:r>
      <w:r>
        <w:rPr>
          <w:spacing w:val="-6"/>
          <w:sz w:val="24"/>
        </w:rPr>
        <w:t>号断层：逆断层，倾向南，倾角</w:t>
      </w:r>
      <w:r>
        <w:rPr>
          <w:rFonts w:ascii="Times New Roman" w:hAnsi="Times New Roman" w:eastAsia="Times New Roman"/>
          <w:spacing w:val="-3"/>
          <w:sz w:val="24"/>
        </w:rPr>
        <w:t>60°</w:t>
      </w:r>
      <w:r>
        <w:rPr>
          <w:spacing w:val="-2"/>
          <w:sz w:val="24"/>
        </w:rPr>
        <w:t>，落差大于</w:t>
      </w:r>
      <w:r>
        <w:rPr>
          <w:rFonts w:ascii="Times New Roman" w:hAnsi="Times New Roman" w:eastAsia="Times New Roman"/>
          <w:sz w:val="24"/>
        </w:rPr>
        <w:t>500</w:t>
      </w:r>
      <w:r>
        <w:rPr>
          <w:spacing w:val="-5"/>
          <w:sz w:val="24"/>
        </w:rPr>
        <w:t xml:space="preserve">米，钻孔控制， </w:t>
      </w:r>
      <w:r>
        <w:rPr>
          <w:sz w:val="24"/>
        </w:rPr>
        <w:t>较可靠。</w:t>
      </w:r>
    </w:p>
    <w:p>
      <w:pPr>
        <w:pStyle w:val="6"/>
        <w:spacing w:line="306" w:lineRule="exact"/>
        <w:ind w:left="1520"/>
      </w:pPr>
      <w:r>
        <w:t>大顺煤矿扩储后，整个井田断层特征见表</w:t>
      </w:r>
      <w:r>
        <w:rPr>
          <w:rFonts w:ascii="Times New Roman" w:eastAsia="Times New Roman"/>
        </w:rPr>
        <w:t>3.3-7</w:t>
      </w:r>
      <w:r>
        <w:t>。</w:t>
      </w:r>
    </w:p>
    <w:p>
      <w:pPr>
        <w:pStyle w:val="5"/>
        <w:tabs>
          <w:tab w:val="left" w:pos="1433"/>
        </w:tabs>
        <w:spacing w:before="159"/>
        <w:ind w:left="452"/>
        <w:jc w:val="center"/>
      </w:pPr>
      <w:r>
        <w:t>表</w:t>
      </w:r>
      <w:r>
        <w:rPr>
          <w:rFonts w:ascii="Times New Roman" w:eastAsia="Times New Roman"/>
        </w:rPr>
        <w:t>3.3-7</w:t>
      </w:r>
      <w:r>
        <w:rPr>
          <w:rFonts w:ascii="Times New Roman" w:eastAsia="Times New Roman"/>
        </w:rPr>
        <w:tab/>
      </w:r>
      <w:r>
        <w:t>双鸭山大顺煤矿井区内主要断层表</w:t>
      </w:r>
    </w:p>
    <w:p>
      <w:pPr>
        <w:pStyle w:val="6"/>
        <w:spacing w:before="4"/>
        <w:rPr>
          <w:b/>
          <w:sz w:val="12"/>
        </w:rPr>
      </w:pPr>
    </w:p>
    <w:tbl>
      <w:tblPr>
        <w:tblStyle w:val="10"/>
        <w:tblW w:w="0" w:type="auto"/>
        <w:tblInd w:w="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01"/>
        <w:gridCol w:w="757"/>
        <w:gridCol w:w="989"/>
        <w:gridCol w:w="1556"/>
        <w:gridCol w:w="992"/>
        <w:gridCol w:w="38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01" w:type="dxa"/>
          </w:tcPr>
          <w:p>
            <w:pPr>
              <w:pStyle w:val="14"/>
              <w:spacing w:before="21"/>
              <w:ind w:left="389"/>
              <w:jc w:val="left"/>
              <w:rPr>
                <w:sz w:val="21"/>
              </w:rPr>
            </w:pPr>
            <w:r>
              <w:rPr>
                <w:sz w:val="21"/>
              </w:rPr>
              <w:t>范围</w:t>
            </w:r>
          </w:p>
        </w:tc>
        <w:tc>
          <w:tcPr>
            <w:tcW w:w="757" w:type="dxa"/>
          </w:tcPr>
          <w:p>
            <w:pPr>
              <w:pStyle w:val="14"/>
              <w:spacing w:before="21"/>
              <w:ind w:left="146" w:right="141"/>
              <w:rPr>
                <w:sz w:val="21"/>
              </w:rPr>
            </w:pPr>
            <w:r>
              <w:rPr>
                <w:sz w:val="21"/>
              </w:rPr>
              <w:t>编号</w:t>
            </w:r>
          </w:p>
        </w:tc>
        <w:tc>
          <w:tcPr>
            <w:tcW w:w="989" w:type="dxa"/>
          </w:tcPr>
          <w:p>
            <w:pPr>
              <w:pStyle w:val="14"/>
              <w:spacing w:before="21"/>
              <w:ind w:left="157" w:right="151"/>
              <w:rPr>
                <w:sz w:val="21"/>
              </w:rPr>
            </w:pPr>
            <w:r>
              <w:rPr>
                <w:sz w:val="21"/>
              </w:rPr>
              <w:t>性质</w:t>
            </w:r>
          </w:p>
        </w:tc>
        <w:tc>
          <w:tcPr>
            <w:tcW w:w="1556" w:type="dxa"/>
          </w:tcPr>
          <w:p>
            <w:pPr>
              <w:pStyle w:val="14"/>
              <w:spacing w:before="21"/>
              <w:ind w:left="137" w:right="129"/>
              <w:rPr>
                <w:sz w:val="21"/>
              </w:rPr>
            </w:pPr>
            <w:r>
              <w:rPr>
                <w:sz w:val="21"/>
              </w:rPr>
              <w:t>倾向倾角</w:t>
            </w:r>
          </w:p>
        </w:tc>
        <w:tc>
          <w:tcPr>
            <w:tcW w:w="992" w:type="dxa"/>
          </w:tcPr>
          <w:p>
            <w:pPr>
              <w:pStyle w:val="14"/>
              <w:spacing w:before="21"/>
              <w:ind w:left="54" w:right="46"/>
              <w:rPr>
                <w:rFonts w:ascii="Times New Roman" w:eastAsia="Times New Roman"/>
                <w:sz w:val="21"/>
              </w:rPr>
            </w:pPr>
            <w:r>
              <w:rPr>
                <w:sz w:val="21"/>
              </w:rPr>
              <w:t>落差</w:t>
            </w:r>
            <w:r>
              <w:rPr>
                <w:rFonts w:ascii="Times New Roman" w:eastAsia="Times New Roman"/>
                <w:sz w:val="21"/>
              </w:rPr>
              <w:t>(m)</w:t>
            </w:r>
          </w:p>
        </w:tc>
        <w:tc>
          <w:tcPr>
            <w:tcW w:w="3849" w:type="dxa"/>
          </w:tcPr>
          <w:p>
            <w:pPr>
              <w:pStyle w:val="14"/>
              <w:spacing w:before="21"/>
              <w:ind w:left="115" w:right="109"/>
              <w:rPr>
                <w:sz w:val="21"/>
              </w:rPr>
            </w:pPr>
            <w:r>
              <w:rPr>
                <w:sz w:val="21"/>
              </w:rPr>
              <w:t>控制程度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01" w:type="dxa"/>
            <w:vMerge w:val="restart"/>
          </w:tcPr>
          <w:p>
            <w:pPr>
              <w:pStyle w:val="14"/>
              <w:jc w:val="left"/>
              <w:rPr>
                <w:b/>
                <w:sz w:val="20"/>
              </w:rPr>
            </w:pPr>
          </w:p>
          <w:p>
            <w:pPr>
              <w:pStyle w:val="14"/>
              <w:jc w:val="left"/>
              <w:rPr>
                <w:b/>
                <w:sz w:val="20"/>
              </w:rPr>
            </w:pPr>
          </w:p>
          <w:p>
            <w:pPr>
              <w:pStyle w:val="14"/>
              <w:spacing w:before="4"/>
              <w:jc w:val="left"/>
              <w:rPr>
                <w:b/>
                <w:sz w:val="24"/>
              </w:rPr>
            </w:pPr>
          </w:p>
          <w:p>
            <w:pPr>
              <w:pStyle w:val="14"/>
              <w:spacing w:line="278" w:lineRule="auto"/>
              <w:ind w:left="180" w:right="170"/>
              <w:jc w:val="left"/>
              <w:rPr>
                <w:sz w:val="21"/>
              </w:rPr>
            </w:pPr>
            <w:r>
              <w:rPr>
                <w:sz w:val="21"/>
              </w:rPr>
              <w:t>原大顺煤矿范围内</w:t>
            </w:r>
          </w:p>
        </w:tc>
        <w:tc>
          <w:tcPr>
            <w:tcW w:w="757" w:type="dxa"/>
          </w:tcPr>
          <w:p>
            <w:pPr>
              <w:pStyle w:val="14"/>
              <w:spacing w:before="34"/>
              <w:ind w:left="146" w:right="137"/>
              <w:rPr>
                <w:rFonts w:ascii="Times New Roman"/>
                <w:sz w:val="21"/>
              </w:rPr>
            </w:pPr>
            <w:r>
              <w:rPr>
                <w:rFonts w:ascii="Times New Roman"/>
                <w:sz w:val="21"/>
              </w:rPr>
              <w:t>F4</w:t>
            </w:r>
          </w:p>
        </w:tc>
        <w:tc>
          <w:tcPr>
            <w:tcW w:w="989" w:type="dxa"/>
          </w:tcPr>
          <w:p>
            <w:pPr>
              <w:pStyle w:val="14"/>
              <w:spacing w:before="20"/>
              <w:ind w:left="157" w:right="151"/>
              <w:rPr>
                <w:sz w:val="21"/>
              </w:rPr>
            </w:pPr>
            <w:r>
              <w:rPr>
                <w:sz w:val="21"/>
              </w:rPr>
              <w:t>正断层</w:t>
            </w:r>
          </w:p>
        </w:tc>
        <w:tc>
          <w:tcPr>
            <w:tcW w:w="1556" w:type="dxa"/>
          </w:tcPr>
          <w:p>
            <w:pPr>
              <w:pStyle w:val="14"/>
              <w:spacing w:before="20"/>
              <w:ind w:left="138" w:right="129"/>
              <w:rPr>
                <w:rFonts w:ascii="Times New Roman" w:hAnsi="Times New Roman" w:eastAsia="Times New Roman"/>
                <w:sz w:val="21"/>
              </w:rPr>
            </w:pPr>
            <w:r>
              <w:rPr>
                <w:sz w:val="21"/>
              </w:rPr>
              <w:t xml:space="preserve">倾向北东 </w:t>
            </w:r>
            <w:r>
              <w:rPr>
                <w:rFonts w:ascii="Times New Roman" w:hAnsi="Times New Roman" w:eastAsia="Times New Roman"/>
                <w:sz w:val="21"/>
              </w:rPr>
              <w:t>70°</w:t>
            </w:r>
          </w:p>
        </w:tc>
        <w:tc>
          <w:tcPr>
            <w:tcW w:w="992" w:type="dxa"/>
          </w:tcPr>
          <w:p>
            <w:pPr>
              <w:pStyle w:val="14"/>
              <w:spacing w:before="20"/>
              <w:ind w:left="52" w:right="46"/>
              <w:rPr>
                <w:sz w:val="21"/>
              </w:rPr>
            </w:pPr>
            <w:r>
              <w:rPr>
                <w:sz w:val="21"/>
              </w:rPr>
              <w:t>不详</w:t>
            </w:r>
          </w:p>
        </w:tc>
        <w:tc>
          <w:tcPr>
            <w:tcW w:w="3849" w:type="dxa"/>
          </w:tcPr>
          <w:p>
            <w:pPr>
              <w:pStyle w:val="14"/>
              <w:spacing w:before="20"/>
              <w:ind w:left="117" w:right="106"/>
              <w:rPr>
                <w:sz w:val="21"/>
              </w:rPr>
            </w:pPr>
            <w:r>
              <w:rPr>
                <w:rFonts w:ascii="Times New Roman" w:eastAsia="Times New Roman"/>
                <w:sz w:val="21"/>
              </w:rPr>
              <w:t>90-2</w:t>
            </w:r>
            <w:r>
              <w:rPr>
                <w:sz w:val="21"/>
              </w:rPr>
              <w:t>、</w:t>
            </w:r>
            <w:r>
              <w:rPr>
                <w:rFonts w:ascii="Times New Roman" w:eastAsia="Times New Roman"/>
                <w:sz w:val="21"/>
              </w:rPr>
              <w:t xml:space="preserve">90-1 </w:t>
            </w:r>
            <w:r>
              <w:rPr>
                <w:sz w:val="21"/>
              </w:rPr>
              <w:t>钻孔推定。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01" w:type="dxa"/>
            <w:vMerge w:val="continue"/>
            <w:tcBorders>
              <w:top w:val="nil"/>
            </w:tcBorders>
          </w:tcPr>
          <w:p>
            <w:pPr>
              <w:rPr>
                <w:sz w:val="2"/>
                <w:szCs w:val="2"/>
              </w:rPr>
            </w:pPr>
          </w:p>
        </w:tc>
        <w:tc>
          <w:tcPr>
            <w:tcW w:w="757" w:type="dxa"/>
          </w:tcPr>
          <w:p>
            <w:pPr>
              <w:pStyle w:val="14"/>
              <w:spacing w:before="34"/>
              <w:ind w:left="146" w:right="137"/>
              <w:rPr>
                <w:rFonts w:ascii="Times New Roman"/>
                <w:sz w:val="21"/>
              </w:rPr>
            </w:pPr>
            <w:r>
              <w:rPr>
                <w:rFonts w:ascii="Times New Roman"/>
                <w:sz w:val="21"/>
              </w:rPr>
              <w:t>F5</w:t>
            </w:r>
          </w:p>
        </w:tc>
        <w:tc>
          <w:tcPr>
            <w:tcW w:w="989" w:type="dxa"/>
          </w:tcPr>
          <w:p>
            <w:pPr>
              <w:pStyle w:val="14"/>
              <w:spacing w:before="20"/>
              <w:ind w:left="157" w:right="151"/>
              <w:rPr>
                <w:sz w:val="21"/>
              </w:rPr>
            </w:pPr>
            <w:r>
              <w:rPr>
                <w:sz w:val="21"/>
              </w:rPr>
              <w:t>正断层</w:t>
            </w:r>
          </w:p>
        </w:tc>
        <w:tc>
          <w:tcPr>
            <w:tcW w:w="1556" w:type="dxa"/>
          </w:tcPr>
          <w:p>
            <w:pPr>
              <w:pStyle w:val="14"/>
              <w:spacing w:before="20"/>
              <w:ind w:left="138" w:right="129"/>
              <w:rPr>
                <w:rFonts w:ascii="Times New Roman" w:hAnsi="Times New Roman" w:eastAsia="Times New Roman"/>
                <w:sz w:val="21"/>
              </w:rPr>
            </w:pPr>
            <w:r>
              <w:rPr>
                <w:sz w:val="21"/>
              </w:rPr>
              <w:t xml:space="preserve">倾向南东 </w:t>
            </w:r>
            <w:r>
              <w:rPr>
                <w:rFonts w:ascii="Times New Roman" w:hAnsi="Times New Roman" w:eastAsia="Times New Roman"/>
                <w:sz w:val="21"/>
              </w:rPr>
              <w:t>70°</w:t>
            </w:r>
          </w:p>
        </w:tc>
        <w:tc>
          <w:tcPr>
            <w:tcW w:w="992" w:type="dxa"/>
          </w:tcPr>
          <w:p>
            <w:pPr>
              <w:pStyle w:val="14"/>
              <w:spacing w:before="34"/>
              <w:ind w:left="56" w:right="46"/>
              <w:rPr>
                <w:rFonts w:ascii="Times New Roman"/>
                <w:sz w:val="21"/>
              </w:rPr>
            </w:pPr>
            <w:r>
              <w:rPr>
                <w:rFonts w:ascii="Times New Roman"/>
                <w:sz w:val="21"/>
              </w:rPr>
              <w:t>15-30</w:t>
            </w:r>
          </w:p>
        </w:tc>
        <w:tc>
          <w:tcPr>
            <w:tcW w:w="3849" w:type="dxa"/>
          </w:tcPr>
          <w:p>
            <w:pPr>
              <w:pStyle w:val="14"/>
              <w:spacing w:before="20"/>
              <w:ind w:left="117" w:right="106"/>
              <w:rPr>
                <w:sz w:val="21"/>
              </w:rPr>
            </w:pPr>
            <w:r>
              <w:rPr>
                <w:rFonts w:ascii="Times New Roman" w:eastAsia="Times New Roman"/>
                <w:sz w:val="21"/>
              </w:rPr>
              <w:t>90</w:t>
            </w:r>
            <w:r>
              <w:rPr>
                <w:sz w:val="21"/>
              </w:rPr>
              <w:t>－</w:t>
            </w:r>
            <w:r>
              <w:rPr>
                <w:rFonts w:ascii="Times New Roman" w:eastAsia="Times New Roman"/>
                <w:sz w:val="21"/>
              </w:rPr>
              <w:t xml:space="preserve">1 </w:t>
            </w:r>
            <w:r>
              <w:rPr>
                <w:sz w:val="21"/>
              </w:rPr>
              <w:t>钻孔及一井片盘之间实见</w:t>
            </w:r>
            <w:r>
              <w:rPr>
                <w:rFonts w:ascii="Times New Roman" w:eastAsia="Times New Roman"/>
                <w:sz w:val="21"/>
              </w:rPr>
              <w:t>,</w:t>
            </w:r>
            <w:r>
              <w:rPr>
                <w:sz w:val="21"/>
              </w:rPr>
              <w:t>较可靠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01" w:type="dxa"/>
            <w:vMerge w:val="continue"/>
            <w:tcBorders>
              <w:top w:val="nil"/>
            </w:tcBorders>
          </w:tcPr>
          <w:p>
            <w:pPr>
              <w:rPr>
                <w:sz w:val="2"/>
                <w:szCs w:val="2"/>
              </w:rPr>
            </w:pPr>
          </w:p>
        </w:tc>
        <w:tc>
          <w:tcPr>
            <w:tcW w:w="757" w:type="dxa"/>
          </w:tcPr>
          <w:p>
            <w:pPr>
              <w:pStyle w:val="14"/>
              <w:spacing w:before="33"/>
              <w:ind w:left="146" w:right="137"/>
              <w:rPr>
                <w:rFonts w:ascii="Times New Roman"/>
                <w:sz w:val="21"/>
              </w:rPr>
            </w:pPr>
            <w:r>
              <w:rPr>
                <w:rFonts w:ascii="Times New Roman"/>
                <w:sz w:val="21"/>
              </w:rPr>
              <w:t>F6</w:t>
            </w:r>
          </w:p>
        </w:tc>
        <w:tc>
          <w:tcPr>
            <w:tcW w:w="989" w:type="dxa"/>
          </w:tcPr>
          <w:p>
            <w:pPr>
              <w:pStyle w:val="14"/>
              <w:spacing w:before="20"/>
              <w:ind w:left="157" w:right="151"/>
              <w:rPr>
                <w:sz w:val="21"/>
              </w:rPr>
            </w:pPr>
            <w:r>
              <w:rPr>
                <w:sz w:val="21"/>
              </w:rPr>
              <w:t>正断层</w:t>
            </w:r>
          </w:p>
        </w:tc>
        <w:tc>
          <w:tcPr>
            <w:tcW w:w="1556" w:type="dxa"/>
          </w:tcPr>
          <w:p>
            <w:pPr>
              <w:pStyle w:val="14"/>
              <w:spacing w:before="20"/>
              <w:ind w:left="138" w:right="129"/>
              <w:rPr>
                <w:rFonts w:ascii="Times New Roman" w:hAnsi="Times New Roman" w:eastAsia="Times New Roman"/>
                <w:sz w:val="21"/>
              </w:rPr>
            </w:pPr>
            <w:r>
              <w:rPr>
                <w:sz w:val="21"/>
              </w:rPr>
              <w:t xml:space="preserve">倾向北西 </w:t>
            </w:r>
            <w:r>
              <w:rPr>
                <w:rFonts w:ascii="Times New Roman" w:hAnsi="Times New Roman" w:eastAsia="Times New Roman"/>
                <w:sz w:val="21"/>
              </w:rPr>
              <w:t>70°</w:t>
            </w:r>
          </w:p>
        </w:tc>
        <w:tc>
          <w:tcPr>
            <w:tcW w:w="992" w:type="dxa"/>
          </w:tcPr>
          <w:p>
            <w:pPr>
              <w:pStyle w:val="14"/>
              <w:spacing w:before="33"/>
              <w:ind w:left="56" w:right="46"/>
              <w:rPr>
                <w:rFonts w:ascii="Times New Roman"/>
                <w:sz w:val="21"/>
              </w:rPr>
            </w:pPr>
            <w:r>
              <w:rPr>
                <w:rFonts w:ascii="Times New Roman"/>
                <w:sz w:val="21"/>
              </w:rPr>
              <w:t>0-20</w:t>
            </w:r>
          </w:p>
        </w:tc>
        <w:tc>
          <w:tcPr>
            <w:tcW w:w="3849" w:type="dxa"/>
          </w:tcPr>
          <w:p>
            <w:pPr>
              <w:pStyle w:val="14"/>
              <w:spacing w:before="20"/>
              <w:ind w:left="117" w:right="109"/>
              <w:rPr>
                <w:sz w:val="21"/>
              </w:rPr>
            </w:pPr>
            <w:r>
              <w:rPr>
                <w:sz w:val="21"/>
              </w:rPr>
              <w:t>由长胜井、二井巷道实见</w:t>
            </w:r>
            <w:r>
              <w:rPr>
                <w:rFonts w:ascii="Times New Roman" w:eastAsia="Times New Roman"/>
                <w:sz w:val="21"/>
              </w:rPr>
              <w:t>,</w:t>
            </w:r>
            <w:r>
              <w:rPr>
                <w:sz w:val="21"/>
              </w:rPr>
              <w:t>可靠。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01" w:type="dxa"/>
            <w:vMerge w:val="continue"/>
            <w:tcBorders>
              <w:top w:val="nil"/>
            </w:tcBorders>
          </w:tcPr>
          <w:p>
            <w:pPr>
              <w:rPr>
                <w:sz w:val="2"/>
                <w:szCs w:val="2"/>
              </w:rPr>
            </w:pPr>
          </w:p>
        </w:tc>
        <w:tc>
          <w:tcPr>
            <w:tcW w:w="757" w:type="dxa"/>
          </w:tcPr>
          <w:p>
            <w:pPr>
              <w:pStyle w:val="14"/>
              <w:spacing w:before="33"/>
              <w:ind w:left="146" w:right="137"/>
              <w:rPr>
                <w:rFonts w:ascii="Times New Roman"/>
                <w:sz w:val="21"/>
              </w:rPr>
            </w:pPr>
            <w:r>
              <w:rPr>
                <w:rFonts w:ascii="Times New Roman"/>
                <w:sz w:val="21"/>
              </w:rPr>
              <w:t>F7</w:t>
            </w:r>
          </w:p>
        </w:tc>
        <w:tc>
          <w:tcPr>
            <w:tcW w:w="989" w:type="dxa"/>
          </w:tcPr>
          <w:p>
            <w:pPr>
              <w:pStyle w:val="14"/>
              <w:spacing w:before="19"/>
              <w:ind w:left="157" w:right="151"/>
              <w:rPr>
                <w:sz w:val="21"/>
              </w:rPr>
            </w:pPr>
            <w:r>
              <w:rPr>
                <w:sz w:val="21"/>
              </w:rPr>
              <w:t>正断层</w:t>
            </w:r>
          </w:p>
        </w:tc>
        <w:tc>
          <w:tcPr>
            <w:tcW w:w="1556" w:type="dxa"/>
          </w:tcPr>
          <w:p>
            <w:pPr>
              <w:pStyle w:val="14"/>
              <w:spacing w:before="19"/>
              <w:ind w:left="138" w:right="129"/>
              <w:rPr>
                <w:rFonts w:ascii="Times New Roman" w:hAnsi="Times New Roman" w:eastAsia="Times New Roman"/>
                <w:sz w:val="21"/>
              </w:rPr>
            </w:pPr>
            <w:r>
              <w:rPr>
                <w:sz w:val="21"/>
              </w:rPr>
              <w:t xml:space="preserve">倾向北西 </w:t>
            </w:r>
            <w:r>
              <w:rPr>
                <w:rFonts w:ascii="Times New Roman" w:hAnsi="Times New Roman" w:eastAsia="Times New Roman"/>
                <w:sz w:val="21"/>
              </w:rPr>
              <w:t>70°</w:t>
            </w:r>
          </w:p>
        </w:tc>
        <w:tc>
          <w:tcPr>
            <w:tcW w:w="992" w:type="dxa"/>
          </w:tcPr>
          <w:p>
            <w:pPr>
              <w:pStyle w:val="14"/>
              <w:spacing w:before="33"/>
              <w:ind w:left="56" w:right="46"/>
              <w:rPr>
                <w:rFonts w:ascii="Times New Roman"/>
                <w:sz w:val="21"/>
              </w:rPr>
            </w:pPr>
            <w:r>
              <w:rPr>
                <w:rFonts w:ascii="Times New Roman"/>
                <w:sz w:val="21"/>
              </w:rPr>
              <w:t>20</w:t>
            </w:r>
          </w:p>
        </w:tc>
        <w:tc>
          <w:tcPr>
            <w:tcW w:w="3849" w:type="dxa"/>
          </w:tcPr>
          <w:p>
            <w:pPr>
              <w:pStyle w:val="14"/>
              <w:spacing w:before="19"/>
              <w:ind w:left="117" w:right="109"/>
              <w:rPr>
                <w:sz w:val="21"/>
              </w:rPr>
            </w:pPr>
            <w:r>
              <w:rPr>
                <w:sz w:val="21"/>
              </w:rPr>
              <w:t>三井实见</w:t>
            </w:r>
            <w:r>
              <w:rPr>
                <w:rFonts w:ascii="Times New Roman" w:eastAsia="Times New Roman"/>
                <w:sz w:val="21"/>
              </w:rPr>
              <w:t>,</w:t>
            </w:r>
            <w:r>
              <w:rPr>
                <w:sz w:val="21"/>
              </w:rPr>
              <w:t>可靠。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01" w:type="dxa"/>
            <w:vMerge w:val="continue"/>
            <w:tcBorders>
              <w:top w:val="nil"/>
            </w:tcBorders>
          </w:tcPr>
          <w:p>
            <w:pPr>
              <w:rPr>
                <w:sz w:val="2"/>
                <w:szCs w:val="2"/>
              </w:rPr>
            </w:pPr>
          </w:p>
        </w:tc>
        <w:tc>
          <w:tcPr>
            <w:tcW w:w="757" w:type="dxa"/>
          </w:tcPr>
          <w:p>
            <w:pPr>
              <w:pStyle w:val="14"/>
              <w:spacing w:before="33"/>
              <w:ind w:left="146" w:right="137"/>
              <w:rPr>
                <w:rFonts w:ascii="Times New Roman"/>
                <w:sz w:val="21"/>
              </w:rPr>
            </w:pPr>
            <w:r>
              <w:rPr>
                <w:rFonts w:ascii="Times New Roman"/>
                <w:sz w:val="21"/>
              </w:rPr>
              <w:t>F1</w:t>
            </w:r>
          </w:p>
        </w:tc>
        <w:tc>
          <w:tcPr>
            <w:tcW w:w="989" w:type="dxa"/>
          </w:tcPr>
          <w:p>
            <w:pPr>
              <w:pStyle w:val="14"/>
              <w:spacing w:before="19"/>
              <w:ind w:left="157" w:right="151"/>
              <w:rPr>
                <w:sz w:val="21"/>
              </w:rPr>
            </w:pPr>
            <w:r>
              <w:rPr>
                <w:sz w:val="21"/>
              </w:rPr>
              <w:t>正断层</w:t>
            </w:r>
          </w:p>
        </w:tc>
        <w:tc>
          <w:tcPr>
            <w:tcW w:w="1556" w:type="dxa"/>
          </w:tcPr>
          <w:p>
            <w:pPr>
              <w:pStyle w:val="14"/>
              <w:spacing w:before="19"/>
              <w:ind w:left="136" w:right="129"/>
              <w:rPr>
                <w:rFonts w:ascii="Times New Roman" w:hAnsi="Times New Roman" w:eastAsia="Times New Roman"/>
                <w:sz w:val="21"/>
              </w:rPr>
            </w:pPr>
            <w:r>
              <w:rPr>
                <w:sz w:val="21"/>
              </w:rPr>
              <w:t xml:space="preserve">倾向北 </w:t>
            </w:r>
            <w:r>
              <w:rPr>
                <w:rFonts w:ascii="Times New Roman" w:hAnsi="Times New Roman" w:eastAsia="Times New Roman"/>
                <w:sz w:val="21"/>
              </w:rPr>
              <w:t>70°</w:t>
            </w:r>
          </w:p>
        </w:tc>
        <w:tc>
          <w:tcPr>
            <w:tcW w:w="992" w:type="dxa"/>
          </w:tcPr>
          <w:p>
            <w:pPr>
              <w:pStyle w:val="14"/>
              <w:spacing w:before="33"/>
              <w:ind w:left="56" w:right="46"/>
              <w:rPr>
                <w:rFonts w:ascii="Times New Roman"/>
                <w:sz w:val="21"/>
              </w:rPr>
            </w:pPr>
            <w:r>
              <w:rPr>
                <w:rFonts w:ascii="Times New Roman"/>
                <w:sz w:val="21"/>
              </w:rPr>
              <w:t>200-250</w:t>
            </w:r>
          </w:p>
        </w:tc>
        <w:tc>
          <w:tcPr>
            <w:tcW w:w="3849" w:type="dxa"/>
          </w:tcPr>
          <w:p>
            <w:pPr>
              <w:pStyle w:val="14"/>
              <w:spacing w:before="19"/>
              <w:ind w:left="117" w:right="109"/>
              <w:rPr>
                <w:sz w:val="21"/>
              </w:rPr>
            </w:pPr>
            <w:r>
              <w:rPr>
                <w:rFonts w:ascii="Times New Roman" w:eastAsia="Times New Roman"/>
                <w:sz w:val="21"/>
              </w:rPr>
              <w:t>90-4</w:t>
            </w:r>
            <w:r>
              <w:rPr>
                <w:sz w:val="21"/>
              </w:rPr>
              <w:t>、</w:t>
            </w:r>
            <w:r>
              <w:rPr>
                <w:rFonts w:ascii="Times New Roman" w:eastAsia="Times New Roman"/>
                <w:sz w:val="21"/>
              </w:rPr>
              <w:t xml:space="preserve">90-7 </w:t>
            </w:r>
            <w:r>
              <w:rPr>
                <w:sz w:val="21"/>
              </w:rPr>
              <w:t>号钻孔控制，较可靠。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01" w:type="dxa"/>
            <w:vMerge w:val="continue"/>
            <w:tcBorders>
              <w:top w:val="nil"/>
            </w:tcBorders>
          </w:tcPr>
          <w:p>
            <w:pPr>
              <w:rPr>
                <w:sz w:val="2"/>
                <w:szCs w:val="2"/>
              </w:rPr>
            </w:pPr>
          </w:p>
        </w:tc>
        <w:tc>
          <w:tcPr>
            <w:tcW w:w="757" w:type="dxa"/>
          </w:tcPr>
          <w:p>
            <w:pPr>
              <w:pStyle w:val="14"/>
              <w:spacing w:before="191"/>
              <w:ind w:left="146" w:right="137"/>
              <w:rPr>
                <w:rFonts w:ascii="Times New Roman"/>
                <w:sz w:val="21"/>
              </w:rPr>
            </w:pPr>
            <w:r>
              <w:rPr>
                <w:rFonts w:ascii="Times New Roman"/>
                <w:sz w:val="21"/>
              </w:rPr>
              <w:t>F2</w:t>
            </w:r>
          </w:p>
        </w:tc>
        <w:tc>
          <w:tcPr>
            <w:tcW w:w="989" w:type="dxa"/>
          </w:tcPr>
          <w:p>
            <w:pPr>
              <w:pStyle w:val="14"/>
              <w:spacing w:before="177"/>
              <w:ind w:left="157" w:right="151"/>
              <w:rPr>
                <w:sz w:val="21"/>
              </w:rPr>
            </w:pPr>
            <w:r>
              <w:rPr>
                <w:sz w:val="21"/>
              </w:rPr>
              <w:t>逆断层</w:t>
            </w:r>
          </w:p>
        </w:tc>
        <w:tc>
          <w:tcPr>
            <w:tcW w:w="1556" w:type="dxa"/>
          </w:tcPr>
          <w:p>
            <w:pPr>
              <w:pStyle w:val="14"/>
              <w:spacing w:before="177"/>
              <w:ind w:left="136" w:right="129"/>
              <w:rPr>
                <w:rFonts w:ascii="Times New Roman" w:hAnsi="Times New Roman" w:eastAsia="Times New Roman"/>
                <w:sz w:val="21"/>
              </w:rPr>
            </w:pPr>
            <w:r>
              <w:rPr>
                <w:sz w:val="21"/>
              </w:rPr>
              <w:t xml:space="preserve">倾向南 </w:t>
            </w:r>
            <w:r>
              <w:rPr>
                <w:rFonts w:ascii="Times New Roman" w:hAnsi="Times New Roman" w:eastAsia="Times New Roman"/>
                <w:sz w:val="21"/>
              </w:rPr>
              <w:t>70°</w:t>
            </w:r>
          </w:p>
        </w:tc>
        <w:tc>
          <w:tcPr>
            <w:tcW w:w="992" w:type="dxa"/>
          </w:tcPr>
          <w:p>
            <w:pPr>
              <w:pStyle w:val="14"/>
              <w:spacing w:before="191"/>
              <w:ind w:left="56" w:right="46"/>
              <w:rPr>
                <w:rFonts w:ascii="Times New Roman"/>
                <w:sz w:val="21"/>
              </w:rPr>
            </w:pPr>
            <w:r>
              <w:rPr>
                <w:rFonts w:ascii="Times New Roman"/>
                <w:sz w:val="21"/>
              </w:rPr>
              <w:t>500</w:t>
            </w:r>
          </w:p>
        </w:tc>
        <w:tc>
          <w:tcPr>
            <w:tcW w:w="3849" w:type="dxa"/>
          </w:tcPr>
          <w:p>
            <w:pPr>
              <w:pStyle w:val="14"/>
              <w:spacing w:before="21"/>
              <w:ind w:left="115" w:right="109"/>
              <w:rPr>
                <w:sz w:val="21"/>
              </w:rPr>
            </w:pPr>
            <w:r>
              <w:rPr>
                <w:sz w:val="21"/>
              </w:rPr>
              <w:t>北盘为城子河组，南盘为基底花岗岩，</w:t>
            </w:r>
          </w:p>
          <w:p>
            <w:pPr>
              <w:pStyle w:val="14"/>
              <w:spacing w:before="43"/>
              <w:ind w:left="117" w:right="109"/>
              <w:rPr>
                <w:sz w:val="21"/>
              </w:rPr>
            </w:pPr>
            <w:r>
              <w:rPr>
                <w:sz w:val="21"/>
              </w:rPr>
              <w:t>属于推断断层。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01" w:type="dxa"/>
            <w:vMerge w:val="restart"/>
          </w:tcPr>
          <w:p>
            <w:pPr>
              <w:pStyle w:val="14"/>
              <w:spacing w:before="25"/>
              <w:ind w:left="180"/>
              <w:jc w:val="left"/>
              <w:rPr>
                <w:sz w:val="21"/>
              </w:rPr>
            </w:pPr>
            <w:r>
              <w:rPr>
                <w:sz w:val="21"/>
              </w:rPr>
              <w:t>顺达煤矿</w:t>
            </w:r>
          </w:p>
          <w:p>
            <w:pPr>
              <w:pStyle w:val="14"/>
              <w:spacing w:before="43"/>
              <w:ind w:left="283"/>
              <w:jc w:val="left"/>
              <w:rPr>
                <w:sz w:val="21"/>
              </w:rPr>
            </w:pPr>
            <w:r>
              <w:rPr>
                <w:sz w:val="21"/>
              </w:rPr>
              <w:t>范围内</w:t>
            </w:r>
          </w:p>
        </w:tc>
        <w:tc>
          <w:tcPr>
            <w:tcW w:w="757" w:type="dxa"/>
          </w:tcPr>
          <w:p>
            <w:pPr>
              <w:pStyle w:val="14"/>
              <w:spacing w:before="34"/>
              <w:ind w:left="146" w:right="137"/>
              <w:rPr>
                <w:rFonts w:ascii="Times New Roman"/>
                <w:sz w:val="21"/>
              </w:rPr>
            </w:pPr>
            <w:r>
              <w:rPr>
                <w:rFonts w:ascii="Times New Roman"/>
                <w:sz w:val="21"/>
              </w:rPr>
              <w:t>R5</w:t>
            </w:r>
          </w:p>
        </w:tc>
        <w:tc>
          <w:tcPr>
            <w:tcW w:w="989" w:type="dxa"/>
          </w:tcPr>
          <w:p>
            <w:pPr>
              <w:pStyle w:val="14"/>
              <w:spacing w:before="20"/>
              <w:ind w:left="157" w:right="151"/>
              <w:rPr>
                <w:sz w:val="21"/>
              </w:rPr>
            </w:pPr>
            <w:r>
              <w:rPr>
                <w:sz w:val="21"/>
              </w:rPr>
              <w:t>逆断层</w:t>
            </w:r>
          </w:p>
        </w:tc>
        <w:tc>
          <w:tcPr>
            <w:tcW w:w="1556" w:type="dxa"/>
          </w:tcPr>
          <w:p>
            <w:pPr>
              <w:pStyle w:val="14"/>
              <w:spacing w:before="20"/>
              <w:ind w:left="138" w:right="129"/>
              <w:rPr>
                <w:rFonts w:ascii="Times New Roman" w:hAnsi="Times New Roman" w:eastAsia="Times New Roman"/>
                <w:sz w:val="21"/>
              </w:rPr>
            </w:pPr>
            <w:r>
              <w:rPr>
                <w:sz w:val="21"/>
              </w:rPr>
              <w:t xml:space="preserve">倾向南东 </w:t>
            </w:r>
            <w:r>
              <w:rPr>
                <w:rFonts w:ascii="Times New Roman" w:hAnsi="Times New Roman" w:eastAsia="Times New Roman"/>
                <w:sz w:val="21"/>
              </w:rPr>
              <w:t>60°</w:t>
            </w:r>
          </w:p>
        </w:tc>
        <w:tc>
          <w:tcPr>
            <w:tcW w:w="992" w:type="dxa"/>
          </w:tcPr>
          <w:p>
            <w:pPr>
              <w:pStyle w:val="14"/>
              <w:spacing w:before="34"/>
              <w:ind w:left="10"/>
              <w:rPr>
                <w:rFonts w:ascii="Times New Roman"/>
                <w:sz w:val="21"/>
              </w:rPr>
            </w:pPr>
            <w:r>
              <w:rPr>
                <w:rFonts w:ascii="Times New Roman"/>
                <w:w w:val="99"/>
                <w:sz w:val="21"/>
              </w:rPr>
              <w:t>6</w:t>
            </w:r>
          </w:p>
        </w:tc>
        <w:tc>
          <w:tcPr>
            <w:tcW w:w="3849" w:type="dxa"/>
          </w:tcPr>
          <w:p>
            <w:pPr>
              <w:pStyle w:val="14"/>
              <w:spacing w:before="20"/>
              <w:ind w:left="115" w:right="109"/>
              <w:rPr>
                <w:sz w:val="21"/>
              </w:rPr>
            </w:pPr>
            <w:r>
              <w:rPr>
                <w:sz w:val="21"/>
              </w:rPr>
              <w:t>九井实见，可靠。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01" w:type="dxa"/>
            <w:vMerge w:val="continue"/>
            <w:tcBorders>
              <w:top w:val="nil"/>
            </w:tcBorders>
          </w:tcPr>
          <w:p>
            <w:pPr>
              <w:rPr>
                <w:sz w:val="2"/>
                <w:szCs w:val="2"/>
              </w:rPr>
            </w:pPr>
          </w:p>
        </w:tc>
        <w:tc>
          <w:tcPr>
            <w:tcW w:w="757" w:type="dxa"/>
          </w:tcPr>
          <w:p>
            <w:pPr>
              <w:pStyle w:val="14"/>
              <w:spacing w:before="34"/>
              <w:ind w:left="146" w:right="137"/>
              <w:rPr>
                <w:rFonts w:ascii="Times New Roman"/>
                <w:sz w:val="21"/>
              </w:rPr>
            </w:pPr>
            <w:r>
              <w:rPr>
                <w:rFonts w:ascii="Times New Roman"/>
                <w:sz w:val="21"/>
              </w:rPr>
              <w:t>R11</w:t>
            </w:r>
          </w:p>
        </w:tc>
        <w:tc>
          <w:tcPr>
            <w:tcW w:w="989" w:type="dxa"/>
          </w:tcPr>
          <w:p>
            <w:pPr>
              <w:pStyle w:val="14"/>
              <w:spacing w:before="20"/>
              <w:ind w:left="157" w:right="151"/>
              <w:rPr>
                <w:sz w:val="21"/>
              </w:rPr>
            </w:pPr>
            <w:r>
              <w:rPr>
                <w:sz w:val="21"/>
              </w:rPr>
              <w:t>逆断层</w:t>
            </w:r>
          </w:p>
        </w:tc>
        <w:tc>
          <w:tcPr>
            <w:tcW w:w="1556" w:type="dxa"/>
          </w:tcPr>
          <w:p>
            <w:pPr>
              <w:pStyle w:val="14"/>
              <w:spacing w:before="20"/>
              <w:ind w:left="138" w:right="129"/>
              <w:rPr>
                <w:rFonts w:ascii="Times New Roman" w:hAnsi="Times New Roman" w:eastAsia="Times New Roman"/>
                <w:sz w:val="21"/>
              </w:rPr>
            </w:pPr>
            <w:r>
              <w:rPr>
                <w:sz w:val="21"/>
              </w:rPr>
              <w:t xml:space="preserve">倾向南东 </w:t>
            </w:r>
            <w:r>
              <w:rPr>
                <w:rFonts w:ascii="Times New Roman" w:hAnsi="Times New Roman" w:eastAsia="Times New Roman"/>
                <w:sz w:val="21"/>
              </w:rPr>
              <w:t>60°</w:t>
            </w:r>
          </w:p>
        </w:tc>
        <w:tc>
          <w:tcPr>
            <w:tcW w:w="992" w:type="dxa"/>
          </w:tcPr>
          <w:p>
            <w:pPr>
              <w:pStyle w:val="14"/>
              <w:spacing w:before="34"/>
              <w:ind w:left="56" w:right="46"/>
              <w:rPr>
                <w:rFonts w:ascii="Times New Roman"/>
                <w:sz w:val="21"/>
              </w:rPr>
            </w:pPr>
            <w:r>
              <w:rPr>
                <w:rFonts w:ascii="Times New Roman"/>
                <w:sz w:val="21"/>
              </w:rPr>
              <w:t>100</w:t>
            </w:r>
          </w:p>
        </w:tc>
        <w:tc>
          <w:tcPr>
            <w:tcW w:w="3849" w:type="dxa"/>
          </w:tcPr>
          <w:p>
            <w:pPr>
              <w:pStyle w:val="14"/>
              <w:spacing w:before="20"/>
              <w:ind w:left="115" w:right="109"/>
              <w:rPr>
                <w:sz w:val="21"/>
              </w:rPr>
            </w:pPr>
            <w:r>
              <w:rPr>
                <w:sz w:val="21"/>
              </w:rPr>
              <w:t>钻孔控制，较可靠。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01" w:type="dxa"/>
          </w:tcPr>
          <w:p>
            <w:pPr>
              <w:pStyle w:val="14"/>
              <w:spacing w:before="19"/>
              <w:ind w:left="159" w:right="152"/>
              <w:rPr>
                <w:sz w:val="21"/>
              </w:rPr>
            </w:pPr>
            <w:r>
              <w:rPr>
                <w:sz w:val="21"/>
              </w:rPr>
              <w:t>两矿井之</w:t>
            </w:r>
          </w:p>
          <w:p>
            <w:pPr>
              <w:pStyle w:val="14"/>
              <w:spacing w:before="43"/>
              <w:ind w:left="7"/>
              <w:rPr>
                <w:sz w:val="21"/>
              </w:rPr>
            </w:pPr>
            <w:r>
              <w:rPr>
                <w:w w:val="99"/>
                <w:sz w:val="21"/>
              </w:rPr>
              <w:t>间</w:t>
            </w:r>
          </w:p>
        </w:tc>
        <w:tc>
          <w:tcPr>
            <w:tcW w:w="757" w:type="dxa"/>
          </w:tcPr>
          <w:p>
            <w:pPr>
              <w:pStyle w:val="14"/>
              <w:spacing w:before="189"/>
              <w:ind w:left="146" w:right="137"/>
              <w:rPr>
                <w:rFonts w:ascii="Times New Roman"/>
                <w:sz w:val="21"/>
              </w:rPr>
            </w:pPr>
            <w:r>
              <w:rPr>
                <w:rFonts w:ascii="Times New Roman"/>
                <w:sz w:val="21"/>
              </w:rPr>
              <w:t>F12</w:t>
            </w:r>
          </w:p>
        </w:tc>
        <w:tc>
          <w:tcPr>
            <w:tcW w:w="989" w:type="dxa"/>
          </w:tcPr>
          <w:p>
            <w:pPr>
              <w:pStyle w:val="14"/>
              <w:spacing w:before="175"/>
              <w:ind w:left="157" w:right="151"/>
              <w:rPr>
                <w:sz w:val="21"/>
              </w:rPr>
            </w:pPr>
            <w:r>
              <w:rPr>
                <w:sz w:val="21"/>
              </w:rPr>
              <w:t>逆断层</w:t>
            </w:r>
          </w:p>
        </w:tc>
        <w:tc>
          <w:tcPr>
            <w:tcW w:w="1556" w:type="dxa"/>
          </w:tcPr>
          <w:p>
            <w:pPr>
              <w:pStyle w:val="14"/>
              <w:spacing w:before="175"/>
              <w:ind w:left="136" w:right="129"/>
              <w:rPr>
                <w:rFonts w:ascii="Times New Roman" w:hAnsi="Times New Roman" w:eastAsia="Times New Roman"/>
                <w:sz w:val="21"/>
              </w:rPr>
            </w:pPr>
            <w:r>
              <w:rPr>
                <w:sz w:val="21"/>
              </w:rPr>
              <w:t xml:space="preserve">倾向南 </w:t>
            </w:r>
            <w:r>
              <w:rPr>
                <w:rFonts w:ascii="Times New Roman" w:hAnsi="Times New Roman" w:eastAsia="Times New Roman"/>
                <w:sz w:val="21"/>
              </w:rPr>
              <w:t>60°</w:t>
            </w:r>
          </w:p>
        </w:tc>
        <w:tc>
          <w:tcPr>
            <w:tcW w:w="992" w:type="dxa"/>
          </w:tcPr>
          <w:p>
            <w:pPr>
              <w:pStyle w:val="14"/>
              <w:spacing w:before="175"/>
              <w:ind w:left="56" w:right="46"/>
              <w:rPr>
                <w:rFonts w:ascii="Times New Roman" w:eastAsia="Times New Roman"/>
                <w:sz w:val="21"/>
              </w:rPr>
            </w:pPr>
            <w:r>
              <w:rPr>
                <w:sz w:val="21"/>
              </w:rPr>
              <w:t xml:space="preserve">大于 </w:t>
            </w:r>
            <w:r>
              <w:rPr>
                <w:rFonts w:ascii="Times New Roman" w:eastAsia="Times New Roman"/>
                <w:sz w:val="21"/>
              </w:rPr>
              <w:t>500</w:t>
            </w:r>
          </w:p>
        </w:tc>
        <w:tc>
          <w:tcPr>
            <w:tcW w:w="3849" w:type="dxa"/>
          </w:tcPr>
          <w:p>
            <w:pPr>
              <w:pStyle w:val="14"/>
              <w:spacing w:before="19"/>
              <w:ind w:left="115" w:right="109"/>
              <w:rPr>
                <w:sz w:val="21"/>
              </w:rPr>
            </w:pPr>
            <w:r>
              <w:rPr>
                <w:sz w:val="21"/>
              </w:rPr>
              <w:t>由岭东区顺达煤井与原大顺煤矿之间煤</w:t>
            </w:r>
          </w:p>
          <w:p>
            <w:pPr>
              <w:pStyle w:val="14"/>
              <w:spacing w:before="43"/>
              <w:ind w:left="117" w:right="109"/>
              <w:rPr>
                <w:sz w:val="21"/>
              </w:rPr>
            </w:pPr>
            <w:r>
              <w:rPr>
                <w:sz w:val="21"/>
              </w:rPr>
              <w:t>层不连续推断。较可靠。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01" w:type="dxa"/>
          </w:tcPr>
          <w:p>
            <w:pPr>
              <w:pStyle w:val="14"/>
              <w:spacing w:before="19"/>
              <w:ind w:left="180"/>
              <w:jc w:val="left"/>
              <w:rPr>
                <w:sz w:val="21"/>
              </w:rPr>
            </w:pPr>
            <w:r>
              <w:rPr>
                <w:sz w:val="21"/>
              </w:rPr>
              <w:t>本次新推</w:t>
            </w:r>
          </w:p>
          <w:p>
            <w:pPr>
              <w:pStyle w:val="14"/>
              <w:spacing w:before="43"/>
              <w:ind w:left="283"/>
              <w:jc w:val="left"/>
              <w:rPr>
                <w:sz w:val="21"/>
              </w:rPr>
            </w:pPr>
            <w:r>
              <w:rPr>
                <w:sz w:val="21"/>
              </w:rPr>
              <w:t>断断层</w:t>
            </w:r>
          </w:p>
        </w:tc>
        <w:tc>
          <w:tcPr>
            <w:tcW w:w="757" w:type="dxa"/>
          </w:tcPr>
          <w:p>
            <w:pPr>
              <w:pStyle w:val="14"/>
              <w:spacing w:before="189"/>
              <w:ind w:left="146" w:right="137"/>
              <w:rPr>
                <w:rFonts w:ascii="Times New Roman"/>
                <w:sz w:val="21"/>
              </w:rPr>
            </w:pPr>
            <w:r>
              <w:rPr>
                <w:rFonts w:ascii="Times New Roman"/>
                <w:sz w:val="21"/>
              </w:rPr>
              <w:t>F3</w:t>
            </w:r>
          </w:p>
        </w:tc>
        <w:tc>
          <w:tcPr>
            <w:tcW w:w="989" w:type="dxa"/>
          </w:tcPr>
          <w:p>
            <w:pPr>
              <w:pStyle w:val="14"/>
              <w:spacing w:before="175"/>
              <w:ind w:left="157" w:right="151"/>
              <w:rPr>
                <w:sz w:val="21"/>
              </w:rPr>
            </w:pPr>
            <w:r>
              <w:rPr>
                <w:sz w:val="21"/>
              </w:rPr>
              <w:t>正断层</w:t>
            </w:r>
          </w:p>
        </w:tc>
        <w:tc>
          <w:tcPr>
            <w:tcW w:w="1556" w:type="dxa"/>
          </w:tcPr>
          <w:p>
            <w:pPr>
              <w:pStyle w:val="14"/>
              <w:spacing w:before="175"/>
              <w:ind w:left="138" w:right="129"/>
              <w:rPr>
                <w:rFonts w:ascii="Times New Roman" w:hAnsi="Times New Roman" w:eastAsia="Times New Roman"/>
                <w:sz w:val="21"/>
              </w:rPr>
            </w:pPr>
            <w:r>
              <w:rPr>
                <w:sz w:val="21"/>
              </w:rPr>
              <w:t xml:space="preserve">倾向北东 </w:t>
            </w:r>
            <w:r>
              <w:rPr>
                <w:rFonts w:ascii="Times New Roman" w:hAnsi="Times New Roman" w:eastAsia="Times New Roman"/>
                <w:sz w:val="21"/>
              </w:rPr>
              <w:t>70°</w:t>
            </w:r>
          </w:p>
        </w:tc>
        <w:tc>
          <w:tcPr>
            <w:tcW w:w="992" w:type="dxa"/>
          </w:tcPr>
          <w:p>
            <w:pPr>
              <w:pStyle w:val="14"/>
              <w:spacing w:before="189"/>
              <w:ind w:left="56" w:right="46"/>
              <w:rPr>
                <w:rFonts w:ascii="Times New Roman"/>
                <w:sz w:val="21"/>
              </w:rPr>
            </w:pPr>
            <w:r>
              <w:rPr>
                <w:rFonts w:ascii="Times New Roman"/>
                <w:sz w:val="21"/>
              </w:rPr>
              <w:t>350-380</w:t>
            </w:r>
          </w:p>
        </w:tc>
        <w:tc>
          <w:tcPr>
            <w:tcW w:w="3849" w:type="dxa"/>
          </w:tcPr>
          <w:p>
            <w:pPr>
              <w:pStyle w:val="14"/>
              <w:spacing w:before="19"/>
              <w:ind w:left="117" w:right="106"/>
              <w:rPr>
                <w:sz w:val="21"/>
              </w:rPr>
            </w:pPr>
            <w:r>
              <w:rPr>
                <w:sz w:val="21"/>
              </w:rPr>
              <w:t xml:space="preserve">由 </w:t>
            </w:r>
            <w:r>
              <w:rPr>
                <w:rFonts w:ascii="Times New Roman" w:eastAsia="Times New Roman"/>
                <w:sz w:val="21"/>
              </w:rPr>
              <w:t xml:space="preserve">2000-4 </w:t>
            </w:r>
            <w:r>
              <w:rPr>
                <w:sz w:val="21"/>
              </w:rPr>
              <w:t xml:space="preserve">和 </w:t>
            </w:r>
            <w:r>
              <w:rPr>
                <w:rFonts w:ascii="Times New Roman" w:eastAsia="Times New Roman"/>
                <w:sz w:val="21"/>
              </w:rPr>
              <w:t xml:space="preserve">90-2 </w:t>
            </w:r>
            <w:r>
              <w:rPr>
                <w:sz w:val="21"/>
              </w:rPr>
              <w:t xml:space="preserve">号孔控制和 </w:t>
            </w:r>
            <w:r>
              <w:rPr>
                <w:rFonts w:ascii="Times New Roman" w:eastAsia="Times New Roman"/>
                <w:sz w:val="21"/>
              </w:rPr>
              <w:t>87-7</w:t>
            </w:r>
            <w:r>
              <w:rPr>
                <w:sz w:val="21"/>
              </w:rPr>
              <w:t>、</w:t>
            </w:r>
          </w:p>
          <w:p>
            <w:pPr>
              <w:pStyle w:val="14"/>
              <w:spacing w:before="43"/>
              <w:ind w:left="115" w:right="109"/>
              <w:rPr>
                <w:sz w:val="21"/>
              </w:rPr>
            </w:pPr>
            <w:r>
              <w:rPr>
                <w:rFonts w:ascii="Times New Roman" w:eastAsia="Times New Roman"/>
                <w:sz w:val="21"/>
              </w:rPr>
              <w:t xml:space="preserve">2000-3 </w:t>
            </w:r>
            <w:r>
              <w:rPr>
                <w:sz w:val="21"/>
              </w:rPr>
              <w:t>号钻孔控制，较可靠。</w:t>
            </w:r>
          </w:p>
        </w:tc>
      </w:tr>
    </w:tbl>
    <w:p>
      <w:pPr>
        <w:pStyle w:val="6"/>
        <w:spacing w:before="1"/>
        <w:ind w:left="1520"/>
      </w:pPr>
      <w:r>
        <w:rPr>
          <w:rFonts w:ascii="Times New Roman" w:eastAsia="Times New Roman"/>
        </w:rPr>
        <w:t>3</w:t>
      </w:r>
      <w:r>
        <w:t>、岩浆岩</w:t>
      </w:r>
    </w:p>
    <w:p>
      <w:pPr>
        <w:pStyle w:val="6"/>
        <w:spacing w:before="160" w:line="362" w:lineRule="auto"/>
        <w:ind w:left="1040" w:right="1075" w:firstLine="480"/>
      </w:pPr>
      <w:r>
        <w:rPr>
          <w:spacing w:val="-11"/>
        </w:rPr>
        <w:t>该区岩浆岩活动很弱，在位于大顺煤矿西部的原劳教所三井已掘进的巷道中</w:t>
      </w:r>
      <w:r>
        <w:t>只见一条北东</w:t>
      </w:r>
      <w:r>
        <w:rPr>
          <w:rFonts w:ascii="Times New Roman" w:hAnsi="Times New Roman" w:eastAsia="Times New Roman"/>
        </w:rPr>
        <w:t>70°</w:t>
      </w:r>
      <w:r>
        <w:rPr>
          <w:spacing w:val="-5"/>
        </w:rPr>
        <w:t>、出露宽度</w:t>
      </w:r>
      <w:r>
        <w:rPr>
          <w:rFonts w:ascii="Times New Roman" w:hAnsi="Times New Roman" w:eastAsia="Times New Roman"/>
        </w:rPr>
        <w:t>4</w:t>
      </w:r>
      <w:r>
        <w:rPr>
          <w:spacing w:val="-7"/>
        </w:rPr>
        <w:t>米的岩浆岩，呈岩墙侵入到煤层中，岩性为闪长玢</w:t>
      </w:r>
    </w:p>
    <w:p>
      <w:pPr>
        <w:spacing w:after="0" w:line="362" w:lineRule="auto"/>
        <w:sectPr>
          <w:footerReference r:id="rId8" w:type="default"/>
          <w:pgSz w:w="11910" w:h="16840"/>
          <w:pgMar w:top="1080" w:right="720" w:bottom="1160" w:left="760" w:header="0" w:footer="971" w:gutter="0"/>
          <w:pgNumType w:start="4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02" name="组合 47"/>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01" name="直线 48"/>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47"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7toIu1AAAAAMBAAAPAAAAAAAAAAEAIAAAACIAAABkcnMvZG93bnJldi54bWxQ&#10;SwECFAAUAAAACACHTuJAlf8tujQCAAC2BAAADgAAAAAAAAABACAAAAAjAQAAZHJzL2Uyb0RvYy54&#10;bWxQSwUGAAAAAAYABgBZAQAAyQUAAAAA&#10;">
                <o:lock v:ext="edit" aspectratio="f"/>
                <v:line id="直线 48" o:spid="_x0000_s1026" o:spt="20" style="position:absolute;left:0;top:7;height:0;width:8306;" filled="f" stroked="t" coordsize="21600,21600" o:gfxdata="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g/4zugAAANwA&#10;AAAPAAAAAAAAAAEAIAAAACIAAABkcnMvZG93bnJldi54bWxQSwECFAAUAAAACACHTuJAMy8FnjsA&#10;AAA5AAAAEAAAAAAAAAABACAAAAAJAQAAZHJzL3NoYXBleG1sLnhtbFBLBQYAAAAABgAGAFsBAACz&#10;AwAAAAA=&#10;">
                  <v:fill on="f" focussize="0,0"/>
                  <v:stroke weight="0.72pt" color="#000000" joinstyle="round"/>
                  <v:imagedata o:title=""/>
                  <o:lock v:ext="edit" aspectratio="f"/>
                </v:line>
                <w10:wrap type="none"/>
                <w10:anchorlock/>
              </v:group>
            </w:pict>
          </mc:Fallback>
        </mc:AlternateContent>
      </w:r>
    </w:p>
    <w:p>
      <w:pPr>
        <w:pStyle w:val="6"/>
        <w:spacing w:before="5"/>
        <w:rPr>
          <w:sz w:val="19"/>
        </w:rPr>
      </w:pPr>
    </w:p>
    <w:p>
      <w:pPr>
        <w:pStyle w:val="6"/>
        <w:spacing w:before="74" w:line="364" w:lineRule="auto"/>
        <w:ind w:left="1040" w:right="1077"/>
      </w:pPr>
      <w:r>
        <w:rPr>
          <w:spacing w:val="-7"/>
        </w:rPr>
        <w:t>岩，岩墙宽度</w:t>
      </w:r>
      <w:r>
        <w:rPr>
          <w:rFonts w:ascii="Times New Roman" w:eastAsia="Times New Roman"/>
        </w:rPr>
        <w:t>3</w:t>
      </w:r>
      <w:r>
        <w:t>－</w:t>
      </w:r>
      <w:r>
        <w:rPr>
          <w:rFonts w:ascii="Times New Roman" w:eastAsia="Times New Roman"/>
        </w:rPr>
        <w:t>5</w:t>
      </w:r>
      <w:r>
        <w:rPr>
          <w:spacing w:val="-6"/>
        </w:rPr>
        <w:t>米，煤层同岩墙接触处有</w:t>
      </w:r>
      <w:r>
        <w:rPr>
          <w:rFonts w:ascii="Times New Roman" w:eastAsia="Times New Roman"/>
        </w:rPr>
        <w:t>0.5</w:t>
      </w:r>
      <w:r>
        <w:t>－</w:t>
      </w:r>
      <w:r>
        <w:rPr>
          <w:rFonts w:ascii="Times New Roman" w:eastAsia="Times New Roman"/>
        </w:rPr>
        <w:t>1.20</w:t>
      </w:r>
      <w:r>
        <w:rPr>
          <w:spacing w:val="-5"/>
        </w:rPr>
        <w:t>米宽的煤层变为天然焦。对</w:t>
      </w:r>
      <w:r>
        <w:t>采区的布置及开采均有一定影响。</w:t>
      </w:r>
    </w:p>
    <w:p>
      <w:pPr>
        <w:pStyle w:val="6"/>
        <w:spacing w:line="364" w:lineRule="auto"/>
        <w:ind w:left="1040" w:right="957" w:firstLine="480"/>
      </w:pPr>
      <w:r>
        <w:rPr>
          <w:spacing w:val="-4"/>
        </w:rPr>
        <w:t>西北部邻井岭东区顺达煤井中仅见一条贯穿南北的岩墙。南北两侧厚度只有</w:t>
      </w:r>
      <w:r>
        <w:rPr>
          <w:rFonts w:ascii="Times New Roman" w:hAnsi="Times New Roman" w:eastAsia="Times New Roman"/>
          <w:spacing w:val="-4"/>
        </w:rPr>
        <w:t>0-30</w:t>
      </w:r>
      <w:r>
        <w:rPr>
          <w:spacing w:val="-7"/>
        </w:rPr>
        <w:t>米，中间较厚，最厚可达</w:t>
      </w:r>
      <w:r>
        <w:rPr>
          <w:rFonts w:ascii="Times New Roman" w:hAnsi="Times New Roman" w:eastAsia="Times New Roman"/>
        </w:rPr>
        <w:t>30</w:t>
      </w:r>
      <w:r>
        <w:rPr>
          <w:spacing w:val="-4"/>
        </w:rPr>
        <w:t>米，向南部分叉出二条小的岩脉，岩性为中性闪</w:t>
      </w:r>
      <w:r>
        <w:rPr>
          <w:spacing w:val="-11"/>
        </w:rPr>
        <w:t>长玢岩类。对煤质有影响，同岩浆岩接触处煤层变成天然焦或无烟煤，影响范围一般在</w:t>
      </w:r>
      <w:r>
        <w:rPr>
          <w:rFonts w:ascii="Times New Roman" w:hAnsi="Times New Roman" w:eastAsia="Times New Roman"/>
          <w:spacing w:val="-11"/>
        </w:rPr>
        <w:t>2—3</w:t>
      </w:r>
      <w:r>
        <w:rPr>
          <w:spacing w:val="-18"/>
        </w:rPr>
        <w:t xml:space="preserve">米，在岩浆岩接触处煤厚稍有压薄现象。在右十四片中见有两条岩脉， </w:t>
      </w:r>
      <w:r>
        <w:t>并下延到本次扩大区</w:t>
      </w:r>
      <w:r>
        <w:rPr>
          <w:rFonts w:ascii="Times New Roman" w:hAnsi="Times New Roman" w:eastAsia="Times New Roman"/>
        </w:rPr>
        <w:t>20#</w:t>
      </w:r>
      <w:r>
        <w:t>煤层范围内，对煤层煤质影响不大。</w:t>
      </w:r>
    </w:p>
    <w:p>
      <w:pPr>
        <w:pStyle w:val="6"/>
        <w:spacing w:line="306" w:lineRule="exact"/>
        <w:ind w:left="1520"/>
      </w:pPr>
      <w:r>
        <w:t>大顺煤矿扩大区内</w:t>
      </w:r>
      <w:r>
        <w:rPr>
          <w:rFonts w:ascii="Times New Roman" w:eastAsia="Times New Roman"/>
        </w:rPr>
        <w:t>90-6</w:t>
      </w:r>
      <w:r>
        <w:t>号孔</w:t>
      </w:r>
      <w:r>
        <w:rPr>
          <w:rFonts w:ascii="Times New Roman" w:eastAsia="Times New Roman"/>
        </w:rPr>
        <w:t>15</w:t>
      </w:r>
      <w:r>
        <w:t>煤层以下</w:t>
      </w:r>
      <w:r>
        <w:rPr>
          <w:rFonts w:ascii="Times New Roman" w:eastAsia="Times New Roman"/>
        </w:rPr>
        <w:t>20</w:t>
      </w:r>
      <w:r>
        <w:t>米见</w:t>
      </w:r>
      <w:r>
        <w:rPr>
          <w:rFonts w:ascii="Times New Roman" w:eastAsia="Times New Roman"/>
        </w:rPr>
        <w:t>26</w:t>
      </w:r>
      <w:r>
        <w:t>米的闪长玢岩，在</w:t>
      </w:r>
      <w:r>
        <w:rPr>
          <w:rFonts w:ascii="Times New Roman" w:eastAsia="Times New Roman"/>
        </w:rPr>
        <w:t>90-1</w:t>
      </w:r>
      <w:r>
        <w:t>号孔</w:t>
      </w:r>
    </w:p>
    <w:p>
      <w:pPr>
        <w:pStyle w:val="6"/>
        <w:spacing w:before="160" w:line="362" w:lineRule="auto"/>
        <w:ind w:left="1520" w:right="957" w:hanging="480"/>
      </w:pPr>
      <w:r>
        <w:rPr>
          <w:rFonts w:ascii="Times New Roman" w:eastAsia="Times New Roman"/>
        </w:rPr>
        <w:t>10</w:t>
      </w:r>
      <w:r>
        <w:t>煤层以上</w:t>
      </w:r>
      <w:r>
        <w:rPr>
          <w:rFonts w:ascii="Times New Roman" w:eastAsia="Times New Roman"/>
        </w:rPr>
        <w:t>30</w:t>
      </w:r>
      <w:r>
        <w:t>米见</w:t>
      </w:r>
      <w:r>
        <w:rPr>
          <w:rFonts w:ascii="Times New Roman" w:eastAsia="Times New Roman"/>
        </w:rPr>
        <w:t>2</w:t>
      </w:r>
      <w:r>
        <w:rPr>
          <w:spacing w:val="-10"/>
        </w:rPr>
        <w:t>米厚的闪长玢岩，以岩脉的形式产出，对煤层煤质影响不大。</w:t>
      </w:r>
      <w:r>
        <w:rPr>
          <w:spacing w:val="-14"/>
        </w:rPr>
        <w:t>井区内断层相互交叉切割不多，井区南部发育一向斜，区内岩浆岩活动微弱，</w:t>
      </w:r>
    </w:p>
    <w:p>
      <w:pPr>
        <w:pStyle w:val="6"/>
        <w:spacing w:before="2" w:line="364" w:lineRule="auto"/>
        <w:ind w:left="1040" w:right="1077"/>
      </w:pPr>
      <w:r>
        <w:rPr>
          <w:spacing w:val="-7"/>
        </w:rPr>
        <w:t>对煤层煤质影响不大。根据本矿整体构造形态，以及褶曲、断层、岩浆岩发育情</w:t>
      </w:r>
      <w:r>
        <w:t>况，确定本矿构造复杂程度为中等。</w:t>
      </w:r>
    </w:p>
    <w:p>
      <w:pPr>
        <w:pStyle w:val="6"/>
        <w:spacing w:before="1"/>
        <w:ind w:left="1520"/>
      </w:pPr>
      <w:r>
        <w:rPr>
          <w:rFonts w:ascii="Times New Roman" w:eastAsia="Times New Roman"/>
        </w:rPr>
        <w:t>4</w:t>
      </w:r>
      <w:r>
        <w:t>、煤层及煤质</w:t>
      </w:r>
    </w:p>
    <w:p>
      <w:pPr>
        <w:pStyle w:val="6"/>
        <w:spacing w:before="158" w:line="364" w:lineRule="auto"/>
        <w:ind w:left="1040" w:right="957" w:firstLine="480"/>
      </w:pPr>
      <w:r>
        <w:t>大顺煤矿原界批准开采</w:t>
      </w:r>
      <w:r>
        <w:rPr>
          <w:rFonts w:ascii="Times New Roman" w:eastAsia="Times New Roman"/>
        </w:rPr>
        <w:t>10</w:t>
      </w:r>
      <w:r>
        <w:rPr>
          <w:spacing w:val="-44"/>
        </w:rPr>
        <w:t>、</w:t>
      </w:r>
      <w:r>
        <w:rPr>
          <w:rFonts w:ascii="Times New Roman" w:eastAsia="Times New Roman"/>
        </w:rPr>
        <w:t>15</w:t>
      </w:r>
      <w:r>
        <w:rPr>
          <w:spacing w:val="-44"/>
        </w:rPr>
        <w:t>、</w:t>
      </w:r>
      <w:r>
        <w:rPr>
          <w:rFonts w:ascii="Times New Roman" w:eastAsia="Times New Roman"/>
        </w:rPr>
        <w:t>30</w:t>
      </w:r>
      <w:r>
        <w:rPr>
          <w:spacing w:val="-7"/>
        </w:rPr>
        <w:t>号三个煤层，本次扩大</w:t>
      </w:r>
      <w:r>
        <w:rPr>
          <w:rFonts w:ascii="Times New Roman" w:eastAsia="Times New Roman"/>
        </w:rPr>
        <w:t>10</w:t>
      </w:r>
      <w:r>
        <w:rPr>
          <w:spacing w:val="-44"/>
        </w:rPr>
        <w:t>、</w:t>
      </w:r>
      <w:r>
        <w:rPr>
          <w:rFonts w:ascii="Times New Roman" w:eastAsia="Times New Roman"/>
        </w:rPr>
        <w:t>15</w:t>
      </w:r>
      <w:r>
        <w:rPr>
          <w:spacing w:val="-44"/>
        </w:rPr>
        <w:t>、</w:t>
      </w:r>
      <w:r>
        <w:rPr>
          <w:rFonts w:ascii="Times New Roman" w:eastAsia="Times New Roman"/>
        </w:rPr>
        <w:t>30</w:t>
      </w:r>
      <w:r>
        <w:rPr>
          <w:spacing w:val="-3"/>
        </w:rPr>
        <w:t xml:space="preserve">号煤层， </w:t>
      </w:r>
      <w:r>
        <w:t>增扩</w:t>
      </w:r>
      <w:r>
        <w:rPr>
          <w:rFonts w:ascii="Times New Roman" w:eastAsia="Times New Roman"/>
        </w:rPr>
        <w:t>20</w:t>
      </w:r>
      <w:r>
        <w:rPr>
          <w:spacing w:val="-5"/>
        </w:rPr>
        <w:t>煤层。扩大矿区范围后开采</w:t>
      </w:r>
      <w:r>
        <w:rPr>
          <w:rFonts w:ascii="Times New Roman" w:eastAsia="Times New Roman"/>
        </w:rPr>
        <w:t>10</w:t>
      </w:r>
      <w:r>
        <w:rPr>
          <w:spacing w:val="-20"/>
        </w:rPr>
        <w:t>、</w:t>
      </w:r>
      <w:r>
        <w:rPr>
          <w:rFonts w:ascii="Times New Roman" w:eastAsia="Times New Roman"/>
        </w:rPr>
        <w:t>15</w:t>
      </w:r>
      <w:r>
        <w:rPr>
          <w:spacing w:val="-17"/>
        </w:rPr>
        <w:t>、</w:t>
      </w:r>
      <w:r>
        <w:rPr>
          <w:rFonts w:ascii="Times New Roman" w:eastAsia="Times New Roman"/>
        </w:rPr>
        <w:t>20</w:t>
      </w:r>
      <w:r>
        <w:rPr>
          <w:spacing w:val="-20"/>
        </w:rPr>
        <w:t>、</w:t>
      </w:r>
      <w:r>
        <w:rPr>
          <w:rFonts w:ascii="Times New Roman" w:eastAsia="Times New Roman"/>
        </w:rPr>
        <w:t>30</w:t>
      </w:r>
      <w:r>
        <w:rPr>
          <w:spacing w:val="-3"/>
        </w:rPr>
        <w:t>号等四个煤层。各煤层基本特征叙述如下：</w:t>
      </w:r>
    </w:p>
    <w:p>
      <w:pPr>
        <w:pStyle w:val="6"/>
        <w:spacing w:line="307" w:lineRule="exact"/>
        <w:ind w:left="1520"/>
      </w:pPr>
      <w:r>
        <w:rPr>
          <w:rFonts w:ascii="Times New Roman" w:eastAsia="Times New Roman"/>
        </w:rPr>
        <w:t>10</w:t>
      </w:r>
      <w:r>
        <w:t>号煤层</w:t>
      </w:r>
    </w:p>
    <w:p>
      <w:pPr>
        <w:pStyle w:val="6"/>
        <w:spacing w:before="159" w:line="364" w:lineRule="auto"/>
        <w:ind w:left="1040" w:right="1075" w:firstLine="480"/>
        <w:jc w:val="both"/>
      </w:pPr>
      <w:r>
        <w:rPr>
          <w:spacing w:val="-8"/>
        </w:rPr>
        <w:t>是该地区最上部的一层可采煤层。暗煤和半亮型煤，层状构造，夹有细条带</w:t>
      </w:r>
      <w:r>
        <w:rPr>
          <w:spacing w:val="1"/>
        </w:rPr>
        <w:t>状亮煤或镜煤、半暗型煤。煤层单一结构；煤层厚度</w:t>
      </w:r>
      <w:r>
        <w:rPr>
          <w:rFonts w:ascii="Times New Roman" w:eastAsia="Times New Roman"/>
          <w:spacing w:val="2"/>
        </w:rPr>
        <w:t>0</w:t>
      </w:r>
      <w:r>
        <w:rPr>
          <w:spacing w:val="2"/>
        </w:rPr>
        <w:t>－</w:t>
      </w:r>
      <w:r>
        <w:rPr>
          <w:rFonts w:ascii="Times New Roman" w:eastAsia="Times New Roman"/>
          <w:spacing w:val="2"/>
        </w:rPr>
        <w:t>1.30</w:t>
      </w:r>
      <w:r>
        <w:rPr>
          <w:spacing w:val="4"/>
        </w:rPr>
        <w:t>米，平均厚度</w:t>
      </w:r>
      <w:r>
        <w:rPr>
          <w:rFonts w:ascii="Times New Roman" w:eastAsia="Times New Roman"/>
        </w:rPr>
        <w:t xml:space="preserve">0.75 </w:t>
      </w:r>
      <w:r>
        <w:rPr>
          <w:spacing w:val="-1"/>
        </w:rPr>
        <w:t>米。其中：大顺煤矿原范围内煤层厚度</w:t>
      </w:r>
      <w:r>
        <w:rPr>
          <w:rFonts w:ascii="Times New Roman" w:eastAsia="Times New Roman"/>
        </w:rPr>
        <w:t>0.40-1.30</w:t>
      </w:r>
      <w:r>
        <w:t>米，平均</w:t>
      </w:r>
      <w:r>
        <w:rPr>
          <w:rFonts w:ascii="Times New Roman" w:eastAsia="Times New Roman"/>
        </w:rPr>
        <w:t>0.79</w:t>
      </w:r>
      <w:r>
        <w:rPr>
          <w:spacing w:val="-2"/>
        </w:rPr>
        <w:t>米；扩大区煤层厚</w:t>
      </w:r>
      <w:r>
        <w:t>度</w:t>
      </w:r>
      <w:r>
        <w:rPr>
          <w:rFonts w:ascii="Times New Roman" w:eastAsia="Times New Roman"/>
        </w:rPr>
        <w:t>0-0.91</w:t>
      </w:r>
      <w:r>
        <w:t>米，平均</w:t>
      </w:r>
      <w:r>
        <w:rPr>
          <w:rFonts w:ascii="Times New Roman" w:eastAsia="Times New Roman"/>
        </w:rPr>
        <w:t>0.71</w:t>
      </w:r>
      <w:r>
        <w:t>米。煤层顶板岩性为深灰色粉砂岩，层理不发育；底板岩</w:t>
      </w:r>
      <w:r>
        <w:rPr>
          <w:spacing w:val="-6"/>
        </w:rPr>
        <w:t>性是以深灰色粉砂岩为主与灰白色细砂岩互层，具有水平层理。扩大区西北部不</w:t>
      </w:r>
      <w:r>
        <w:t>可采，为大部可采，属较稳定煤层。</w:t>
      </w:r>
    </w:p>
    <w:p>
      <w:pPr>
        <w:pStyle w:val="6"/>
        <w:spacing w:line="306" w:lineRule="exact"/>
        <w:ind w:left="1520"/>
      </w:pPr>
      <w:r>
        <w:rPr>
          <w:rFonts w:ascii="Times New Roman" w:eastAsia="Times New Roman"/>
        </w:rPr>
        <w:t>15</w:t>
      </w:r>
      <w:r>
        <w:t>号煤层</w:t>
      </w:r>
    </w:p>
    <w:p>
      <w:pPr>
        <w:pStyle w:val="6"/>
        <w:spacing w:before="158" w:line="364" w:lineRule="auto"/>
        <w:ind w:left="1040" w:right="892" w:firstLine="480"/>
      </w:pPr>
      <w:r>
        <w:t>位于</w:t>
      </w:r>
      <w:r>
        <w:rPr>
          <w:rFonts w:ascii="Times New Roman" w:eastAsia="Times New Roman"/>
        </w:rPr>
        <w:t>10</w:t>
      </w:r>
      <w:r>
        <w:t>号煤层之下</w:t>
      </w:r>
      <w:r>
        <w:rPr>
          <w:rFonts w:ascii="Times New Roman" w:eastAsia="Times New Roman"/>
        </w:rPr>
        <w:t>20</w:t>
      </w:r>
      <w:r>
        <w:t>－</w:t>
      </w:r>
      <w:r>
        <w:rPr>
          <w:rFonts w:ascii="Times New Roman" w:eastAsia="Times New Roman"/>
        </w:rPr>
        <w:t>35</w:t>
      </w:r>
      <w:r>
        <w:t>米。以亮煤为主，夹条带状镜煤及细条带状暗煤， 层状构造，半亮型煤。煤层单一结构；煤层厚度</w:t>
      </w:r>
      <w:r>
        <w:rPr>
          <w:rFonts w:ascii="Times New Roman" w:eastAsia="Times New Roman"/>
        </w:rPr>
        <w:t>0-1.70</w:t>
      </w:r>
      <w:r>
        <w:t>米，平均煤层厚度</w:t>
      </w:r>
      <w:r>
        <w:rPr>
          <w:rFonts w:ascii="Times New Roman" w:eastAsia="Times New Roman"/>
        </w:rPr>
        <w:t>1.24</w:t>
      </w:r>
      <w:r>
        <w:t>米。其中：大顺煤矿原范围内煤层厚度</w:t>
      </w:r>
      <w:r>
        <w:rPr>
          <w:rFonts w:ascii="Times New Roman" w:eastAsia="Times New Roman"/>
        </w:rPr>
        <w:t>1.50</w:t>
      </w:r>
      <w:r>
        <w:t>米；扩大区煤层厚度</w:t>
      </w:r>
      <w:r>
        <w:rPr>
          <w:rFonts w:ascii="Times New Roman" w:eastAsia="Times New Roman"/>
        </w:rPr>
        <w:t>0-1.70</w:t>
      </w:r>
      <w:r>
        <w:t>米，平均厚度</w:t>
      </w:r>
      <w:r>
        <w:rPr>
          <w:rFonts w:ascii="Times New Roman" w:eastAsia="Times New Roman"/>
        </w:rPr>
        <w:t>1.23</w:t>
      </w:r>
      <w:r>
        <w:t>米。煤层厚度西南厚，由西向东、北逐渐变薄。其中：西南部煤厚为</w:t>
      </w:r>
      <w:r>
        <w:rPr>
          <w:rFonts w:ascii="Times New Roman" w:eastAsia="Times New Roman"/>
        </w:rPr>
        <w:t>1.60</w:t>
      </w:r>
      <w:r>
        <w:t>－</w:t>
      </w:r>
    </w:p>
    <w:p>
      <w:pPr>
        <w:pStyle w:val="13"/>
        <w:numPr>
          <w:ilvl w:val="1"/>
          <w:numId w:val="24"/>
        </w:numPr>
        <w:tabs>
          <w:tab w:val="left" w:pos="1463"/>
        </w:tabs>
        <w:spacing w:before="0" w:after="0" w:line="364" w:lineRule="auto"/>
        <w:ind w:left="1040" w:right="985" w:firstLine="0"/>
        <w:jc w:val="left"/>
        <w:rPr>
          <w:sz w:val="24"/>
        </w:rPr>
      </w:pPr>
      <w:r>
        <w:rPr>
          <w:sz w:val="24"/>
        </w:rPr>
        <w:t>米，东北部煤厚为</w:t>
      </w:r>
      <w:r>
        <w:rPr>
          <w:rFonts w:ascii="Times New Roman" w:eastAsia="Times New Roman"/>
          <w:sz w:val="24"/>
        </w:rPr>
        <w:t>0.85</w:t>
      </w:r>
      <w:r>
        <w:rPr>
          <w:sz w:val="24"/>
        </w:rPr>
        <w:t>－</w:t>
      </w:r>
      <w:r>
        <w:rPr>
          <w:rFonts w:ascii="Times New Roman" w:eastAsia="Times New Roman"/>
          <w:sz w:val="24"/>
        </w:rPr>
        <w:t>1.30</w:t>
      </w:r>
      <w:r>
        <w:rPr>
          <w:sz w:val="24"/>
        </w:rPr>
        <w:t>米，西北部不可采。顶板岩性为灰色细砂岩， 具有波状及水平层理；底板岩性为深灰色粉砂岩。</w:t>
      </w:r>
      <w:r>
        <w:rPr>
          <w:rFonts w:ascii="Times New Roman" w:eastAsia="Times New Roman"/>
          <w:sz w:val="24"/>
        </w:rPr>
        <w:t>15</w:t>
      </w:r>
      <w:r>
        <w:rPr>
          <w:spacing w:val="-2"/>
          <w:sz w:val="24"/>
        </w:rPr>
        <w:t>号煤层为该矿区的主采层，</w:t>
      </w:r>
    </w:p>
    <w:p>
      <w:pPr>
        <w:spacing w:after="0" w:line="364" w:lineRule="auto"/>
        <w:jc w:val="left"/>
        <w:rPr>
          <w:sz w:val="24"/>
        </w:rPr>
        <w:sectPr>
          <w:pgSz w:w="11910" w:h="16840"/>
          <w:pgMar w:top="1080" w:right="720" w:bottom="1160" w:left="760" w:header="0" w:footer="97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04" name="组合 49"/>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03" name="直线 50"/>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49"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7toIu1AAAAAMBAAAPAAAAAAAAAAEAIAAAACIAAABkcnMvZG93bnJldi54bWxQ&#10;SwECFAAUAAAACACHTuJA2NDbhjQCAAC2BAAADgAAAAAAAAABACAAAAAjAQAAZHJzL2Uyb0RvYy54&#10;bWxQSwUGAAAAAAYABgBZAQAAyQUAAAAA&#10;">
                <o:lock v:ext="edit" aspectratio="f"/>
                <v:line id="直线 50" o:spid="_x0000_s1026" o:spt="20" style="position:absolute;left:0;top:7;height:0;width:8306;" filled="f" stroked="t" coordsize="21600,21600" o:gfxdata="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B3F37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6"/>
        <w:rPr>
          <w:sz w:val="20"/>
        </w:rPr>
      </w:pPr>
    </w:p>
    <w:p>
      <w:pPr>
        <w:pStyle w:val="6"/>
        <w:spacing w:before="66"/>
        <w:ind w:left="1040"/>
      </w:pPr>
      <w:r>
        <w:t>为大部可采煤层，属较稳定煤层。</w:t>
      </w:r>
    </w:p>
    <w:p>
      <w:pPr>
        <w:pStyle w:val="6"/>
        <w:spacing w:before="161"/>
        <w:ind w:left="1520"/>
      </w:pPr>
      <w:r>
        <w:rPr>
          <w:rFonts w:ascii="Times New Roman" w:eastAsia="Times New Roman"/>
        </w:rPr>
        <w:t>20</w:t>
      </w:r>
      <w:r>
        <w:t>号煤层</w:t>
      </w:r>
    </w:p>
    <w:p>
      <w:pPr>
        <w:pStyle w:val="6"/>
        <w:spacing w:before="158" w:line="364" w:lineRule="auto"/>
        <w:ind w:left="1040" w:right="957" w:firstLine="480"/>
      </w:pPr>
      <w:r>
        <w:t>与</w:t>
      </w:r>
      <w:r>
        <w:rPr>
          <w:rFonts w:ascii="Times New Roman" w:eastAsia="Times New Roman"/>
        </w:rPr>
        <w:t>15</w:t>
      </w:r>
      <w:r>
        <w:t>号煤层间距</w:t>
      </w:r>
      <w:r>
        <w:rPr>
          <w:rFonts w:ascii="Times New Roman" w:eastAsia="Times New Roman"/>
        </w:rPr>
        <w:t>25</w:t>
      </w:r>
      <w:r>
        <w:rPr>
          <w:spacing w:val="-16"/>
        </w:rPr>
        <w:t>米，以亮煤为主，夹有条带状暗煤，层状构造，半亮型煤。</w:t>
      </w:r>
      <w:r>
        <w:rPr>
          <w:spacing w:val="-5"/>
        </w:rPr>
        <w:t>煤层简单结构，含一层夹矸，夹矸厚度</w:t>
      </w:r>
      <w:r>
        <w:rPr>
          <w:rFonts w:ascii="Times New Roman" w:eastAsia="Times New Roman"/>
        </w:rPr>
        <w:t>0.10-0.20</w:t>
      </w:r>
      <w:r>
        <w:rPr>
          <w:spacing w:val="-4"/>
        </w:rPr>
        <w:t>米，夹矸岩性一般是深灰色粉砂岩。煤层厚度</w:t>
      </w:r>
      <w:r>
        <w:rPr>
          <w:rFonts w:ascii="Times New Roman" w:eastAsia="Times New Roman"/>
          <w:spacing w:val="-4"/>
        </w:rPr>
        <w:t>0.39-1.22</w:t>
      </w:r>
      <w:r>
        <w:rPr>
          <w:spacing w:val="-4"/>
        </w:rPr>
        <w:t>米，平均煤层厚度</w:t>
      </w:r>
      <w:r>
        <w:rPr>
          <w:rFonts w:ascii="Times New Roman" w:eastAsia="Times New Roman"/>
          <w:spacing w:val="-4"/>
        </w:rPr>
        <w:t>0.84</w:t>
      </w:r>
      <w:r>
        <w:rPr>
          <w:spacing w:val="-4"/>
        </w:rPr>
        <w:t>米。煤层顶、底板岩性为灰色粉砂岩。</w:t>
      </w:r>
      <w:r>
        <w:rPr>
          <w:rFonts w:ascii="Times New Roman" w:eastAsia="Times New Roman"/>
          <w:spacing w:val="-4"/>
        </w:rPr>
        <w:t>F12</w:t>
      </w:r>
      <w:r>
        <w:rPr>
          <w:spacing w:val="-4"/>
        </w:rPr>
        <w:t>断层以南不发育，仅在扩大区范围内及西部、北部发育，属局部可采煤</w:t>
      </w:r>
      <w:r>
        <w:rPr>
          <w:spacing w:val="-10"/>
        </w:rPr>
        <w:t>层，在扩大区范围内煤层较稳定，《双鸭山煤田岭东煤矿九斜井勘探区地质勘探</w:t>
      </w:r>
      <w:r>
        <w:rPr>
          <w:spacing w:val="-16"/>
        </w:rPr>
        <w:t>最终报告》</w:t>
      </w:r>
      <w:r>
        <w:rPr>
          <w:spacing w:val="-3"/>
        </w:rPr>
        <w:t>（</w:t>
      </w:r>
      <w:r>
        <w:t>精查</w:t>
      </w:r>
      <w:r>
        <w:rPr>
          <w:spacing w:val="-20"/>
        </w:rPr>
        <w:t>）</w:t>
      </w:r>
      <w:r>
        <w:rPr>
          <w:spacing w:val="-5"/>
        </w:rPr>
        <w:t>和《双鸭山市岭东区顺达煤井生产补充勘探地质报告》及邻井双鸭山市岭东兴旺煤矿对</w:t>
      </w:r>
      <w:r>
        <w:rPr>
          <w:rFonts w:ascii="Times New Roman" w:eastAsia="Times New Roman"/>
          <w:spacing w:val="-5"/>
        </w:rPr>
        <w:t>20</w:t>
      </w:r>
      <w:r>
        <w:rPr>
          <w:spacing w:val="-5"/>
        </w:rPr>
        <w:t>号煤层均进行了控制。</w:t>
      </w:r>
    </w:p>
    <w:p>
      <w:pPr>
        <w:pStyle w:val="6"/>
        <w:spacing w:line="304" w:lineRule="exact"/>
        <w:ind w:left="1520"/>
      </w:pPr>
      <w:r>
        <w:rPr>
          <w:rFonts w:ascii="Times New Roman" w:eastAsia="Times New Roman"/>
        </w:rPr>
        <w:t>30</w:t>
      </w:r>
      <w:r>
        <w:t>号煤层</w:t>
      </w:r>
    </w:p>
    <w:p>
      <w:pPr>
        <w:pStyle w:val="6"/>
        <w:spacing w:before="158" w:line="364" w:lineRule="auto"/>
        <w:ind w:left="1040" w:right="1077" w:firstLine="480"/>
        <w:jc w:val="both"/>
      </w:pPr>
      <w:r>
        <w:t>与上部</w:t>
      </w:r>
      <w:r>
        <w:rPr>
          <w:rFonts w:ascii="Times New Roman" w:eastAsia="Times New Roman"/>
        </w:rPr>
        <w:t>20</w:t>
      </w:r>
      <w:r>
        <w:t>号煤层间距</w:t>
      </w:r>
      <w:r>
        <w:rPr>
          <w:rFonts w:ascii="Times New Roman" w:eastAsia="Times New Roman"/>
        </w:rPr>
        <w:t>35</w:t>
      </w:r>
      <w:r>
        <w:t>－</w:t>
      </w:r>
      <w:r>
        <w:rPr>
          <w:rFonts w:ascii="Times New Roman" w:eastAsia="Times New Roman"/>
        </w:rPr>
        <w:t>45</w:t>
      </w:r>
      <w:r>
        <w:rPr>
          <w:spacing w:val="-11"/>
        </w:rPr>
        <w:t>米。以亮煤主，夹条带状暗煤，半亮型煤，层状</w:t>
      </w:r>
      <w:r>
        <w:t>构造。煤层单一结构。煤层厚度</w:t>
      </w:r>
      <w:r>
        <w:rPr>
          <w:rFonts w:ascii="Times New Roman" w:eastAsia="Times New Roman"/>
        </w:rPr>
        <w:t>0-0.80</w:t>
      </w:r>
      <w:r>
        <w:t>米，平均煤层厚度</w:t>
      </w:r>
      <w:r>
        <w:rPr>
          <w:rFonts w:ascii="Times New Roman" w:eastAsia="Times New Roman"/>
        </w:rPr>
        <w:t>0.62</w:t>
      </w:r>
      <w:r>
        <w:t>米。其中：大顺煤矿原范围内厚度</w:t>
      </w:r>
      <w:r>
        <w:rPr>
          <w:rFonts w:ascii="Times New Roman" w:eastAsia="Times New Roman"/>
        </w:rPr>
        <w:t>0.50</w:t>
      </w:r>
      <w:r>
        <w:rPr>
          <w:spacing w:val="-7"/>
        </w:rPr>
        <w:t>米；扩大区煤层厚度</w:t>
      </w:r>
      <w:r>
        <w:rPr>
          <w:rFonts w:ascii="Times New Roman" w:eastAsia="Times New Roman"/>
        </w:rPr>
        <w:t>0-0.80</w:t>
      </w:r>
      <w:r>
        <w:rPr>
          <w:spacing w:val="-7"/>
        </w:rPr>
        <w:t>米，平均厚度</w:t>
      </w:r>
      <w:r>
        <w:rPr>
          <w:rFonts w:ascii="Times New Roman" w:eastAsia="Times New Roman"/>
        </w:rPr>
        <w:t>0.65</w:t>
      </w:r>
      <w:r>
        <w:rPr>
          <w:spacing w:val="-10"/>
        </w:rPr>
        <w:t>米。该煤层向东</w:t>
      </w:r>
      <w:r>
        <w:rPr>
          <w:spacing w:val="-8"/>
        </w:rPr>
        <w:t>南和西北变薄不可采，属局部可采煤层，较稳定。煤层顶、底板岩性均是灰白色</w:t>
      </w:r>
      <w:r>
        <w:t>细砂岩，厚层状，具有波状层理。各煤层赋存情况见表</w:t>
      </w:r>
      <w:r>
        <w:rPr>
          <w:rFonts w:ascii="Times New Roman" w:eastAsia="Times New Roman"/>
        </w:rPr>
        <w:t>3.3-8</w:t>
      </w:r>
      <w:r>
        <w:t>。</w:t>
      </w:r>
    </w:p>
    <w:p>
      <w:pPr>
        <w:pStyle w:val="5"/>
        <w:spacing w:before="1"/>
        <w:ind w:left="2633"/>
        <w:jc w:val="both"/>
      </w:pPr>
      <w:r>
        <w:t xml:space="preserve">表 </w:t>
      </w:r>
      <w:r>
        <w:rPr>
          <w:rFonts w:ascii="Times New Roman" w:eastAsia="Times New Roman"/>
        </w:rPr>
        <w:t xml:space="preserve">3.3-8  </w:t>
      </w:r>
      <w:r>
        <w:t>大顺矿业有限公司扩后煤层情况一览表</w:t>
      </w:r>
    </w:p>
    <w:tbl>
      <w:tblPr>
        <w:tblStyle w:val="10"/>
        <w:tblW w:w="0" w:type="auto"/>
        <w:tblInd w:w="1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4"/>
        <w:gridCol w:w="708"/>
        <w:gridCol w:w="708"/>
        <w:gridCol w:w="975"/>
        <w:gridCol w:w="850"/>
        <w:gridCol w:w="851"/>
        <w:gridCol w:w="850"/>
        <w:gridCol w:w="851"/>
        <w:gridCol w:w="709"/>
        <w:gridCol w:w="1277"/>
        <w:gridCol w:w="17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74" w:type="dxa"/>
            <w:vMerge w:val="restart"/>
          </w:tcPr>
          <w:p>
            <w:pPr>
              <w:pStyle w:val="14"/>
              <w:spacing w:before="26"/>
              <w:ind w:left="126"/>
              <w:jc w:val="left"/>
              <w:rPr>
                <w:sz w:val="21"/>
              </w:rPr>
            </w:pPr>
            <w:r>
              <w:rPr>
                <w:spacing w:val="-1"/>
                <w:w w:val="95"/>
                <w:sz w:val="21"/>
              </w:rPr>
              <w:t>煤层</w:t>
            </w:r>
          </w:p>
          <w:p>
            <w:pPr>
              <w:pStyle w:val="14"/>
              <w:spacing w:before="43"/>
              <w:ind w:left="126"/>
              <w:jc w:val="left"/>
              <w:rPr>
                <w:sz w:val="21"/>
              </w:rPr>
            </w:pPr>
            <w:r>
              <w:rPr>
                <w:spacing w:val="-1"/>
                <w:w w:val="95"/>
                <w:sz w:val="21"/>
              </w:rPr>
              <w:t>编号</w:t>
            </w:r>
          </w:p>
        </w:tc>
        <w:tc>
          <w:tcPr>
            <w:tcW w:w="2391" w:type="dxa"/>
            <w:gridSpan w:val="3"/>
          </w:tcPr>
          <w:p>
            <w:pPr>
              <w:pStyle w:val="14"/>
              <w:spacing w:before="21"/>
              <w:ind w:left="600"/>
              <w:jc w:val="left"/>
              <w:rPr>
                <w:rFonts w:ascii="Times New Roman" w:eastAsia="Times New Roman"/>
                <w:sz w:val="21"/>
              </w:rPr>
            </w:pPr>
            <w:r>
              <w:rPr>
                <w:sz w:val="21"/>
              </w:rPr>
              <w:t>煤层厚度</w:t>
            </w:r>
            <w:r>
              <w:rPr>
                <w:rFonts w:ascii="Times New Roman" w:eastAsia="Times New Roman"/>
                <w:sz w:val="21"/>
              </w:rPr>
              <w:t>(</w:t>
            </w:r>
            <w:r>
              <w:rPr>
                <w:sz w:val="21"/>
              </w:rPr>
              <w:t>米</w:t>
            </w:r>
            <w:r>
              <w:rPr>
                <w:rFonts w:ascii="Times New Roman" w:eastAsia="Times New Roman"/>
                <w:sz w:val="21"/>
              </w:rPr>
              <w:t>)</w:t>
            </w:r>
          </w:p>
        </w:tc>
        <w:tc>
          <w:tcPr>
            <w:tcW w:w="2551" w:type="dxa"/>
            <w:gridSpan w:val="3"/>
          </w:tcPr>
          <w:p>
            <w:pPr>
              <w:pStyle w:val="14"/>
              <w:spacing w:before="21"/>
              <w:ind w:left="681"/>
              <w:jc w:val="left"/>
              <w:rPr>
                <w:rFonts w:ascii="Times New Roman" w:eastAsia="Times New Roman"/>
                <w:sz w:val="21"/>
              </w:rPr>
            </w:pPr>
            <w:r>
              <w:rPr>
                <w:sz w:val="21"/>
              </w:rPr>
              <w:t>煤层间距</w:t>
            </w:r>
            <w:r>
              <w:rPr>
                <w:rFonts w:ascii="Times New Roman" w:eastAsia="Times New Roman"/>
                <w:sz w:val="21"/>
              </w:rPr>
              <w:t>(</w:t>
            </w:r>
            <w:r>
              <w:rPr>
                <w:sz w:val="21"/>
              </w:rPr>
              <w:t>米</w:t>
            </w:r>
            <w:r>
              <w:rPr>
                <w:rFonts w:ascii="Times New Roman" w:eastAsia="Times New Roman"/>
                <w:sz w:val="21"/>
              </w:rPr>
              <w:t>)</w:t>
            </w:r>
          </w:p>
        </w:tc>
        <w:tc>
          <w:tcPr>
            <w:tcW w:w="851" w:type="dxa"/>
            <w:vMerge w:val="restart"/>
          </w:tcPr>
          <w:p>
            <w:pPr>
              <w:pStyle w:val="14"/>
              <w:spacing w:before="26"/>
              <w:ind w:left="215"/>
              <w:jc w:val="left"/>
              <w:rPr>
                <w:sz w:val="21"/>
              </w:rPr>
            </w:pPr>
            <w:r>
              <w:rPr>
                <w:spacing w:val="-1"/>
                <w:w w:val="95"/>
                <w:sz w:val="21"/>
              </w:rPr>
              <w:t>稳定</w:t>
            </w:r>
          </w:p>
          <w:p>
            <w:pPr>
              <w:pStyle w:val="14"/>
              <w:spacing w:before="43"/>
              <w:ind w:left="215"/>
              <w:jc w:val="left"/>
              <w:rPr>
                <w:sz w:val="21"/>
              </w:rPr>
            </w:pPr>
            <w:r>
              <w:rPr>
                <w:spacing w:val="-1"/>
                <w:w w:val="95"/>
                <w:sz w:val="21"/>
              </w:rPr>
              <w:t>程度</w:t>
            </w:r>
          </w:p>
        </w:tc>
        <w:tc>
          <w:tcPr>
            <w:tcW w:w="709" w:type="dxa"/>
            <w:vMerge w:val="restart"/>
          </w:tcPr>
          <w:p>
            <w:pPr>
              <w:pStyle w:val="14"/>
              <w:spacing w:before="26"/>
              <w:ind w:left="144"/>
              <w:jc w:val="left"/>
              <w:rPr>
                <w:sz w:val="21"/>
              </w:rPr>
            </w:pPr>
            <w:r>
              <w:rPr>
                <w:spacing w:val="-1"/>
                <w:w w:val="95"/>
                <w:sz w:val="21"/>
              </w:rPr>
              <w:t>可采</w:t>
            </w:r>
          </w:p>
          <w:p>
            <w:pPr>
              <w:pStyle w:val="14"/>
              <w:spacing w:before="43"/>
              <w:ind w:left="144"/>
              <w:jc w:val="left"/>
              <w:rPr>
                <w:sz w:val="21"/>
              </w:rPr>
            </w:pPr>
            <w:r>
              <w:rPr>
                <w:spacing w:val="-1"/>
                <w:w w:val="95"/>
                <w:sz w:val="21"/>
              </w:rPr>
              <w:t>范围</w:t>
            </w:r>
          </w:p>
        </w:tc>
        <w:tc>
          <w:tcPr>
            <w:tcW w:w="1277" w:type="dxa"/>
            <w:vMerge w:val="restart"/>
          </w:tcPr>
          <w:p>
            <w:pPr>
              <w:pStyle w:val="14"/>
              <w:spacing w:before="2"/>
              <w:jc w:val="left"/>
              <w:rPr>
                <w:b/>
                <w:sz w:val="14"/>
              </w:rPr>
            </w:pPr>
          </w:p>
          <w:p>
            <w:pPr>
              <w:pStyle w:val="14"/>
              <w:spacing w:before="1"/>
              <w:ind w:left="218"/>
              <w:jc w:val="left"/>
              <w:rPr>
                <w:sz w:val="21"/>
              </w:rPr>
            </w:pPr>
            <w:r>
              <w:rPr>
                <w:sz w:val="21"/>
              </w:rPr>
              <w:t>煤层结构</w:t>
            </w:r>
          </w:p>
        </w:tc>
        <w:tc>
          <w:tcPr>
            <w:tcW w:w="1701" w:type="dxa"/>
            <w:vMerge w:val="restart"/>
          </w:tcPr>
          <w:p>
            <w:pPr>
              <w:pStyle w:val="14"/>
              <w:spacing w:before="26"/>
              <w:ind w:left="94" w:right="87"/>
              <w:rPr>
                <w:sz w:val="21"/>
              </w:rPr>
            </w:pPr>
            <w:r>
              <w:rPr>
                <w:sz w:val="21"/>
              </w:rPr>
              <w:t>顶底板</w:t>
            </w:r>
          </w:p>
          <w:p>
            <w:pPr>
              <w:pStyle w:val="14"/>
              <w:spacing w:before="43"/>
              <w:ind w:left="94" w:right="87"/>
              <w:rPr>
                <w:sz w:val="21"/>
              </w:rPr>
            </w:pPr>
            <w:r>
              <w:rPr>
                <w:sz w:val="21"/>
              </w:rPr>
              <w:t>岩性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74" w:type="dxa"/>
            <w:vMerge w:val="continue"/>
            <w:tcBorders>
              <w:top w:val="nil"/>
            </w:tcBorders>
          </w:tcPr>
          <w:p>
            <w:pPr>
              <w:rPr>
                <w:sz w:val="2"/>
                <w:szCs w:val="2"/>
              </w:rPr>
            </w:pPr>
          </w:p>
        </w:tc>
        <w:tc>
          <w:tcPr>
            <w:tcW w:w="708" w:type="dxa"/>
          </w:tcPr>
          <w:p>
            <w:pPr>
              <w:pStyle w:val="14"/>
              <w:spacing w:before="21"/>
              <w:ind w:left="122" w:right="114"/>
              <w:rPr>
                <w:sz w:val="21"/>
              </w:rPr>
            </w:pPr>
            <w:r>
              <w:rPr>
                <w:sz w:val="21"/>
              </w:rPr>
              <w:t>最小</w:t>
            </w:r>
          </w:p>
        </w:tc>
        <w:tc>
          <w:tcPr>
            <w:tcW w:w="708" w:type="dxa"/>
          </w:tcPr>
          <w:p>
            <w:pPr>
              <w:pStyle w:val="14"/>
              <w:spacing w:before="21"/>
              <w:ind w:left="122" w:right="114"/>
              <w:rPr>
                <w:sz w:val="21"/>
              </w:rPr>
            </w:pPr>
            <w:r>
              <w:rPr>
                <w:sz w:val="21"/>
              </w:rPr>
              <w:t>最大</w:t>
            </w:r>
          </w:p>
        </w:tc>
        <w:tc>
          <w:tcPr>
            <w:tcW w:w="975" w:type="dxa"/>
          </w:tcPr>
          <w:p>
            <w:pPr>
              <w:pStyle w:val="14"/>
              <w:spacing w:before="21"/>
              <w:ind w:left="144" w:right="139"/>
              <w:rPr>
                <w:sz w:val="21"/>
              </w:rPr>
            </w:pPr>
            <w:r>
              <w:rPr>
                <w:sz w:val="21"/>
              </w:rPr>
              <w:t>平均</w:t>
            </w:r>
          </w:p>
        </w:tc>
        <w:tc>
          <w:tcPr>
            <w:tcW w:w="850" w:type="dxa"/>
          </w:tcPr>
          <w:p>
            <w:pPr>
              <w:pStyle w:val="14"/>
              <w:spacing w:before="21"/>
              <w:ind w:left="159" w:right="151"/>
              <w:rPr>
                <w:sz w:val="21"/>
              </w:rPr>
            </w:pPr>
            <w:r>
              <w:rPr>
                <w:sz w:val="21"/>
              </w:rPr>
              <w:t>最小</w:t>
            </w:r>
          </w:p>
        </w:tc>
        <w:tc>
          <w:tcPr>
            <w:tcW w:w="851" w:type="dxa"/>
          </w:tcPr>
          <w:p>
            <w:pPr>
              <w:pStyle w:val="14"/>
              <w:spacing w:before="21"/>
              <w:ind w:left="215"/>
              <w:jc w:val="left"/>
              <w:rPr>
                <w:sz w:val="21"/>
              </w:rPr>
            </w:pPr>
            <w:r>
              <w:rPr>
                <w:sz w:val="21"/>
              </w:rPr>
              <w:t>最大</w:t>
            </w:r>
          </w:p>
        </w:tc>
        <w:tc>
          <w:tcPr>
            <w:tcW w:w="850" w:type="dxa"/>
          </w:tcPr>
          <w:p>
            <w:pPr>
              <w:pStyle w:val="14"/>
              <w:spacing w:before="21"/>
              <w:ind w:left="156" w:right="151"/>
              <w:rPr>
                <w:sz w:val="21"/>
              </w:rPr>
            </w:pPr>
            <w:r>
              <w:rPr>
                <w:sz w:val="21"/>
              </w:rPr>
              <w:t>平均</w:t>
            </w:r>
          </w:p>
        </w:tc>
        <w:tc>
          <w:tcPr>
            <w:tcW w:w="851" w:type="dxa"/>
            <w:vMerge w:val="continue"/>
            <w:tcBorders>
              <w:top w:val="nil"/>
            </w:tcBorders>
          </w:tcPr>
          <w:p>
            <w:pPr>
              <w:rPr>
                <w:sz w:val="2"/>
                <w:szCs w:val="2"/>
              </w:rPr>
            </w:pPr>
          </w:p>
        </w:tc>
        <w:tc>
          <w:tcPr>
            <w:tcW w:w="709"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170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74" w:type="dxa"/>
          </w:tcPr>
          <w:p>
            <w:pPr>
              <w:pStyle w:val="14"/>
              <w:spacing w:before="190"/>
              <w:ind w:left="105" w:right="94"/>
              <w:rPr>
                <w:rFonts w:ascii="Times New Roman"/>
                <w:sz w:val="21"/>
              </w:rPr>
            </w:pPr>
            <w:r>
              <w:rPr>
                <w:rFonts w:ascii="Times New Roman"/>
                <w:sz w:val="21"/>
              </w:rPr>
              <w:t>10</w:t>
            </w:r>
          </w:p>
        </w:tc>
        <w:tc>
          <w:tcPr>
            <w:tcW w:w="708" w:type="dxa"/>
          </w:tcPr>
          <w:p>
            <w:pPr>
              <w:pStyle w:val="14"/>
              <w:spacing w:before="190"/>
              <w:ind w:left="6"/>
              <w:rPr>
                <w:rFonts w:ascii="Times New Roman"/>
                <w:sz w:val="21"/>
              </w:rPr>
            </w:pPr>
            <w:r>
              <w:rPr>
                <w:rFonts w:ascii="Times New Roman"/>
                <w:w w:val="99"/>
                <w:sz w:val="21"/>
              </w:rPr>
              <w:t>0</w:t>
            </w:r>
          </w:p>
        </w:tc>
        <w:tc>
          <w:tcPr>
            <w:tcW w:w="708" w:type="dxa"/>
          </w:tcPr>
          <w:p>
            <w:pPr>
              <w:pStyle w:val="14"/>
              <w:spacing w:before="190"/>
              <w:ind w:left="122" w:right="111"/>
              <w:rPr>
                <w:rFonts w:ascii="Times New Roman"/>
                <w:sz w:val="21"/>
              </w:rPr>
            </w:pPr>
            <w:r>
              <w:rPr>
                <w:rFonts w:ascii="Times New Roman"/>
                <w:sz w:val="21"/>
              </w:rPr>
              <w:t>1.30</w:t>
            </w:r>
          </w:p>
        </w:tc>
        <w:tc>
          <w:tcPr>
            <w:tcW w:w="975" w:type="dxa"/>
          </w:tcPr>
          <w:p>
            <w:pPr>
              <w:pStyle w:val="14"/>
              <w:spacing w:before="190"/>
              <w:ind w:left="150" w:right="139"/>
              <w:rPr>
                <w:rFonts w:ascii="Times New Roman"/>
                <w:sz w:val="21"/>
              </w:rPr>
            </w:pPr>
            <w:r>
              <w:rPr>
                <w:rFonts w:ascii="Times New Roman"/>
                <w:sz w:val="21"/>
              </w:rPr>
              <w:t>0.75/18</w:t>
            </w:r>
          </w:p>
        </w:tc>
        <w:tc>
          <w:tcPr>
            <w:tcW w:w="850" w:type="dxa"/>
          </w:tcPr>
          <w:p>
            <w:pPr>
              <w:pStyle w:val="14"/>
              <w:jc w:val="left"/>
              <w:rPr>
                <w:rFonts w:ascii="Times New Roman"/>
                <w:sz w:val="22"/>
              </w:rPr>
            </w:pPr>
          </w:p>
        </w:tc>
        <w:tc>
          <w:tcPr>
            <w:tcW w:w="851" w:type="dxa"/>
          </w:tcPr>
          <w:p>
            <w:pPr>
              <w:pStyle w:val="14"/>
              <w:jc w:val="left"/>
              <w:rPr>
                <w:rFonts w:ascii="Times New Roman"/>
                <w:sz w:val="22"/>
              </w:rPr>
            </w:pPr>
          </w:p>
        </w:tc>
        <w:tc>
          <w:tcPr>
            <w:tcW w:w="850" w:type="dxa"/>
          </w:tcPr>
          <w:p>
            <w:pPr>
              <w:pStyle w:val="14"/>
              <w:jc w:val="left"/>
              <w:rPr>
                <w:rFonts w:ascii="Times New Roman"/>
                <w:sz w:val="22"/>
              </w:rPr>
            </w:pPr>
          </w:p>
        </w:tc>
        <w:tc>
          <w:tcPr>
            <w:tcW w:w="851" w:type="dxa"/>
          </w:tcPr>
          <w:p>
            <w:pPr>
              <w:pStyle w:val="14"/>
              <w:spacing w:before="176"/>
              <w:ind w:left="89" w:right="81"/>
              <w:rPr>
                <w:sz w:val="21"/>
              </w:rPr>
            </w:pPr>
            <w:r>
              <w:rPr>
                <w:sz w:val="21"/>
              </w:rPr>
              <w:t>较稳定</w:t>
            </w:r>
          </w:p>
        </w:tc>
        <w:tc>
          <w:tcPr>
            <w:tcW w:w="709" w:type="dxa"/>
          </w:tcPr>
          <w:p>
            <w:pPr>
              <w:pStyle w:val="14"/>
              <w:spacing w:before="176"/>
              <w:ind w:left="123" w:right="115"/>
              <w:rPr>
                <w:sz w:val="21"/>
              </w:rPr>
            </w:pPr>
            <w:r>
              <w:rPr>
                <w:sz w:val="21"/>
              </w:rPr>
              <w:t>局部</w:t>
            </w:r>
          </w:p>
        </w:tc>
        <w:tc>
          <w:tcPr>
            <w:tcW w:w="1277" w:type="dxa"/>
          </w:tcPr>
          <w:p>
            <w:pPr>
              <w:pStyle w:val="14"/>
              <w:spacing w:before="176"/>
              <w:ind w:left="92" w:right="85"/>
              <w:rPr>
                <w:sz w:val="21"/>
              </w:rPr>
            </w:pPr>
            <w:r>
              <w:rPr>
                <w:sz w:val="21"/>
              </w:rPr>
              <w:t>单一结构。</w:t>
            </w:r>
          </w:p>
        </w:tc>
        <w:tc>
          <w:tcPr>
            <w:tcW w:w="1701" w:type="dxa"/>
          </w:tcPr>
          <w:p>
            <w:pPr>
              <w:pStyle w:val="14"/>
              <w:spacing w:before="20"/>
              <w:ind w:left="114"/>
              <w:jc w:val="left"/>
              <w:rPr>
                <w:sz w:val="21"/>
              </w:rPr>
            </w:pPr>
            <w:r>
              <w:rPr>
                <w:w w:val="95"/>
                <w:sz w:val="21"/>
              </w:rPr>
              <w:t>顶板粉砂岩，底</w:t>
            </w:r>
          </w:p>
          <w:p>
            <w:pPr>
              <w:pStyle w:val="14"/>
              <w:spacing w:before="43"/>
              <w:ind w:left="114"/>
              <w:jc w:val="left"/>
              <w:rPr>
                <w:sz w:val="21"/>
              </w:rPr>
            </w:pPr>
            <w:r>
              <w:rPr>
                <w:w w:val="95"/>
                <w:sz w:val="21"/>
              </w:rPr>
              <w:t>板粉砂岩或互层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74" w:type="dxa"/>
          </w:tcPr>
          <w:p>
            <w:pPr>
              <w:pStyle w:val="14"/>
              <w:spacing w:before="190"/>
              <w:ind w:left="105" w:right="94"/>
              <w:rPr>
                <w:rFonts w:ascii="Times New Roman"/>
                <w:sz w:val="21"/>
              </w:rPr>
            </w:pPr>
            <w:r>
              <w:rPr>
                <w:rFonts w:ascii="Times New Roman"/>
                <w:sz w:val="21"/>
              </w:rPr>
              <w:t>15</w:t>
            </w:r>
          </w:p>
        </w:tc>
        <w:tc>
          <w:tcPr>
            <w:tcW w:w="708" w:type="dxa"/>
          </w:tcPr>
          <w:p>
            <w:pPr>
              <w:pStyle w:val="14"/>
              <w:spacing w:before="190"/>
              <w:ind w:left="6"/>
              <w:rPr>
                <w:rFonts w:ascii="Times New Roman"/>
                <w:sz w:val="21"/>
              </w:rPr>
            </w:pPr>
            <w:r>
              <w:rPr>
                <w:rFonts w:ascii="Times New Roman"/>
                <w:w w:val="99"/>
                <w:sz w:val="21"/>
              </w:rPr>
              <w:t>0</w:t>
            </w:r>
          </w:p>
        </w:tc>
        <w:tc>
          <w:tcPr>
            <w:tcW w:w="708" w:type="dxa"/>
          </w:tcPr>
          <w:p>
            <w:pPr>
              <w:pStyle w:val="14"/>
              <w:spacing w:before="190"/>
              <w:ind w:left="122" w:right="113"/>
              <w:rPr>
                <w:rFonts w:ascii="Times New Roman"/>
                <w:sz w:val="21"/>
              </w:rPr>
            </w:pPr>
            <w:r>
              <w:rPr>
                <w:rFonts w:ascii="Times New Roman"/>
                <w:sz w:val="21"/>
              </w:rPr>
              <w:t>1.70</w:t>
            </w:r>
          </w:p>
        </w:tc>
        <w:tc>
          <w:tcPr>
            <w:tcW w:w="975" w:type="dxa"/>
          </w:tcPr>
          <w:p>
            <w:pPr>
              <w:pStyle w:val="14"/>
              <w:spacing w:before="190"/>
              <w:ind w:left="150" w:right="139"/>
              <w:rPr>
                <w:rFonts w:ascii="Times New Roman"/>
                <w:sz w:val="21"/>
              </w:rPr>
            </w:pPr>
            <w:r>
              <w:rPr>
                <w:rFonts w:ascii="Times New Roman"/>
                <w:sz w:val="21"/>
              </w:rPr>
              <w:t>1.24/19</w:t>
            </w:r>
          </w:p>
        </w:tc>
        <w:tc>
          <w:tcPr>
            <w:tcW w:w="850" w:type="dxa"/>
          </w:tcPr>
          <w:p>
            <w:pPr>
              <w:pStyle w:val="14"/>
              <w:spacing w:before="190"/>
              <w:ind w:left="159" w:right="149"/>
              <w:rPr>
                <w:rFonts w:ascii="Times New Roman"/>
                <w:sz w:val="21"/>
              </w:rPr>
            </w:pPr>
            <w:r>
              <w:rPr>
                <w:rFonts w:ascii="Times New Roman"/>
                <w:sz w:val="21"/>
              </w:rPr>
              <w:t>20.95</w:t>
            </w:r>
          </w:p>
        </w:tc>
        <w:tc>
          <w:tcPr>
            <w:tcW w:w="851" w:type="dxa"/>
          </w:tcPr>
          <w:p>
            <w:pPr>
              <w:pStyle w:val="14"/>
              <w:spacing w:before="190"/>
              <w:ind w:left="188"/>
              <w:jc w:val="left"/>
              <w:rPr>
                <w:rFonts w:ascii="Times New Roman"/>
                <w:sz w:val="21"/>
              </w:rPr>
            </w:pPr>
            <w:r>
              <w:rPr>
                <w:rFonts w:ascii="Times New Roman"/>
                <w:sz w:val="21"/>
              </w:rPr>
              <w:t>21.70</w:t>
            </w:r>
          </w:p>
        </w:tc>
        <w:tc>
          <w:tcPr>
            <w:tcW w:w="850" w:type="dxa"/>
          </w:tcPr>
          <w:p>
            <w:pPr>
              <w:pStyle w:val="14"/>
              <w:spacing w:before="190"/>
              <w:ind w:left="159" w:right="151"/>
              <w:rPr>
                <w:rFonts w:ascii="Times New Roman"/>
                <w:sz w:val="21"/>
              </w:rPr>
            </w:pPr>
            <w:r>
              <w:rPr>
                <w:rFonts w:ascii="Times New Roman"/>
                <w:sz w:val="21"/>
              </w:rPr>
              <w:t>20-35</w:t>
            </w:r>
          </w:p>
        </w:tc>
        <w:tc>
          <w:tcPr>
            <w:tcW w:w="851" w:type="dxa"/>
          </w:tcPr>
          <w:p>
            <w:pPr>
              <w:pStyle w:val="14"/>
              <w:spacing w:before="176"/>
              <w:ind w:left="89" w:right="81"/>
              <w:rPr>
                <w:sz w:val="21"/>
              </w:rPr>
            </w:pPr>
            <w:r>
              <w:rPr>
                <w:sz w:val="21"/>
              </w:rPr>
              <w:t>较稳定</w:t>
            </w:r>
          </w:p>
        </w:tc>
        <w:tc>
          <w:tcPr>
            <w:tcW w:w="709" w:type="dxa"/>
          </w:tcPr>
          <w:p>
            <w:pPr>
              <w:pStyle w:val="14"/>
              <w:spacing w:before="176"/>
              <w:ind w:left="123" w:right="115"/>
              <w:rPr>
                <w:sz w:val="21"/>
              </w:rPr>
            </w:pPr>
            <w:r>
              <w:rPr>
                <w:sz w:val="21"/>
              </w:rPr>
              <w:t>局部</w:t>
            </w:r>
          </w:p>
        </w:tc>
        <w:tc>
          <w:tcPr>
            <w:tcW w:w="1277" w:type="dxa"/>
          </w:tcPr>
          <w:p>
            <w:pPr>
              <w:pStyle w:val="14"/>
              <w:spacing w:before="176"/>
              <w:ind w:left="92" w:right="85"/>
              <w:rPr>
                <w:sz w:val="21"/>
              </w:rPr>
            </w:pPr>
            <w:r>
              <w:rPr>
                <w:sz w:val="21"/>
              </w:rPr>
              <w:t>单一结构。</w:t>
            </w:r>
          </w:p>
        </w:tc>
        <w:tc>
          <w:tcPr>
            <w:tcW w:w="1701" w:type="dxa"/>
          </w:tcPr>
          <w:p>
            <w:pPr>
              <w:pStyle w:val="14"/>
              <w:spacing w:before="20"/>
              <w:ind w:left="94" w:right="87"/>
              <w:rPr>
                <w:sz w:val="21"/>
              </w:rPr>
            </w:pPr>
            <w:r>
              <w:rPr>
                <w:sz w:val="21"/>
              </w:rPr>
              <w:t>顶板细砂岩，底</w:t>
            </w:r>
          </w:p>
          <w:p>
            <w:pPr>
              <w:pStyle w:val="14"/>
              <w:spacing w:before="43"/>
              <w:ind w:left="92" w:right="87"/>
              <w:rPr>
                <w:sz w:val="21"/>
              </w:rPr>
            </w:pPr>
            <w:r>
              <w:rPr>
                <w:sz w:val="21"/>
              </w:rPr>
              <w:t>板粉砂岩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74" w:type="dxa"/>
          </w:tcPr>
          <w:p>
            <w:pPr>
              <w:pStyle w:val="14"/>
              <w:spacing w:before="192"/>
              <w:ind w:left="105" w:right="94"/>
              <w:rPr>
                <w:rFonts w:ascii="Times New Roman"/>
                <w:sz w:val="21"/>
              </w:rPr>
            </w:pPr>
            <w:r>
              <w:rPr>
                <w:rFonts w:ascii="Times New Roman"/>
                <w:sz w:val="21"/>
              </w:rPr>
              <w:t>20</w:t>
            </w:r>
          </w:p>
        </w:tc>
        <w:tc>
          <w:tcPr>
            <w:tcW w:w="708" w:type="dxa"/>
          </w:tcPr>
          <w:p>
            <w:pPr>
              <w:pStyle w:val="14"/>
              <w:spacing w:before="192"/>
              <w:ind w:left="122" w:right="113"/>
              <w:rPr>
                <w:rFonts w:ascii="Times New Roman"/>
                <w:sz w:val="21"/>
              </w:rPr>
            </w:pPr>
            <w:r>
              <w:rPr>
                <w:rFonts w:ascii="Times New Roman"/>
                <w:sz w:val="21"/>
              </w:rPr>
              <w:t>0.39</w:t>
            </w:r>
          </w:p>
        </w:tc>
        <w:tc>
          <w:tcPr>
            <w:tcW w:w="708" w:type="dxa"/>
          </w:tcPr>
          <w:p>
            <w:pPr>
              <w:pStyle w:val="14"/>
              <w:spacing w:before="192"/>
              <w:ind w:left="122" w:right="111"/>
              <w:rPr>
                <w:rFonts w:ascii="Times New Roman"/>
                <w:sz w:val="21"/>
              </w:rPr>
            </w:pPr>
            <w:r>
              <w:rPr>
                <w:rFonts w:ascii="Times New Roman"/>
                <w:sz w:val="21"/>
              </w:rPr>
              <w:t>1.22</w:t>
            </w:r>
          </w:p>
        </w:tc>
        <w:tc>
          <w:tcPr>
            <w:tcW w:w="975" w:type="dxa"/>
          </w:tcPr>
          <w:p>
            <w:pPr>
              <w:pStyle w:val="14"/>
              <w:spacing w:before="192"/>
              <w:ind w:left="145" w:right="139"/>
              <w:rPr>
                <w:rFonts w:ascii="Times New Roman"/>
                <w:sz w:val="21"/>
              </w:rPr>
            </w:pPr>
            <w:r>
              <w:rPr>
                <w:rFonts w:ascii="Times New Roman"/>
                <w:sz w:val="21"/>
              </w:rPr>
              <w:t>0.84/9</w:t>
            </w:r>
          </w:p>
        </w:tc>
        <w:tc>
          <w:tcPr>
            <w:tcW w:w="850" w:type="dxa"/>
          </w:tcPr>
          <w:p>
            <w:pPr>
              <w:pStyle w:val="14"/>
              <w:spacing w:before="192"/>
              <w:ind w:left="159" w:right="149"/>
              <w:rPr>
                <w:rFonts w:ascii="Times New Roman"/>
                <w:sz w:val="21"/>
              </w:rPr>
            </w:pPr>
            <w:r>
              <w:rPr>
                <w:rFonts w:ascii="Times New Roman"/>
                <w:sz w:val="21"/>
              </w:rPr>
              <w:t>21.50</w:t>
            </w:r>
          </w:p>
        </w:tc>
        <w:tc>
          <w:tcPr>
            <w:tcW w:w="851" w:type="dxa"/>
          </w:tcPr>
          <w:p>
            <w:pPr>
              <w:pStyle w:val="14"/>
              <w:spacing w:before="192"/>
              <w:ind w:left="188"/>
              <w:jc w:val="left"/>
              <w:rPr>
                <w:rFonts w:ascii="Times New Roman"/>
                <w:sz w:val="21"/>
              </w:rPr>
            </w:pPr>
            <w:r>
              <w:rPr>
                <w:rFonts w:ascii="Times New Roman"/>
                <w:sz w:val="21"/>
              </w:rPr>
              <w:t>26.39</w:t>
            </w:r>
          </w:p>
        </w:tc>
        <w:tc>
          <w:tcPr>
            <w:tcW w:w="850" w:type="dxa"/>
          </w:tcPr>
          <w:p>
            <w:pPr>
              <w:pStyle w:val="14"/>
              <w:spacing w:before="192"/>
              <w:ind w:left="159" w:right="151"/>
              <w:rPr>
                <w:rFonts w:ascii="Times New Roman"/>
                <w:sz w:val="21"/>
              </w:rPr>
            </w:pPr>
            <w:r>
              <w:rPr>
                <w:rFonts w:ascii="Times New Roman"/>
                <w:sz w:val="21"/>
              </w:rPr>
              <w:t>25</w:t>
            </w:r>
          </w:p>
        </w:tc>
        <w:tc>
          <w:tcPr>
            <w:tcW w:w="851" w:type="dxa"/>
          </w:tcPr>
          <w:p>
            <w:pPr>
              <w:pStyle w:val="14"/>
              <w:spacing w:before="178"/>
              <w:ind w:left="89" w:right="81"/>
              <w:rPr>
                <w:sz w:val="21"/>
              </w:rPr>
            </w:pPr>
            <w:r>
              <w:rPr>
                <w:sz w:val="21"/>
              </w:rPr>
              <w:t>较稳定</w:t>
            </w:r>
          </w:p>
        </w:tc>
        <w:tc>
          <w:tcPr>
            <w:tcW w:w="709" w:type="dxa"/>
          </w:tcPr>
          <w:p>
            <w:pPr>
              <w:pStyle w:val="14"/>
              <w:spacing w:before="178"/>
              <w:ind w:left="123" w:right="115"/>
              <w:rPr>
                <w:sz w:val="21"/>
              </w:rPr>
            </w:pPr>
            <w:r>
              <w:rPr>
                <w:sz w:val="21"/>
              </w:rPr>
              <w:t>局部</w:t>
            </w:r>
          </w:p>
        </w:tc>
        <w:tc>
          <w:tcPr>
            <w:tcW w:w="1277" w:type="dxa"/>
          </w:tcPr>
          <w:p>
            <w:pPr>
              <w:pStyle w:val="14"/>
              <w:spacing w:before="22"/>
              <w:ind w:left="112"/>
              <w:jc w:val="left"/>
              <w:rPr>
                <w:sz w:val="21"/>
              </w:rPr>
            </w:pPr>
            <w:r>
              <w:rPr>
                <w:w w:val="95"/>
                <w:sz w:val="21"/>
              </w:rPr>
              <w:t>简单结构，</w:t>
            </w:r>
          </w:p>
          <w:p>
            <w:pPr>
              <w:pStyle w:val="14"/>
              <w:spacing w:before="43"/>
              <w:ind w:left="112"/>
              <w:jc w:val="left"/>
              <w:rPr>
                <w:sz w:val="21"/>
              </w:rPr>
            </w:pPr>
            <w:r>
              <w:rPr>
                <w:w w:val="95"/>
                <w:sz w:val="21"/>
              </w:rPr>
              <w:t>有一层夹石</w:t>
            </w:r>
          </w:p>
        </w:tc>
        <w:tc>
          <w:tcPr>
            <w:tcW w:w="1701" w:type="dxa"/>
          </w:tcPr>
          <w:p>
            <w:pPr>
              <w:pStyle w:val="14"/>
              <w:spacing w:before="22"/>
              <w:ind w:left="94" w:right="87"/>
              <w:rPr>
                <w:sz w:val="21"/>
              </w:rPr>
            </w:pPr>
            <w:r>
              <w:rPr>
                <w:sz w:val="21"/>
              </w:rPr>
              <w:t>顶板粉砂岩，底</w:t>
            </w:r>
          </w:p>
          <w:p>
            <w:pPr>
              <w:pStyle w:val="14"/>
              <w:spacing w:before="43"/>
              <w:ind w:left="92" w:right="87"/>
              <w:rPr>
                <w:sz w:val="21"/>
              </w:rPr>
            </w:pPr>
            <w:r>
              <w:rPr>
                <w:sz w:val="21"/>
              </w:rPr>
              <w:t>板粉砂岩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74" w:type="dxa"/>
          </w:tcPr>
          <w:p>
            <w:pPr>
              <w:pStyle w:val="14"/>
              <w:spacing w:before="191"/>
              <w:ind w:left="105" w:right="94"/>
              <w:rPr>
                <w:rFonts w:ascii="Times New Roman"/>
                <w:sz w:val="21"/>
              </w:rPr>
            </w:pPr>
            <w:r>
              <w:rPr>
                <w:rFonts w:ascii="Times New Roman"/>
                <w:sz w:val="21"/>
              </w:rPr>
              <w:t>30</w:t>
            </w:r>
          </w:p>
        </w:tc>
        <w:tc>
          <w:tcPr>
            <w:tcW w:w="708" w:type="dxa"/>
          </w:tcPr>
          <w:p>
            <w:pPr>
              <w:pStyle w:val="14"/>
              <w:spacing w:before="191"/>
              <w:ind w:left="6"/>
              <w:rPr>
                <w:rFonts w:ascii="Times New Roman"/>
                <w:sz w:val="21"/>
              </w:rPr>
            </w:pPr>
            <w:r>
              <w:rPr>
                <w:rFonts w:ascii="Times New Roman"/>
                <w:w w:val="99"/>
                <w:sz w:val="21"/>
              </w:rPr>
              <w:t>0</w:t>
            </w:r>
          </w:p>
        </w:tc>
        <w:tc>
          <w:tcPr>
            <w:tcW w:w="708" w:type="dxa"/>
          </w:tcPr>
          <w:p>
            <w:pPr>
              <w:pStyle w:val="14"/>
              <w:spacing w:before="191"/>
              <w:ind w:left="122" w:right="111"/>
              <w:rPr>
                <w:rFonts w:ascii="Times New Roman"/>
                <w:sz w:val="21"/>
              </w:rPr>
            </w:pPr>
            <w:r>
              <w:rPr>
                <w:rFonts w:ascii="Times New Roman"/>
                <w:sz w:val="21"/>
              </w:rPr>
              <w:t>0.80</w:t>
            </w:r>
          </w:p>
        </w:tc>
        <w:tc>
          <w:tcPr>
            <w:tcW w:w="975" w:type="dxa"/>
          </w:tcPr>
          <w:p>
            <w:pPr>
              <w:pStyle w:val="14"/>
              <w:spacing w:before="191"/>
              <w:ind w:left="150" w:right="139"/>
              <w:rPr>
                <w:rFonts w:ascii="Times New Roman"/>
                <w:sz w:val="21"/>
              </w:rPr>
            </w:pPr>
            <w:r>
              <w:rPr>
                <w:rFonts w:ascii="Times New Roman"/>
                <w:sz w:val="21"/>
              </w:rPr>
              <w:t>0.62/11</w:t>
            </w:r>
          </w:p>
        </w:tc>
        <w:tc>
          <w:tcPr>
            <w:tcW w:w="850" w:type="dxa"/>
          </w:tcPr>
          <w:p>
            <w:pPr>
              <w:pStyle w:val="14"/>
              <w:spacing w:before="191"/>
              <w:ind w:left="159" w:right="149"/>
              <w:rPr>
                <w:rFonts w:ascii="Times New Roman"/>
                <w:sz w:val="21"/>
              </w:rPr>
            </w:pPr>
            <w:r>
              <w:rPr>
                <w:rFonts w:ascii="Times New Roman"/>
                <w:sz w:val="21"/>
              </w:rPr>
              <w:t>39.50</w:t>
            </w:r>
          </w:p>
        </w:tc>
        <w:tc>
          <w:tcPr>
            <w:tcW w:w="851" w:type="dxa"/>
          </w:tcPr>
          <w:p>
            <w:pPr>
              <w:pStyle w:val="14"/>
              <w:spacing w:before="191"/>
              <w:ind w:left="188"/>
              <w:jc w:val="left"/>
              <w:rPr>
                <w:rFonts w:ascii="Times New Roman"/>
                <w:sz w:val="21"/>
              </w:rPr>
            </w:pPr>
            <w:r>
              <w:rPr>
                <w:rFonts w:ascii="Times New Roman"/>
                <w:sz w:val="21"/>
              </w:rPr>
              <w:t>48.30</w:t>
            </w:r>
          </w:p>
        </w:tc>
        <w:tc>
          <w:tcPr>
            <w:tcW w:w="850" w:type="dxa"/>
          </w:tcPr>
          <w:p>
            <w:pPr>
              <w:pStyle w:val="14"/>
              <w:spacing w:before="191"/>
              <w:ind w:left="159" w:right="151"/>
              <w:rPr>
                <w:rFonts w:ascii="Times New Roman"/>
                <w:sz w:val="21"/>
              </w:rPr>
            </w:pPr>
            <w:r>
              <w:rPr>
                <w:rFonts w:ascii="Times New Roman"/>
                <w:sz w:val="21"/>
              </w:rPr>
              <w:t>35-45</w:t>
            </w:r>
          </w:p>
        </w:tc>
        <w:tc>
          <w:tcPr>
            <w:tcW w:w="851" w:type="dxa"/>
          </w:tcPr>
          <w:p>
            <w:pPr>
              <w:pStyle w:val="14"/>
              <w:spacing w:before="177"/>
              <w:ind w:left="89" w:right="81"/>
              <w:rPr>
                <w:sz w:val="21"/>
              </w:rPr>
            </w:pPr>
            <w:r>
              <w:rPr>
                <w:sz w:val="21"/>
              </w:rPr>
              <w:t>较稳定</w:t>
            </w:r>
          </w:p>
        </w:tc>
        <w:tc>
          <w:tcPr>
            <w:tcW w:w="709" w:type="dxa"/>
          </w:tcPr>
          <w:p>
            <w:pPr>
              <w:pStyle w:val="14"/>
              <w:spacing w:before="177"/>
              <w:ind w:left="123" w:right="115"/>
              <w:rPr>
                <w:sz w:val="21"/>
              </w:rPr>
            </w:pPr>
            <w:r>
              <w:rPr>
                <w:sz w:val="21"/>
              </w:rPr>
              <w:t>局部</w:t>
            </w:r>
          </w:p>
        </w:tc>
        <w:tc>
          <w:tcPr>
            <w:tcW w:w="1277" w:type="dxa"/>
          </w:tcPr>
          <w:p>
            <w:pPr>
              <w:pStyle w:val="14"/>
              <w:spacing w:before="177"/>
              <w:ind w:left="92" w:right="85"/>
              <w:rPr>
                <w:sz w:val="21"/>
              </w:rPr>
            </w:pPr>
            <w:r>
              <w:rPr>
                <w:sz w:val="21"/>
              </w:rPr>
              <w:t>单一结构</w:t>
            </w:r>
          </w:p>
        </w:tc>
        <w:tc>
          <w:tcPr>
            <w:tcW w:w="1701" w:type="dxa"/>
          </w:tcPr>
          <w:p>
            <w:pPr>
              <w:pStyle w:val="14"/>
              <w:spacing w:before="22"/>
              <w:ind w:left="94" w:right="87"/>
              <w:rPr>
                <w:sz w:val="21"/>
              </w:rPr>
            </w:pPr>
            <w:r>
              <w:rPr>
                <w:sz w:val="21"/>
              </w:rPr>
              <w:t>顶板细砂岩，底</w:t>
            </w:r>
          </w:p>
          <w:p>
            <w:pPr>
              <w:pStyle w:val="14"/>
              <w:spacing w:before="42"/>
              <w:ind w:left="92" w:right="87"/>
              <w:rPr>
                <w:sz w:val="21"/>
              </w:rPr>
            </w:pPr>
            <w:r>
              <w:rPr>
                <w:sz w:val="21"/>
              </w:rPr>
              <w:t>板细砂岩</w:t>
            </w:r>
          </w:p>
        </w:tc>
      </w:tr>
    </w:tbl>
    <w:p>
      <w:pPr>
        <w:pStyle w:val="6"/>
        <w:spacing w:before="1"/>
        <w:ind w:left="1520"/>
      </w:pPr>
      <w:r>
        <w:t>（三）煤质</w:t>
      </w:r>
    </w:p>
    <w:p>
      <w:pPr>
        <w:pStyle w:val="6"/>
        <w:spacing w:before="160" w:line="364" w:lineRule="auto"/>
        <w:ind w:left="1040" w:right="1077" w:firstLine="480"/>
        <w:jc w:val="both"/>
      </w:pPr>
      <w:r>
        <w:rPr>
          <w:spacing w:val="-9"/>
        </w:rPr>
        <w:t>依据《双鸭山市横头山区小井勘探地质报告》、《东煤公司双鸭山矿务局岭</w:t>
      </w:r>
      <w:r>
        <w:rPr>
          <w:spacing w:val="-8"/>
        </w:rPr>
        <w:t>东六井长山扩大区地质勘探报告》和《双鸭山市岭东区顺达煤井生产补充勘探地</w:t>
      </w:r>
      <w:r>
        <w:t>质报告》的煤质测试成果，具体如下。</w:t>
      </w:r>
    </w:p>
    <w:p>
      <w:pPr>
        <w:pStyle w:val="6"/>
        <w:spacing w:line="305" w:lineRule="exact"/>
        <w:ind w:left="1520"/>
      </w:pPr>
      <w:r>
        <w:rPr>
          <w:rFonts w:ascii="Times New Roman" w:eastAsia="Times New Roman"/>
        </w:rPr>
        <w:t>1</w:t>
      </w:r>
      <w:r>
        <w:t>、煤的物理性质特征</w:t>
      </w:r>
    </w:p>
    <w:p>
      <w:pPr>
        <w:pStyle w:val="6"/>
        <w:spacing w:before="161" w:line="364" w:lineRule="auto"/>
        <w:ind w:left="1040" w:right="1077" w:firstLine="480"/>
      </w:pPr>
      <w:r>
        <w:t>该区宏观煤岩类型以光亮</w:t>
      </w:r>
      <w:r>
        <w:rPr>
          <w:rFonts w:ascii="Times New Roman" w:eastAsia="Times New Roman"/>
        </w:rPr>
        <w:t>-</w:t>
      </w:r>
      <w:r>
        <w:t>半亮煤为主，黑色，条痕为黑褐色。其组分以亮</w:t>
      </w:r>
      <w:r>
        <w:rPr>
          <w:spacing w:val="-11"/>
        </w:rPr>
        <w:t>煤为主。呈线状、层状构造，煤层硬度较高，且较为致密。显微镜下观察，煤岩</w:t>
      </w:r>
    </w:p>
    <w:p>
      <w:pPr>
        <w:spacing w:after="0" w:line="364" w:lineRule="auto"/>
        <w:sectPr>
          <w:pgSz w:w="11910" w:h="16840"/>
          <w:pgMar w:top="1080" w:right="720" w:bottom="1160" w:left="760" w:header="0" w:footer="97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06" name="组合 51"/>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05" name="直线 52"/>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51"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aCLtQAAAADAQAADwAAAAAAAAABACAAAAAiAAAAZHJzL2Rvd25yZXYueG1s&#10;UEsBAhQAFAAAAAgAh07iQFQiKG41AgAAtgQAAA4AAAAAAAAAAQAgAAAAIwEAAGRycy9lMm9Eb2Mu&#10;eG1sUEsFBgAAAAAGAAYAWQEAAMoFAAAAAA==&#10;">
                <o:lock v:ext="edit" aspectratio="f"/>
                <v:line id="直线 52" o:spid="_x0000_s1026" o:spt="20" style="position:absolute;left:0;top:7;height:0;width:8306;" filled="f" stroked="t" coordsize="21600,21600" o:gfxdata="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Lj4ML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6"/>
        <w:spacing w:before="5"/>
        <w:rPr>
          <w:sz w:val="19"/>
        </w:rPr>
      </w:pPr>
    </w:p>
    <w:p>
      <w:pPr>
        <w:pStyle w:val="6"/>
        <w:spacing w:before="74" w:line="364" w:lineRule="auto"/>
        <w:ind w:left="1040" w:right="957"/>
        <w:jc w:val="both"/>
      </w:pPr>
      <w:r>
        <w:t>组分，无结构镜煤为主，其次为凝胶化基质体，含量占</w:t>
      </w:r>
      <w:r>
        <w:rPr>
          <w:rFonts w:ascii="Times New Roman" w:hAnsi="Times New Roman" w:eastAsia="Times New Roman"/>
        </w:rPr>
        <w:t>76%</w:t>
      </w:r>
      <w:r>
        <w:t xml:space="preserve">，半凝胶化基质体， </w:t>
      </w:r>
      <w:r>
        <w:rPr>
          <w:spacing w:val="-1"/>
        </w:rPr>
        <w:t>半镜煤体，木质结构镜煤占</w:t>
      </w:r>
      <w:r>
        <w:rPr>
          <w:rFonts w:ascii="Times New Roman" w:hAnsi="Times New Roman" w:eastAsia="Times New Roman"/>
        </w:rPr>
        <w:t>7%</w:t>
      </w:r>
      <w:r>
        <w:rPr>
          <w:spacing w:val="-1"/>
        </w:rPr>
        <w:t>，丝炭、半丝炭及镜煤丝炭占</w:t>
      </w:r>
      <w:r>
        <w:rPr>
          <w:rFonts w:ascii="Times New Roman" w:hAnsi="Times New Roman" w:eastAsia="Times New Roman"/>
        </w:rPr>
        <w:t>6%</w:t>
      </w:r>
      <w:r>
        <w:t>，稳定组分包括胶质层，孢子体占</w:t>
      </w:r>
      <w:r>
        <w:rPr>
          <w:rFonts w:ascii="Times New Roman" w:hAnsi="Times New Roman" w:eastAsia="Times New Roman"/>
          <w:spacing w:val="2"/>
        </w:rPr>
        <w:t>1%</w:t>
      </w:r>
      <w:r>
        <w:t>，矿物杂质主要为黏土，硫酸岩，石英占</w:t>
      </w:r>
      <w:r>
        <w:rPr>
          <w:rFonts w:ascii="Times New Roman" w:hAnsi="Times New Roman" w:eastAsia="Times New Roman"/>
        </w:rPr>
        <w:t>10%</w:t>
      </w:r>
      <w:r>
        <w:t>，初步确定</w:t>
      </w:r>
      <w:r>
        <w:rPr>
          <w:spacing w:val="-6"/>
        </w:rPr>
        <w:t>显微煤岩类型为腐植煤类，亮煤型混合煤种。反射率</w:t>
      </w:r>
      <w:r>
        <w:rPr>
          <w:rFonts w:ascii="Times New Roman" w:hAnsi="Times New Roman" w:eastAsia="Times New Roman"/>
          <w:spacing w:val="-7"/>
        </w:rPr>
        <w:t>0.95%</w:t>
      </w:r>
      <w:r>
        <w:rPr>
          <w:spacing w:val="-5"/>
        </w:rPr>
        <w:t>，变质程度为Ⅲ阶段。</w:t>
      </w:r>
    </w:p>
    <w:p>
      <w:pPr>
        <w:pStyle w:val="6"/>
        <w:spacing w:line="305" w:lineRule="exact"/>
        <w:ind w:left="1520"/>
      </w:pPr>
      <w:r>
        <w:t>煤的物理性质特征见表</w:t>
      </w:r>
      <w:r>
        <w:rPr>
          <w:rFonts w:ascii="Times New Roman" w:eastAsia="Times New Roman"/>
        </w:rPr>
        <w:t>3.3-9</w:t>
      </w:r>
      <w:r>
        <w:t>。</w:t>
      </w:r>
    </w:p>
    <w:p>
      <w:pPr>
        <w:pStyle w:val="5"/>
        <w:spacing w:before="161"/>
        <w:ind w:left="1553" w:right="1106"/>
        <w:jc w:val="center"/>
      </w:pPr>
      <w:r>
        <w:t>表</w:t>
      </w:r>
      <w:r>
        <w:rPr>
          <w:rFonts w:ascii="Times New Roman" w:eastAsia="Times New Roman"/>
        </w:rPr>
        <w:t>3.3-9</w:t>
      </w:r>
      <w:r>
        <w:t>煤的物理性质特征表</w:t>
      </w:r>
    </w:p>
    <w:p>
      <w:pPr>
        <w:pStyle w:val="6"/>
        <w:spacing w:before="3"/>
        <w:rPr>
          <w:b/>
          <w:sz w:val="12"/>
        </w:rPr>
      </w:pPr>
    </w:p>
    <w:tbl>
      <w:tblPr>
        <w:tblStyle w:val="10"/>
        <w:tblW w:w="0" w:type="auto"/>
        <w:tblInd w:w="9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75"/>
        <w:gridCol w:w="1876"/>
        <w:gridCol w:w="1877"/>
        <w:gridCol w:w="1876"/>
        <w:gridCol w:w="18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1875" w:type="dxa"/>
          </w:tcPr>
          <w:p>
            <w:pPr>
              <w:pStyle w:val="14"/>
              <w:spacing w:before="95"/>
              <w:ind w:left="600" w:right="594"/>
              <w:rPr>
                <w:sz w:val="21"/>
              </w:rPr>
            </w:pPr>
            <w:r>
              <w:rPr>
                <w:sz w:val="21"/>
              </w:rPr>
              <w:t>稳质组</w:t>
            </w:r>
          </w:p>
        </w:tc>
        <w:tc>
          <w:tcPr>
            <w:tcW w:w="1876" w:type="dxa"/>
          </w:tcPr>
          <w:p>
            <w:pPr>
              <w:pStyle w:val="14"/>
              <w:spacing w:before="95"/>
              <w:ind w:left="495" w:right="489"/>
              <w:rPr>
                <w:sz w:val="21"/>
              </w:rPr>
            </w:pPr>
            <w:r>
              <w:rPr>
                <w:sz w:val="21"/>
              </w:rPr>
              <w:t>半稳质组</w:t>
            </w:r>
          </w:p>
        </w:tc>
        <w:tc>
          <w:tcPr>
            <w:tcW w:w="1877" w:type="dxa"/>
          </w:tcPr>
          <w:p>
            <w:pPr>
              <w:pStyle w:val="14"/>
              <w:spacing w:before="95"/>
              <w:ind w:left="601" w:right="596"/>
              <w:rPr>
                <w:sz w:val="21"/>
              </w:rPr>
            </w:pPr>
            <w:r>
              <w:rPr>
                <w:sz w:val="21"/>
              </w:rPr>
              <w:t>丝质组</w:t>
            </w:r>
          </w:p>
        </w:tc>
        <w:tc>
          <w:tcPr>
            <w:tcW w:w="1876" w:type="dxa"/>
          </w:tcPr>
          <w:p>
            <w:pPr>
              <w:pStyle w:val="14"/>
              <w:spacing w:before="95"/>
              <w:ind w:left="495" w:right="485"/>
              <w:rPr>
                <w:sz w:val="21"/>
              </w:rPr>
            </w:pPr>
            <w:r>
              <w:rPr>
                <w:sz w:val="21"/>
              </w:rPr>
              <w:t>稳定组</w:t>
            </w:r>
          </w:p>
        </w:tc>
        <w:tc>
          <w:tcPr>
            <w:tcW w:w="1876" w:type="dxa"/>
          </w:tcPr>
          <w:p>
            <w:pPr>
              <w:pStyle w:val="14"/>
              <w:spacing w:before="95"/>
              <w:ind w:left="494" w:right="490"/>
              <w:rPr>
                <w:sz w:val="21"/>
              </w:rPr>
            </w:pPr>
            <w:r>
              <w:rPr>
                <w:sz w:val="21"/>
              </w:rPr>
              <w:t>岩矿杂质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875" w:type="dxa"/>
          </w:tcPr>
          <w:p>
            <w:pPr>
              <w:pStyle w:val="14"/>
              <w:spacing w:before="118"/>
              <w:ind w:left="600" w:right="590"/>
              <w:rPr>
                <w:rFonts w:ascii="Times New Roman"/>
                <w:sz w:val="21"/>
              </w:rPr>
            </w:pPr>
            <w:r>
              <w:rPr>
                <w:rFonts w:ascii="Times New Roman"/>
                <w:sz w:val="21"/>
              </w:rPr>
              <w:t>76.03</w:t>
            </w:r>
          </w:p>
        </w:tc>
        <w:tc>
          <w:tcPr>
            <w:tcW w:w="1876" w:type="dxa"/>
          </w:tcPr>
          <w:p>
            <w:pPr>
              <w:pStyle w:val="14"/>
              <w:spacing w:before="118"/>
              <w:ind w:left="495" w:right="487"/>
              <w:rPr>
                <w:rFonts w:ascii="Times New Roman"/>
                <w:sz w:val="21"/>
              </w:rPr>
            </w:pPr>
            <w:r>
              <w:rPr>
                <w:rFonts w:ascii="Times New Roman"/>
                <w:sz w:val="21"/>
              </w:rPr>
              <w:t>7.19</w:t>
            </w:r>
          </w:p>
        </w:tc>
        <w:tc>
          <w:tcPr>
            <w:tcW w:w="1877" w:type="dxa"/>
          </w:tcPr>
          <w:p>
            <w:pPr>
              <w:pStyle w:val="14"/>
              <w:spacing w:before="118"/>
              <w:ind w:left="601" w:right="593"/>
              <w:rPr>
                <w:rFonts w:ascii="Times New Roman"/>
                <w:sz w:val="21"/>
              </w:rPr>
            </w:pPr>
            <w:r>
              <w:rPr>
                <w:rFonts w:ascii="Times New Roman"/>
                <w:sz w:val="21"/>
              </w:rPr>
              <w:t>5.82</w:t>
            </w:r>
          </w:p>
        </w:tc>
        <w:tc>
          <w:tcPr>
            <w:tcW w:w="1876" w:type="dxa"/>
          </w:tcPr>
          <w:p>
            <w:pPr>
              <w:pStyle w:val="14"/>
              <w:spacing w:before="118"/>
              <w:ind w:left="495" w:right="486"/>
              <w:rPr>
                <w:rFonts w:ascii="Times New Roman"/>
                <w:sz w:val="21"/>
              </w:rPr>
            </w:pPr>
            <w:r>
              <w:rPr>
                <w:rFonts w:ascii="Times New Roman"/>
                <w:sz w:val="21"/>
              </w:rPr>
              <w:t>1.20</w:t>
            </w:r>
          </w:p>
        </w:tc>
        <w:tc>
          <w:tcPr>
            <w:tcW w:w="1876" w:type="dxa"/>
          </w:tcPr>
          <w:p>
            <w:pPr>
              <w:pStyle w:val="14"/>
              <w:spacing w:before="118"/>
              <w:ind w:left="495" w:right="485"/>
              <w:rPr>
                <w:rFonts w:ascii="Times New Roman"/>
                <w:sz w:val="21"/>
              </w:rPr>
            </w:pPr>
            <w:r>
              <w:rPr>
                <w:rFonts w:ascii="Times New Roman"/>
                <w:sz w:val="21"/>
              </w:rPr>
              <w:t>11.13</w:t>
            </w:r>
          </w:p>
        </w:tc>
      </w:tr>
    </w:tbl>
    <w:p>
      <w:pPr>
        <w:pStyle w:val="6"/>
        <w:spacing w:before="3"/>
        <w:ind w:left="1520"/>
      </w:pPr>
      <w:r>
        <w:rPr>
          <w:rFonts w:ascii="Times New Roman" w:eastAsia="Times New Roman"/>
        </w:rPr>
        <w:t>2</w:t>
      </w:r>
      <w:r>
        <w:t>、煤的化学性质特征和工艺性能</w:t>
      </w:r>
    </w:p>
    <w:p>
      <w:pPr>
        <w:pStyle w:val="13"/>
        <w:numPr>
          <w:ilvl w:val="2"/>
          <w:numId w:val="24"/>
        </w:numPr>
        <w:tabs>
          <w:tab w:val="left" w:pos="2121"/>
        </w:tabs>
        <w:spacing w:before="158" w:after="0" w:line="240" w:lineRule="auto"/>
        <w:ind w:left="2121" w:right="0" w:hanging="601"/>
        <w:jc w:val="left"/>
        <w:rPr>
          <w:sz w:val="24"/>
        </w:rPr>
      </w:pPr>
      <w:r>
        <w:rPr>
          <w:sz w:val="24"/>
        </w:rPr>
        <w:t>挥发分</w:t>
      </w:r>
    </w:p>
    <w:p>
      <w:pPr>
        <w:pStyle w:val="6"/>
        <w:spacing w:before="160"/>
        <w:ind w:left="1520"/>
      </w:pPr>
      <w:r>
        <w:rPr>
          <w:rFonts w:ascii="Times New Roman" w:eastAsia="Times New Roman"/>
        </w:rPr>
        <w:t>10</w:t>
      </w:r>
      <w:r>
        <w:t>煤层</w:t>
      </w:r>
    </w:p>
    <w:p>
      <w:pPr>
        <w:pStyle w:val="6"/>
        <w:spacing w:before="159"/>
        <w:ind w:left="1520"/>
      </w:pPr>
      <w:r>
        <w:t>挥发分变化小，原煤挥发分</w:t>
      </w:r>
      <w:r>
        <w:rPr>
          <w:rFonts w:ascii="Times New Roman" w:hAnsi="Times New Roman" w:eastAsia="Times New Roman"/>
        </w:rPr>
        <w:t>31.22%—38.71%</w:t>
      </w:r>
      <w:r>
        <w:t>，平均</w:t>
      </w:r>
      <w:r>
        <w:rPr>
          <w:rFonts w:ascii="Times New Roman" w:hAnsi="Times New Roman" w:eastAsia="Times New Roman"/>
        </w:rPr>
        <w:t>36.88%</w:t>
      </w:r>
      <w:r>
        <w:t>；精煤挥发分为</w:t>
      </w:r>
    </w:p>
    <w:p>
      <w:pPr>
        <w:pStyle w:val="6"/>
        <w:spacing w:before="160"/>
        <w:ind w:left="1040"/>
      </w:pPr>
      <w:r>
        <w:rPr>
          <w:rFonts w:ascii="Times New Roman" w:hAnsi="Times New Roman" w:eastAsia="Times New Roman"/>
        </w:rPr>
        <w:t>32.19%—38.65%</w:t>
      </w:r>
      <w:r>
        <w:t>，平均</w:t>
      </w:r>
      <w:r>
        <w:rPr>
          <w:rFonts w:ascii="Times New Roman" w:hAnsi="Times New Roman" w:eastAsia="Times New Roman"/>
        </w:rPr>
        <w:t>36.35%</w:t>
      </w:r>
      <w:r>
        <w:t>。</w:t>
      </w:r>
    </w:p>
    <w:p>
      <w:pPr>
        <w:pStyle w:val="6"/>
        <w:spacing w:before="158"/>
        <w:ind w:left="1520"/>
      </w:pPr>
      <w:r>
        <w:rPr>
          <w:rFonts w:ascii="Times New Roman" w:eastAsia="Times New Roman"/>
        </w:rPr>
        <w:t>15</w:t>
      </w:r>
      <w:r>
        <w:t>煤层</w:t>
      </w:r>
    </w:p>
    <w:p>
      <w:pPr>
        <w:pStyle w:val="6"/>
        <w:spacing w:before="161" w:line="362" w:lineRule="auto"/>
        <w:ind w:left="1040" w:right="1077" w:firstLine="480"/>
      </w:pPr>
      <w:r>
        <w:t>挥发分变化不大，原煤挥发分</w:t>
      </w:r>
      <w:r>
        <w:rPr>
          <w:rFonts w:ascii="Times New Roman" w:hAnsi="Times New Roman" w:eastAsia="Times New Roman"/>
        </w:rPr>
        <w:t>33.15%—35.73%</w:t>
      </w:r>
      <w:r>
        <w:t>，平均为</w:t>
      </w:r>
      <w:r>
        <w:rPr>
          <w:rFonts w:ascii="Times New Roman" w:hAnsi="Times New Roman" w:eastAsia="Times New Roman"/>
        </w:rPr>
        <w:t>34.18%</w:t>
      </w:r>
      <w:r>
        <w:t>，精煤挥发分为</w:t>
      </w:r>
      <w:r>
        <w:rPr>
          <w:rFonts w:ascii="Times New Roman" w:hAnsi="Times New Roman" w:eastAsia="Times New Roman"/>
        </w:rPr>
        <w:t>31.71%—35.54%</w:t>
      </w:r>
      <w:r>
        <w:t>，平均</w:t>
      </w:r>
      <w:r>
        <w:rPr>
          <w:rFonts w:ascii="Times New Roman" w:hAnsi="Times New Roman" w:eastAsia="Times New Roman"/>
        </w:rPr>
        <w:t>33.51%</w:t>
      </w:r>
      <w:r>
        <w:t>。</w:t>
      </w:r>
    </w:p>
    <w:p>
      <w:pPr>
        <w:pStyle w:val="6"/>
        <w:spacing w:before="5"/>
        <w:ind w:left="1520"/>
      </w:pPr>
      <w:r>
        <w:rPr>
          <w:rFonts w:ascii="Times New Roman" w:eastAsia="Times New Roman"/>
        </w:rPr>
        <w:t>20</w:t>
      </w:r>
      <w:r>
        <w:t>煤层</w:t>
      </w:r>
    </w:p>
    <w:p>
      <w:pPr>
        <w:pStyle w:val="6"/>
        <w:spacing w:before="158"/>
        <w:ind w:left="1520"/>
      </w:pPr>
      <w:r>
        <w:t xml:space="preserve">原 煤 挥 发 分 为 </w:t>
      </w:r>
      <w:r>
        <w:rPr>
          <w:rFonts w:ascii="Times New Roman" w:hAnsi="Times New Roman" w:eastAsia="Times New Roman"/>
        </w:rPr>
        <w:t xml:space="preserve">34.52%—36.79 </w:t>
      </w:r>
      <w:r>
        <w:t xml:space="preserve">％ ， 平 均 </w:t>
      </w:r>
      <w:r>
        <w:rPr>
          <w:rFonts w:ascii="Times New Roman" w:hAnsi="Times New Roman" w:eastAsia="Times New Roman"/>
        </w:rPr>
        <w:t xml:space="preserve">35.68 </w:t>
      </w:r>
      <w:r>
        <w:t>％ ， 精 煤 挥 发 分 为</w:t>
      </w:r>
    </w:p>
    <w:p>
      <w:pPr>
        <w:pStyle w:val="6"/>
        <w:spacing w:before="160"/>
        <w:ind w:left="1040"/>
      </w:pPr>
      <w:r>
        <w:rPr>
          <w:rFonts w:ascii="Times New Roman" w:hAnsi="Times New Roman" w:eastAsia="Times New Roman"/>
        </w:rPr>
        <w:t>35.72%—36.76%</w:t>
      </w:r>
      <w:r>
        <w:t>，平均为</w:t>
      </w:r>
      <w:r>
        <w:rPr>
          <w:rFonts w:ascii="Times New Roman" w:hAnsi="Times New Roman" w:eastAsia="Times New Roman"/>
        </w:rPr>
        <w:t>36.38%</w:t>
      </w:r>
      <w:r>
        <w:t>。</w:t>
      </w:r>
    </w:p>
    <w:p>
      <w:pPr>
        <w:pStyle w:val="6"/>
        <w:spacing w:before="158"/>
        <w:ind w:left="1520"/>
      </w:pPr>
      <w:r>
        <w:rPr>
          <w:rFonts w:ascii="Times New Roman" w:eastAsia="Times New Roman"/>
        </w:rPr>
        <w:t>30</w:t>
      </w:r>
      <w:r>
        <w:t>煤层</w:t>
      </w:r>
    </w:p>
    <w:p>
      <w:pPr>
        <w:pStyle w:val="6"/>
        <w:spacing w:before="161"/>
        <w:ind w:left="1520"/>
      </w:pPr>
      <w:r>
        <w:t xml:space="preserve">原 煤 挥 发 分 为 </w:t>
      </w:r>
      <w:r>
        <w:rPr>
          <w:rFonts w:ascii="Times New Roman" w:hAnsi="Times New Roman" w:eastAsia="Times New Roman"/>
        </w:rPr>
        <w:t xml:space="preserve">33.61%—34.43% </w:t>
      </w:r>
      <w:r>
        <w:t xml:space="preserve">， 平 均 为 </w:t>
      </w:r>
      <w:r>
        <w:rPr>
          <w:rFonts w:ascii="Times New Roman" w:hAnsi="Times New Roman" w:eastAsia="Times New Roman"/>
        </w:rPr>
        <w:t xml:space="preserve">34.13% </w:t>
      </w:r>
      <w:r>
        <w:t>， 精 煤 挥 发 分 为</w:t>
      </w:r>
    </w:p>
    <w:p>
      <w:pPr>
        <w:pStyle w:val="6"/>
        <w:spacing w:before="158"/>
        <w:ind w:left="1040"/>
      </w:pPr>
      <w:r>
        <w:rPr>
          <w:rFonts w:ascii="Times New Roman" w:hAnsi="Times New Roman" w:eastAsia="Times New Roman"/>
        </w:rPr>
        <w:t>34.37%—35.33%</w:t>
      </w:r>
      <w:r>
        <w:t>，平均为</w:t>
      </w:r>
      <w:r>
        <w:rPr>
          <w:rFonts w:ascii="Times New Roman" w:hAnsi="Times New Roman" w:eastAsia="Times New Roman"/>
        </w:rPr>
        <w:t>34.75%</w:t>
      </w:r>
      <w:r>
        <w:t>。</w:t>
      </w:r>
    </w:p>
    <w:p>
      <w:pPr>
        <w:pStyle w:val="13"/>
        <w:numPr>
          <w:ilvl w:val="2"/>
          <w:numId w:val="24"/>
        </w:numPr>
        <w:tabs>
          <w:tab w:val="left" w:pos="2121"/>
        </w:tabs>
        <w:spacing w:before="160" w:after="0" w:line="240" w:lineRule="auto"/>
        <w:ind w:left="2121" w:right="0" w:hanging="601"/>
        <w:jc w:val="left"/>
        <w:rPr>
          <w:sz w:val="24"/>
        </w:rPr>
      </w:pPr>
      <w:r>
        <w:rPr>
          <w:sz w:val="24"/>
        </w:rPr>
        <w:t>有害成分</w:t>
      </w:r>
    </w:p>
    <w:p>
      <w:pPr>
        <w:pStyle w:val="6"/>
        <w:spacing w:before="161"/>
        <w:ind w:left="1520"/>
      </w:pPr>
      <w:r>
        <w:t>①灰分</w:t>
      </w:r>
    </w:p>
    <w:p>
      <w:pPr>
        <w:pStyle w:val="6"/>
        <w:spacing w:before="158"/>
        <w:ind w:left="1520"/>
      </w:pPr>
      <w:r>
        <w:rPr>
          <w:rFonts w:ascii="Times New Roman" w:eastAsia="Times New Roman"/>
        </w:rPr>
        <w:t>10</w:t>
      </w:r>
      <w:r>
        <w:t>煤层</w:t>
      </w:r>
    </w:p>
    <w:p>
      <w:pPr>
        <w:pStyle w:val="6"/>
        <w:spacing w:before="161"/>
        <w:ind w:left="1520"/>
      </w:pPr>
      <w:r>
        <w:t>原煤灰分为</w:t>
      </w:r>
      <w:r>
        <w:rPr>
          <w:rFonts w:ascii="Times New Roman" w:hAnsi="Times New Roman" w:eastAsia="Times New Roman"/>
        </w:rPr>
        <w:t>38.15%—45.17%</w:t>
      </w:r>
      <w:r>
        <w:t>，平均为</w:t>
      </w:r>
      <w:r>
        <w:rPr>
          <w:rFonts w:ascii="Times New Roman" w:hAnsi="Times New Roman" w:eastAsia="Times New Roman"/>
        </w:rPr>
        <w:t>42.12%</w:t>
      </w:r>
      <w:r>
        <w:t>，为高灰分煤，精煤灰分为</w:t>
      </w:r>
    </w:p>
    <w:p>
      <w:pPr>
        <w:pStyle w:val="6"/>
        <w:spacing w:before="158"/>
        <w:ind w:left="1040"/>
      </w:pPr>
      <w:r>
        <w:rPr>
          <w:rFonts w:ascii="Times New Roman" w:hAnsi="Times New Roman" w:eastAsia="Times New Roman"/>
        </w:rPr>
        <w:t>6.97%—23.99%</w:t>
      </w:r>
      <w:r>
        <w:t>，平均</w:t>
      </w:r>
      <w:r>
        <w:rPr>
          <w:rFonts w:ascii="Times New Roman" w:hAnsi="Times New Roman" w:eastAsia="Times New Roman"/>
        </w:rPr>
        <w:t>15.46%</w:t>
      </w:r>
      <w:r>
        <w:t>。</w:t>
      </w:r>
    </w:p>
    <w:p>
      <w:pPr>
        <w:pStyle w:val="6"/>
        <w:spacing w:before="158"/>
        <w:ind w:left="1520"/>
      </w:pPr>
      <w:r>
        <w:rPr>
          <w:rFonts w:ascii="Times New Roman" w:eastAsia="Times New Roman"/>
        </w:rPr>
        <w:t>15</w:t>
      </w:r>
      <w:r>
        <w:t>煤层</w:t>
      </w:r>
    </w:p>
    <w:p>
      <w:pPr>
        <w:pStyle w:val="6"/>
        <w:spacing w:before="160"/>
        <w:ind w:left="1520"/>
      </w:pPr>
      <w:r>
        <w:t xml:space="preserve">原煤灰分 </w:t>
      </w:r>
      <w:r>
        <w:rPr>
          <w:rFonts w:ascii="Times New Roman" w:hAnsi="Times New Roman" w:eastAsia="Times New Roman"/>
        </w:rPr>
        <w:t xml:space="preserve">8.43%—9.71% </w:t>
      </w:r>
      <w:r>
        <w:t xml:space="preserve">， 平均为 </w:t>
      </w:r>
      <w:r>
        <w:rPr>
          <w:rFonts w:ascii="Times New Roman" w:hAnsi="Times New Roman" w:eastAsia="Times New Roman"/>
        </w:rPr>
        <w:t xml:space="preserve">9.16% </w:t>
      </w:r>
      <w:r>
        <w:t>， 为低灰分煤。 精煤灰分为</w:t>
      </w:r>
    </w:p>
    <w:p>
      <w:pPr>
        <w:pStyle w:val="6"/>
        <w:spacing w:before="161"/>
        <w:ind w:left="1040"/>
      </w:pPr>
      <w:r>
        <w:rPr>
          <w:rFonts w:ascii="Times New Roman" w:hAnsi="Times New Roman" w:eastAsia="Times New Roman"/>
        </w:rPr>
        <w:t>5.96%—8.46%</w:t>
      </w:r>
      <w:r>
        <w:t>，平均为</w:t>
      </w:r>
      <w:r>
        <w:rPr>
          <w:rFonts w:ascii="Times New Roman" w:hAnsi="Times New Roman" w:eastAsia="Times New Roman"/>
        </w:rPr>
        <w:t>6.79%</w:t>
      </w:r>
      <w:r>
        <w:t>。</w:t>
      </w:r>
    </w:p>
    <w:p>
      <w:pPr>
        <w:spacing w:after="0"/>
        <w:sectPr>
          <w:pgSz w:w="11910" w:h="16840"/>
          <w:pgMar w:top="1080" w:right="720" w:bottom="1160" w:left="760" w:header="0" w:footer="97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08" name="组合 53"/>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07" name="直线 54"/>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53"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7toIu1AAAAAMBAAAPAAAAAAAAAAEAIAAAACIAAABkcnMvZG93bnJldi54bWxQ&#10;SwECFAAUAAAACACHTuJAb/zjkTQCAAC2BAAADgAAAAAAAAABACAAAAAjAQAAZHJzL2Uyb0RvYy54&#10;bWxQSwUGAAAAAAYABgBZAQAAyQUAAAAA&#10;">
                <o:lock v:ext="edit" aspectratio="f"/>
                <v:line id="直线 54" o:spid="_x0000_s1026" o:spt="20" style="position:absolute;left:0;top:7;height:0;width:8306;" filled="f" stroked="t" coordsize="21600,21600" o:gfxdata="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ybD3L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6"/>
        <w:spacing w:before="5"/>
        <w:rPr>
          <w:sz w:val="19"/>
        </w:rPr>
      </w:pPr>
    </w:p>
    <w:p>
      <w:pPr>
        <w:pStyle w:val="6"/>
        <w:spacing w:before="74"/>
        <w:ind w:left="1520"/>
      </w:pPr>
      <w:r>
        <w:rPr>
          <w:rFonts w:ascii="Times New Roman" w:eastAsia="Times New Roman"/>
        </w:rPr>
        <w:t>20</w:t>
      </w:r>
      <w:r>
        <w:t>煤层</w:t>
      </w:r>
    </w:p>
    <w:p>
      <w:pPr>
        <w:pStyle w:val="6"/>
        <w:spacing w:before="161"/>
        <w:ind w:left="1520"/>
        <w:rPr>
          <w:rFonts w:ascii="Times New Roman" w:eastAsia="Times New Roman"/>
        </w:rPr>
      </w:pPr>
      <w:r>
        <w:t>原煤灰分为</w:t>
      </w:r>
      <w:r>
        <w:rPr>
          <w:rFonts w:ascii="Times New Roman" w:eastAsia="Times New Roman"/>
        </w:rPr>
        <w:t>31.46</w:t>
      </w:r>
      <w:r>
        <w:rPr>
          <w:rFonts w:ascii="Times New Roman" w:eastAsia="Times New Roman"/>
          <w:spacing w:val="-1"/>
        </w:rPr>
        <w:t>%</w:t>
      </w:r>
      <w:r>
        <w:t>－</w:t>
      </w:r>
      <w:r>
        <w:rPr>
          <w:rFonts w:ascii="Times New Roman" w:eastAsia="Times New Roman"/>
        </w:rPr>
        <w:t>36.63</w:t>
      </w:r>
      <w:r>
        <w:rPr>
          <w:spacing w:val="-26"/>
        </w:rPr>
        <w:t>％，平均</w:t>
      </w:r>
      <w:r>
        <w:rPr>
          <w:rFonts w:ascii="Times New Roman" w:eastAsia="Times New Roman"/>
        </w:rPr>
        <w:t>33.19</w:t>
      </w:r>
      <w:r>
        <w:rPr>
          <w:spacing w:val="-17"/>
        </w:rPr>
        <w:t>％，为中高灰分煤。精煤灰分为</w:t>
      </w:r>
      <w:r>
        <w:rPr>
          <w:rFonts w:ascii="Times New Roman" w:eastAsia="Times New Roman"/>
        </w:rPr>
        <w:t>10.61</w:t>
      </w:r>
    </w:p>
    <w:p>
      <w:pPr>
        <w:pStyle w:val="6"/>
        <w:spacing w:before="158"/>
        <w:ind w:left="1040"/>
      </w:pPr>
      <w:r>
        <w:t>－</w:t>
      </w:r>
      <w:r>
        <w:rPr>
          <w:rFonts w:ascii="Times New Roman" w:eastAsia="Times New Roman"/>
        </w:rPr>
        <w:t>11.10</w:t>
      </w:r>
      <w:r>
        <w:t>％，平均为</w:t>
      </w:r>
      <w:r>
        <w:rPr>
          <w:rFonts w:ascii="Times New Roman" w:eastAsia="Times New Roman"/>
        </w:rPr>
        <w:t>10.80</w:t>
      </w:r>
      <w:r>
        <w:t>％。</w:t>
      </w:r>
    </w:p>
    <w:p>
      <w:pPr>
        <w:pStyle w:val="6"/>
        <w:spacing w:before="160"/>
        <w:ind w:left="1520"/>
      </w:pPr>
      <w:r>
        <w:rPr>
          <w:rFonts w:ascii="Times New Roman" w:eastAsia="Times New Roman"/>
        </w:rPr>
        <w:t>30</w:t>
      </w:r>
      <w:r>
        <w:t>煤层</w:t>
      </w:r>
    </w:p>
    <w:p>
      <w:pPr>
        <w:pStyle w:val="6"/>
        <w:spacing w:before="158"/>
        <w:ind w:left="1520"/>
      </w:pPr>
      <w:r>
        <w:rPr>
          <w:spacing w:val="19"/>
        </w:rPr>
        <w:t>原煤灰分为</w:t>
      </w:r>
      <w:r>
        <w:rPr>
          <w:rFonts w:ascii="Times New Roman" w:eastAsia="Times New Roman"/>
          <w:spacing w:val="6"/>
        </w:rPr>
        <w:t>13.63%</w:t>
      </w:r>
      <w:r>
        <w:rPr>
          <w:spacing w:val="6"/>
        </w:rPr>
        <w:t>－</w:t>
      </w:r>
      <w:r>
        <w:rPr>
          <w:rFonts w:ascii="Times New Roman" w:eastAsia="Times New Roman"/>
          <w:spacing w:val="6"/>
        </w:rPr>
        <w:t>18.00</w:t>
      </w:r>
      <w:r>
        <w:rPr>
          <w:spacing w:val="12"/>
        </w:rPr>
        <w:t>％，平均</w:t>
      </w:r>
      <w:r>
        <w:rPr>
          <w:rFonts w:ascii="Times New Roman" w:eastAsia="Times New Roman"/>
        </w:rPr>
        <w:t xml:space="preserve">14.80 </w:t>
      </w:r>
      <w:r>
        <w:rPr>
          <w:spacing w:val="17"/>
        </w:rPr>
        <w:t>％，为低中灰煤，精煤灰分为</w:t>
      </w:r>
    </w:p>
    <w:p>
      <w:pPr>
        <w:pStyle w:val="6"/>
        <w:spacing w:before="161"/>
        <w:ind w:left="1040"/>
      </w:pPr>
      <w:r>
        <w:rPr>
          <w:rFonts w:ascii="Times New Roman" w:hAnsi="Times New Roman" w:eastAsia="Times New Roman"/>
        </w:rPr>
        <w:t>7.34%—8.11</w:t>
      </w:r>
      <w:r>
        <w:t>％，平均为</w:t>
      </w:r>
      <w:r>
        <w:rPr>
          <w:rFonts w:ascii="Times New Roman" w:hAnsi="Times New Roman" w:eastAsia="Times New Roman"/>
        </w:rPr>
        <w:t>7.63</w:t>
      </w:r>
      <w:r>
        <w:t>％。</w:t>
      </w:r>
    </w:p>
    <w:p>
      <w:pPr>
        <w:pStyle w:val="6"/>
        <w:spacing w:before="158"/>
        <w:ind w:left="1520"/>
      </w:pPr>
      <w:r>
        <w:t>②硫、磷含量</w:t>
      </w:r>
    </w:p>
    <w:p>
      <w:pPr>
        <w:pStyle w:val="6"/>
        <w:spacing w:before="161" w:line="364" w:lineRule="auto"/>
        <w:ind w:left="1040" w:right="1075" w:firstLine="480"/>
        <w:jc w:val="both"/>
      </w:pPr>
      <w:r>
        <w:rPr>
          <w:spacing w:val="-4"/>
        </w:rPr>
        <w:t>各煤层硫含量均很低，原煤全硫量含量为</w:t>
      </w:r>
      <w:r>
        <w:rPr>
          <w:rFonts w:ascii="Times New Roman" w:eastAsia="Times New Roman"/>
          <w:spacing w:val="-4"/>
        </w:rPr>
        <w:t>0.12%</w:t>
      </w:r>
      <w:r>
        <w:rPr>
          <w:spacing w:val="-4"/>
        </w:rPr>
        <w:t>－</w:t>
      </w:r>
      <w:r>
        <w:rPr>
          <w:rFonts w:ascii="Times New Roman" w:eastAsia="Times New Roman"/>
          <w:spacing w:val="-4"/>
        </w:rPr>
        <w:t>0.44</w:t>
      </w:r>
      <w:r>
        <w:rPr>
          <w:spacing w:val="-3"/>
        </w:rPr>
        <w:t>％，平均为</w:t>
      </w:r>
      <w:r>
        <w:rPr>
          <w:rFonts w:ascii="Times New Roman" w:eastAsia="Times New Roman"/>
          <w:spacing w:val="-7"/>
        </w:rPr>
        <w:t>0.28</w:t>
      </w:r>
      <w:r>
        <w:rPr>
          <w:spacing w:val="-10"/>
        </w:rPr>
        <w:t>％，属</w:t>
      </w:r>
      <w:r>
        <w:t>特低硫；磷含量</w:t>
      </w:r>
      <w:r>
        <w:rPr>
          <w:rFonts w:ascii="Times New Roman" w:eastAsia="Times New Roman"/>
        </w:rPr>
        <w:t>0.002%-0.015</w:t>
      </w:r>
      <w:r>
        <w:t>％，平均为</w:t>
      </w:r>
      <w:r>
        <w:rPr>
          <w:rFonts w:ascii="Times New Roman" w:eastAsia="Times New Roman"/>
        </w:rPr>
        <w:t>0.0038</w:t>
      </w:r>
      <w:r>
        <w:t>％，属低磷煤。其中：</w:t>
      </w:r>
      <w:r>
        <w:rPr>
          <w:rFonts w:ascii="Times New Roman" w:eastAsia="Times New Roman"/>
        </w:rPr>
        <w:t>10</w:t>
      </w:r>
      <w:r>
        <w:t>号煤层</w:t>
      </w:r>
      <w:r>
        <w:rPr>
          <w:spacing w:val="7"/>
        </w:rPr>
        <w:t>全硫量含量为</w:t>
      </w:r>
      <w:r>
        <w:rPr>
          <w:rFonts w:ascii="Times New Roman" w:eastAsia="Times New Roman"/>
          <w:spacing w:val="3"/>
        </w:rPr>
        <w:t>0.30%</w:t>
      </w:r>
      <w:r>
        <w:rPr>
          <w:spacing w:val="3"/>
        </w:rPr>
        <w:t>－</w:t>
      </w:r>
      <w:r>
        <w:rPr>
          <w:rFonts w:ascii="Times New Roman" w:eastAsia="Times New Roman"/>
          <w:spacing w:val="3"/>
        </w:rPr>
        <w:t>0.36</w:t>
      </w:r>
      <w:r>
        <w:rPr>
          <w:spacing w:val="5"/>
        </w:rPr>
        <w:t>％，平均为</w:t>
      </w:r>
      <w:r>
        <w:rPr>
          <w:rFonts w:ascii="Times New Roman" w:eastAsia="Times New Roman"/>
          <w:spacing w:val="3"/>
        </w:rPr>
        <w:t>0.33</w:t>
      </w:r>
      <w:r>
        <w:rPr>
          <w:spacing w:val="5"/>
        </w:rPr>
        <w:t>％；磷含量</w:t>
      </w:r>
      <w:r>
        <w:rPr>
          <w:rFonts w:ascii="Times New Roman" w:eastAsia="Times New Roman"/>
        </w:rPr>
        <w:t>0.002%-0.015</w:t>
      </w:r>
      <w:r>
        <w:rPr>
          <w:spacing w:val="2"/>
        </w:rPr>
        <w:t>％，平均为</w:t>
      </w:r>
      <w:r>
        <w:rPr>
          <w:rFonts w:ascii="Times New Roman" w:eastAsia="Times New Roman"/>
          <w:spacing w:val="2"/>
        </w:rPr>
        <w:t>0.007</w:t>
      </w:r>
      <w:r>
        <w:rPr>
          <w:rFonts w:ascii="Times New Roman" w:eastAsia="Times New Roman"/>
          <w:spacing w:val="-32"/>
        </w:rPr>
        <w:t xml:space="preserve"> </w:t>
      </w:r>
      <w:r>
        <w:rPr>
          <w:spacing w:val="-21"/>
        </w:rPr>
        <w:t>％ 。</w:t>
      </w:r>
      <w:r>
        <w:rPr>
          <w:rFonts w:ascii="Times New Roman" w:eastAsia="Times New Roman"/>
        </w:rPr>
        <w:t>15</w:t>
      </w:r>
      <w:r>
        <w:rPr>
          <w:rFonts w:ascii="Times New Roman" w:eastAsia="Times New Roman"/>
          <w:spacing w:val="-29"/>
        </w:rPr>
        <w:t xml:space="preserve"> </w:t>
      </w:r>
      <w:r>
        <w:rPr>
          <w:spacing w:val="28"/>
        </w:rPr>
        <w:t>号煤层全硫量含量为</w:t>
      </w:r>
      <w:r>
        <w:rPr>
          <w:rFonts w:ascii="Times New Roman" w:eastAsia="Times New Roman"/>
        </w:rPr>
        <w:t>0.12%</w:t>
      </w:r>
      <w:r>
        <w:rPr>
          <w:rFonts w:ascii="Times New Roman" w:eastAsia="Times New Roman"/>
          <w:spacing w:val="-30"/>
        </w:rPr>
        <w:t xml:space="preserve"> </w:t>
      </w:r>
      <w:r>
        <w:rPr>
          <w:spacing w:val="-46"/>
        </w:rPr>
        <w:t xml:space="preserve">－ </w:t>
      </w:r>
      <w:r>
        <w:rPr>
          <w:rFonts w:ascii="Times New Roman" w:eastAsia="Times New Roman"/>
        </w:rPr>
        <w:t>0.30</w:t>
      </w:r>
      <w:r>
        <w:rPr>
          <w:rFonts w:ascii="Times New Roman" w:eastAsia="Times New Roman"/>
          <w:spacing w:val="-29"/>
        </w:rPr>
        <w:t xml:space="preserve"> </w:t>
      </w:r>
      <w:r>
        <w:rPr>
          <w:spacing w:val="-15"/>
        </w:rPr>
        <w:t>％ ， 平均为</w:t>
      </w:r>
      <w:r>
        <w:rPr>
          <w:rFonts w:ascii="Times New Roman" w:eastAsia="Times New Roman"/>
        </w:rPr>
        <w:t>0.20</w:t>
      </w:r>
      <w:r>
        <w:rPr>
          <w:rFonts w:ascii="Times New Roman" w:eastAsia="Times New Roman"/>
          <w:spacing w:val="-32"/>
        </w:rPr>
        <w:t xml:space="preserve"> </w:t>
      </w:r>
      <w:r>
        <w:rPr>
          <w:spacing w:val="-19"/>
        </w:rPr>
        <w:t>％ ； 磷含量</w:t>
      </w:r>
    </w:p>
    <w:p>
      <w:pPr>
        <w:pStyle w:val="6"/>
        <w:spacing w:line="364" w:lineRule="auto"/>
        <w:ind w:left="1040" w:right="964"/>
      </w:pPr>
      <w:r>
        <w:rPr>
          <w:rFonts w:ascii="Times New Roman" w:eastAsia="Times New Roman"/>
        </w:rPr>
        <w:t>0.002%-0.008</w:t>
      </w:r>
      <w:r>
        <w:t>％，平均为</w:t>
      </w:r>
      <w:r>
        <w:rPr>
          <w:rFonts w:ascii="Times New Roman" w:eastAsia="Times New Roman"/>
        </w:rPr>
        <w:t>0.0032</w:t>
      </w:r>
      <w:r>
        <w:t>％。</w:t>
      </w:r>
      <w:r>
        <w:rPr>
          <w:rFonts w:ascii="Times New Roman" w:eastAsia="Times New Roman"/>
        </w:rPr>
        <w:t>20</w:t>
      </w:r>
      <w:r>
        <w:t>号煤层全硫量含量为</w:t>
      </w:r>
      <w:r>
        <w:rPr>
          <w:rFonts w:ascii="Times New Roman" w:eastAsia="Times New Roman"/>
        </w:rPr>
        <w:t>0.16%</w:t>
      </w:r>
      <w:r>
        <w:t>－</w:t>
      </w:r>
      <w:r>
        <w:rPr>
          <w:rFonts w:ascii="Times New Roman" w:eastAsia="Times New Roman"/>
        </w:rPr>
        <w:t>0.36</w:t>
      </w:r>
      <w:r>
        <w:t>％，平均为</w:t>
      </w:r>
      <w:r>
        <w:rPr>
          <w:rFonts w:ascii="Times New Roman" w:eastAsia="Times New Roman"/>
        </w:rPr>
        <w:t>0.25</w:t>
      </w:r>
      <w:r>
        <w:t>％；磷含量</w:t>
      </w:r>
      <w:r>
        <w:rPr>
          <w:rFonts w:ascii="Times New Roman" w:eastAsia="Times New Roman"/>
        </w:rPr>
        <w:t>0.002</w:t>
      </w:r>
      <w:r>
        <w:t>。</w:t>
      </w:r>
      <w:r>
        <w:rPr>
          <w:rFonts w:ascii="Times New Roman" w:eastAsia="Times New Roman"/>
        </w:rPr>
        <w:t>30</w:t>
      </w:r>
      <w:r>
        <w:t>号煤层全硫量含量为</w:t>
      </w:r>
      <w:r>
        <w:rPr>
          <w:rFonts w:ascii="Times New Roman" w:eastAsia="Times New Roman"/>
        </w:rPr>
        <w:t>0.40%</w:t>
      </w:r>
      <w:r>
        <w:t>－</w:t>
      </w:r>
      <w:r>
        <w:rPr>
          <w:rFonts w:ascii="Times New Roman" w:eastAsia="Times New Roman"/>
        </w:rPr>
        <w:t>0.44</w:t>
      </w:r>
      <w:r>
        <w:t>％，平均为</w:t>
      </w:r>
      <w:r>
        <w:rPr>
          <w:rFonts w:ascii="Times New Roman" w:eastAsia="Times New Roman"/>
        </w:rPr>
        <w:t>0.42</w:t>
      </w:r>
      <w:r>
        <w:t>％； 磷含量</w:t>
      </w:r>
      <w:r>
        <w:rPr>
          <w:rFonts w:ascii="Times New Roman" w:eastAsia="Times New Roman"/>
        </w:rPr>
        <w:t>0.002%</w:t>
      </w:r>
      <w:r>
        <w:t>。氯磷含量</w:t>
      </w:r>
      <w:r>
        <w:rPr>
          <w:rFonts w:ascii="Times New Roman" w:eastAsia="Times New Roman"/>
        </w:rPr>
        <w:t>0.004</w:t>
      </w:r>
      <w:r>
        <w:t>％，平均为</w:t>
      </w:r>
      <w:r>
        <w:rPr>
          <w:rFonts w:ascii="Times New Roman" w:eastAsia="Times New Roman"/>
        </w:rPr>
        <w:t>0.004</w:t>
      </w:r>
      <w:r>
        <w:t>％，属特低氯煤。</w:t>
      </w:r>
    </w:p>
    <w:p>
      <w:pPr>
        <w:pStyle w:val="13"/>
        <w:numPr>
          <w:ilvl w:val="2"/>
          <w:numId w:val="24"/>
        </w:numPr>
        <w:tabs>
          <w:tab w:val="left" w:pos="2121"/>
        </w:tabs>
        <w:spacing w:before="0" w:after="0" w:line="307" w:lineRule="exact"/>
        <w:ind w:left="2121" w:right="0" w:hanging="601"/>
        <w:jc w:val="left"/>
        <w:rPr>
          <w:sz w:val="24"/>
        </w:rPr>
      </w:pPr>
      <w:r>
        <w:rPr>
          <w:sz w:val="24"/>
        </w:rPr>
        <w:t>发热量</w:t>
      </w:r>
    </w:p>
    <w:p>
      <w:pPr>
        <w:pStyle w:val="6"/>
        <w:spacing w:before="155" w:line="364" w:lineRule="auto"/>
        <w:ind w:left="1040" w:right="1081" w:firstLine="480"/>
      </w:pPr>
      <w:r>
        <w:t>《双鸭山市岭东区顺达煤井生产补充勘探地质报告》</w:t>
      </w:r>
      <w:r>
        <w:rPr>
          <w:rFonts w:ascii="Times New Roman" w:eastAsia="Times New Roman"/>
        </w:rPr>
        <w:t>5</w:t>
      </w:r>
      <w:r>
        <w:t>个钻孔共做了</w:t>
      </w:r>
      <w:r>
        <w:rPr>
          <w:rFonts w:ascii="Times New Roman" w:eastAsia="Times New Roman"/>
        </w:rPr>
        <w:t>17</w:t>
      </w:r>
      <w:r>
        <w:t>个发热量测试，煤的发热量与灰分负相关，灰分越大，煤的发热量越低。</w:t>
      </w:r>
    </w:p>
    <w:p>
      <w:pPr>
        <w:pStyle w:val="6"/>
        <w:spacing w:line="306" w:lineRule="exact"/>
        <w:ind w:left="1520"/>
      </w:pPr>
      <w:r>
        <w:rPr>
          <w:rFonts w:ascii="Times New Roman" w:eastAsia="Times New Roman"/>
        </w:rPr>
        <w:t>10</w:t>
      </w:r>
      <w:r>
        <w:t>煤层</w:t>
      </w:r>
      <w:r>
        <w:rPr>
          <w:rFonts w:ascii="Times New Roman" w:eastAsia="Times New Roman"/>
        </w:rPr>
        <w:t>Qnet.ar</w:t>
      </w:r>
      <w:r>
        <w:t>为</w:t>
      </w:r>
      <w:r>
        <w:rPr>
          <w:rFonts w:ascii="Times New Roman" w:eastAsia="Times New Roman"/>
        </w:rPr>
        <w:t>17.39</w:t>
      </w:r>
      <w:r>
        <w:t>－</w:t>
      </w:r>
      <w:r>
        <w:rPr>
          <w:rFonts w:ascii="Times New Roman" w:eastAsia="Times New Roman"/>
        </w:rPr>
        <w:t>20.90 MJ/kg</w:t>
      </w:r>
      <w:r>
        <w:t>，平均</w:t>
      </w:r>
      <w:r>
        <w:rPr>
          <w:rFonts w:ascii="Times New Roman" w:eastAsia="Times New Roman"/>
        </w:rPr>
        <w:t>19.00MJ/kg</w:t>
      </w:r>
      <w:r>
        <w:t>。属于中热值煤。</w:t>
      </w:r>
    </w:p>
    <w:p>
      <w:pPr>
        <w:pStyle w:val="6"/>
        <w:spacing w:before="161"/>
        <w:ind w:left="1520"/>
      </w:pPr>
      <w:r>
        <w:rPr>
          <w:rFonts w:ascii="Times New Roman" w:hAnsi="Times New Roman" w:eastAsia="Times New Roman"/>
          <w:spacing w:val="-1"/>
        </w:rPr>
        <w:t>15</w:t>
      </w:r>
      <w:r>
        <w:rPr>
          <w:spacing w:val="-1"/>
        </w:rPr>
        <w:t>煤层</w:t>
      </w:r>
      <w:r>
        <w:rPr>
          <w:rFonts w:ascii="Times New Roman" w:hAnsi="Times New Roman" w:eastAsia="Times New Roman"/>
          <w:spacing w:val="-1"/>
        </w:rPr>
        <w:t>Qnet.ar</w:t>
      </w:r>
      <w:r>
        <w:t>为</w:t>
      </w:r>
      <w:r>
        <w:rPr>
          <w:rFonts w:ascii="Times New Roman" w:hAnsi="Times New Roman" w:eastAsia="Times New Roman"/>
        </w:rPr>
        <w:t>30.28—31.12MJ/kg</w:t>
      </w:r>
      <w:r>
        <w:t>，平均</w:t>
      </w:r>
      <w:r>
        <w:rPr>
          <w:rFonts w:ascii="Times New Roman" w:hAnsi="Times New Roman" w:eastAsia="Times New Roman"/>
        </w:rPr>
        <w:t>30.82MJ/kg</w:t>
      </w:r>
      <w:r>
        <w:t>。属于特高热值煤。</w:t>
      </w:r>
    </w:p>
    <w:p>
      <w:pPr>
        <w:pStyle w:val="6"/>
        <w:spacing w:before="158"/>
        <w:ind w:left="1520"/>
      </w:pPr>
      <w:r>
        <w:rPr>
          <w:rFonts w:ascii="Times New Roman" w:hAnsi="Times New Roman" w:eastAsia="Times New Roman"/>
          <w:spacing w:val="-1"/>
        </w:rPr>
        <w:t>20</w:t>
      </w:r>
      <w:r>
        <w:rPr>
          <w:spacing w:val="-1"/>
        </w:rPr>
        <w:t>煤层</w:t>
      </w:r>
      <w:r>
        <w:rPr>
          <w:rFonts w:ascii="Times New Roman" w:hAnsi="Times New Roman" w:eastAsia="Times New Roman"/>
          <w:spacing w:val="-1"/>
        </w:rPr>
        <w:t>Qnet.ar</w:t>
      </w:r>
      <w:r>
        <w:t>为</w:t>
      </w:r>
      <w:r>
        <w:rPr>
          <w:rFonts w:ascii="Times New Roman" w:hAnsi="Times New Roman" w:eastAsia="Times New Roman"/>
        </w:rPr>
        <w:t>21.25—23.18MJ/kg</w:t>
      </w:r>
      <w:r>
        <w:t>，平均</w:t>
      </w:r>
      <w:r>
        <w:rPr>
          <w:rFonts w:ascii="Times New Roman" w:hAnsi="Times New Roman" w:eastAsia="Times New Roman"/>
        </w:rPr>
        <w:t>22.38MJ/kg</w:t>
      </w:r>
      <w:r>
        <w:t>。属于中高热值煤。</w:t>
      </w:r>
    </w:p>
    <w:p>
      <w:pPr>
        <w:pStyle w:val="6"/>
        <w:spacing w:before="160"/>
        <w:ind w:left="1520"/>
      </w:pPr>
      <w:r>
        <w:rPr>
          <w:rFonts w:ascii="Times New Roman" w:hAnsi="Times New Roman" w:eastAsia="Times New Roman"/>
          <w:spacing w:val="-1"/>
        </w:rPr>
        <w:t>30</w:t>
      </w:r>
      <w:r>
        <w:rPr>
          <w:spacing w:val="-1"/>
        </w:rPr>
        <w:t>煤层</w:t>
      </w:r>
      <w:r>
        <w:rPr>
          <w:rFonts w:ascii="Times New Roman" w:hAnsi="Times New Roman" w:eastAsia="Times New Roman"/>
          <w:spacing w:val="-1"/>
        </w:rPr>
        <w:t>Qnet.ar</w:t>
      </w:r>
      <w:r>
        <w:t>为</w:t>
      </w:r>
      <w:r>
        <w:rPr>
          <w:rFonts w:ascii="Times New Roman" w:hAnsi="Times New Roman" w:eastAsia="Times New Roman"/>
        </w:rPr>
        <w:t>27.80—29.43MJ/kg</w:t>
      </w:r>
      <w:r>
        <w:t>，平均</w:t>
      </w:r>
      <w:r>
        <w:rPr>
          <w:rFonts w:ascii="Times New Roman" w:hAnsi="Times New Roman" w:eastAsia="Times New Roman"/>
        </w:rPr>
        <w:t>28.70MJ/kg</w:t>
      </w:r>
      <w:r>
        <w:t>。属于特高热值煤。</w:t>
      </w:r>
    </w:p>
    <w:p>
      <w:pPr>
        <w:pStyle w:val="13"/>
        <w:numPr>
          <w:ilvl w:val="2"/>
          <w:numId w:val="24"/>
        </w:numPr>
        <w:tabs>
          <w:tab w:val="left" w:pos="2121"/>
        </w:tabs>
        <w:spacing w:before="158" w:after="0" w:line="240" w:lineRule="auto"/>
        <w:ind w:left="2121" w:right="0" w:hanging="601"/>
        <w:jc w:val="left"/>
        <w:rPr>
          <w:sz w:val="24"/>
        </w:rPr>
      </w:pPr>
      <w:r>
        <w:rPr>
          <w:sz w:val="24"/>
        </w:rPr>
        <w:t>粘结指数</w:t>
      </w:r>
    </w:p>
    <w:p>
      <w:pPr>
        <w:pStyle w:val="6"/>
        <w:spacing w:before="161"/>
        <w:ind w:left="1520"/>
      </w:pPr>
      <w:r>
        <w:rPr>
          <w:rFonts w:ascii="Times New Roman" w:hAnsi="Times New Roman" w:eastAsia="Times New Roman"/>
        </w:rPr>
        <w:t>10</w:t>
      </w:r>
      <w:r>
        <w:t>煤层粘结指数</w:t>
      </w:r>
      <w:r>
        <w:rPr>
          <w:rFonts w:ascii="Times New Roman" w:hAnsi="Times New Roman" w:eastAsia="Times New Roman"/>
        </w:rPr>
        <w:t>79—87</w:t>
      </w:r>
      <w:r>
        <w:t>，平均</w:t>
      </w:r>
      <w:r>
        <w:rPr>
          <w:rFonts w:ascii="Times New Roman" w:hAnsi="Times New Roman" w:eastAsia="Times New Roman"/>
        </w:rPr>
        <w:t>82.33</w:t>
      </w:r>
      <w:r>
        <w:t>。</w:t>
      </w:r>
      <w:r>
        <w:rPr>
          <w:rFonts w:ascii="Times New Roman" w:hAnsi="Times New Roman" w:eastAsia="Times New Roman"/>
        </w:rPr>
        <w:t>15</w:t>
      </w:r>
      <w:r>
        <w:t>煤层粘结指数</w:t>
      </w:r>
      <w:r>
        <w:rPr>
          <w:rFonts w:ascii="Times New Roman" w:hAnsi="Times New Roman" w:eastAsia="Times New Roman"/>
        </w:rPr>
        <w:t>79—89</w:t>
      </w:r>
      <w:r>
        <w:t>，平均</w:t>
      </w:r>
      <w:r>
        <w:rPr>
          <w:rFonts w:ascii="Times New Roman" w:hAnsi="Times New Roman" w:eastAsia="Times New Roman"/>
        </w:rPr>
        <w:t>84.75</w:t>
      </w:r>
      <w:r>
        <w:t>。</w:t>
      </w:r>
    </w:p>
    <w:p>
      <w:pPr>
        <w:pStyle w:val="6"/>
        <w:spacing w:before="160"/>
        <w:ind w:left="1040"/>
      </w:pPr>
      <w:r>
        <w:rPr>
          <w:rFonts w:ascii="Times New Roman" w:hAnsi="Times New Roman" w:eastAsia="Times New Roman"/>
        </w:rPr>
        <w:t>20</w:t>
      </w:r>
      <w:r>
        <w:t>煤层粘结指数。</w:t>
      </w:r>
      <w:r>
        <w:rPr>
          <w:rFonts w:ascii="Times New Roman" w:hAnsi="Times New Roman" w:eastAsia="Times New Roman"/>
        </w:rPr>
        <w:t>30</w:t>
      </w:r>
      <w:r>
        <w:t>煤层粘结指数</w:t>
      </w:r>
      <w:r>
        <w:rPr>
          <w:rFonts w:ascii="Times New Roman" w:hAnsi="Times New Roman" w:eastAsia="Times New Roman"/>
        </w:rPr>
        <w:t>84—88</w:t>
      </w:r>
      <w:r>
        <w:t>，平均</w:t>
      </w:r>
      <w:r>
        <w:rPr>
          <w:rFonts w:ascii="Times New Roman" w:hAnsi="Times New Roman" w:eastAsia="Times New Roman"/>
        </w:rPr>
        <w:t>86</w:t>
      </w:r>
      <w:r>
        <w:t>。</w:t>
      </w:r>
    </w:p>
    <w:p>
      <w:pPr>
        <w:pStyle w:val="13"/>
        <w:numPr>
          <w:ilvl w:val="2"/>
          <w:numId w:val="24"/>
        </w:numPr>
        <w:tabs>
          <w:tab w:val="left" w:pos="2121"/>
        </w:tabs>
        <w:spacing w:before="159" w:after="0" w:line="240" w:lineRule="auto"/>
        <w:ind w:left="2121" w:right="0" w:hanging="601"/>
        <w:jc w:val="left"/>
        <w:rPr>
          <w:sz w:val="24"/>
        </w:rPr>
      </w:pPr>
      <w:r>
        <w:rPr>
          <w:sz w:val="24"/>
        </w:rPr>
        <w:t>元素分析</w:t>
      </w:r>
    </w:p>
    <w:p>
      <w:pPr>
        <w:pStyle w:val="6"/>
        <w:spacing w:before="158" w:line="364" w:lineRule="auto"/>
        <w:ind w:left="1040" w:right="997" w:firstLine="480"/>
      </w:pPr>
      <w:r>
        <w:t>共做了</w:t>
      </w:r>
      <w:r>
        <w:rPr>
          <w:rFonts w:ascii="Times New Roman" w:eastAsia="Times New Roman"/>
        </w:rPr>
        <w:t>5</w:t>
      </w:r>
      <w:r>
        <w:t>个层点，氢（</w:t>
      </w:r>
      <w:r>
        <w:rPr>
          <w:rFonts w:ascii="Times New Roman" w:eastAsia="Times New Roman"/>
        </w:rPr>
        <w:t>Hr</w:t>
      </w:r>
      <w:r>
        <w:t>）</w:t>
      </w:r>
      <w:r>
        <w:rPr>
          <w:rFonts w:ascii="Times New Roman" w:eastAsia="Times New Roman"/>
        </w:rPr>
        <w:t>10</w:t>
      </w:r>
      <w:r>
        <w:t>煤层含量为</w:t>
      </w:r>
      <w:r>
        <w:rPr>
          <w:rFonts w:ascii="Times New Roman" w:eastAsia="Times New Roman"/>
        </w:rPr>
        <w:t>5.69%</w:t>
      </w:r>
      <w:r>
        <w:t>－</w:t>
      </w:r>
      <w:r>
        <w:rPr>
          <w:rFonts w:ascii="Times New Roman" w:eastAsia="Times New Roman"/>
        </w:rPr>
        <w:t>5.71</w:t>
      </w:r>
      <w:r>
        <w:t>％，氢（</w:t>
      </w:r>
      <w:r>
        <w:rPr>
          <w:rFonts w:ascii="Times New Roman" w:eastAsia="Times New Roman"/>
        </w:rPr>
        <w:t>Hr</w:t>
      </w:r>
      <w:r>
        <w:t>）</w:t>
      </w:r>
      <w:r>
        <w:rPr>
          <w:rFonts w:ascii="Times New Roman" w:eastAsia="Times New Roman"/>
        </w:rPr>
        <w:t>20</w:t>
      </w:r>
      <w:r>
        <w:t>煤层含量为</w:t>
      </w:r>
      <w:r>
        <w:rPr>
          <w:rFonts w:ascii="Times New Roman" w:eastAsia="Times New Roman"/>
        </w:rPr>
        <w:t>5.57%</w:t>
      </w:r>
      <w:r>
        <w:t>－</w:t>
      </w:r>
      <w:r>
        <w:rPr>
          <w:rFonts w:ascii="Times New Roman" w:eastAsia="Times New Roman"/>
        </w:rPr>
        <w:t>5.68</w:t>
      </w:r>
      <w:r>
        <w:t>％，从碳氢含量变化表明，煤的元素组成稳定。</w:t>
      </w:r>
    </w:p>
    <w:p>
      <w:pPr>
        <w:pStyle w:val="6"/>
        <w:spacing w:line="306" w:lineRule="exact"/>
        <w:ind w:left="1520"/>
      </w:pPr>
      <w:r>
        <w:rPr>
          <w:rFonts w:ascii="Times New Roman" w:eastAsia="Times New Roman"/>
        </w:rPr>
        <w:t>3</w:t>
      </w:r>
      <w:r>
        <w:t>、煤类</w:t>
      </w:r>
    </w:p>
    <w:p>
      <w:pPr>
        <w:pStyle w:val="6"/>
        <w:spacing w:before="160" w:line="364" w:lineRule="auto"/>
        <w:ind w:left="1040" w:right="1075" w:firstLine="480"/>
      </w:pPr>
      <w:r>
        <w:t>根据中国煤炭分类国家标准</w:t>
      </w:r>
      <w:r>
        <w:rPr>
          <w:rFonts w:ascii="Times New Roman" w:eastAsia="Times New Roman"/>
        </w:rPr>
        <w:t>(GB5751-2009)</w:t>
      </w:r>
      <w:r>
        <w:t>，确定本区煤种为气煤和</w:t>
      </w:r>
      <w:r>
        <w:rPr>
          <w:rFonts w:ascii="Times New Roman" w:eastAsia="Times New Roman"/>
        </w:rPr>
        <w:t>1/3</w:t>
      </w:r>
      <w:r>
        <w:t>焦煤。其中：</w:t>
      </w:r>
      <w:r>
        <w:rPr>
          <w:rFonts w:ascii="Times New Roman" w:eastAsia="Times New Roman"/>
        </w:rPr>
        <w:t>10</w:t>
      </w:r>
      <w:r>
        <w:t>号煤层为气煤和</w:t>
      </w:r>
      <w:r>
        <w:rPr>
          <w:rFonts w:ascii="Times New Roman" w:eastAsia="Times New Roman"/>
        </w:rPr>
        <w:t>1/3</w:t>
      </w:r>
      <w:r>
        <w:t>焦煤，其它各煤层均为</w:t>
      </w:r>
      <w:r>
        <w:rPr>
          <w:rFonts w:ascii="Times New Roman" w:eastAsia="Times New Roman"/>
        </w:rPr>
        <w:t>1/3</w:t>
      </w:r>
      <w:r>
        <w:t>焦煤。</w:t>
      </w:r>
    </w:p>
    <w:p>
      <w:pPr>
        <w:spacing w:after="0" w:line="364" w:lineRule="auto"/>
        <w:sectPr>
          <w:pgSz w:w="11910" w:h="16840"/>
          <w:pgMar w:top="1080" w:right="720" w:bottom="1160" w:left="760" w:header="0" w:footer="97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10" name="组合 55"/>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09" name="直线 56"/>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55"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7toIu1AAAAAMBAAAPAAAAAAAAAAEAIAAAACIAAABkcnMvZG93bnJldi54bWxQ&#10;SwECFAAUAAAACACHTuJAPLTLdzQCAAC2BAAADgAAAAAAAAABACAAAAAjAQAAZHJzL2Uyb0RvYy54&#10;bWxQSwUGAAAAAAYABgBZAQAAyQUAAAAA&#10;">
                <o:lock v:ext="edit" aspectratio="f"/>
                <v:line id="直线 56" o:spid="_x0000_s1026" o:spt="20" style="position:absolute;left:0;top:7;height:0;width:8306;" filled="f" stroked="t" coordsize="21600,21600" o:gfxdata="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fXyNb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6"/>
        <w:spacing w:before="5"/>
        <w:rPr>
          <w:sz w:val="19"/>
        </w:rPr>
      </w:pPr>
    </w:p>
    <w:p>
      <w:pPr>
        <w:pStyle w:val="6"/>
        <w:spacing w:before="74" w:line="364" w:lineRule="auto"/>
        <w:ind w:left="1040" w:right="997" w:firstLine="480"/>
      </w:pPr>
      <w:r>
        <w:t>综上所述，本区煤为低灰分、特低硫、低磷、中</w:t>
      </w:r>
      <w:r>
        <w:rPr>
          <w:rFonts w:ascii="Times New Roman" w:eastAsia="Times New Roman"/>
        </w:rPr>
        <w:t>-</w:t>
      </w:r>
      <w:r>
        <w:t>中高</w:t>
      </w:r>
      <w:r>
        <w:rPr>
          <w:rFonts w:ascii="Times New Roman" w:eastAsia="Times New Roman"/>
        </w:rPr>
        <w:t>-</w:t>
      </w:r>
      <w:r>
        <w:t>特高发热量的</w:t>
      </w:r>
      <w:r>
        <w:rPr>
          <w:rFonts w:ascii="Times New Roman" w:eastAsia="Times New Roman"/>
        </w:rPr>
        <w:t>1/3</w:t>
      </w:r>
      <w:r>
        <w:t>焦煤为主，</w:t>
      </w:r>
      <w:r>
        <w:rPr>
          <w:rFonts w:ascii="Times New Roman" w:eastAsia="Times New Roman"/>
        </w:rPr>
        <w:t>10</w:t>
      </w:r>
      <w:r>
        <w:t>煤层局部有气煤。</w:t>
      </w:r>
    </w:p>
    <w:p>
      <w:pPr>
        <w:pStyle w:val="6"/>
        <w:spacing w:line="306" w:lineRule="exact"/>
        <w:ind w:left="1520"/>
      </w:pPr>
      <w:r>
        <w:t>各煤层化学性质见表</w:t>
      </w:r>
      <w:r>
        <w:rPr>
          <w:rFonts w:ascii="Times New Roman" w:eastAsia="Times New Roman"/>
        </w:rPr>
        <w:t>3.3-10</w:t>
      </w:r>
      <w:r>
        <w:t>。</w:t>
      </w:r>
    </w:p>
    <w:p>
      <w:pPr>
        <w:pStyle w:val="5"/>
        <w:tabs>
          <w:tab w:val="left" w:pos="1558"/>
        </w:tabs>
        <w:spacing w:before="161"/>
        <w:ind w:left="457"/>
        <w:jc w:val="center"/>
      </w:pPr>
      <w:r>
        <w:t>表</w:t>
      </w:r>
      <w:r>
        <w:rPr>
          <w:rFonts w:ascii="Times New Roman" w:eastAsia="Times New Roman"/>
        </w:rPr>
        <w:t>3.3-10</w:t>
      </w:r>
      <w:r>
        <w:rPr>
          <w:rFonts w:ascii="Times New Roman" w:eastAsia="Times New Roman"/>
        </w:rPr>
        <w:tab/>
      </w:r>
      <w:r>
        <w:t>双鸭山市大顺煤矿煤质主要指标统计一览表</w:t>
      </w:r>
    </w:p>
    <w:p>
      <w:pPr>
        <w:pStyle w:val="6"/>
        <w:spacing w:before="4"/>
        <w:rPr>
          <w:b/>
          <w:sz w:val="12"/>
        </w:rPr>
      </w:pPr>
    </w:p>
    <w:tbl>
      <w:tblPr>
        <w:tblStyle w:val="10"/>
        <w:tblW w:w="0" w:type="auto"/>
        <w:tblInd w:w="4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1"/>
        <w:gridCol w:w="1275"/>
        <w:gridCol w:w="1276"/>
        <w:gridCol w:w="1134"/>
        <w:gridCol w:w="1276"/>
        <w:gridCol w:w="992"/>
        <w:gridCol w:w="980"/>
        <w:gridCol w:w="1005"/>
        <w:gridCol w:w="9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9" w:hRule="atLeast"/>
        </w:trPr>
        <w:tc>
          <w:tcPr>
            <w:tcW w:w="581" w:type="dxa"/>
          </w:tcPr>
          <w:p>
            <w:pPr>
              <w:pStyle w:val="14"/>
              <w:jc w:val="left"/>
              <w:rPr>
                <w:b/>
                <w:sz w:val="22"/>
              </w:rPr>
            </w:pPr>
          </w:p>
          <w:p>
            <w:pPr>
              <w:pStyle w:val="14"/>
              <w:spacing w:line="278" w:lineRule="auto"/>
              <w:ind w:left="184" w:right="175"/>
              <w:jc w:val="left"/>
              <w:rPr>
                <w:sz w:val="21"/>
              </w:rPr>
            </w:pPr>
            <w:r>
              <w:rPr>
                <w:sz w:val="21"/>
              </w:rPr>
              <w:t>煤层</w:t>
            </w:r>
          </w:p>
        </w:tc>
        <w:tc>
          <w:tcPr>
            <w:tcW w:w="1275" w:type="dxa"/>
          </w:tcPr>
          <w:p>
            <w:pPr>
              <w:pStyle w:val="14"/>
              <w:jc w:val="left"/>
              <w:rPr>
                <w:b/>
                <w:sz w:val="22"/>
              </w:rPr>
            </w:pPr>
          </w:p>
          <w:p>
            <w:pPr>
              <w:pStyle w:val="14"/>
              <w:spacing w:before="156"/>
              <w:ind w:left="186"/>
              <w:jc w:val="left"/>
              <w:rPr>
                <w:rFonts w:ascii="Times New Roman" w:eastAsia="Times New Roman"/>
                <w:sz w:val="21"/>
              </w:rPr>
            </w:pPr>
            <w:r>
              <w:rPr>
                <w:sz w:val="21"/>
              </w:rPr>
              <w:t xml:space="preserve">原煤 </w:t>
            </w:r>
            <w:r>
              <w:rPr>
                <w:rFonts w:ascii="Times New Roman" w:eastAsia="Times New Roman"/>
                <w:sz w:val="21"/>
              </w:rPr>
              <w:t>Ad%</w:t>
            </w:r>
          </w:p>
        </w:tc>
        <w:tc>
          <w:tcPr>
            <w:tcW w:w="1276" w:type="dxa"/>
          </w:tcPr>
          <w:p>
            <w:pPr>
              <w:pStyle w:val="14"/>
              <w:jc w:val="left"/>
              <w:rPr>
                <w:b/>
                <w:sz w:val="22"/>
              </w:rPr>
            </w:pPr>
          </w:p>
          <w:p>
            <w:pPr>
              <w:pStyle w:val="14"/>
              <w:spacing w:before="156"/>
              <w:ind w:left="108"/>
              <w:jc w:val="left"/>
              <w:rPr>
                <w:rFonts w:ascii="Times New Roman" w:eastAsia="Times New Roman"/>
                <w:sz w:val="21"/>
              </w:rPr>
            </w:pPr>
            <w:r>
              <w:rPr>
                <w:sz w:val="21"/>
              </w:rPr>
              <w:t>浮煤</w:t>
            </w:r>
            <w:r>
              <w:rPr>
                <w:rFonts w:ascii="Times New Roman" w:eastAsia="Times New Roman"/>
                <w:sz w:val="21"/>
              </w:rPr>
              <w:t>Vdaf%</w:t>
            </w:r>
          </w:p>
        </w:tc>
        <w:tc>
          <w:tcPr>
            <w:tcW w:w="1134" w:type="dxa"/>
          </w:tcPr>
          <w:p>
            <w:pPr>
              <w:pStyle w:val="14"/>
              <w:jc w:val="left"/>
              <w:rPr>
                <w:b/>
                <w:sz w:val="22"/>
              </w:rPr>
            </w:pPr>
          </w:p>
          <w:p>
            <w:pPr>
              <w:pStyle w:val="14"/>
              <w:ind w:left="109"/>
              <w:jc w:val="left"/>
              <w:rPr>
                <w:sz w:val="21"/>
              </w:rPr>
            </w:pPr>
            <w:r>
              <w:rPr>
                <w:sz w:val="21"/>
              </w:rPr>
              <w:t>全硫</w:t>
            </w:r>
            <w:r>
              <w:rPr>
                <w:spacing w:val="-5"/>
                <w:sz w:val="21"/>
              </w:rPr>
              <w:t>（</w:t>
            </w:r>
            <w:r>
              <w:rPr>
                <w:rFonts w:ascii="Times New Roman" w:eastAsia="Times New Roman"/>
                <w:spacing w:val="-5"/>
                <w:sz w:val="21"/>
              </w:rPr>
              <w:t>St</w:t>
            </w:r>
            <w:r>
              <w:rPr>
                <w:spacing w:val="-5"/>
                <w:sz w:val="21"/>
              </w:rPr>
              <w:t>，</w:t>
            </w:r>
          </w:p>
          <w:p>
            <w:pPr>
              <w:pStyle w:val="14"/>
              <w:spacing w:before="43"/>
              <w:ind w:left="60" w:right="53"/>
              <w:rPr>
                <w:sz w:val="21"/>
              </w:rPr>
            </w:pPr>
            <w:r>
              <w:rPr>
                <w:rFonts w:ascii="Times New Roman" w:eastAsia="Times New Roman"/>
                <w:sz w:val="21"/>
              </w:rPr>
              <w:t>d</w:t>
            </w:r>
            <w:r>
              <w:rPr>
                <w:sz w:val="21"/>
              </w:rPr>
              <w:t>）</w:t>
            </w:r>
          </w:p>
        </w:tc>
        <w:tc>
          <w:tcPr>
            <w:tcW w:w="1276" w:type="dxa"/>
          </w:tcPr>
          <w:p>
            <w:pPr>
              <w:pStyle w:val="14"/>
              <w:spacing w:before="1"/>
              <w:jc w:val="left"/>
              <w:rPr>
                <w:b/>
                <w:sz w:val="23"/>
              </w:rPr>
            </w:pPr>
          </w:p>
          <w:p>
            <w:pPr>
              <w:pStyle w:val="14"/>
              <w:spacing w:line="309" w:lineRule="auto"/>
              <w:ind w:left="370" w:right="296" w:hanging="44"/>
              <w:jc w:val="left"/>
              <w:rPr>
                <w:rFonts w:ascii="Times New Roman"/>
                <w:sz w:val="21"/>
              </w:rPr>
            </w:pPr>
            <w:r>
              <w:rPr>
                <w:rFonts w:ascii="Times New Roman"/>
                <w:sz w:val="21"/>
              </w:rPr>
              <w:t>Qnet,ar MJ/kg</w:t>
            </w:r>
          </w:p>
        </w:tc>
        <w:tc>
          <w:tcPr>
            <w:tcW w:w="992" w:type="dxa"/>
          </w:tcPr>
          <w:p>
            <w:pPr>
              <w:pStyle w:val="14"/>
              <w:jc w:val="left"/>
              <w:rPr>
                <w:b/>
                <w:sz w:val="22"/>
              </w:rPr>
            </w:pPr>
          </w:p>
          <w:p>
            <w:pPr>
              <w:pStyle w:val="14"/>
              <w:spacing w:line="278" w:lineRule="auto"/>
              <w:ind w:left="284" w:right="277"/>
              <w:jc w:val="left"/>
              <w:rPr>
                <w:sz w:val="21"/>
              </w:rPr>
            </w:pPr>
            <w:r>
              <w:rPr>
                <w:sz w:val="21"/>
              </w:rPr>
              <w:t>粘结指数</w:t>
            </w:r>
          </w:p>
        </w:tc>
        <w:tc>
          <w:tcPr>
            <w:tcW w:w="980" w:type="dxa"/>
          </w:tcPr>
          <w:p>
            <w:pPr>
              <w:pStyle w:val="14"/>
              <w:jc w:val="left"/>
              <w:rPr>
                <w:b/>
                <w:sz w:val="22"/>
              </w:rPr>
            </w:pPr>
          </w:p>
          <w:p>
            <w:pPr>
              <w:pStyle w:val="14"/>
              <w:ind w:left="90" w:right="80"/>
              <w:rPr>
                <w:sz w:val="21"/>
              </w:rPr>
            </w:pPr>
            <w:r>
              <w:rPr>
                <w:sz w:val="21"/>
              </w:rPr>
              <w:t>胶质层</w:t>
            </w:r>
          </w:p>
          <w:p>
            <w:pPr>
              <w:pStyle w:val="14"/>
              <w:spacing w:before="57"/>
              <w:ind w:left="7"/>
              <w:rPr>
                <w:rFonts w:ascii="Times New Roman"/>
                <w:sz w:val="21"/>
              </w:rPr>
            </w:pPr>
            <w:r>
              <w:rPr>
                <w:rFonts w:ascii="Times New Roman"/>
                <w:w w:val="99"/>
                <w:sz w:val="21"/>
              </w:rPr>
              <w:t>Y</w:t>
            </w:r>
          </w:p>
        </w:tc>
        <w:tc>
          <w:tcPr>
            <w:tcW w:w="1005" w:type="dxa"/>
          </w:tcPr>
          <w:p>
            <w:pPr>
              <w:pStyle w:val="14"/>
              <w:jc w:val="left"/>
              <w:rPr>
                <w:b/>
                <w:sz w:val="22"/>
              </w:rPr>
            </w:pPr>
          </w:p>
          <w:p>
            <w:pPr>
              <w:pStyle w:val="14"/>
              <w:ind w:left="186"/>
              <w:jc w:val="left"/>
              <w:rPr>
                <w:sz w:val="21"/>
              </w:rPr>
            </w:pPr>
            <w:r>
              <w:rPr>
                <w:sz w:val="21"/>
              </w:rPr>
              <w:t>视密度</w:t>
            </w:r>
          </w:p>
          <w:p>
            <w:pPr>
              <w:pStyle w:val="14"/>
              <w:spacing w:before="43"/>
              <w:ind w:left="107"/>
              <w:jc w:val="left"/>
              <w:rPr>
                <w:sz w:val="21"/>
              </w:rPr>
            </w:pPr>
            <w:r>
              <w:rPr>
                <w:sz w:val="21"/>
              </w:rPr>
              <w:t>（</w:t>
            </w:r>
            <w:r>
              <w:rPr>
                <w:rFonts w:ascii="Times New Roman" w:eastAsia="Times New Roman"/>
                <w:sz w:val="21"/>
              </w:rPr>
              <w:t>t/m3</w:t>
            </w:r>
            <w:r>
              <w:rPr>
                <w:sz w:val="21"/>
              </w:rPr>
              <w:t>）</w:t>
            </w:r>
          </w:p>
        </w:tc>
        <w:tc>
          <w:tcPr>
            <w:tcW w:w="919" w:type="dxa"/>
          </w:tcPr>
          <w:p>
            <w:pPr>
              <w:pStyle w:val="14"/>
              <w:jc w:val="left"/>
              <w:rPr>
                <w:b/>
                <w:sz w:val="20"/>
              </w:rPr>
            </w:pPr>
          </w:p>
          <w:p>
            <w:pPr>
              <w:pStyle w:val="14"/>
              <w:spacing w:before="2"/>
              <w:jc w:val="left"/>
              <w:rPr>
                <w:b/>
                <w:sz w:val="14"/>
              </w:rPr>
            </w:pPr>
          </w:p>
          <w:p>
            <w:pPr>
              <w:pStyle w:val="14"/>
              <w:ind w:left="247"/>
              <w:jc w:val="left"/>
              <w:rPr>
                <w:sz w:val="21"/>
              </w:rPr>
            </w:pPr>
            <w:r>
              <w:rPr>
                <w:sz w:val="21"/>
              </w:rPr>
              <w:t>煤种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9" w:hRule="atLeast"/>
        </w:trPr>
        <w:tc>
          <w:tcPr>
            <w:tcW w:w="581" w:type="dxa"/>
          </w:tcPr>
          <w:p>
            <w:pPr>
              <w:pStyle w:val="14"/>
              <w:jc w:val="left"/>
              <w:rPr>
                <w:b/>
                <w:sz w:val="22"/>
              </w:rPr>
            </w:pPr>
          </w:p>
          <w:p>
            <w:pPr>
              <w:pStyle w:val="14"/>
              <w:spacing w:before="11"/>
              <w:jc w:val="left"/>
              <w:rPr>
                <w:b/>
                <w:sz w:val="21"/>
              </w:rPr>
            </w:pPr>
          </w:p>
          <w:p>
            <w:pPr>
              <w:pStyle w:val="14"/>
              <w:ind w:left="164" w:right="157"/>
              <w:rPr>
                <w:rFonts w:ascii="Times New Roman"/>
                <w:sz w:val="21"/>
              </w:rPr>
            </w:pPr>
            <w:r>
              <w:rPr>
                <w:rFonts w:ascii="Times New Roman"/>
                <w:sz w:val="21"/>
              </w:rPr>
              <w:t>10</w:t>
            </w:r>
          </w:p>
        </w:tc>
        <w:tc>
          <w:tcPr>
            <w:tcW w:w="1275" w:type="dxa"/>
          </w:tcPr>
          <w:p>
            <w:pPr>
              <w:pStyle w:val="14"/>
              <w:spacing w:before="9"/>
              <w:jc w:val="left"/>
              <w:rPr>
                <w:b/>
                <w:sz w:val="31"/>
              </w:rPr>
            </w:pPr>
          </w:p>
          <w:p>
            <w:pPr>
              <w:pStyle w:val="14"/>
              <w:ind w:left="110" w:right="99"/>
              <w:rPr>
                <w:rFonts w:ascii="Times New Roman"/>
                <w:sz w:val="21"/>
              </w:rPr>
            </w:pPr>
            <w:r>
              <w:rPr>
                <w:rFonts w:ascii="Times New Roman"/>
                <w:sz w:val="21"/>
              </w:rPr>
              <w:t>16.99-45.15</w:t>
            </w:r>
          </w:p>
          <w:p>
            <w:pPr>
              <w:pStyle w:val="14"/>
              <w:spacing w:before="57"/>
              <w:ind w:left="104" w:right="99"/>
              <w:rPr>
                <w:sz w:val="21"/>
              </w:rPr>
            </w:pPr>
            <w:r>
              <w:rPr>
                <w:rFonts w:ascii="Times New Roman" w:hAnsi="Times New Roman"/>
                <w:sz w:val="21"/>
              </w:rPr>
              <w:t>/34.27</w:t>
            </w:r>
            <w:r>
              <w:rPr>
                <w:sz w:val="21"/>
              </w:rPr>
              <w:t>⑦</w:t>
            </w:r>
          </w:p>
        </w:tc>
        <w:tc>
          <w:tcPr>
            <w:tcW w:w="1276" w:type="dxa"/>
          </w:tcPr>
          <w:p>
            <w:pPr>
              <w:pStyle w:val="14"/>
              <w:spacing w:before="9"/>
              <w:jc w:val="left"/>
              <w:rPr>
                <w:b/>
                <w:sz w:val="31"/>
              </w:rPr>
            </w:pPr>
          </w:p>
          <w:p>
            <w:pPr>
              <w:pStyle w:val="14"/>
              <w:ind w:left="110" w:right="99"/>
              <w:rPr>
                <w:rFonts w:ascii="Times New Roman"/>
                <w:sz w:val="21"/>
              </w:rPr>
            </w:pPr>
            <w:r>
              <w:rPr>
                <w:rFonts w:ascii="Times New Roman"/>
                <w:sz w:val="21"/>
              </w:rPr>
              <w:t>32.19-38.65</w:t>
            </w:r>
          </w:p>
          <w:p>
            <w:pPr>
              <w:pStyle w:val="14"/>
              <w:spacing w:before="57"/>
              <w:ind w:left="108" w:right="100"/>
              <w:rPr>
                <w:sz w:val="21"/>
              </w:rPr>
            </w:pPr>
            <w:r>
              <w:rPr>
                <w:rFonts w:ascii="Times New Roman" w:hAnsi="Times New Roman"/>
                <w:sz w:val="21"/>
              </w:rPr>
              <w:t>/36.35</w:t>
            </w:r>
            <w:r>
              <w:rPr>
                <w:sz w:val="21"/>
              </w:rPr>
              <w:t>⑦</w:t>
            </w:r>
          </w:p>
        </w:tc>
        <w:tc>
          <w:tcPr>
            <w:tcW w:w="1134" w:type="dxa"/>
          </w:tcPr>
          <w:p>
            <w:pPr>
              <w:pStyle w:val="14"/>
              <w:spacing w:before="9"/>
              <w:jc w:val="left"/>
              <w:rPr>
                <w:b/>
                <w:sz w:val="31"/>
              </w:rPr>
            </w:pPr>
          </w:p>
          <w:p>
            <w:pPr>
              <w:pStyle w:val="14"/>
              <w:ind w:left="64" w:right="52"/>
              <w:rPr>
                <w:rFonts w:ascii="Times New Roman"/>
                <w:sz w:val="21"/>
              </w:rPr>
            </w:pPr>
            <w:r>
              <w:rPr>
                <w:rFonts w:ascii="Times New Roman"/>
                <w:sz w:val="21"/>
              </w:rPr>
              <w:t>0.30-0.36/</w:t>
            </w:r>
          </w:p>
          <w:p>
            <w:pPr>
              <w:pStyle w:val="14"/>
              <w:spacing w:before="57"/>
              <w:ind w:left="60" w:right="53"/>
              <w:rPr>
                <w:sz w:val="21"/>
              </w:rPr>
            </w:pPr>
            <w:r>
              <w:rPr>
                <w:rFonts w:ascii="Times New Roman" w:hAnsi="Times New Roman"/>
                <w:sz w:val="21"/>
              </w:rPr>
              <w:t>0.33</w:t>
            </w:r>
            <w:r>
              <w:rPr>
                <w:sz w:val="21"/>
              </w:rPr>
              <w:t>④</w:t>
            </w:r>
          </w:p>
        </w:tc>
        <w:tc>
          <w:tcPr>
            <w:tcW w:w="1276" w:type="dxa"/>
          </w:tcPr>
          <w:p>
            <w:pPr>
              <w:pStyle w:val="14"/>
              <w:spacing w:before="9"/>
              <w:jc w:val="left"/>
              <w:rPr>
                <w:b/>
                <w:sz w:val="31"/>
              </w:rPr>
            </w:pPr>
          </w:p>
          <w:p>
            <w:pPr>
              <w:pStyle w:val="14"/>
              <w:ind w:left="110" w:right="100"/>
              <w:rPr>
                <w:rFonts w:ascii="Times New Roman"/>
                <w:sz w:val="21"/>
              </w:rPr>
            </w:pPr>
            <w:r>
              <w:rPr>
                <w:rFonts w:ascii="Times New Roman"/>
                <w:sz w:val="21"/>
              </w:rPr>
              <w:t>17.39-20.90</w:t>
            </w:r>
          </w:p>
          <w:p>
            <w:pPr>
              <w:pStyle w:val="14"/>
              <w:spacing w:before="57"/>
              <w:ind w:left="107" w:right="100"/>
              <w:rPr>
                <w:sz w:val="21"/>
              </w:rPr>
            </w:pPr>
            <w:r>
              <w:rPr>
                <w:rFonts w:ascii="Times New Roman" w:hAnsi="Times New Roman"/>
                <w:sz w:val="21"/>
              </w:rPr>
              <w:t>/19.00</w:t>
            </w:r>
            <w:r>
              <w:rPr>
                <w:sz w:val="21"/>
              </w:rPr>
              <w:t>④</w:t>
            </w:r>
          </w:p>
        </w:tc>
        <w:tc>
          <w:tcPr>
            <w:tcW w:w="992" w:type="dxa"/>
          </w:tcPr>
          <w:p>
            <w:pPr>
              <w:pStyle w:val="14"/>
              <w:spacing w:before="9"/>
              <w:jc w:val="left"/>
              <w:rPr>
                <w:b/>
                <w:sz w:val="31"/>
              </w:rPr>
            </w:pPr>
          </w:p>
          <w:p>
            <w:pPr>
              <w:pStyle w:val="14"/>
              <w:ind w:left="54" w:right="46"/>
              <w:rPr>
                <w:rFonts w:ascii="Times New Roman"/>
                <w:sz w:val="21"/>
              </w:rPr>
            </w:pPr>
            <w:r>
              <w:rPr>
                <w:rFonts w:ascii="Times New Roman"/>
                <w:sz w:val="21"/>
              </w:rPr>
              <w:t>72-87/82</w:t>
            </w:r>
          </w:p>
          <w:p>
            <w:pPr>
              <w:pStyle w:val="14"/>
              <w:spacing w:before="57"/>
              <w:ind w:left="55" w:right="46"/>
              <w:rPr>
                <w:sz w:val="21"/>
              </w:rPr>
            </w:pPr>
            <w:r>
              <w:rPr>
                <w:rFonts w:ascii="Times New Roman" w:hAnsi="Times New Roman"/>
                <w:sz w:val="21"/>
              </w:rPr>
              <w:t>.33</w:t>
            </w:r>
            <w:r>
              <w:rPr>
                <w:sz w:val="21"/>
              </w:rPr>
              <w:t>⑥</w:t>
            </w:r>
          </w:p>
        </w:tc>
        <w:tc>
          <w:tcPr>
            <w:tcW w:w="980" w:type="dxa"/>
          </w:tcPr>
          <w:p>
            <w:pPr>
              <w:pStyle w:val="14"/>
              <w:spacing w:before="9"/>
              <w:jc w:val="left"/>
              <w:rPr>
                <w:b/>
                <w:sz w:val="31"/>
              </w:rPr>
            </w:pPr>
          </w:p>
          <w:p>
            <w:pPr>
              <w:pStyle w:val="14"/>
              <w:ind w:left="90" w:right="81"/>
              <w:rPr>
                <w:rFonts w:ascii="Times New Roman"/>
                <w:sz w:val="21"/>
              </w:rPr>
            </w:pPr>
            <w:r>
              <w:rPr>
                <w:rFonts w:ascii="Times New Roman"/>
                <w:sz w:val="21"/>
              </w:rPr>
              <w:t>13-18/14</w:t>
            </w:r>
          </w:p>
          <w:p>
            <w:pPr>
              <w:pStyle w:val="14"/>
              <w:spacing w:before="57"/>
              <w:ind w:left="89" w:right="81"/>
              <w:rPr>
                <w:sz w:val="21"/>
              </w:rPr>
            </w:pPr>
            <w:r>
              <w:rPr>
                <w:rFonts w:ascii="Times New Roman" w:hAnsi="Times New Roman"/>
                <w:sz w:val="21"/>
              </w:rPr>
              <w:t>.8</w:t>
            </w:r>
            <w:r>
              <w:rPr>
                <w:sz w:val="21"/>
              </w:rPr>
              <w:t>⑤</w:t>
            </w:r>
          </w:p>
        </w:tc>
        <w:tc>
          <w:tcPr>
            <w:tcW w:w="1005" w:type="dxa"/>
          </w:tcPr>
          <w:p>
            <w:pPr>
              <w:pStyle w:val="14"/>
              <w:spacing w:before="9"/>
              <w:jc w:val="left"/>
              <w:rPr>
                <w:b/>
                <w:sz w:val="31"/>
              </w:rPr>
            </w:pPr>
          </w:p>
          <w:p>
            <w:pPr>
              <w:pStyle w:val="14"/>
              <w:ind w:left="153"/>
              <w:jc w:val="left"/>
              <w:rPr>
                <w:rFonts w:ascii="Times New Roman"/>
                <w:sz w:val="21"/>
              </w:rPr>
            </w:pPr>
            <w:r>
              <w:rPr>
                <w:rFonts w:ascii="Times New Roman"/>
                <w:sz w:val="21"/>
              </w:rPr>
              <w:t>1.41-1.6</w:t>
            </w:r>
          </w:p>
          <w:p>
            <w:pPr>
              <w:pStyle w:val="14"/>
              <w:spacing w:before="57"/>
              <w:ind w:left="131"/>
              <w:jc w:val="left"/>
              <w:rPr>
                <w:sz w:val="21"/>
              </w:rPr>
            </w:pPr>
            <w:r>
              <w:rPr>
                <w:rFonts w:ascii="Times New Roman" w:hAnsi="Times New Roman"/>
                <w:sz w:val="21"/>
              </w:rPr>
              <w:t>2/1.56</w:t>
            </w:r>
            <w:r>
              <w:rPr>
                <w:sz w:val="21"/>
              </w:rPr>
              <w:t>⑤</w:t>
            </w:r>
          </w:p>
        </w:tc>
        <w:tc>
          <w:tcPr>
            <w:tcW w:w="919" w:type="dxa"/>
          </w:tcPr>
          <w:p>
            <w:pPr>
              <w:pStyle w:val="14"/>
              <w:spacing w:before="5"/>
              <w:jc w:val="left"/>
              <w:rPr>
                <w:b/>
                <w:sz w:val="18"/>
              </w:rPr>
            </w:pPr>
          </w:p>
          <w:p>
            <w:pPr>
              <w:pStyle w:val="14"/>
              <w:spacing w:before="1" w:line="278" w:lineRule="auto"/>
              <w:ind w:left="144" w:right="133"/>
              <w:rPr>
                <w:sz w:val="21"/>
              </w:rPr>
            </w:pPr>
            <w:r>
              <w:rPr>
                <w:sz w:val="21"/>
              </w:rPr>
              <w:t>气煤、</w:t>
            </w:r>
            <w:r>
              <w:rPr>
                <w:rFonts w:ascii="Times New Roman" w:eastAsia="Times New Roman"/>
                <w:sz w:val="21"/>
              </w:rPr>
              <w:t xml:space="preserve">1/3 </w:t>
            </w:r>
            <w:r>
              <w:rPr>
                <w:sz w:val="21"/>
              </w:rPr>
              <w:t>焦煤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3" w:hRule="atLeast"/>
        </w:trPr>
        <w:tc>
          <w:tcPr>
            <w:tcW w:w="581" w:type="dxa"/>
          </w:tcPr>
          <w:p>
            <w:pPr>
              <w:pStyle w:val="14"/>
              <w:jc w:val="left"/>
              <w:rPr>
                <w:b/>
                <w:sz w:val="22"/>
              </w:rPr>
            </w:pPr>
          </w:p>
          <w:p>
            <w:pPr>
              <w:pStyle w:val="14"/>
              <w:spacing w:before="11"/>
              <w:jc w:val="left"/>
              <w:rPr>
                <w:b/>
                <w:sz w:val="20"/>
              </w:rPr>
            </w:pPr>
          </w:p>
          <w:p>
            <w:pPr>
              <w:pStyle w:val="14"/>
              <w:ind w:left="164" w:right="157"/>
              <w:rPr>
                <w:rFonts w:ascii="Times New Roman"/>
                <w:sz w:val="21"/>
              </w:rPr>
            </w:pPr>
            <w:r>
              <w:rPr>
                <w:rFonts w:ascii="Times New Roman"/>
                <w:sz w:val="21"/>
              </w:rPr>
              <w:t>15</w:t>
            </w:r>
          </w:p>
        </w:tc>
        <w:tc>
          <w:tcPr>
            <w:tcW w:w="1275" w:type="dxa"/>
          </w:tcPr>
          <w:p>
            <w:pPr>
              <w:pStyle w:val="14"/>
              <w:spacing w:before="8"/>
              <w:jc w:val="left"/>
              <w:rPr>
                <w:b/>
                <w:sz w:val="30"/>
              </w:rPr>
            </w:pPr>
          </w:p>
          <w:p>
            <w:pPr>
              <w:pStyle w:val="14"/>
              <w:ind w:left="109" w:right="99"/>
              <w:rPr>
                <w:rFonts w:ascii="Times New Roman"/>
                <w:sz w:val="21"/>
              </w:rPr>
            </w:pPr>
            <w:r>
              <w:rPr>
                <w:rFonts w:ascii="Times New Roman"/>
                <w:sz w:val="21"/>
              </w:rPr>
              <w:t>8.43-14.76/</w:t>
            </w:r>
          </w:p>
          <w:p>
            <w:pPr>
              <w:pStyle w:val="14"/>
              <w:spacing w:before="57"/>
              <w:ind w:left="107" w:right="99"/>
              <w:rPr>
                <w:sz w:val="21"/>
              </w:rPr>
            </w:pPr>
            <w:r>
              <w:rPr>
                <w:rFonts w:ascii="Times New Roman" w:hAnsi="Times New Roman"/>
                <w:sz w:val="21"/>
              </w:rPr>
              <w:t>10.52</w:t>
            </w:r>
            <w:r>
              <w:rPr>
                <w:sz w:val="21"/>
              </w:rPr>
              <w:t>⑦</w:t>
            </w:r>
          </w:p>
        </w:tc>
        <w:tc>
          <w:tcPr>
            <w:tcW w:w="1276" w:type="dxa"/>
          </w:tcPr>
          <w:p>
            <w:pPr>
              <w:pStyle w:val="14"/>
              <w:spacing w:before="8"/>
              <w:jc w:val="left"/>
              <w:rPr>
                <w:b/>
                <w:sz w:val="30"/>
              </w:rPr>
            </w:pPr>
          </w:p>
          <w:p>
            <w:pPr>
              <w:pStyle w:val="14"/>
              <w:ind w:left="110" w:right="99"/>
              <w:rPr>
                <w:rFonts w:ascii="Times New Roman"/>
                <w:sz w:val="21"/>
              </w:rPr>
            </w:pPr>
            <w:r>
              <w:rPr>
                <w:rFonts w:ascii="Times New Roman"/>
                <w:sz w:val="21"/>
              </w:rPr>
              <w:t>31.71-34.87</w:t>
            </w:r>
          </w:p>
          <w:p>
            <w:pPr>
              <w:pStyle w:val="14"/>
              <w:spacing w:before="57"/>
              <w:ind w:left="108" w:right="100"/>
              <w:rPr>
                <w:sz w:val="21"/>
              </w:rPr>
            </w:pPr>
            <w:r>
              <w:rPr>
                <w:rFonts w:ascii="Times New Roman" w:hAnsi="Times New Roman"/>
                <w:sz w:val="21"/>
              </w:rPr>
              <w:t>/33.51</w:t>
            </w:r>
            <w:r>
              <w:rPr>
                <w:sz w:val="21"/>
              </w:rPr>
              <w:t>⑦</w:t>
            </w:r>
          </w:p>
        </w:tc>
        <w:tc>
          <w:tcPr>
            <w:tcW w:w="1134" w:type="dxa"/>
          </w:tcPr>
          <w:p>
            <w:pPr>
              <w:pStyle w:val="14"/>
              <w:spacing w:before="8"/>
              <w:jc w:val="left"/>
              <w:rPr>
                <w:b/>
                <w:sz w:val="30"/>
              </w:rPr>
            </w:pPr>
          </w:p>
          <w:p>
            <w:pPr>
              <w:pStyle w:val="14"/>
              <w:ind w:left="64" w:right="52"/>
              <w:rPr>
                <w:rFonts w:ascii="Times New Roman"/>
                <w:sz w:val="21"/>
              </w:rPr>
            </w:pPr>
            <w:r>
              <w:rPr>
                <w:rFonts w:ascii="Times New Roman"/>
                <w:sz w:val="21"/>
              </w:rPr>
              <w:t>0.12-0.30/</w:t>
            </w:r>
          </w:p>
          <w:p>
            <w:pPr>
              <w:pStyle w:val="14"/>
              <w:spacing w:before="57"/>
              <w:ind w:left="60" w:right="53"/>
              <w:rPr>
                <w:sz w:val="21"/>
              </w:rPr>
            </w:pPr>
            <w:r>
              <w:rPr>
                <w:rFonts w:ascii="Times New Roman" w:hAnsi="Times New Roman"/>
                <w:sz w:val="21"/>
              </w:rPr>
              <w:t>0.20</w:t>
            </w:r>
            <w:r>
              <w:rPr>
                <w:sz w:val="21"/>
              </w:rPr>
              <w:t>⑦</w:t>
            </w:r>
          </w:p>
        </w:tc>
        <w:tc>
          <w:tcPr>
            <w:tcW w:w="1276" w:type="dxa"/>
          </w:tcPr>
          <w:p>
            <w:pPr>
              <w:pStyle w:val="14"/>
              <w:spacing w:before="8"/>
              <w:jc w:val="left"/>
              <w:rPr>
                <w:b/>
                <w:sz w:val="30"/>
              </w:rPr>
            </w:pPr>
          </w:p>
          <w:p>
            <w:pPr>
              <w:pStyle w:val="14"/>
              <w:ind w:left="110" w:right="100"/>
              <w:rPr>
                <w:rFonts w:ascii="Times New Roman"/>
                <w:sz w:val="21"/>
              </w:rPr>
            </w:pPr>
            <w:r>
              <w:rPr>
                <w:rFonts w:ascii="Times New Roman"/>
                <w:sz w:val="21"/>
              </w:rPr>
              <w:t>30.28-31.12</w:t>
            </w:r>
          </w:p>
          <w:p>
            <w:pPr>
              <w:pStyle w:val="14"/>
              <w:spacing w:before="57"/>
              <w:ind w:left="107" w:right="100"/>
              <w:rPr>
                <w:sz w:val="21"/>
              </w:rPr>
            </w:pPr>
            <w:r>
              <w:rPr>
                <w:rFonts w:ascii="Times New Roman" w:hAnsi="Times New Roman"/>
                <w:sz w:val="21"/>
              </w:rPr>
              <w:t>/30.82</w:t>
            </w:r>
            <w:r>
              <w:rPr>
                <w:sz w:val="21"/>
              </w:rPr>
              <w:t>④</w:t>
            </w:r>
          </w:p>
        </w:tc>
        <w:tc>
          <w:tcPr>
            <w:tcW w:w="992" w:type="dxa"/>
          </w:tcPr>
          <w:p>
            <w:pPr>
              <w:pStyle w:val="14"/>
              <w:spacing w:before="8"/>
              <w:jc w:val="left"/>
              <w:rPr>
                <w:b/>
                <w:sz w:val="30"/>
              </w:rPr>
            </w:pPr>
          </w:p>
          <w:p>
            <w:pPr>
              <w:pStyle w:val="14"/>
              <w:ind w:left="54" w:right="46"/>
              <w:rPr>
                <w:rFonts w:ascii="Times New Roman"/>
                <w:sz w:val="21"/>
              </w:rPr>
            </w:pPr>
            <w:r>
              <w:rPr>
                <w:rFonts w:ascii="Times New Roman"/>
                <w:sz w:val="21"/>
              </w:rPr>
              <w:t>79-89/84</w:t>
            </w:r>
          </w:p>
          <w:p>
            <w:pPr>
              <w:pStyle w:val="14"/>
              <w:spacing w:before="57"/>
              <w:ind w:left="55" w:right="46"/>
              <w:rPr>
                <w:sz w:val="21"/>
              </w:rPr>
            </w:pPr>
            <w:r>
              <w:rPr>
                <w:rFonts w:ascii="Times New Roman" w:hAnsi="Times New Roman"/>
                <w:sz w:val="21"/>
              </w:rPr>
              <w:t>.75</w:t>
            </w:r>
            <w:r>
              <w:rPr>
                <w:sz w:val="21"/>
              </w:rPr>
              <w:t>④</w:t>
            </w:r>
          </w:p>
        </w:tc>
        <w:tc>
          <w:tcPr>
            <w:tcW w:w="980" w:type="dxa"/>
          </w:tcPr>
          <w:p>
            <w:pPr>
              <w:pStyle w:val="14"/>
              <w:spacing w:before="6"/>
              <w:jc w:val="left"/>
              <w:rPr>
                <w:b/>
                <w:sz w:val="18"/>
              </w:rPr>
            </w:pPr>
          </w:p>
          <w:p>
            <w:pPr>
              <w:pStyle w:val="14"/>
              <w:ind w:left="90" w:right="81"/>
              <w:rPr>
                <w:rFonts w:ascii="Times New Roman"/>
                <w:sz w:val="21"/>
              </w:rPr>
            </w:pPr>
            <w:r>
              <w:rPr>
                <w:rFonts w:ascii="Times New Roman"/>
                <w:sz w:val="21"/>
              </w:rPr>
              <w:t>13.5-16.</w:t>
            </w:r>
          </w:p>
          <w:p>
            <w:pPr>
              <w:pStyle w:val="14"/>
              <w:spacing w:before="71"/>
              <w:ind w:left="90" w:right="81"/>
              <w:rPr>
                <w:rFonts w:ascii="Times New Roman"/>
                <w:sz w:val="21"/>
              </w:rPr>
            </w:pPr>
            <w:r>
              <w:rPr>
                <w:rFonts w:ascii="Times New Roman"/>
                <w:sz w:val="21"/>
              </w:rPr>
              <w:t>5/14.67</w:t>
            </w:r>
          </w:p>
          <w:p>
            <w:pPr>
              <w:pStyle w:val="14"/>
              <w:spacing w:before="56"/>
              <w:ind w:left="8"/>
              <w:rPr>
                <w:sz w:val="21"/>
              </w:rPr>
            </w:pPr>
            <w:r>
              <w:rPr>
                <w:w w:val="99"/>
                <w:sz w:val="21"/>
              </w:rPr>
              <w:t>③</w:t>
            </w:r>
          </w:p>
        </w:tc>
        <w:tc>
          <w:tcPr>
            <w:tcW w:w="1005" w:type="dxa"/>
          </w:tcPr>
          <w:p>
            <w:pPr>
              <w:pStyle w:val="14"/>
              <w:spacing w:before="8"/>
              <w:jc w:val="left"/>
              <w:rPr>
                <w:b/>
                <w:sz w:val="30"/>
              </w:rPr>
            </w:pPr>
          </w:p>
          <w:p>
            <w:pPr>
              <w:pStyle w:val="14"/>
              <w:ind w:left="153"/>
              <w:jc w:val="left"/>
              <w:rPr>
                <w:rFonts w:ascii="Times New Roman"/>
                <w:sz w:val="21"/>
              </w:rPr>
            </w:pPr>
            <w:r>
              <w:rPr>
                <w:rFonts w:ascii="Times New Roman"/>
                <w:sz w:val="21"/>
              </w:rPr>
              <w:t>1.28-1.3</w:t>
            </w:r>
          </w:p>
          <w:p>
            <w:pPr>
              <w:pStyle w:val="14"/>
              <w:spacing w:before="57"/>
              <w:ind w:left="131"/>
              <w:jc w:val="left"/>
              <w:rPr>
                <w:sz w:val="21"/>
              </w:rPr>
            </w:pPr>
            <w:r>
              <w:rPr>
                <w:rFonts w:ascii="Times New Roman" w:hAnsi="Times New Roman"/>
                <w:sz w:val="21"/>
              </w:rPr>
              <w:t>4/1.30</w:t>
            </w:r>
            <w:r>
              <w:rPr>
                <w:sz w:val="21"/>
              </w:rPr>
              <w:t>⑥</w:t>
            </w:r>
          </w:p>
        </w:tc>
        <w:tc>
          <w:tcPr>
            <w:tcW w:w="919" w:type="dxa"/>
          </w:tcPr>
          <w:p>
            <w:pPr>
              <w:pStyle w:val="14"/>
              <w:spacing w:before="7"/>
              <w:jc w:val="left"/>
              <w:rPr>
                <w:b/>
                <w:sz w:val="29"/>
              </w:rPr>
            </w:pPr>
          </w:p>
          <w:p>
            <w:pPr>
              <w:pStyle w:val="14"/>
              <w:spacing w:line="278" w:lineRule="auto"/>
              <w:ind w:left="353" w:right="184" w:hanging="159"/>
              <w:jc w:val="left"/>
              <w:rPr>
                <w:sz w:val="21"/>
              </w:rPr>
            </w:pPr>
            <w:r>
              <w:rPr>
                <w:rFonts w:ascii="Times New Roman" w:eastAsia="Times New Roman"/>
                <w:sz w:val="21"/>
              </w:rPr>
              <w:t xml:space="preserve">1/3 </w:t>
            </w:r>
            <w:r>
              <w:rPr>
                <w:sz w:val="21"/>
              </w:rPr>
              <w:t>焦煤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6" w:hRule="atLeast"/>
        </w:trPr>
        <w:tc>
          <w:tcPr>
            <w:tcW w:w="581" w:type="dxa"/>
          </w:tcPr>
          <w:p>
            <w:pPr>
              <w:pStyle w:val="14"/>
              <w:jc w:val="left"/>
              <w:rPr>
                <w:b/>
                <w:sz w:val="22"/>
              </w:rPr>
            </w:pPr>
          </w:p>
          <w:p>
            <w:pPr>
              <w:pStyle w:val="14"/>
              <w:spacing w:before="159"/>
              <w:ind w:left="164" w:right="157"/>
              <w:rPr>
                <w:rFonts w:ascii="Times New Roman"/>
                <w:sz w:val="21"/>
              </w:rPr>
            </w:pPr>
            <w:r>
              <w:rPr>
                <w:rFonts w:ascii="Times New Roman"/>
                <w:sz w:val="21"/>
              </w:rPr>
              <w:t>20</w:t>
            </w:r>
          </w:p>
        </w:tc>
        <w:tc>
          <w:tcPr>
            <w:tcW w:w="1275" w:type="dxa"/>
          </w:tcPr>
          <w:p>
            <w:pPr>
              <w:pStyle w:val="14"/>
              <w:spacing w:before="2"/>
              <w:jc w:val="left"/>
              <w:rPr>
                <w:b/>
                <w:sz w:val="22"/>
              </w:rPr>
            </w:pPr>
          </w:p>
          <w:p>
            <w:pPr>
              <w:pStyle w:val="14"/>
              <w:spacing w:before="1"/>
              <w:ind w:left="110" w:right="99"/>
              <w:rPr>
                <w:rFonts w:ascii="Times New Roman"/>
                <w:sz w:val="21"/>
              </w:rPr>
            </w:pPr>
            <w:r>
              <w:rPr>
                <w:rFonts w:ascii="Times New Roman"/>
                <w:sz w:val="21"/>
              </w:rPr>
              <w:t>31.46-36.63</w:t>
            </w:r>
          </w:p>
          <w:p>
            <w:pPr>
              <w:pStyle w:val="14"/>
              <w:spacing w:before="56"/>
              <w:ind w:left="104" w:right="99"/>
              <w:rPr>
                <w:sz w:val="21"/>
              </w:rPr>
            </w:pPr>
            <w:r>
              <w:rPr>
                <w:rFonts w:ascii="Times New Roman" w:hAnsi="Times New Roman"/>
                <w:sz w:val="21"/>
              </w:rPr>
              <w:t>/33.19</w:t>
            </w:r>
            <w:r>
              <w:rPr>
                <w:sz w:val="21"/>
              </w:rPr>
              <w:t>⑤</w:t>
            </w:r>
          </w:p>
        </w:tc>
        <w:tc>
          <w:tcPr>
            <w:tcW w:w="1276" w:type="dxa"/>
          </w:tcPr>
          <w:p>
            <w:pPr>
              <w:pStyle w:val="14"/>
              <w:spacing w:before="2"/>
              <w:jc w:val="left"/>
              <w:rPr>
                <w:b/>
                <w:sz w:val="22"/>
              </w:rPr>
            </w:pPr>
          </w:p>
          <w:p>
            <w:pPr>
              <w:pStyle w:val="14"/>
              <w:spacing w:before="1"/>
              <w:ind w:left="110" w:right="99"/>
              <w:rPr>
                <w:rFonts w:ascii="Times New Roman"/>
                <w:sz w:val="21"/>
              </w:rPr>
            </w:pPr>
            <w:r>
              <w:rPr>
                <w:rFonts w:ascii="Times New Roman"/>
                <w:sz w:val="21"/>
              </w:rPr>
              <w:t>35.72-36.76</w:t>
            </w:r>
          </w:p>
          <w:p>
            <w:pPr>
              <w:pStyle w:val="14"/>
              <w:spacing w:before="56"/>
              <w:ind w:left="108" w:right="100"/>
              <w:rPr>
                <w:sz w:val="21"/>
              </w:rPr>
            </w:pPr>
            <w:r>
              <w:rPr>
                <w:rFonts w:ascii="Times New Roman" w:hAnsi="Times New Roman"/>
                <w:sz w:val="21"/>
              </w:rPr>
              <w:t>/36.38</w:t>
            </w:r>
            <w:r>
              <w:rPr>
                <w:sz w:val="21"/>
              </w:rPr>
              <w:t>⑤</w:t>
            </w:r>
          </w:p>
        </w:tc>
        <w:tc>
          <w:tcPr>
            <w:tcW w:w="1134" w:type="dxa"/>
          </w:tcPr>
          <w:p>
            <w:pPr>
              <w:pStyle w:val="14"/>
              <w:spacing w:before="2"/>
              <w:jc w:val="left"/>
              <w:rPr>
                <w:b/>
                <w:sz w:val="22"/>
              </w:rPr>
            </w:pPr>
          </w:p>
          <w:p>
            <w:pPr>
              <w:pStyle w:val="14"/>
              <w:spacing w:before="1"/>
              <w:ind w:left="64" w:right="52"/>
              <w:rPr>
                <w:rFonts w:ascii="Times New Roman"/>
                <w:sz w:val="21"/>
              </w:rPr>
            </w:pPr>
            <w:r>
              <w:rPr>
                <w:rFonts w:ascii="Times New Roman"/>
                <w:sz w:val="21"/>
              </w:rPr>
              <w:t>0.16-0.36/</w:t>
            </w:r>
          </w:p>
          <w:p>
            <w:pPr>
              <w:pStyle w:val="14"/>
              <w:spacing w:before="56"/>
              <w:ind w:left="60" w:right="53"/>
              <w:rPr>
                <w:sz w:val="21"/>
              </w:rPr>
            </w:pPr>
            <w:r>
              <w:rPr>
                <w:rFonts w:ascii="Times New Roman" w:hAnsi="Times New Roman"/>
                <w:sz w:val="21"/>
              </w:rPr>
              <w:t>0.25</w:t>
            </w:r>
            <w:r>
              <w:rPr>
                <w:sz w:val="21"/>
              </w:rPr>
              <w:t>⑤</w:t>
            </w:r>
          </w:p>
        </w:tc>
        <w:tc>
          <w:tcPr>
            <w:tcW w:w="1276" w:type="dxa"/>
          </w:tcPr>
          <w:p>
            <w:pPr>
              <w:pStyle w:val="14"/>
              <w:spacing w:before="2"/>
              <w:jc w:val="left"/>
              <w:rPr>
                <w:b/>
                <w:sz w:val="22"/>
              </w:rPr>
            </w:pPr>
          </w:p>
          <w:p>
            <w:pPr>
              <w:pStyle w:val="14"/>
              <w:spacing w:before="1"/>
              <w:ind w:left="110" w:right="100"/>
              <w:rPr>
                <w:rFonts w:ascii="Times New Roman"/>
                <w:sz w:val="21"/>
              </w:rPr>
            </w:pPr>
            <w:r>
              <w:rPr>
                <w:rFonts w:ascii="Times New Roman"/>
                <w:sz w:val="21"/>
              </w:rPr>
              <w:t>21.25-23.18</w:t>
            </w:r>
          </w:p>
          <w:p>
            <w:pPr>
              <w:pStyle w:val="14"/>
              <w:spacing w:before="56"/>
              <w:ind w:left="107" w:right="100"/>
              <w:rPr>
                <w:sz w:val="21"/>
              </w:rPr>
            </w:pPr>
            <w:r>
              <w:rPr>
                <w:rFonts w:ascii="Times New Roman" w:hAnsi="Times New Roman"/>
                <w:sz w:val="21"/>
              </w:rPr>
              <w:t>/22.38</w:t>
            </w:r>
            <w:r>
              <w:rPr>
                <w:sz w:val="21"/>
              </w:rPr>
              <w:t>⑤</w:t>
            </w:r>
          </w:p>
        </w:tc>
        <w:tc>
          <w:tcPr>
            <w:tcW w:w="992" w:type="dxa"/>
          </w:tcPr>
          <w:p>
            <w:pPr>
              <w:pStyle w:val="14"/>
              <w:spacing w:before="2"/>
              <w:jc w:val="left"/>
              <w:rPr>
                <w:b/>
                <w:sz w:val="22"/>
              </w:rPr>
            </w:pPr>
          </w:p>
          <w:p>
            <w:pPr>
              <w:pStyle w:val="14"/>
              <w:spacing w:before="1"/>
              <w:ind w:left="54" w:right="46"/>
              <w:rPr>
                <w:rFonts w:ascii="Times New Roman"/>
                <w:sz w:val="21"/>
              </w:rPr>
            </w:pPr>
            <w:r>
              <w:rPr>
                <w:rFonts w:ascii="Times New Roman"/>
                <w:sz w:val="21"/>
              </w:rPr>
              <w:t>85-89/86</w:t>
            </w:r>
          </w:p>
          <w:p>
            <w:pPr>
              <w:pStyle w:val="14"/>
              <w:spacing w:before="56"/>
              <w:ind w:left="53" w:right="46"/>
              <w:rPr>
                <w:sz w:val="21"/>
              </w:rPr>
            </w:pPr>
            <w:r>
              <w:rPr>
                <w:rFonts w:ascii="Times New Roman" w:hAnsi="Times New Roman"/>
                <w:sz w:val="21"/>
              </w:rPr>
              <w:t>.4</w:t>
            </w:r>
            <w:r>
              <w:rPr>
                <w:sz w:val="21"/>
              </w:rPr>
              <w:t>⑤</w:t>
            </w:r>
          </w:p>
        </w:tc>
        <w:tc>
          <w:tcPr>
            <w:tcW w:w="980" w:type="dxa"/>
          </w:tcPr>
          <w:p>
            <w:pPr>
              <w:pStyle w:val="14"/>
              <w:jc w:val="left"/>
              <w:rPr>
                <w:rFonts w:ascii="Times New Roman"/>
                <w:sz w:val="22"/>
              </w:rPr>
            </w:pPr>
          </w:p>
        </w:tc>
        <w:tc>
          <w:tcPr>
            <w:tcW w:w="1005" w:type="dxa"/>
          </w:tcPr>
          <w:p>
            <w:pPr>
              <w:pStyle w:val="14"/>
              <w:jc w:val="left"/>
              <w:rPr>
                <w:b/>
                <w:sz w:val="22"/>
              </w:rPr>
            </w:pPr>
          </w:p>
          <w:p>
            <w:pPr>
              <w:pStyle w:val="14"/>
              <w:spacing w:before="145"/>
              <w:ind w:left="192" w:right="184"/>
              <w:rPr>
                <w:sz w:val="21"/>
              </w:rPr>
            </w:pPr>
            <w:r>
              <w:rPr>
                <w:rFonts w:ascii="Times New Roman" w:hAnsi="Times New Roman"/>
                <w:sz w:val="21"/>
              </w:rPr>
              <w:t>1.50</w:t>
            </w:r>
            <w:r>
              <w:rPr>
                <w:sz w:val="21"/>
              </w:rPr>
              <w:t>①</w:t>
            </w:r>
          </w:p>
        </w:tc>
        <w:tc>
          <w:tcPr>
            <w:tcW w:w="919" w:type="dxa"/>
          </w:tcPr>
          <w:p>
            <w:pPr>
              <w:pStyle w:val="14"/>
              <w:spacing w:before="1"/>
              <w:jc w:val="left"/>
              <w:rPr>
                <w:b/>
                <w:sz w:val="21"/>
              </w:rPr>
            </w:pPr>
          </w:p>
          <w:p>
            <w:pPr>
              <w:pStyle w:val="14"/>
              <w:spacing w:line="278" w:lineRule="auto"/>
              <w:ind w:left="353" w:right="184" w:hanging="159"/>
              <w:jc w:val="left"/>
              <w:rPr>
                <w:sz w:val="21"/>
              </w:rPr>
            </w:pPr>
            <w:r>
              <w:rPr>
                <w:rFonts w:ascii="Times New Roman" w:eastAsia="Times New Roman"/>
                <w:sz w:val="21"/>
              </w:rPr>
              <w:t xml:space="preserve">1/3 </w:t>
            </w:r>
            <w:r>
              <w:rPr>
                <w:sz w:val="21"/>
              </w:rPr>
              <w:t>焦煤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4" w:hRule="atLeast"/>
        </w:trPr>
        <w:tc>
          <w:tcPr>
            <w:tcW w:w="581" w:type="dxa"/>
          </w:tcPr>
          <w:p>
            <w:pPr>
              <w:pStyle w:val="14"/>
              <w:jc w:val="left"/>
              <w:rPr>
                <w:b/>
                <w:sz w:val="22"/>
              </w:rPr>
            </w:pPr>
          </w:p>
          <w:p>
            <w:pPr>
              <w:pStyle w:val="14"/>
              <w:spacing w:before="169"/>
              <w:ind w:left="164" w:right="157"/>
              <w:rPr>
                <w:rFonts w:ascii="Times New Roman"/>
                <w:sz w:val="21"/>
              </w:rPr>
            </w:pPr>
            <w:r>
              <w:rPr>
                <w:rFonts w:ascii="Times New Roman"/>
                <w:sz w:val="21"/>
              </w:rPr>
              <w:t>30</w:t>
            </w:r>
          </w:p>
        </w:tc>
        <w:tc>
          <w:tcPr>
            <w:tcW w:w="1275" w:type="dxa"/>
          </w:tcPr>
          <w:p>
            <w:pPr>
              <w:pStyle w:val="14"/>
              <w:jc w:val="left"/>
              <w:rPr>
                <w:b/>
                <w:sz w:val="23"/>
              </w:rPr>
            </w:pPr>
          </w:p>
          <w:p>
            <w:pPr>
              <w:pStyle w:val="14"/>
              <w:ind w:left="110" w:right="99"/>
              <w:rPr>
                <w:rFonts w:ascii="Times New Roman"/>
                <w:sz w:val="21"/>
              </w:rPr>
            </w:pPr>
            <w:r>
              <w:rPr>
                <w:rFonts w:ascii="Times New Roman"/>
                <w:sz w:val="21"/>
              </w:rPr>
              <w:t>13.45-18.00</w:t>
            </w:r>
          </w:p>
          <w:p>
            <w:pPr>
              <w:pStyle w:val="14"/>
              <w:spacing w:before="57"/>
              <w:ind w:left="104" w:right="99"/>
              <w:rPr>
                <w:sz w:val="21"/>
              </w:rPr>
            </w:pPr>
            <w:r>
              <w:rPr>
                <w:rFonts w:ascii="Times New Roman" w:hAnsi="Times New Roman"/>
                <w:sz w:val="21"/>
              </w:rPr>
              <w:t>/14.80</w:t>
            </w:r>
            <w:r>
              <w:rPr>
                <w:sz w:val="21"/>
              </w:rPr>
              <w:t>④</w:t>
            </w:r>
          </w:p>
        </w:tc>
        <w:tc>
          <w:tcPr>
            <w:tcW w:w="1276" w:type="dxa"/>
          </w:tcPr>
          <w:p>
            <w:pPr>
              <w:pStyle w:val="14"/>
              <w:jc w:val="left"/>
              <w:rPr>
                <w:b/>
                <w:sz w:val="23"/>
              </w:rPr>
            </w:pPr>
          </w:p>
          <w:p>
            <w:pPr>
              <w:pStyle w:val="14"/>
              <w:ind w:left="110" w:right="99"/>
              <w:rPr>
                <w:rFonts w:ascii="Times New Roman"/>
                <w:sz w:val="21"/>
              </w:rPr>
            </w:pPr>
            <w:r>
              <w:rPr>
                <w:rFonts w:ascii="Times New Roman"/>
                <w:sz w:val="21"/>
              </w:rPr>
              <w:t>34.37-35.33</w:t>
            </w:r>
          </w:p>
          <w:p>
            <w:pPr>
              <w:pStyle w:val="14"/>
              <w:spacing w:before="57"/>
              <w:ind w:left="108" w:right="100"/>
              <w:rPr>
                <w:sz w:val="21"/>
              </w:rPr>
            </w:pPr>
            <w:r>
              <w:rPr>
                <w:rFonts w:ascii="Times New Roman" w:hAnsi="Times New Roman"/>
                <w:sz w:val="21"/>
              </w:rPr>
              <w:t>/34.75</w:t>
            </w:r>
            <w:r>
              <w:rPr>
                <w:sz w:val="21"/>
              </w:rPr>
              <w:t>④</w:t>
            </w:r>
          </w:p>
        </w:tc>
        <w:tc>
          <w:tcPr>
            <w:tcW w:w="1134" w:type="dxa"/>
          </w:tcPr>
          <w:p>
            <w:pPr>
              <w:pStyle w:val="14"/>
              <w:jc w:val="left"/>
              <w:rPr>
                <w:b/>
                <w:sz w:val="23"/>
              </w:rPr>
            </w:pPr>
          </w:p>
          <w:p>
            <w:pPr>
              <w:pStyle w:val="14"/>
              <w:ind w:left="64" w:right="52"/>
              <w:rPr>
                <w:rFonts w:ascii="Times New Roman"/>
                <w:sz w:val="21"/>
              </w:rPr>
            </w:pPr>
            <w:r>
              <w:rPr>
                <w:rFonts w:ascii="Times New Roman"/>
                <w:sz w:val="21"/>
              </w:rPr>
              <w:t>0.40-0.44/</w:t>
            </w:r>
          </w:p>
          <w:p>
            <w:pPr>
              <w:pStyle w:val="14"/>
              <w:spacing w:before="57"/>
              <w:ind w:left="60" w:right="53"/>
              <w:rPr>
                <w:sz w:val="21"/>
              </w:rPr>
            </w:pPr>
            <w:r>
              <w:rPr>
                <w:rFonts w:ascii="Times New Roman" w:hAnsi="Times New Roman"/>
                <w:sz w:val="21"/>
              </w:rPr>
              <w:t>0.42</w:t>
            </w:r>
            <w:r>
              <w:rPr>
                <w:sz w:val="21"/>
              </w:rPr>
              <w:t>④</w:t>
            </w:r>
          </w:p>
        </w:tc>
        <w:tc>
          <w:tcPr>
            <w:tcW w:w="1276" w:type="dxa"/>
          </w:tcPr>
          <w:p>
            <w:pPr>
              <w:pStyle w:val="14"/>
              <w:jc w:val="left"/>
              <w:rPr>
                <w:b/>
                <w:sz w:val="23"/>
              </w:rPr>
            </w:pPr>
          </w:p>
          <w:p>
            <w:pPr>
              <w:pStyle w:val="14"/>
              <w:ind w:left="110" w:right="100"/>
              <w:rPr>
                <w:rFonts w:ascii="Times New Roman"/>
                <w:sz w:val="21"/>
              </w:rPr>
            </w:pPr>
            <w:r>
              <w:rPr>
                <w:rFonts w:ascii="Times New Roman"/>
                <w:sz w:val="21"/>
              </w:rPr>
              <w:t>27.80-29.43</w:t>
            </w:r>
          </w:p>
          <w:p>
            <w:pPr>
              <w:pStyle w:val="14"/>
              <w:spacing w:before="57"/>
              <w:ind w:left="107" w:right="100"/>
              <w:rPr>
                <w:sz w:val="21"/>
              </w:rPr>
            </w:pPr>
            <w:r>
              <w:rPr>
                <w:rFonts w:ascii="Times New Roman" w:hAnsi="Times New Roman"/>
                <w:sz w:val="21"/>
              </w:rPr>
              <w:t>/.70</w:t>
            </w:r>
            <w:r>
              <w:rPr>
                <w:sz w:val="21"/>
              </w:rPr>
              <w:t>④</w:t>
            </w:r>
          </w:p>
        </w:tc>
        <w:tc>
          <w:tcPr>
            <w:tcW w:w="992" w:type="dxa"/>
          </w:tcPr>
          <w:p>
            <w:pPr>
              <w:pStyle w:val="14"/>
              <w:jc w:val="left"/>
              <w:rPr>
                <w:b/>
                <w:sz w:val="23"/>
              </w:rPr>
            </w:pPr>
          </w:p>
          <w:p>
            <w:pPr>
              <w:pStyle w:val="14"/>
              <w:ind w:left="54" w:right="46"/>
              <w:rPr>
                <w:rFonts w:ascii="Times New Roman"/>
                <w:sz w:val="21"/>
              </w:rPr>
            </w:pPr>
            <w:r>
              <w:rPr>
                <w:rFonts w:ascii="Times New Roman"/>
                <w:sz w:val="21"/>
              </w:rPr>
              <w:t>84-88/86</w:t>
            </w:r>
          </w:p>
          <w:p>
            <w:pPr>
              <w:pStyle w:val="14"/>
              <w:spacing w:before="57"/>
              <w:ind w:left="7"/>
              <w:rPr>
                <w:sz w:val="21"/>
              </w:rPr>
            </w:pPr>
            <w:r>
              <w:rPr>
                <w:w w:val="99"/>
                <w:sz w:val="21"/>
              </w:rPr>
              <w:t>④</w:t>
            </w:r>
          </w:p>
        </w:tc>
        <w:tc>
          <w:tcPr>
            <w:tcW w:w="980" w:type="dxa"/>
          </w:tcPr>
          <w:p>
            <w:pPr>
              <w:pStyle w:val="14"/>
              <w:jc w:val="left"/>
              <w:rPr>
                <w:rFonts w:ascii="Times New Roman"/>
                <w:sz w:val="22"/>
              </w:rPr>
            </w:pPr>
          </w:p>
        </w:tc>
        <w:tc>
          <w:tcPr>
            <w:tcW w:w="1005" w:type="dxa"/>
          </w:tcPr>
          <w:p>
            <w:pPr>
              <w:pStyle w:val="14"/>
              <w:jc w:val="left"/>
              <w:rPr>
                <w:b/>
                <w:sz w:val="22"/>
              </w:rPr>
            </w:pPr>
          </w:p>
          <w:p>
            <w:pPr>
              <w:pStyle w:val="14"/>
              <w:spacing w:before="155"/>
              <w:ind w:left="192" w:right="184"/>
              <w:rPr>
                <w:sz w:val="21"/>
              </w:rPr>
            </w:pPr>
            <w:r>
              <w:rPr>
                <w:rFonts w:ascii="Times New Roman" w:hAnsi="Times New Roman"/>
                <w:sz w:val="21"/>
              </w:rPr>
              <w:t>1.34</w:t>
            </w:r>
            <w:r>
              <w:rPr>
                <w:sz w:val="21"/>
              </w:rPr>
              <w:t>①</w:t>
            </w:r>
          </w:p>
        </w:tc>
        <w:tc>
          <w:tcPr>
            <w:tcW w:w="919" w:type="dxa"/>
          </w:tcPr>
          <w:p>
            <w:pPr>
              <w:pStyle w:val="14"/>
              <w:spacing w:before="11"/>
              <w:jc w:val="left"/>
              <w:rPr>
                <w:b/>
                <w:sz w:val="21"/>
              </w:rPr>
            </w:pPr>
          </w:p>
          <w:p>
            <w:pPr>
              <w:pStyle w:val="14"/>
              <w:spacing w:before="1" w:line="278" w:lineRule="auto"/>
              <w:ind w:left="353" w:right="184" w:hanging="159"/>
              <w:jc w:val="left"/>
              <w:rPr>
                <w:sz w:val="21"/>
              </w:rPr>
            </w:pPr>
            <w:r>
              <w:rPr>
                <w:rFonts w:ascii="Times New Roman" w:eastAsia="Times New Roman"/>
                <w:sz w:val="21"/>
              </w:rPr>
              <w:t xml:space="preserve">1/3 </w:t>
            </w:r>
            <w:r>
              <w:rPr>
                <w:sz w:val="21"/>
              </w:rPr>
              <w:t>焦煤</w:t>
            </w:r>
          </w:p>
        </w:tc>
      </w:tr>
    </w:tbl>
    <w:p>
      <w:pPr>
        <w:pStyle w:val="6"/>
        <w:spacing w:before="2"/>
        <w:ind w:left="1520"/>
      </w:pPr>
      <w:r>
        <w:rPr>
          <w:rFonts w:ascii="Times New Roman" w:eastAsia="Times New Roman"/>
        </w:rPr>
        <w:t>4</w:t>
      </w:r>
      <w:r>
        <w:t>、煤的工业用途</w:t>
      </w:r>
    </w:p>
    <w:p>
      <w:pPr>
        <w:pStyle w:val="6"/>
        <w:spacing w:before="158" w:line="364" w:lineRule="auto"/>
        <w:ind w:left="1040" w:right="955" w:firstLine="480"/>
      </w:pPr>
      <w:r>
        <w:t>本区煤种主要为</w:t>
      </w:r>
      <w:r>
        <w:rPr>
          <w:rFonts w:ascii="Times New Roman" w:eastAsia="Times New Roman"/>
        </w:rPr>
        <w:t>1/3</w:t>
      </w:r>
      <w:r>
        <w:rPr>
          <w:spacing w:val="-13"/>
        </w:rPr>
        <w:t>焦煤，局部有少量气煤，灰分低</w:t>
      </w:r>
      <w:r>
        <w:rPr>
          <w:rFonts w:ascii="Times New Roman" w:eastAsia="Times New Roman"/>
        </w:rPr>
        <w:t>-</w:t>
      </w:r>
      <w:r>
        <w:t>中高</w:t>
      </w:r>
      <w:r>
        <w:rPr>
          <w:rFonts w:ascii="Times New Roman" w:eastAsia="Times New Roman"/>
        </w:rPr>
        <w:t>-</w:t>
      </w:r>
      <w:r>
        <w:rPr>
          <w:spacing w:val="-11"/>
        </w:rPr>
        <w:t xml:space="preserve">高灰煤，粘结性好， </w:t>
      </w:r>
      <w:r>
        <w:t>是理想的炼焦用煤。</w:t>
      </w:r>
    </w:p>
    <w:p>
      <w:pPr>
        <w:pStyle w:val="5"/>
        <w:numPr>
          <w:ilvl w:val="3"/>
          <w:numId w:val="20"/>
        </w:numPr>
        <w:tabs>
          <w:tab w:val="left" w:pos="1760"/>
        </w:tabs>
        <w:spacing w:before="0" w:after="0" w:line="306" w:lineRule="exact"/>
        <w:ind w:left="1760" w:right="0" w:hanging="720"/>
        <w:jc w:val="left"/>
      </w:pPr>
      <w:r>
        <w:t>井田开拓与开采</w:t>
      </w:r>
    </w:p>
    <w:p>
      <w:pPr>
        <w:pStyle w:val="6"/>
        <w:spacing w:before="160"/>
        <w:ind w:left="1520"/>
      </w:pPr>
      <w:r>
        <w:rPr>
          <w:rFonts w:ascii="Times New Roman" w:eastAsia="Times New Roman"/>
        </w:rPr>
        <w:t>1</w:t>
      </w:r>
      <w:r>
        <w:t>、井田开拓方式</w:t>
      </w:r>
    </w:p>
    <w:p>
      <w:pPr>
        <w:pStyle w:val="6"/>
        <w:spacing w:before="158" w:line="364" w:lineRule="auto"/>
        <w:ind w:left="1040" w:right="1072" w:firstLine="480"/>
        <w:jc w:val="both"/>
      </w:pPr>
      <w:r>
        <w:rPr>
          <w:spacing w:val="-7"/>
        </w:rPr>
        <w:t>矿井仍采用斜井开拓方式，改扩建后共有三条直通地面的井筒。矿井划分一</w:t>
      </w:r>
      <w:r>
        <w:t>个水平，第一水平标高</w:t>
      </w:r>
      <w:r>
        <w:rPr>
          <w:rFonts w:ascii="Times New Roman" w:eastAsia="Times New Roman"/>
        </w:rPr>
        <w:t>-30m</w:t>
      </w:r>
      <w:r>
        <w:t>，回风水平标高</w:t>
      </w:r>
      <w:r>
        <w:rPr>
          <w:rFonts w:ascii="Times New Roman" w:eastAsia="Times New Roman"/>
        </w:rPr>
        <w:t>-30m</w:t>
      </w:r>
      <w:r>
        <w:t>。大巷主要运输方式为胶带机连续化运输，大巷辅助运输方式为矿车。</w:t>
      </w:r>
    </w:p>
    <w:p>
      <w:pPr>
        <w:pStyle w:val="6"/>
        <w:spacing w:line="307" w:lineRule="exact"/>
        <w:ind w:left="1520"/>
      </w:pPr>
      <w:r>
        <w:t>井上下对照图见附图。</w:t>
      </w:r>
    </w:p>
    <w:p>
      <w:pPr>
        <w:pStyle w:val="6"/>
        <w:spacing w:before="161"/>
        <w:ind w:left="1536"/>
      </w:pPr>
      <w:r>
        <w:rPr>
          <w:rFonts w:ascii="Times New Roman" w:eastAsia="Times New Roman"/>
        </w:rPr>
        <w:t>2</w:t>
      </w:r>
      <w:r>
        <w:t>、井口数目</w:t>
      </w:r>
    </w:p>
    <w:p>
      <w:pPr>
        <w:pStyle w:val="6"/>
        <w:spacing w:before="158" w:line="364" w:lineRule="auto"/>
        <w:ind w:left="1040" w:right="917" w:firstLine="480"/>
      </w:pPr>
      <w:r>
        <w:t xml:space="preserve">本矿井改扩建后布置 </w:t>
      </w:r>
      <w:r>
        <w:rPr>
          <w:rFonts w:ascii="Times New Roman" w:eastAsia="Times New Roman"/>
        </w:rPr>
        <w:t xml:space="preserve">3 </w:t>
      </w:r>
      <w:r>
        <w:t>条井筒，分别为主井、副井、风井。主井井筒新建， 副井、风井井筒均为原有井筒改造。</w:t>
      </w:r>
    </w:p>
    <w:p>
      <w:pPr>
        <w:spacing w:after="0" w:line="364" w:lineRule="auto"/>
        <w:sectPr>
          <w:pgSz w:w="11910" w:h="16840"/>
          <w:pgMar w:top="1080" w:right="720" w:bottom="1160" w:left="760" w:header="0" w:footer="97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12" name="组合 57"/>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11" name="直线 58"/>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57"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7toIu1AAAAAMBAAAPAAAAAAAAAAEAIAAAACIAAABkcnMvZG93bnJldi54bWxQ&#10;SwECFAAUAAAACACHTuJA9NjXNzQCAAC2BAAADgAAAAAAAAABACAAAAAjAQAAZHJzL2Uyb0RvYy54&#10;bWxQSwUGAAAAAAYABgBZAQAAyQUAAAAA&#10;">
                <o:lock v:ext="edit" aspectratio="f"/>
                <v:line id="直线 58" o:spid="_x0000_s1026" o:spt="20" style="position:absolute;left:0;top:7;height:0;width:8306;" filled="f" stroked="t" coordsize="21600,21600" o:gfxdata="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lpo7r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6"/>
        <w:spacing w:before="5"/>
        <w:rPr>
          <w:sz w:val="19"/>
        </w:rPr>
      </w:pPr>
    </w:p>
    <w:p>
      <w:pPr>
        <w:pStyle w:val="6"/>
        <w:spacing w:before="74"/>
        <w:ind w:left="1520"/>
      </w:pPr>
      <w:r>
        <w:rPr>
          <w:rFonts w:ascii="Times New Roman" w:eastAsia="Times New Roman"/>
        </w:rPr>
        <w:t>3</w:t>
      </w:r>
      <w:r>
        <w:t>、井筒用途、装备及布置</w:t>
      </w:r>
    </w:p>
    <w:p>
      <w:pPr>
        <w:pStyle w:val="13"/>
        <w:numPr>
          <w:ilvl w:val="0"/>
          <w:numId w:val="25"/>
        </w:numPr>
        <w:tabs>
          <w:tab w:val="left" w:pos="2121"/>
        </w:tabs>
        <w:spacing w:before="161" w:after="0" w:line="364" w:lineRule="auto"/>
        <w:ind w:left="1040" w:right="1072" w:firstLine="480"/>
        <w:jc w:val="both"/>
        <w:rPr>
          <w:sz w:val="24"/>
        </w:rPr>
      </w:pPr>
      <w:r>
        <w:rPr>
          <w:sz w:val="24"/>
        </w:rPr>
        <w:t>主井：为新开凿的斜井，担负全矿井的煤炭运输任务；同时兼做矿井</w:t>
      </w:r>
      <w:r>
        <w:rPr>
          <w:spacing w:val="-7"/>
          <w:sz w:val="24"/>
        </w:rPr>
        <w:t xml:space="preserve">的入风和安全出口。井筒内铺设一台 </w:t>
      </w:r>
      <w:r>
        <w:rPr>
          <w:rFonts w:ascii="Times New Roman" w:eastAsia="Times New Roman"/>
          <w:sz w:val="24"/>
        </w:rPr>
        <w:t>800m</w:t>
      </w:r>
      <w:r>
        <w:rPr>
          <w:sz w:val="24"/>
        </w:rPr>
        <w:t>，</w:t>
      </w:r>
      <w:r>
        <w:rPr>
          <w:rFonts w:ascii="Times New Roman" w:eastAsia="Times New Roman"/>
          <w:sz w:val="24"/>
        </w:rPr>
        <w:t>ST/S2000</w:t>
      </w:r>
      <w:r>
        <w:rPr>
          <w:rFonts w:ascii="Times New Roman" w:eastAsia="Times New Roman"/>
          <w:spacing w:val="-9"/>
          <w:sz w:val="24"/>
        </w:rPr>
        <w:t xml:space="preserve"> </w:t>
      </w:r>
      <w:r>
        <w:rPr>
          <w:spacing w:val="-2"/>
          <w:sz w:val="24"/>
        </w:rPr>
        <w:t>型胶带输送机型强力胶带</w:t>
      </w:r>
      <w:r>
        <w:rPr>
          <w:sz w:val="24"/>
        </w:rPr>
        <w:t>输送机，井筒内同时敷设台阶、扶手以及照明、动力、通讯电缆等。</w:t>
      </w:r>
    </w:p>
    <w:p>
      <w:pPr>
        <w:pStyle w:val="13"/>
        <w:numPr>
          <w:ilvl w:val="0"/>
          <w:numId w:val="25"/>
        </w:numPr>
        <w:tabs>
          <w:tab w:val="left" w:pos="2123"/>
        </w:tabs>
        <w:spacing w:before="0" w:after="0" w:line="364" w:lineRule="auto"/>
        <w:ind w:left="1040" w:right="955" w:firstLine="480"/>
        <w:jc w:val="left"/>
        <w:rPr>
          <w:sz w:val="24"/>
        </w:rPr>
      </w:pPr>
      <w:r>
        <w:rPr>
          <w:sz w:val="24"/>
        </w:rPr>
        <w:t>副井：用原有主提升斜井改造为副井，担负全矿井的人员、材料、设</w:t>
      </w:r>
      <w:r>
        <w:rPr>
          <w:spacing w:val="-10"/>
          <w:sz w:val="24"/>
        </w:rPr>
        <w:t>备、矸石升降任务，兼做矿井进风和矿井的安全出口。规划对副井井筒进行开帮</w:t>
      </w:r>
      <w:r>
        <w:rPr>
          <w:spacing w:val="-18"/>
          <w:sz w:val="24"/>
        </w:rPr>
        <w:t xml:space="preserve">改造，并安装一套架空乘人装置，担负矿井人员升降任务。井筒断面为半圆拱形， </w:t>
      </w:r>
      <w:r>
        <w:rPr>
          <w:spacing w:val="-11"/>
          <w:sz w:val="24"/>
        </w:rPr>
        <w:t xml:space="preserve">井筒倾角为 </w:t>
      </w:r>
      <w:r>
        <w:rPr>
          <w:rFonts w:ascii="Times New Roman" w:hAnsi="Times New Roman" w:eastAsia="Times New Roman"/>
          <w:sz w:val="24"/>
        </w:rPr>
        <w:t>20°</w:t>
      </w:r>
      <w:r>
        <w:rPr>
          <w:spacing w:val="-15"/>
          <w:sz w:val="24"/>
        </w:rPr>
        <w:t xml:space="preserve">，斜长 </w:t>
      </w:r>
      <w:r>
        <w:rPr>
          <w:rFonts w:ascii="Times New Roman" w:hAnsi="Times New Roman" w:eastAsia="Times New Roman"/>
          <w:sz w:val="24"/>
        </w:rPr>
        <w:t>950m</w:t>
      </w:r>
      <w:r>
        <w:rPr>
          <w:spacing w:val="-15"/>
          <w:sz w:val="24"/>
        </w:rPr>
        <w:t xml:space="preserve">，铺设 </w:t>
      </w:r>
      <w:r>
        <w:rPr>
          <w:rFonts w:ascii="Times New Roman" w:hAnsi="Times New Roman" w:eastAsia="Times New Roman"/>
          <w:sz w:val="24"/>
        </w:rPr>
        <w:t>30kg/m</w:t>
      </w:r>
      <w:r>
        <w:rPr>
          <w:rFonts w:ascii="Times New Roman" w:hAnsi="Times New Roman" w:eastAsia="Times New Roman"/>
          <w:spacing w:val="2"/>
          <w:sz w:val="24"/>
        </w:rPr>
        <w:t xml:space="preserve"> </w:t>
      </w:r>
      <w:r>
        <w:rPr>
          <w:sz w:val="24"/>
        </w:rPr>
        <w:t>钢轨。表土段采用混凝土发碹支护， 基岩段采用锚喷支护。</w:t>
      </w:r>
    </w:p>
    <w:p>
      <w:pPr>
        <w:pStyle w:val="13"/>
        <w:numPr>
          <w:ilvl w:val="0"/>
          <w:numId w:val="25"/>
        </w:numPr>
        <w:tabs>
          <w:tab w:val="left" w:pos="2123"/>
        </w:tabs>
        <w:spacing w:before="0" w:after="0" w:line="364" w:lineRule="auto"/>
        <w:ind w:left="1040" w:right="1075" w:firstLine="480"/>
        <w:jc w:val="both"/>
        <w:rPr>
          <w:sz w:val="24"/>
        </w:rPr>
      </w:pPr>
      <w:r>
        <w:rPr>
          <w:sz w:val="24"/>
        </w:rPr>
        <w:t>风井：利用矿井原有副井，担负全矿井的回风任务，并兼作另一个安</w:t>
      </w:r>
      <w:r>
        <w:rPr>
          <w:spacing w:val="-10"/>
          <w:sz w:val="24"/>
        </w:rPr>
        <w:t xml:space="preserve">全出口。规划对回风井部分巷道进行改造，扩大回风断面积。井筒断面为半圆拱形，井筒倾角为 </w:t>
      </w:r>
      <w:r>
        <w:rPr>
          <w:rFonts w:ascii="Times New Roman" w:hAnsi="Times New Roman" w:eastAsia="Times New Roman"/>
          <w:sz w:val="24"/>
        </w:rPr>
        <w:t>20°</w:t>
      </w:r>
      <w:r>
        <w:rPr>
          <w:spacing w:val="-4"/>
          <w:sz w:val="24"/>
        </w:rPr>
        <w:t>。表土段采用混凝土发碹支护，基岩段采用锚喷支护。装备</w:t>
      </w:r>
      <w:r>
        <w:rPr>
          <w:sz w:val="24"/>
        </w:rPr>
        <w:t>通讯备用线路、台阶、扶手等。</w:t>
      </w:r>
    </w:p>
    <w:p>
      <w:pPr>
        <w:pStyle w:val="5"/>
        <w:numPr>
          <w:ilvl w:val="3"/>
          <w:numId w:val="20"/>
        </w:numPr>
        <w:tabs>
          <w:tab w:val="left" w:pos="1760"/>
        </w:tabs>
        <w:spacing w:before="0" w:after="0" w:line="305" w:lineRule="exact"/>
        <w:ind w:left="1760" w:right="0" w:hanging="720"/>
        <w:jc w:val="both"/>
      </w:pPr>
      <w:r>
        <w:t>矿井通风</w:t>
      </w:r>
    </w:p>
    <w:p>
      <w:pPr>
        <w:pStyle w:val="6"/>
        <w:spacing w:before="155" w:line="364" w:lineRule="auto"/>
        <w:ind w:left="1040" w:right="1077" w:firstLine="480"/>
        <w:jc w:val="both"/>
      </w:pPr>
      <w:r>
        <w:rPr>
          <w:spacing w:val="-10"/>
        </w:rPr>
        <w:t xml:space="preserve">根据开拓部署，针对本矿井地质情况，采用主斜井、副井、风井 </w:t>
      </w:r>
      <w:r>
        <w:rPr>
          <w:rFonts w:ascii="Times New Roman" w:eastAsia="Times New Roman"/>
        </w:rPr>
        <w:t xml:space="preserve">3 </w:t>
      </w:r>
      <w:r>
        <w:rPr>
          <w:spacing w:val="-5"/>
        </w:rPr>
        <w:t>条井筒开</w:t>
      </w:r>
      <w:r>
        <w:rPr>
          <w:spacing w:val="-11"/>
        </w:rPr>
        <w:t>拓方式的特点，结合矿井的开拓布局，设计矿井初期通风系统仍采用现有的通风</w:t>
      </w:r>
      <w:r>
        <w:t>系统，即中央并列式，即矿井主、副井入风，风井回风。</w:t>
      </w:r>
    </w:p>
    <w:p>
      <w:pPr>
        <w:pStyle w:val="6"/>
        <w:spacing w:line="364" w:lineRule="auto"/>
        <w:ind w:left="1040" w:right="1069" w:firstLine="480"/>
        <w:jc w:val="both"/>
      </w:pPr>
      <w:r>
        <w:rPr>
          <w:spacing w:val="11"/>
        </w:rPr>
        <w:t>大顺煤矿在工业场地内设有集中压风机站，布置选压风机二台。型号为</w:t>
      </w:r>
      <w:r>
        <w:rPr>
          <w:rFonts w:ascii="Times New Roman" w:eastAsia="Times New Roman"/>
          <w:spacing w:val="-4"/>
        </w:rPr>
        <w:t>SF-110D</w:t>
      </w:r>
      <w:r>
        <w:rPr>
          <w:spacing w:val="-11"/>
        </w:rPr>
        <w:t xml:space="preserve">，一台工作，一台备用，额定排气量 </w:t>
      </w:r>
      <w:r>
        <w:rPr>
          <w:rFonts w:ascii="Times New Roman" w:eastAsia="Times New Roman"/>
        </w:rPr>
        <w:t>18.5m</w:t>
      </w:r>
      <w:r>
        <w:rPr>
          <w:rFonts w:ascii="Times New Roman" w:eastAsia="Times New Roman"/>
          <w:position w:val="8"/>
          <w:sz w:val="15"/>
        </w:rPr>
        <w:t>3</w:t>
      </w:r>
      <w:r>
        <w:rPr>
          <w:rFonts w:ascii="Times New Roman" w:eastAsia="Times New Roman"/>
        </w:rPr>
        <w:t>/min</w:t>
      </w:r>
      <w:r>
        <w:rPr>
          <w:spacing w:val="-10"/>
        </w:rPr>
        <w:t xml:space="preserve">，额定压力 </w:t>
      </w:r>
      <w:r>
        <w:rPr>
          <w:rFonts w:ascii="Times New Roman" w:eastAsia="Times New Roman"/>
          <w:spacing w:val="-3"/>
        </w:rPr>
        <w:t>0.8MPa</w:t>
      </w:r>
      <w:r>
        <w:rPr>
          <w:spacing w:val="-7"/>
        </w:rPr>
        <w:t>，电</w:t>
      </w:r>
      <w:r>
        <w:rPr>
          <w:spacing w:val="-2"/>
        </w:rPr>
        <w:t>动机功率，</w:t>
      </w:r>
      <w:r>
        <w:rPr>
          <w:rFonts w:ascii="Times New Roman" w:eastAsia="Times New Roman"/>
          <w:spacing w:val="-6"/>
        </w:rPr>
        <w:t>110kW</w:t>
      </w:r>
      <w:r>
        <w:rPr>
          <w:spacing w:val="-7"/>
        </w:rPr>
        <w:t>。经计算，一台压风机工作即可满足生产和灾害防治时所需要的压风供气量。</w:t>
      </w:r>
    </w:p>
    <w:p>
      <w:pPr>
        <w:pStyle w:val="5"/>
        <w:numPr>
          <w:ilvl w:val="3"/>
          <w:numId w:val="20"/>
        </w:numPr>
        <w:tabs>
          <w:tab w:val="left" w:pos="1760"/>
        </w:tabs>
        <w:spacing w:before="74" w:after="0" w:line="240" w:lineRule="auto"/>
        <w:ind w:left="1760" w:right="0" w:hanging="720"/>
        <w:jc w:val="both"/>
      </w:pPr>
      <w:r>
        <w:t>矿井地面生产系统</w:t>
      </w:r>
    </w:p>
    <w:p>
      <w:pPr>
        <w:pStyle w:val="13"/>
        <w:numPr>
          <w:ilvl w:val="0"/>
          <w:numId w:val="26"/>
        </w:numPr>
        <w:tabs>
          <w:tab w:val="left" w:pos="2121"/>
        </w:tabs>
        <w:spacing w:before="161" w:after="0" w:line="240" w:lineRule="auto"/>
        <w:ind w:left="2121" w:right="0" w:hanging="601"/>
        <w:jc w:val="left"/>
        <w:rPr>
          <w:sz w:val="24"/>
        </w:rPr>
      </w:pPr>
      <w:r>
        <w:rPr>
          <w:sz w:val="24"/>
        </w:rPr>
        <w:t>主井生产系统</w:t>
      </w:r>
    </w:p>
    <w:p>
      <w:pPr>
        <w:pStyle w:val="6"/>
        <w:spacing w:before="160"/>
        <w:ind w:left="1520"/>
      </w:pPr>
      <w:r>
        <w:t>主井（新建）生产系统包括：皮带主机房、煤仓，运煤走廊。</w:t>
      </w:r>
    </w:p>
    <w:p>
      <w:pPr>
        <w:pStyle w:val="6"/>
        <w:spacing w:before="161" w:line="364" w:lineRule="auto"/>
        <w:ind w:left="1040" w:right="1077" w:firstLine="480"/>
        <w:jc w:val="both"/>
      </w:pPr>
      <w:r>
        <w:rPr>
          <w:spacing w:val="-7"/>
        </w:rPr>
        <w:t>主斜井井底设一座井底煤仓。原煤经仓下给煤机、主斜井提升带式输送机提出的原煤在筛分拣矸车间筛分，经筛分后分别由块煤带式输送机、中块煤带式输</w:t>
      </w:r>
      <w:r>
        <w:rPr>
          <w:spacing w:val="-10"/>
        </w:rPr>
        <w:t>送机、末煤带式输送机，运输至存煤场地装车外运。电子汽车衡计量，汽车公路</w:t>
      </w:r>
      <w:r>
        <w:t>外运销售。</w:t>
      </w:r>
    </w:p>
    <w:p>
      <w:pPr>
        <w:pStyle w:val="13"/>
        <w:numPr>
          <w:ilvl w:val="0"/>
          <w:numId w:val="26"/>
        </w:numPr>
        <w:tabs>
          <w:tab w:val="left" w:pos="2121"/>
        </w:tabs>
        <w:spacing w:before="0" w:after="0" w:line="231" w:lineRule="exact"/>
        <w:ind w:left="2121" w:right="0" w:hanging="601"/>
        <w:jc w:val="left"/>
        <w:rPr>
          <w:sz w:val="24"/>
        </w:rPr>
      </w:pPr>
      <w:r>
        <w:rPr>
          <w:sz w:val="24"/>
        </w:rPr>
        <w:t>副井生产系统包括：栈桥、材料库、设备库、翻矸机房、绞车房等。</w:t>
      </w:r>
    </w:p>
    <w:p>
      <w:pPr>
        <w:pStyle w:val="13"/>
        <w:numPr>
          <w:ilvl w:val="0"/>
          <w:numId w:val="26"/>
        </w:numPr>
        <w:tabs>
          <w:tab w:val="left" w:pos="2121"/>
        </w:tabs>
        <w:spacing w:before="160" w:after="0" w:line="240" w:lineRule="auto"/>
        <w:ind w:left="2121" w:right="0" w:hanging="601"/>
        <w:jc w:val="left"/>
        <w:rPr>
          <w:sz w:val="24"/>
        </w:rPr>
      </w:pPr>
      <w:r>
        <w:rPr>
          <w:sz w:val="24"/>
        </w:rPr>
        <w:t>矿井联合建筑包括：办公、洗浴、更衣、烘干、食堂等生活设施。</w:t>
      </w:r>
    </w:p>
    <w:p>
      <w:pPr>
        <w:spacing w:after="0" w:line="240" w:lineRule="auto"/>
        <w:jc w:val="left"/>
        <w:rPr>
          <w:sz w:val="24"/>
        </w:rPr>
        <w:sectPr>
          <w:pgSz w:w="11910" w:h="16840"/>
          <w:pgMar w:top="1080" w:right="720" w:bottom="1160" w:left="760" w:header="0" w:footer="97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14" name="组合 59"/>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13" name="直线 60"/>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59"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7toIu1AAAAAMBAAAPAAAAAAAAAAEAIAAAACIAAABkcnMvZG93bnJldi54bWxQ&#10;SwECFAAUAAAACACHTuJAigEXETQCAAC2BAAADgAAAAAAAAABACAAAAAjAQAAZHJzL2Uyb0RvYy54&#10;bWxQSwUGAAAAAAYABgBZAQAAyQUAAAAA&#10;">
                <o:lock v:ext="edit" aspectratio="f"/>
                <v:line id="直线 60" o:spid="_x0000_s1026" o:spt="20" style="position:absolute;left:0;top:7;height:0;width:8306;" filled="f" stroked="t" coordsize="21600,21600" o:gfxdata="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cRTAr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6"/>
        <w:spacing w:before="8"/>
        <w:rPr>
          <w:sz w:val="25"/>
        </w:rPr>
      </w:pPr>
    </w:p>
    <w:p>
      <w:pPr>
        <w:pStyle w:val="13"/>
        <w:numPr>
          <w:ilvl w:val="0"/>
          <w:numId w:val="26"/>
        </w:numPr>
        <w:tabs>
          <w:tab w:val="left" w:pos="2121"/>
        </w:tabs>
        <w:spacing w:before="74" w:after="0" w:line="240" w:lineRule="auto"/>
        <w:ind w:left="2121" w:right="0" w:hanging="601"/>
        <w:jc w:val="left"/>
        <w:rPr>
          <w:sz w:val="24"/>
        </w:rPr>
      </w:pPr>
      <w:r>
        <w:rPr>
          <w:sz w:val="24"/>
        </w:rPr>
        <w:t>辅助设施</w:t>
      </w:r>
    </w:p>
    <w:p>
      <w:pPr>
        <w:pStyle w:val="6"/>
        <w:spacing w:before="81" w:line="364" w:lineRule="auto"/>
        <w:ind w:left="1040" w:right="1077" w:firstLine="480"/>
      </w:pPr>
      <w:r>
        <w:rPr>
          <w:spacing w:val="-7"/>
        </w:rPr>
        <w:t>辅助生产系统及配套设施包括：机修车间、坑木加工车间、压风机房、主扇</w:t>
      </w:r>
      <w:r>
        <w:t>房、变电所、暖风机房等。</w:t>
      </w:r>
    </w:p>
    <w:p>
      <w:pPr>
        <w:pStyle w:val="6"/>
        <w:spacing w:line="306" w:lineRule="exact"/>
        <w:ind w:left="1520"/>
      </w:pPr>
      <w:r>
        <w:t>①修理车间</w:t>
      </w:r>
    </w:p>
    <w:p>
      <w:pPr>
        <w:pStyle w:val="6"/>
        <w:spacing w:before="160" w:line="362" w:lineRule="auto"/>
        <w:ind w:left="1040" w:right="1077" w:firstLine="480"/>
      </w:pPr>
      <w:r>
        <w:rPr>
          <w:spacing w:val="-11"/>
        </w:rPr>
        <w:t>根据《煤炭工业矿井设计规范》规定：矿井修理车间承担本矿机电设备的日</w:t>
      </w:r>
      <w:r>
        <w:t>常检修和维护，并承担矿车及拱形金属支架的修理。</w:t>
      </w:r>
    </w:p>
    <w:p>
      <w:pPr>
        <w:pStyle w:val="6"/>
        <w:spacing w:before="5" w:line="364" w:lineRule="auto"/>
        <w:ind w:left="1040" w:right="1077" w:firstLine="480"/>
        <w:jc w:val="both"/>
      </w:pPr>
      <w:r>
        <w:rPr>
          <w:spacing w:val="-10"/>
        </w:rPr>
        <w:t>该矿在工业广场内，设置矿井修理车间，主要承担该矿机电设备的小修和日常维护、保养，亦可承担部分难度不大的中修任务及矿车、拱形金属支架等材料</w:t>
      </w:r>
      <w:r>
        <w:rPr>
          <w:spacing w:val="-1"/>
        </w:rPr>
        <w:t>性设备的修理,难度较大的设备大修及中修工作全部外委修理。维修中所需的标</w:t>
      </w:r>
      <w:r>
        <w:rPr>
          <w:spacing w:val="-10"/>
        </w:rPr>
        <w:t>准件外购，非标准件中容易加工的零件自制，其余精度高、加工难度大的零件外</w:t>
      </w:r>
      <w:r>
        <w:t>委加工。</w:t>
      </w:r>
    </w:p>
    <w:p>
      <w:pPr>
        <w:pStyle w:val="6"/>
        <w:spacing w:line="303" w:lineRule="exact"/>
        <w:ind w:left="1520"/>
        <w:jc w:val="both"/>
      </w:pPr>
      <w:r>
        <w:t xml:space="preserve">修理车间主要设备和厂房建筑面积配置可参照表 </w:t>
      </w:r>
      <w:r>
        <w:rPr>
          <w:rFonts w:ascii="Times New Roman" w:eastAsia="Times New Roman"/>
        </w:rPr>
        <w:t xml:space="preserve">3.3-11 </w:t>
      </w:r>
      <w:r>
        <w:t>配置。</w:t>
      </w:r>
    </w:p>
    <w:p>
      <w:pPr>
        <w:pStyle w:val="5"/>
        <w:tabs>
          <w:tab w:val="left" w:pos="3727"/>
        </w:tabs>
        <w:spacing w:before="161"/>
        <w:ind w:left="2580"/>
      </w:pPr>
      <w:r>
        <w:t>表</w:t>
      </w:r>
      <w:r>
        <w:rPr>
          <w:spacing w:val="-65"/>
        </w:rPr>
        <w:t xml:space="preserve"> </w:t>
      </w:r>
      <w:r>
        <w:rPr>
          <w:rFonts w:ascii="Times New Roman" w:eastAsia="Times New Roman"/>
        </w:rPr>
        <w:t>3.3-11</w:t>
      </w:r>
      <w:r>
        <w:rPr>
          <w:rFonts w:ascii="Times New Roman" w:eastAsia="Times New Roman"/>
        </w:rPr>
        <w:tab/>
      </w:r>
      <w:r>
        <w:t>矿井修理车间主要设备和厂房建筑面积</w:t>
      </w:r>
    </w:p>
    <w:p>
      <w:pPr>
        <w:pStyle w:val="6"/>
        <w:spacing w:before="4" w:after="1"/>
        <w:rPr>
          <w:b/>
          <w:sz w:val="12"/>
        </w:rPr>
      </w:pPr>
    </w:p>
    <w:tbl>
      <w:tblPr>
        <w:tblStyle w:val="10"/>
        <w:tblW w:w="0" w:type="auto"/>
        <w:tblInd w:w="9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27"/>
        <w:gridCol w:w="2127"/>
        <w:gridCol w:w="2128"/>
        <w:gridCol w:w="21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127" w:type="dxa"/>
          </w:tcPr>
          <w:p>
            <w:pPr>
              <w:pStyle w:val="14"/>
              <w:spacing w:before="173"/>
              <w:ind w:left="200" w:right="196"/>
              <w:rPr>
                <w:sz w:val="21"/>
              </w:rPr>
            </w:pPr>
            <w:r>
              <w:rPr>
                <w:sz w:val="21"/>
              </w:rPr>
              <w:t>序号</w:t>
            </w:r>
          </w:p>
        </w:tc>
        <w:tc>
          <w:tcPr>
            <w:tcW w:w="2127" w:type="dxa"/>
          </w:tcPr>
          <w:p>
            <w:pPr>
              <w:pStyle w:val="14"/>
              <w:spacing w:before="173"/>
              <w:ind w:left="201" w:right="196"/>
              <w:rPr>
                <w:sz w:val="21"/>
              </w:rPr>
            </w:pPr>
            <w:r>
              <w:rPr>
                <w:sz w:val="21"/>
              </w:rPr>
              <w:t>名称规格</w:t>
            </w:r>
          </w:p>
        </w:tc>
        <w:tc>
          <w:tcPr>
            <w:tcW w:w="2128" w:type="dxa"/>
          </w:tcPr>
          <w:p>
            <w:pPr>
              <w:pStyle w:val="14"/>
              <w:spacing w:before="173"/>
              <w:ind w:left="724" w:right="719"/>
              <w:rPr>
                <w:sz w:val="21"/>
              </w:rPr>
            </w:pPr>
            <w:r>
              <w:rPr>
                <w:sz w:val="21"/>
              </w:rPr>
              <w:t>单位</w:t>
            </w:r>
          </w:p>
        </w:tc>
        <w:tc>
          <w:tcPr>
            <w:tcW w:w="2140" w:type="dxa"/>
          </w:tcPr>
          <w:p>
            <w:pPr>
              <w:pStyle w:val="14"/>
              <w:spacing w:before="173"/>
              <w:ind w:left="837" w:right="833"/>
              <w:rPr>
                <w:sz w:val="21"/>
              </w:rPr>
            </w:pPr>
            <w:r>
              <w:rPr>
                <w:sz w:val="21"/>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127" w:type="dxa"/>
          </w:tcPr>
          <w:p>
            <w:pPr>
              <w:pStyle w:val="14"/>
              <w:spacing w:before="187"/>
              <w:ind w:left="7"/>
              <w:rPr>
                <w:rFonts w:ascii="Times New Roman"/>
                <w:sz w:val="21"/>
              </w:rPr>
            </w:pPr>
            <w:r>
              <w:rPr>
                <w:rFonts w:ascii="Times New Roman"/>
                <w:w w:val="99"/>
                <w:sz w:val="21"/>
              </w:rPr>
              <w:t>1</w:t>
            </w:r>
          </w:p>
        </w:tc>
        <w:tc>
          <w:tcPr>
            <w:tcW w:w="2127" w:type="dxa"/>
          </w:tcPr>
          <w:p>
            <w:pPr>
              <w:pStyle w:val="14"/>
              <w:spacing w:before="173"/>
              <w:ind w:left="201" w:right="194"/>
              <w:rPr>
                <w:sz w:val="21"/>
              </w:rPr>
            </w:pPr>
            <w:r>
              <w:rPr>
                <w:sz w:val="21"/>
              </w:rPr>
              <w:t>金属切削机床</w:t>
            </w:r>
          </w:p>
        </w:tc>
        <w:tc>
          <w:tcPr>
            <w:tcW w:w="2128" w:type="dxa"/>
          </w:tcPr>
          <w:p>
            <w:pPr>
              <w:pStyle w:val="14"/>
              <w:spacing w:before="173"/>
              <w:ind w:left="8"/>
              <w:rPr>
                <w:sz w:val="21"/>
              </w:rPr>
            </w:pPr>
            <w:r>
              <w:rPr>
                <w:w w:val="99"/>
                <w:sz w:val="21"/>
              </w:rPr>
              <w:t>台</w:t>
            </w:r>
          </w:p>
        </w:tc>
        <w:tc>
          <w:tcPr>
            <w:tcW w:w="2140" w:type="dxa"/>
          </w:tcPr>
          <w:p>
            <w:pPr>
              <w:pStyle w:val="14"/>
              <w:spacing w:before="187"/>
              <w:ind w:left="8"/>
              <w:rPr>
                <w:rFonts w:ascii="Times New Roman"/>
                <w:sz w:val="21"/>
              </w:rPr>
            </w:pPr>
            <w:r>
              <w:rPr>
                <w:rFonts w:ascii="Times New Roman"/>
                <w:w w:val="99"/>
                <w:sz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127" w:type="dxa"/>
          </w:tcPr>
          <w:p>
            <w:pPr>
              <w:pStyle w:val="14"/>
              <w:spacing w:before="186"/>
              <w:ind w:left="7"/>
              <w:rPr>
                <w:rFonts w:ascii="Times New Roman"/>
                <w:sz w:val="21"/>
              </w:rPr>
            </w:pPr>
            <w:r>
              <w:rPr>
                <w:rFonts w:ascii="Times New Roman"/>
                <w:w w:val="99"/>
                <w:sz w:val="21"/>
              </w:rPr>
              <w:t>2</w:t>
            </w:r>
          </w:p>
        </w:tc>
        <w:tc>
          <w:tcPr>
            <w:tcW w:w="2127" w:type="dxa"/>
          </w:tcPr>
          <w:p>
            <w:pPr>
              <w:pStyle w:val="14"/>
              <w:spacing w:before="172"/>
              <w:ind w:left="201" w:right="196"/>
              <w:rPr>
                <w:sz w:val="21"/>
              </w:rPr>
            </w:pPr>
            <w:r>
              <w:rPr>
                <w:sz w:val="21"/>
              </w:rPr>
              <w:t>锻压机床</w:t>
            </w:r>
          </w:p>
        </w:tc>
        <w:tc>
          <w:tcPr>
            <w:tcW w:w="2128" w:type="dxa"/>
          </w:tcPr>
          <w:p>
            <w:pPr>
              <w:pStyle w:val="14"/>
              <w:spacing w:before="103"/>
              <w:ind w:left="8"/>
              <w:rPr>
                <w:sz w:val="21"/>
              </w:rPr>
            </w:pPr>
            <w:r>
              <w:rPr>
                <w:w w:val="99"/>
                <w:sz w:val="21"/>
              </w:rPr>
              <w:t>台</w:t>
            </w:r>
          </w:p>
        </w:tc>
        <w:tc>
          <w:tcPr>
            <w:tcW w:w="2140" w:type="dxa"/>
          </w:tcPr>
          <w:p>
            <w:pPr>
              <w:pStyle w:val="14"/>
              <w:spacing w:before="186"/>
              <w:ind w:left="8"/>
              <w:rPr>
                <w:rFonts w:ascii="Times New Roman"/>
                <w:sz w:val="21"/>
              </w:rPr>
            </w:pPr>
            <w:r>
              <w:rPr>
                <w:rFonts w:ascii="Times New Roman"/>
                <w:w w:val="99"/>
                <w:sz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127" w:type="dxa"/>
          </w:tcPr>
          <w:p>
            <w:pPr>
              <w:pStyle w:val="14"/>
              <w:spacing w:before="186"/>
              <w:ind w:left="7"/>
              <w:rPr>
                <w:rFonts w:ascii="Times New Roman"/>
                <w:sz w:val="21"/>
              </w:rPr>
            </w:pPr>
            <w:r>
              <w:rPr>
                <w:rFonts w:ascii="Times New Roman"/>
                <w:w w:val="99"/>
                <w:sz w:val="21"/>
              </w:rPr>
              <w:t>3</w:t>
            </w:r>
          </w:p>
        </w:tc>
        <w:tc>
          <w:tcPr>
            <w:tcW w:w="2127" w:type="dxa"/>
          </w:tcPr>
          <w:p>
            <w:pPr>
              <w:pStyle w:val="14"/>
              <w:spacing w:before="172"/>
              <w:ind w:left="201" w:right="194"/>
              <w:rPr>
                <w:sz w:val="21"/>
              </w:rPr>
            </w:pPr>
            <w:r>
              <w:rPr>
                <w:sz w:val="21"/>
              </w:rPr>
              <w:t>电焊机</w:t>
            </w:r>
          </w:p>
        </w:tc>
        <w:tc>
          <w:tcPr>
            <w:tcW w:w="2128" w:type="dxa"/>
          </w:tcPr>
          <w:p>
            <w:pPr>
              <w:pStyle w:val="14"/>
              <w:spacing w:before="105"/>
              <w:ind w:left="8"/>
              <w:rPr>
                <w:sz w:val="21"/>
              </w:rPr>
            </w:pPr>
            <w:r>
              <w:rPr>
                <w:w w:val="99"/>
                <w:sz w:val="21"/>
              </w:rPr>
              <w:t>台</w:t>
            </w:r>
          </w:p>
        </w:tc>
        <w:tc>
          <w:tcPr>
            <w:tcW w:w="2140" w:type="dxa"/>
          </w:tcPr>
          <w:p>
            <w:pPr>
              <w:pStyle w:val="14"/>
              <w:spacing w:before="186"/>
              <w:ind w:left="8"/>
              <w:rPr>
                <w:rFonts w:ascii="Times New Roman"/>
                <w:sz w:val="21"/>
              </w:rPr>
            </w:pPr>
            <w:r>
              <w:rPr>
                <w:rFonts w:ascii="Times New Roman"/>
                <w:w w:val="99"/>
                <w:sz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127" w:type="dxa"/>
          </w:tcPr>
          <w:p>
            <w:pPr>
              <w:pStyle w:val="14"/>
              <w:spacing w:before="188"/>
              <w:ind w:left="7"/>
              <w:rPr>
                <w:rFonts w:ascii="Times New Roman"/>
                <w:sz w:val="21"/>
              </w:rPr>
            </w:pPr>
            <w:r>
              <w:rPr>
                <w:rFonts w:ascii="Times New Roman"/>
                <w:w w:val="99"/>
                <w:sz w:val="21"/>
              </w:rPr>
              <w:t>4</w:t>
            </w:r>
          </w:p>
        </w:tc>
        <w:tc>
          <w:tcPr>
            <w:tcW w:w="2127" w:type="dxa"/>
          </w:tcPr>
          <w:p>
            <w:pPr>
              <w:pStyle w:val="14"/>
              <w:spacing w:before="174"/>
              <w:ind w:left="201" w:right="196"/>
              <w:rPr>
                <w:sz w:val="21"/>
              </w:rPr>
            </w:pPr>
            <w:r>
              <w:rPr>
                <w:sz w:val="21"/>
              </w:rPr>
              <w:t>矿车修理专用设备</w:t>
            </w:r>
          </w:p>
        </w:tc>
        <w:tc>
          <w:tcPr>
            <w:tcW w:w="2128" w:type="dxa"/>
          </w:tcPr>
          <w:p>
            <w:pPr>
              <w:pStyle w:val="14"/>
              <w:spacing w:before="104"/>
              <w:ind w:left="8"/>
              <w:rPr>
                <w:sz w:val="21"/>
              </w:rPr>
            </w:pPr>
            <w:r>
              <w:rPr>
                <w:w w:val="99"/>
                <w:sz w:val="21"/>
              </w:rPr>
              <w:t>台</w:t>
            </w:r>
          </w:p>
        </w:tc>
        <w:tc>
          <w:tcPr>
            <w:tcW w:w="2140" w:type="dxa"/>
          </w:tcPr>
          <w:p>
            <w:pPr>
              <w:pStyle w:val="14"/>
              <w:spacing w:before="188"/>
              <w:ind w:left="8"/>
              <w:rPr>
                <w:rFonts w:ascii="Times New Roman"/>
                <w:sz w:val="21"/>
              </w:rPr>
            </w:pPr>
            <w:r>
              <w:rPr>
                <w:rFonts w:ascii="Times New Roman"/>
                <w:w w:val="99"/>
                <w:sz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2127" w:type="dxa"/>
          </w:tcPr>
          <w:p>
            <w:pPr>
              <w:pStyle w:val="14"/>
              <w:spacing w:before="187"/>
              <w:ind w:left="7"/>
              <w:rPr>
                <w:rFonts w:ascii="Times New Roman"/>
                <w:sz w:val="21"/>
              </w:rPr>
            </w:pPr>
            <w:r>
              <w:rPr>
                <w:rFonts w:ascii="Times New Roman"/>
                <w:w w:val="99"/>
                <w:sz w:val="21"/>
              </w:rPr>
              <w:t>5</w:t>
            </w:r>
          </w:p>
        </w:tc>
        <w:tc>
          <w:tcPr>
            <w:tcW w:w="2127" w:type="dxa"/>
          </w:tcPr>
          <w:p>
            <w:pPr>
              <w:pStyle w:val="14"/>
              <w:spacing w:before="173"/>
              <w:ind w:left="201" w:right="194"/>
              <w:rPr>
                <w:sz w:val="21"/>
              </w:rPr>
            </w:pPr>
            <w:r>
              <w:rPr>
                <w:sz w:val="21"/>
              </w:rPr>
              <w:t>电动单梁起重机</w:t>
            </w:r>
          </w:p>
        </w:tc>
        <w:tc>
          <w:tcPr>
            <w:tcW w:w="2128" w:type="dxa"/>
          </w:tcPr>
          <w:p>
            <w:pPr>
              <w:pStyle w:val="14"/>
              <w:spacing w:before="104"/>
              <w:ind w:left="8"/>
              <w:rPr>
                <w:sz w:val="21"/>
              </w:rPr>
            </w:pPr>
            <w:r>
              <w:rPr>
                <w:w w:val="99"/>
                <w:sz w:val="21"/>
              </w:rPr>
              <w:t>台</w:t>
            </w:r>
          </w:p>
        </w:tc>
        <w:tc>
          <w:tcPr>
            <w:tcW w:w="2140" w:type="dxa"/>
          </w:tcPr>
          <w:p>
            <w:pPr>
              <w:pStyle w:val="14"/>
              <w:spacing w:before="187"/>
              <w:ind w:left="8"/>
              <w:rPr>
                <w:rFonts w:ascii="Times New Roman"/>
                <w:sz w:val="21"/>
              </w:rPr>
            </w:pPr>
            <w:r>
              <w:rPr>
                <w:rFonts w:ascii="Times New Roman"/>
                <w:w w:val="99"/>
                <w:sz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127" w:type="dxa"/>
          </w:tcPr>
          <w:p>
            <w:pPr>
              <w:pStyle w:val="14"/>
              <w:spacing w:before="187"/>
              <w:ind w:left="7"/>
              <w:rPr>
                <w:rFonts w:ascii="Times New Roman"/>
                <w:sz w:val="21"/>
              </w:rPr>
            </w:pPr>
            <w:r>
              <w:rPr>
                <w:rFonts w:ascii="Times New Roman"/>
                <w:w w:val="99"/>
                <w:sz w:val="21"/>
              </w:rPr>
              <w:t>6</w:t>
            </w:r>
          </w:p>
        </w:tc>
        <w:tc>
          <w:tcPr>
            <w:tcW w:w="2127" w:type="dxa"/>
          </w:tcPr>
          <w:p>
            <w:pPr>
              <w:pStyle w:val="14"/>
              <w:spacing w:before="173"/>
              <w:ind w:left="201" w:right="194"/>
              <w:rPr>
                <w:sz w:val="21"/>
              </w:rPr>
            </w:pPr>
            <w:r>
              <w:rPr>
                <w:sz w:val="21"/>
              </w:rPr>
              <w:t>厂房建筑面积</w:t>
            </w:r>
          </w:p>
        </w:tc>
        <w:tc>
          <w:tcPr>
            <w:tcW w:w="2128" w:type="dxa"/>
          </w:tcPr>
          <w:p>
            <w:pPr>
              <w:pStyle w:val="14"/>
              <w:spacing w:before="103"/>
              <w:ind w:left="729" w:right="719"/>
              <w:rPr>
                <w:sz w:val="21"/>
              </w:rPr>
            </w:pPr>
            <w:r>
              <w:rPr>
                <w:sz w:val="21"/>
              </w:rPr>
              <w:t>平方米</w:t>
            </w:r>
          </w:p>
        </w:tc>
        <w:tc>
          <w:tcPr>
            <w:tcW w:w="2140" w:type="dxa"/>
          </w:tcPr>
          <w:p>
            <w:pPr>
              <w:pStyle w:val="14"/>
              <w:spacing w:before="187"/>
              <w:ind w:left="837" w:right="829"/>
              <w:rPr>
                <w:rFonts w:ascii="Times New Roman"/>
                <w:sz w:val="21"/>
              </w:rPr>
            </w:pPr>
            <w:r>
              <w:rPr>
                <w:rFonts w:ascii="Times New Roman"/>
                <w:sz w:val="21"/>
              </w:rPr>
              <w:t>650</w:t>
            </w:r>
          </w:p>
        </w:tc>
      </w:tr>
    </w:tbl>
    <w:p>
      <w:pPr>
        <w:pStyle w:val="6"/>
        <w:spacing w:before="1"/>
        <w:ind w:left="1520"/>
      </w:pPr>
      <w:r>
        <w:t>②矿井坑木加工房</w:t>
      </w:r>
    </w:p>
    <w:p>
      <w:pPr>
        <w:pStyle w:val="6"/>
        <w:spacing w:before="158" w:line="364" w:lineRule="auto"/>
        <w:ind w:left="1040" w:right="1077" w:firstLine="480"/>
      </w:pPr>
      <w:r>
        <w:rPr>
          <w:spacing w:val="-7"/>
        </w:rPr>
        <w:t>承担矿井坑木材料的加工任务。根据矿井坑木加工房承担的加工任务，坑木</w:t>
      </w:r>
      <w:r>
        <w:rPr>
          <w:spacing w:val="-3"/>
        </w:rPr>
        <w:t xml:space="preserve">加工房主要设备和厂房建筑面积配置可参照表 </w:t>
      </w:r>
      <w:r>
        <w:rPr>
          <w:rFonts w:ascii="Times New Roman" w:eastAsia="Times New Roman"/>
        </w:rPr>
        <w:t xml:space="preserve">3.3-12 </w:t>
      </w:r>
      <w:r>
        <w:t>配置。</w:t>
      </w:r>
    </w:p>
    <w:p>
      <w:pPr>
        <w:pStyle w:val="5"/>
        <w:spacing w:before="2"/>
        <w:ind w:left="2513"/>
      </w:pPr>
      <w:r>
        <w:t xml:space="preserve">表 </w:t>
      </w:r>
      <w:r>
        <w:rPr>
          <w:rFonts w:ascii="Times New Roman" w:eastAsia="Times New Roman"/>
        </w:rPr>
        <w:t xml:space="preserve">3.3-12  </w:t>
      </w:r>
      <w:r>
        <w:t>矿井坑木加工房主要设备和厂房建筑面积</w:t>
      </w:r>
    </w:p>
    <w:p>
      <w:pPr>
        <w:pStyle w:val="6"/>
        <w:spacing w:before="3" w:after="1"/>
        <w:rPr>
          <w:b/>
          <w:sz w:val="12"/>
        </w:rPr>
      </w:pPr>
    </w:p>
    <w:tbl>
      <w:tblPr>
        <w:tblStyle w:val="10"/>
        <w:tblW w:w="0" w:type="auto"/>
        <w:tblInd w:w="10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2375"/>
        <w:gridCol w:w="2237"/>
        <w:gridCol w:w="28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955" w:type="dxa"/>
          </w:tcPr>
          <w:p>
            <w:pPr>
              <w:pStyle w:val="14"/>
              <w:spacing w:before="174"/>
              <w:ind w:left="244" w:right="240"/>
              <w:rPr>
                <w:sz w:val="21"/>
              </w:rPr>
            </w:pPr>
            <w:r>
              <w:rPr>
                <w:sz w:val="21"/>
              </w:rPr>
              <w:t>序号</w:t>
            </w:r>
          </w:p>
        </w:tc>
        <w:tc>
          <w:tcPr>
            <w:tcW w:w="2375" w:type="dxa"/>
          </w:tcPr>
          <w:p>
            <w:pPr>
              <w:pStyle w:val="14"/>
              <w:spacing w:before="174"/>
              <w:ind w:left="535" w:right="527"/>
              <w:rPr>
                <w:sz w:val="21"/>
              </w:rPr>
            </w:pPr>
            <w:r>
              <w:rPr>
                <w:sz w:val="21"/>
              </w:rPr>
              <w:t>名称规格</w:t>
            </w:r>
          </w:p>
        </w:tc>
        <w:tc>
          <w:tcPr>
            <w:tcW w:w="2237" w:type="dxa"/>
          </w:tcPr>
          <w:p>
            <w:pPr>
              <w:pStyle w:val="14"/>
              <w:spacing w:before="174"/>
              <w:ind w:left="886" w:right="880"/>
              <w:rPr>
                <w:sz w:val="21"/>
              </w:rPr>
            </w:pPr>
            <w:r>
              <w:rPr>
                <w:sz w:val="21"/>
              </w:rPr>
              <w:t>单位</w:t>
            </w:r>
          </w:p>
        </w:tc>
        <w:tc>
          <w:tcPr>
            <w:tcW w:w="2825" w:type="dxa"/>
          </w:tcPr>
          <w:p>
            <w:pPr>
              <w:pStyle w:val="14"/>
              <w:spacing w:before="174"/>
              <w:ind w:left="1179" w:right="1176"/>
              <w:rPr>
                <w:sz w:val="21"/>
              </w:rPr>
            </w:pPr>
            <w:r>
              <w:rPr>
                <w:sz w:val="21"/>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955" w:type="dxa"/>
          </w:tcPr>
          <w:p>
            <w:pPr>
              <w:pStyle w:val="14"/>
              <w:spacing w:before="187"/>
              <w:ind w:left="8"/>
              <w:rPr>
                <w:rFonts w:ascii="Times New Roman"/>
                <w:sz w:val="21"/>
              </w:rPr>
            </w:pPr>
            <w:r>
              <w:rPr>
                <w:rFonts w:ascii="Times New Roman"/>
                <w:w w:val="99"/>
                <w:sz w:val="21"/>
              </w:rPr>
              <w:t>1</w:t>
            </w:r>
          </w:p>
        </w:tc>
        <w:tc>
          <w:tcPr>
            <w:tcW w:w="2375" w:type="dxa"/>
          </w:tcPr>
          <w:p>
            <w:pPr>
              <w:pStyle w:val="14"/>
              <w:spacing w:before="173"/>
              <w:ind w:left="535" w:right="530"/>
              <w:rPr>
                <w:sz w:val="21"/>
              </w:rPr>
            </w:pPr>
            <w:r>
              <w:rPr>
                <w:sz w:val="21"/>
              </w:rPr>
              <w:t>木材加工击床</w:t>
            </w:r>
          </w:p>
        </w:tc>
        <w:tc>
          <w:tcPr>
            <w:tcW w:w="2237" w:type="dxa"/>
          </w:tcPr>
          <w:p>
            <w:pPr>
              <w:pStyle w:val="14"/>
              <w:spacing w:before="173"/>
              <w:ind w:left="9"/>
              <w:rPr>
                <w:sz w:val="21"/>
              </w:rPr>
            </w:pPr>
            <w:r>
              <w:rPr>
                <w:w w:val="99"/>
                <w:sz w:val="21"/>
              </w:rPr>
              <w:t>台</w:t>
            </w:r>
          </w:p>
        </w:tc>
        <w:tc>
          <w:tcPr>
            <w:tcW w:w="2825" w:type="dxa"/>
          </w:tcPr>
          <w:p>
            <w:pPr>
              <w:pStyle w:val="14"/>
              <w:spacing w:before="187"/>
              <w:ind w:left="7"/>
              <w:rPr>
                <w:rFonts w:ascii="Times New Roman"/>
                <w:sz w:val="21"/>
              </w:rPr>
            </w:pPr>
            <w:r>
              <w:rPr>
                <w:rFonts w:ascii="Times New Roman"/>
                <w:w w:val="99"/>
                <w:sz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955" w:type="dxa"/>
          </w:tcPr>
          <w:p>
            <w:pPr>
              <w:pStyle w:val="14"/>
              <w:spacing w:before="187"/>
              <w:ind w:left="8"/>
              <w:rPr>
                <w:rFonts w:ascii="Times New Roman"/>
                <w:sz w:val="21"/>
              </w:rPr>
            </w:pPr>
            <w:r>
              <w:rPr>
                <w:rFonts w:ascii="Times New Roman"/>
                <w:w w:val="99"/>
                <w:sz w:val="21"/>
              </w:rPr>
              <w:t>2</w:t>
            </w:r>
          </w:p>
        </w:tc>
        <w:tc>
          <w:tcPr>
            <w:tcW w:w="2375" w:type="dxa"/>
          </w:tcPr>
          <w:p>
            <w:pPr>
              <w:pStyle w:val="14"/>
              <w:spacing w:before="173"/>
              <w:ind w:left="535" w:right="527"/>
              <w:rPr>
                <w:sz w:val="21"/>
              </w:rPr>
            </w:pPr>
            <w:r>
              <w:rPr>
                <w:sz w:val="21"/>
              </w:rPr>
              <w:t>修磨设备</w:t>
            </w:r>
          </w:p>
        </w:tc>
        <w:tc>
          <w:tcPr>
            <w:tcW w:w="2237" w:type="dxa"/>
          </w:tcPr>
          <w:p>
            <w:pPr>
              <w:pStyle w:val="14"/>
              <w:spacing w:before="173"/>
              <w:ind w:left="9"/>
              <w:rPr>
                <w:sz w:val="21"/>
              </w:rPr>
            </w:pPr>
            <w:r>
              <w:rPr>
                <w:w w:val="99"/>
                <w:sz w:val="21"/>
              </w:rPr>
              <w:t>台</w:t>
            </w:r>
          </w:p>
        </w:tc>
        <w:tc>
          <w:tcPr>
            <w:tcW w:w="2825" w:type="dxa"/>
          </w:tcPr>
          <w:p>
            <w:pPr>
              <w:pStyle w:val="14"/>
              <w:spacing w:before="187"/>
              <w:ind w:left="7"/>
              <w:rPr>
                <w:rFonts w:ascii="Times New Roman"/>
                <w:sz w:val="21"/>
              </w:rPr>
            </w:pPr>
            <w:r>
              <w:rPr>
                <w:rFonts w:ascii="Times New Roman"/>
                <w:w w:val="99"/>
                <w:sz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955" w:type="dxa"/>
          </w:tcPr>
          <w:p>
            <w:pPr>
              <w:pStyle w:val="14"/>
              <w:spacing w:before="187"/>
              <w:ind w:left="8"/>
              <w:rPr>
                <w:rFonts w:ascii="Times New Roman"/>
                <w:sz w:val="21"/>
              </w:rPr>
            </w:pPr>
            <w:r>
              <w:rPr>
                <w:rFonts w:ascii="Times New Roman"/>
                <w:w w:val="99"/>
                <w:sz w:val="21"/>
              </w:rPr>
              <w:t>3</w:t>
            </w:r>
          </w:p>
        </w:tc>
        <w:tc>
          <w:tcPr>
            <w:tcW w:w="2375" w:type="dxa"/>
          </w:tcPr>
          <w:p>
            <w:pPr>
              <w:pStyle w:val="14"/>
              <w:spacing w:before="173"/>
              <w:ind w:left="535" w:right="530"/>
              <w:rPr>
                <w:sz w:val="21"/>
              </w:rPr>
            </w:pPr>
            <w:r>
              <w:rPr>
                <w:sz w:val="21"/>
              </w:rPr>
              <w:t>厂房建筑面积</w:t>
            </w:r>
          </w:p>
        </w:tc>
        <w:tc>
          <w:tcPr>
            <w:tcW w:w="2237" w:type="dxa"/>
          </w:tcPr>
          <w:p>
            <w:pPr>
              <w:pStyle w:val="14"/>
              <w:spacing w:before="189"/>
              <w:ind w:left="886" w:right="879"/>
              <w:rPr>
                <w:rFonts w:ascii="Times New Roman"/>
                <w:sz w:val="13"/>
              </w:rPr>
            </w:pPr>
            <w:r>
              <w:rPr>
                <w:rFonts w:ascii="Times New Roman"/>
                <w:position w:val="-6"/>
                <w:sz w:val="21"/>
              </w:rPr>
              <w:t>m</w:t>
            </w:r>
            <w:r>
              <w:rPr>
                <w:rFonts w:ascii="Times New Roman"/>
                <w:sz w:val="13"/>
              </w:rPr>
              <w:t>2</w:t>
            </w:r>
          </w:p>
        </w:tc>
        <w:tc>
          <w:tcPr>
            <w:tcW w:w="2825" w:type="dxa"/>
          </w:tcPr>
          <w:p>
            <w:pPr>
              <w:pStyle w:val="14"/>
              <w:spacing w:before="187"/>
              <w:ind w:left="1179" w:right="1167"/>
              <w:rPr>
                <w:rFonts w:ascii="Times New Roman"/>
                <w:sz w:val="21"/>
              </w:rPr>
            </w:pPr>
            <w:r>
              <w:rPr>
                <w:rFonts w:ascii="Times New Roman"/>
                <w:sz w:val="21"/>
              </w:rPr>
              <w:t>120</w:t>
            </w:r>
          </w:p>
        </w:tc>
      </w:tr>
    </w:tbl>
    <w:p>
      <w:pPr>
        <w:spacing w:after="0"/>
        <w:rPr>
          <w:rFonts w:ascii="Times New Roman"/>
          <w:sz w:val="21"/>
        </w:rPr>
        <w:sectPr>
          <w:pgSz w:w="11910" w:h="16840"/>
          <w:pgMar w:top="1080" w:right="720" w:bottom="1160" w:left="760" w:header="0" w:footer="97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16" name="组合 61"/>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15" name="直线 62"/>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61"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aCLtQAAAADAQAADwAAAAAAAAABACAAAAAiAAAAZHJzL2Rvd25yZXYueG1s&#10;UEsBAhQAFAAAAAgAh07iQLKkLzA1AgAAtgQAAA4AAAAAAAAAAQAgAAAAIwEAAGRycy9lMm9Eb2Mu&#10;eG1sUEsFBgAAAAAGAAYAWQEAAMoFAAAAAA==&#10;">
                <o:lock v:ext="edit" aspectratio="f"/>
                <v:line id="直线 62" o:spid="_x0000_s1026" o:spt="20" style="position:absolute;left:0;top:7;height:0;width:8306;" filled="f" stroked="t" coordsize="21600,21600" o:gfxdata="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WFu7b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6"/>
        <w:spacing w:before="9"/>
        <w:rPr>
          <w:b/>
          <w:sz w:val="19"/>
        </w:rPr>
      </w:pPr>
    </w:p>
    <w:p>
      <w:pPr>
        <w:pStyle w:val="13"/>
        <w:numPr>
          <w:ilvl w:val="2"/>
          <w:numId w:val="16"/>
        </w:numPr>
        <w:tabs>
          <w:tab w:val="left" w:pos="1669"/>
        </w:tabs>
        <w:spacing w:before="71" w:after="0" w:line="240" w:lineRule="auto"/>
        <w:ind w:left="1668" w:right="0" w:hanging="629"/>
        <w:jc w:val="left"/>
        <w:rPr>
          <w:b/>
          <w:sz w:val="28"/>
        </w:rPr>
      </w:pPr>
      <w:bookmarkStart w:id="100" w:name="3.3.3场外道路工程"/>
      <w:bookmarkEnd w:id="100"/>
      <w:bookmarkStart w:id="101" w:name="3.3.3场外道路工程"/>
      <w:bookmarkEnd w:id="101"/>
      <w:r>
        <w:rPr>
          <w:b/>
          <w:sz w:val="28"/>
        </w:rPr>
        <w:t>场外道路工程</w:t>
      </w:r>
    </w:p>
    <w:p>
      <w:pPr>
        <w:pStyle w:val="6"/>
        <w:spacing w:before="265"/>
        <w:ind w:left="1520"/>
      </w:pPr>
      <w:r>
        <w:rPr>
          <w:rFonts w:ascii="Times New Roman" w:eastAsia="Times New Roman"/>
        </w:rPr>
        <w:t>1</w:t>
      </w:r>
      <w:r>
        <w:t>、场内道路</w:t>
      </w:r>
    </w:p>
    <w:p>
      <w:pPr>
        <w:pStyle w:val="6"/>
        <w:spacing w:before="160" w:line="364" w:lineRule="auto"/>
        <w:ind w:left="1040" w:right="1075" w:firstLine="480"/>
      </w:pPr>
      <w:r>
        <w:rPr>
          <w:spacing w:val="-8"/>
        </w:rPr>
        <w:t xml:space="preserve">场内道路宽度为 </w:t>
      </w:r>
      <w:r>
        <w:rPr>
          <w:rFonts w:ascii="Times New Roman" w:eastAsia="Times New Roman"/>
        </w:rPr>
        <w:t xml:space="preserve">6m </w:t>
      </w:r>
      <w:r>
        <w:rPr>
          <w:spacing w:val="-31"/>
        </w:rPr>
        <w:t xml:space="preserve">和 </w:t>
      </w:r>
      <w:r>
        <w:rPr>
          <w:rFonts w:ascii="Times New Roman" w:eastAsia="Times New Roman"/>
        </w:rPr>
        <w:t>4.5m</w:t>
      </w:r>
      <w:r>
        <w:rPr>
          <w:spacing w:val="-4"/>
        </w:rPr>
        <w:t xml:space="preserve">，路面为泥结碎石路面，最大纵坡为 </w:t>
      </w:r>
      <w:r>
        <w:rPr>
          <w:rFonts w:ascii="Times New Roman" w:eastAsia="Times New Roman"/>
        </w:rPr>
        <w:t>3%</w:t>
      </w:r>
      <w:r>
        <w:rPr>
          <w:spacing w:val="-6"/>
        </w:rPr>
        <w:t>，最小</w:t>
      </w:r>
      <w:r>
        <w:rPr>
          <w:spacing w:val="-11"/>
        </w:rPr>
        <w:t xml:space="preserve">曲线半径为 </w:t>
      </w:r>
      <w:r>
        <w:rPr>
          <w:rFonts w:ascii="Times New Roman" w:eastAsia="Times New Roman"/>
        </w:rPr>
        <w:t>6m</w:t>
      </w:r>
      <w:r>
        <w:t>。</w:t>
      </w:r>
      <w:r>
        <w:rPr>
          <w:rFonts w:ascii="Times New Roman" w:eastAsia="Times New Roman"/>
        </w:rPr>
        <w:t xml:space="preserve">6m </w:t>
      </w:r>
      <w:r>
        <w:t>道路用于煤炭运输和生活区主干线，</w:t>
      </w:r>
      <w:r>
        <w:rPr>
          <w:rFonts w:ascii="Times New Roman" w:eastAsia="Times New Roman"/>
        </w:rPr>
        <w:t xml:space="preserve">4.5m </w:t>
      </w:r>
      <w:r>
        <w:t>为普通道路。</w:t>
      </w:r>
    </w:p>
    <w:p>
      <w:pPr>
        <w:pStyle w:val="6"/>
        <w:spacing w:before="1"/>
        <w:ind w:left="1520"/>
      </w:pPr>
      <w:r>
        <w:rPr>
          <w:rFonts w:ascii="Times New Roman" w:eastAsia="Times New Roman"/>
        </w:rPr>
        <w:t>2</w:t>
      </w:r>
      <w:r>
        <w:t>、场外道路</w:t>
      </w:r>
    </w:p>
    <w:p>
      <w:pPr>
        <w:pStyle w:val="6"/>
        <w:spacing w:before="161" w:line="364" w:lineRule="auto"/>
        <w:ind w:left="1040" w:right="1077" w:firstLine="480"/>
      </w:pPr>
      <w:r>
        <w:rPr>
          <w:spacing w:val="-5"/>
        </w:rPr>
        <w:t xml:space="preserve">本矿井煤炭运输和生活区外接 </w:t>
      </w:r>
      <w:r>
        <w:rPr>
          <w:rFonts w:ascii="Times New Roman" w:eastAsia="Times New Roman"/>
        </w:rPr>
        <w:t xml:space="preserve">6m </w:t>
      </w:r>
      <w:r>
        <w:rPr>
          <w:spacing w:val="-6"/>
        </w:rPr>
        <w:t>现有道路，进出便捷，路况较好，能够满</w:t>
      </w:r>
      <w:r>
        <w:t>足矿井改造后煤炭外运的要求。</w:t>
      </w:r>
    </w:p>
    <w:p>
      <w:pPr>
        <w:pStyle w:val="4"/>
        <w:numPr>
          <w:ilvl w:val="2"/>
          <w:numId w:val="16"/>
        </w:numPr>
        <w:tabs>
          <w:tab w:val="left" w:pos="1669"/>
        </w:tabs>
        <w:spacing w:before="0" w:after="0" w:line="282" w:lineRule="exact"/>
        <w:ind w:left="1668" w:right="0" w:hanging="629"/>
        <w:jc w:val="left"/>
      </w:pPr>
      <w:bookmarkStart w:id="102" w:name="3.3.4给排水、供热与能耗"/>
      <w:bookmarkEnd w:id="102"/>
      <w:bookmarkStart w:id="103" w:name="3.3.4给排水、供热与能耗"/>
      <w:bookmarkEnd w:id="103"/>
      <w:r>
        <w:t>给排水、供热与能耗</w:t>
      </w:r>
    </w:p>
    <w:p>
      <w:pPr>
        <w:pStyle w:val="5"/>
        <w:numPr>
          <w:ilvl w:val="3"/>
          <w:numId w:val="27"/>
        </w:numPr>
        <w:tabs>
          <w:tab w:val="left" w:pos="1820"/>
        </w:tabs>
        <w:spacing w:before="264" w:after="0" w:line="240" w:lineRule="auto"/>
        <w:ind w:left="1820" w:right="0" w:hanging="780"/>
        <w:jc w:val="left"/>
      </w:pPr>
      <w:r>
        <w:t>给排水</w:t>
      </w:r>
    </w:p>
    <w:p>
      <w:pPr>
        <w:pStyle w:val="13"/>
        <w:numPr>
          <w:ilvl w:val="4"/>
          <w:numId w:val="27"/>
        </w:numPr>
        <w:tabs>
          <w:tab w:val="left" w:pos="2124"/>
        </w:tabs>
        <w:spacing w:before="161" w:after="0" w:line="240" w:lineRule="auto"/>
        <w:ind w:left="2123" w:right="0" w:hanging="602"/>
        <w:jc w:val="left"/>
        <w:rPr>
          <w:sz w:val="24"/>
        </w:rPr>
      </w:pPr>
      <w:r>
        <w:rPr>
          <w:sz w:val="24"/>
        </w:rPr>
        <w:t>用水量</w:t>
      </w:r>
    </w:p>
    <w:p>
      <w:pPr>
        <w:pStyle w:val="6"/>
        <w:spacing w:before="160" w:line="364" w:lineRule="auto"/>
        <w:ind w:left="1040" w:right="1077" w:firstLine="480"/>
      </w:pPr>
      <w:r>
        <w:rPr>
          <w:spacing w:val="-7"/>
        </w:rPr>
        <w:t>本项目主要为地面生活用水、食堂用水、洗浴用水和产尘环节洒水等，井下</w:t>
      </w:r>
      <w:r>
        <w:t>消防洒水等。</w:t>
      </w:r>
    </w:p>
    <w:p>
      <w:pPr>
        <w:pStyle w:val="6"/>
        <w:spacing w:before="1" w:line="364" w:lineRule="auto"/>
        <w:ind w:left="1040" w:right="1075" w:firstLine="480"/>
        <w:jc w:val="both"/>
      </w:pPr>
      <w:r>
        <w:rPr>
          <w:spacing w:val="-3"/>
        </w:rPr>
        <w:t xml:space="preserve">地面消防用水量：工业场地室外消防用水标准为 </w:t>
      </w:r>
      <w:r>
        <w:rPr>
          <w:rFonts w:ascii="Times New Roman" w:eastAsia="Times New Roman"/>
        </w:rPr>
        <w:t>20L/s</w:t>
      </w:r>
      <w:r>
        <w:rPr>
          <w:spacing w:val="-2"/>
        </w:rPr>
        <w:t>，居住区消防一次灭</w:t>
      </w:r>
      <w:r>
        <w:rPr>
          <w:spacing w:val="-10"/>
        </w:rPr>
        <w:t xml:space="preserve">火用水量为 </w:t>
      </w:r>
      <w:r>
        <w:rPr>
          <w:rFonts w:ascii="Times New Roman" w:eastAsia="Times New Roman"/>
        </w:rPr>
        <w:t>15L/s</w:t>
      </w:r>
      <w:r>
        <w:rPr>
          <w:spacing w:val="-14"/>
        </w:rPr>
        <w:t xml:space="preserve">，均按 </w:t>
      </w:r>
      <w:r>
        <w:rPr>
          <w:rFonts w:ascii="Times New Roman" w:eastAsia="Times New Roman"/>
        </w:rPr>
        <w:t xml:space="preserve">2 </w:t>
      </w:r>
      <w:r>
        <w:rPr>
          <w:spacing w:val="-1"/>
        </w:rPr>
        <w:t>小时计算火灾延续时间。井下消防消火栓系统消防水</w:t>
      </w:r>
      <w:r>
        <w:rPr>
          <w:spacing w:val="-20"/>
        </w:rPr>
        <w:t xml:space="preserve">量为 </w:t>
      </w:r>
      <w:r>
        <w:rPr>
          <w:rFonts w:ascii="Times New Roman" w:eastAsia="Times New Roman"/>
          <w:spacing w:val="-4"/>
        </w:rPr>
        <w:t>7.5L/s</w:t>
      </w:r>
      <w:r>
        <w:rPr>
          <w:spacing w:val="-8"/>
        </w:rPr>
        <w:t xml:space="preserve">，火灾延续时间为 </w:t>
      </w:r>
      <w:r>
        <w:rPr>
          <w:rFonts w:ascii="Times New Roman" w:eastAsia="Times New Roman"/>
          <w:spacing w:val="-9"/>
        </w:rPr>
        <w:t>6h</w:t>
      </w:r>
      <w:r>
        <w:rPr>
          <w:spacing w:val="-9"/>
        </w:rPr>
        <w:t>；自动喷洒系统、水喷雾隔火装置、泡沫灭火系</w:t>
      </w:r>
      <w:r>
        <w:rPr>
          <w:spacing w:val="5"/>
        </w:rPr>
        <w:t xml:space="preserve">统的消防水量为 </w:t>
      </w:r>
      <w:r>
        <w:rPr>
          <w:rFonts w:ascii="Times New Roman" w:eastAsia="Times New Roman"/>
          <w:spacing w:val="4"/>
        </w:rPr>
        <w:t>34.4L/s</w:t>
      </w:r>
      <w:r>
        <w:rPr>
          <w:spacing w:val="5"/>
        </w:rPr>
        <w:t xml:space="preserve">，火灾延续时间为 </w:t>
      </w:r>
      <w:r>
        <w:rPr>
          <w:rFonts w:ascii="Times New Roman" w:eastAsia="Times New Roman"/>
          <w:spacing w:val="8"/>
        </w:rPr>
        <w:t>2h</w:t>
      </w:r>
      <w:r>
        <w:rPr>
          <w:spacing w:val="14"/>
        </w:rPr>
        <w:t>。井下消防一次火灾用水量为</w:t>
      </w:r>
      <w:r>
        <w:rPr>
          <w:rFonts w:ascii="Times New Roman" w:eastAsia="Times New Roman"/>
          <w:spacing w:val="14"/>
        </w:rPr>
        <w:t>355.7m</w:t>
      </w:r>
      <w:r>
        <w:rPr>
          <w:rFonts w:ascii="Times New Roman" w:eastAsia="Times New Roman"/>
          <w:spacing w:val="14"/>
          <w:position w:val="8"/>
          <w:sz w:val="15"/>
        </w:rPr>
        <w:t>3</w:t>
      </w:r>
      <w:r>
        <w:rPr>
          <w:spacing w:val="14"/>
        </w:rPr>
        <w:t>。</w:t>
      </w:r>
    </w:p>
    <w:p>
      <w:pPr>
        <w:pStyle w:val="6"/>
        <w:spacing w:before="3" w:line="364" w:lineRule="auto"/>
        <w:ind w:left="1040" w:right="1077" w:firstLine="480"/>
        <w:jc w:val="both"/>
      </w:pPr>
      <w:r>
        <w:t>根据《煤炭工业给水排水设计规范》（</w:t>
      </w:r>
      <w:r>
        <w:rPr>
          <w:rFonts w:ascii="Times New Roman" w:eastAsia="Times New Roman"/>
        </w:rPr>
        <w:t>GB50810-2012</w:t>
      </w:r>
      <w:r>
        <w:t>）和黑龙江省地方标准《用水定额》（</w:t>
      </w:r>
      <w:r>
        <w:rPr>
          <w:rFonts w:ascii="Times New Roman" w:eastAsia="Times New Roman"/>
        </w:rPr>
        <w:t>DB727-2017</w:t>
      </w:r>
      <w:r>
        <w:t xml:space="preserve">），地面生产生活用水量见表见表 </w:t>
      </w:r>
      <w:r>
        <w:rPr>
          <w:rFonts w:ascii="Times New Roman" w:eastAsia="Times New Roman"/>
        </w:rPr>
        <w:t>3.3-13</w:t>
      </w:r>
      <w:r>
        <w:t>。</w:t>
      </w:r>
    </w:p>
    <w:p>
      <w:pPr>
        <w:pStyle w:val="5"/>
        <w:spacing w:line="232" w:lineRule="exact"/>
        <w:ind w:left="3593"/>
      </w:pPr>
      <w:r>
        <w:t xml:space="preserve">表 </w:t>
      </w:r>
      <w:r>
        <w:rPr>
          <w:rFonts w:ascii="Times New Roman" w:eastAsia="Times New Roman"/>
        </w:rPr>
        <w:t xml:space="preserve">3.3-13  </w:t>
      </w:r>
      <w:r>
        <w:t>地面生产生活用水量</w:t>
      </w:r>
    </w:p>
    <w:tbl>
      <w:tblPr>
        <w:tblStyle w:val="10"/>
        <w:tblW w:w="0" w:type="auto"/>
        <w:tblInd w:w="9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2"/>
        <w:gridCol w:w="1844"/>
        <w:gridCol w:w="1555"/>
        <w:gridCol w:w="1386"/>
        <w:gridCol w:w="1427"/>
        <w:gridCol w:w="1619"/>
      </w:tblGrid>
      <w:tr>
        <w:tblPrEx>
          <w:tblCellMar>
            <w:top w:w="0" w:type="dxa"/>
            <w:left w:w="0" w:type="dxa"/>
            <w:bottom w:w="0" w:type="dxa"/>
            <w:right w:w="0" w:type="dxa"/>
          </w:tblCellMar>
        </w:tblPrEx>
        <w:trPr>
          <w:trHeight w:val="272" w:hRule="atLeast"/>
        </w:trPr>
        <w:tc>
          <w:tcPr>
            <w:tcW w:w="692" w:type="dxa"/>
          </w:tcPr>
          <w:p>
            <w:pPr>
              <w:pStyle w:val="14"/>
              <w:spacing w:line="253" w:lineRule="exact"/>
              <w:ind w:left="107"/>
              <w:jc w:val="left"/>
              <w:rPr>
                <w:sz w:val="21"/>
              </w:rPr>
            </w:pPr>
            <w:r>
              <w:rPr>
                <w:sz w:val="21"/>
              </w:rPr>
              <w:t>序号</w:t>
            </w:r>
          </w:p>
        </w:tc>
        <w:tc>
          <w:tcPr>
            <w:tcW w:w="1844" w:type="dxa"/>
          </w:tcPr>
          <w:p>
            <w:pPr>
              <w:pStyle w:val="14"/>
              <w:spacing w:line="253" w:lineRule="exact"/>
              <w:ind w:left="106"/>
              <w:jc w:val="left"/>
              <w:rPr>
                <w:sz w:val="21"/>
              </w:rPr>
            </w:pPr>
            <w:r>
              <w:rPr>
                <w:sz w:val="21"/>
              </w:rPr>
              <w:t>用水项目</w:t>
            </w:r>
          </w:p>
        </w:tc>
        <w:tc>
          <w:tcPr>
            <w:tcW w:w="1555" w:type="dxa"/>
          </w:tcPr>
          <w:p>
            <w:pPr>
              <w:pStyle w:val="14"/>
              <w:spacing w:line="253" w:lineRule="exact"/>
              <w:ind w:left="108"/>
              <w:jc w:val="left"/>
              <w:rPr>
                <w:sz w:val="21"/>
              </w:rPr>
            </w:pPr>
            <w:r>
              <w:rPr>
                <w:sz w:val="21"/>
              </w:rPr>
              <w:t>用水标准</w:t>
            </w:r>
          </w:p>
        </w:tc>
        <w:tc>
          <w:tcPr>
            <w:tcW w:w="2813" w:type="dxa"/>
            <w:gridSpan w:val="2"/>
          </w:tcPr>
          <w:p>
            <w:pPr>
              <w:pStyle w:val="14"/>
              <w:spacing w:line="253" w:lineRule="exact"/>
              <w:ind w:left="108"/>
              <w:jc w:val="left"/>
              <w:rPr>
                <w:sz w:val="21"/>
              </w:rPr>
            </w:pPr>
            <w:r>
              <w:rPr>
                <w:sz w:val="21"/>
              </w:rPr>
              <w:t>用水量（</w:t>
            </w:r>
            <w:r>
              <w:rPr>
                <w:rFonts w:ascii="Times New Roman" w:eastAsia="Times New Roman"/>
                <w:sz w:val="21"/>
              </w:rPr>
              <w:t>m</w:t>
            </w:r>
            <w:r>
              <w:rPr>
                <w:rFonts w:ascii="Times New Roman" w:eastAsia="Times New Roman"/>
                <w:position w:val="7"/>
                <w:sz w:val="13"/>
              </w:rPr>
              <w:t>3</w:t>
            </w:r>
            <w:r>
              <w:rPr>
                <w:rFonts w:ascii="Times New Roman" w:eastAsia="Times New Roman"/>
                <w:sz w:val="21"/>
              </w:rPr>
              <w:t>/d</w:t>
            </w:r>
            <w:r>
              <w:rPr>
                <w:sz w:val="21"/>
              </w:rPr>
              <w:t>）</w:t>
            </w:r>
          </w:p>
        </w:tc>
        <w:tc>
          <w:tcPr>
            <w:tcW w:w="1619" w:type="dxa"/>
          </w:tcPr>
          <w:p>
            <w:pPr>
              <w:pStyle w:val="14"/>
              <w:spacing w:line="253" w:lineRule="exact"/>
              <w:ind w:left="106"/>
              <w:jc w:val="left"/>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92" w:type="dxa"/>
          </w:tcPr>
          <w:p>
            <w:pPr>
              <w:pStyle w:val="14"/>
              <w:spacing w:before="14" w:line="238" w:lineRule="exact"/>
              <w:ind w:left="107"/>
              <w:jc w:val="left"/>
              <w:rPr>
                <w:rFonts w:ascii="Times New Roman"/>
                <w:sz w:val="21"/>
              </w:rPr>
            </w:pPr>
            <w:r>
              <w:rPr>
                <w:rFonts w:ascii="Times New Roman"/>
                <w:w w:val="99"/>
                <w:sz w:val="21"/>
              </w:rPr>
              <w:t>1</w:t>
            </w:r>
          </w:p>
        </w:tc>
        <w:tc>
          <w:tcPr>
            <w:tcW w:w="1844" w:type="dxa"/>
          </w:tcPr>
          <w:p>
            <w:pPr>
              <w:pStyle w:val="14"/>
              <w:spacing w:line="252" w:lineRule="exact"/>
              <w:ind w:left="106"/>
              <w:jc w:val="left"/>
              <w:rPr>
                <w:sz w:val="21"/>
              </w:rPr>
            </w:pPr>
            <w:r>
              <w:rPr>
                <w:sz w:val="21"/>
              </w:rPr>
              <w:t>职工生活</w:t>
            </w:r>
          </w:p>
        </w:tc>
        <w:tc>
          <w:tcPr>
            <w:tcW w:w="1555" w:type="dxa"/>
          </w:tcPr>
          <w:p>
            <w:pPr>
              <w:pStyle w:val="14"/>
              <w:spacing w:line="252" w:lineRule="exact"/>
              <w:ind w:left="108"/>
              <w:jc w:val="left"/>
              <w:rPr>
                <w:rFonts w:ascii="Times New Roman" w:hAnsi="Times New Roman" w:eastAsia="Times New Roman"/>
                <w:sz w:val="21"/>
              </w:rPr>
            </w:pPr>
            <w:r>
              <w:rPr>
                <w:rFonts w:ascii="Times New Roman" w:hAnsi="Times New Roman" w:eastAsia="Times New Roman"/>
                <w:sz w:val="21"/>
              </w:rPr>
              <w:t>30L/</w:t>
            </w:r>
            <w:r>
              <w:rPr>
                <w:sz w:val="21"/>
              </w:rPr>
              <w:t>人</w:t>
            </w:r>
            <w:r>
              <w:rPr>
                <w:rFonts w:ascii="Times New Roman" w:hAnsi="Times New Roman" w:eastAsia="Times New Roman"/>
                <w:sz w:val="21"/>
              </w:rPr>
              <w:t>·d</w:t>
            </w:r>
          </w:p>
        </w:tc>
        <w:tc>
          <w:tcPr>
            <w:tcW w:w="2813" w:type="dxa"/>
            <w:gridSpan w:val="2"/>
          </w:tcPr>
          <w:p>
            <w:pPr>
              <w:pStyle w:val="14"/>
              <w:spacing w:before="14" w:line="238" w:lineRule="exact"/>
              <w:ind w:left="108"/>
              <w:jc w:val="left"/>
              <w:rPr>
                <w:rFonts w:ascii="Times New Roman"/>
                <w:sz w:val="21"/>
              </w:rPr>
            </w:pPr>
            <w:r>
              <w:rPr>
                <w:rFonts w:ascii="Times New Roman"/>
                <w:sz w:val="21"/>
              </w:rPr>
              <w:t>19.95</w:t>
            </w:r>
          </w:p>
        </w:tc>
        <w:tc>
          <w:tcPr>
            <w:tcW w:w="1619" w:type="dxa"/>
          </w:tcPr>
          <w:p>
            <w:pPr>
              <w:pStyle w:val="14"/>
              <w:spacing w:line="252" w:lineRule="exact"/>
              <w:ind w:left="106"/>
              <w:jc w:val="left"/>
              <w:rPr>
                <w:sz w:val="21"/>
              </w:rPr>
            </w:pPr>
            <w:r>
              <w:rPr>
                <w:sz w:val="21"/>
              </w:rPr>
              <w:t xml:space="preserve">合计 </w:t>
            </w:r>
            <w:r>
              <w:rPr>
                <w:rFonts w:ascii="Times New Roman" w:eastAsia="Times New Roman"/>
                <w:sz w:val="21"/>
              </w:rPr>
              <w:t xml:space="preserve">665 </w:t>
            </w:r>
            <w:r>
              <w:rPr>
                <w:sz w:val="21"/>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692" w:type="dxa"/>
          </w:tcPr>
          <w:p>
            <w:pPr>
              <w:pStyle w:val="14"/>
              <w:spacing w:before="150"/>
              <w:ind w:left="107"/>
              <w:jc w:val="left"/>
              <w:rPr>
                <w:rFonts w:ascii="Times New Roman"/>
                <w:sz w:val="21"/>
              </w:rPr>
            </w:pPr>
            <w:r>
              <w:rPr>
                <w:rFonts w:ascii="Times New Roman"/>
                <w:w w:val="99"/>
                <w:sz w:val="21"/>
              </w:rPr>
              <w:t>2</w:t>
            </w:r>
          </w:p>
        </w:tc>
        <w:tc>
          <w:tcPr>
            <w:tcW w:w="1844" w:type="dxa"/>
          </w:tcPr>
          <w:p>
            <w:pPr>
              <w:pStyle w:val="14"/>
              <w:spacing w:before="136"/>
              <w:ind w:left="106"/>
              <w:jc w:val="left"/>
              <w:rPr>
                <w:sz w:val="21"/>
              </w:rPr>
            </w:pPr>
            <w:r>
              <w:rPr>
                <w:sz w:val="21"/>
              </w:rPr>
              <w:t>职工食堂</w:t>
            </w:r>
          </w:p>
        </w:tc>
        <w:tc>
          <w:tcPr>
            <w:tcW w:w="1555" w:type="dxa"/>
          </w:tcPr>
          <w:p>
            <w:pPr>
              <w:pStyle w:val="14"/>
              <w:spacing w:before="136"/>
              <w:ind w:left="108"/>
              <w:jc w:val="left"/>
              <w:rPr>
                <w:sz w:val="21"/>
              </w:rPr>
            </w:pPr>
            <w:r>
              <w:rPr>
                <w:rFonts w:ascii="Times New Roman" w:hAnsi="Times New Roman" w:eastAsia="Times New Roman"/>
                <w:sz w:val="21"/>
              </w:rPr>
              <w:t>20L/</w:t>
            </w:r>
            <w:r>
              <w:rPr>
                <w:sz w:val="21"/>
              </w:rPr>
              <w:t>人</w:t>
            </w:r>
            <w:r>
              <w:rPr>
                <w:rFonts w:ascii="Times New Roman" w:hAnsi="Times New Roman" w:eastAsia="Times New Roman"/>
                <w:sz w:val="21"/>
              </w:rPr>
              <w:t>·</w:t>
            </w:r>
            <w:r>
              <w:rPr>
                <w:sz w:val="21"/>
              </w:rPr>
              <w:t>餐</w:t>
            </w:r>
          </w:p>
        </w:tc>
        <w:tc>
          <w:tcPr>
            <w:tcW w:w="2813" w:type="dxa"/>
            <w:gridSpan w:val="2"/>
          </w:tcPr>
          <w:p>
            <w:pPr>
              <w:pStyle w:val="14"/>
              <w:spacing w:before="150"/>
              <w:ind w:left="108"/>
              <w:jc w:val="left"/>
              <w:rPr>
                <w:rFonts w:ascii="Times New Roman"/>
                <w:sz w:val="21"/>
              </w:rPr>
            </w:pPr>
            <w:r>
              <w:rPr>
                <w:rFonts w:ascii="Times New Roman"/>
                <w:sz w:val="21"/>
              </w:rPr>
              <w:t>26.6</w:t>
            </w:r>
          </w:p>
        </w:tc>
        <w:tc>
          <w:tcPr>
            <w:tcW w:w="1619" w:type="dxa"/>
          </w:tcPr>
          <w:p>
            <w:pPr>
              <w:pStyle w:val="14"/>
              <w:spacing w:before="1"/>
              <w:ind w:left="106"/>
              <w:jc w:val="left"/>
              <w:rPr>
                <w:rFonts w:ascii="Times New Roman" w:eastAsia="Times New Roman"/>
                <w:sz w:val="21"/>
              </w:rPr>
            </w:pPr>
            <w:r>
              <w:rPr>
                <w:rFonts w:ascii="Times New Roman" w:eastAsia="Times New Roman"/>
                <w:w w:val="99"/>
                <w:sz w:val="21"/>
              </w:rPr>
              <w:t>2</w:t>
            </w:r>
            <w:r>
              <w:rPr>
                <w:rFonts w:ascii="Times New Roman" w:eastAsia="Times New Roman"/>
                <w:spacing w:val="-11"/>
                <w:sz w:val="21"/>
              </w:rPr>
              <w:t xml:space="preserve"> </w:t>
            </w:r>
            <w:r>
              <w:rPr>
                <w:spacing w:val="2"/>
                <w:w w:val="99"/>
                <w:sz w:val="21"/>
              </w:rPr>
              <w:t>餐</w:t>
            </w:r>
            <w:r>
              <w:rPr>
                <w:rFonts w:ascii="Times New Roman" w:eastAsia="Times New Roman"/>
                <w:spacing w:val="-1"/>
                <w:w w:val="99"/>
                <w:sz w:val="21"/>
              </w:rPr>
              <w:t>/</w:t>
            </w:r>
            <w:r>
              <w:rPr>
                <w:rFonts w:ascii="Times New Roman" w:eastAsia="Times New Roman"/>
                <w:spacing w:val="1"/>
                <w:w w:val="99"/>
                <w:sz w:val="21"/>
              </w:rPr>
              <w:t>d</w:t>
            </w:r>
            <w:r>
              <w:rPr>
                <w:spacing w:val="-36"/>
                <w:w w:val="99"/>
                <w:sz w:val="21"/>
              </w:rPr>
              <w:t>，合计</w:t>
            </w:r>
            <w:r>
              <w:rPr>
                <w:spacing w:val="-60"/>
                <w:sz w:val="21"/>
              </w:rPr>
              <w:t xml:space="preserve"> </w:t>
            </w:r>
            <w:r>
              <w:rPr>
                <w:rFonts w:ascii="Times New Roman" w:eastAsia="Times New Roman"/>
                <w:spacing w:val="1"/>
                <w:w w:val="99"/>
                <w:sz w:val="21"/>
              </w:rPr>
              <w:t>6</w:t>
            </w:r>
            <w:r>
              <w:rPr>
                <w:rFonts w:ascii="Times New Roman" w:eastAsia="Times New Roman"/>
                <w:spacing w:val="-2"/>
                <w:w w:val="99"/>
                <w:sz w:val="21"/>
              </w:rPr>
              <w:t>6</w:t>
            </w:r>
            <w:r>
              <w:rPr>
                <w:rFonts w:ascii="Times New Roman" w:eastAsia="Times New Roman"/>
                <w:w w:val="99"/>
                <w:sz w:val="21"/>
              </w:rPr>
              <w:t>5</w:t>
            </w:r>
          </w:p>
          <w:p>
            <w:pPr>
              <w:pStyle w:val="14"/>
              <w:spacing w:before="2" w:line="252" w:lineRule="exact"/>
              <w:ind w:left="106"/>
              <w:jc w:val="left"/>
              <w:rPr>
                <w:sz w:val="21"/>
              </w:rPr>
            </w:pPr>
            <w:r>
              <w:rPr>
                <w:w w:val="99"/>
                <w:sz w:val="21"/>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92" w:type="dxa"/>
          </w:tcPr>
          <w:p>
            <w:pPr>
              <w:pStyle w:val="14"/>
              <w:spacing w:before="15" w:line="237" w:lineRule="exact"/>
              <w:ind w:left="107"/>
              <w:jc w:val="left"/>
              <w:rPr>
                <w:rFonts w:ascii="Times New Roman"/>
                <w:sz w:val="21"/>
              </w:rPr>
            </w:pPr>
            <w:r>
              <w:rPr>
                <w:rFonts w:ascii="Times New Roman"/>
                <w:w w:val="99"/>
                <w:sz w:val="21"/>
              </w:rPr>
              <w:t>3</w:t>
            </w:r>
          </w:p>
        </w:tc>
        <w:tc>
          <w:tcPr>
            <w:tcW w:w="1844" w:type="dxa"/>
          </w:tcPr>
          <w:p>
            <w:pPr>
              <w:pStyle w:val="14"/>
              <w:spacing w:before="1" w:line="251" w:lineRule="exact"/>
              <w:ind w:left="106"/>
              <w:jc w:val="left"/>
              <w:rPr>
                <w:sz w:val="21"/>
              </w:rPr>
            </w:pPr>
            <w:r>
              <w:rPr>
                <w:sz w:val="21"/>
              </w:rPr>
              <w:t>浴室、洗衣</w:t>
            </w:r>
          </w:p>
        </w:tc>
        <w:tc>
          <w:tcPr>
            <w:tcW w:w="1555" w:type="dxa"/>
          </w:tcPr>
          <w:p>
            <w:pPr>
              <w:pStyle w:val="14"/>
              <w:spacing w:before="1" w:line="251" w:lineRule="exact"/>
              <w:ind w:left="108"/>
              <w:jc w:val="left"/>
              <w:rPr>
                <w:rFonts w:ascii="Times New Roman" w:hAnsi="Times New Roman" w:eastAsia="Times New Roman"/>
                <w:sz w:val="21"/>
              </w:rPr>
            </w:pPr>
            <w:r>
              <w:rPr>
                <w:rFonts w:ascii="Times New Roman" w:hAnsi="Times New Roman" w:eastAsia="Times New Roman"/>
                <w:sz w:val="21"/>
              </w:rPr>
              <w:t>150L/</w:t>
            </w:r>
            <w:r>
              <w:rPr>
                <w:sz w:val="21"/>
              </w:rPr>
              <w:t>人</w:t>
            </w:r>
            <w:r>
              <w:rPr>
                <w:rFonts w:ascii="Times New Roman" w:hAnsi="Times New Roman" w:eastAsia="Times New Roman"/>
                <w:sz w:val="21"/>
              </w:rPr>
              <w:t>·d</w:t>
            </w:r>
          </w:p>
        </w:tc>
        <w:tc>
          <w:tcPr>
            <w:tcW w:w="2813" w:type="dxa"/>
            <w:gridSpan w:val="2"/>
          </w:tcPr>
          <w:p>
            <w:pPr>
              <w:pStyle w:val="14"/>
              <w:spacing w:before="15" w:line="237" w:lineRule="exact"/>
              <w:ind w:left="108"/>
              <w:jc w:val="left"/>
              <w:rPr>
                <w:rFonts w:ascii="Times New Roman"/>
                <w:sz w:val="21"/>
              </w:rPr>
            </w:pPr>
            <w:r>
              <w:rPr>
                <w:rFonts w:ascii="Times New Roman"/>
                <w:sz w:val="21"/>
              </w:rPr>
              <w:t>62.1</w:t>
            </w:r>
          </w:p>
        </w:tc>
        <w:tc>
          <w:tcPr>
            <w:tcW w:w="1619" w:type="dxa"/>
          </w:tcPr>
          <w:p>
            <w:pPr>
              <w:pStyle w:val="14"/>
              <w:spacing w:before="1" w:line="251" w:lineRule="exact"/>
              <w:ind w:left="106"/>
              <w:jc w:val="left"/>
              <w:rPr>
                <w:sz w:val="21"/>
              </w:rPr>
            </w:pPr>
            <w:r>
              <w:rPr>
                <w:sz w:val="21"/>
              </w:rPr>
              <w:t xml:space="preserve">合计 </w:t>
            </w:r>
            <w:r>
              <w:rPr>
                <w:rFonts w:ascii="Times New Roman" w:eastAsia="Times New Roman"/>
                <w:sz w:val="21"/>
              </w:rPr>
              <w:t xml:space="preserve">414 </w:t>
            </w:r>
            <w:r>
              <w:rPr>
                <w:sz w:val="21"/>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692" w:type="dxa"/>
          </w:tcPr>
          <w:p>
            <w:pPr>
              <w:pStyle w:val="14"/>
              <w:spacing w:before="150"/>
              <w:ind w:left="107"/>
              <w:jc w:val="left"/>
              <w:rPr>
                <w:rFonts w:ascii="Times New Roman"/>
                <w:sz w:val="21"/>
              </w:rPr>
            </w:pPr>
            <w:r>
              <w:rPr>
                <w:rFonts w:ascii="Times New Roman"/>
                <w:w w:val="99"/>
                <w:sz w:val="21"/>
              </w:rPr>
              <w:t>4</w:t>
            </w:r>
          </w:p>
        </w:tc>
        <w:tc>
          <w:tcPr>
            <w:tcW w:w="1844" w:type="dxa"/>
          </w:tcPr>
          <w:p>
            <w:pPr>
              <w:pStyle w:val="14"/>
              <w:spacing w:before="136"/>
              <w:ind w:left="106"/>
              <w:jc w:val="left"/>
              <w:rPr>
                <w:sz w:val="21"/>
              </w:rPr>
            </w:pPr>
            <w:r>
              <w:rPr>
                <w:sz w:val="21"/>
              </w:rPr>
              <w:t>锅炉补充水</w:t>
            </w:r>
          </w:p>
        </w:tc>
        <w:tc>
          <w:tcPr>
            <w:tcW w:w="1555" w:type="dxa"/>
          </w:tcPr>
          <w:p>
            <w:pPr>
              <w:pStyle w:val="14"/>
              <w:jc w:val="left"/>
              <w:rPr>
                <w:rFonts w:ascii="Times New Roman"/>
                <w:sz w:val="22"/>
              </w:rPr>
            </w:pPr>
          </w:p>
        </w:tc>
        <w:tc>
          <w:tcPr>
            <w:tcW w:w="1386" w:type="dxa"/>
          </w:tcPr>
          <w:p>
            <w:pPr>
              <w:pStyle w:val="14"/>
              <w:spacing w:before="136"/>
              <w:ind w:left="108"/>
              <w:jc w:val="left"/>
              <w:rPr>
                <w:sz w:val="21"/>
              </w:rPr>
            </w:pPr>
            <w:r>
              <w:rPr>
                <w:rFonts w:ascii="Times New Roman" w:eastAsia="Times New Roman"/>
                <w:spacing w:val="-15"/>
                <w:sz w:val="21"/>
              </w:rPr>
              <w:t>1.5</w:t>
            </w:r>
            <w:r>
              <w:rPr>
                <w:spacing w:val="-15"/>
                <w:sz w:val="21"/>
              </w:rPr>
              <w:t>（</w:t>
            </w:r>
            <w:r>
              <w:rPr>
                <w:sz w:val="21"/>
              </w:rPr>
              <w:t>采暖期）</w:t>
            </w:r>
          </w:p>
        </w:tc>
        <w:tc>
          <w:tcPr>
            <w:tcW w:w="1427" w:type="dxa"/>
          </w:tcPr>
          <w:p>
            <w:pPr>
              <w:pStyle w:val="14"/>
              <w:spacing w:before="1" w:line="270" w:lineRule="atLeast"/>
              <w:ind w:left="88" w:right="186"/>
              <w:jc w:val="left"/>
              <w:rPr>
                <w:sz w:val="21"/>
              </w:rPr>
            </w:pPr>
            <w:r>
              <w:rPr>
                <w:rFonts w:ascii="Times New Roman" w:eastAsia="Times New Roman"/>
                <w:sz w:val="21"/>
              </w:rPr>
              <w:t>0.5</w:t>
            </w:r>
            <w:r>
              <w:rPr>
                <w:sz w:val="21"/>
              </w:rPr>
              <w:t>（非采暖期）</w:t>
            </w:r>
          </w:p>
        </w:tc>
        <w:tc>
          <w:tcPr>
            <w:tcW w:w="1619" w:type="dxa"/>
          </w:tcPr>
          <w:p>
            <w:pPr>
              <w:pStyle w:val="14"/>
              <w:spacing w:before="2"/>
              <w:ind w:left="106"/>
              <w:jc w:val="left"/>
              <w:rPr>
                <w:rFonts w:ascii="Times New Roman" w:eastAsia="Times New Roman"/>
                <w:sz w:val="21"/>
              </w:rPr>
            </w:pPr>
            <w:r>
              <w:rPr>
                <w:sz w:val="21"/>
              </w:rPr>
              <w:t xml:space="preserve">采暖期按 </w:t>
            </w:r>
            <w:r>
              <w:rPr>
                <w:rFonts w:ascii="Times New Roman" w:eastAsia="Times New Roman"/>
                <w:sz w:val="21"/>
              </w:rPr>
              <w:t>180</w:t>
            </w:r>
          </w:p>
          <w:p>
            <w:pPr>
              <w:pStyle w:val="14"/>
              <w:spacing w:before="2" w:line="252" w:lineRule="exact"/>
              <w:ind w:left="106"/>
              <w:jc w:val="left"/>
              <w:rPr>
                <w:sz w:val="21"/>
              </w:rPr>
            </w:pPr>
            <w:r>
              <w:rPr>
                <w:w w:val="99"/>
                <w:sz w:val="21"/>
              </w:rPr>
              <w:t>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692" w:type="dxa"/>
          </w:tcPr>
          <w:p>
            <w:pPr>
              <w:pStyle w:val="14"/>
              <w:spacing w:before="150"/>
              <w:ind w:left="107"/>
              <w:jc w:val="left"/>
              <w:rPr>
                <w:rFonts w:ascii="Times New Roman"/>
                <w:sz w:val="21"/>
              </w:rPr>
            </w:pPr>
            <w:r>
              <w:rPr>
                <w:rFonts w:ascii="Times New Roman"/>
                <w:w w:val="99"/>
                <w:sz w:val="21"/>
              </w:rPr>
              <w:t>5</w:t>
            </w:r>
          </w:p>
        </w:tc>
        <w:tc>
          <w:tcPr>
            <w:tcW w:w="1844" w:type="dxa"/>
          </w:tcPr>
          <w:p>
            <w:pPr>
              <w:pStyle w:val="14"/>
              <w:spacing w:line="268" w:lineRule="exact"/>
              <w:ind w:left="106"/>
              <w:jc w:val="left"/>
              <w:rPr>
                <w:sz w:val="21"/>
              </w:rPr>
            </w:pPr>
            <w:r>
              <w:rPr>
                <w:sz w:val="21"/>
              </w:rPr>
              <w:t>绿化及其它用水</w:t>
            </w:r>
          </w:p>
          <w:p>
            <w:pPr>
              <w:pStyle w:val="14"/>
              <w:spacing w:before="4" w:line="251" w:lineRule="exact"/>
              <w:ind w:left="106"/>
              <w:jc w:val="left"/>
              <w:rPr>
                <w:sz w:val="21"/>
              </w:rPr>
            </w:pPr>
            <w:r>
              <w:rPr>
                <w:w w:val="99"/>
                <w:sz w:val="21"/>
              </w:rPr>
              <w:t>量</w:t>
            </w:r>
          </w:p>
        </w:tc>
        <w:tc>
          <w:tcPr>
            <w:tcW w:w="1555" w:type="dxa"/>
          </w:tcPr>
          <w:p>
            <w:pPr>
              <w:pStyle w:val="14"/>
              <w:spacing w:before="150"/>
              <w:ind w:left="108"/>
              <w:jc w:val="left"/>
              <w:rPr>
                <w:rFonts w:ascii="Times New Roman"/>
                <w:sz w:val="13"/>
              </w:rPr>
            </w:pPr>
            <w:r>
              <w:rPr>
                <w:rFonts w:ascii="Times New Roman"/>
                <w:sz w:val="21"/>
              </w:rPr>
              <w:t>1L/m</w:t>
            </w:r>
            <w:r>
              <w:rPr>
                <w:rFonts w:ascii="Times New Roman"/>
                <w:position w:val="7"/>
                <w:sz w:val="13"/>
              </w:rPr>
              <w:t>2</w:t>
            </w:r>
          </w:p>
        </w:tc>
        <w:tc>
          <w:tcPr>
            <w:tcW w:w="2813" w:type="dxa"/>
            <w:gridSpan w:val="2"/>
          </w:tcPr>
          <w:p>
            <w:pPr>
              <w:pStyle w:val="14"/>
              <w:spacing w:before="136"/>
              <w:ind w:left="108"/>
              <w:jc w:val="left"/>
              <w:rPr>
                <w:sz w:val="21"/>
              </w:rPr>
            </w:pPr>
            <w:r>
              <w:rPr>
                <w:rFonts w:ascii="Times New Roman" w:eastAsia="Times New Roman"/>
                <w:sz w:val="21"/>
              </w:rPr>
              <w:t>7.44</w:t>
            </w:r>
            <w:r>
              <w:rPr>
                <w:sz w:val="21"/>
              </w:rPr>
              <w:t>（夏季）</w:t>
            </w:r>
          </w:p>
        </w:tc>
        <w:tc>
          <w:tcPr>
            <w:tcW w:w="1619" w:type="dxa"/>
          </w:tcPr>
          <w:p>
            <w:pPr>
              <w:pStyle w:val="14"/>
              <w:spacing w:before="136"/>
              <w:ind w:left="106"/>
              <w:jc w:val="left"/>
              <w:rPr>
                <w:sz w:val="21"/>
              </w:rPr>
            </w:pPr>
            <w:r>
              <w:rPr>
                <w:sz w:val="21"/>
              </w:rPr>
              <w:t xml:space="preserve">夏季按 </w:t>
            </w:r>
            <w:r>
              <w:rPr>
                <w:rFonts w:ascii="Times New Roman" w:eastAsia="Times New Roman"/>
                <w:sz w:val="21"/>
              </w:rPr>
              <w:t xml:space="preserve">60 </w:t>
            </w:r>
            <w:r>
              <w:rPr>
                <w:sz w:val="21"/>
              </w:rPr>
              <w:t>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92" w:type="dxa"/>
          </w:tcPr>
          <w:p>
            <w:pPr>
              <w:pStyle w:val="14"/>
              <w:spacing w:before="16" w:line="237" w:lineRule="exact"/>
              <w:ind w:left="107"/>
              <w:jc w:val="left"/>
              <w:rPr>
                <w:rFonts w:ascii="Times New Roman"/>
                <w:sz w:val="21"/>
              </w:rPr>
            </w:pPr>
            <w:r>
              <w:rPr>
                <w:rFonts w:ascii="Times New Roman"/>
                <w:w w:val="99"/>
                <w:sz w:val="21"/>
              </w:rPr>
              <w:t>6</w:t>
            </w:r>
          </w:p>
        </w:tc>
        <w:tc>
          <w:tcPr>
            <w:tcW w:w="1844" w:type="dxa"/>
          </w:tcPr>
          <w:p>
            <w:pPr>
              <w:pStyle w:val="14"/>
              <w:spacing w:before="2" w:line="251" w:lineRule="exact"/>
              <w:ind w:left="106"/>
              <w:jc w:val="left"/>
              <w:rPr>
                <w:sz w:val="21"/>
              </w:rPr>
            </w:pPr>
            <w:r>
              <w:rPr>
                <w:sz w:val="21"/>
              </w:rPr>
              <w:t>道路洒水</w:t>
            </w:r>
          </w:p>
        </w:tc>
        <w:tc>
          <w:tcPr>
            <w:tcW w:w="1555" w:type="dxa"/>
          </w:tcPr>
          <w:p>
            <w:pPr>
              <w:pStyle w:val="14"/>
              <w:spacing w:before="16" w:line="237" w:lineRule="exact"/>
              <w:ind w:left="108"/>
              <w:jc w:val="left"/>
              <w:rPr>
                <w:rFonts w:ascii="Times New Roman"/>
                <w:sz w:val="13"/>
              </w:rPr>
            </w:pPr>
            <w:r>
              <w:rPr>
                <w:rFonts w:ascii="Times New Roman"/>
                <w:sz w:val="21"/>
              </w:rPr>
              <w:t>2L/m</w:t>
            </w:r>
            <w:r>
              <w:rPr>
                <w:rFonts w:ascii="Times New Roman"/>
                <w:position w:val="7"/>
                <w:sz w:val="13"/>
              </w:rPr>
              <w:t>2</w:t>
            </w:r>
          </w:p>
        </w:tc>
        <w:tc>
          <w:tcPr>
            <w:tcW w:w="2813" w:type="dxa"/>
            <w:gridSpan w:val="2"/>
          </w:tcPr>
          <w:p>
            <w:pPr>
              <w:pStyle w:val="14"/>
              <w:spacing w:before="16" w:line="237" w:lineRule="exact"/>
              <w:ind w:left="108"/>
              <w:jc w:val="left"/>
              <w:rPr>
                <w:rFonts w:ascii="Times New Roman"/>
                <w:sz w:val="21"/>
              </w:rPr>
            </w:pPr>
            <w:r>
              <w:rPr>
                <w:rFonts w:ascii="Times New Roman"/>
                <w:w w:val="99"/>
                <w:sz w:val="21"/>
              </w:rPr>
              <w:t>4</w:t>
            </w:r>
          </w:p>
        </w:tc>
        <w:tc>
          <w:tcPr>
            <w:tcW w:w="1619" w:type="dxa"/>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92" w:type="dxa"/>
          </w:tcPr>
          <w:p>
            <w:pPr>
              <w:pStyle w:val="14"/>
              <w:spacing w:line="252" w:lineRule="exact"/>
              <w:ind w:left="107"/>
              <w:jc w:val="left"/>
              <w:rPr>
                <w:sz w:val="21"/>
              </w:rPr>
            </w:pPr>
            <w:r>
              <w:rPr>
                <w:sz w:val="21"/>
              </w:rPr>
              <w:t>合计</w:t>
            </w:r>
          </w:p>
        </w:tc>
        <w:tc>
          <w:tcPr>
            <w:tcW w:w="1844" w:type="dxa"/>
          </w:tcPr>
          <w:p>
            <w:pPr>
              <w:pStyle w:val="14"/>
              <w:jc w:val="left"/>
              <w:rPr>
                <w:rFonts w:ascii="Times New Roman"/>
                <w:sz w:val="20"/>
              </w:rPr>
            </w:pPr>
          </w:p>
        </w:tc>
        <w:tc>
          <w:tcPr>
            <w:tcW w:w="1555" w:type="dxa"/>
          </w:tcPr>
          <w:p>
            <w:pPr>
              <w:pStyle w:val="14"/>
              <w:jc w:val="left"/>
              <w:rPr>
                <w:rFonts w:ascii="Times New Roman"/>
                <w:sz w:val="20"/>
              </w:rPr>
            </w:pPr>
          </w:p>
        </w:tc>
        <w:tc>
          <w:tcPr>
            <w:tcW w:w="1386" w:type="dxa"/>
          </w:tcPr>
          <w:p>
            <w:pPr>
              <w:pStyle w:val="14"/>
              <w:spacing w:before="13" w:line="238" w:lineRule="exact"/>
              <w:ind w:left="108"/>
              <w:jc w:val="left"/>
              <w:rPr>
                <w:rFonts w:ascii="Times New Roman"/>
                <w:sz w:val="21"/>
              </w:rPr>
            </w:pPr>
            <w:r>
              <w:rPr>
                <w:rFonts w:ascii="Times New Roman"/>
                <w:sz w:val="21"/>
              </w:rPr>
              <w:t>121.59</w:t>
            </w:r>
          </w:p>
        </w:tc>
        <w:tc>
          <w:tcPr>
            <w:tcW w:w="1427" w:type="dxa"/>
          </w:tcPr>
          <w:p>
            <w:pPr>
              <w:pStyle w:val="14"/>
              <w:spacing w:before="13" w:line="238" w:lineRule="exact"/>
              <w:ind w:left="126"/>
              <w:jc w:val="left"/>
              <w:rPr>
                <w:rFonts w:ascii="Times New Roman"/>
                <w:sz w:val="21"/>
              </w:rPr>
            </w:pPr>
            <w:r>
              <w:rPr>
                <w:rFonts w:ascii="Times New Roman"/>
                <w:sz w:val="21"/>
              </w:rPr>
              <w:t>113.15</w:t>
            </w:r>
          </w:p>
        </w:tc>
        <w:tc>
          <w:tcPr>
            <w:tcW w:w="1619" w:type="dxa"/>
          </w:tcPr>
          <w:p>
            <w:pPr>
              <w:pStyle w:val="14"/>
              <w:jc w:val="left"/>
              <w:rPr>
                <w:rFonts w:ascii="Times New Roman"/>
                <w:sz w:val="20"/>
              </w:rPr>
            </w:pPr>
          </w:p>
        </w:tc>
      </w:tr>
    </w:tbl>
    <w:p>
      <w:pPr>
        <w:pStyle w:val="6"/>
        <w:spacing w:before="2" w:line="242" w:lineRule="auto"/>
        <w:ind w:left="1040" w:right="1075" w:firstLine="480"/>
        <w:jc w:val="both"/>
      </w:pPr>
      <w:r>
        <w:t>根据</w:t>
      </w:r>
      <w:r>
        <w:fldChar w:fldCharType="begin"/>
      </w:r>
      <w:r>
        <w:instrText xml:space="preserve"> HYPERLINK "https://www.baidu.com/link?url=6R0e9_Q0nQCHGTa42N6vEQBrpScvN7En7ZufSBL6_9P0_HsjHKaRwNRQNlCG6tWGcBZCHxQ6LYQTp5cIOmmfOq&amp;amp;wd&amp;amp;eqid=9b7eb14f000100d2000000035f3d198d" \h </w:instrText>
      </w:r>
      <w:r>
        <w:fldChar w:fldCharType="separate"/>
      </w:r>
      <w:r>
        <w:t>《煤矿井下消防、洒水设计规范》（</w:t>
      </w:r>
      <w:r>
        <w:rPr>
          <w:rFonts w:ascii="Times New Roman" w:eastAsia="Times New Roman"/>
        </w:rPr>
        <w:t>GB50383-2016</w:t>
      </w:r>
      <w:r>
        <w:rPr>
          <w:rFonts w:ascii="Times New Roman" w:eastAsia="Times New Roman"/>
        </w:rPr>
        <w:fldChar w:fldCharType="end"/>
      </w:r>
      <w:r>
        <w:t xml:space="preserve">），初步保守估计本项目井下生产用水量见表 </w:t>
      </w:r>
      <w:r>
        <w:rPr>
          <w:rFonts w:ascii="Times New Roman" w:eastAsia="Times New Roman"/>
        </w:rPr>
        <w:t>3.3-14</w:t>
      </w:r>
      <w:r>
        <w:t>。</w:t>
      </w:r>
    </w:p>
    <w:p>
      <w:pPr>
        <w:pStyle w:val="5"/>
        <w:spacing w:before="3" w:after="3"/>
        <w:ind w:left="3473"/>
      </w:pPr>
      <w:r>
        <w:t xml:space="preserve">表 </w:t>
      </w:r>
      <w:r>
        <w:rPr>
          <w:rFonts w:ascii="Times New Roman" w:eastAsia="Times New Roman"/>
        </w:rPr>
        <w:t xml:space="preserve">3.3-14  </w:t>
      </w:r>
      <w:r>
        <w:t>本项目井下生产用水量</w:t>
      </w:r>
    </w:p>
    <w:tbl>
      <w:tblPr>
        <w:tblStyle w:val="10"/>
        <w:tblW w:w="0" w:type="auto"/>
        <w:tblInd w:w="10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1520"/>
        <w:gridCol w:w="1100"/>
        <w:gridCol w:w="1258"/>
        <w:gridCol w:w="1487"/>
        <w:gridCol w:w="1433"/>
        <w:gridCol w:w="9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506" w:type="dxa"/>
          </w:tcPr>
          <w:p>
            <w:pPr>
              <w:pStyle w:val="14"/>
              <w:spacing w:before="19"/>
              <w:ind w:left="5"/>
              <w:jc w:val="left"/>
              <w:rPr>
                <w:sz w:val="21"/>
              </w:rPr>
            </w:pPr>
            <w:r>
              <w:rPr>
                <w:sz w:val="21"/>
              </w:rPr>
              <w:t>序号</w:t>
            </w:r>
          </w:p>
        </w:tc>
        <w:tc>
          <w:tcPr>
            <w:tcW w:w="1520" w:type="dxa"/>
          </w:tcPr>
          <w:p>
            <w:pPr>
              <w:pStyle w:val="14"/>
              <w:spacing w:before="22" w:line="268" w:lineRule="exact"/>
              <w:ind w:left="444"/>
              <w:jc w:val="left"/>
              <w:rPr>
                <w:sz w:val="21"/>
              </w:rPr>
            </w:pPr>
            <w:r>
              <w:rPr>
                <w:sz w:val="21"/>
              </w:rPr>
              <w:t>用水项</w:t>
            </w:r>
          </w:p>
        </w:tc>
        <w:tc>
          <w:tcPr>
            <w:tcW w:w="1100" w:type="dxa"/>
          </w:tcPr>
          <w:p>
            <w:pPr>
              <w:pStyle w:val="14"/>
              <w:spacing w:before="22" w:line="268" w:lineRule="exact"/>
              <w:ind w:left="4"/>
              <w:jc w:val="left"/>
              <w:rPr>
                <w:sz w:val="21"/>
              </w:rPr>
            </w:pPr>
            <w:r>
              <w:rPr>
                <w:sz w:val="21"/>
              </w:rPr>
              <w:t>用水标准</w:t>
            </w:r>
          </w:p>
        </w:tc>
        <w:tc>
          <w:tcPr>
            <w:tcW w:w="1258" w:type="dxa"/>
          </w:tcPr>
          <w:p>
            <w:pPr>
              <w:pStyle w:val="14"/>
              <w:spacing w:before="22" w:line="268" w:lineRule="exact"/>
              <w:ind w:left="208"/>
              <w:jc w:val="left"/>
              <w:rPr>
                <w:sz w:val="21"/>
              </w:rPr>
            </w:pPr>
            <w:r>
              <w:rPr>
                <w:sz w:val="21"/>
              </w:rPr>
              <w:t>用水单位</w:t>
            </w:r>
          </w:p>
        </w:tc>
        <w:tc>
          <w:tcPr>
            <w:tcW w:w="1487" w:type="dxa"/>
          </w:tcPr>
          <w:p>
            <w:pPr>
              <w:pStyle w:val="14"/>
              <w:spacing w:before="22" w:line="268" w:lineRule="exact"/>
              <w:ind w:left="3"/>
              <w:jc w:val="left"/>
              <w:rPr>
                <w:sz w:val="21"/>
              </w:rPr>
            </w:pPr>
            <w:r>
              <w:rPr>
                <w:sz w:val="21"/>
              </w:rPr>
              <w:t>用水时间（</w:t>
            </w:r>
            <w:r>
              <w:rPr>
                <w:rFonts w:ascii="Times New Roman" w:eastAsia="Times New Roman"/>
                <w:sz w:val="21"/>
              </w:rPr>
              <w:t>h</w:t>
            </w:r>
            <w:r>
              <w:rPr>
                <w:sz w:val="21"/>
              </w:rPr>
              <w:t>）</w:t>
            </w:r>
          </w:p>
        </w:tc>
        <w:tc>
          <w:tcPr>
            <w:tcW w:w="1433" w:type="dxa"/>
          </w:tcPr>
          <w:p>
            <w:pPr>
              <w:pStyle w:val="14"/>
              <w:spacing w:before="19"/>
              <w:ind w:left="4" w:right="-29"/>
              <w:jc w:val="left"/>
              <w:rPr>
                <w:sz w:val="21"/>
              </w:rPr>
            </w:pPr>
            <w:r>
              <w:rPr>
                <w:sz w:val="21"/>
              </w:rPr>
              <w:t>用水量</w:t>
            </w:r>
            <w:r>
              <w:rPr>
                <w:spacing w:val="-2"/>
                <w:sz w:val="21"/>
              </w:rPr>
              <w:t>（</w:t>
            </w:r>
            <w:r>
              <w:rPr>
                <w:rFonts w:ascii="Times New Roman" w:eastAsia="Times New Roman"/>
                <w:spacing w:val="-2"/>
                <w:sz w:val="21"/>
              </w:rPr>
              <w:t>m</w:t>
            </w:r>
            <w:r>
              <w:rPr>
                <w:rFonts w:ascii="Times New Roman" w:eastAsia="Times New Roman"/>
                <w:spacing w:val="-2"/>
                <w:position w:val="7"/>
                <w:sz w:val="13"/>
              </w:rPr>
              <w:t>3</w:t>
            </w:r>
            <w:r>
              <w:rPr>
                <w:rFonts w:ascii="Times New Roman" w:eastAsia="Times New Roman"/>
                <w:spacing w:val="-2"/>
                <w:sz w:val="21"/>
              </w:rPr>
              <w:t>/d</w:t>
            </w:r>
            <w:r>
              <w:rPr>
                <w:spacing w:val="-2"/>
                <w:sz w:val="21"/>
              </w:rPr>
              <w:t>）</w:t>
            </w:r>
          </w:p>
        </w:tc>
        <w:tc>
          <w:tcPr>
            <w:tcW w:w="922" w:type="dxa"/>
          </w:tcPr>
          <w:p>
            <w:pPr>
              <w:pStyle w:val="14"/>
              <w:spacing w:before="19"/>
              <w:ind w:left="4"/>
              <w:jc w:val="left"/>
              <w:rPr>
                <w:sz w:val="21"/>
              </w:rPr>
            </w:pPr>
            <w:r>
              <w:rPr>
                <w:sz w:val="21"/>
              </w:rPr>
              <w:t>备注</w:t>
            </w:r>
          </w:p>
        </w:tc>
      </w:tr>
    </w:tbl>
    <w:p>
      <w:pPr>
        <w:spacing w:after="0"/>
        <w:jc w:val="left"/>
        <w:rPr>
          <w:sz w:val="21"/>
        </w:rPr>
        <w:sectPr>
          <w:pgSz w:w="11910" w:h="16840"/>
          <w:pgMar w:top="1080" w:right="720" w:bottom="1160" w:left="760" w:header="0" w:footer="97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18" name="组合 63"/>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17" name="直线 64"/>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63"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u2gi7UAAAAAwEAAA8AAAAAAAAAAQAgAAAAIgAAAGRycy9kb3ducmV2LnhtbFBL&#10;AQIUABQAAAAIAIdO4kCJeuTPMwIAALYEAAAOAAAAAAAAAAEAIAAAACMBAABkcnMvZTJvRG9jLnht&#10;bFBLBQYAAAAABgAGAFkBAADIBQAAAAA=&#10;">
                <o:lock v:ext="edit" aspectratio="f"/>
                <v:line id="直线 64" o:spid="_x0000_s1026" o:spt="20" style="position:absolute;left:0;top:7;height:0;width:8306;" filled="f" stroked="t" coordsize="21600,21600" o:gfxdata="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v9VAb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6"/>
        <w:spacing w:before="1"/>
        <w:rPr>
          <w:b/>
          <w:sz w:val="25"/>
        </w:rPr>
      </w:pPr>
    </w:p>
    <w:tbl>
      <w:tblPr>
        <w:tblStyle w:val="10"/>
        <w:tblW w:w="0" w:type="auto"/>
        <w:tblInd w:w="10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1520"/>
        <w:gridCol w:w="1100"/>
        <w:gridCol w:w="1258"/>
        <w:gridCol w:w="1487"/>
        <w:gridCol w:w="1433"/>
        <w:gridCol w:w="9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06" w:type="dxa"/>
          </w:tcPr>
          <w:p>
            <w:pPr>
              <w:pStyle w:val="14"/>
              <w:spacing w:before="35"/>
              <w:ind w:left="5"/>
              <w:jc w:val="left"/>
              <w:rPr>
                <w:rFonts w:ascii="Times New Roman"/>
                <w:sz w:val="21"/>
              </w:rPr>
            </w:pPr>
            <w:r>
              <w:rPr>
                <w:rFonts w:ascii="Times New Roman"/>
                <w:w w:val="99"/>
                <w:sz w:val="21"/>
              </w:rPr>
              <w:t>1</w:t>
            </w:r>
          </w:p>
        </w:tc>
        <w:tc>
          <w:tcPr>
            <w:tcW w:w="1520" w:type="dxa"/>
          </w:tcPr>
          <w:p>
            <w:pPr>
              <w:pStyle w:val="14"/>
              <w:spacing w:before="21"/>
              <w:ind w:left="5"/>
              <w:jc w:val="left"/>
              <w:rPr>
                <w:sz w:val="21"/>
              </w:rPr>
            </w:pPr>
            <w:r>
              <w:rPr>
                <w:sz w:val="21"/>
              </w:rPr>
              <w:t>给水栓</w:t>
            </w:r>
          </w:p>
        </w:tc>
        <w:tc>
          <w:tcPr>
            <w:tcW w:w="1100" w:type="dxa"/>
          </w:tcPr>
          <w:p>
            <w:pPr>
              <w:pStyle w:val="14"/>
              <w:spacing w:before="35"/>
              <w:ind w:left="4"/>
              <w:jc w:val="left"/>
              <w:rPr>
                <w:rFonts w:ascii="Times New Roman"/>
                <w:sz w:val="21"/>
              </w:rPr>
            </w:pPr>
            <w:r>
              <w:rPr>
                <w:rFonts w:ascii="Times New Roman"/>
                <w:sz w:val="21"/>
              </w:rPr>
              <w:t>20L/min</w:t>
            </w:r>
          </w:p>
        </w:tc>
        <w:tc>
          <w:tcPr>
            <w:tcW w:w="1258" w:type="dxa"/>
          </w:tcPr>
          <w:p>
            <w:pPr>
              <w:pStyle w:val="14"/>
              <w:spacing w:before="21"/>
              <w:ind w:left="4" w:right="-15"/>
              <w:jc w:val="left"/>
              <w:rPr>
                <w:sz w:val="21"/>
              </w:rPr>
            </w:pPr>
            <w:r>
              <w:rPr>
                <w:spacing w:val="-13"/>
                <w:sz w:val="21"/>
              </w:rPr>
              <w:t xml:space="preserve">同时使用 </w:t>
            </w:r>
            <w:r>
              <w:rPr>
                <w:rFonts w:ascii="Times New Roman" w:eastAsia="Times New Roman"/>
                <w:sz w:val="21"/>
              </w:rPr>
              <w:t>9</w:t>
            </w:r>
            <w:r>
              <w:rPr>
                <w:rFonts w:ascii="Times New Roman" w:eastAsia="Times New Roman"/>
                <w:spacing w:val="-5"/>
                <w:sz w:val="21"/>
              </w:rPr>
              <w:t xml:space="preserve"> </w:t>
            </w:r>
            <w:r>
              <w:rPr>
                <w:sz w:val="21"/>
              </w:rPr>
              <w:t>个</w:t>
            </w:r>
          </w:p>
        </w:tc>
        <w:tc>
          <w:tcPr>
            <w:tcW w:w="1487" w:type="dxa"/>
          </w:tcPr>
          <w:p>
            <w:pPr>
              <w:pStyle w:val="14"/>
              <w:spacing w:before="35"/>
              <w:ind w:left="3"/>
              <w:jc w:val="left"/>
              <w:rPr>
                <w:rFonts w:ascii="Times New Roman"/>
                <w:sz w:val="21"/>
              </w:rPr>
            </w:pPr>
            <w:r>
              <w:rPr>
                <w:rFonts w:ascii="Times New Roman"/>
                <w:w w:val="99"/>
                <w:sz w:val="21"/>
              </w:rPr>
              <w:t>3</w:t>
            </w:r>
          </w:p>
        </w:tc>
        <w:tc>
          <w:tcPr>
            <w:tcW w:w="1433" w:type="dxa"/>
          </w:tcPr>
          <w:p>
            <w:pPr>
              <w:pStyle w:val="14"/>
              <w:spacing w:before="35"/>
              <w:ind w:left="4"/>
              <w:jc w:val="left"/>
              <w:rPr>
                <w:rFonts w:ascii="Times New Roman"/>
                <w:sz w:val="21"/>
              </w:rPr>
            </w:pPr>
            <w:r>
              <w:rPr>
                <w:rFonts w:ascii="Times New Roman"/>
                <w:sz w:val="21"/>
              </w:rPr>
              <w:t>32.4</w:t>
            </w:r>
          </w:p>
        </w:tc>
        <w:tc>
          <w:tcPr>
            <w:tcW w:w="922" w:type="dxa"/>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06" w:type="dxa"/>
          </w:tcPr>
          <w:p>
            <w:pPr>
              <w:pStyle w:val="14"/>
              <w:spacing w:before="34"/>
              <w:ind w:left="5"/>
              <w:jc w:val="left"/>
              <w:rPr>
                <w:rFonts w:ascii="Times New Roman"/>
                <w:sz w:val="21"/>
              </w:rPr>
            </w:pPr>
            <w:r>
              <w:rPr>
                <w:rFonts w:ascii="Times New Roman"/>
                <w:w w:val="99"/>
                <w:sz w:val="21"/>
              </w:rPr>
              <w:t>2</w:t>
            </w:r>
          </w:p>
        </w:tc>
        <w:tc>
          <w:tcPr>
            <w:tcW w:w="1520" w:type="dxa"/>
          </w:tcPr>
          <w:p>
            <w:pPr>
              <w:pStyle w:val="14"/>
              <w:spacing w:before="20"/>
              <w:ind w:left="5"/>
              <w:jc w:val="left"/>
              <w:rPr>
                <w:sz w:val="21"/>
              </w:rPr>
            </w:pPr>
            <w:r>
              <w:rPr>
                <w:sz w:val="21"/>
              </w:rPr>
              <w:t>采煤机内外喷雾</w:t>
            </w:r>
          </w:p>
        </w:tc>
        <w:tc>
          <w:tcPr>
            <w:tcW w:w="1100" w:type="dxa"/>
          </w:tcPr>
          <w:p>
            <w:pPr>
              <w:pStyle w:val="14"/>
              <w:spacing w:before="34"/>
              <w:ind w:left="4"/>
              <w:jc w:val="left"/>
              <w:rPr>
                <w:rFonts w:ascii="Times New Roman"/>
                <w:sz w:val="21"/>
              </w:rPr>
            </w:pPr>
            <w:r>
              <w:rPr>
                <w:rFonts w:ascii="Times New Roman"/>
                <w:sz w:val="21"/>
              </w:rPr>
              <w:t>125L/min</w:t>
            </w:r>
          </w:p>
        </w:tc>
        <w:tc>
          <w:tcPr>
            <w:tcW w:w="1258" w:type="dxa"/>
          </w:tcPr>
          <w:p>
            <w:pPr>
              <w:pStyle w:val="14"/>
              <w:spacing w:before="20"/>
              <w:ind w:left="4"/>
              <w:jc w:val="left"/>
              <w:rPr>
                <w:sz w:val="21"/>
              </w:rPr>
            </w:pPr>
            <w:r>
              <w:rPr>
                <w:rFonts w:ascii="Times New Roman" w:eastAsia="Times New Roman"/>
                <w:sz w:val="21"/>
              </w:rPr>
              <w:t xml:space="preserve">2 </w:t>
            </w:r>
            <w:r>
              <w:rPr>
                <w:sz w:val="21"/>
              </w:rPr>
              <w:t>台</w:t>
            </w:r>
          </w:p>
        </w:tc>
        <w:tc>
          <w:tcPr>
            <w:tcW w:w="1487" w:type="dxa"/>
          </w:tcPr>
          <w:p>
            <w:pPr>
              <w:pStyle w:val="14"/>
              <w:spacing w:before="34"/>
              <w:ind w:left="3"/>
              <w:jc w:val="left"/>
              <w:rPr>
                <w:rFonts w:ascii="Times New Roman"/>
                <w:sz w:val="21"/>
              </w:rPr>
            </w:pPr>
            <w:r>
              <w:rPr>
                <w:rFonts w:ascii="Times New Roman"/>
                <w:sz w:val="21"/>
              </w:rPr>
              <w:t>10</w:t>
            </w:r>
          </w:p>
        </w:tc>
        <w:tc>
          <w:tcPr>
            <w:tcW w:w="1433" w:type="dxa"/>
          </w:tcPr>
          <w:p>
            <w:pPr>
              <w:pStyle w:val="14"/>
              <w:spacing w:before="34"/>
              <w:ind w:left="4"/>
              <w:jc w:val="left"/>
              <w:rPr>
                <w:rFonts w:ascii="Times New Roman"/>
                <w:sz w:val="21"/>
              </w:rPr>
            </w:pPr>
            <w:r>
              <w:rPr>
                <w:rFonts w:ascii="Times New Roman"/>
                <w:sz w:val="21"/>
              </w:rPr>
              <w:t>150</w:t>
            </w:r>
          </w:p>
        </w:tc>
        <w:tc>
          <w:tcPr>
            <w:tcW w:w="922" w:type="dxa"/>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06" w:type="dxa"/>
          </w:tcPr>
          <w:p>
            <w:pPr>
              <w:pStyle w:val="14"/>
              <w:spacing w:before="34"/>
              <w:ind w:left="5"/>
              <w:jc w:val="left"/>
              <w:rPr>
                <w:rFonts w:ascii="Times New Roman"/>
                <w:sz w:val="21"/>
              </w:rPr>
            </w:pPr>
            <w:r>
              <w:rPr>
                <w:rFonts w:ascii="Times New Roman"/>
                <w:w w:val="99"/>
                <w:sz w:val="21"/>
              </w:rPr>
              <w:t>3</w:t>
            </w:r>
          </w:p>
        </w:tc>
        <w:tc>
          <w:tcPr>
            <w:tcW w:w="1520" w:type="dxa"/>
          </w:tcPr>
          <w:p>
            <w:pPr>
              <w:pStyle w:val="14"/>
              <w:spacing w:before="20"/>
              <w:ind w:left="5"/>
              <w:jc w:val="left"/>
              <w:rPr>
                <w:sz w:val="21"/>
              </w:rPr>
            </w:pPr>
            <w:r>
              <w:rPr>
                <w:sz w:val="21"/>
              </w:rPr>
              <w:t>掘进工作面喷雾</w:t>
            </w:r>
          </w:p>
        </w:tc>
        <w:tc>
          <w:tcPr>
            <w:tcW w:w="1100" w:type="dxa"/>
          </w:tcPr>
          <w:p>
            <w:pPr>
              <w:pStyle w:val="14"/>
              <w:spacing w:before="34"/>
              <w:ind w:left="4"/>
              <w:jc w:val="left"/>
              <w:rPr>
                <w:rFonts w:ascii="Times New Roman"/>
                <w:sz w:val="21"/>
              </w:rPr>
            </w:pPr>
            <w:r>
              <w:rPr>
                <w:rFonts w:ascii="Times New Roman"/>
                <w:sz w:val="21"/>
              </w:rPr>
              <w:t>75L/min</w:t>
            </w:r>
          </w:p>
        </w:tc>
        <w:tc>
          <w:tcPr>
            <w:tcW w:w="1258" w:type="dxa"/>
          </w:tcPr>
          <w:p>
            <w:pPr>
              <w:pStyle w:val="14"/>
              <w:spacing w:before="20"/>
              <w:ind w:left="4"/>
              <w:jc w:val="left"/>
              <w:rPr>
                <w:sz w:val="21"/>
              </w:rPr>
            </w:pPr>
            <w:r>
              <w:rPr>
                <w:rFonts w:ascii="Times New Roman" w:eastAsia="Times New Roman"/>
                <w:sz w:val="21"/>
              </w:rPr>
              <w:t xml:space="preserve">6 </w:t>
            </w:r>
            <w:r>
              <w:rPr>
                <w:sz w:val="21"/>
              </w:rPr>
              <w:t>套</w:t>
            </w:r>
          </w:p>
        </w:tc>
        <w:tc>
          <w:tcPr>
            <w:tcW w:w="1487" w:type="dxa"/>
          </w:tcPr>
          <w:p>
            <w:pPr>
              <w:pStyle w:val="14"/>
              <w:spacing w:before="34"/>
              <w:ind w:left="3"/>
              <w:jc w:val="left"/>
              <w:rPr>
                <w:rFonts w:ascii="Times New Roman"/>
                <w:sz w:val="21"/>
              </w:rPr>
            </w:pPr>
            <w:r>
              <w:rPr>
                <w:rFonts w:ascii="Times New Roman"/>
                <w:w w:val="99"/>
                <w:sz w:val="21"/>
              </w:rPr>
              <w:t>2</w:t>
            </w:r>
          </w:p>
        </w:tc>
        <w:tc>
          <w:tcPr>
            <w:tcW w:w="1433" w:type="dxa"/>
          </w:tcPr>
          <w:p>
            <w:pPr>
              <w:pStyle w:val="14"/>
              <w:spacing w:before="34"/>
              <w:ind w:left="4"/>
              <w:jc w:val="left"/>
              <w:rPr>
                <w:rFonts w:ascii="Times New Roman"/>
                <w:sz w:val="21"/>
              </w:rPr>
            </w:pPr>
            <w:r>
              <w:rPr>
                <w:rFonts w:ascii="Times New Roman"/>
                <w:sz w:val="21"/>
              </w:rPr>
              <w:t>54</w:t>
            </w:r>
          </w:p>
        </w:tc>
        <w:tc>
          <w:tcPr>
            <w:tcW w:w="922" w:type="dxa"/>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06" w:type="dxa"/>
          </w:tcPr>
          <w:p>
            <w:pPr>
              <w:pStyle w:val="14"/>
              <w:spacing w:before="34"/>
              <w:ind w:left="5"/>
              <w:jc w:val="left"/>
              <w:rPr>
                <w:rFonts w:ascii="Times New Roman"/>
                <w:sz w:val="21"/>
              </w:rPr>
            </w:pPr>
            <w:r>
              <w:rPr>
                <w:rFonts w:ascii="Times New Roman"/>
                <w:w w:val="99"/>
                <w:sz w:val="21"/>
              </w:rPr>
              <w:t>4</w:t>
            </w:r>
          </w:p>
        </w:tc>
        <w:tc>
          <w:tcPr>
            <w:tcW w:w="1520" w:type="dxa"/>
          </w:tcPr>
          <w:p>
            <w:pPr>
              <w:pStyle w:val="14"/>
              <w:spacing w:before="20"/>
              <w:ind w:left="5"/>
              <w:jc w:val="left"/>
              <w:rPr>
                <w:sz w:val="21"/>
              </w:rPr>
            </w:pPr>
            <w:r>
              <w:rPr>
                <w:sz w:val="21"/>
              </w:rPr>
              <w:t>风动凿岩机</w:t>
            </w:r>
          </w:p>
        </w:tc>
        <w:tc>
          <w:tcPr>
            <w:tcW w:w="1100" w:type="dxa"/>
          </w:tcPr>
          <w:p>
            <w:pPr>
              <w:pStyle w:val="14"/>
              <w:spacing w:before="34"/>
              <w:ind w:left="4"/>
              <w:jc w:val="left"/>
              <w:rPr>
                <w:rFonts w:ascii="Times New Roman"/>
                <w:sz w:val="21"/>
              </w:rPr>
            </w:pPr>
            <w:r>
              <w:rPr>
                <w:rFonts w:ascii="Times New Roman"/>
                <w:sz w:val="21"/>
              </w:rPr>
              <w:t>5L/min</w:t>
            </w:r>
          </w:p>
        </w:tc>
        <w:tc>
          <w:tcPr>
            <w:tcW w:w="1258" w:type="dxa"/>
          </w:tcPr>
          <w:p>
            <w:pPr>
              <w:pStyle w:val="14"/>
              <w:spacing w:before="20"/>
              <w:ind w:left="4"/>
              <w:jc w:val="left"/>
              <w:rPr>
                <w:sz w:val="21"/>
              </w:rPr>
            </w:pPr>
            <w:r>
              <w:rPr>
                <w:rFonts w:ascii="Times New Roman" w:eastAsia="Times New Roman"/>
                <w:sz w:val="21"/>
              </w:rPr>
              <w:t xml:space="preserve">12 </w:t>
            </w:r>
            <w:r>
              <w:rPr>
                <w:sz w:val="21"/>
              </w:rPr>
              <w:t>台</w:t>
            </w:r>
          </w:p>
        </w:tc>
        <w:tc>
          <w:tcPr>
            <w:tcW w:w="1487" w:type="dxa"/>
          </w:tcPr>
          <w:p>
            <w:pPr>
              <w:pStyle w:val="14"/>
              <w:spacing w:before="34"/>
              <w:ind w:left="3"/>
              <w:jc w:val="left"/>
              <w:rPr>
                <w:rFonts w:ascii="Times New Roman"/>
                <w:sz w:val="21"/>
              </w:rPr>
            </w:pPr>
            <w:r>
              <w:rPr>
                <w:rFonts w:ascii="Times New Roman"/>
                <w:w w:val="99"/>
                <w:sz w:val="21"/>
              </w:rPr>
              <w:t>8</w:t>
            </w:r>
          </w:p>
        </w:tc>
        <w:tc>
          <w:tcPr>
            <w:tcW w:w="1433" w:type="dxa"/>
          </w:tcPr>
          <w:p>
            <w:pPr>
              <w:pStyle w:val="14"/>
              <w:spacing w:before="34"/>
              <w:ind w:left="4"/>
              <w:jc w:val="left"/>
              <w:rPr>
                <w:rFonts w:ascii="Times New Roman"/>
                <w:sz w:val="21"/>
              </w:rPr>
            </w:pPr>
            <w:r>
              <w:rPr>
                <w:rFonts w:ascii="Times New Roman"/>
                <w:sz w:val="21"/>
              </w:rPr>
              <w:t>28.8</w:t>
            </w:r>
          </w:p>
        </w:tc>
        <w:tc>
          <w:tcPr>
            <w:tcW w:w="922" w:type="dxa"/>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06" w:type="dxa"/>
          </w:tcPr>
          <w:p>
            <w:pPr>
              <w:pStyle w:val="14"/>
              <w:spacing w:before="36"/>
              <w:ind w:left="5"/>
              <w:jc w:val="left"/>
              <w:rPr>
                <w:rFonts w:ascii="Times New Roman"/>
                <w:sz w:val="21"/>
              </w:rPr>
            </w:pPr>
            <w:r>
              <w:rPr>
                <w:rFonts w:ascii="Times New Roman"/>
                <w:w w:val="99"/>
                <w:sz w:val="21"/>
              </w:rPr>
              <w:t>5</w:t>
            </w:r>
          </w:p>
        </w:tc>
        <w:tc>
          <w:tcPr>
            <w:tcW w:w="1520" w:type="dxa"/>
          </w:tcPr>
          <w:p>
            <w:pPr>
              <w:pStyle w:val="14"/>
              <w:spacing w:before="22"/>
              <w:ind w:left="5"/>
              <w:jc w:val="left"/>
              <w:rPr>
                <w:sz w:val="21"/>
              </w:rPr>
            </w:pPr>
            <w:r>
              <w:rPr>
                <w:sz w:val="21"/>
              </w:rPr>
              <w:t>自动喷雾装置</w:t>
            </w:r>
          </w:p>
        </w:tc>
        <w:tc>
          <w:tcPr>
            <w:tcW w:w="1100" w:type="dxa"/>
          </w:tcPr>
          <w:p>
            <w:pPr>
              <w:pStyle w:val="14"/>
              <w:spacing w:before="36"/>
              <w:ind w:left="4"/>
              <w:jc w:val="left"/>
              <w:rPr>
                <w:rFonts w:ascii="Times New Roman"/>
                <w:sz w:val="21"/>
              </w:rPr>
            </w:pPr>
            <w:r>
              <w:rPr>
                <w:rFonts w:ascii="Times New Roman"/>
                <w:sz w:val="21"/>
              </w:rPr>
              <w:t>3.75L/min</w:t>
            </w:r>
          </w:p>
        </w:tc>
        <w:tc>
          <w:tcPr>
            <w:tcW w:w="1258" w:type="dxa"/>
          </w:tcPr>
          <w:p>
            <w:pPr>
              <w:pStyle w:val="14"/>
              <w:spacing w:before="22"/>
              <w:ind w:left="4"/>
              <w:jc w:val="left"/>
              <w:rPr>
                <w:sz w:val="21"/>
              </w:rPr>
            </w:pPr>
            <w:r>
              <w:rPr>
                <w:rFonts w:ascii="Times New Roman" w:eastAsia="Times New Roman"/>
                <w:sz w:val="21"/>
              </w:rPr>
              <w:t xml:space="preserve">34 </w:t>
            </w:r>
            <w:r>
              <w:rPr>
                <w:sz w:val="21"/>
              </w:rPr>
              <w:t>个喷头</w:t>
            </w:r>
          </w:p>
        </w:tc>
        <w:tc>
          <w:tcPr>
            <w:tcW w:w="1487" w:type="dxa"/>
          </w:tcPr>
          <w:p>
            <w:pPr>
              <w:pStyle w:val="14"/>
              <w:spacing w:before="36"/>
              <w:ind w:left="3"/>
              <w:jc w:val="left"/>
              <w:rPr>
                <w:rFonts w:ascii="Times New Roman"/>
                <w:sz w:val="21"/>
              </w:rPr>
            </w:pPr>
            <w:r>
              <w:rPr>
                <w:rFonts w:ascii="Times New Roman"/>
                <w:sz w:val="21"/>
              </w:rPr>
              <w:t>12</w:t>
            </w:r>
          </w:p>
        </w:tc>
        <w:tc>
          <w:tcPr>
            <w:tcW w:w="1433" w:type="dxa"/>
          </w:tcPr>
          <w:p>
            <w:pPr>
              <w:pStyle w:val="14"/>
              <w:spacing w:before="36"/>
              <w:ind w:left="4"/>
              <w:jc w:val="left"/>
              <w:rPr>
                <w:rFonts w:ascii="Times New Roman"/>
                <w:sz w:val="21"/>
              </w:rPr>
            </w:pPr>
            <w:r>
              <w:rPr>
                <w:rFonts w:ascii="Times New Roman"/>
                <w:sz w:val="21"/>
              </w:rPr>
              <w:t>91.8</w:t>
            </w:r>
          </w:p>
        </w:tc>
        <w:tc>
          <w:tcPr>
            <w:tcW w:w="922" w:type="dxa"/>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06" w:type="dxa"/>
          </w:tcPr>
          <w:p>
            <w:pPr>
              <w:pStyle w:val="14"/>
              <w:spacing w:before="35"/>
              <w:ind w:left="5"/>
              <w:jc w:val="left"/>
              <w:rPr>
                <w:rFonts w:ascii="Times New Roman"/>
                <w:sz w:val="21"/>
              </w:rPr>
            </w:pPr>
            <w:r>
              <w:rPr>
                <w:rFonts w:ascii="Times New Roman"/>
                <w:w w:val="99"/>
                <w:sz w:val="21"/>
              </w:rPr>
              <w:t>6</w:t>
            </w:r>
          </w:p>
        </w:tc>
        <w:tc>
          <w:tcPr>
            <w:tcW w:w="1520" w:type="dxa"/>
          </w:tcPr>
          <w:p>
            <w:pPr>
              <w:pStyle w:val="14"/>
              <w:spacing w:before="21"/>
              <w:ind w:left="5"/>
              <w:jc w:val="left"/>
              <w:rPr>
                <w:sz w:val="21"/>
              </w:rPr>
            </w:pPr>
            <w:r>
              <w:rPr>
                <w:sz w:val="21"/>
              </w:rPr>
              <w:t>风流净化水幕</w:t>
            </w:r>
          </w:p>
        </w:tc>
        <w:tc>
          <w:tcPr>
            <w:tcW w:w="1100" w:type="dxa"/>
          </w:tcPr>
          <w:p>
            <w:pPr>
              <w:pStyle w:val="14"/>
              <w:spacing w:before="35"/>
              <w:ind w:left="4"/>
              <w:jc w:val="left"/>
              <w:rPr>
                <w:rFonts w:ascii="Times New Roman"/>
                <w:sz w:val="21"/>
              </w:rPr>
            </w:pPr>
            <w:r>
              <w:rPr>
                <w:rFonts w:ascii="Times New Roman"/>
                <w:sz w:val="21"/>
              </w:rPr>
              <w:t>3.75L/min</w:t>
            </w:r>
          </w:p>
        </w:tc>
        <w:tc>
          <w:tcPr>
            <w:tcW w:w="1258" w:type="dxa"/>
          </w:tcPr>
          <w:p>
            <w:pPr>
              <w:pStyle w:val="14"/>
              <w:spacing w:before="21"/>
              <w:ind w:left="4"/>
              <w:jc w:val="left"/>
              <w:rPr>
                <w:sz w:val="21"/>
              </w:rPr>
            </w:pPr>
            <w:r>
              <w:rPr>
                <w:rFonts w:ascii="Times New Roman" w:eastAsia="Times New Roman"/>
                <w:sz w:val="21"/>
              </w:rPr>
              <w:t xml:space="preserve">12 </w:t>
            </w:r>
            <w:r>
              <w:rPr>
                <w:sz w:val="21"/>
              </w:rPr>
              <w:t>个喷头</w:t>
            </w:r>
          </w:p>
        </w:tc>
        <w:tc>
          <w:tcPr>
            <w:tcW w:w="1487" w:type="dxa"/>
          </w:tcPr>
          <w:p>
            <w:pPr>
              <w:pStyle w:val="14"/>
              <w:spacing w:before="35"/>
              <w:ind w:left="3"/>
              <w:jc w:val="left"/>
              <w:rPr>
                <w:rFonts w:ascii="Times New Roman"/>
                <w:sz w:val="21"/>
              </w:rPr>
            </w:pPr>
            <w:r>
              <w:rPr>
                <w:rFonts w:ascii="Times New Roman"/>
                <w:sz w:val="21"/>
              </w:rPr>
              <w:t>16</w:t>
            </w:r>
          </w:p>
        </w:tc>
        <w:tc>
          <w:tcPr>
            <w:tcW w:w="1433" w:type="dxa"/>
          </w:tcPr>
          <w:p>
            <w:pPr>
              <w:pStyle w:val="14"/>
              <w:spacing w:before="35"/>
              <w:ind w:left="4"/>
              <w:jc w:val="left"/>
              <w:rPr>
                <w:rFonts w:ascii="Times New Roman"/>
                <w:sz w:val="21"/>
              </w:rPr>
            </w:pPr>
            <w:r>
              <w:rPr>
                <w:rFonts w:ascii="Times New Roman"/>
                <w:sz w:val="21"/>
              </w:rPr>
              <w:t>43.2</w:t>
            </w:r>
          </w:p>
        </w:tc>
        <w:tc>
          <w:tcPr>
            <w:tcW w:w="922" w:type="dxa"/>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506" w:type="dxa"/>
          </w:tcPr>
          <w:p>
            <w:pPr>
              <w:pStyle w:val="14"/>
              <w:spacing w:before="2" w:line="250" w:lineRule="exact"/>
              <w:ind w:left="5"/>
              <w:jc w:val="left"/>
              <w:rPr>
                <w:sz w:val="21"/>
              </w:rPr>
            </w:pPr>
            <w:r>
              <w:rPr>
                <w:sz w:val="21"/>
              </w:rPr>
              <w:t>合计</w:t>
            </w:r>
          </w:p>
        </w:tc>
        <w:tc>
          <w:tcPr>
            <w:tcW w:w="1520" w:type="dxa"/>
          </w:tcPr>
          <w:p>
            <w:pPr>
              <w:pStyle w:val="14"/>
              <w:jc w:val="left"/>
              <w:rPr>
                <w:rFonts w:ascii="Times New Roman"/>
                <w:sz w:val="20"/>
              </w:rPr>
            </w:pPr>
          </w:p>
        </w:tc>
        <w:tc>
          <w:tcPr>
            <w:tcW w:w="1100" w:type="dxa"/>
          </w:tcPr>
          <w:p>
            <w:pPr>
              <w:pStyle w:val="14"/>
              <w:jc w:val="left"/>
              <w:rPr>
                <w:rFonts w:ascii="Times New Roman"/>
                <w:sz w:val="20"/>
              </w:rPr>
            </w:pPr>
          </w:p>
        </w:tc>
        <w:tc>
          <w:tcPr>
            <w:tcW w:w="1258" w:type="dxa"/>
          </w:tcPr>
          <w:p>
            <w:pPr>
              <w:pStyle w:val="14"/>
              <w:jc w:val="left"/>
              <w:rPr>
                <w:rFonts w:ascii="Times New Roman"/>
                <w:sz w:val="20"/>
              </w:rPr>
            </w:pPr>
          </w:p>
        </w:tc>
        <w:tc>
          <w:tcPr>
            <w:tcW w:w="1487" w:type="dxa"/>
          </w:tcPr>
          <w:p>
            <w:pPr>
              <w:pStyle w:val="14"/>
              <w:jc w:val="left"/>
              <w:rPr>
                <w:rFonts w:ascii="Times New Roman"/>
                <w:sz w:val="20"/>
              </w:rPr>
            </w:pPr>
          </w:p>
        </w:tc>
        <w:tc>
          <w:tcPr>
            <w:tcW w:w="1433" w:type="dxa"/>
          </w:tcPr>
          <w:p>
            <w:pPr>
              <w:pStyle w:val="14"/>
              <w:spacing w:before="16" w:line="236" w:lineRule="exact"/>
              <w:ind w:left="4"/>
              <w:jc w:val="left"/>
              <w:rPr>
                <w:rFonts w:ascii="Times New Roman"/>
                <w:sz w:val="21"/>
              </w:rPr>
            </w:pPr>
            <w:r>
              <w:rPr>
                <w:rFonts w:ascii="Times New Roman"/>
                <w:sz w:val="21"/>
              </w:rPr>
              <w:t>400.2</w:t>
            </w:r>
          </w:p>
        </w:tc>
        <w:tc>
          <w:tcPr>
            <w:tcW w:w="922" w:type="dxa"/>
          </w:tcPr>
          <w:p>
            <w:pPr>
              <w:pStyle w:val="14"/>
              <w:jc w:val="left"/>
              <w:rPr>
                <w:rFonts w:ascii="Times New Roman"/>
                <w:sz w:val="20"/>
              </w:rPr>
            </w:pPr>
          </w:p>
        </w:tc>
      </w:tr>
    </w:tbl>
    <w:p>
      <w:pPr>
        <w:pStyle w:val="6"/>
        <w:spacing w:before="81" w:line="364" w:lineRule="auto"/>
        <w:ind w:left="1040" w:right="1075" w:firstLine="480"/>
      </w:pPr>
      <w:r>
        <w:rPr>
          <w:spacing w:val="-6"/>
        </w:rPr>
        <w:t xml:space="preserve">经计算矿井采暖期总用水量 </w:t>
      </w:r>
      <w:r>
        <w:rPr>
          <w:rFonts w:ascii="Times New Roman" w:eastAsia="Times New Roman"/>
        </w:rPr>
        <w:t>521.79m</w:t>
      </w:r>
      <w:r>
        <w:rPr>
          <w:rFonts w:ascii="Times New Roman" w:eastAsia="Times New Roman"/>
          <w:position w:val="8"/>
          <w:sz w:val="15"/>
        </w:rPr>
        <w:t>3</w:t>
      </w:r>
      <w:r>
        <w:rPr>
          <w:rFonts w:ascii="Times New Roman" w:eastAsia="Times New Roman"/>
        </w:rPr>
        <w:t>/d</w:t>
      </w:r>
      <w:r>
        <w:rPr>
          <w:spacing w:val="-10"/>
        </w:rPr>
        <w:t xml:space="preserve">，其中生活用水 </w:t>
      </w:r>
      <w:r>
        <w:rPr>
          <w:rFonts w:ascii="Times New Roman" w:eastAsia="Times New Roman"/>
        </w:rPr>
        <w:t>108.65m</w:t>
      </w:r>
      <w:r>
        <w:rPr>
          <w:rFonts w:ascii="Times New Roman" w:eastAsia="Times New Roman"/>
          <w:position w:val="8"/>
          <w:sz w:val="15"/>
        </w:rPr>
        <w:t>3</w:t>
      </w:r>
      <w:r>
        <w:rPr>
          <w:rFonts w:ascii="Times New Roman" w:eastAsia="Times New Roman"/>
        </w:rPr>
        <w:t>/d</w:t>
      </w:r>
      <w:r>
        <w:rPr>
          <w:spacing w:val="-4"/>
        </w:rPr>
        <w:t>；非采暖</w:t>
      </w:r>
      <w:r>
        <w:rPr>
          <w:spacing w:val="-10"/>
        </w:rPr>
        <w:t xml:space="preserve">期总用水量 </w:t>
      </w:r>
      <w:r>
        <w:rPr>
          <w:rFonts w:ascii="Times New Roman" w:eastAsia="Times New Roman"/>
        </w:rPr>
        <w:t>513.35m</w:t>
      </w:r>
      <w:r>
        <w:rPr>
          <w:rFonts w:ascii="Times New Roman" w:eastAsia="Times New Roman"/>
          <w:position w:val="8"/>
          <w:sz w:val="15"/>
        </w:rPr>
        <w:t>3</w:t>
      </w:r>
      <w:r>
        <w:rPr>
          <w:rFonts w:ascii="Times New Roman" w:eastAsia="Times New Roman"/>
        </w:rPr>
        <w:t>/d</w:t>
      </w:r>
      <w:r>
        <w:rPr>
          <w:spacing w:val="-8"/>
        </w:rPr>
        <w:t xml:space="preserve">，其中生活用水 </w:t>
      </w:r>
      <w:r>
        <w:rPr>
          <w:rFonts w:ascii="Times New Roman" w:eastAsia="Times New Roman"/>
        </w:rPr>
        <w:t>108.65m</w:t>
      </w:r>
      <w:r>
        <w:rPr>
          <w:rFonts w:ascii="Times New Roman" w:eastAsia="Times New Roman"/>
          <w:position w:val="8"/>
          <w:sz w:val="15"/>
        </w:rPr>
        <w:t>3</w:t>
      </w:r>
      <w:r>
        <w:rPr>
          <w:rFonts w:ascii="Times New Roman" w:eastAsia="Times New Roman"/>
        </w:rPr>
        <w:t>/d</w:t>
      </w:r>
      <w:r>
        <w:t>。</w:t>
      </w:r>
    </w:p>
    <w:p>
      <w:pPr>
        <w:pStyle w:val="13"/>
        <w:numPr>
          <w:ilvl w:val="4"/>
          <w:numId w:val="27"/>
        </w:numPr>
        <w:tabs>
          <w:tab w:val="left" w:pos="2121"/>
        </w:tabs>
        <w:spacing w:before="1" w:after="0" w:line="240" w:lineRule="auto"/>
        <w:ind w:left="2121" w:right="0" w:hanging="601"/>
        <w:jc w:val="left"/>
        <w:rPr>
          <w:sz w:val="24"/>
        </w:rPr>
      </w:pPr>
      <w:r>
        <w:rPr>
          <w:sz w:val="24"/>
        </w:rPr>
        <w:t>给水系统</w:t>
      </w:r>
    </w:p>
    <w:p>
      <w:pPr>
        <w:pStyle w:val="6"/>
        <w:spacing w:before="161"/>
        <w:ind w:left="1520"/>
      </w:pPr>
      <w:r>
        <w:t>①水源选择</w:t>
      </w:r>
    </w:p>
    <w:p>
      <w:pPr>
        <w:pStyle w:val="6"/>
        <w:spacing w:before="81" w:line="364" w:lineRule="auto"/>
        <w:ind w:left="1040" w:right="1075" w:firstLine="480"/>
      </w:pPr>
      <w:r>
        <w:rPr>
          <w:spacing w:val="-5"/>
        </w:rPr>
        <w:t>生产用水由本矿井涌水经过矿井水净化车间处理，供给矿井生产、生活、消</w:t>
      </w:r>
      <w:r>
        <w:t>防用水。生活饮用水为外部购置达标饮用水。</w:t>
      </w:r>
    </w:p>
    <w:p>
      <w:pPr>
        <w:pStyle w:val="6"/>
        <w:spacing w:line="306" w:lineRule="exact"/>
        <w:ind w:left="1520"/>
      </w:pPr>
      <w:r>
        <w:t>②给水系统</w:t>
      </w:r>
    </w:p>
    <w:p>
      <w:pPr>
        <w:pStyle w:val="6"/>
        <w:spacing w:before="7"/>
        <w:rPr>
          <w:sz w:val="18"/>
        </w:rPr>
      </w:pPr>
    </w:p>
    <w:p>
      <w:pPr>
        <w:pStyle w:val="6"/>
        <w:spacing w:line="364" w:lineRule="auto"/>
        <w:ind w:left="1040" w:right="1077" w:firstLine="480"/>
        <w:jc w:val="both"/>
      </w:pPr>
      <w:r>
        <w:rPr>
          <w:spacing w:val="-6"/>
        </w:rPr>
        <w:t>本矿井从水源处至工业场地铺设一趟饮水管线，供矿井地面生产、生活及消</w:t>
      </w:r>
      <w:r>
        <w:rPr>
          <w:spacing w:val="-7"/>
        </w:rPr>
        <w:t xml:space="preserve">防用水，管径为 </w:t>
      </w:r>
      <w:r>
        <w:rPr>
          <w:rFonts w:ascii="Times New Roman" w:eastAsia="Times New Roman"/>
        </w:rPr>
        <w:t>DN200</w:t>
      </w:r>
      <w:r>
        <w:rPr>
          <w:spacing w:val="-5"/>
        </w:rPr>
        <w:t xml:space="preserve">。在矿井工业场地建 </w:t>
      </w:r>
      <w:r>
        <w:t>1</w:t>
      </w:r>
      <w:r>
        <w:rPr>
          <w:spacing w:val="-10"/>
        </w:rPr>
        <w:t xml:space="preserve"> 座生产、生活供水水池和 </w:t>
      </w:r>
      <w:r>
        <w:t>1</w:t>
      </w:r>
      <w:r>
        <w:rPr>
          <w:spacing w:val="-17"/>
        </w:rPr>
        <w:t xml:space="preserve"> 座供</w:t>
      </w:r>
      <w:r>
        <w:rPr>
          <w:spacing w:val="-21"/>
        </w:rPr>
        <w:t xml:space="preserve">水泵房，水池有效容积为 </w:t>
      </w:r>
      <w:r>
        <w:rPr>
          <w:rFonts w:ascii="Times New Roman" w:eastAsia="Times New Roman"/>
        </w:rPr>
        <w:t>1000m</w:t>
      </w:r>
      <w:r>
        <w:rPr>
          <w:rFonts w:ascii="Times New Roman" w:eastAsia="Times New Roman"/>
          <w:position w:val="8"/>
          <w:sz w:val="15"/>
        </w:rPr>
        <w:t>3</w:t>
      </w:r>
      <w:r>
        <w:t>。</w:t>
      </w:r>
    </w:p>
    <w:p>
      <w:pPr>
        <w:pStyle w:val="6"/>
        <w:spacing w:before="2" w:line="364" w:lineRule="auto"/>
        <w:ind w:left="1040" w:right="1077" w:firstLine="480"/>
        <w:jc w:val="both"/>
      </w:pPr>
      <w:r>
        <w:rPr>
          <w:spacing w:val="-8"/>
        </w:rPr>
        <w:t>工业场地内设有生产、生活及消防合用供水管网，呈环状布置，管材为钢丝</w:t>
      </w:r>
      <w:r>
        <w:rPr>
          <w:spacing w:val="-4"/>
        </w:rPr>
        <w:t xml:space="preserve">骨架塑料复合管，电热熔连接，管道压力为 </w:t>
      </w:r>
      <w:r>
        <w:rPr>
          <w:rFonts w:ascii="Times New Roman" w:eastAsia="Times New Roman"/>
        </w:rPr>
        <w:t>1.25MPa</w:t>
      </w:r>
      <w:r>
        <w:rPr>
          <w:spacing w:val="-9"/>
        </w:rPr>
        <w:t xml:space="preserve">，干管管径为 </w:t>
      </w:r>
      <w:r>
        <w:rPr>
          <w:rFonts w:ascii="Times New Roman" w:eastAsia="Times New Roman"/>
        </w:rPr>
        <w:t>DN100</w:t>
      </w:r>
      <w:r>
        <w:t>。</w:t>
      </w:r>
    </w:p>
    <w:p>
      <w:pPr>
        <w:pStyle w:val="6"/>
        <w:spacing w:before="1" w:line="364" w:lineRule="auto"/>
        <w:ind w:left="1040" w:right="1075" w:firstLine="480"/>
        <w:jc w:val="both"/>
      </w:pPr>
      <w:r>
        <w:rPr>
          <w:spacing w:val="-6"/>
        </w:rPr>
        <w:t>工业场地内设有绿化洒水回用水管网，呈支状布置，管材采用内外涂环氧树</w:t>
      </w:r>
      <w:r>
        <w:rPr>
          <w:spacing w:val="-10"/>
        </w:rPr>
        <w:t xml:space="preserve">脂复合钢管，干管管径为 </w:t>
      </w:r>
      <w:r>
        <w:rPr>
          <w:rFonts w:ascii="Times New Roman" w:eastAsia="Times New Roman"/>
        </w:rPr>
        <w:t>DN80</w:t>
      </w:r>
      <w:r>
        <w:rPr>
          <w:spacing w:val="-11"/>
        </w:rPr>
        <w:t xml:space="preserve">。在运煤干道处及主要的绿化地带，每隔 </w:t>
      </w:r>
      <w:r>
        <w:rPr>
          <w:rFonts w:ascii="Times New Roman" w:eastAsia="Times New Roman"/>
        </w:rPr>
        <w:t xml:space="preserve">30m </w:t>
      </w:r>
      <w:r>
        <w:rPr>
          <w:spacing w:val="-15"/>
        </w:rPr>
        <w:t>设</w:t>
      </w:r>
      <w:r>
        <w:t>置一处摇臂式洒水喷头，供绿化及地面防尘使用。</w:t>
      </w:r>
    </w:p>
    <w:p>
      <w:pPr>
        <w:pStyle w:val="13"/>
        <w:numPr>
          <w:ilvl w:val="4"/>
          <w:numId w:val="27"/>
        </w:numPr>
        <w:tabs>
          <w:tab w:val="left" w:pos="2121"/>
        </w:tabs>
        <w:spacing w:before="2" w:after="0" w:line="240" w:lineRule="auto"/>
        <w:ind w:left="2121" w:right="0" w:hanging="601"/>
        <w:jc w:val="left"/>
        <w:rPr>
          <w:sz w:val="24"/>
        </w:rPr>
      </w:pPr>
      <w:r>
        <w:rPr>
          <w:sz w:val="24"/>
        </w:rPr>
        <w:t>排水系统</w:t>
      </w:r>
    </w:p>
    <w:p>
      <w:pPr>
        <w:pStyle w:val="6"/>
        <w:spacing w:before="160" w:line="364" w:lineRule="auto"/>
        <w:ind w:left="1040" w:right="1077" w:firstLine="480"/>
      </w:pPr>
      <w:r>
        <w:rPr>
          <w:spacing w:val="-7"/>
        </w:rPr>
        <w:t>矿井的污水来源为工业场地的生活污、废水，处理后的污、废水回用于矿井</w:t>
      </w:r>
      <w:r>
        <w:t>生产用水、消防用水及工业场地绿化洒水用水，多余外排扁石河。</w:t>
      </w:r>
    </w:p>
    <w:p>
      <w:pPr>
        <w:pStyle w:val="6"/>
        <w:spacing w:before="1" w:line="364" w:lineRule="auto"/>
        <w:ind w:left="1520" w:right="957"/>
      </w:pPr>
      <w:r>
        <w:rPr>
          <w:spacing w:val="-6"/>
        </w:rPr>
        <w:t>达到设计投产规模</w:t>
      </w:r>
      <w:r>
        <w:rPr>
          <w:spacing w:val="-3"/>
        </w:rPr>
        <w:t>（</w:t>
      </w:r>
      <w:r>
        <w:rPr>
          <w:spacing w:val="-20"/>
        </w:rPr>
        <w:t xml:space="preserve">矿井 </w:t>
      </w:r>
      <w:r>
        <w:rPr>
          <w:rFonts w:ascii="Times New Roman" w:eastAsia="Times New Roman"/>
        </w:rPr>
        <w:t xml:space="preserve">30 </w:t>
      </w:r>
      <w:r>
        <w:rPr>
          <w:spacing w:val="-30"/>
        </w:rPr>
        <w:t xml:space="preserve">万 </w:t>
      </w:r>
      <w:r>
        <w:rPr>
          <w:rFonts w:ascii="Times New Roman" w:eastAsia="Times New Roman"/>
          <w:spacing w:val="-11"/>
        </w:rPr>
        <w:t>t/a</w:t>
      </w:r>
      <w:r>
        <w:rPr>
          <w:spacing w:val="-11"/>
        </w:rPr>
        <w:t xml:space="preserve">）时，工业场地生活污水量为 </w:t>
      </w:r>
      <w:r>
        <w:rPr>
          <w:rFonts w:ascii="Times New Roman" w:eastAsia="Times New Roman"/>
        </w:rPr>
        <w:t>108.65m</w:t>
      </w:r>
      <w:r>
        <w:rPr>
          <w:rFonts w:ascii="Times New Roman" w:eastAsia="Times New Roman"/>
          <w:position w:val="8"/>
          <w:sz w:val="15"/>
        </w:rPr>
        <w:t>3</w:t>
      </w:r>
      <w:r>
        <w:rPr>
          <w:rFonts w:ascii="Times New Roman" w:eastAsia="Times New Roman"/>
        </w:rPr>
        <w:t>/d</w:t>
      </w:r>
      <w:r>
        <w:rPr>
          <w:spacing w:val="-15"/>
        </w:rPr>
        <w:t>。</w:t>
      </w:r>
      <w:r>
        <w:rPr>
          <w:spacing w:val="-8"/>
        </w:rPr>
        <w:t>地面生产系统冲洗废水较少，将冲洗废水收集送至矿井水处理站统一处理后</w:t>
      </w:r>
    </w:p>
    <w:p>
      <w:pPr>
        <w:pStyle w:val="6"/>
        <w:spacing w:before="1"/>
        <w:ind w:left="1040"/>
      </w:pPr>
      <w:r>
        <w:t>回用。</w:t>
      </w:r>
    </w:p>
    <w:p>
      <w:pPr>
        <w:pStyle w:val="6"/>
        <w:spacing w:before="161"/>
        <w:ind w:left="1520"/>
      </w:pPr>
      <w:r>
        <w:t>冲洗废水收集及处理回用建、构筑物如下：</w:t>
      </w:r>
    </w:p>
    <w:p>
      <w:pPr>
        <w:pStyle w:val="6"/>
        <w:spacing w:before="160" w:line="364" w:lineRule="auto"/>
        <w:ind w:left="1040" w:right="1069" w:firstLine="480"/>
        <w:jc w:val="both"/>
        <w:rPr>
          <w:rFonts w:ascii="Times New Roman" w:hAnsi="Times New Roman" w:eastAsia="Times New Roman"/>
        </w:rPr>
      </w:pPr>
      <w:r>
        <w:rPr>
          <w:spacing w:val="-11"/>
        </w:rPr>
        <w:t xml:space="preserve">集水池：在井口房及煤仓底部各设置 </w:t>
      </w:r>
      <w:r>
        <w:rPr>
          <w:rFonts w:ascii="Times New Roman" w:hAnsi="Times New Roman" w:eastAsia="Times New Roman"/>
        </w:rPr>
        <w:t xml:space="preserve">1 </w:t>
      </w:r>
      <w:r>
        <w:rPr>
          <w:spacing w:val="-7"/>
        </w:rPr>
        <w:t>个集水池。皮带机走廊的冲洗废水沿</w:t>
      </w:r>
      <w:r>
        <w:rPr>
          <w:spacing w:val="-6"/>
        </w:rPr>
        <w:t xml:space="preserve">楼板坡度排至集水池内。集水池平面尺寸为 </w:t>
      </w:r>
      <w:r>
        <w:rPr>
          <w:rFonts w:ascii="Times New Roman" w:hAnsi="Times New Roman" w:eastAsia="Times New Roman"/>
        </w:rPr>
        <w:t>L×B×H=2.40×1.50×1.50 m</w:t>
      </w:r>
      <w:r>
        <w:t>，内设置</w:t>
      </w:r>
      <w:r>
        <w:rPr>
          <w:rFonts w:ascii="Times New Roman" w:hAnsi="Times New Roman" w:eastAsia="Times New Roman"/>
        </w:rPr>
        <w:t xml:space="preserve">50WQ15-20-2.2 </w:t>
      </w:r>
      <w:r>
        <w:rPr>
          <w:spacing w:val="-1"/>
        </w:rPr>
        <w:t>型潜污泵，</w:t>
      </w:r>
      <w:r>
        <w:rPr>
          <w:rFonts w:ascii="Times New Roman" w:hAnsi="Times New Roman" w:eastAsia="Times New Roman"/>
          <w:spacing w:val="-3"/>
        </w:rPr>
        <w:t>Q=15.00 m</w:t>
      </w:r>
      <w:r>
        <w:rPr>
          <w:rFonts w:ascii="Times New Roman" w:hAnsi="Times New Roman" w:eastAsia="Times New Roman"/>
          <w:spacing w:val="-3"/>
          <w:position w:val="8"/>
          <w:sz w:val="15"/>
        </w:rPr>
        <w:t>3</w:t>
      </w:r>
      <w:r>
        <w:rPr>
          <w:rFonts w:ascii="Times New Roman" w:hAnsi="Times New Roman" w:eastAsia="Times New Roman"/>
          <w:spacing w:val="-3"/>
        </w:rPr>
        <w:t>/h</w:t>
      </w:r>
      <w:r>
        <w:rPr>
          <w:spacing w:val="-3"/>
        </w:rPr>
        <w:t>，</w:t>
      </w:r>
      <w:r>
        <w:rPr>
          <w:rFonts w:ascii="Times New Roman" w:hAnsi="Times New Roman" w:eastAsia="Times New Roman"/>
          <w:spacing w:val="-3"/>
        </w:rPr>
        <w:t>H=0.20MPa</w:t>
      </w:r>
      <w:r>
        <w:rPr>
          <w:spacing w:val="-10"/>
        </w:rPr>
        <w:t xml:space="preserve">，配套电动机 </w:t>
      </w:r>
      <w:r>
        <w:rPr>
          <w:rFonts w:ascii="Times New Roman" w:hAnsi="Times New Roman" w:eastAsia="Times New Roman"/>
        </w:rPr>
        <w:t>2.2kW</w:t>
      </w:r>
      <w:r>
        <w:t>，</w:t>
      </w:r>
      <w:r>
        <w:rPr>
          <w:rFonts w:ascii="Times New Roman" w:hAnsi="Times New Roman" w:eastAsia="Times New Roman"/>
        </w:rPr>
        <w:t>380</w:t>
      </w:r>
    </w:p>
    <w:p>
      <w:pPr>
        <w:spacing w:after="0" w:line="364" w:lineRule="auto"/>
        <w:jc w:val="both"/>
        <w:rPr>
          <w:rFonts w:ascii="Times New Roman" w:hAnsi="Times New Roman" w:eastAsia="Times New Roman"/>
        </w:rPr>
        <w:sectPr>
          <w:pgSz w:w="11910" w:h="16840"/>
          <w:pgMar w:top="1080" w:right="720" w:bottom="1160" w:left="760" w:header="0" w:footer="971" w:gutter="0"/>
        </w:sectPr>
      </w:pPr>
    </w:p>
    <w:p>
      <w:pPr>
        <w:pStyle w:val="6"/>
        <w:spacing w:line="20" w:lineRule="exact"/>
        <w:ind w:left="1032"/>
        <w:rPr>
          <w:rFonts w:ascii="Times New Roman"/>
          <w:sz w:val="2"/>
        </w:rPr>
      </w:pPr>
      <w:r>
        <w:rPr>
          <w:rFonts w:ascii="Times New Roman"/>
          <w:sz w:val="2"/>
        </w:rPr>
        <mc:AlternateContent>
          <mc:Choice Requires="wpg">
            <w:drawing>
              <wp:inline distT="0" distB="0" distL="114300" distR="114300">
                <wp:extent cx="5274310" cy="9525"/>
                <wp:effectExtent l="0" t="0" r="0" b="0"/>
                <wp:docPr id="120" name="组合 65"/>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19" name="直线 66"/>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65"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aCLtQAAAADAQAADwAAAAAAAAABACAAAAAiAAAAZHJzL2Rvd25yZXYueG1s&#10;UEsBAhQAFAAAAAgAh07iQACPDto1AgAAtgQAAA4AAAAAAAAAAQAgAAAAIwEAAGRycy9lMm9Eb2Mu&#10;eG1sUEsFBgAAAAAGAAYAWQEAAMoFAAAAAA==&#10;">
                <o:lock v:ext="edit" aspectratio="f"/>
                <v:line id="直线 66" o:spid="_x0000_s1026" o:spt="20" style="position:absolute;left:0;top:7;height:0;width:8306;" filled="f" stroked="t" coordsize="21600,21600" o:gfxdata="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Cxk6L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6"/>
        <w:spacing w:before="6"/>
        <w:rPr>
          <w:rFonts w:ascii="Times New Roman"/>
          <w:sz w:val="28"/>
        </w:rPr>
      </w:pPr>
    </w:p>
    <w:p>
      <w:pPr>
        <w:pStyle w:val="6"/>
        <w:spacing w:before="74" w:line="364" w:lineRule="auto"/>
        <w:ind w:left="1040" w:right="1077"/>
      </w:pPr>
      <w:r>
        <w:rPr>
          <w:rFonts w:ascii="Times New Roman" w:eastAsia="Times New Roman"/>
        </w:rPr>
        <w:t>V</w:t>
      </w:r>
      <w:r>
        <w:t>，</w:t>
      </w:r>
      <w:r>
        <w:rPr>
          <w:rFonts w:ascii="Times New Roman" w:eastAsia="Times New Roman"/>
        </w:rPr>
        <w:t xml:space="preserve">2 </w:t>
      </w:r>
      <w:r>
        <w:t>台，</w:t>
      </w:r>
      <w:r>
        <w:rPr>
          <w:rFonts w:ascii="Times New Roman" w:eastAsia="Times New Roman"/>
        </w:rPr>
        <w:t xml:space="preserve">1 </w:t>
      </w:r>
      <w:r>
        <w:t xml:space="preserve">用 </w:t>
      </w:r>
      <w:r>
        <w:rPr>
          <w:rFonts w:ascii="Times New Roman" w:eastAsia="Times New Roman"/>
        </w:rPr>
        <w:t xml:space="preserve">1 </w:t>
      </w:r>
      <w:r>
        <w:t>备。潜污泵将集水池的煤泥水分别提升至矿井水处理站的污泥池集中处理。</w:t>
      </w:r>
    </w:p>
    <w:p>
      <w:pPr>
        <w:pStyle w:val="13"/>
        <w:numPr>
          <w:ilvl w:val="4"/>
          <w:numId w:val="27"/>
        </w:numPr>
        <w:tabs>
          <w:tab w:val="left" w:pos="2121"/>
        </w:tabs>
        <w:spacing w:before="1" w:after="0" w:line="240" w:lineRule="auto"/>
        <w:ind w:left="2121" w:right="0" w:hanging="601"/>
        <w:jc w:val="left"/>
        <w:rPr>
          <w:sz w:val="24"/>
        </w:rPr>
      </w:pPr>
      <w:r>
        <w:rPr>
          <w:sz w:val="24"/>
        </w:rPr>
        <w:t>水量平衡分析</w:t>
      </w:r>
    </w:p>
    <w:p>
      <w:pPr>
        <w:pStyle w:val="6"/>
        <w:spacing w:before="161"/>
        <w:ind w:left="1520"/>
      </w:pPr>
      <w:r>
        <w:t xml:space="preserve">本项目工业场地水量平衡见图 </w:t>
      </w:r>
      <w:r>
        <w:rPr>
          <w:rFonts w:ascii="Times New Roman" w:eastAsia="Times New Roman"/>
        </w:rPr>
        <w:t>3.3-1</w:t>
      </w:r>
      <w:r>
        <w:t>。</w:t>
      </w:r>
    </w:p>
    <w:p>
      <w:pPr>
        <w:pStyle w:val="6"/>
        <w:spacing w:before="9"/>
        <w:rPr>
          <w:sz w:val="21"/>
        </w:rPr>
      </w:pPr>
      <w:r>
        <w:drawing>
          <wp:anchor distT="0" distB="0" distL="0" distR="0" simplePos="0" relativeHeight="1024" behindDoc="0" locked="0" layoutInCell="1" allowOverlap="1">
            <wp:simplePos x="0" y="0"/>
            <wp:positionH relativeFrom="page">
              <wp:posOffset>1627505</wp:posOffset>
            </wp:positionH>
            <wp:positionV relativeFrom="paragraph">
              <wp:posOffset>201295</wp:posOffset>
            </wp:positionV>
            <wp:extent cx="4060190" cy="291465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37" cstate="print"/>
                    <a:stretch>
                      <a:fillRect/>
                    </a:stretch>
                  </pic:blipFill>
                  <pic:spPr>
                    <a:xfrm>
                      <a:off x="0" y="0"/>
                      <a:ext cx="4060133" cy="2914650"/>
                    </a:xfrm>
                    <a:prstGeom prst="rect">
                      <a:avLst/>
                    </a:prstGeom>
                  </pic:spPr>
                </pic:pic>
              </a:graphicData>
            </a:graphic>
          </wp:anchor>
        </w:drawing>
      </w:r>
    </w:p>
    <w:p>
      <w:pPr>
        <w:pStyle w:val="6"/>
        <w:spacing w:before="9"/>
        <w:rPr>
          <w:sz w:val="10"/>
        </w:rPr>
      </w:pPr>
    </w:p>
    <w:p>
      <w:pPr>
        <w:pStyle w:val="5"/>
        <w:spacing w:before="78"/>
        <w:ind w:left="1553" w:right="1581"/>
        <w:jc w:val="center"/>
        <w:rPr>
          <w:rFonts w:ascii="Times New Roman" w:eastAsia="Times New Roman"/>
        </w:rPr>
      </w:pPr>
      <w:r>
        <w:t xml:space="preserve">图 </w:t>
      </w:r>
      <w:r>
        <w:rPr>
          <w:rFonts w:ascii="Times New Roman" w:eastAsia="Times New Roman"/>
        </w:rPr>
        <w:t xml:space="preserve">3.3-1 </w:t>
      </w:r>
      <w:r>
        <w:t xml:space="preserve">水量平衡图 </w:t>
      </w:r>
      <w:r>
        <w:rPr>
          <w:rFonts w:ascii="Times New Roman" w:eastAsia="Times New Roman"/>
        </w:rPr>
        <w:t>m</w:t>
      </w:r>
      <w:r>
        <w:rPr>
          <w:rFonts w:ascii="Times New Roman" w:eastAsia="Times New Roman"/>
          <w:position w:val="8"/>
          <w:sz w:val="15"/>
        </w:rPr>
        <w:t>3</w:t>
      </w:r>
      <w:r>
        <w:rPr>
          <w:rFonts w:ascii="Times New Roman" w:eastAsia="Times New Roman"/>
        </w:rPr>
        <w:t>/d</w:t>
      </w:r>
    </w:p>
    <w:p>
      <w:pPr>
        <w:pStyle w:val="13"/>
        <w:numPr>
          <w:ilvl w:val="3"/>
          <w:numId w:val="27"/>
        </w:numPr>
        <w:tabs>
          <w:tab w:val="left" w:pos="1820"/>
        </w:tabs>
        <w:spacing w:before="161" w:after="0" w:line="240" w:lineRule="auto"/>
        <w:ind w:left="1820" w:right="0" w:hanging="780"/>
        <w:jc w:val="left"/>
        <w:rPr>
          <w:b/>
          <w:sz w:val="24"/>
        </w:rPr>
      </w:pPr>
      <w:r>
        <w:rPr>
          <w:b/>
          <w:sz w:val="24"/>
        </w:rPr>
        <w:t>采暖供热</w:t>
      </w:r>
    </w:p>
    <w:p>
      <w:pPr>
        <w:pStyle w:val="13"/>
        <w:numPr>
          <w:ilvl w:val="0"/>
          <w:numId w:val="28"/>
        </w:numPr>
        <w:tabs>
          <w:tab w:val="left" w:pos="2121"/>
        </w:tabs>
        <w:spacing w:before="160" w:after="0" w:line="240" w:lineRule="auto"/>
        <w:ind w:left="2121" w:right="0" w:hanging="601"/>
        <w:jc w:val="left"/>
        <w:rPr>
          <w:sz w:val="24"/>
        </w:rPr>
      </w:pPr>
      <w:r>
        <w:rPr>
          <w:sz w:val="24"/>
        </w:rPr>
        <w:t>采暖</w:t>
      </w:r>
    </w:p>
    <w:p>
      <w:pPr>
        <w:pStyle w:val="6"/>
        <w:spacing w:before="161" w:line="364" w:lineRule="auto"/>
        <w:ind w:left="1040" w:right="1077" w:firstLine="480"/>
      </w:pPr>
      <w:r>
        <w:rPr>
          <w:spacing w:val="-5"/>
        </w:rPr>
        <w:t xml:space="preserve">工业场地的锅炉房设备选用 </w:t>
      </w:r>
      <w:r>
        <w:rPr>
          <w:rFonts w:ascii="Times New Roman" w:eastAsia="Times New Roman"/>
        </w:rPr>
        <w:t xml:space="preserve">1 </w:t>
      </w:r>
      <w:r>
        <w:rPr>
          <w:spacing w:val="-30"/>
        </w:rPr>
        <w:t xml:space="preserve">台 </w:t>
      </w:r>
      <w:r>
        <w:rPr>
          <w:rFonts w:ascii="Times New Roman" w:eastAsia="Times New Roman"/>
        </w:rPr>
        <w:t xml:space="preserve">1.4MW </w:t>
      </w:r>
      <w:r>
        <w:rPr>
          <w:spacing w:val="-2"/>
        </w:rPr>
        <w:t>热水锅炉，全年运行，用于地面建</w:t>
      </w:r>
      <w:r>
        <w:t>筑采暖、员工洗浴、干燥。</w:t>
      </w:r>
    </w:p>
    <w:p>
      <w:pPr>
        <w:pStyle w:val="13"/>
        <w:numPr>
          <w:ilvl w:val="0"/>
          <w:numId w:val="28"/>
        </w:numPr>
        <w:tabs>
          <w:tab w:val="left" w:pos="2121"/>
        </w:tabs>
        <w:spacing w:before="1" w:after="0" w:line="240" w:lineRule="auto"/>
        <w:ind w:left="2121" w:right="0" w:hanging="601"/>
        <w:jc w:val="left"/>
        <w:rPr>
          <w:sz w:val="24"/>
        </w:rPr>
      </w:pPr>
      <w:r>
        <w:rPr>
          <w:sz w:val="24"/>
        </w:rPr>
        <w:t>井筒防冻</w:t>
      </w:r>
    </w:p>
    <w:p>
      <w:pPr>
        <w:pStyle w:val="6"/>
        <w:spacing w:before="160"/>
        <w:ind w:left="1520"/>
      </w:pPr>
      <w:r>
        <w:t xml:space="preserve">设置 </w:t>
      </w:r>
      <w:r>
        <w:rPr>
          <w:rFonts w:ascii="Times New Roman" w:eastAsia="Times New Roman"/>
        </w:rPr>
        <w:t xml:space="preserve">1 </w:t>
      </w:r>
      <w:r>
        <w:t xml:space="preserve">台 </w:t>
      </w:r>
      <w:r>
        <w:rPr>
          <w:rFonts w:ascii="Times New Roman" w:eastAsia="Times New Roman"/>
        </w:rPr>
        <w:t xml:space="preserve">4.2MW </w:t>
      </w:r>
      <w:r>
        <w:t>热风炉，冬季运行，用于井筒防冻。</w:t>
      </w:r>
    </w:p>
    <w:p>
      <w:pPr>
        <w:pStyle w:val="13"/>
        <w:numPr>
          <w:ilvl w:val="0"/>
          <w:numId w:val="28"/>
        </w:numPr>
        <w:tabs>
          <w:tab w:val="left" w:pos="2121"/>
        </w:tabs>
        <w:spacing w:before="161" w:after="0" w:line="240" w:lineRule="auto"/>
        <w:ind w:left="2121" w:right="0" w:hanging="601"/>
        <w:jc w:val="left"/>
        <w:rPr>
          <w:sz w:val="24"/>
        </w:rPr>
      </w:pPr>
      <w:r>
        <w:rPr>
          <w:sz w:val="24"/>
        </w:rPr>
        <w:t>燃料</w:t>
      </w:r>
    </w:p>
    <w:p>
      <w:pPr>
        <w:pStyle w:val="6"/>
        <w:spacing w:before="160"/>
        <w:ind w:left="1520"/>
      </w:pPr>
      <w:r>
        <w:t>锅炉和热风炉燃料均为生物质燃料。</w:t>
      </w:r>
    </w:p>
    <w:p>
      <w:pPr>
        <w:pStyle w:val="4"/>
        <w:numPr>
          <w:ilvl w:val="2"/>
          <w:numId w:val="16"/>
        </w:numPr>
        <w:tabs>
          <w:tab w:val="left" w:pos="1669"/>
        </w:tabs>
        <w:spacing w:before="82" w:after="0" w:line="240" w:lineRule="auto"/>
        <w:ind w:left="1668" w:right="0" w:hanging="629"/>
        <w:jc w:val="left"/>
      </w:pPr>
      <w:bookmarkStart w:id="104" w:name="3.3.5供电"/>
      <w:bookmarkEnd w:id="104"/>
      <w:bookmarkStart w:id="105" w:name="3.3.5供电"/>
      <w:bookmarkEnd w:id="105"/>
      <w:r>
        <w:t>供电</w:t>
      </w:r>
    </w:p>
    <w:p>
      <w:pPr>
        <w:pStyle w:val="6"/>
        <w:spacing w:before="265" w:line="364" w:lineRule="auto"/>
        <w:ind w:left="1040" w:right="1077" w:firstLine="480"/>
        <w:jc w:val="both"/>
      </w:pPr>
      <w:r>
        <w:rPr>
          <w:spacing w:val="2"/>
        </w:rPr>
        <w:t>双电源来自双鸭集团岭东供电公司东三甲线和由来自双鸭集团岭东供电公</w:t>
      </w:r>
      <w:r>
        <w:rPr>
          <w:spacing w:val="-9"/>
        </w:rPr>
        <w:t xml:space="preserve">司东七乙线 </w:t>
      </w:r>
      <w:r>
        <w:rPr>
          <w:rFonts w:ascii="Times New Roman" w:eastAsia="Times New Roman"/>
        </w:rPr>
        <w:t xml:space="preserve">10kV </w:t>
      </w:r>
      <w:r>
        <w:rPr>
          <w:spacing w:val="-5"/>
        </w:rPr>
        <w:t xml:space="preserve">高压架空线，经地面变电所 </w:t>
      </w:r>
      <w:r>
        <w:rPr>
          <w:rFonts w:ascii="Times New Roman" w:eastAsia="Times New Roman"/>
        </w:rPr>
        <w:t xml:space="preserve">4 </w:t>
      </w:r>
      <w:r>
        <w:rPr>
          <w:spacing w:val="-28"/>
        </w:rPr>
        <w:t xml:space="preserve">台 </w:t>
      </w:r>
      <w:r>
        <w:rPr>
          <w:rFonts w:ascii="Times New Roman" w:eastAsia="Times New Roman"/>
        </w:rPr>
        <w:t>S9-400/10</w:t>
      </w:r>
      <w:r>
        <w:t>，两台变压器降压</w:t>
      </w:r>
      <w:r>
        <w:rPr>
          <w:spacing w:val="-27"/>
        </w:rPr>
        <w:t xml:space="preserve">后 </w:t>
      </w:r>
      <w:r>
        <w:rPr>
          <w:rFonts w:ascii="Times New Roman" w:eastAsia="Times New Roman"/>
        </w:rPr>
        <w:t xml:space="preserve">380V </w:t>
      </w:r>
      <w:r>
        <w:rPr>
          <w:spacing w:val="-3"/>
        </w:rPr>
        <w:t xml:space="preserve">进入地面各用电地点，两台进入井下变压器降压后 </w:t>
      </w:r>
      <w:r>
        <w:rPr>
          <w:rFonts w:ascii="Times New Roman" w:eastAsia="Times New Roman"/>
        </w:rPr>
        <w:t xml:space="preserve">660V </w:t>
      </w:r>
      <w:r>
        <w:t>入井进入各用电地点。</w:t>
      </w:r>
    </w:p>
    <w:p>
      <w:pPr>
        <w:spacing w:after="0" w:line="364" w:lineRule="auto"/>
        <w:jc w:val="both"/>
        <w:sectPr>
          <w:footerReference r:id="rId9" w:type="default"/>
          <w:pgSz w:w="11910" w:h="16840"/>
          <w:pgMar w:top="1080" w:right="720" w:bottom="1160" w:left="760" w:header="0" w:footer="971" w:gutter="0"/>
          <w:pgNumType w:start="5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22" name="组合 67"/>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21" name="直线 68"/>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67"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aCLtQAAAADAQAADwAAAAAAAAABACAAAAAiAAAAZHJzL2Rvd25yZXYueG1s&#10;UEsBAhQAFAAAAAgAh07iQBa3qHo1AgAAtgQAAA4AAAAAAAAAAQAgAAAAIwEAAGRycy9lMm9Eb2Mu&#10;eG1sUEsFBgAAAAAGAAYAWQEAAMoFAAAAAA==&#10;">
                <o:lock v:ext="edit" aspectratio="f"/>
                <v:line id="直线 68" o:spid="_x0000_s1026" o:spt="20" style="position:absolute;left:0;top:7;height:0;width:8306;" filled="f" stroked="t" coordsize="21600,21600" o:gfxdata="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DaiU7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6"/>
        <w:spacing w:before="1"/>
        <w:rPr>
          <w:sz w:val="29"/>
        </w:rPr>
      </w:pPr>
    </w:p>
    <w:p>
      <w:pPr>
        <w:pStyle w:val="3"/>
        <w:numPr>
          <w:ilvl w:val="1"/>
          <w:numId w:val="29"/>
        </w:numPr>
        <w:tabs>
          <w:tab w:val="left" w:pos="1566"/>
        </w:tabs>
        <w:spacing w:before="70" w:after="0" w:line="240" w:lineRule="auto"/>
        <w:ind w:left="1565" w:right="0" w:hanging="526"/>
        <w:jc w:val="left"/>
      </w:pPr>
      <w:bookmarkStart w:id="106" w:name="_bookmark18"/>
      <w:bookmarkEnd w:id="106"/>
      <w:bookmarkStart w:id="107" w:name="_bookmark18"/>
      <w:bookmarkEnd w:id="107"/>
      <w:bookmarkStart w:id="108" w:name="3.4 污染源及环境影响因素分析"/>
      <w:bookmarkEnd w:id="108"/>
      <w:r>
        <w:t>污染源及环境影响因素分析</w:t>
      </w:r>
    </w:p>
    <w:p>
      <w:pPr>
        <w:pStyle w:val="4"/>
        <w:numPr>
          <w:ilvl w:val="2"/>
          <w:numId w:val="29"/>
        </w:numPr>
        <w:tabs>
          <w:tab w:val="left" w:pos="1669"/>
        </w:tabs>
        <w:spacing w:before="121" w:after="0" w:line="240" w:lineRule="auto"/>
        <w:ind w:left="1668" w:right="0" w:hanging="629"/>
        <w:jc w:val="left"/>
      </w:pPr>
      <w:bookmarkStart w:id="109" w:name="3.4.1原有工程现存的主要环境问题"/>
      <w:bookmarkEnd w:id="109"/>
      <w:bookmarkStart w:id="110" w:name="3.4.1原有工程现存的主要环境问题"/>
      <w:bookmarkEnd w:id="110"/>
      <w:r>
        <w:t>原有工程现存的主要环境问题</w:t>
      </w:r>
    </w:p>
    <w:p>
      <w:pPr>
        <w:pStyle w:val="6"/>
        <w:spacing w:before="182" w:line="364" w:lineRule="auto"/>
        <w:ind w:left="1040" w:right="955" w:firstLine="480"/>
      </w:pPr>
      <w:r>
        <w:rPr>
          <w:rFonts w:ascii="Times New Roman" w:eastAsia="Times New Roman"/>
          <w:position w:val="2"/>
        </w:rPr>
        <w:t>1</w:t>
      </w:r>
      <w:r>
        <w:rPr>
          <w:position w:val="2"/>
        </w:rPr>
        <w:t>、矿区生活污水直接排放，</w:t>
      </w:r>
      <w:r>
        <w:rPr>
          <w:rFonts w:ascii="Times New Roman" w:eastAsia="Times New Roman"/>
          <w:position w:val="2"/>
        </w:rPr>
        <w:t>COD</w:t>
      </w:r>
      <w:r>
        <w:rPr>
          <w:position w:val="2"/>
        </w:rPr>
        <w:t>、</w:t>
      </w:r>
      <w:r>
        <w:rPr>
          <w:rFonts w:ascii="Times New Roman" w:eastAsia="Times New Roman"/>
          <w:position w:val="2"/>
        </w:rPr>
        <w:t>BOD</w:t>
      </w:r>
      <w:r>
        <w:rPr>
          <w:rFonts w:ascii="Times New Roman" w:eastAsia="Times New Roman"/>
          <w:position w:val="2"/>
          <w:vertAlign w:val="subscript"/>
        </w:rPr>
        <w:t>5</w:t>
      </w:r>
      <w:r>
        <w:rPr>
          <w:rFonts w:ascii="Times New Roman" w:eastAsia="Times New Roman"/>
          <w:position w:val="2"/>
          <w:vertAlign w:val="baseline"/>
        </w:rPr>
        <w:t xml:space="preserve"> </w:t>
      </w:r>
      <w:r>
        <w:rPr>
          <w:position w:val="2"/>
          <w:vertAlign w:val="baseline"/>
        </w:rPr>
        <w:t>和氨氮浓度较高，矿井涌水及生</w:t>
      </w:r>
      <w:r>
        <w:rPr>
          <w:spacing w:val="-9"/>
          <w:vertAlign w:val="baseline"/>
        </w:rPr>
        <w:t>活污水排放浓度不能够满足《煤炭工业污染物排放标准》</w:t>
      </w:r>
      <w:r>
        <w:rPr>
          <w:spacing w:val="-4"/>
          <w:vertAlign w:val="baseline"/>
        </w:rPr>
        <w:t>（</w:t>
      </w:r>
      <w:r>
        <w:rPr>
          <w:rFonts w:ascii="Times New Roman" w:eastAsia="Times New Roman"/>
          <w:spacing w:val="-4"/>
          <w:vertAlign w:val="baseline"/>
        </w:rPr>
        <w:t>GB20426-2006</w:t>
      </w:r>
      <w:r>
        <w:rPr>
          <w:spacing w:val="-4"/>
          <w:vertAlign w:val="baseline"/>
        </w:rPr>
        <w:t>）</w:t>
      </w:r>
      <w:r>
        <w:rPr>
          <w:spacing w:val="-29"/>
          <w:vertAlign w:val="baseline"/>
        </w:rPr>
        <w:t xml:space="preserve">表 </w:t>
      </w:r>
      <w:r>
        <w:rPr>
          <w:rFonts w:ascii="Times New Roman" w:eastAsia="Times New Roman"/>
          <w:vertAlign w:val="baseline"/>
        </w:rPr>
        <w:t>1</w:t>
      </w:r>
      <w:r>
        <w:rPr>
          <w:spacing w:val="-15"/>
          <w:vertAlign w:val="baseline"/>
        </w:rPr>
        <w:t>、</w:t>
      </w:r>
      <w:r>
        <w:rPr>
          <w:rFonts w:ascii="Times New Roman" w:eastAsia="Times New Roman"/>
          <w:vertAlign w:val="baseline"/>
        </w:rPr>
        <w:t xml:space="preserve">2 </w:t>
      </w:r>
      <w:r>
        <w:rPr>
          <w:vertAlign w:val="baseline"/>
        </w:rPr>
        <w:t>标准限值。</w:t>
      </w:r>
    </w:p>
    <w:p>
      <w:pPr>
        <w:pStyle w:val="6"/>
        <w:spacing w:line="362" w:lineRule="auto"/>
        <w:ind w:left="1040" w:right="1077" w:firstLine="480"/>
      </w:pPr>
      <w:r>
        <w:rPr>
          <w:rFonts w:ascii="Times New Roman" w:eastAsia="Times New Roman"/>
        </w:rPr>
        <w:t>2</w:t>
      </w:r>
      <w:r>
        <w:t>、煤场、临时矸石堆置场无洒水设施，矸石翻倒时及煤场、临时矸石堆置场产生粉尘，无相应生物收集处理措施，对周围环境有一定影响。</w:t>
      </w:r>
    </w:p>
    <w:p>
      <w:pPr>
        <w:pStyle w:val="6"/>
        <w:spacing w:before="3"/>
        <w:ind w:left="1520"/>
      </w:pPr>
      <w:r>
        <w:rPr>
          <w:rFonts w:ascii="Times New Roman" w:eastAsia="Times New Roman"/>
        </w:rPr>
        <w:t>3</w:t>
      </w:r>
      <w:r>
        <w:t>、燃煤锅炉无除尘设施，烟尘排放浓度达不到《锅炉大气污染物排放标准》</w:t>
      </w:r>
    </w:p>
    <w:p>
      <w:pPr>
        <w:pStyle w:val="6"/>
        <w:spacing w:before="158"/>
        <w:ind w:left="1040"/>
      </w:pPr>
      <w:r>
        <w:t>（</w:t>
      </w:r>
      <w:r>
        <w:rPr>
          <w:rFonts w:ascii="Times New Roman" w:eastAsia="Times New Roman"/>
        </w:rPr>
        <w:t>GB13271-2014</w:t>
      </w:r>
      <w:r>
        <w:t xml:space="preserve">）中表 </w:t>
      </w:r>
      <w:r>
        <w:rPr>
          <w:rFonts w:ascii="Times New Roman" w:eastAsia="Times New Roman"/>
        </w:rPr>
        <w:t xml:space="preserve">1 </w:t>
      </w:r>
      <w:r>
        <w:t>燃煤锅炉排放限值要求。</w:t>
      </w:r>
    </w:p>
    <w:p>
      <w:pPr>
        <w:pStyle w:val="4"/>
        <w:numPr>
          <w:ilvl w:val="2"/>
          <w:numId w:val="29"/>
        </w:numPr>
        <w:tabs>
          <w:tab w:val="left" w:pos="1669"/>
        </w:tabs>
        <w:spacing w:before="161" w:after="0" w:line="240" w:lineRule="auto"/>
        <w:ind w:left="1668" w:right="0" w:hanging="629"/>
        <w:jc w:val="left"/>
      </w:pPr>
      <w:bookmarkStart w:id="111" w:name="3.4.2改扩建后工程污染源分析"/>
      <w:bookmarkEnd w:id="111"/>
      <w:bookmarkStart w:id="112" w:name="3.4.2改扩建后工程污染源分析"/>
      <w:bookmarkEnd w:id="112"/>
      <w:r>
        <w:t>改扩建后工程污染源分析</w:t>
      </w:r>
    </w:p>
    <w:p>
      <w:pPr>
        <w:pStyle w:val="6"/>
        <w:spacing w:before="185"/>
        <w:ind w:left="1520"/>
      </w:pPr>
      <w:r>
        <w:rPr>
          <w:rFonts w:ascii="Times New Roman" w:eastAsia="Times New Roman"/>
        </w:rPr>
        <w:t>1</w:t>
      </w:r>
      <w:r>
        <w:t>、建设期污染影响因素分析</w:t>
      </w:r>
    </w:p>
    <w:p>
      <w:pPr>
        <w:pStyle w:val="13"/>
        <w:numPr>
          <w:ilvl w:val="3"/>
          <w:numId w:val="29"/>
        </w:numPr>
        <w:tabs>
          <w:tab w:val="left" w:pos="2121"/>
        </w:tabs>
        <w:spacing w:before="158" w:after="0" w:line="240" w:lineRule="auto"/>
        <w:ind w:left="2121" w:right="0" w:hanging="601"/>
        <w:jc w:val="left"/>
        <w:rPr>
          <w:sz w:val="24"/>
        </w:rPr>
      </w:pPr>
      <w:r>
        <w:rPr>
          <w:sz w:val="24"/>
        </w:rPr>
        <w:t>大气污染</w:t>
      </w:r>
    </w:p>
    <w:p>
      <w:pPr>
        <w:pStyle w:val="6"/>
        <w:spacing w:before="161" w:line="364" w:lineRule="auto"/>
        <w:ind w:left="1040" w:right="1077" w:firstLine="480"/>
        <w:jc w:val="both"/>
      </w:pPr>
      <w:r>
        <w:rPr>
          <w:spacing w:val="-5"/>
        </w:rPr>
        <w:t>主要为平整场地剥离表土后裸露地表在大风气象条件下的风蚀扬尘，建筑材</w:t>
      </w:r>
      <w:r>
        <w:rPr>
          <w:spacing w:val="-11"/>
        </w:rPr>
        <w:t>料运输、装卸中的扬尘，土方运输车辆行驶产生的扬尘，临时物料堆放场产生的</w:t>
      </w:r>
      <w:r>
        <w:rPr>
          <w:spacing w:val="-10"/>
        </w:rPr>
        <w:t>风蚀扬尘，混凝土搅拌站产生的水泥粉尘等。污染物大多为无组织排放，主要污</w:t>
      </w:r>
      <w:r>
        <w:t>染物为粉尘。</w:t>
      </w:r>
    </w:p>
    <w:p>
      <w:pPr>
        <w:pStyle w:val="13"/>
        <w:numPr>
          <w:ilvl w:val="3"/>
          <w:numId w:val="29"/>
        </w:numPr>
        <w:tabs>
          <w:tab w:val="left" w:pos="2121"/>
        </w:tabs>
        <w:spacing w:before="0" w:after="0" w:line="305" w:lineRule="exact"/>
        <w:ind w:left="2121" w:right="0" w:hanging="601"/>
        <w:jc w:val="left"/>
        <w:rPr>
          <w:sz w:val="24"/>
        </w:rPr>
      </w:pPr>
      <w:r>
        <w:rPr>
          <w:sz w:val="24"/>
        </w:rPr>
        <w:t>水污染</w:t>
      </w:r>
    </w:p>
    <w:p>
      <w:pPr>
        <w:pStyle w:val="6"/>
        <w:spacing w:before="158" w:line="364" w:lineRule="auto"/>
        <w:ind w:left="1040" w:right="1077" w:firstLine="480"/>
        <w:jc w:val="both"/>
      </w:pPr>
      <w:r>
        <w:rPr>
          <w:spacing w:val="-6"/>
        </w:rPr>
        <w:t>主要为施工废水和施工人员日常生活污水。施工废水主要有：地面建筑施工</w:t>
      </w:r>
      <w:r>
        <w:rPr>
          <w:spacing w:val="-10"/>
        </w:rPr>
        <w:t>过程中砖石清洗、砂浆搅拌等产生的废水；矿井井筒施工穿越地下含水层而造成</w:t>
      </w:r>
      <w:r>
        <w:rPr>
          <w:spacing w:val="-3"/>
          <w:position w:val="2"/>
        </w:rPr>
        <w:t xml:space="preserve">的含水层疏干水；生活污水量很少，主要污染物为 </w:t>
      </w:r>
      <w:r>
        <w:rPr>
          <w:rFonts w:ascii="Times New Roman" w:eastAsia="Times New Roman"/>
          <w:position w:val="2"/>
        </w:rPr>
        <w:t>SS</w:t>
      </w:r>
      <w:r>
        <w:rPr>
          <w:position w:val="2"/>
        </w:rPr>
        <w:t>、</w:t>
      </w:r>
      <w:r>
        <w:rPr>
          <w:rFonts w:ascii="Times New Roman" w:eastAsia="Times New Roman"/>
          <w:position w:val="2"/>
        </w:rPr>
        <w:t>BOD</w:t>
      </w:r>
      <w:r>
        <w:rPr>
          <w:rFonts w:ascii="Times New Roman" w:eastAsia="Times New Roman"/>
          <w:position w:val="2"/>
          <w:vertAlign w:val="subscript"/>
        </w:rPr>
        <w:t>5</w:t>
      </w:r>
      <w:r>
        <w:rPr>
          <w:position w:val="2"/>
          <w:vertAlign w:val="baseline"/>
        </w:rPr>
        <w:t>、</w:t>
      </w:r>
      <w:r>
        <w:rPr>
          <w:rFonts w:ascii="Times New Roman" w:eastAsia="Times New Roman"/>
          <w:position w:val="2"/>
          <w:vertAlign w:val="baseline"/>
        </w:rPr>
        <w:t>COD</w:t>
      </w:r>
      <w:r>
        <w:rPr>
          <w:position w:val="2"/>
          <w:vertAlign w:val="baseline"/>
        </w:rPr>
        <w:t>、氨氮。</w:t>
      </w:r>
    </w:p>
    <w:p>
      <w:pPr>
        <w:pStyle w:val="13"/>
        <w:numPr>
          <w:ilvl w:val="3"/>
          <w:numId w:val="29"/>
        </w:numPr>
        <w:tabs>
          <w:tab w:val="left" w:pos="2121"/>
        </w:tabs>
        <w:spacing w:before="0" w:after="0" w:line="302" w:lineRule="exact"/>
        <w:ind w:left="2121" w:right="0" w:hanging="601"/>
        <w:jc w:val="left"/>
        <w:rPr>
          <w:sz w:val="24"/>
        </w:rPr>
      </w:pPr>
      <w:r>
        <w:rPr>
          <w:sz w:val="24"/>
        </w:rPr>
        <w:t>固体废物</w:t>
      </w:r>
    </w:p>
    <w:p>
      <w:pPr>
        <w:pStyle w:val="6"/>
        <w:spacing w:before="161" w:line="364" w:lineRule="auto"/>
        <w:ind w:left="1040" w:right="1077" w:firstLine="480"/>
        <w:jc w:val="both"/>
      </w:pPr>
      <w:r>
        <w:rPr>
          <w:spacing w:val="-11"/>
        </w:rPr>
        <w:t>主要为井筒、井底车场、硐室和大巷开凿排出的岩石；地面建筑物施工过程</w:t>
      </w:r>
      <w:r>
        <w:rPr>
          <w:spacing w:val="-6"/>
        </w:rPr>
        <w:t>中排放的建筑垃圾和少量生活垃圾。如随意堆放将占压土地，雨水冲刷可能污染</w:t>
      </w:r>
      <w:r>
        <w:t>土壤和水体，大风干燥季节可能形成扬尘污染。</w:t>
      </w:r>
    </w:p>
    <w:p>
      <w:pPr>
        <w:pStyle w:val="13"/>
        <w:numPr>
          <w:ilvl w:val="3"/>
          <w:numId w:val="29"/>
        </w:numPr>
        <w:tabs>
          <w:tab w:val="left" w:pos="2121"/>
        </w:tabs>
        <w:spacing w:before="0" w:after="0" w:line="305" w:lineRule="exact"/>
        <w:ind w:left="2121" w:right="0" w:hanging="601"/>
        <w:jc w:val="left"/>
        <w:rPr>
          <w:sz w:val="24"/>
        </w:rPr>
      </w:pPr>
      <w:r>
        <w:rPr>
          <w:sz w:val="24"/>
        </w:rPr>
        <w:t>噪声</w:t>
      </w:r>
    </w:p>
    <w:p>
      <w:pPr>
        <w:pStyle w:val="6"/>
        <w:spacing w:before="160" w:line="362" w:lineRule="auto"/>
        <w:ind w:left="1040" w:right="1077" w:firstLine="480"/>
      </w:pPr>
      <w:r>
        <w:rPr>
          <w:spacing w:val="-8"/>
        </w:rPr>
        <w:t>主要为施工机械，如混凝土搅拌机、提升机、挖掘机、临时风机及汽车运输</w:t>
      </w:r>
      <w:r>
        <w:t>等产生的噪声。</w:t>
      </w:r>
    </w:p>
    <w:p>
      <w:pPr>
        <w:pStyle w:val="6"/>
        <w:spacing w:before="5"/>
        <w:ind w:left="1520"/>
      </w:pPr>
      <w:r>
        <w:rPr>
          <w:rFonts w:ascii="Times New Roman" w:eastAsia="Times New Roman"/>
        </w:rPr>
        <w:t>2</w:t>
      </w:r>
      <w:r>
        <w:t>、运营期污染影响因素分析</w:t>
      </w:r>
    </w:p>
    <w:p>
      <w:pPr>
        <w:pStyle w:val="13"/>
        <w:numPr>
          <w:ilvl w:val="0"/>
          <w:numId w:val="30"/>
        </w:numPr>
        <w:tabs>
          <w:tab w:val="left" w:pos="2121"/>
        </w:tabs>
        <w:spacing w:before="158" w:after="0" w:line="240" w:lineRule="auto"/>
        <w:ind w:left="2121" w:right="0" w:hanging="601"/>
        <w:jc w:val="left"/>
        <w:rPr>
          <w:sz w:val="24"/>
        </w:rPr>
      </w:pPr>
      <w:r>
        <w:rPr>
          <w:sz w:val="24"/>
        </w:rPr>
        <w:t>大气污染</w:t>
      </w:r>
    </w:p>
    <w:p>
      <w:pPr>
        <w:spacing w:after="0" w:line="240" w:lineRule="auto"/>
        <w:jc w:val="left"/>
        <w:rPr>
          <w:sz w:val="24"/>
        </w:rPr>
        <w:sectPr>
          <w:pgSz w:w="11910" w:h="16840"/>
          <w:pgMar w:top="1080" w:right="720" w:bottom="1160" w:left="760" w:header="0" w:footer="97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24" name="组合 69"/>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23" name="直线 70"/>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69"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7toIu1AAAAAMBAAAPAAAAAAAAAAEAIAAAACIAAABkcnMvZG93bnJldi54bWxQ&#10;SwECFAAUAAAACACHTuJAW5heRjQCAAC2BAAADgAAAAAAAAABACAAAAAjAQAAZHJzL2Uyb0RvYy54&#10;bWxQSwUGAAAAAAYABgBZAQAAyQUAAAAA&#10;">
                <o:lock v:ext="edit" aspectratio="f"/>
                <v:line id="直线 70" o:spid="_x0000_s1026" o:spt="20" style="position:absolute;left:0;top:7;height:0;width:8306;" filled="f" stroked="t" coordsize="21600,21600" o:gfxdata="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6iZv7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6"/>
        <w:spacing w:before="5"/>
        <w:rPr>
          <w:sz w:val="19"/>
        </w:rPr>
      </w:pPr>
    </w:p>
    <w:p>
      <w:pPr>
        <w:pStyle w:val="6"/>
        <w:spacing w:before="71" w:line="364" w:lineRule="auto"/>
        <w:ind w:left="1040" w:right="1075" w:firstLine="480"/>
        <w:jc w:val="both"/>
      </w:pPr>
      <w:r>
        <w:rPr>
          <w:spacing w:val="-3"/>
          <w:position w:val="2"/>
        </w:rPr>
        <w:t xml:space="preserve">主要污染源为热风炉和锅炉有组织排放的 </w:t>
      </w:r>
      <w:r>
        <w:rPr>
          <w:rFonts w:ascii="Times New Roman" w:eastAsia="Times New Roman"/>
          <w:position w:val="2"/>
        </w:rPr>
        <w:t>SO</w:t>
      </w:r>
      <w:r>
        <w:rPr>
          <w:rFonts w:ascii="Times New Roman" w:eastAsia="Times New Roman"/>
          <w:position w:val="2"/>
          <w:vertAlign w:val="subscript"/>
        </w:rPr>
        <w:t>2</w:t>
      </w:r>
      <w:r>
        <w:rPr>
          <w:position w:val="2"/>
          <w:vertAlign w:val="baseline"/>
        </w:rPr>
        <w:t>、</w:t>
      </w:r>
      <w:r>
        <w:rPr>
          <w:rFonts w:ascii="Times New Roman" w:eastAsia="Times New Roman"/>
          <w:position w:val="2"/>
          <w:vertAlign w:val="baseline"/>
        </w:rPr>
        <w:t xml:space="preserve">NOx </w:t>
      </w:r>
      <w:r>
        <w:rPr>
          <w:position w:val="2"/>
          <w:vertAlign w:val="baseline"/>
        </w:rPr>
        <w:t>和颗粒物（</w:t>
      </w:r>
      <w:r>
        <w:rPr>
          <w:rFonts w:ascii="Times New Roman" w:eastAsia="Times New Roman"/>
          <w:position w:val="2"/>
          <w:vertAlign w:val="baseline"/>
        </w:rPr>
        <w:t>PM10</w:t>
      </w:r>
      <w:r>
        <w:rPr>
          <w:position w:val="2"/>
          <w:vertAlign w:val="baseline"/>
        </w:rPr>
        <w:t xml:space="preserve">）； </w:t>
      </w:r>
      <w:r>
        <w:rPr>
          <w:spacing w:val="-3"/>
          <w:vertAlign w:val="baseline"/>
        </w:rPr>
        <w:t>原煤输送、筛分、储存和装卸无组织排放的颗粒物（</w:t>
      </w:r>
      <w:r>
        <w:rPr>
          <w:rFonts w:ascii="Times New Roman" w:eastAsia="Times New Roman"/>
          <w:spacing w:val="-3"/>
          <w:vertAlign w:val="baseline"/>
        </w:rPr>
        <w:t>TSP</w:t>
      </w:r>
      <w:r>
        <w:rPr>
          <w:spacing w:val="-3"/>
          <w:vertAlign w:val="baseline"/>
        </w:rPr>
        <w:t>）；</w:t>
      </w:r>
      <w:r>
        <w:rPr>
          <w:spacing w:val="-2"/>
          <w:vertAlign w:val="baseline"/>
        </w:rPr>
        <w:t>矸石储存无组织排</w:t>
      </w:r>
      <w:r>
        <w:rPr>
          <w:vertAlign w:val="baseline"/>
        </w:rPr>
        <w:t>放的颗粒物（</w:t>
      </w:r>
      <w:r>
        <w:rPr>
          <w:rFonts w:ascii="Times New Roman" w:eastAsia="Times New Roman"/>
          <w:vertAlign w:val="baseline"/>
        </w:rPr>
        <w:t>TSP</w:t>
      </w:r>
      <w:r>
        <w:rPr>
          <w:vertAlign w:val="baseline"/>
        </w:rPr>
        <w:t>）。</w:t>
      </w:r>
    </w:p>
    <w:p>
      <w:pPr>
        <w:pStyle w:val="13"/>
        <w:numPr>
          <w:ilvl w:val="0"/>
          <w:numId w:val="30"/>
        </w:numPr>
        <w:tabs>
          <w:tab w:val="left" w:pos="2121"/>
        </w:tabs>
        <w:spacing w:before="0" w:after="0" w:line="306" w:lineRule="exact"/>
        <w:ind w:left="2121" w:right="0" w:hanging="601"/>
        <w:jc w:val="left"/>
        <w:rPr>
          <w:sz w:val="24"/>
        </w:rPr>
      </w:pPr>
      <w:r>
        <w:rPr>
          <w:sz w:val="24"/>
        </w:rPr>
        <w:t>水污染</w:t>
      </w:r>
    </w:p>
    <w:p>
      <w:pPr>
        <w:pStyle w:val="6"/>
        <w:spacing w:before="158"/>
        <w:ind w:left="1520"/>
        <w:rPr>
          <w:rFonts w:ascii="Times New Roman" w:eastAsia="Times New Roman"/>
        </w:rPr>
      </w:pPr>
      <w:r>
        <w:t>主要污染源为矿井水和生活污水，其中，矿井水中主要污染物为</w:t>
      </w:r>
      <w:r>
        <w:rPr>
          <w:rFonts w:ascii="Times New Roman" w:eastAsia="Times New Roman"/>
        </w:rPr>
        <w:t>COD</w:t>
      </w:r>
      <w:r>
        <w:t>、</w:t>
      </w:r>
      <w:r>
        <w:rPr>
          <w:rFonts w:ascii="Times New Roman" w:eastAsia="Times New Roman"/>
        </w:rPr>
        <w:t>SS</w:t>
      </w:r>
    </w:p>
    <w:p>
      <w:pPr>
        <w:pStyle w:val="6"/>
        <w:spacing w:before="157"/>
        <w:ind w:left="1040"/>
      </w:pPr>
      <w:r>
        <w:rPr>
          <w:position w:val="2"/>
        </w:rPr>
        <w:t xml:space="preserve">和石油类，生活污水中主要污染物为 </w:t>
      </w:r>
      <w:r>
        <w:rPr>
          <w:rFonts w:ascii="Times New Roman" w:eastAsia="Times New Roman"/>
          <w:position w:val="2"/>
        </w:rPr>
        <w:t>COD</w:t>
      </w:r>
      <w:r>
        <w:rPr>
          <w:position w:val="2"/>
        </w:rPr>
        <w:t>、</w:t>
      </w:r>
      <w:r>
        <w:rPr>
          <w:rFonts w:ascii="Times New Roman" w:eastAsia="Times New Roman"/>
          <w:position w:val="2"/>
        </w:rPr>
        <w:t>BOD</w:t>
      </w:r>
      <w:r>
        <w:rPr>
          <w:rFonts w:ascii="Times New Roman" w:eastAsia="Times New Roman"/>
          <w:position w:val="2"/>
          <w:vertAlign w:val="subscript"/>
        </w:rPr>
        <w:t>5</w:t>
      </w:r>
      <w:r>
        <w:rPr>
          <w:position w:val="2"/>
          <w:vertAlign w:val="baseline"/>
        </w:rPr>
        <w:t>、</w:t>
      </w:r>
      <w:r>
        <w:rPr>
          <w:rFonts w:ascii="Times New Roman" w:eastAsia="Times New Roman"/>
          <w:position w:val="2"/>
          <w:vertAlign w:val="baseline"/>
        </w:rPr>
        <w:t>SS</w:t>
      </w:r>
      <w:r>
        <w:rPr>
          <w:position w:val="2"/>
          <w:vertAlign w:val="baseline"/>
        </w:rPr>
        <w:t>、氨氮和石油类。</w:t>
      </w:r>
    </w:p>
    <w:p>
      <w:pPr>
        <w:pStyle w:val="13"/>
        <w:numPr>
          <w:ilvl w:val="0"/>
          <w:numId w:val="30"/>
        </w:numPr>
        <w:tabs>
          <w:tab w:val="left" w:pos="2121"/>
        </w:tabs>
        <w:spacing w:before="157" w:after="0" w:line="240" w:lineRule="auto"/>
        <w:ind w:left="2121" w:right="0" w:hanging="601"/>
        <w:jc w:val="left"/>
        <w:rPr>
          <w:sz w:val="24"/>
        </w:rPr>
      </w:pPr>
      <w:r>
        <w:rPr>
          <w:sz w:val="24"/>
        </w:rPr>
        <w:t>噪声</w:t>
      </w:r>
    </w:p>
    <w:p>
      <w:pPr>
        <w:pStyle w:val="6"/>
        <w:spacing w:before="161"/>
        <w:ind w:left="1520"/>
      </w:pPr>
      <w:r>
        <w:t>主要是提升绞车、空压机、各类风机和泵等设备噪声。</w:t>
      </w:r>
    </w:p>
    <w:p>
      <w:pPr>
        <w:pStyle w:val="13"/>
        <w:numPr>
          <w:ilvl w:val="0"/>
          <w:numId w:val="30"/>
        </w:numPr>
        <w:tabs>
          <w:tab w:val="left" w:pos="2121"/>
        </w:tabs>
        <w:spacing w:before="160" w:after="0" w:line="240" w:lineRule="auto"/>
        <w:ind w:left="2121" w:right="0" w:hanging="601"/>
        <w:jc w:val="left"/>
        <w:rPr>
          <w:sz w:val="24"/>
        </w:rPr>
      </w:pPr>
      <w:r>
        <w:rPr>
          <w:sz w:val="24"/>
        </w:rPr>
        <w:t>固体废物</w:t>
      </w:r>
    </w:p>
    <w:p>
      <w:pPr>
        <w:pStyle w:val="6"/>
        <w:spacing w:before="158" w:line="362" w:lineRule="auto"/>
        <w:ind w:left="1040" w:right="1077" w:firstLine="480"/>
      </w:pPr>
      <w:r>
        <w:rPr>
          <w:spacing w:val="-12"/>
        </w:rPr>
        <w:t>主要是矸石、灰渣、生活垃圾、矿井水处理站和生活污水设施污泥和废机油</w:t>
      </w:r>
      <w:r>
        <w:t>等。</w:t>
      </w:r>
    </w:p>
    <w:p>
      <w:pPr>
        <w:pStyle w:val="6"/>
        <w:spacing w:before="5"/>
        <w:ind w:left="1520"/>
      </w:pPr>
      <w:r>
        <w:rPr>
          <w:rFonts w:ascii="Times New Roman" w:eastAsia="Times New Roman"/>
        </w:rPr>
        <w:t>3</w:t>
      </w:r>
      <w:r>
        <w:t>、建设期生态影响因素分析</w:t>
      </w:r>
    </w:p>
    <w:p>
      <w:pPr>
        <w:pStyle w:val="6"/>
        <w:spacing w:before="161" w:line="362" w:lineRule="auto"/>
        <w:ind w:left="1040" w:right="957" w:firstLine="480"/>
      </w:pPr>
      <w:r>
        <w:rPr>
          <w:spacing w:val="-4"/>
        </w:rPr>
        <w:t>建设期生态影响主要是施工开始时场地开挖对土地产生扰动影响，堆填土石</w:t>
      </w:r>
      <w:r>
        <w:rPr>
          <w:spacing w:val="-17"/>
        </w:rPr>
        <w:t>方等工程将引起水土流失，植被破坏。由于建设期相对较短，其影响程度也较小。</w:t>
      </w:r>
    </w:p>
    <w:p>
      <w:pPr>
        <w:pStyle w:val="6"/>
        <w:spacing w:before="5"/>
        <w:ind w:left="1520"/>
      </w:pPr>
      <w:r>
        <w:rPr>
          <w:rFonts w:ascii="Times New Roman" w:eastAsia="Times New Roman"/>
        </w:rPr>
        <w:t>4</w:t>
      </w:r>
      <w:r>
        <w:t>、运营期生态影响因素分析</w:t>
      </w:r>
    </w:p>
    <w:p>
      <w:pPr>
        <w:pStyle w:val="6"/>
        <w:spacing w:before="158" w:line="364" w:lineRule="auto"/>
        <w:ind w:left="1040" w:right="1077" w:firstLine="480"/>
        <w:jc w:val="both"/>
      </w:pPr>
      <w:r>
        <w:rPr>
          <w:spacing w:val="-5"/>
        </w:rPr>
        <w:t>运营期生态影响主要是井下煤层采动引起的地表移动变形，同时引起的地表</w:t>
      </w:r>
      <w:r>
        <w:rPr>
          <w:spacing w:val="-7"/>
        </w:rPr>
        <w:t>塌陷对生态环境造成的影响，导致浅层地下水下渗和水土流失。工业场地的占地</w:t>
      </w:r>
      <w:r>
        <w:t>影响。</w:t>
      </w:r>
    </w:p>
    <w:p>
      <w:pPr>
        <w:pStyle w:val="4"/>
        <w:numPr>
          <w:ilvl w:val="2"/>
          <w:numId w:val="29"/>
        </w:numPr>
        <w:tabs>
          <w:tab w:val="left" w:pos="1669"/>
        </w:tabs>
        <w:spacing w:before="0" w:after="0" w:line="240" w:lineRule="auto"/>
        <w:ind w:left="1668" w:right="0" w:hanging="629"/>
        <w:jc w:val="left"/>
      </w:pPr>
      <w:bookmarkStart w:id="113" w:name="3.4.3污染源源强核算"/>
      <w:bookmarkEnd w:id="113"/>
      <w:bookmarkStart w:id="114" w:name="3.4.3污染源源强核算"/>
      <w:bookmarkEnd w:id="114"/>
      <w:r>
        <w:t>污染源源强核算</w:t>
      </w:r>
    </w:p>
    <w:p>
      <w:pPr>
        <w:pStyle w:val="6"/>
        <w:spacing w:before="185"/>
        <w:ind w:left="1520"/>
      </w:pPr>
      <w:r>
        <w:rPr>
          <w:rFonts w:ascii="Times New Roman" w:eastAsia="Times New Roman"/>
        </w:rPr>
        <w:t>1</w:t>
      </w:r>
      <w:r>
        <w:t>、建设期主要污染源及污染物分析</w:t>
      </w:r>
    </w:p>
    <w:p>
      <w:pPr>
        <w:pStyle w:val="13"/>
        <w:numPr>
          <w:ilvl w:val="0"/>
          <w:numId w:val="31"/>
        </w:numPr>
        <w:tabs>
          <w:tab w:val="left" w:pos="2121"/>
        </w:tabs>
        <w:spacing w:before="158" w:after="0" w:line="240" w:lineRule="auto"/>
        <w:ind w:left="2121" w:right="0" w:hanging="601"/>
        <w:jc w:val="left"/>
        <w:rPr>
          <w:sz w:val="24"/>
        </w:rPr>
      </w:pPr>
      <w:r>
        <w:rPr>
          <w:sz w:val="24"/>
        </w:rPr>
        <w:t>建设期污染工序</w:t>
      </w:r>
    </w:p>
    <w:p>
      <w:pPr>
        <w:pStyle w:val="6"/>
        <w:spacing w:before="161"/>
        <w:ind w:left="1520"/>
      </w:pPr>
      <w:r>
        <w:t xml:space="preserve">建设期污染工序见框图 </w:t>
      </w:r>
      <w:r>
        <w:rPr>
          <w:rFonts w:ascii="Times New Roman" w:eastAsia="Times New Roman"/>
        </w:rPr>
        <w:t>3.4-1</w:t>
      </w:r>
      <w:r>
        <w:t>。</w:t>
      </w:r>
    </w:p>
    <w:p>
      <w:pPr>
        <w:spacing w:after="0"/>
        <w:sectPr>
          <w:pgSz w:w="11910" w:h="16840"/>
          <w:pgMar w:top="1080" w:right="720" w:bottom="1160" w:left="760" w:header="0" w:footer="97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26" name="组合 71"/>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25" name="直线 72"/>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71"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u2gi7UAAAAAwEAAA8AAAAAAAAAAQAgAAAAIgAAAGRycy9kb3ducmV2Lnht&#10;bFBLAQIUABQAAAAIAIdO4kDXaq2uNgIAALYEAAAOAAAAAAAAAAEAIAAAACMBAABkcnMvZTJvRG9j&#10;LnhtbFBLBQYAAAAABgAGAFkBAADLBQAAAAA=&#10;">
                <o:lock v:ext="edit" aspectratio="f"/>
                <v:line id="直线 72" o:spid="_x0000_s1026" o:spt="20" style="position:absolute;left:0;top:7;height:0;width:8306;" filled="f" stroked="t" coordsize="21600,21600" o:gfxdata="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w2kUL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6"/>
        <w:rPr>
          <w:sz w:val="20"/>
        </w:rPr>
      </w:pPr>
    </w:p>
    <w:p>
      <w:pPr>
        <w:pStyle w:val="6"/>
        <w:spacing w:before="7"/>
        <w:rPr>
          <w:sz w:val="10"/>
        </w:rPr>
      </w:pPr>
      <w:r>
        <w:drawing>
          <wp:anchor distT="0" distB="0" distL="0" distR="0" simplePos="0" relativeHeight="1024" behindDoc="0" locked="0" layoutInCell="1" allowOverlap="1">
            <wp:simplePos x="0" y="0"/>
            <wp:positionH relativeFrom="page">
              <wp:posOffset>1233805</wp:posOffset>
            </wp:positionH>
            <wp:positionV relativeFrom="paragraph">
              <wp:posOffset>110490</wp:posOffset>
            </wp:positionV>
            <wp:extent cx="5095875" cy="327152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38" cstate="print"/>
                    <a:stretch>
                      <a:fillRect/>
                    </a:stretch>
                  </pic:blipFill>
                  <pic:spPr>
                    <a:xfrm>
                      <a:off x="0" y="0"/>
                      <a:ext cx="5096120" cy="3271266"/>
                    </a:xfrm>
                    <a:prstGeom prst="rect">
                      <a:avLst/>
                    </a:prstGeom>
                  </pic:spPr>
                </pic:pic>
              </a:graphicData>
            </a:graphic>
          </wp:anchor>
        </w:drawing>
      </w:r>
    </w:p>
    <w:p>
      <w:pPr>
        <w:pStyle w:val="5"/>
        <w:spacing w:before="94"/>
        <w:ind w:left="1553" w:right="1106"/>
        <w:jc w:val="center"/>
      </w:pPr>
      <w:r>
        <w:t xml:space="preserve">图 </w:t>
      </w:r>
      <w:r>
        <w:rPr>
          <w:rFonts w:ascii="Times New Roman" w:eastAsia="Times New Roman"/>
        </w:rPr>
        <w:t xml:space="preserve">3.4-1 </w:t>
      </w:r>
      <w:r>
        <w:t>建设期污染工序框图</w:t>
      </w:r>
    </w:p>
    <w:p>
      <w:pPr>
        <w:pStyle w:val="13"/>
        <w:numPr>
          <w:ilvl w:val="0"/>
          <w:numId w:val="31"/>
        </w:numPr>
        <w:tabs>
          <w:tab w:val="left" w:pos="2121"/>
        </w:tabs>
        <w:spacing w:before="161" w:after="0" w:line="240" w:lineRule="auto"/>
        <w:ind w:left="2121" w:right="0" w:hanging="601"/>
        <w:jc w:val="left"/>
        <w:rPr>
          <w:sz w:val="24"/>
        </w:rPr>
      </w:pPr>
      <w:r>
        <w:rPr>
          <w:sz w:val="24"/>
        </w:rPr>
        <w:t>建设期环境影响分析与防治措施</w:t>
      </w:r>
    </w:p>
    <w:p>
      <w:pPr>
        <w:pStyle w:val="6"/>
        <w:spacing w:before="81"/>
        <w:ind w:left="1520"/>
      </w:pPr>
      <w:r>
        <w:t>①大气主要污染源及污染物</w:t>
      </w:r>
    </w:p>
    <w:p>
      <w:pPr>
        <w:pStyle w:val="6"/>
        <w:spacing w:before="161"/>
        <w:ind w:left="1520"/>
      </w:pPr>
      <w:r>
        <w:t>项目在施工过程中对环境空气的影响主要有下面几个方面：</w:t>
      </w:r>
    </w:p>
    <w:p>
      <w:pPr>
        <w:pStyle w:val="6"/>
        <w:spacing w:before="158" w:line="364" w:lineRule="auto"/>
        <w:ind w:left="1040" w:right="1077" w:firstLine="480"/>
      </w:pPr>
      <w:r>
        <w:rPr>
          <w:spacing w:val="-6"/>
        </w:rPr>
        <w:t>施工作业面和施工交通运输产生的扬尘；散状物料堆放等扬尘；交通工具释</w:t>
      </w:r>
      <w:r>
        <w:t>放的尾气。污染物大多为无组织排放，难以定量。</w:t>
      </w:r>
    </w:p>
    <w:p>
      <w:pPr>
        <w:pStyle w:val="6"/>
        <w:spacing w:line="364" w:lineRule="auto"/>
        <w:ind w:left="1040" w:right="957" w:firstLine="480"/>
      </w:pPr>
      <w:r>
        <w:rPr>
          <w:spacing w:val="-9"/>
        </w:rPr>
        <w:t xml:space="preserve">有关研究表明，施工工地的扬尘 </w:t>
      </w:r>
      <w:r>
        <w:rPr>
          <w:rFonts w:ascii="Times New Roman" w:eastAsia="Times New Roman"/>
        </w:rPr>
        <w:t>60</w:t>
      </w:r>
      <w:r>
        <w:rPr>
          <w:spacing w:val="-1"/>
        </w:rPr>
        <w:t>％以上是施工交通运输引起的道路扬尘。</w:t>
      </w:r>
      <w:r>
        <w:rPr>
          <w:spacing w:val="-7"/>
        </w:rPr>
        <w:t>道路扬尘量的大小与车速、车型、车流量、风速、道路表面积尘量等多种因素有</w:t>
      </w:r>
      <w:r>
        <w:rPr>
          <w:spacing w:val="-9"/>
        </w:rPr>
        <w:t xml:space="preserve">关。一般情况下运输弃土车辆的道路扬尘量约 </w:t>
      </w:r>
      <w:r>
        <w:rPr>
          <w:rFonts w:ascii="Times New Roman" w:eastAsia="Times New Roman"/>
        </w:rPr>
        <w:t>1.37kg/km.</w:t>
      </w:r>
      <w:r>
        <w:rPr>
          <w:spacing w:val="-5"/>
        </w:rPr>
        <w:t>辆，运输车辆在挖土和</w:t>
      </w:r>
      <w:r>
        <w:rPr>
          <w:spacing w:val="-9"/>
        </w:rPr>
        <w:t xml:space="preserve">弃土区现场的道路扬尘量分别为 </w:t>
      </w:r>
      <w:r>
        <w:rPr>
          <w:rFonts w:ascii="Times New Roman" w:eastAsia="Times New Roman"/>
        </w:rPr>
        <w:t>10.42kg/km.</w:t>
      </w:r>
      <w:r>
        <w:rPr>
          <w:spacing w:val="-20"/>
        </w:rPr>
        <w:t xml:space="preserve">辆和 </w:t>
      </w:r>
      <w:r>
        <w:rPr>
          <w:rFonts w:ascii="Times New Roman" w:eastAsia="Times New Roman"/>
        </w:rPr>
        <w:t>7.2kg/km.</w:t>
      </w:r>
      <w:r>
        <w:t>辆。本项目施工区距</w:t>
      </w:r>
      <w:r>
        <w:rPr>
          <w:spacing w:val="-9"/>
        </w:rPr>
        <w:t>离居民区较远，施工区施工对环境敏感点没有影响。运输车辆产生的道路扬尘可能对所经过的村屯大气环境产生一定影响。</w:t>
      </w:r>
    </w:p>
    <w:p>
      <w:pPr>
        <w:pStyle w:val="6"/>
        <w:spacing w:line="364" w:lineRule="auto"/>
        <w:ind w:left="1520" w:right="6745"/>
      </w:pPr>
      <w:r>
        <w:t>②水污染源及污染物地表水环境</w:t>
      </w:r>
    </w:p>
    <w:p>
      <w:pPr>
        <w:pStyle w:val="6"/>
        <w:spacing w:line="362" w:lineRule="auto"/>
        <w:ind w:left="1040" w:right="1075" w:firstLine="480"/>
        <w:jc w:val="both"/>
      </w:pPr>
      <w:r>
        <w:rPr>
          <w:spacing w:val="-5"/>
        </w:rPr>
        <w:t>矿井施工期水环境的主要污染源为巷道护砌过程中产生的泥浆废水，其污染</w:t>
      </w:r>
      <w:r>
        <w:rPr>
          <w:spacing w:val="-12"/>
        </w:rPr>
        <w:t xml:space="preserve">物主要为 </w:t>
      </w:r>
      <w:r>
        <w:rPr>
          <w:rFonts w:ascii="Times New Roman" w:eastAsia="Times New Roman"/>
        </w:rPr>
        <w:t>SS</w:t>
      </w:r>
      <w:r>
        <w:rPr>
          <w:spacing w:val="-12"/>
        </w:rPr>
        <w:t>、</w:t>
      </w:r>
      <w:r>
        <w:rPr>
          <w:rFonts w:ascii="Times New Roman" w:eastAsia="Times New Roman"/>
          <w:spacing w:val="-5"/>
        </w:rPr>
        <w:t>COD</w:t>
      </w:r>
      <w:r>
        <w:rPr>
          <w:spacing w:val="-7"/>
        </w:rPr>
        <w:t xml:space="preserve">；砂砾料冲洗产生的废水，其污染物主要为 </w:t>
      </w:r>
      <w:r>
        <w:rPr>
          <w:rFonts w:ascii="Times New Roman" w:eastAsia="Times New Roman"/>
          <w:spacing w:val="-5"/>
        </w:rPr>
        <w:t>SS</w:t>
      </w:r>
      <w:r>
        <w:rPr>
          <w:spacing w:val="-4"/>
        </w:rPr>
        <w:t>；混凝土拌和</w:t>
      </w:r>
      <w:r>
        <w:rPr>
          <w:spacing w:val="-3"/>
        </w:rPr>
        <w:t>站产生的碱性废水，其污染物主要为碱性物质</w:t>
      </w:r>
      <w:r>
        <w:t>（</w:t>
      </w:r>
      <w:r>
        <w:rPr>
          <w:rFonts w:ascii="Times New Roman" w:eastAsia="Times New Roman"/>
        </w:rPr>
        <w:t xml:space="preserve">pH </w:t>
      </w:r>
      <w:r>
        <w:t>值高</w:t>
      </w:r>
      <w:r>
        <w:rPr>
          <w:spacing w:val="-15"/>
        </w:rPr>
        <w:t>）</w:t>
      </w:r>
      <w:r>
        <w:rPr>
          <w:spacing w:val="-31"/>
        </w:rPr>
        <w:t xml:space="preserve">与 </w:t>
      </w:r>
      <w:r>
        <w:rPr>
          <w:rFonts w:ascii="Times New Roman" w:eastAsia="Times New Roman"/>
          <w:spacing w:val="-5"/>
        </w:rPr>
        <w:t>SS</w:t>
      </w:r>
      <w:r>
        <w:rPr>
          <w:spacing w:val="-4"/>
        </w:rPr>
        <w:t>；施工队伍产生</w:t>
      </w:r>
      <w:r>
        <w:rPr>
          <w:spacing w:val="-5"/>
          <w:position w:val="2"/>
        </w:rPr>
        <w:t xml:space="preserve">的生活污水，其污染物主要为 </w:t>
      </w:r>
      <w:r>
        <w:rPr>
          <w:rFonts w:ascii="Times New Roman" w:eastAsia="Times New Roman"/>
          <w:position w:val="2"/>
        </w:rPr>
        <w:t>SS</w:t>
      </w:r>
      <w:r>
        <w:rPr>
          <w:position w:val="2"/>
        </w:rPr>
        <w:t>、</w:t>
      </w:r>
      <w:r>
        <w:rPr>
          <w:rFonts w:ascii="Times New Roman" w:eastAsia="Times New Roman"/>
          <w:position w:val="2"/>
        </w:rPr>
        <w:t>BOD</w:t>
      </w:r>
      <w:r>
        <w:rPr>
          <w:rFonts w:ascii="Times New Roman" w:eastAsia="Times New Roman"/>
          <w:position w:val="2"/>
          <w:vertAlign w:val="subscript"/>
        </w:rPr>
        <w:t>5</w:t>
      </w:r>
      <w:r>
        <w:rPr>
          <w:position w:val="2"/>
          <w:vertAlign w:val="baseline"/>
        </w:rPr>
        <w:t>、</w:t>
      </w:r>
      <w:r>
        <w:rPr>
          <w:rFonts w:ascii="Times New Roman" w:eastAsia="Times New Roman"/>
          <w:position w:val="2"/>
          <w:vertAlign w:val="baseline"/>
        </w:rPr>
        <w:t xml:space="preserve">COD </w:t>
      </w:r>
      <w:r>
        <w:rPr>
          <w:position w:val="2"/>
          <w:vertAlign w:val="baseline"/>
        </w:rPr>
        <w:t>及氨氮等。</w:t>
      </w:r>
    </w:p>
    <w:p>
      <w:pPr>
        <w:spacing w:after="0" w:line="362" w:lineRule="auto"/>
        <w:jc w:val="both"/>
        <w:sectPr>
          <w:pgSz w:w="11910" w:h="16840"/>
          <w:pgMar w:top="1080" w:right="720" w:bottom="1160" w:left="760" w:header="0" w:footer="97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28" name="组合 73"/>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27" name="直线 74"/>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73"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7toIu1AAAAAMBAAAPAAAAAAAAAAEAIAAAACIAAABkcnMvZG93bnJldi54bWxQ&#10;SwECFAAUAAAACACHTuJA7LRmUTQCAAC2BAAADgAAAAAAAAABACAAAAAjAQAAZHJzL2Uyb0RvYy54&#10;bWxQSwUGAAAAAAYABgBZAQAAyQUAAAAA&#10;">
                <o:lock v:ext="edit" aspectratio="f"/>
                <v:line id="直线 74" o:spid="_x0000_s1026" o:spt="20" style="position:absolute;left:0;top:7;height:0;width:8306;" filled="f" stroked="t" coordsize="21600,21600" o:gfxdata="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JOfvL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6"/>
        <w:rPr>
          <w:sz w:val="20"/>
        </w:rPr>
      </w:pPr>
    </w:p>
    <w:p>
      <w:pPr>
        <w:pStyle w:val="6"/>
        <w:spacing w:before="66" w:line="364" w:lineRule="auto"/>
        <w:ind w:left="1040" w:right="1072" w:firstLine="480"/>
        <w:jc w:val="both"/>
      </w:pPr>
      <w:r>
        <w:t>根据同类工程类比调查，生产废水中的污染物以悬浮物为主，其浓度在</w:t>
      </w:r>
      <w:r>
        <w:rPr>
          <w:rFonts w:ascii="Times New Roman" w:hAnsi="Times New Roman" w:eastAsia="Times New Roman"/>
        </w:rPr>
        <w:t>140mg/L</w:t>
      </w:r>
      <w:r>
        <w:t>～</w:t>
      </w:r>
      <w:r>
        <w:rPr>
          <w:rFonts w:ascii="Times New Roman" w:hAnsi="Times New Roman" w:eastAsia="Times New Roman"/>
        </w:rPr>
        <w:t xml:space="preserve">260mg/L </w:t>
      </w:r>
      <w:r>
        <w:t xml:space="preserve">之间。本矿井施工期施工人员约为 </w:t>
      </w:r>
      <w:r>
        <w:rPr>
          <w:rFonts w:ascii="Times New Roman" w:hAnsi="Times New Roman" w:eastAsia="Times New Roman"/>
        </w:rPr>
        <w:t xml:space="preserve">50 </w:t>
      </w:r>
      <w:r>
        <w:t>人，参照《黑龙江省地方标准用水定额》（</w:t>
      </w:r>
      <w:r>
        <w:rPr>
          <w:rFonts w:ascii="Times New Roman" w:hAnsi="Times New Roman" w:eastAsia="Times New Roman"/>
        </w:rPr>
        <w:t>DB23/T727-2017</w:t>
      </w:r>
      <w:r>
        <w:t xml:space="preserve">），用水量按 </w:t>
      </w:r>
      <w:r>
        <w:rPr>
          <w:rFonts w:ascii="Times New Roman" w:hAnsi="Times New Roman" w:eastAsia="Times New Roman"/>
        </w:rPr>
        <w:t>30L/</w:t>
      </w:r>
      <w:r>
        <w:t>人</w:t>
      </w:r>
      <w:r>
        <w:rPr>
          <w:rFonts w:ascii="Times New Roman" w:hAnsi="Times New Roman" w:eastAsia="Times New Roman"/>
        </w:rPr>
        <w:t xml:space="preserve">·d </w:t>
      </w:r>
      <w:r>
        <w:t xml:space="preserve">计，污水产生量按用水量的 </w:t>
      </w:r>
      <w:r>
        <w:rPr>
          <w:rFonts w:ascii="Times New Roman" w:hAnsi="Times New Roman" w:eastAsia="Times New Roman"/>
        </w:rPr>
        <w:t>80%</w:t>
      </w:r>
      <w:r>
        <w:t xml:space="preserve">计，生活污水产生量为 </w:t>
      </w:r>
      <w:r>
        <w:rPr>
          <w:rFonts w:ascii="Times New Roman" w:hAnsi="Times New Roman" w:eastAsia="Times New Roman"/>
        </w:rPr>
        <w:t>1.2m</w:t>
      </w:r>
      <w:r>
        <w:rPr>
          <w:rFonts w:ascii="Times New Roman" w:hAnsi="Times New Roman" w:eastAsia="Times New Roman"/>
          <w:position w:val="8"/>
          <w:sz w:val="15"/>
        </w:rPr>
        <w:t>3</w:t>
      </w:r>
      <w:r>
        <w:rPr>
          <w:rFonts w:ascii="Times New Roman" w:hAnsi="Times New Roman" w:eastAsia="Times New Roman"/>
        </w:rPr>
        <w:t>/d</w:t>
      </w:r>
      <w:r>
        <w:t>。其中，</w:t>
      </w:r>
      <w:r>
        <w:rPr>
          <w:rFonts w:ascii="Times New Roman" w:hAnsi="Times New Roman" w:eastAsia="Times New Roman"/>
        </w:rPr>
        <w:t xml:space="preserve">CODcr </w:t>
      </w:r>
      <w:r>
        <w:t xml:space="preserve">浓度为 </w:t>
      </w:r>
      <w:r>
        <w:rPr>
          <w:rFonts w:ascii="Times New Roman" w:hAnsi="Times New Roman" w:eastAsia="Times New Roman"/>
        </w:rPr>
        <w:t>300mg/L</w:t>
      </w:r>
      <w:r>
        <w:t xml:space="preserve">， 产生量约为 </w:t>
      </w:r>
      <w:r>
        <w:rPr>
          <w:rFonts w:ascii="Times New Roman" w:hAnsi="Times New Roman" w:eastAsia="Times New Roman"/>
        </w:rPr>
        <w:t>0.36kg/d</w:t>
      </w:r>
      <w:r>
        <w:t>；</w:t>
      </w:r>
      <w:r>
        <w:rPr>
          <w:rFonts w:ascii="Times New Roman" w:hAnsi="Times New Roman" w:eastAsia="Times New Roman"/>
        </w:rPr>
        <w:t xml:space="preserve">SS </w:t>
      </w:r>
      <w:r>
        <w:t xml:space="preserve">浓度为 </w:t>
      </w:r>
      <w:r>
        <w:rPr>
          <w:rFonts w:ascii="Times New Roman" w:hAnsi="Times New Roman" w:eastAsia="Times New Roman"/>
        </w:rPr>
        <w:t>250mg/L</w:t>
      </w:r>
      <w:r>
        <w:t xml:space="preserve">，产生量约为 </w:t>
      </w:r>
      <w:r>
        <w:rPr>
          <w:rFonts w:ascii="Times New Roman" w:hAnsi="Times New Roman" w:eastAsia="Times New Roman"/>
        </w:rPr>
        <w:t>0.3kg/d</w:t>
      </w:r>
      <w:r>
        <w:t>；氨氮浓度为</w:t>
      </w:r>
      <w:r>
        <w:rPr>
          <w:rFonts w:ascii="Times New Roman" w:hAnsi="Times New Roman" w:eastAsia="Times New Roman"/>
        </w:rPr>
        <w:t>35mg/L</w:t>
      </w:r>
      <w:r>
        <w:t xml:space="preserve">，产生量约为 </w:t>
      </w:r>
      <w:r>
        <w:rPr>
          <w:rFonts w:ascii="Times New Roman" w:hAnsi="Times New Roman" w:eastAsia="Times New Roman"/>
        </w:rPr>
        <w:t>0.042kg/d</w:t>
      </w:r>
      <w:r>
        <w:t>。</w:t>
      </w:r>
    </w:p>
    <w:p>
      <w:pPr>
        <w:pStyle w:val="6"/>
        <w:spacing w:line="304" w:lineRule="exact"/>
        <w:ind w:left="1520"/>
      </w:pPr>
      <w:r>
        <w:t>地下水环境</w:t>
      </w:r>
    </w:p>
    <w:p>
      <w:pPr>
        <w:pStyle w:val="6"/>
        <w:spacing w:before="161" w:line="364" w:lineRule="auto"/>
        <w:ind w:left="1040" w:right="1077" w:firstLine="480"/>
        <w:jc w:val="both"/>
      </w:pPr>
      <w:r>
        <w:rPr>
          <w:spacing w:val="-5"/>
        </w:rPr>
        <w:t>本矿井施工期主要完成主工业广场内主井的掘进工作。掘进过程中将抽排地</w:t>
      </w:r>
      <w:r>
        <w:rPr>
          <w:spacing w:val="-10"/>
        </w:rPr>
        <w:t>井下涌水，但是矿井水产生量很少，对矿区地下水资源量影响不明显，基本不会</w:t>
      </w:r>
      <w:r>
        <w:t>对附近村屯饮用水源井水量、水质产生影响。</w:t>
      </w:r>
    </w:p>
    <w:p>
      <w:pPr>
        <w:pStyle w:val="6"/>
        <w:spacing w:line="304" w:lineRule="exact"/>
        <w:ind w:left="1520"/>
      </w:pPr>
      <w:r>
        <w:t>③噪声污染源</w:t>
      </w:r>
    </w:p>
    <w:p>
      <w:pPr>
        <w:pStyle w:val="6"/>
        <w:spacing w:before="160" w:line="364" w:lineRule="auto"/>
        <w:ind w:left="1040" w:right="1077" w:firstLine="480"/>
      </w:pPr>
      <w:r>
        <w:rPr>
          <w:spacing w:val="-5"/>
        </w:rPr>
        <w:t>施工期噪声污染源主要为施工过程中的机械噪声与交通运输噪声。根据类比</w:t>
      </w:r>
      <w:r>
        <w:rPr>
          <w:spacing w:val="-3"/>
        </w:rPr>
        <w:t xml:space="preserve">调查，本项目施工期的主要噪声源与噪声级见表 </w:t>
      </w:r>
      <w:r>
        <w:rPr>
          <w:rFonts w:ascii="Times New Roman" w:eastAsia="Times New Roman"/>
        </w:rPr>
        <w:t>3.4-1</w:t>
      </w:r>
      <w:r>
        <w:t>。</w:t>
      </w:r>
    </w:p>
    <w:p>
      <w:pPr>
        <w:pStyle w:val="5"/>
        <w:tabs>
          <w:tab w:val="left" w:pos="4512"/>
        </w:tabs>
        <w:spacing w:before="2"/>
        <w:ind w:left="3473"/>
      </w:pPr>
      <w:r>
        <w:t>表</w:t>
      </w:r>
      <w:r>
        <w:rPr>
          <w:spacing w:val="-62"/>
        </w:rPr>
        <w:t xml:space="preserve"> </w:t>
      </w:r>
      <w:r>
        <w:rPr>
          <w:rFonts w:ascii="Times New Roman" w:eastAsia="Times New Roman"/>
        </w:rPr>
        <w:t>3.4-1</w:t>
      </w:r>
      <w:r>
        <w:rPr>
          <w:rFonts w:ascii="Times New Roman" w:eastAsia="Times New Roman"/>
        </w:rPr>
        <w:tab/>
      </w:r>
      <w:r>
        <w:t>施工期主要噪声源与噪声级</w:t>
      </w:r>
    </w:p>
    <w:tbl>
      <w:tblPr>
        <w:tblStyle w:val="10"/>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7"/>
        <w:gridCol w:w="1908"/>
        <w:gridCol w:w="1767"/>
        <w:gridCol w:w="1477"/>
        <w:gridCol w:w="23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307" w:type="dxa"/>
          </w:tcPr>
          <w:p>
            <w:pPr>
              <w:pStyle w:val="14"/>
              <w:spacing w:before="65"/>
              <w:ind w:left="6"/>
              <w:rPr>
                <w:sz w:val="21"/>
              </w:rPr>
            </w:pPr>
            <w:r>
              <w:rPr>
                <w:sz w:val="21"/>
              </w:rPr>
              <w:t>施工阶段</w:t>
            </w:r>
          </w:p>
        </w:tc>
        <w:tc>
          <w:tcPr>
            <w:tcW w:w="1908" w:type="dxa"/>
          </w:tcPr>
          <w:p>
            <w:pPr>
              <w:pStyle w:val="14"/>
              <w:spacing w:before="65"/>
              <w:ind w:left="167" w:right="160"/>
              <w:rPr>
                <w:sz w:val="21"/>
              </w:rPr>
            </w:pPr>
            <w:r>
              <w:rPr>
                <w:sz w:val="21"/>
              </w:rPr>
              <w:t>设备名称</w:t>
            </w:r>
          </w:p>
        </w:tc>
        <w:tc>
          <w:tcPr>
            <w:tcW w:w="1767" w:type="dxa"/>
          </w:tcPr>
          <w:p>
            <w:pPr>
              <w:pStyle w:val="14"/>
              <w:spacing w:before="65"/>
              <w:ind w:left="226" w:right="218"/>
              <w:rPr>
                <w:rFonts w:ascii="Times New Roman" w:eastAsia="Times New Roman"/>
                <w:sz w:val="21"/>
              </w:rPr>
            </w:pPr>
            <w:r>
              <w:rPr>
                <w:sz w:val="21"/>
              </w:rPr>
              <w:t xml:space="preserve">声级值 </w:t>
            </w:r>
            <w:r>
              <w:rPr>
                <w:rFonts w:ascii="Times New Roman" w:eastAsia="Times New Roman"/>
                <w:sz w:val="21"/>
              </w:rPr>
              <w:t>dB(A)</w:t>
            </w:r>
          </w:p>
        </w:tc>
        <w:tc>
          <w:tcPr>
            <w:tcW w:w="1477" w:type="dxa"/>
          </w:tcPr>
          <w:p>
            <w:pPr>
              <w:pStyle w:val="14"/>
              <w:spacing w:before="65"/>
              <w:ind w:left="146" w:right="137"/>
              <w:rPr>
                <w:rFonts w:ascii="Times New Roman" w:eastAsia="Times New Roman"/>
                <w:sz w:val="21"/>
              </w:rPr>
            </w:pPr>
            <w:r>
              <w:rPr>
                <w:sz w:val="21"/>
              </w:rPr>
              <w:t>测点距离</w:t>
            </w:r>
            <w:r>
              <w:rPr>
                <w:rFonts w:ascii="Times New Roman" w:eastAsia="Times New Roman"/>
                <w:sz w:val="21"/>
              </w:rPr>
              <w:t>(m)</w:t>
            </w:r>
          </w:p>
        </w:tc>
        <w:tc>
          <w:tcPr>
            <w:tcW w:w="2361" w:type="dxa"/>
          </w:tcPr>
          <w:p>
            <w:pPr>
              <w:pStyle w:val="14"/>
              <w:spacing w:before="65"/>
              <w:ind w:left="107" w:right="103"/>
              <w:rPr>
                <w:sz w:val="21"/>
              </w:rPr>
            </w:pPr>
            <w:r>
              <w:rPr>
                <w:sz w:val="21"/>
              </w:rPr>
              <w:t>特点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1" w:hRule="atLeast"/>
        </w:trPr>
        <w:tc>
          <w:tcPr>
            <w:tcW w:w="1307" w:type="dxa"/>
          </w:tcPr>
          <w:p>
            <w:pPr>
              <w:pStyle w:val="14"/>
              <w:spacing w:before="12"/>
              <w:jc w:val="left"/>
              <w:rPr>
                <w:b/>
                <w:sz w:val="20"/>
              </w:rPr>
            </w:pPr>
          </w:p>
          <w:p>
            <w:pPr>
              <w:pStyle w:val="14"/>
              <w:tabs>
                <w:tab w:val="left" w:pos="861"/>
              </w:tabs>
              <w:spacing w:line="242" w:lineRule="auto"/>
              <w:ind w:left="232" w:right="224"/>
              <w:jc w:val="left"/>
              <w:rPr>
                <w:sz w:val="21"/>
              </w:rPr>
            </w:pPr>
            <w:r>
              <w:rPr>
                <w:sz w:val="21"/>
              </w:rPr>
              <w:t>基础施</w:t>
            </w:r>
            <w:r>
              <w:rPr>
                <w:spacing w:val="-15"/>
                <w:sz w:val="21"/>
              </w:rPr>
              <w:t>工</w:t>
            </w:r>
            <w:r>
              <w:rPr>
                <w:sz w:val="21"/>
              </w:rPr>
              <w:t>阶</w:t>
            </w:r>
            <w:r>
              <w:rPr>
                <w:sz w:val="21"/>
              </w:rPr>
              <w:tab/>
            </w:r>
            <w:r>
              <w:rPr>
                <w:spacing w:val="-17"/>
                <w:sz w:val="21"/>
              </w:rPr>
              <w:t>段</w:t>
            </w:r>
          </w:p>
        </w:tc>
        <w:tc>
          <w:tcPr>
            <w:tcW w:w="1908" w:type="dxa"/>
          </w:tcPr>
          <w:p>
            <w:pPr>
              <w:pStyle w:val="14"/>
              <w:spacing w:before="132" w:line="242" w:lineRule="auto"/>
              <w:ind w:left="639" w:right="627"/>
              <w:rPr>
                <w:sz w:val="21"/>
              </w:rPr>
            </w:pPr>
            <w:r>
              <w:rPr>
                <w:spacing w:val="-6"/>
                <w:sz w:val="21"/>
              </w:rPr>
              <w:t>挖桩机</w:t>
            </w:r>
            <w:r>
              <w:rPr>
                <w:sz w:val="21"/>
              </w:rPr>
              <w:t xml:space="preserve">吊车 </w:t>
            </w:r>
            <w:r>
              <w:rPr>
                <w:spacing w:val="-6"/>
                <w:sz w:val="21"/>
              </w:rPr>
              <w:t>平地机</w:t>
            </w:r>
          </w:p>
        </w:tc>
        <w:tc>
          <w:tcPr>
            <w:tcW w:w="1767" w:type="dxa"/>
          </w:tcPr>
          <w:p>
            <w:pPr>
              <w:pStyle w:val="14"/>
              <w:spacing w:before="177"/>
              <w:ind w:left="226" w:right="216"/>
              <w:rPr>
                <w:rFonts w:ascii="Times New Roman"/>
                <w:sz w:val="21"/>
              </w:rPr>
            </w:pPr>
            <w:r>
              <w:rPr>
                <w:rFonts w:ascii="Times New Roman"/>
                <w:sz w:val="21"/>
              </w:rPr>
              <w:t>70</w:t>
            </w:r>
          </w:p>
          <w:p>
            <w:pPr>
              <w:pStyle w:val="14"/>
              <w:spacing w:before="1" w:line="241" w:lineRule="exact"/>
              <w:ind w:left="226" w:right="216"/>
              <w:rPr>
                <w:rFonts w:ascii="Times New Roman"/>
                <w:sz w:val="21"/>
              </w:rPr>
            </w:pPr>
            <w:r>
              <w:rPr>
                <w:rFonts w:ascii="Times New Roman"/>
                <w:sz w:val="21"/>
              </w:rPr>
              <w:t>71-76</w:t>
            </w:r>
          </w:p>
          <w:p>
            <w:pPr>
              <w:pStyle w:val="14"/>
              <w:spacing w:line="241" w:lineRule="exact"/>
              <w:ind w:left="226" w:right="216"/>
              <w:rPr>
                <w:rFonts w:ascii="Times New Roman"/>
                <w:sz w:val="21"/>
              </w:rPr>
            </w:pPr>
            <w:r>
              <w:rPr>
                <w:rFonts w:ascii="Times New Roman"/>
                <w:sz w:val="21"/>
              </w:rPr>
              <w:t>86-98</w:t>
            </w:r>
          </w:p>
        </w:tc>
        <w:tc>
          <w:tcPr>
            <w:tcW w:w="1477" w:type="dxa"/>
          </w:tcPr>
          <w:p>
            <w:pPr>
              <w:pStyle w:val="14"/>
              <w:spacing w:before="177"/>
              <w:ind w:left="11"/>
              <w:rPr>
                <w:rFonts w:ascii="Times New Roman"/>
                <w:sz w:val="21"/>
              </w:rPr>
            </w:pPr>
            <w:r>
              <w:rPr>
                <w:rFonts w:ascii="Times New Roman"/>
                <w:w w:val="99"/>
                <w:sz w:val="21"/>
              </w:rPr>
              <w:t>5</w:t>
            </w:r>
          </w:p>
          <w:p>
            <w:pPr>
              <w:pStyle w:val="14"/>
              <w:spacing w:before="1" w:line="241" w:lineRule="exact"/>
              <w:ind w:left="11"/>
              <w:rPr>
                <w:rFonts w:ascii="Times New Roman"/>
                <w:sz w:val="21"/>
              </w:rPr>
            </w:pPr>
            <w:r>
              <w:rPr>
                <w:rFonts w:ascii="Times New Roman"/>
                <w:w w:val="99"/>
                <w:sz w:val="21"/>
              </w:rPr>
              <w:t>5</w:t>
            </w:r>
          </w:p>
          <w:p>
            <w:pPr>
              <w:pStyle w:val="14"/>
              <w:spacing w:line="241" w:lineRule="exact"/>
              <w:ind w:left="11"/>
              <w:rPr>
                <w:rFonts w:ascii="Times New Roman"/>
                <w:sz w:val="21"/>
              </w:rPr>
            </w:pPr>
            <w:r>
              <w:rPr>
                <w:rFonts w:ascii="Times New Roman"/>
                <w:w w:val="99"/>
                <w:sz w:val="21"/>
              </w:rPr>
              <w:t>5</w:t>
            </w:r>
          </w:p>
        </w:tc>
        <w:tc>
          <w:tcPr>
            <w:tcW w:w="2361" w:type="dxa"/>
          </w:tcPr>
          <w:p>
            <w:pPr>
              <w:pStyle w:val="14"/>
              <w:spacing w:before="12"/>
              <w:jc w:val="left"/>
              <w:rPr>
                <w:b/>
                <w:sz w:val="20"/>
              </w:rPr>
            </w:pPr>
          </w:p>
          <w:p>
            <w:pPr>
              <w:pStyle w:val="14"/>
              <w:spacing w:line="242" w:lineRule="auto"/>
              <w:ind w:left="865" w:right="122" w:hanging="737"/>
              <w:jc w:val="left"/>
              <w:rPr>
                <w:sz w:val="21"/>
              </w:rPr>
            </w:pPr>
            <w:r>
              <w:rPr>
                <w:sz w:val="21"/>
              </w:rPr>
              <w:t>该阶段声源主要为固定噪声源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307" w:type="dxa"/>
            <w:tcBorders>
              <w:bottom w:val="nil"/>
            </w:tcBorders>
          </w:tcPr>
          <w:p>
            <w:pPr>
              <w:pStyle w:val="14"/>
              <w:jc w:val="left"/>
              <w:rPr>
                <w:rFonts w:ascii="Times New Roman"/>
                <w:sz w:val="22"/>
              </w:rPr>
            </w:pPr>
          </w:p>
        </w:tc>
        <w:tc>
          <w:tcPr>
            <w:tcW w:w="1908" w:type="dxa"/>
            <w:tcBorders>
              <w:bottom w:val="nil"/>
            </w:tcBorders>
          </w:tcPr>
          <w:p>
            <w:pPr>
              <w:pStyle w:val="14"/>
              <w:spacing w:before="7"/>
              <w:jc w:val="left"/>
              <w:rPr>
                <w:b/>
                <w:sz w:val="19"/>
              </w:rPr>
            </w:pPr>
          </w:p>
          <w:p>
            <w:pPr>
              <w:pStyle w:val="14"/>
              <w:ind w:left="169" w:right="160"/>
              <w:rPr>
                <w:sz w:val="21"/>
              </w:rPr>
            </w:pPr>
            <w:r>
              <w:rPr>
                <w:sz w:val="21"/>
              </w:rPr>
              <w:t>振捣棒</w:t>
            </w:r>
          </w:p>
        </w:tc>
        <w:tc>
          <w:tcPr>
            <w:tcW w:w="1767" w:type="dxa"/>
            <w:tcBorders>
              <w:bottom w:val="nil"/>
            </w:tcBorders>
          </w:tcPr>
          <w:p>
            <w:pPr>
              <w:pStyle w:val="14"/>
              <w:spacing w:before="5"/>
              <w:jc w:val="left"/>
              <w:rPr>
                <w:b/>
                <w:sz w:val="24"/>
              </w:rPr>
            </w:pPr>
          </w:p>
          <w:p>
            <w:pPr>
              <w:pStyle w:val="14"/>
              <w:spacing w:line="217" w:lineRule="exact"/>
              <w:ind w:left="226" w:right="216"/>
              <w:rPr>
                <w:rFonts w:ascii="Times New Roman"/>
                <w:sz w:val="21"/>
              </w:rPr>
            </w:pPr>
            <w:r>
              <w:rPr>
                <w:rFonts w:ascii="Times New Roman"/>
                <w:sz w:val="21"/>
              </w:rPr>
              <w:t>87</w:t>
            </w:r>
          </w:p>
        </w:tc>
        <w:tc>
          <w:tcPr>
            <w:tcW w:w="1477" w:type="dxa"/>
            <w:tcBorders>
              <w:bottom w:val="nil"/>
            </w:tcBorders>
          </w:tcPr>
          <w:p>
            <w:pPr>
              <w:pStyle w:val="14"/>
              <w:spacing w:before="5"/>
              <w:jc w:val="left"/>
              <w:rPr>
                <w:b/>
                <w:sz w:val="24"/>
              </w:rPr>
            </w:pPr>
          </w:p>
          <w:p>
            <w:pPr>
              <w:pStyle w:val="14"/>
              <w:spacing w:line="217" w:lineRule="exact"/>
              <w:ind w:left="11"/>
              <w:rPr>
                <w:rFonts w:ascii="Times New Roman"/>
                <w:sz w:val="21"/>
              </w:rPr>
            </w:pPr>
            <w:r>
              <w:rPr>
                <w:rFonts w:ascii="Times New Roman"/>
                <w:w w:val="99"/>
                <w:sz w:val="21"/>
              </w:rPr>
              <w:t>2</w:t>
            </w:r>
          </w:p>
        </w:tc>
        <w:tc>
          <w:tcPr>
            <w:tcW w:w="2361" w:type="dxa"/>
            <w:vMerge w:val="restart"/>
          </w:tcPr>
          <w:p>
            <w:pPr>
              <w:pStyle w:val="14"/>
              <w:jc w:val="left"/>
              <w:rPr>
                <w:b/>
                <w:sz w:val="20"/>
              </w:rPr>
            </w:pPr>
          </w:p>
          <w:p>
            <w:pPr>
              <w:pStyle w:val="14"/>
              <w:spacing w:before="131" w:line="242" w:lineRule="auto"/>
              <w:ind w:left="107" w:right="-15"/>
              <w:rPr>
                <w:sz w:val="21"/>
              </w:rPr>
            </w:pPr>
            <w:r>
              <w:rPr>
                <w:spacing w:val="-8"/>
                <w:w w:val="95"/>
                <w:sz w:val="21"/>
              </w:rPr>
              <w:t xml:space="preserve">该阶段时间长，设备多， </w:t>
            </w:r>
            <w:r>
              <w:rPr>
                <w:spacing w:val="-8"/>
                <w:sz w:val="21"/>
              </w:rPr>
              <w:t>既有移动声源又有固定声源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5" w:hRule="atLeast"/>
        </w:trPr>
        <w:tc>
          <w:tcPr>
            <w:tcW w:w="1307" w:type="dxa"/>
            <w:tcBorders>
              <w:top w:val="nil"/>
              <w:bottom w:val="nil"/>
            </w:tcBorders>
          </w:tcPr>
          <w:p>
            <w:pPr>
              <w:pStyle w:val="14"/>
              <w:spacing w:line="215" w:lineRule="exact"/>
              <w:ind w:left="6"/>
              <w:rPr>
                <w:sz w:val="21"/>
              </w:rPr>
            </w:pPr>
            <w:r>
              <w:rPr>
                <w:sz w:val="21"/>
              </w:rPr>
              <w:t>结构施工</w:t>
            </w:r>
          </w:p>
        </w:tc>
        <w:tc>
          <w:tcPr>
            <w:tcW w:w="1908" w:type="dxa"/>
            <w:tcBorders>
              <w:top w:val="nil"/>
              <w:bottom w:val="nil"/>
            </w:tcBorders>
          </w:tcPr>
          <w:p>
            <w:pPr>
              <w:pStyle w:val="14"/>
              <w:spacing w:line="215" w:lineRule="exact"/>
              <w:ind w:left="167" w:right="160"/>
              <w:rPr>
                <w:sz w:val="21"/>
              </w:rPr>
            </w:pPr>
            <w:r>
              <w:rPr>
                <w:sz w:val="21"/>
              </w:rPr>
              <w:t>砼搅拌机</w:t>
            </w:r>
          </w:p>
        </w:tc>
        <w:tc>
          <w:tcPr>
            <w:tcW w:w="1767" w:type="dxa"/>
            <w:tcBorders>
              <w:top w:val="nil"/>
              <w:bottom w:val="nil"/>
            </w:tcBorders>
          </w:tcPr>
          <w:p>
            <w:pPr>
              <w:pStyle w:val="14"/>
              <w:spacing w:line="215" w:lineRule="exact"/>
              <w:ind w:left="226" w:right="216"/>
              <w:rPr>
                <w:rFonts w:ascii="Times New Roman"/>
                <w:sz w:val="21"/>
              </w:rPr>
            </w:pPr>
            <w:r>
              <w:rPr>
                <w:rFonts w:ascii="Times New Roman"/>
                <w:sz w:val="21"/>
              </w:rPr>
              <w:t>72-91</w:t>
            </w:r>
          </w:p>
        </w:tc>
        <w:tc>
          <w:tcPr>
            <w:tcW w:w="1477" w:type="dxa"/>
            <w:tcBorders>
              <w:top w:val="nil"/>
              <w:bottom w:val="nil"/>
            </w:tcBorders>
          </w:tcPr>
          <w:p>
            <w:pPr>
              <w:pStyle w:val="14"/>
              <w:spacing w:line="215" w:lineRule="exact"/>
              <w:ind w:left="11"/>
              <w:rPr>
                <w:rFonts w:ascii="Times New Roman"/>
                <w:sz w:val="21"/>
              </w:rPr>
            </w:pPr>
            <w:r>
              <w:rPr>
                <w:rFonts w:ascii="Times New Roman"/>
                <w:w w:val="99"/>
                <w:sz w:val="21"/>
              </w:rPr>
              <w:t>3</w:t>
            </w:r>
          </w:p>
        </w:tc>
        <w:tc>
          <w:tcPr>
            <w:tcW w:w="236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1" w:hRule="atLeast"/>
        </w:trPr>
        <w:tc>
          <w:tcPr>
            <w:tcW w:w="1307" w:type="dxa"/>
            <w:tcBorders>
              <w:top w:val="nil"/>
              <w:bottom w:val="nil"/>
            </w:tcBorders>
          </w:tcPr>
          <w:p>
            <w:pPr>
              <w:pStyle w:val="14"/>
              <w:tabs>
                <w:tab w:val="left" w:pos="635"/>
              </w:tabs>
              <w:spacing w:line="211" w:lineRule="exact"/>
              <w:ind w:left="6"/>
              <w:rPr>
                <w:sz w:val="21"/>
              </w:rPr>
            </w:pPr>
            <w:r>
              <w:rPr>
                <w:sz w:val="21"/>
              </w:rPr>
              <w:t>阶</w:t>
            </w:r>
            <w:r>
              <w:rPr>
                <w:sz w:val="21"/>
              </w:rPr>
              <w:tab/>
            </w:r>
            <w:r>
              <w:rPr>
                <w:sz w:val="21"/>
              </w:rPr>
              <w:t>段</w:t>
            </w:r>
          </w:p>
        </w:tc>
        <w:tc>
          <w:tcPr>
            <w:tcW w:w="1908" w:type="dxa"/>
            <w:tcBorders>
              <w:top w:val="nil"/>
              <w:bottom w:val="nil"/>
            </w:tcBorders>
          </w:tcPr>
          <w:p>
            <w:pPr>
              <w:pStyle w:val="14"/>
              <w:spacing w:line="211" w:lineRule="exact"/>
              <w:ind w:left="164" w:right="160"/>
              <w:rPr>
                <w:sz w:val="21"/>
              </w:rPr>
            </w:pPr>
            <w:r>
              <w:rPr>
                <w:sz w:val="21"/>
              </w:rPr>
              <w:t>电据</w:t>
            </w:r>
          </w:p>
        </w:tc>
        <w:tc>
          <w:tcPr>
            <w:tcW w:w="1767" w:type="dxa"/>
            <w:tcBorders>
              <w:top w:val="nil"/>
              <w:bottom w:val="nil"/>
            </w:tcBorders>
          </w:tcPr>
          <w:p>
            <w:pPr>
              <w:pStyle w:val="14"/>
              <w:spacing w:line="211" w:lineRule="exact"/>
              <w:ind w:left="226" w:right="216"/>
              <w:rPr>
                <w:rFonts w:ascii="Times New Roman"/>
                <w:sz w:val="21"/>
              </w:rPr>
            </w:pPr>
            <w:r>
              <w:rPr>
                <w:rFonts w:ascii="Times New Roman"/>
                <w:sz w:val="21"/>
              </w:rPr>
              <w:t>90-95</w:t>
            </w:r>
          </w:p>
        </w:tc>
        <w:tc>
          <w:tcPr>
            <w:tcW w:w="1477" w:type="dxa"/>
            <w:tcBorders>
              <w:top w:val="nil"/>
              <w:bottom w:val="nil"/>
            </w:tcBorders>
          </w:tcPr>
          <w:p>
            <w:pPr>
              <w:pStyle w:val="14"/>
              <w:spacing w:line="211" w:lineRule="exact"/>
              <w:ind w:left="11"/>
              <w:rPr>
                <w:rFonts w:ascii="Times New Roman"/>
                <w:sz w:val="21"/>
              </w:rPr>
            </w:pPr>
            <w:r>
              <w:rPr>
                <w:rFonts w:ascii="Times New Roman"/>
                <w:w w:val="99"/>
                <w:sz w:val="21"/>
              </w:rPr>
              <w:t>5</w:t>
            </w:r>
          </w:p>
        </w:tc>
        <w:tc>
          <w:tcPr>
            <w:tcW w:w="236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1307" w:type="dxa"/>
            <w:tcBorders>
              <w:top w:val="nil"/>
            </w:tcBorders>
          </w:tcPr>
          <w:p>
            <w:pPr>
              <w:pStyle w:val="14"/>
              <w:jc w:val="left"/>
              <w:rPr>
                <w:rFonts w:ascii="Times New Roman"/>
                <w:sz w:val="22"/>
              </w:rPr>
            </w:pPr>
          </w:p>
        </w:tc>
        <w:tc>
          <w:tcPr>
            <w:tcW w:w="1908" w:type="dxa"/>
            <w:tcBorders>
              <w:top w:val="nil"/>
            </w:tcBorders>
          </w:tcPr>
          <w:p>
            <w:pPr>
              <w:pStyle w:val="14"/>
              <w:spacing w:before="23"/>
              <w:ind w:left="169" w:right="160"/>
              <w:rPr>
                <w:sz w:val="21"/>
              </w:rPr>
            </w:pPr>
            <w:r>
              <w:rPr>
                <w:sz w:val="21"/>
              </w:rPr>
              <w:t>汽车吊车（</w:t>
            </w:r>
            <w:r>
              <w:rPr>
                <w:rFonts w:ascii="Times New Roman" w:eastAsia="Times New Roman"/>
                <w:sz w:val="21"/>
              </w:rPr>
              <w:t>16t</w:t>
            </w:r>
            <w:r>
              <w:rPr>
                <w:sz w:val="21"/>
              </w:rPr>
              <w:t>）</w:t>
            </w:r>
          </w:p>
        </w:tc>
        <w:tc>
          <w:tcPr>
            <w:tcW w:w="1767" w:type="dxa"/>
            <w:tcBorders>
              <w:top w:val="nil"/>
            </w:tcBorders>
          </w:tcPr>
          <w:p>
            <w:pPr>
              <w:pStyle w:val="14"/>
              <w:spacing w:line="231" w:lineRule="exact"/>
              <w:ind w:left="226" w:right="216"/>
              <w:rPr>
                <w:rFonts w:ascii="Times New Roman"/>
                <w:sz w:val="21"/>
              </w:rPr>
            </w:pPr>
            <w:r>
              <w:rPr>
                <w:rFonts w:ascii="Times New Roman"/>
                <w:sz w:val="21"/>
              </w:rPr>
              <w:t>72</w:t>
            </w:r>
          </w:p>
        </w:tc>
        <w:tc>
          <w:tcPr>
            <w:tcW w:w="1477" w:type="dxa"/>
            <w:tcBorders>
              <w:top w:val="nil"/>
            </w:tcBorders>
          </w:tcPr>
          <w:p>
            <w:pPr>
              <w:pStyle w:val="14"/>
              <w:spacing w:line="231" w:lineRule="exact"/>
              <w:ind w:left="11"/>
              <w:rPr>
                <w:rFonts w:ascii="Times New Roman"/>
                <w:sz w:val="21"/>
              </w:rPr>
            </w:pPr>
            <w:r>
              <w:rPr>
                <w:rFonts w:ascii="Times New Roman"/>
                <w:w w:val="99"/>
                <w:sz w:val="21"/>
              </w:rPr>
              <w:t>5</w:t>
            </w:r>
          </w:p>
        </w:tc>
        <w:tc>
          <w:tcPr>
            <w:tcW w:w="2361" w:type="dxa"/>
            <w:vMerge w:val="continue"/>
            <w:tcBorders>
              <w:top w:val="nil"/>
            </w:tcBorders>
          </w:tcPr>
          <w:p>
            <w:pPr>
              <w:rPr>
                <w:sz w:val="2"/>
                <w:szCs w:val="2"/>
              </w:rPr>
            </w:pPr>
          </w:p>
        </w:tc>
      </w:tr>
    </w:tbl>
    <w:p>
      <w:pPr>
        <w:pStyle w:val="6"/>
        <w:spacing w:before="3"/>
        <w:ind w:left="1460"/>
      </w:pPr>
      <w:r>
        <w:t>④固体废物</w:t>
      </w:r>
    </w:p>
    <w:p>
      <w:pPr>
        <w:pStyle w:val="6"/>
        <w:spacing w:before="6"/>
        <w:rPr>
          <w:sz w:val="18"/>
        </w:rPr>
      </w:pPr>
    </w:p>
    <w:p>
      <w:pPr>
        <w:pStyle w:val="6"/>
        <w:spacing w:before="1" w:line="364" w:lineRule="auto"/>
        <w:ind w:left="1040" w:right="985" w:firstLine="480"/>
      </w:pPr>
      <w:r>
        <w:t>施工期排弃的固体废物主要为井底开凿产生的矸石和地面建筑物建设过程中产生的建筑垃圾以及少量生活垃圾。矸石用于工业场地铺垫和场外道路铺设。建筑垃圾与生活垃圾，堆放指定地点，委托环卫部门统一清运处理。</w:t>
      </w:r>
    </w:p>
    <w:p>
      <w:pPr>
        <w:pStyle w:val="6"/>
        <w:spacing w:before="1"/>
        <w:ind w:left="1520"/>
      </w:pPr>
      <w:r>
        <w:t>⑤生态环境影响</w:t>
      </w:r>
    </w:p>
    <w:p>
      <w:pPr>
        <w:pStyle w:val="6"/>
        <w:spacing w:before="161"/>
        <w:ind w:left="1520"/>
      </w:pPr>
      <w:r>
        <w:t>本项目施工位于原工业广场内对生态环境影响不大。</w:t>
      </w:r>
    </w:p>
    <w:p>
      <w:pPr>
        <w:pStyle w:val="6"/>
        <w:spacing w:before="81"/>
        <w:ind w:left="1520"/>
      </w:pPr>
      <w:r>
        <w:rPr>
          <w:rFonts w:ascii="Times New Roman" w:eastAsia="Times New Roman"/>
        </w:rPr>
        <w:t>2</w:t>
      </w:r>
      <w:r>
        <w:t>、运营期主要污染源及污染物分析</w:t>
      </w:r>
    </w:p>
    <w:p>
      <w:pPr>
        <w:pStyle w:val="6"/>
        <w:spacing w:before="161"/>
        <w:ind w:left="1520"/>
      </w:pPr>
      <w:r>
        <w:t>（</w:t>
      </w:r>
      <w:r>
        <w:rPr>
          <w:rFonts w:ascii="Times New Roman" w:eastAsia="Times New Roman"/>
        </w:rPr>
        <w:t>1</w:t>
      </w:r>
      <w:r>
        <w:t>）环境空气污染源及源强分析</w:t>
      </w:r>
    </w:p>
    <w:p>
      <w:pPr>
        <w:pStyle w:val="6"/>
        <w:spacing w:before="158"/>
        <w:ind w:left="1520"/>
      </w:pPr>
      <w:r>
        <w:t>①锅炉及热风炉</w:t>
      </w:r>
    </w:p>
    <w:p>
      <w:pPr>
        <w:spacing w:after="0"/>
        <w:sectPr>
          <w:pgSz w:w="11910" w:h="16840"/>
          <w:pgMar w:top="1080" w:right="720" w:bottom="1160" w:left="760" w:header="0" w:footer="97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30" name="组合 75"/>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29" name="直线 76"/>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75"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aCLtQAAAADAQAADwAAAAAAAAABACAAAAAiAAAAZHJzL2Rvd25yZXYueG1s&#10;UEsBAhQAFAAAAAgAh07iQL/8Trc1AgAAtgQAAA4AAAAAAAAAAQAgAAAAIwEAAGRycy9lMm9Eb2Mu&#10;eG1sUEsFBgAAAAAGAAYAWQEAAMoFAAAAAA==&#10;">
                <o:lock v:ext="edit" aspectratio="f"/>
                <v:line id="直线 76" o:spid="_x0000_s1026" o:spt="20" style="position:absolute;left:0;top:7;height:0;width:8306;" filled="f" stroked="t" coordsize="21600,21600" o:gfxdata="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kCuVb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6"/>
        <w:spacing w:before="5"/>
        <w:rPr>
          <w:sz w:val="19"/>
        </w:rPr>
      </w:pPr>
    </w:p>
    <w:p>
      <w:pPr>
        <w:pStyle w:val="6"/>
        <w:spacing w:before="74" w:line="364" w:lineRule="auto"/>
        <w:ind w:left="1040" w:right="957" w:firstLine="480"/>
      </w:pPr>
      <w:r>
        <w:rPr>
          <w:spacing w:val="-13"/>
        </w:rPr>
        <w:t xml:space="preserve">地面建筑采暖、员工洗浴、干燥采用 </w:t>
      </w:r>
      <w:r>
        <w:rPr>
          <w:rFonts w:ascii="Times New Roman" w:eastAsia="Times New Roman"/>
        </w:rPr>
        <w:t xml:space="preserve">1 </w:t>
      </w:r>
      <w:r>
        <w:rPr>
          <w:spacing w:val="-30"/>
        </w:rPr>
        <w:t xml:space="preserve">台 </w:t>
      </w:r>
      <w:r>
        <w:rPr>
          <w:rFonts w:ascii="Times New Roman" w:eastAsia="Times New Roman"/>
        </w:rPr>
        <w:t xml:space="preserve">1.4MW </w:t>
      </w:r>
      <w:r>
        <w:rPr>
          <w:spacing w:val="-7"/>
        </w:rPr>
        <w:t xml:space="preserve">热水锅炉，锅炉全年运行， </w:t>
      </w:r>
      <w:r>
        <w:rPr>
          <w:spacing w:val="-9"/>
        </w:rPr>
        <w:t xml:space="preserve">井筒防冻采用 </w:t>
      </w:r>
      <w:r>
        <w:rPr>
          <w:rFonts w:ascii="Times New Roman" w:eastAsia="Times New Roman"/>
        </w:rPr>
        <w:t xml:space="preserve">1 </w:t>
      </w:r>
      <w:r>
        <w:rPr>
          <w:spacing w:val="-30"/>
        </w:rPr>
        <w:t xml:space="preserve">台 </w:t>
      </w:r>
      <w:r>
        <w:rPr>
          <w:rFonts w:ascii="Times New Roman" w:eastAsia="Times New Roman"/>
        </w:rPr>
        <w:t xml:space="preserve">4.2MW </w:t>
      </w:r>
      <w:r>
        <w:t>热风炉，热风炉采暖季运行，燃料均为生物质成型燃</w:t>
      </w:r>
      <w:r>
        <w:rPr>
          <w:spacing w:val="-4"/>
        </w:rPr>
        <w:t xml:space="preserve">料，本项目年生产 </w:t>
      </w:r>
      <w:r>
        <w:rPr>
          <w:rFonts w:ascii="Times New Roman" w:eastAsia="Times New Roman"/>
        </w:rPr>
        <w:t xml:space="preserve">330 </w:t>
      </w:r>
      <w:r>
        <w:rPr>
          <w:spacing w:val="-7"/>
        </w:rPr>
        <w:t xml:space="preserve">天，采暖期 </w:t>
      </w:r>
      <w:r>
        <w:rPr>
          <w:rFonts w:ascii="Times New Roman" w:eastAsia="Times New Roman"/>
        </w:rPr>
        <w:t xml:space="preserve">180 </w:t>
      </w:r>
      <w:r>
        <w:rPr>
          <w:spacing w:val="-6"/>
        </w:rPr>
        <w:t xml:space="preserve">天，非采暖期 </w:t>
      </w:r>
      <w:r>
        <w:rPr>
          <w:rFonts w:ascii="Times New Roman" w:eastAsia="Times New Roman"/>
        </w:rPr>
        <w:t xml:space="preserve">150 </w:t>
      </w:r>
      <w:r>
        <w:rPr>
          <w:spacing w:val="2"/>
        </w:rPr>
        <w:t>天，采暖期每天运行</w:t>
      </w:r>
      <w:r>
        <w:rPr>
          <w:rFonts w:ascii="Times New Roman" w:eastAsia="Times New Roman"/>
          <w:spacing w:val="2"/>
        </w:rPr>
        <w:t>18h</w:t>
      </w:r>
      <w:r>
        <w:rPr>
          <w:spacing w:val="-5"/>
        </w:rPr>
        <w:t xml:space="preserve">，非采暖期每天运行 </w:t>
      </w:r>
      <w:r>
        <w:rPr>
          <w:rFonts w:ascii="Times New Roman" w:eastAsia="Times New Roman"/>
        </w:rPr>
        <w:t>12h</w:t>
      </w:r>
      <w:r>
        <w:t>。根据《双鸭山大顺矿业有限公司改扩建可行性研</w:t>
      </w:r>
      <w:r>
        <w:rPr>
          <w:spacing w:val="-11"/>
        </w:rPr>
        <w:t xml:space="preserve">究报告》，本项目供暖热负荷非采暖季节热负荷 </w:t>
      </w:r>
      <w:r>
        <w:rPr>
          <w:rFonts w:ascii="Times New Roman" w:eastAsia="Times New Roman"/>
          <w:spacing w:val="-5"/>
        </w:rPr>
        <w:t>780kw</w:t>
      </w:r>
      <w:r>
        <w:rPr>
          <w:spacing w:val="-2"/>
        </w:rPr>
        <w:t>，采暖季节井筒防冻热负</w:t>
      </w:r>
      <w:r>
        <w:rPr>
          <w:spacing w:val="2"/>
        </w:rPr>
        <w:t>荷：</w:t>
      </w:r>
      <w:r>
        <w:rPr>
          <w:rFonts w:ascii="Times New Roman" w:eastAsia="Times New Roman"/>
        </w:rPr>
        <w:t>2255kw</w:t>
      </w:r>
      <w:r>
        <w:rPr>
          <w:spacing w:val="-8"/>
        </w:rPr>
        <w:t xml:space="preserve">，热效率为 </w:t>
      </w:r>
      <w:r>
        <w:rPr>
          <w:rFonts w:ascii="Times New Roman" w:eastAsia="Times New Roman"/>
          <w:spacing w:val="2"/>
        </w:rPr>
        <w:t>85%</w:t>
      </w:r>
      <w:r>
        <w:rPr>
          <w:spacing w:val="-4"/>
        </w:rPr>
        <w:t xml:space="preserve">，锅炉年运行时间为 </w:t>
      </w:r>
      <w:r>
        <w:rPr>
          <w:rFonts w:ascii="Times New Roman" w:eastAsia="Times New Roman"/>
        </w:rPr>
        <w:t>5040h</w:t>
      </w:r>
      <w:r>
        <w:rPr>
          <w:spacing w:val="-7"/>
        </w:rPr>
        <w:t xml:space="preserve">，燃料量约为 </w:t>
      </w:r>
      <w:r>
        <w:rPr>
          <w:rFonts w:ascii="Times New Roman" w:eastAsia="Times New Roman"/>
        </w:rPr>
        <w:t>0.24t/h</w:t>
      </w:r>
      <w:r>
        <w:t xml:space="preserve">， </w:t>
      </w:r>
      <w:r>
        <w:rPr>
          <w:rFonts w:ascii="Times New Roman" w:eastAsia="Times New Roman"/>
        </w:rPr>
        <w:t>1206t/a</w:t>
      </w:r>
      <w:r>
        <w:rPr>
          <w:spacing w:val="-7"/>
        </w:rPr>
        <w:t xml:space="preserve">；热风炉年运行时间为 </w:t>
      </w:r>
      <w:r>
        <w:rPr>
          <w:rFonts w:ascii="Times New Roman" w:eastAsia="Times New Roman"/>
        </w:rPr>
        <w:t>3240h</w:t>
      </w:r>
      <w:r>
        <w:rPr>
          <w:spacing w:val="-10"/>
        </w:rPr>
        <w:t xml:space="preserve">，燃料量约为 </w:t>
      </w:r>
      <w:r>
        <w:rPr>
          <w:rFonts w:ascii="Times New Roman" w:eastAsia="Times New Roman"/>
        </w:rPr>
        <w:t>0.69t/h</w:t>
      </w:r>
      <w:r>
        <w:t>，</w:t>
      </w:r>
      <w:r>
        <w:rPr>
          <w:rFonts w:ascii="Times New Roman" w:eastAsia="Times New Roman"/>
        </w:rPr>
        <w:t>2241t/a</w:t>
      </w:r>
      <w:r>
        <w:rPr>
          <w:spacing w:val="-3"/>
        </w:rPr>
        <w:t>。锅炉和热风</w:t>
      </w:r>
      <w:r>
        <w:rPr>
          <w:spacing w:val="-8"/>
        </w:rPr>
        <w:t xml:space="preserve">炉均配套布袋除尘器和高 </w:t>
      </w:r>
      <w:r>
        <w:rPr>
          <w:rFonts w:ascii="Times New Roman" w:eastAsia="Times New Roman"/>
        </w:rPr>
        <w:t xml:space="preserve">35 </w:t>
      </w:r>
      <w:r>
        <w:rPr>
          <w:spacing w:val="-12"/>
        </w:rPr>
        <w:t xml:space="preserve">米、内径 </w:t>
      </w:r>
      <w:r>
        <w:rPr>
          <w:rFonts w:ascii="Times New Roman" w:eastAsia="Times New Roman"/>
        </w:rPr>
        <w:t xml:space="preserve">0.8 </w:t>
      </w:r>
      <w:r>
        <w:t>米的烟囱。</w:t>
      </w:r>
    </w:p>
    <w:p>
      <w:pPr>
        <w:pStyle w:val="6"/>
        <w:spacing w:line="362" w:lineRule="auto"/>
        <w:ind w:left="1040" w:right="1077" w:firstLine="480"/>
      </w:pPr>
      <w:r>
        <w:t>根据《污染源源强核算技术指南 锅炉》（</w:t>
      </w:r>
      <w:r>
        <w:rPr>
          <w:rFonts w:ascii="Times New Roman" w:eastAsia="Times New Roman"/>
        </w:rPr>
        <w:t>HJ991-2018</w:t>
      </w:r>
      <w:r>
        <w:t>）中公式计算烟尘、二氧化硫和氮氧化物排放量。</w:t>
      </w:r>
    </w:p>
    <w:p>
      <w:pPr>
        <w:pStyle w:val="6"/>
        <w:ind w:left="1520"/>
      </w:pPr>
      <w:r>
        <w:t>a 烟尘</w:t>
      </w:r>
    </w:p>
    <w:p>
      <w:pPr>
        <w:pStyle w:val="6"/>
        <w:spacing w:before="5"/>
        <w:rPr>
          <w:sz w:val="9"/>
        </w:rPr>
      </w:pPr>
      <w:r>
        <w:drawing>
          <wp:anchor distT="0" distB="0" distL="0" distR="0" simplePos="0" relativeHeight="1024" behindDoc="0" locked="0" layoutInCell="1" allowOverlap="1">
            <wp:simplePos x="0" y="0"/>
            <wp:positionH relativeFrom="page">
              <wp:posOffset>2580005</wp:posOffset>
            </wp:positionH>
            <wp:positionV relativeFrom="paragraph">
              <wp:posOffset>101600</wp:posOffset>
            </wp:positionV>
            <wp:extent cx="2513965" cy="99060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39" cstate="print"/>
                    <a:stretch>
                      <a:fillRect/>
                    </a:stretch>
                  </pic:blipFill>
                  <pic:spPr>
                    <a:xfrm>
                      <a:off x="0" y="0"/>
                      <a:ext cx="2513694" cy="990600"/>
                    </a:xfrm>
                    <a:prstGeom prst="rect">
                      <a:avLst/>
                    </a:prstGeom>
                  </pic:spPr>
                </pic:pic>
              </a:graphicData>
            </a:graphic>
          </wp:anchor>
        </w:drawing>
      </w:r>
    </w:p>
    <w:p>
      <w:pPr>
        <w:pStyle w:val="6"/>
        <w:spacing w:before="211"/>
        <w:ind w:left="1520"/>
      </w:pPr>
      <w:r>
        <w:rPr>
          <w:position w:val="2"/>
        </w:rPr>
        <w:t>式中：</w:t>
      </w:r>
      <w:r>
        <w:rPr>
          <w:rFonts w:ascii="Times New Roman" w:hAnsi="Times New Roman" w:eastAsia="Times New Roman"/>
          <w:position w:val="2"/>
        </w:rPr>
        <w:t>E</w:t>
      </w:r>
      <w:r>
        <w:rPr>
          <w:rFonts w:ascii="Times New Roman" w:hAnsi="Times New Roman" w:eastAsia="Times New Roman"/>
          <w:position w:val="2"/>
          <w:vertAlign w:val="subscript"/>
        </w:rPr>
        <w:t>A</w:t>
      </w:r>
      <w:r>
        <w:rPr>
          <w:rFonts w:ascii="Times New Roman" w:hAnsi="Times New Roman" w:eastAsia="Times New Roman"/>
          <w:position w:val="2"/>
          <w:vertAlign w:val="baseline"/>
        </w:rPr>
        <w:t>—</w:t>
      </w:r>
      <w:r>
        <w:rPr>
          <w:position w:val="2"/>
          <w:vertAlign w:val="baseline"/>
        </w:rPr>
        <w:t>核算时段内烟尘排放量，</w:t>
      </w:r>
      <w:r>
        <w:rPr>
          <w:rFonts w:ascii="Times New Roman" w:hAnsi="Times New Roman" w:eastAsia="Times New Roman"/>
          <w:position w:val="2"/>
          <w:vertAlign w:val="baseline"/>
        </w:rPr>
        <w:t>t</w:t>
      </w:r>
      <w:r>
        <w:rPr>
          <w:position w:val="2"/>
          <w:vertAlign w:val="baseline"/>
        </w:rPr>
        <w:t>；</w:t>
      </w:r>
    </w:p>
    <w:p>
      <w:pPr>
        <w:pStyle w:val="6"/>
        <w:spacing w:before="159"/>
        <w:ind w:left="1520"/>
      </w:pPr>
      <w:r>
        <w:rPr>
          <w:rFonts w:ascii="Times New Roman" w:hAnsi="Times New Roman" w:eastAsia="Times New Roman"/>
        </w:rPr>
        <w:t>R—</w:t>
      </w:r>
      <w:r>
        <w:t>核算时段内锅炉燃料耗量，</w:t>
      </w:r>
      <w:r>
        <w:rPr>
          <w:rFonts w:ascii="Times New Roman" w:hAnsi="Times New Roman" w:eastAsia="Times New Roman"/>
        </w:rPr>
        <w:t>t</w:t>
      </w:r>
      <w:r>
        <w:t>；</w:t>
      </w:r>
    </w:p>
    <w:p>
      <w:pPr>
        <w:pStyle w:val="6"/>
        <w:spacing w:before="155" w:line="364" w:lineRule="auto"/>
        <w:ind w:left="1520" w:right="4595"/>
      </w:pPr>
      <w:r>
        <w:rPr>
          <w:rFonts w:ascii="Times New Roman" w:hAnsi="Times New Roman" w:eastAsia="Times New Roman"/>
          <w:position w:val="2"/>
        </w:rPr>
        <w:t>η</w:t>
      </w:r>
      <w:r>
        <w:rPr>
          <w:rFonts w:ascii="Times New Roman" w:hAnsi="Times New Roman" w:eastAsia="Times New Roman"/>
          <w:position w:val="2"/>
          <w:vertAlign w:val="subscript"/>
        </w:rPr>
        <w:t>c</w:t>
      </w:r>
      <w:r>
        <w:rPr>
          <w:rFonts w:ascii="Times New Roman" w:hAnsi="Times New Roman" w:eastAsia="Times New Roman"/>
          <w:position w:val="2"/>
          <w:vertAlign w:val="baseline"/>
        </w:rPr>
        <w:t>—</w:t>
      </w:r>
      <w:r>
        <w:rPr>
          <w:position w:val="2"/>
          <w:vertAlign w:val="baseline"/>
        </w:rPr>
        <w:t xml:space="preserve">综合除尘效率，本次预测取 </w:t>
      </w:r>
      <w:r>
        <w:rPr>
          <w:rFonts w:ascii="Times New Roman" w:hAnsi="Times New Roman" w:eastAsia="Times New Roman"/>
          <w:position w:val="2"/>
          <w:vertAlign w:val="baseline"/>
        </w:rPr>
        <w:t>99.9%</w:t>
      </w:r>
      <w:r>
        <w:rPr>
          <w:position w:val="2"/>
          <w:vertAlign w:val="baseline"/>
        </w:rPr>
        <w:t xml:space="preserve">； </w:t>
      </w:r>
      <w:r>
        <w:rPr>
          <w:rFonts w:ascii="Times New Roman" w:hAnsi="Times New Roman" w:eastAsia="Times New Roman"/>
          <w:vertAlign w:val="baseline"/>
        </w:rPr>
        <w:t>Aar—</w:t>
      </w:r>
      <w:r>
        <w:rPr>
          <w:vertAlign w:val="baseline"/>
        </w:rPr>
        <w:t>收到基灰分的质量分数，</w:t>
      </w:r>
      <w:r>
        <w:rPr>
          <w:rFonts w:ascii="Times New Roman" w:hAnsi="Times New Roman" w:eastAsia="Times New Roman"/>
          <w:vertAlign w:val="baseline"/>
        </w:rPr>
        <w:t>%</w:t>
      </w:r>
      <w:r>
        <w:rPr>
          <w:vertAlign w:val="baseline"/>
        </w:rPr>
        <w:t>；</w:t>
      </w:r>
    </w:p>
    <w:p>
      <w:pPr>
        <w:pStyle w:val="6"/>
        <w:spacing w:line="360" w:lineRule="auto"/>
        <w:ind w:left="1520" w:right="3080"/>
      </w:pPr>
      <w:r>
        <w:rPr>
          <w:rFonts w:ascii="Times New Roman" w:hAnsi="Times New Roman" w:eastAsia="Times New Roman"/>
          <w:position w:val="2"/>
        </w:rPr>
        <w:t>d</w:t>
      </w:r>
      <w:r>
        <w:rPr>
          <w:rFonts w:ascii="Times New Roman" w:hAnsi="Times New Roman" w:eastAsia="Times New Roman"/>
          <w:position w:val="2"/>
          <w:vertAlign w:val="subscript"/>
        </w:rPr>
        <w:t>fh</w:t>
      </w:r>
      <w:r>
        <w:rPr>
          <w:rFonts w:ascii="Times New Roman" w:hAnsi="Times New Roman" w:eastAsia="Times New Roman"/>
          <w:position w:val="2"/>
          <w:vertAlign w:val="baseline"/>
        </w:rPr>
        <w:t>—</w:t>
      </w:r>
      <w:r>
        <w:rPr>
          <w:position w:val="2"/>
          <w:vertAlign w:val="baseline"/>
        </w:rPr>
        <w:t>锅炉烟气带出的飞灰份额，</w:t>
      </w:r>
      <w:r>
        <w:rPr>
          <w:rFonts w:ascii="Times New Roman" w:hAnsi="Times New Roman" w:eastAsia="Times New Roman"/>
          <w:position w:val="2"/>
          <w:vertAlign w:val="baseline"/>
        </w:rPr>
        <w:t>%</w:t>
      </w:r>
      <w:r>
        <w:rPr>
          <w:position w:val="2"/>
          <w:vertAlign w:val="baseline"/>
        </w:rPr>
        <w:t xml:space="preserve">，本次预测取 </w:t>
      </w:r>
      <w:r>
        <w:rPr>
          <w:rFonts w:ascii="Times New Roman" w:hAnsi="Times New Roman" w:eastAsia="Times New Roman"/>
          <w:position w:val="2"/>
          <w:vertAlign w:val="baseline"/>
        </w:rPr>
        <w:t>45%</w:t>
      </w:r>
      <w:r>
        <w:rPr>
          <w:position w:val="2"/>
          <w:vertAlign w:val="baseline"/>
        </w:rPr>
        <w:t xml:space="preserve">； </w:t>
      </w:r>
      <w:r>
        <w:rPr>
          <w:rFonts w:ascii="Times New Roman" w:hAnsi="Times New Roman" w:eastAsia="Times New Roman"/>
          <w:position w:val="2"/>
          <w:vertAlign w:val="baseline"/>
        </w:rPr>
        <w:t>C</w:t>
      </w:r>
      <w:r>
        <w:rPr>
          <w:rFonts w:ascii="Times New Roman" w:hAnsi="Times New Roman" w:eastAsia="Times New Roman"/>
          <w:position w:val="2"/>
          <w:vertAlign w:val="subscript"/>
        </w:rPr>
        <w:t>fh</w:t>
      </w:r>
      <w:r>
        <w:rPr>
          <w:rFonts w:ascii="Times New Roman" w:hAnsi="Times New Roman" w:eastAsia="Times New Roman"/>
          <w:position w:val="2"/>
          <w:vertAlign w:val="baseline"/>
        </w:rPr>
        <w:t>—</w:t>
      </w:r>
      <w:r>
        <w:rPr>
          <w:position w:val="2"/>
          <w:vertAlign w:val="baseline"/>
        </w:rPr>
        <w:t>飞灰中的可燃物含量，</w:t>
      </w:r>
      <w:r>
        <w:rPr>
          <w:rFonts w:ascii="Times New Roman" w:hAnsi="Times New Roman" w:eastAsia="Times New Roman"/>
          <w:position w:val="2"/>
          <w:vertAlign w:val="baseline"/>
        </w:rPr>
        <w:t>%</w:t>
      </w:r>
      <w:r>
        <w:rPr>
          <w:position w:val="2"/>
          <w:vertAlign w:val="baseline"/>
        </w:rPr>
        <w:t xml:space="preserve">，本次取 </w:t>
      </w:r>
      <w:r>
        <w:rPr>
          <w:rFonts w:ascii="Times New Roman" w:hAnsi="Times New Roman" w:eastAsia="Times New Roman"/>
          <w:position w:val="2"/>
          <w:vertAlign w:val="baseline"/>
        </w:rPr>
        <w:t>15%</w:t>
      </w:r>
      <w:r>
        <w:rPr>
          <w:position w:val="2"/>
          <w:vertAlign w:val="baseline"/>
        </w:rPr>
        <w:t>；</w:t>
      </w:r>
    </w:p>
    <w:p>
      <w:pPr>
        <w:pStyle w:val="6"/>
        <w:ind w:left="1520"/>
      </w:pPr>
      <w:r>
        <w:rPr>
          <w:rFonts w:ascii="Times New Roman" w:eastAsia="Times New Roman"/>
        </w:rPr>
        <w:t xml:space="preserve">b </w:t>
      </w:r>
      <w:r>
        <w:t>二氧化硫</w:t>
      </w:r>
    </w:p>
    <w:p>
      <w:pPr>
        <w:pStyle w:val="6"/>
        <w:spacing w:before="5"/>
        <w:rPr>
          <w:sz w:val="9"/>
        </w:rPr>
      </w:pPr>
      <w:r>
        <w:drawing>
          <wp:anchor distT="0" distB="0" distL="0" distR="0" simplePos="0" relativeHeight="1024" behindDoc="0" locked="0" layoutInCell="1" allowOverlap="1">
            <wp:simplePos x="0" y="0"/>
            <wp:positionH relativeFrom="page">
              <wp:posOffset>2285365</wp:posOffset>
            </wp:positionH>
            <wp:positionV relativeFrom="paragraph">
              <wp:posOffset>100965</wp:posOffset>
            </wp:positionV>
            <wp:extent cx="3356610" cy="55753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40" cstate="print"/>
                    <a:stretch>
                      <a:fillRect/>
                    </a:stretch>
                  </pic:blipFill>
                  <pic:spPr>
                    <a:xfrm>
                      <a:off x="0" y="0"/>
                      <a:ext cx="3356848" cy="557784"/>
                    </a:xfrm>
                    <a:prstGeom prst="rect">
                      <a:avLst/>
                    </a:prstGeom>
                  </pic:spPr>
                </pic:pic>
              </a:graphicData>
            </a:graphic>
          </wp:anchor>
        </w:drawing>
      </w:r>
    </w:p>
    <w:p>
      <w:pPr>
        <w:pStyle w:val="6"/>
        <w:spacing w:before="103"/>
        <w:ind w:left="1520"/>
      </w:pPr>
      <w:r>
        <w:rPr>
          <w:position w:val="2"/>
        </w:rPr>
        <w:t>式中：</w:t>
      </w:r>
      <w:r>
        <w:rPr>
          <w:rFonts w:ascii="Times New Roman" w:hAnsi="Times New Roman" w:eastAsia="Times New Roman"/>
          <w:position w:val="2"/>
        </w:rPr>
        <w:t>E</w:t>
      </w:r>
      <w:r>
        <w:rPr>
          <w:rFonts w:ascii="Times New Roman" w:hAnsi="Times New Roman" w:eastAsia="Times New Roman"/>
          <w:position w:val="2"/>
          <w:vertAlign w:val="subscript"/>
        </w:rPr>
        <w:t>SO2</w:t>
      </w:r>
      <w:r>
        <w:rPr>
          <w:rFonts w:ascii="Times New Roman" w:hAnsi="Times New Roman" w:eastAsia="Times New Roman"/>
          <w:position w:val="2"/>
          <w:vertAlign w:val="baseline"/>
        </w:rPr>
        <w:t>—</w:t>
      </w:r>
      <w:r>
        <w:rPr>
          <w:position w:val="2"/>
          <w:vertAlign w:val="baseline"/>
        </w:rPr>
        <w:t>核算时段内二氧化硫排放量，</w:t>
      </w:r>
      <w:r>
        <w:rPr>
          <w:rFonts w:ascii="Times New Roman" w:hAnsi="Times New Roman" w:eastAsia="Times New Roman"/>
          <w:position w:val="2"/>
          <w:vertAlign w:val="baseline"/>
        </w:rPr>
        <w:t>t</w:t>
      </w:r>
      <w:r>
        <w:rPr>
          <w:position w:val="2"/>
          <w:vertAlign w:val="baseline"/>
        </w:rPr>
        <w:t>；</w:t>
      </w:r>
    </w:p>
    <w:p>
      <w:pPr>
        <w:pStyle w:val="6"/>
        <w:spacing w:before="157" w:line="362" w:lineRule="auto"/>
        <w:ind w:left="1520" w:right="5303"/>
      </w:pPr>
      <w:r>
        <w:rPr>
          <w:rFonts w:ascii="Times New Roman" w:hAnsi="Times New Roman" w:eastAsia="Times New Roman"/>
        </w:rPr>
        <w:t>R—</w:t>
      </w:r>
      <w:r>
        <w:t>核算时段内锅炉燃料耗量，</w:t>
      </w:r>
      <w:r>
        <w:rPr>
          <w:rFonts w:ascii="Times New Roman" w:hAnsi="Times New Roman" w:eastAsia="Times New Roman"/>
        </w:rPr>
        <w:t>t</w:t>
      </w:r>
      <w:r>
        <w:t xml:space="preserve">； </w:t>
      </w:r>
      <w:r>
        <w:rPr>
          <w:rFonts w:ascii="Times New Roman" w:hAnsi="Times New Roman" w:eastAsia="Times New Roman"/>
          <w:position w:val="2"/>
        </w:rPr>
        <w:t>η</w:t>
      </w:r>
      <w:r>
        <w:rPr>
          <w:rFonts w:ascii="Times New Roman" w:hAnsi="Times New Roman" w:eastAsia="Times New Roman"/>
          <w:position w:val="2"/>
          <w:vertAlign w:val="subscript"/>
        </w:rPr>
        <w:t>s</w:t>
      </w:r>
      <w:r>
        <w:rPr>
          <w:rFonts w:ascii="Times New Roman" w:hAnsi="Times New Roman" w:eastAsia="Times New Roman"/>
          <w:position w:val="2"/>
          <w:vertAlign w:val="baseline"/>
        </w:rPr>
        <w:t>—</w:t>
      </w:r>
      <w:r>
        <w:rPr>
          <w:position w:val="2"/>
          <w:vertAlign w:val="baseline"/>
        </w:rPr>
        <w:t>脱硫效率，</w:t>
      </w:r>
      <w:r>
        <w:rPr>
          <w:rFonts w:ascii="Times New Roman" w:hAnsi="Times New Roman" w:eastAsia="Times New Roman"/>
          <w:position w:val="2"/>
          <w:vertAlign w:val="baseline"/>
        </w:rPr>
        <w:t>%</w:t>
      </w:r>
      <w:r>
        <w:rPr>
          <w:position w:val="2"/>
          <w:vertAlign w:val="baseline"/>
        </w:rPr>
        <w:t>；</w:t>
      </w:r>
    </w:p>
    <w:p>
      <w:pPr>
        <w:pStyle w:val="6"/>
        <w:spacing w:line="362" w:lineRule="auto"/>
        <w:ind w:left="1520" w:right="3372"/>
      </w:pPr>
      <w:r>
        <w:rPr>
          <w:rFonts w:ascii="Times New Roman" w:hAnsi="Times New Roman" w:eastAsia="Times New Roman"/>
          <w:position w:val="2"/>
        </w:rPr>
        <w:t>q</w:t>
      </w:r>
      <w:r>
        <w:rPr>
          <w:rFonts w:ascii="Times New Roman" w:hAnsi="Times New Roman" w:eastAsia="Times New Roman"/>
          <w:position w:val="2"/>
          <w:vertAlign w:val="subscript"/>
        </w:rPr>
        <w:t>4</w:t>
      </w:r>
      <w:r>
        <w:rPr>
          <w:rFonts w:ascii="Times New Roman" w:hAnsi="Times New Roman" w:eastAsia="Times New Roman"/>
          <w:position w:val="2"/>
          <w:vertAlign w:val="baseline"/>
        </w:rPr>
        <w:t>—</w:t>
      </w:r>
      <w:r>
        <w:rPr>
          <w:position w:val="2"/>
          <w:vertAlign w:val="baseline"/>
        </w:rPr>
        <w:t>锅炉机械不完全燃烧热损失，</w:t>
      </w:r>
      <w:r>
        <w:rPr>
          <w:rFonts w:ascii="Times New Roman" w:hAnsi="Times New Roman" w:eastAsia="Times New Roman"/>
          <w:position w:val="2"/>
          <w:vertAlign w:val="baseline"/>
        </w:rPr>
        <w:t>%</w:t>
      </w:r>
      <w:r>
        <w:rPr>
          <w:position w:val="2"/>
          <w:vertAlign w:val="baseline"/>
        </w:rPr>
        <w:t xml:space="preserve">，本次取 </w:t>
      </w:r>
      <w:r>
        <w:rPr>
          <w:rFonts w:ascii="Times New Roman" w:hAnsi="Times New Roman" w:eastAsia="Times New Roman"/>
          <w:position w:val="2"/>
          <w:vertAlign w:val="baseline"/>
        </w:rPr>
        <w:t>10%</w:t>
      </w:r>
      <w:r>
        <w:rPr>
          <w:position w:val="2"/>
          <w:vertAlign w:val="baseline"/>
        </w:rPr>
        <w:t xml:space="preserve">； </w:t>
      </w:r>
      <w:r>
        <w:rPr>
          <w:rFonts w:ascii="Times New Roman" w:hAnsi="Times New Roman" w:eastAsia="Times New Roman"/>
          <w:position w:val="2"/>
          <w:vertAlign w:val="baseline"/>
        </w:rPr>
        <w:t>S</w:t>
      </w:r>
      <w:r>
        <w:rPr>
          <w:rFonts w:ascii="Times New Roman" w:hAnsi="Times New Roman" w:eastAsia="Times New Roman"/>
          <w:position w:val="2"/>
          <w:vertAlign w:val="subscript"/>
        </w:rPr>
        <w:t>ar</w:t>
      </w:r>
      <w:r>
        <w:rPr>
          <w:rFonts w:ascii="Times New Roman" w:hAnsi="Times New Roman" w:eastAsia="Times New Roman"/>
          <w:position w:val="2"/>
          <w:vertAlign w:val="baseline"/>
        </w:rPr>
        <w:t>—</w:t>
      </w:r>
      <w:r>
        <w:rPr>
          <w:position w:val="2"/>
          <w:vertAlign w:val="baseline"/>
        </w:rPr>
        <w:t>收到基硫的质量分数，</w:t>
      </w:r>
      <w:r>
        <w:rPr>
          <w:rFonts w:ascii="Times New Roman" w:hAnsi="Times New Roman" w:eastAsia="Times New Roman"/>
          <w:position w:val="2"/>
          <w:vertAlign w:val="baseline"/>
        </w:rPr>
        <w:t>%</w:t>
      </w:r>
      <w:r>
        <w:rPr>
          <w:position w:val="2"/>
          <w:vertAlign w:val="baseline"/>
        </w:rPr>
        <w:t xml:space="preserve">，本次取 </w:t>
      </w:r>
      <w:r>
        <w:rPr>
          <w:rFonts w:ascii="Times New Roman" w:hAnsi="Times New Roman" w:eastAsia="Times New Roman"/>
          <w:position w:val="2"/>
          <w:vertAlign w:val="baseline"/>
        </w:rPr>
        <w:t>0.02%</w:t>
      </w:r>
      <w:r>
        <w:rPr>
          <w:position w:val="2"/>
          <w:vertAlign w:val="baseline"/>
        </w:rPr>
        <w:t>；</w:t>
      </w:r>
    </w:p>
    <w:p>
      <w:pPr>
        <w:pStyle w:val="6"/>
        <w:spacing w:line="307" w:lineRule="exact"/>
        <w:ind w:left="1520"/>
      </w:pPr>
      <w:r>
        <w:rPr>
          <w:rFonts w:ascii="Times New Roman" w:hAnsi="Times New Roman" w:eastAsia="Times New Roman"/>
        </w:rPr>
        <w:t>K—</w:t>
      </w:r>
      <w:r>
        <w:t xml:space="preserve">燃料中硫燃烧后氧化成二氧化硫的份额，本次取 </w:t>
      </w:r>
      <w:r>
        <w:rPr>
          <w:rFonts w:ascii="Times New Roman" w:hAnsi="Times New Roman" w:eastAsia="Times New Roman"/>
        </w:rPr>
        <w:t>0.40</w:t>
      </w:r>
      <w:r>
        <w:t>。</w:t>
      </w:r>
    </w:p>
    <w:p>
      <w:pPr>
        <w:spacing w:after="0" w:line="307" w:lineRule="exact"/>
        <w:sectPr>
          <w:pgSz w:w="11910" w:h="16840"/>
          <w:pgMar w:top="1080" w:right="720" w:bottom="1160" w:left="760" w:header="0" w:footer="97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32" name="组合 77"/>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31" name="直线 78"/>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77"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7toIu1AAAAAMBAAAPAAAAAAAAAAEAIAAAACIAAABkcnMvZG93bnJldi54bWxQ&#10;SwECFAAUAAAACACHTuJAd5BS9zQCAAC2BAAADgAAAAAAAAABACAAAAAjAQAAZHJzL2Uyb0RvYy54&#10;bWxQSwUGAAAAAAYABgBZAQAAyQUAAAAA&#10;">
                <o:lock v:ext="edit" aspectratio="f"/>
                <v:line id="直线 78" o:spid="_x0000_s1026" o:spt="20" style="position:absolute;left:0;top:7;height:0;width:8306;" filled="f" stroked="t" coordsize="21600,21600" o:gfxdata="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e80jr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6"/>
        <w:spacing w:before="5"/>
        <w:rPr>
          <w:sz w:val="19"/>
        </w:rPr>
      </w:pPr>
    </w:p>
    <w:p>
      <w:pPr>
        <w:pStyle w:val="6"/>
        <w:spacing w:before="74"/>
        <w:ind w:left="1520"/>
      </w:pPr>
      <w:r>
        <w:rPr>
          <w:rFonts w:ascii="Times New Roman" w:eastAsia="Times New Roman"/>
        </w:rPr>
        <w:t xml:space="preserve">c </w:t>
      </w:r>
      <w:r>
        <w:t>氮氧化物</w:t>
      </w:r>
    </w:p>
    <w:p>
      <w:pPr>
        <w:pStyle w:val="6"/>
        <w:spacing w:before="3"/>
        <w:rPr>
          <w:sz w:val="9"/>
        </w:rPr>
      </w:pPr>
      <w:r>
        <w:drawing>
          <wp:anchor distT="0" distB="0" distL="0" distR="0" simplePos="0" relativeHeight="1024" behindDoc="0" locked="0" layoutInCell="1" allowOverlap="1">
            <wp:simplePos x="0" y="0"/>
            <wp:positionH relativeFrom="page">
              <wp:posOffset>2201545</wp:posOffset>
            </wp:positionH>
            <wp:positionV relativeFrom="paragraph">
              <wp:posOffset>99695</wp:posOffset>
            </wp:positionV>
            <wp:extent cx="3062605" cy="606425"/>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41" cstate="print"/>
                    <a:stretch>
                      <a:fillRect/>
                    </a:stretch>
                  </pic:blipFill>
                  <pic:spPr>
                    <a:xfrm>
                      <a:off x="0" y="0"/>
                      <a:ext cx="3062352" cy="606266"/>
                    </a:xfrm>
                    <a:prstGeom prst="rect">
                      <a:avLst/>
                    </a:prstGeom>
                  </pic:spPr>
                </pic:pic>
              </a:graphicData>
            </a:graphic>
          </wp:anchor>
        </w:drawing>
      </w:r>
    </w:p>
    <w:p>
      <w:pPr>
        <w:pStyle w:val="6"/>
        <w:spacing w:before="111"/>
        <w:ind w:left="1520"/>
      </w:pPr>
      <w:r>
        <w:rPr>
          <w:position w:val="2"/>
        </w:rPr>
        <w:t>式中：</w:t>
      </w:r>
      <w:r>
        <w:rPr>
          <w:rFonts w:ascii="Times New Roman" w:hAnsi="Times New Roman" w:eastAsia="Times New Roman"/>
          <w:position w:val="2"/>
        </w:rPr>
        <w:t>E</w:t>
      </w:r>
      <w:r>
        <w:rPr>
          <w:rFonts w:ascii="Times New Roman" w:hAnsi="Times New Roman" w:eastAsia="Times New Roman"/>
          <w:position w:val="2"/>
          <w:vertAlign w:val="subscript"/>
        </w:rPr>
        <w:t>NOx</w:t>
      </w:r>
      <w:r>
        <w:rPr>
          <w:rFonts w:ascii="Times New Roman" w:hAnsi="Times New Roman" w:eastAsia="Times New Roman"/>
          <w:position w:val="2"/>
          <w:vertAlign w:val="baseline"/>
        </w:rPr>
        <w:t>—</w:t>
      </w:r>
      <w:r>
        <w:rPr>
          <w:position w:val="2"/>
          <w:vertAlign w:val="baseline"/>
        </w:rPr>
        <w:t>核算时段内氮氧化物排放量，</w:t>
      </w:r>
      <w:r>
        <w:rPr>
          <w:rFonts w:ascii="Times New Roman" w:hAnsi="Times New Roman" w:eastAsia="Times New Roman"/>
          <w:position w:val="2"/>
          <w:vertAlign w:val="baseline"/>
        </w:rPr>
        <w:t>t</w:t>
      </w:r>
      <w:r>
        <w:rPr>
          <w:position w:val="2"/>
          <w:vertAlign w:val="baseline"/>
        </w:rPr>
        <w:t>；</w:t>
      </w:r>
    </w:p>
    <w:p>
      <w:pPr>
        <w:pStyle w:val="6"/>
        <w:spacing w:before="156" w:line="362" w:lineRule="auto"/>
        <w:ind w:left="1520" w:right="1605"/>
      </w:pPr>
      <w:r>
        <w:rPr>
          <w:rFonts w:ascii="Times New Roman" w:hAnsi="Times New Roman" w:eastAsia="Times New Roman"/>
          <w:position w:val="2"/>
        </w:rPr>
        <w:t>ρ</w:t>
      </w:r>
      <w:r>
        <w:rPr>
          <w:rFonts w:ascii="Times New Roman" w:hAnsi="Times New Roman" w:eastAsia="Times New Roman"/>
          <w:position w:val="2"/>
          <w:vertAlign w:val="subscript"/>
        </w:rPr>
        <w:t>NOx</w:t>
      </w:r>
      <w:r>
        <w:rPr>
          <w:rFonts w:ascii="Times New Roman" w:hAnsi="Times New Roman" w:eastAsia="Times New Roman"/>
          <w:position w:val="2"/>
          <w:vertAlign w:val="baseline"/>
        </w:rPr>
        <w:t>—</w:t>
      </w:r>
      <w:r>
        <w:rPr>
          <w:spacing w:val="-9"/>
          <w:position w:val="2"/>
          <w:vertAlign w:val="baseline"/>
        </w:rPr>
        <w:t xml:space="preserve">锅炉炉膛出口 </w:t>
      </w:r>
      <w:r>
        <w:rPr>
          <w:rFonts w:ascii="Times New Roman" w:hAnsi="Times New Roman" w:eastAsia="Times New Roman"/>
          <w:position w:val="2"/>
          <w:vertAlign w:val="baseline"/>
        </w:rPr>
        <w:t xml:space="preserve">NOx </w:t>
      </w:r>
      <w:r>
        <w:rPr>
          <w:position w:val="2"/>
          <w:vertAlign w:val="baseline"/>
        </w:rPr>
        <w:t>质量浓度，</w:t>
      </w:r>
      <w:r>
        <w:rPr>
          <w:rFonts w:ascii="Times New Roman" w:hAnsi="Times New Roman" w:eastAsia="Times New Roman"/>
          <w:position w:val="2"/>
          <w:vertAlign w:val="baseline"/>
        </w:rPr>
        <w:t>mg/m</w:t>
      </w:r>
      <w:r>
        <w:rPr>
          <w:rFonts w:ascii="Times New Roman" w:hAnsi="Times New Roman" w:eastAsia="Times New Roman"/>
          <w:position w:val="2"/>
          <w:vertAlign w:val="superscript"/>
        </w:rPr>
        <w:t>3</w:t>
      </w:r>
      <w:r>
        <w:rPr>
          <w:spacing w:val="-8"/>
          <w:position w:val="2"/>
          <w:vertAlign w:val="baseline"/>
        </w:rPr>
        <w:t xml:space="preserve">，本次预测取 </w:t>
      </w:r>
      <w:r>
        <w:rPr>
          <w:rFonts w:ascii="Times New Roman" w:hAnsi="Times New Roman" w:eastAsia="Times New Roman"/>
          <w:spacing w:val="-4"/>
          <w:position w:val="2"/>
          <w:vertAlign w:val="baseline"/>
        </w:rPr>
        <w:t>200mg/m</w:t>
      </w:r>
      <w:r>
        <w:rPr>
          <w:rFonts w:ascii="Times New Roman" w:hAnsi="Times New Roman" w:eastAsia="Times New Roman"/>
          <w:spacing w:val="-4"/>
          <w:position w:val="2"/>
          <w:vertAlign w:val="superscript"/>
        </w:rPr>
        <w:t>3</w:t>
      </w:r>
      <w:r>
        <w:rPr>
          <w:spacing w:val="-4"/>
          <w:position w:val="2"/>
          <w:vertAlign w:val="baseline"/>
        </w:rPr>
        <w:t xml:space="preserve">； </w:t>
      </w:r>
      <w:r>
        <w:rPr>
          <w:rFonts w:ascii="Times New Roman" w:hAnsi="Times New Roman" w:eastAsia="Times New Roman"/>
          <w:vertAlign w:val="baseline"/>
        </w:rPr>
        <w:t>Q—</w:t>
      </w:r>
      <w:r>
        <w:rPr>
          <w:vertAlign w:val="baseline"/>
        </w:rPr>
        <w:t>核算时段内标态干烟气排放量，</w:t>
      </w:r>
      <w:r>
        <w:rPr>
          <w:rFonts w:ascii="Times New Roman" w:hAnsi="Times New Roman" w:eastAsia="Times New Roman"/>
          <w:vertAlign w:val="baseline"/>
        </w:rPr>
        <w:t>m</w:t>
      </w:r>
      <w:r>
        <w:rPr>
          <w:rFonts w:ascii="Times New Roman" w:hAnsi="Times New Roman" w:eastAsia="Times New Roman"/>
          <w:position w:val="8"/>
          <w:sz w:val="15"/>
          <w:vertAlign w:val="baseline"/>
        </w:rPr>
        <w:t>3</w:t>
      </w:r>
      <w:r>
        <w:rPr>
          <w:vertAlign w:val="baseline"/>
        </w:rPr>
        <w:t>；</w:t>
      </w:r>
    </w:p>
    <w:p>
      <w:pPr>
        <w:pStyle w:val="6"/>
        <w:spacing w:line="424" w:lineRule="auto"/>
        <w:ind w:left="1520" w:right="6597"/>
      </w:pPr>
      <w:r>
        <w:rPr>
          <w:rFonts w:ascii="Times New Roman" w:hAnsi="Times New Roman" w:eastAsia="Times New Roman"/>
          <w:position w:val="2"/>
        </w:rPr>
        <w:t>η</w:t>
      </w:r>
      <w:r>
        <w:rPr>
          <w:rFonts w:ascii="Times New Roman" w:hAnsi="Times New Roman" w:eastAsia="Times New Roman"/>
          <w:position w:val="2"/>
          <w:vertAlign w:val="subscript"/>
        </w:rPr>
        <w:t>NOx</w:t>
      </w:r>
      <w:r>
        <w:rPr>
          <w:rFonts w:ascii="Times New Roman" w:hAnsi="Times New Roman" w:eastAsia="Times New Roman"/>
          <w:position w:val="2"/>
          <w:vertAlign w:val="baseline"/>
        </w:rPr>
        <w:t>—</w:t>
      </w:r>
      <w:r>
        <w:rPr>
          <w:position w:val="2"/>
          <w:vertAlign w:val="baseline"/>
        </w:rPr>
        <w:t>脱销效率，</w:t>
      </w:r>
      <w:r>
        <w:rPr>
          <w:rFonts w:ascii="Times New Roman" w:hAnsi="Times New Roman" w:eastAsia="Times New Roman"/>
          <w:position w:val="2"/>
          <w:vertAlign w:val="baseline"/>
        </w:rPr>
        <w:t>%</w:t>
      </w:r>
      <w:r>
        <w:rPr>
          <w:position w:val="2"/>
          <w:vertAlign w:val="baseline"/>
        </w:rPr>
        <w:t>。</w:t>
      </w:r>
      <w:r>
        <w:rPr>
          <w:rFonts w:ascii="Times New Roman" w:hAnsi="Times New Roman" w:eastAsia="Times New Roman"/>
          <w:vertAlign w:val="baseline"/>
        </w:rPr>
        <w:t>d</w:t>
      </w:r>
      <w:r>
        <w:rPr>
          <w:vertAlign w:val="baseline"/>
        </w:rPr>
        <w:t>烟气量</w:t>
      </w:r>
    </w:p>
    <w:p>
      <w:pPr>
        <w:pStyle w:val="6"/>
        <w:spacing w:line="231" w:lineRule="exact"/>
        <w:ind w:left="1520"/>
      </w:pPr>
      <w:r>
        <w:t>根据《污染源源强核算技术指南 锅炉》（</w:t>
      </w:r>
      <w:r>
        <w:rPr>
          <w:rFonts w:ascii="Times New Roman" w:eastAsia="Times New Roman"/>
        </w:rPr>
        <w:t>HJ991-2018</w:t>
      </w:r>
      <w:r>
        <w:t>），没有元素分析时</w:t>
      </w:r>
    </w:p>
    <w:p>
      <w:pPr>
        <w:pStyle w:val="6"/>
        <w:spacing w:before="161" w:line="364" w:lineRule="auto"/>
        <w:ind w:left="1040" w:right="1077"/>
        <w:jc w:val="both"/>
      </w:pPr>
      <w:r>
        <w:drawing>
          <wp:anchor distT="0" distB="0" distL="0" distR="0" simplePos="0" relativeHeight="1024" behindDoc="0" locked="0" layoutInCell="1" allowOverlap="1">
            <wp:simplePos x="0" y="0"/>
            <wp:positionH relativeFrom="page">
              <wp:posOffset>2412365</wp:posOffset>
            </wp:positionH>
            <wp:positionV relativeFrom="paragraph">
              <wp:posOffset>1026160</wp:posOffset>
            </wp:positionV>
            <wp:extent cx="2667635" cy="30480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42" cstate="print"/>
                    <a:stretch>
                      <a:fillRect/>
                    </a:stretch>
                  </pic:blipFill>
                  <pic:spPr>
                    <a:xfrm>
                      <a:off x="0" y="0"/>
                      <a:ext cx="2667334" cy="304800"/>
                    </a:xfrm>
                    <a:prstGeom prst="rect">
                      <a:avLst/>
                    </a:prstGeom>
                  </pic:spPr>
                </pic:pic>
              </a:graphicData>
            </a:graphic>
          </wp:anchor>
        </w:drawing>
      </w:r>
      <w:r>
        <w:t>干烟气排放量的经验公式计算参照</w:t>
      </w:r>
      <w:r>
        <w:rPr>
          <w:rFonts w:ascii="Times New Roman" w:hAnsi="Times New Roman" w:eastAsia="Times New Roman"/>
        </w:rPr>
        <w:t>HJ953</w:t>
      </w:r>
      <w:r>
        <w:t>，根据《排污许可证申请与核发技术规范 锅炉》（</w:t>
      </w:r>
      <w:r>
        <w:rPr>
          <w:rFonts w:ascii="Times New Roman" w:hAnsi="Times New Roman" w:eastAsia="Times New Roman"/>
        </w:rPr>
        <w:t>HJ953-2018</w:t>
      </w:r>
      <w:r>
        <w:t>），燃生物质锅炉</w:t>
      </w:r>
      <w:r>
        <w:rPr>
          <w:rFonts w:ascii="Times New Roman" w:hAnsi="Times New Roman" w:eastAsia="Times New Roman"/>
        </w:rPr>
        <w:t>Qnet</w:t>
      </w:r>
      <w:r>
        <w:t>，</w:t>
      </w:r>
      <w:r>
        <w:rPr>
          <w:rFonts w:ascii="Times New Roman" w:hAnsi="Times New Roman" w:eastAsia="Times New Roman"/>
        </w:rPr>
        <w:t>ar</w:t>
      </w:r>
      <w:r>
        <w:t>≥</w:t>
      </w:r>
      <w:r>
        <w:rPr>
          <w:rFonts w:ascii="Times New Roman" w:hAnsi="Times New Roman" w:eastAsia="Times New Roman"/>
        </w:rPr>
        <w:t>12.54MJ/kg</w:t>
      </w:r>
      <w:r>
        <w:t>且</w:t>
      </w:r>
      <w:r>
        <w:rPr>
          <w:rFonts w:ascii="Times New Roman" w:hAnsi="Times New Roman" w:eastAsia="Times New Roman"/>
        </w:rPr>
        <w:t>V</w:t>
      </w:r>
      <w:r>
        <w:t>≥</w:t>
      </w:r>
      <w:r>
        <w:rPr>
          <w:rFonts w:ascii="Times New Roman" w:hAnsi="Times New Roman" w:eastAsia="Times New Roman"/>
        </w:rPr>
        <w:t>15%</w:t>
      </w:r>
      <w:r>
        <w:t>时基准烟气量经验公式为</w:t>
      </w:r>
    </w:p>
    <w:p>
      <w:pPr>
        <w:pStyle w:val="6"/>
        <w:spacing w:line="362" w:lineRule="auto"/>
        <w:ind w:left="1520" w:right="5140"/>
      </w:pPr>
      <w:r>
        <w:rPr>
          <w:position w:val="2"/>
        </w:rPr>
        <w:t>式中：</w:t>
      </w:r>
      <w:r>
        <w:rPr>
          <w:rFonts w:ascii="Times New Roman" w:hAnsi="Times New Roman" w:eastAsia="Times New Roman"/>
          <w:position w:val="2"/>
        </w:rPr>
        <w:t>V</w:t>
      </w:r>
      <w:r>
        <w:rPr>
          <w:rFonts w:ascii="Times New Roman" w:hAnsi="Times New Roman" w:eastAsia="Times New Roman"/>
          <w:position w:val="2"/>
          <w:vertAlign w:val="subscript"/>
        </w:rPr>
        <w:t>gy</w:t>
      </w:r>
      <w:r>
        <w:rPr>
          <w:rFonts w:ascii="Times New Roman" w:hAnsi="Times New Roman" w:eastAsia="Times New Roman"/>
          <w:position w:val="2"/>
          <w:vertAlign w:val="baseline"/>
        </w:rPr>
        <w:t>—</w:t>
      </w:r>
      <w:r>
        <w:rPr>
          <w:position w:val="2"/>
          <w:vertAlign w:val="baseline"/>
        </w:rPr>
        <w:t>基准烟气量，</w:t>
      </w:r>
      <w:r>
        <w:rPr>
          <w:rFonts w:ascii="Times New Roman" w:hAnsi="Times New Roman" w:eastAsia="Times New Roman"/>
          <w:position w:val="2"/>
          <w:vertAlign w:val="baseline"/>
        </w:rPr>
        <w:t>Nm</w:t>
      </w:r>
      <w:r>
        <w:rPr>
          <w:rFonts w:ascii="Times New Roman" w:hAnsi="Times New Roman" w:eastAsia="Times New Roman"/>
          <w:position w:val="2"/>
          <w:vertAlign w:val="superscript"/>
        </w:rPr>
        <w:t>3</w:t>
      </w:r>
      <w:r>
        <w:rPr>
          <w:rFonts w:ascii="Times New Roman" w:hAnsi="Times New Roman" w:eastAsia="Times New Roman"/>
          <w:position w:val="2"/>
          <w:vertAlign w:val="baseline"/>
        </w:rPr>
        <w:t>/kg</w:t>
      </w:r>
      <w:r>
        <w:rPr>
          <w:position w:val="2"/>
          <w:vertAlign w:val="baseline"/>
        </w:rPr>
        <w:t xml:space="preserve">； </w:t>
      </w:r>
      <w:r>
        <w:rPr>
          <w:vertAlign w:val="baseline"/>
        </w:rPr>
        <w:t xml:space="preserve">本项目生物质分析报告见表 </w:t>
      </w:r>
      <w:r>
        <w:rPr>
          <w:rFonts w:ascii="Times New Roman" w:hAnsi="Times New Roman" w:eastAsia="Times New Roman"/>
          <w:vertAlign w:val="baseline"/>
        </w:rPr>
        <w:t>3.4-2</w:t>
      </w:r>
      <w:r>
        <w:rPr>
          <w:vertAlign w:val="baseline"/>
        </w:rPr>
        <w:t>。</w:t>
      </w:r>
    </w:p>
    <w:p>
      <w:pPr>
        <w:pStyle w:val="5"/>
        <w:tabs>
          <w:tab w:val="left" w:pos="1039"/>
        </w:tabs>
        <w:spacing w:before="3"/>
        <w:ind w:right="30"/>
        <w:jc w:val="center"/>
      </w:pPr>
      <w:r>
        <w:t>表</w:t>
      </w:r>
      <w:r>
        <w:rPr>
          <w:spacing w:val="-62"/>
        </w:rPr>
        <w:t xml:space="preserve"> </w:t>
      </w:r>
      <w:r>
        <w:rPr>
          <w:rFonts w:ascii="Times New Roman" w:eastAsia="Times New Roman"/>
        </w:rPr>
        <w:t>3.4-2</w:t>
      </w:r>
      <w:r>
        <w:rPr>
          <w:rFonts w:ascii="Times New Roman" w:eastAsia="Times New Roman"/>
        </w:rPr>
        <w:tab/>
      </w:r>
      <w:r>
        <w:t>本项目生物质分析报告</w:t>
      </w:r>
    </w:p>
    <w:tbl>
      <w:tblPr>
        <w:tblStyle w:val="10"/>
        <w:tblW w:w="0" w:type="auto"/>
        <w:tblInd w:w="5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9"/>
        <w:gridCol w:w="3709"/>
        <w:gridCol w:w="2136"/>
        <w:gridCol w:w="23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119" w:type="dxa"/>
          </w:tcPr>
          <w:p>
            <w:pPr>
              <w:pStyle w:val="14"/>
              <w:spacing w:before="2" w:line="251" w:lineRule="exact"/>
              <w:ind w:left="327" w:right="320"/>
              <w:rPr>
                <w:b/>
                <w:sz w:val="21"/>
              </w:rPr>
            </w:pPr>
            <w:r>
              <w:rPr>
                <w:b/>
                <w:sz w:val="21"/>
              </w:rPr>
              <w:t>序号</w:t>
            </w:r>
          </w:p>
        </w:tc>
        <w:tc>
          <w:tcPr>
            <w:tcW w:w="3709" w:type="dxa"/>
          </w:tcPr>
          <w:p>
            <w:pPr>
              <w:pStyle w:val="14"/>
              <w:spacing w:before="2" w:line="251" w:lineRule="exact"/>
              <w:ind w:left="1412" w:right="1402"/>
              <w:rPr>
                <w:b/>
                <w:sz w:val="21"/>
              </w:rPr>
            </w:pPr>
            <w:r>
              <w:rPr>
                <w:b/>
                <w:sz w:val="21"/>
              </w:rPr>
              <w:t>检测项目</w:t>
            </w:r>
          </w:p>
        </w:tc>
        <w:tc>
          <w:tcPr>
            <w:tcW w:w="2136" w:type="dxa"/>
          </w:tcPr>
          <w:p>
            <w:pPr>
              <w:pStyle w:val="14"/>
              <w:spacing w:before="2" w:line="251" w:lineRule="exact"/>
              <w:ind w:left="778" w:right="769"/>
              <w:rPr>
                <w:b/>
                <w:sz w:val="21"/>
              </w:rPr>
            </w:pPr>
            <w:r>
              <w:rPr>
                <w:b/>
                <w:sz w:val="21"/>
              </w:rPr>
              <w:t>单位</w:t>
            </w:r>
          </w:p>
        </w:tc>
        <w:tc>
          <w:tcPr>
            <w:tcW w:w="2322" w:type="dxa"/>
          </w:tcPr>
          <w:p>
            <w:pPr>
              <w:pStyle w:val="14"/>
              <w:spacing w:before="2" w:line="251" w:lineRule="exact"/>
              <w:ind w:left="719" w:right="709"/>
              <w:rPr>
                <w:b/>
                <w:sz w:val="21"/>
              </w:rPr>
            </w:pPr>
            <w:r>
              <w:rPr>
                <w:b/>
                <w:sz w:val="21"/>
              </w:rPr>
              <w:t>检测结果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119" w:type="dxa"/>
          </w:tcPr>
          <w:p>
            <w:pPr>
              <w:pStyle w:val="14"/>
              <w:spacing w:before="14" w:line="238" w:lineRule="exact"/>
              <w:ind w:left="8"/>
              <w:rPr>
                <w:rFonts w:ascii="Times New Roman"/>
                <w:sz w:val="21"/>
              </w:rPr>
            </w:pPr>
            <w:r>
              <w:rPr>
                <w:rFonts w:ascii="Times New Roman"/>
                <w:w w:val="99"/>
                <w:sz w:val="21"/>
              </w:rPr>
              <w:t>1</w:t>
            </w:r>
          </w:p>
        </w:tc>
        <w:tc>
          <w:tcPr>
            <w:tcW w:w="3709" w:type="dxa"/>
          </w:tcPr>
          <w:p>
            <w:pPr>
              <w:pStyle w:val="14"/>
              <w:spacing w:line="252" w:lineRule="exact"/>
              <w:ind w:left="1206"/>
              <w:jc w:val="left"/>
              <w:rPr>
                <w:sz w:val="21"/>
              </w:rPr>
            </w:pPr>
            <w:r>
              <w:rPr>
                <w:sz w:val="21"/>
              </w:rPr>
              <w:t>全水分（</w:t>
            </w:r>
            <w:r>
              <w:rPr>
                <w:rFonts w:ascii="Times New Roman" w:eastAsia="Times New Roman"/>
                <w:sz w:val="21"/>
              </w:rPr>
              <w:t>Mt</w:t>
            </w:r>
            <w:r>
              <w:rPr>
                <w:sz w:val="21"/>
              </w:rPr>
              <w:t>）</w:t>
            </w:r>
          </w:p>
        </w:tc>
        <w:tc>
          <w:tcPr>
            <w:tcW w:w="2136" w:type="dxa"/>
          </w:tcPr>
          <w:p>
            <w:pPr>
              <w:pStyle w:val="14"/>
              <w:spacing w:before="14" w:line="238" w:lineRule="exact"/>
              <w:ind w:left="8"/>
              <w:rPr>
                <w:rFonts w:ascii="Times New Roman"/>
                <w:sz w:val="21"/>
              </w:rPr>
            </w:pPr>
            <w:r>
              <w:rPr>
                <w:rFonts w:ascii="Times New Roman"/>
                <w:w w:val="99"/>
                <w:sz w:val="21"/>
              </w:rPr>
              <w:t>%</w:t>
            </w:r>
          </w:p>
        </w:tc>
        <w:tc>
          <w:tcPr>
            <w:tcW w:w="2322" w:type="dxa"/>
          </w:tcPr>
          <w:p>
            <w:pPr>
              <w:pStyle w:val="14"/>
              <w:spacing w:before="14" w:line="238" w:lineRule="exact"/>
              <w:ind w:left="718" w:right="709"/>
              <w:rPr>
                <w:rFonts w:ascii="Times New Roman"/>
                <w:sz w:val="21"/>
              </w:rPr>
            </w:pPr>
            <w:r>
              <w:rPr>
                <w:rFonts w:ascii="Times New Roman"/>
                <w:sz w:val="21"/>
              </w:rPr>
              <w:t>8.88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119" w:type="dxa"/>
          </w:tcPr>
          <w:p>
            <w:pPr>
              <w:pStyle w:val="14"/>
              <w:spacing w:before="15" w:line="237" w:lineRule="exact"/>
              <w:ind w:left="8"/>
              <w:rPr>
                <w:rFonts w:ascii="Times New Roman"/>
                <w:sz w:val="21"/>
              </w:rPr>
            </w:pPr>
            <w:r>
              <w:rPr>
                <w:rFonts w:ascii="Times New Roman"/>
                <w:w w:val="99"/>
                <w:sz w:val="21"/>
              </w:rPr>
              <w:t>2</w:t>
            </w:r>
          </w:p>
        </w:tc>
        <w:tc>
          <w:tcPr>
            <w:tcW w:w="3709" w:type="dxa"/>
          </w:tcPr>
          <w:p>
            <w:pPr>
              <w:pStyle w:val="14"/>
              <w:spacing w:before="1" w:line="251" w:lineRule="exact"/>
              <w:ind w:left="717"/>
              <w:jc w:val="left"/>
              <w:rPr>
                <w:sz w:val="21"/>
              </w:rPr>
            </w:pPr>
            <w:r>
              <w:rPr>
                <w:sz w:val="21"/>
              </w:rPr>
              <w:t>空气干燥基水分（</w:t>
            </w:r>
            <w:r>
              <w:rPr>
                <w:rFonts w:ascii="Times New Roman" w:eastAsia="Times New Roman"/>
                <w:sz w:val="21"/>
              </w:rPr>
              <w:t>Mad</w:t>
            </w:r>
            <w:r>
              <w:rPr>
                <w:sz w:val="21"/>
              </w:rPr>
              <w:t>）</w:t>
            </w:r>
          </w:p>
        </w:tc>
        <w:tc>
          <w:tcPr>
            <w:tcW w:w="2136" w:type="dxa"/>
          </w:tcPr>
          <w:p>
            <w:pPr>
              <w:pStyle w:val="14"/>
              <w:spacing w:before="15" w:line="237" w:lineRule="exact"/>
              <w:ind w:left="8"/>
              <w:rPr>
                <w:rFonts w:ascii="Times New Roman"/>
                <w:sz w:val="21"/>
              </w:rPr>
            </w:pPr>
            <w:r>
              <w:rPr>
                <w:rFonts w:ascii="Times New Roman"/>
                <w:w w:val="99"/>
                <w:sz w:val="21"/>
              </w:rPr>
              <w:t>%</w:t>
            </w:r>
          </w:p>
        </w:tc>
        <w:tc>
          <w:tcPr>
            <w:tcW w:w="2322" w:type="dxa"/>
          </w:tcPr>
          <w:p>
            <w:pPr>
              <w:pStyle w:val="14"/>
              <w:spacing w:before="15" w:line="237" w:lineRule="exact"/>
              <w:ind w:left="718" w:right="709"/>
              <w:rPr>
                <w:rFonts w:ascii="Times New Roman"/>
                <w:sz w:val="21"/>
              </w:rPr>
            </w:pPr>
            <w:r>
              <w:rPr>
                <w:rFonts w:ascii="Times New Roman"/>
                <w:sz w:val="21"/>
              </w:rPr>
              <w:t>8.88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119" w:type="dxa"/>
          </w:tcPr>
          <w:p>
            <w:pPr>
              <w:pStyle w:val="14"/>
              <w:spacing w:before="14" w:line="239" w:lineRule="exact"/>
              <w:ind w:left="8"/>
              <w:rPr>
                <w:rFonts w:ascii="Times New Roman"/>
                <w:sz w:val="21"/>
              </w:rPr>
            </w:pPr>
            <w:r>
              <w:rPr>
                <w:rFonts w:ascii="Times New Roman"/>
                <w:w w:val="99"/>
                <w:sz w:val="21"/>
              </w:rPr>
              <w:t>3</w:t>
            </w:r>
          </w:p>
        </w:tc>
        <w:tc>
          <w:tcPr>
            <w:tcW w:w="3709" w:type="dxa"/>
          </w:tcPr>
          <w:p>
            <w:pPr>
              <w:pStyle w:val="14"/>
              <w:spacing w:line="253" w:lineRule="exact"/>
              <w:ind w:left="990"/>
              <w:jc w:val="left"/>
              <w:rPr>
                <w:sz w:val="21"/>
              </w:rPr>
            </w:pPr>
            <w:r>
              <w:rPr>
                <w:sz w:val="21"/>
              </w:rPr>
              <w:t>干燥基灰分（</w:t>
            </w:r>
            <w:r>
              <w:rPr>
                <w:rFonts w:ascii="Times New Roman" w:eastAsia="Times New Roman"/>
                <w:sz w:val="21"/>
              </w:rPr>
              <w:t>Ad</w:t>
            </w:r>
            <w:r>
              <w:rPr>
                <w:sz w:val="21"/>
              </w:rPr>
              <w:t>）</w:t>
            </w:r>
          </w:p>
        </w:tc>
        <w:tc>
          <w:tcPr>
            <w:tcW w:w="2136" w:type="dxa"/>
          </w:tcPr>
          <w:p>
            <w:pPr>
              <w:pStyle w:val="14"/>
              <w:spacing w:before="14" w:line="239" w:lineRule="exact"/>
              <w:ind w:left="8"/>
              <w:rPr>
                <w:rFonts w:ascii="Times New Roman"/>
                <w:sz w:val="21"/>
              </w:rPr>
            </w:pPr>
            <w:r>
              <w:rPr>
                <w:rFonts w:ascii="Times New Roman"/>
                <w:w w:val="99"/>
                <w:sz w:val="21"/>
              </w:rPr>
              <w:t>%</w:t>
            </w:r>
          </w:p>
        </w:tc>
        <w:tc>
          <w:tcPr>
            <w:tcW w:w="2322" w:type="dxa"/>
          </w:tcPr>
          <w:p>
            <w:pPr>
              <w:pStyle w:val="14"/>
              <w:spacing w:before="14" w:line="239" w:lineRule="exact"/>
              <w:ind w:left="719" w:right="707"/>
              <w:rPr>
                <w:rFonts w:ascii="Times New Roman"/>
                <w:sz w:val="21"/>
              </w:rPr>
            </w:pPr>
            <w:r>
              <w:rPr>
                <w:rFonts w:ascii="Times New Roman"/>
                <w:sz w:val="21"/>
              </w:rPr>
              <w:t>16.97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119" w:type="dxa"/>
          </w:tcPr>
          <w:p>
            <w:pPr>
              <w:pStyle w:val="14"/>
              <w:spacing w:before="14" w:line="238" w:lineRule="exact"/>
              <w:ind w:left="8"/>
              <w:rPr>
                <w:rFonts w:ascii="Times New Roman"/>
                <w:sz w:val="21"/>
              </w:rPr>
            </w:pPr>
            <w:r>
              <w:rPr>
                <w:rFonts w:ascii="Times New Roman"/>
                <w:w w:val="99"/>
                <w:sz w:val="21"/>
              </w:rPr>
              <w:t>4</w:t>
            </w:r>
          </w:p>
        </w:tc>
        <w:tc>
          <w:tcPr>
            <w:tcW w:w="3709" w:type="dxa"/>
          </w:tcPr>
          <w:p>
            <w:pPr>
              <w:pStyle w:val="14"/>
              <w:spacing w:line="252" w:lineRule="exact"/>
              <w:ind w:left="107"/>
              <w:jc w:val="left"/>
              <w:rPr>
                <w:sz w:val="21"/>
              </w:rPr>
            </w:pPr>
            <w:r>
              <w:rPr>
                <w:sz w:val="21"/>
              </w:rPr>
              <w:t>干燥无灰基挥发分（</w:t>
            </w:r>
            <w:r>
              <w:rPr>
                <w:rFonts w:ascii="Times New Roman" w:eastAsia="Times New Roman"/>
                <w:sz w:val="21"/>
              </w:rPr>
              <w:t>Vdaf</w:t>
            </w:r>
            <w:r>
              <w:rPr>
                <w:sz w:val="21"/>
              </w:rPr>
              <w:t>）</w:t>
            </w:r>
          </w:p>
        </w:tc>
        <w:tc>
          <w:tcPr>
            <w:tcW w:w="2136" w:type="dxa"/>
          </w:tcPr>
          <w:p>
            <w:pPr>
              <w:pStyle w:val="14"/>
              <w:spacing w:before="14" w:line="238" w:lineRule="exact"/>
              <w:ind w:left="8"/>
              <w:rPr>
                <w:rFonts w:ascii="Times New Roman"/>
                <w:sz w:val="21"/>
              </w:rPr>
            </w:pPr>
            <w:r>
              <w:rPr>
                <w:rFonts w:ascii="Times New Roman"/>
                <w:w w:val="99"/>
                <w:sz w:val="21"/>
              </w:rPr>
              <w:t>%</w:t>
            </w:r>
          </w:p>
        </w:tc>
        <w:tc>
          <w:tcPr>
            <w:tcW w:w="2322" w:type="dxa"/>
          </w:tcPr>
          <w:p>
            <w:pPr>
              <w:pStyle w:val="14"/>
              <w:spacing w:before="14" w:line="238" w:lineRule="exact"/>
              <w:ind w:left="719" w:right="707"/>
              <w:rPr>
                <w:rFonts w:ascii="Times New Roman"/>
                <w:sz w:val="21"/>
              </w:rPr>
            </w:pPr>
            <w:r>
              <w:rPr>
                <w:rFonts w:ascii="Times New Roman"/>
                <w:sz w:val="21"/>
              </w:rPr>
              <w:t>79.80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119" w:type="dxa"/>
          </w:tcPr>
          <w:p>
            <w:pPr>
              <w:pStyle w:val="14"/>
              <w:spacing w:before="15" w:line="237" w:lineRule="exact"/>
              <w:ind w:left="8"/>
              <w:rPr>
                <w:rFonts w:ascii="Times New Roman"/>
                <w:sz w:val="21"/>
              </w:rPr>
            </w:pPr>
            <w:r>
              <w:rPr>
                <w:rFonts w:ascii="Times New Roman"/>
                <w:w w:val="99"/>
                <w:sz w:val="21"/>
              </w:rPr>
              <w:t>5</w:t>
            </w:r>
          </w:p>
        </w:tc>
        <w:tc>
          <w:tcPr>
            <w:tcW w:w="3709" w:type="dxa"/>
          </w:tcPr>
          <w:p>
            <w:pPr>
              <w:pStyle w:val="14"/>
              <w:spacing w:before="1" w:line="251" w:lineRule="exact"/>
              <w:ind w:left="1084"/>
              <w:jc w:val="left"/>
              <w:rPr>
                <w:sz w:val="21"/>
              </w:rPr>
            </w:pPr>
            <w:r>
              <w:rPr>
                <w:sz w:val="21"/>
              </w:rPr>
              <w:t>粘结特性（</w:t>
            </w:r>
            <w:r>
              <w:rPr>
                <w:rFonts w:ascii="Times New Roman" w:eastAsia="Times New Roman"/>
                <w:sz w:val="21"/>
              </w:rPr>
              <w:t>1-8</w:t>
            </w:r>
            <w:r>
              <w:rPr>
                <w:sz w:val="21"/>
              </w:rPr>
              <w:t>）</w:t>
            </w:r>
          </w:p>
        </w:tc>
        <w:tc>
          <w:tcPr>
            <w:tcW w:w="2136" w:type="dxa"/>
          </w:tcPr>
          <w:p>
            <w:pPr>
              <w:pStyle w:val="14"/>
              <w:spacing w:before="15" w:line="237" w:lineRule="exact"/>
              <w:ind w:left="7"/>
              <w:rPr>
                <w:rFonts w:ascii="Times New Roman"/>
                <w:sz w:val="21"/>
              </w:rPr>
            </w:pPr>
            <w:r>
              <w:rPr>
                <w:rFonts w:ascii="Times New Roman"/>
                <w:w w:val="99"/>
                <w:sz w:val="21"/>
              </w:rPr>
              <w:t>/</w:t>
            </w:r>
          </w:p>
        </w:tc>
        <w:tc>
          <w:tcPr>
            <w:tcW w:w="2322" w:type="dxa"/>
          </w:tcPr>
          <w:p>
            <w:pPr>
              <w:pStyle w:val="14"/>
              <w:spacing w:before="15" w:line="237" w:lineRule="exact"/>
              <w:ind w:left="7"/>
              <w:rPr>
                <w:rFonts w:ascii="Times New Roman"/>
                <w:sz w:val="21"/>
              </w:rPr>
            </w:pPr>
            <w:r>
              <w:rPr>
                <w:rFonts w:ascii="Times New Roman"/>
                <w:w w:val="99"/>
                <w:sz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119" w:type="dxa"/>
          </w:tcPr>
          <w:p>
            <w:pPr>
              <w:pStyle w:val="14"/>
              <w:spacing w:before="14" w:line="239" w:lineRule="exact"/>
              <w:ind w:left="8"/>
              <w:rPr>
                <w:rFonts w:ascii="Times New Roman"/>
                <w:sz w:val="21"/>
              </w:rPr>
            </w:pPr>
            <w:r>
              <w:rPr>
                <w:rFonts w:ascii="Times New Roman"/>
                <w:w w:val="99"/>
                <w:sz w:val="21"/>
              </w:rPr>
              <w:t>6</w:t>
            </w:r>
          </w:p>
        </w:tc>
        <w:tc>
          <w:tcPr>
            <w:tcW w:w="3709" w:type="dxa"/>
          </w:tcPr>
          <w:p>
            <w:pPr>
              <w:pStyle w:val="14"/>
              <w:spacing w:line="253" w:lineRule="exact"/>
              <w:ind w:left="107" w:right="-15"/>
              <w:jc w:val="left"/>
              <w:rPr>
                <w:sz w:val="21"/>
              </w:rPr>
            </w:pPr>
            <w:r>
              <w:rPr>
                <w:spacing w:val="-3"/>
                <w:w w:val="95"/>
                <w:sz w:val="21"/>
              </w:rPr>
              <w:t>空气干燥基恒容高位发热量</w:t>
            </w:r>
            <w:r>
              <w:rPr>
                <w:spacing w:val="-5"/>
                <w:w w:val="95"/>
                <w:sz w:val="21"/>
              </w:rPr>
              <w:t>（</w:t>
            </w:r>
            <w:r>
              <w:rPr>
                <w:rFonts w:ascii="Times New Roman" w:eastAsia="Times New Roman"/>
                <w:spacing w:val="-5"/>
                <w:w w:val="95"/>
                <w:sz w:val="21"/>
              </w:rPr>
              <w:t>Qgr</w:t>
            </w:r>
            <w:r>
              <w:rPr>
                <w:spacing w:val="-5"/>
                <w:w w:val="95"/>
                <w:sz w:val="21"/>
              </w:rPr>
              <w:t>，</w:t>
            </w:r>
            <w:r>
              <w:rPr>
                <w:rFonts w:ascii="Times New Roman" w:eastAsia="Times New Roman"/>
                <w:spacing w:val="-5"/>
                <w:w w:val="95"/>
                <w:sz w:val="21"/>
              </w:rPr>
              <w:t>ad</w:t>
            </w:r>
            <w:r>
              <w:rPr>
                <w:spacing w:val="-5"/>
                <w:w w:val="95"/>
                <w:sz w:val="21"/>
              </w:rPr>
              <w:t>）</w:t>
            </w:r>
          </w:p>
        </w:tc>
        <w:tc>
          <w:tcPr>
            <w:tcW w:w="2136" w:type="dxa"/>
          </w:tcPr>
          <w:p>
            <w:pPr>
              <w:pStyle w:val="14"/>
              <w:spacing w:before="14" w:line="239" w:lineRule="exact"/>
              <w:ind w:left="778" w:right="770"/>
              <w:rPr>
                <w:rFonts w:ascii="Times New Roman"/>
                <w:sz w:val="21"/>
              </w:rPr>
            </w:pPr>
            <w:r>
              <w:rPr>
                <w:rFonts w:ascii="Times New Roman"/>
                <w:sz w:val="21"/>
              </w:rPr>
              <w:t>MJ/kg</w:t>
            </w:r>
          </w:p>
        </w:tc>
        <w:tc>
          <w:tcPr>
            <w:tcW w:w="2322" w:type="dxa"/>
          </w:tcPr>
          <w:p>
            <w:pPr>
              <w:pStyle w:val="14"/>
              <w:spacing w:before="14" w:line="239" w:lineRule="exact"/>
              <w:ind w:left="719" w:right="707"/>
              <w:rPr>
                <w:rFonts w:ascii="Times New Roman"/>
                <w:sz w:val="21"/>
              </w:rPr>
            </w:pPr>
            <w:r>
              <w:rPr>
                <w:rFonts w:ascii="Times New Roman"/>
                <w:sz w:val="21"/>
              </w:rPr>
              <w:t>15.21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119" w:type="dxa"/>
          </w:tcPr>
          <w:p>
            <w:pPr>
              <w:pStyle w:val="14"/>
              <w:spacing w:before="14" w:line="238" w:lineRule="exact"/>
              <w:ind w:left="8"/>
              <w:rPr>
                <w:rFonts w:ascii="Times New Roman"/>
                <w:sz w:val="21"/>
              </w:rPr>
            </w:pPr>
            <w:r>
              <w:rPr>
                <w:rFonts w:ascii="Times New Roman"/>
                <w:w w:val="99"/>
                <w:sz w:val="21"/>
              </w:rPr>
              <w:t>7</w:t>
            </w:r>
          </w:p>
        </w:tc>
        <w:tc>
          <w:tcPr>
            <w:tcW w:w="3709" w:type="dxa"/>
          </w:tcPr>
          <w:p>
            <w:pPr>
              <w:pStyle w:val="14"/>
              <w:spacing w:line="252" w:lineRule="exact"/>
              <w:ind w:left="109" w:right="-15"/>
              <w:jc w:val="left"/>
              <w:rPr>
                <w:sz w:val="21"/>
              </w:rPr>
            </w:pPr>
            <w:r>
              <w:rPr>
                <w:spacing w:val="-1"/>
                <w:w w:val="95"/>
                <w:sz w:val="21"/>
              </w:rPr>
              <w:t>收到基恒容低位发热量</w:t>
            </w:r>
            <w:r>
              <w:rPr>
                <w:w w:val="95"/>
                <w:sz w:val="21"/>
              </w:rPr>
              <w:t>（</w:t>
            </w:r>
            <w:r>
              <w:rPr>
                <w:rFonts w:ascii="Times New Roman" w:eastAsia="Times New Roman"/>
                <w:w w:val="95"/>
                <w:sz w:val="21"/>
              </w:rPr>
              <w:t>Qnet</w:t>
            </w:r>
            <w:r>
              <w:rPr>
                <w:w w:val="95"/>
                <w:sz w:val="21"/>
              </w:rPr>
              <w:t>，</w:t>
            </w:r>
            <w:r>
              <w:rPr>
                <w:rFonts w:ascii="Times New Roman" w:eastAsia="Times New Roman"/>
                <w:w w:val="95"/>
                <w:sz w:val="21"/>
              </w:rPr>
              <w:t>v</w:t>
            </w:r>
            <w:r>
              <w:rPr>
                <w:w w:val="95"/>
                <w:sz w:val="21"/>
              </w:rPr>
              <w:t>，</w:t>
            </w:r>
            <w:r>
              <w:rPr>
                <w:rFonts w:ascii="Times New Roman" w:eastAsia="Times New Roman"/>
                <w:w w:val="95"/>
                <w:sz w:val="21"/>
              </w:rPr>
              <w:t>ar</w:t>
            </w:r>
            <w:r>
              <w:rPr>
                <w:w w:val="95"/>
                <w:sz w:val="21"/>
              </w:rPr>
              <w:t>）</w:t>
            </w:r>
          </w:p>
        </w:tc>
        <w:tc>
          <w:tcPr>
            <w:tcW w:w="2136" w:type="dxa"/>
          </w:tcPr>
          <w:p>
            <w:pPr>
              <w:pStyle w:val="14"/>
              <w:spacing w:before="14" w:line="238" w:lineRule="exact"/>
              <w:ind w:left="778" w:right="770"/>
              <w:rPr>
                <w:rFonts w:ascii="Times New Roman"/>
                <w:sz w:val="21"/>
              </w:rPr>
            </w:pPr>
            <w:r>
              <w:rPr>
                <w:rFonts w:ascii="Times New Roman"/>
                <w:sz w:val="21"/>
              </w:rPr>
              <w:t>MJ/kg</w:t>
            </w:r>
          </w:p>
        </w:tc>
        <w:tc>
          <w:tcPr>
            <w:tcW w:w="2322" w:type="dxa"/>
          </w:tcPr>
          <w:p>
            <w:pPr>
              <w:pStyle w:val="14"/>
              <w:spacing w:before="14" w:line="238" w:lineRule="exact"/>
              <w:ind w:left="719" w:right="707"/>
              <w:rPr>
                <w:rFonts w:ascii="Times New Roman"/>
                <w:sz w:val="21"/>
              </w:rPr>
            </w:pPr>
            <w:r>
              <w:rPr>
                <w:rFonts w:ascii="Times New Roman"/>
                <w:sz w:val="21"/>
              </w:rPr>
              <w:t>13.81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119" w:type="dxa"/>
          </w:tcPr>
          <w:p>
            <w:pPr>
              <w:pStyle w:val="14"/>
              <w:spacing w:before="15" w:line="236" w:lineRule="exact"/>
              <w:ind w:left="8"/>
              <w:rPr>
                <w:rFonts w:ascii="Times New Roman"/>
                <w:sz w:val="21"/>
              </w:rPr>
            </w:pPr>
            <w:r>
              <w:rPr>
                <w:rFonts w:ascii="Times New Roman"/>
                <w:w w:val="99"/>
                <w:sz w:val="21"/>
              </w:rPr>
              <w:t>8</w:t>
            </w:r>
          </w:p>
        </w:tc>
        <w:tc>
          <w:tcPr>
            <w:tcW w:w="3709" w:type="dxa"/>
          </w:tcPr>
          <w:p>
            <w:pPr>
              <w:pStyle w:val="14"/>
              <w:spacing w:before="1" w:line="250" w:lineRule="exact"/>
              <w:ind w:left="618"/>
              <w:jc w:val="left"/>
              <w:rPr>
                <w:sz w:val="21"/>
              </w:rPr>
            </w:pPr>
            <w:r>
              <w:rPr>
                <w:sz w:val="21"/>
              </w:rPr>
              <w:t>空气干燥基全硫（</w:t>
            </w:r>
            <w:r>
              <w:rPr>
                <w:rFonts w:ascii="Times New Roman" w:eastAsia="Times New Roman"/>
                <w:sz w:val="21"/>
              </w:rPr>
              <w:t>St</w:t>
            </w:r>
            <w:r>
              <w:rPr>
                <w:sz w:val="21"/>
              </w:rPr>
              <w:t>，</w:t>
            </w:r>
            <w:r>
              <w:rPr>
                <w:rFonts w:ascii="Times New Roman" w:eastAsia="Times New Roman"/>
                <w:sz w:val="21"/>
              </w:rPr>
              <w:t>ad</w:t>
            </w:r>
            <w:r>
              <w:rPr>
                <w:sz w:val="21"/>
              </w:rPr>
              <w:t>）</w:t>
            </w:r>
          </w:p>
        </w:tc>
        <w:tc>
          <w:tcPr>
            <w:tcW w:w="2136" w:type="dxa"/>
          </w:tcPr>
          <w:p>
            <w:pPr>
              <w:pStyle w:val="14"/>
              <w:spacing w:before="15" w:line="236" w:lineRule="exact"/>
              <w:ind w:left="8"/>
              <w:rPr>
                <w:rFonts w:ascii="Times New Roman"/>
                <w:sz w:val="21"/>
              </w:rPr>
            </w:pPr>
            <w:r>
              <w:rPr>
                <w:rFonts w:ascii="Times New Roman"/>
                <w:w w:val="99"/>
                <w:sz w:val="21"/>
              </w:rPr>
              <w:t>%</w:t>
            </w:r>
          </w:p>
        </w:tc>
        <w:tc>
          <w:tcPr>
            <w:tcW w:w="2322" w:type="dxa"/>
          </w:tcPr>
          <w:p>
            <w:pPr>
              <w:pStyle w:val="14"/>
              <w:spacing w:before="15" w:line="236" w:lineRule="exact"/>
              <w:ind w:left="718" w:right="709"/>
              <w:rPr>
                <w:rFonts w:ascii="Times New Roman"/>
                <w:sz w:val="21"/>
              </w:rPr>
            </w:pPr>
            <w:r>
              <w:rPr>
                <w:rFonts w:ascii="Times New Roman"/>
                <w:sz w:val="21"/>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119" w:type="dxa"/>
          </w:tcPr>
          <w:p>
            <w:pPr>
              <w:pStyle w:val="14"/>
              <w:spacing w:before="14" w:line="239" w:lineRule="exact"/>
              <w:ind w:left="8"/>
              <w:rPr>
                <w:rFonts w:ascii="Times New Roman"/>
                <w:sz w:val="21"/>
              </w:rPr>
            </w:pPr>
            <w:r>
              <w:rPr>
                <w:rFonts w:ascii="Times New Roman"/>
                <w:w w:val="99"/>
                <w:sz w:val="21"/>
              </w:rPr>
              <w:t>9</w:t>
            </w:r>
          </w:p>
        </w:tc>
        <w:tc>
          <w:tcPr>
            <w:tcW w:w="3709" w:type="dxa"/>
          </w:tcPr>
          <w:p>
            <w:pPr>
              <w:pStyle w:val="14"/>
              <w:spacing w:line="253" w:lineRule="exact"/>
              <w:ind w:left="839"/>
              <w:jc w:val="left"/>
              <w:rPr>
                <w:sz w:val="21"/>
              </w:rPr>
            </w:pPr>
            <w:r>
              <w:rPr>
                <w:sz w:val="21"/>
              </w:rPr>
              <w:t>空气干燥基氢（</w:t>
            </w:r>
            <w:r>
              <w:rPr>
                <w:rFonts w:ascii="Times New Roman" w:eastAsia="Times New Roman"/>
                <w:sz w:val="21"/>
              </w:rPr>
              <w:t>Had</w:t>
            </w:r>
            <w:r>
              <w:rPr>
                <w:sz w:val="21"/>
              </w:rPr>
              <w:t>）</w:t>
            </w:r>
          </w:p>
        </w:tc>
        <w:tc>
          <w:tcPr>
            <w:tcW w:w="2136" w:type="dxa"/>
          </w:tcPr>
          <w:p>
            <w:pPr>
              <w:pStyle w:val="14"/>
              <w:spacing w:before="14" w:line="239" w:lineRule="exact"/>
              <w:ind w:left="8"/>
              <w:rPr>
                <w:rFonts w:ascii="Times New Roman"/>
                <w:sz w:val="21"/>
              </w:rPr>
            </w:pPr>
            <w:r>
              <w:rPr>
                <w:rFonts w:ascii="Times New Roman"/>
                <w:w w:val="99"/>
                <w:sz w:val="21"/>
              </w:rPr>
              <w:t>%</w:t>
            </w:r>
          </w:p>
        </w:tc>
        <w:tc>
          <w:tcPr>
            <w:tcW w:w="2322" w:type="dxa"/>
          </w:tcPr>
          <w:p>
            <w:pPr>
              <w:pStyle w:val="14"/>
              <w:spacing w:before="14" w:line="239" w:lineRule="exact"/>
              <w:ind w:left="718" w:right="709"/>
              <w:rPr>
                <w:rFonts w:ascii="Times New Roman"/>
                <w:sz w:val="21"/>
              </w:rPr>
            </w:pPr>
            <w:r>
              <w:rPr>
                <w:rFonts w:ascii="Times New Roman"/>
                <w:sz w:val="21"/>
              </w:rPr>
              <w:t>8.07</w:t>
            </w:r>
          </w:p>
        </w:tc>
      </w:tr>
    </w:tbl>
    <w:p>
      <w:pPr>
        <w:pStyle w:val="6"/>
        <w:spacing w:line="362" w:lineRule="auto"/>
        <w:ind w:left="1040" w:right="943" w:firstLine="480"/>
      </w:pPr>
      <w:r>
        <w:rPr>
          <w:position w:val="2"/>
        </w:rPr>
        <w:t>经计算，锅炉烟尘、</w:t>
      </w:r>
      <w:r>
        <w:rPr>
          <w:rFonts w:ascii="Times New Roman" w:eastAsia="Times New Roman"/>
          <w:position w:val="2"/>
        </w:rPr>
        <w:t>SO</w:t>
      </w:r>
      <w:r>
        <w:rPr>
          <w:rFonts w:ascii="Times New Roman" w:eastAsia="Times New Roman"/>
          <w:position w:val="2"/>
          <w:vertAlign w:val="subscript"/>
        </w:rPr>
        <w:t>2</w:t>
      </w:r>
      <w:r>
        <w:rPr>
          <w:position w:val="2"/>
          <w:vertAlign w:val="baseline"/>
        </w:rPr>
        <w:t>、</w:t>
      </w:r>
      <w:r>
        <w:rPr>
          <w:rFonts w:ascii="Times New Roman" w:eastAsia="Times New Roman"/>
          <w:position w:val="2"/>
          <w:vertAlign w:val="baseline"/>
        </w:rPr>
        <w:t xml:space="preserve">NOx </w:t>
      </w:r>
      <w:r>
        <w:rPr>
          <w:spacing w:val="-8"/>
          <w:position w:val="2"/>
          <w:vertAlign w:val="baseline"/>
        </w:rPr>
        <w:t xml:space="preserve">排放浓度分别为 </w:t>
      </w:r>
      <w:r>
        <w:rPr>
          <w:rFonts w:ascii="Times New Roman" w:eastAsia="Times New Roman"/>
          <w:position w:val="2"/>
          <w:vertAlign w:val="baseline"/>
        </w:rPr>
        <w:t>13.93mg/m</w:t>
      </w:r>
      <w:r>
        <w:rPr>
          <w:rFonts w:ascii="Times New Roman" w:eastAsia="Times New Roman"/>
          <w:position w:val="2"/>
          <w:vertAlign w:val="superscript"/>
        </w:rPr>
        <w:t>3</w:t>
      </w:r>
      <w:r>
        <w:rPr>
          <w:position w:val="2"/>
          <w:vertAlign w:val="baseline"/>
        </w:rPr>
        <w:t>、</w:t>
      </w:r>
      <w:r>
        <w:rPr>
          <w:rFonts w:ascii="Times New Roman" w:eastAsia="Times New Roman"/>
          <w:position w:val="2"/>
          <w:vertAlign w:val="baseline"/>
        </w:rPr>
        <w:t>23.21mg/m</w:t>
      </w:r>
      <w:r>
        <w:rPr>
          <w:rFonts w:ascii="Times New Roman" w:eastAsia="Times New Roman"/>
          <w:position w:val="2"/>
          <w:vertAlign w:val="superscript"/>
        </w:rPr>
        <w:t>3</w:t>
      </w:r>
      <w:r>
        <w:rPr>
          <w:position w:val="2"/>
          <w:vertAlign w:val="baseline"/>
        </w:rPr>
        <w:t>、</w:t>
      </w:r>
      <w:r>
        <w:rPr>
          <w:rFonts w:ascii="Times New Roman" w:eastAsia="Times New Roman"/>
          <w:spacing w:val="-3"/>
          <w:vertAlign w:val="baseline"/>
        </w:rPr>
        <w:t>200mg/m</w:t>
      </w:r>
      <w:r>
        <w:rPr>
          <w:rFonts w:ascii="Times New Roman" w:eastAsia="Times New Roman"/>
          <w:spacing w:val="-3"/>
          <w:position w:val="8"/>
          <w:sz w:val="15"/>
          <w:vertAlign w:val="baseline"/>
        </w:rPr>
        <w:t>3</w:t>
      </w:r>
      <w:r>
        <w:rPr>
          <w:spacing w:val="-6"/>
          <w:vertAlign w:val="baseline"/>
        </w:rPr>
        <w:t>，污染物排放浓度满足《锅炉大气污染物排放标准》</w:t>
      </w:r>
      <w:r>
        <w:rPr>
          <w:vertAlign w:val="baseline"/>
        </w:rPr>
        <w:t>（</w:t>
      </w:r>
      <w:r>
        <w:rPr>
          <w:rFonts w:ascii="Times New Roman" w:eastAsia="Times New Roman"/>
          <w:vertAlign w:val="baseline"/>
        </w:rPr>
        <w:t>GB13271-2014</w:t>
      </w:r>
      <w:r>
        <w:rPr>
          <w:vertAlign w:val="baseline"/>
        </w:rPr>
        <w:t xml:space="preserve">） </w:t>
      </w:r>
      <w:r>
        <w:rPr>
          <w:spacing w:val="-20"/>
          <w:position w:val="2"/>
          <w:vertAlign w:val="baseline"/>
        </w:rPr>
        <w:t xml:space="preserve">烟尘 </w:t>
      </w:r>
      <w:r>
        <w:rPr>
          <w:rFonts w:ascii="Times New Roman" w:eastAsia="Times New Roman"/>
          <w:position w:val="2"/>
          <w:vertAlign w:val="baseline"/>
        </w:rPr>
        <w:t>50mg/m</w:t>
      </w:r>
      <w:r>
        <w:rPr>
          <w:rFonts w:ascii="Times New Roman" w:eastAsia="Times New Roman"/>
          <w:position w:val="2"/>
          <w:vertAlign w:val="superscript"/>
        </w:rPr>
        <w:t>3</w:t>
      </w:r>
      <w:r>
        <w:rPr>
          <w:spacing w:val="-84"/>
          <w:position w:val="2"/>
          <w:vertAlign w:val="baseline"/>
        </w:rPr>
        <w:t>、</w:t>
      </w:r>
      <w:r>
        <w:rPr>
          <w:rFonts w:ascii="Times New Roman" w:eastAsia="Times New Roman"/>
          <w:position w:val="2"/>
          <w:vertAlign w:val="baseline"/>
        </w:rPr>
        <w:t>SO</w:t>
      </w:r>
      <w:r>
        <w:rPr>
          <w:rFonts w:ascii="Times New Roman" w:eastAsia="Times New Roman"/>
          <w:position w:val="2"/>
          <w:vertAlign w:val="subscript"/>
        </w:rPr>
        <w:t>2</w:t>
      </w:r>
      <w:r>
        <w:rPr>
          <w:rFonts w:ascii="Times New Roman" w:eastAsia="Times New Roman"/>
          <w:position w:val="2"/>
          <w:vertAlign w:val="baseline"/>
        </w:rPr>
        <w:t>300mg/m</w:t>
      </w:r>
      <w:r>
        <w:rPr>
          <w:rFonts w:ascii="Times New Roman" w:eastAsia="Times New Roman"/>
          <w:position w:val="2"/>
          <w:vertAlign w:val="superscript"/>
        </w:rPr>
        <w:t>3</w:t>
      </w:r>
      <w:r>
        <w:rPr>
          <w:spacing w:val="-84"/>
          <w:position w:val="2"/>
          <w:vertAlign w:val="baseline"/>
        </w:rPr>
        <w:t>、</w:t>
      </w:r>
      <w:r>
        <w:rPr>
          <w:rFonts w:ascii="Times New Roman" w:eastAsia="Times New Roman"/>
          <w:position w:val="2"/>
          <w:vertAlign w:val="baseline"/>
        </w:rPr>
        <w:t>NOx300mg/m</w:t>
      </w:r>
      <w:r>
        <w:rPr>
          <w:rFonts w:ascii="Times New Roman" w:eastAsia="Times New Roman"/>
          <w:position w:val="2"/>
          <w:vertAlign w:val="superscript"/>
        </w:rPr>
        <w:t>3</w:t>
      </w:r>
      <w:r>
        <w:rPr>
          <w:rFonts w:ascii="Times New Roman" w:eastAsia="Times New Roman"/>
          <w:position w:val="2"/>
          <w:vertAlign w:val="baseline"/>
        </w:rPr>
        <w:t xml:space="preserve"> </w:t>
      </w:r>
      <w:r>
        <w:rPr>
          <w:spacing w:val="-15"/>
          <w:position w:val="2"/>
          <w:vertAlign w:val="baseline"/>
        </w:rPr>
        <w:t>的标准限值要求；热风炉烟尘、</w:t>
      </w:r>
      <w:r>
        <w:rPr>
          <w:rFonts w:ascii="Times New Roman" w:eastAsia="Times New Roman"/>
          <w:position w:val="2"/>
          <w:vertAlign w:val="baseline"/>
        </w:rPr>
        <w:t>SO</w:t>
      </w:r>
      <w:r>
        <w:rPr>
          <w:rFonts w:ascii="Times New Roman" w:eastAsia="Times New Roman"/>
          <w:position w:val="2"/>
          <w:vertAlign w:val="subscript"/>
        </w:rPr>
        <w:t>2</w:t>
      </w:r>
      <w:r>
        <w:rPr>
          <w:spacing w:val="-16"/>
          <w:position w:val="2"/>
          <w:vertAlign w:val="baseline"/>
        </w:rPr>
        <w:t>、</w:t>
      </w:r>
      <w:r>
        <w:rPr>
          <w:rFonts w:ascii="Times New Roman" w:eastAsia="Times New Roman"/>
          <w:vertAlign w:val="baseline"/>
        </w:rPr>
        <w:t xml:space="preserve">NOx </w:t>
      </w:r>
      <w:r>
        <w:rPr>
          <w:spacing w:val="-7"/>
          <w:vertAlign w:val="baseline"/>
        </w:rPr>
        <w:t xml:space="preserve">排放浓度分别为 </w:t>
      </w:r>
      <w:r>
        <w:rPr>
          <w:rFonts w:ascii="Times New Roman" w:eastAsia="Times New Roman"/>
          <w:vertAlign w:val="baseline"/>
        </w:rPr>
        <w:t>14.23mg/m</w:t>
      </w:r>
      <w:r>
        <w:rPr>
          <w:rFonts w:ascii="Times New Roman" w:eastAsia="Times New Roman"/>
          <w:position w:val="8"/>
          <w:sz w:val="15"/>
          <w:vertAlign w:val="baseline"/>
        </w:rPr>
        <w:t>3</w:t>
      </w:r>
      <w:r>
        <w:rPr>
          <w:vertAlign w:val="baseline"/>
        </w:rPr>
        <w:t>、</w:t>
      </w:r>
      <w:r>
        <w:rPr>
          <w:rFonts w:ascii="Times New Roman" w:eastAsia="Times New Roman"/>
          <w:vertAlign w:val="baseline"/>
        </w:rPr>
        <w:t>22.65mg/m</w:t>
      </w:r>
      <w:r>
        <w:rPr>
          <w:rFonts w:ascii="Times New Roman" w:eastAsia="Times New Roman"/>
          <w:position w:val="8"/>
          <w:sz w:val="15"/>
          <w:vertAlign w:val="baseline"/>
        </w:rPr>
        <w:t>3</w:t>
      </w:r>
      <w:r>
        <w:rPr>
          <w:spacing w:val="4"/>
          <w:vertAlign w:val="baseline"/>
        </w:rPr>
        <w:t>、</w:t>
      </w:r>
      <w:r>
        <w:rPr>
          <w:rFonts w:ascii="Times New Roman" w:eastAsia="Times New Roman"/>
          <w:vertAlign w:val="baseline"/>
        </w:rPr>
        <w:t>200mg/m</w:t>
      </w:r>
      <w:r>
        <w:rPr>
          <w:rFonts w:ascii="Times New Roman" w:eastAsia="Times New Roman"/>
          <w:position w:val="8"/>
          <w:sz w:val="15"/>
          <w:vertAlign w:val="baseline"/>
        </w:rPr>
        <w:t>3</w:t>
      </w:r>
      <w:r>
        <w:rPr>
          <w:vertAlign w:val="baseline"/>
        </w:rPr>
        <w:t>，污染物排放浓度满</w:t>
      </w:r>
      <w:r>
        <w:rPr>
          <w:spacing w:val="16"/>
          <w:vertAlign w:val="baseline"/>
        </w:rPr>
        <w:t>足《工业炉窑大气污染物排放标准》</w:t>
      </w:r>
      <w:r>
        <w:rPr>
          <w:spacing w:val="3"/>
          <w:vertAlign w:val="baseline"/>
        </w:rPr>
        <w:t>（</w:t>
      </w:r>
      <w:r>
        <w:rPr>
          <w:rFonts w:ascii="Times New Roman" w:eastAsia="Times New Roman"/>
          <w:spacing w:val="3"/>
          <w:vertAlign w:val="baseline"/>
        </w:rPr>
        <w:t>GB9078-1996</w:t>
      </w:r>
      <w:r>
        <w:rPr>
          <w:spacing w:val="3"/>
          <w:vertAlign w:val="baseline"/>
        </w:rPr>
        <w:t>）</w:t>
      </w:r>
      <w:r>
        <w:rPr>
          <w:spacing w:val="-9"/>
          <w:vertAlign w:val="baseline"/>
        </w:rPr>
        <w:t xml:space="preserve">中表 </w:t>
      </w:r>
      <w:r>
        <w:rPr>
          <w:rFonts w:ascii="Times New Roman" w:eastAsia="Times New Roman"/>
          <w:vertAlign w:val="baseline"/>
        </w:rPr>
        <w:t xml:space="preserve">2 </w:t>
      </w:r>
      <w:r>
        <w:rPr>
          <w:spacing w:val="-9"/>
          <w:vertAlign w:val="baseline"/>
        </w:rPr>
        <w:t xml:space="preserve">及表 </w:t>
      </w:r>
      <w:r>
        <w:rPr>
          <w:rFonts w:ascii="Times New Roman" w:eastAsia="Times New Roman"/>
          <w:vertAlign w:val="baseline"/>
        </w:rPr>
        <w:t xml:space="preserve">4 </w:t>
      </w:r>
      <w:r>
        <w:rPr>
          <w:spacing w:val="10"/>
          <w:vertAlign w:val="baseline"/>
        </w:rPr>
        <w:t>中烟尘</w:t>
      </w:r>
      <w:r>
        <w:rPr>
          <w:rFonts w:ascii="Times New Roman" w:eastAsia="Times New Roman"/>
          <w:spacing w:val="10"/>
          <w:position w:val="2"/>
          <w:vertAlign w:val="baseline"/>
        </w:rPr>
        <w:t>200mg/m</w:t>
      </w:r>
      <w:r>
        <w:rPr>
          <w:rFonts w:ascii="Times New Roman" w:eastAsia="Times New Roman"/>
          <w:spacing w:val="10"/>
          <w:position w:val="2"/>
          <w:vertAlign w:val="superscript"/>
        </w:rPr>
        <w:t>3</w:t>
      </w:r>
      <w:r>
        <w:rPr>
          <w:spacing w:val="10"/>
          <w:position w:val="2"/>
          <w:vertAlign w:val="baseline"/>
        </w:rPr>
        <w:t>、</w:t>
      </w:r>
      <w:r>
        <w:rPr>
          <w:rFonts w:ascii="Times New Roman" w:eastAsia="Times New Roman"/>
          <w:spacing w:val="10"/>
          <w:position w:val="2"/>
          <w:vertAlign w:val="baseline"/>
        </w:rPr>
        <w:t>SO</w:t>
      </w:r>
      <w:r>
        <w:rPr>
          <w:rFonts w:ascii="Times New Roman" w:eastAsia="Times New Roman"/>
          <w:spacing w:val="10"/>
          <w:position w:val="2"/>
          <w:vertAlign w:val="subscript"/>
        </w:rPr>
        <w:t>2</w:t>
      </w:r>
      <w:r>
        <w:rPr>
          <w:rFonts w:ascii="Times New Roman" w:eastAsia="Times New Roman"/>
          <w:spacing w:val="10"/>
          <w:position w:val="2"/>
          <w:vertAlign w:val="baseline"/>
        </w:rPr>
        <w:t>850mg/m</w:t>
      </w:r>
      <w:r>
        <w:rPr>
          <w:rFonts w:ascii="Times New Roman" w:eastAsia="Times New Roman"/>
          <w:spacing w:val="10"/>
          <w:position w:val="2"/>
          <w:vertAlign w:val="superscript"/>
        </w:rPr>
        <w:t>3</w:t>
      </w:r>
      <w:r>
        <w:rPr>
          <w:rFonts w:ascii="Times New Roman" w:eastAsia="Times New Roman"/>
          <w:spacing w:val="10"/>
          <w:position w:val="2"/>
          <w:vertAlign w:val="baseline"/>
        </w:rPr>
        <w:t xml:space="preserve"> </w:t>
      </w:r>
      <w:r>
        <w:rPr>
          <w:position w:val="2"/>
          <w:vertAlign w:val="baseline"/>
        </w:rPr>
        <w:t>的标准限值要求。</w:t>
      </w:r>
    </w:p>
    <w:p>
      <w:pPr>
        <w:pStyle w:val="6"/>
        <w:spacing w:before="5"/>
        <w:ind w:left="1520"/>
      </w:pPr>
      <w:r>
        <w:t>②粉尘</w:t>
      </w:r>
    </w:p>
    <w:p>
      <w:pPr>
        <w:spacing w:after="0"/>
        <w:sectPr>
          <w:pgSz w:w="11910" w:h="16840"/>
          <w:pgMar w:top="1080" w:right="720" w:bottom="1160" w:left="760" w:header="0" w:footer="97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34" name="组合 79"/>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33" name="直线 80"/>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79"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aCLtQAAAADAQAADwAAAAAAAAABACAAAAAiAAAAZHJzL2Rvd25yZXYueG1s&#10;UEsBAhQAFAAAAAgAh07iQKN9JI01AgAAtgQAAA4AAAAAAAAAAQAgAAAAIwEAAGRycy9lMm9Eb2Mu&#10;eG1sUEsFBgAAAAAGAAYAWQEAAMoFAAAAAA==&#10;">
                <o:lock v:ext="edit" aspectratio="f"/>
                <v:line id="直线 80" o:spid="_x0000_s1026" o:spt="20" style="position:absolute;left:0;top:7;height:0;width:8306;" filled="f" stroked="t" coordsize="21600,21600" o:gfxdata="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nEPYr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6"/>
        <w:rPr>
          <w:sz w:val="20"/>
        </w:rPr>
      </w:pPr>
    </w:p>
    <w:p>
      <w:pPr>
        <w:pStyle w:val="6"/>
        <w:spacing w:before="66" w:line="364" w:lineRule="auto"/>
        <w:ind w:left="1040" w:right="1077" w:firstLine="480"/>
      </w:pPr>
      <w:r>
        <w:rPr>
          <w:spacing w:val="-8"/>
        </w:rPr>
        <w:t>从地面工艺流程来看，粉尘主要来源于输送、卸料及筛分环节。煤仓全封闭</w:t>
      </w:r>
      <w:r>
        <w:t>且输送采用全封闭式输送栈桥，煤尘很少。</w:t>
      </w:r>
    </w:p>
    <w:p>
      <w:pPr>
        <w:pStyle w:val="6"/>
        <w:spacing w:before="78" w:line="364" w:lineRule="auto"/>
        <w:ind w:left="1040" w:right="1077" w:firstLine="480"/>
        <w:jc w:val="both"/>
      </w:pPr>
      <w:r>
        <w:rPr>
          <w:spacing w:val="3"/>
        </w:rPr>
        <w:t>本项目原煤筛分车间粉尘产生浓度根据《工业污染源产排污系数手册</w:t>
      </w:r>
      <w:r>
        <w:rPr>
          <w:spacing w:val="4"/>
        </w:rPr>
        <w:t>（</w:t>
      </w:r>
      <w:r>
        <w:t>修订</w:t>
      </w:r>
      <w:r>
        <w:rPr>
          <w:spacing w:val="-27"/>
        </w:rPr>
        <w:t>）</w:t>
      </w:r>
      <w:r>
        <w:rPr>
          <w:spacing w:val="-12"/>
        </w:rPr>
        <w:t xml:space="preserve">》，煤炭筛分扬尘产生系数为 </w:t>
      </w:r>
      <w:r>
        <w:rPr>
          <w:rFonts w:ascii="Times New Roman" w:eastAsia="Times New Roman"/>
          <w:spacing w:val="-4"/>
        </w:rPr>
        <w:t>0.1kg/t</w:t>
      </w:r>
      <w:r>
        <w:rPr>
          <w:spacing w:val="-3"/>
        </w:rPr>
        <w:t>，本项目在筛分车间设置一套布袋除尘</w:t>
      </w:r>
      <w:r>
        <w:rPr>
          <w:spacing w:val="-11"/>
        </w:rPr>
        <w:t xml:space="preserve">器，经布袋除尘器收处理后由排气筒排放，除尘器除尘效率 </w:t>
      </w:r>
      <w:r>
        <w:rPr>
          <w:rFonts w:ascii="Times New Roman" w:eastAsia="Times New Roman"/>
          <w:spacing w:val="-10"/>
        </w:rPr>
        <w:t>99%</w:t>
      </w:r>
      <w:r>
        <w:rPr>
          <w:spacing w:val="-5"/>
        </w:rPr>
        <w:t>，经计算则排放</w:t>
      </w:r>
      <w:r>
        <w:rPr>
          <w:spacing w:val="-21"/>
        </w:rPr>
        <w:t xml:space="preserve">量为 </w:t>
      </w:r>
      <w:r>
        <w:rPr>
          <w:rFonts w:ascii="Times New Roman" w:eastAsia="Times New Roman"/>
        </w:rPr>
        <w:t>0.051kg/h</w:t>
      </w:r>
      <w:r>
        <w:t>。</w:t>
      </w:r>
    </w:p>
    <w:p>
      <w:pPr>
        <w:pStyle w:val="6"/>
        <w:spacing w:line="231" w:lineRule="exact"/>
        <w:ind w:left="1520"/>
      </w:pPr>
      <w:r>
        <w:t>③瓦斯排放</w:t>
      </w:r>
    </w:p>
    <w:p>
      <w:pPr>
        <w:pStyle w:val="6"/>
        <w:spacing w:before="161" w:line="364" w:lineRule="auto"/>
        <w:ind w:left="1040" w:right="1072" w:firstLine="480"/>
        <w:jc w:val="both"/>
      </w:pPr>
      <w:r>
        <w:rPr>
          <w:spacing w:val="-1"/>
        </w:rPr>
        <w:t>依据双鸭山市煤炭生产安全管理局文件</w:t>
      </w:r>
      <w:r>
        <w:t>（</w:t>
      </w:r>
      <w:r>
        <w:rPr>
          <w:spacing w:val="-3"/>
        </w:rPr>
        <w:t>双煤呈〔</w:t>
      </w:r>
      <w:r>
        <w:rPr>
          <w:rFonts w:ascii="Times New Roman" w:eastAsia="Times New Roman"/>
        </w:rPr>
        <w:t>2016</w:t>
      </w:r>
      <w:r>
        <w:rPr>
          <w:spacing w:val="-5"/>
        </w:rPr>
        <w:t>〕</w:t>
      </w:r>
      <w:r>
        <w:rPr>
          <w:rFonts w:ascii="Times New Roman" w:eastAsia="Times New Roman"/>
          <w:spacing w:val="-3"/>
        </w:rPr>
        <w:t xml:space="preserve">117 </w:t>
      </w:r>
      <w:r>
        <w:t>号</w:t>
      </w:r>
      <w:r>
        <w:rPr>
          <w:spacing w:val="-5"/>
        </w:rPr>
        <w:t>）</w:t>
      </w:r>
      <w:r>
        <w:rPr>
          <w:spacing w:val="-3"/>
        </w:rPr>
        <w:t>双鸭山市</w:t>
      </w:r>
      <w:r>
        <w:rPr>
          <w:spacing w:val="-4"/>
        </w:rPr>
        <w:t xml:space="preserve">煤炭生产安全管理局关于呈报 </w:t>
      </w:r>
      <w:r>
        <w:rPr>
          <w:rFonts w:ascii="Times New Roman" w:eastAsia="Times New Roman"/>
        </w:rPr>
        <w:t xml:space="preserve">2016 </w:t>
      </w:r>
      <w:r>
        <w:t>年度第二批矿井瓦斯等级和二氧化碳结果的</w:t>
      </w:r>
      <w:r>
        <w:rPr>
          <w:spacing w:val="-3"/>
        </w:rPr>
        <w:t xml:space="preserve">报告。大顺煤矿矿井绝对瓦斯涌出量 </w:t>
      </w:r>
      <w:r>
        <w:rPr>
          <w:rFonts w:ascii="Times New Roman" w:eastAsia="Times New Roman"/>
        </w:rPr>
        <w:t>0.150m</w:t>
      </w:r>
      <w:r>
        <w:rPr>
          <w:rFonts w:ascii="Times New Roman" w:eastAsia="Times New Roman"/>
          <w:position w:val="8"/>
          <w:sz w:val="15"/>
        </w:rPr>
        <w:t>3</w:t>
      </w:r>
      <w:r>
        <w:rPr>
          <w:rFonts w:ascii="Times New Roman" w:eastAsia="Times New Roman"/>
        </w:rPr>
        <w:t>/min</w:t>
      </w:r>
      <w:r>
        <w:rPr>
          <w:spacing w:val="-6"/>
        </w:rPr>
        <w:t xml:space="preserve">，相对瓦斯涌出量 </w:t>
      </w:r>
      <w:r>
        <w:rPr>
          <w:rFonts w:ascii="Times New Roman" w:eastAsia="Times New Roman"/>
          <w:spacing w:val="-3"/>
        </w:rPr>
        <w:t>5.891m</w:t>
      </w:r>
      <w:r>
        <w:rPr>
          <w:rFonts w:ascii="Times New Roman" w:eastAsia="Times New Roman"/>
          <w:spacing w:val="-3"/>
          <w:position w:val="8"/>
          <w:sz w:val="15"/>
        </w:rPr>
        <w:t>3</w:t>
      </w:r>
      <w:r>
        <w:rPr>
          <w:rFonts w:ascii="Times New Roman" w:eastAsia="Times New Roman"/>
          <w:spacing w:val="-3"/>
        </w:rPr>
        <w:t>/t</w:t>
      </w:r>
      <w:r>
        <w:rPr>
          <w:spacing w:val="-3"/>
        </w:rPr>
        <w:t xml:space="preserve">， </w:t>
      </w:r>
      <w:r>
        <w:t>鉴定为低瓦斯矿井。</w:t>
      </w:r>
    </w:p>
    <w:p>
      <w:pPr>
        <w:pStyle w:val="6"/>
        <w:spacing w:before="142" w:line="374" w:lineRule="auto"/>
        <w:ind w:left="1040" w:right="957" w:firstLine="480"/>
      </w:pPr>
      <w:r>
        <w:rPr>
          <w:spacing w:val="-3"/>
        </w:rPr>
        <w:t xml:space="preserve">本矿井属于低瓦斯矿井，绝对瓦斯涌出量 </w:t>
      </w:r>
      <w:r>
        <w:rPr>
          <w:rFonts w:ascii="Times New Roman" w:eastAsia="Times New Roman"/>
        </w:rPr>
        <w:t>0.150m</w:t>
      </w:r>
      <w:r>
        <w:rPr>
          <w:rFonts w:ascii="Times New Roman" w:eastAsia="Times New Roman"/>
          <w:position w:val="8"/>
          <w:sz w:val="15"/>
        </w:rPr>
        <w:t>3</w:t>
      </w:r>
      <w:r>
        <w:rPr>
          <w:rFonts w:ascii="Times New Roman" w:eastAsia="Times New Roman"/>
        </w:rPr>
        <w:t>/min</w:t>
      </w:r>
      <w:r>
        <w:t>，不需建立地面永久</w:t>
      </w:r>
      <w:r>
        <w:rPr>
          <w:spacing w:val="-12"/>
        </w:rPr>
        <w:t xml:space="preserve">抽放瓦斯系统或井下移动泵站抽放系统，本矿井采用煤矿回风井，通过风排瓦斯， </w:t>
      </w:r>
      <w:r>
        <w:t>能够满足《煤层气（煤矿瓦斯）排放标准（暂行）》（</w:t>
      </w:r>
      <w:r>
        <w:rPr>
          <w:rFonts w:ascii="Times New Roman" w:eastAsia="Times New Roman"/>
        </w:rPr>
        <w:t>GB21522-2008</w:t>
      </w:r>
      <w:r>
        <w:t>）要求。</w:t>
      </w:r>
    </w:p>
    <w:p>
      <w:pPr>
        <w:pStyle w:val="6"/>
        <w:spacing w:line="244" w:lineRule="exact"/>
        <w:ind w:left="1520"/>
      </w:pPr>
      <w:r>
        <w:t>④临时矸石堆产生的扬尘</w:t>
      </w:r>
    </w:p>
    <w:p>
      <w:pPr>
        <w:pStyle w:val="6"/>
        <w:spacing w:before="160" w:line="364" w:lineRule="auto"/>
        <w:ind w:left="1040" w:right="1077" w:firstLine="480"/>
        <w:jc w:val="both"/>
      </w:pPr>
      <w:r>
        <w:rPr>
          <w:spacing w:val="-4"/>
        </w:rPr>
        <w:t>临时矸石堆主要承担初步筛分栈桥产生的矸石和矿井井巷工程废弃矸石。在</w:t>
      </w:r>
      <w:r>
        <w:rPr>
          <w:spacing w:val="-7"/>
        </w:rPr>
        <w:t>矸石堆存期间将会产生装卸、运输引起的扬尘以及堆积存放期间风蚀扬尘，统称</w:t>
      </w:r>
      <w:r>
        <w:rPr>
          <w:spacing w:val="-8"/>
        </w:rPr>
        <w:t>临时矸石堆产生的扬尘，其扬尘产生量采用</w:t>
      </w:r>
      <w:r>
        <w:fldChar w:fldCharType="begin"/>
      </w:r>
      <w:r>
        <w:instrText xml:space="preserve"> HYPERLINK "http://www.mee.gov.cn/gkml/hbb/bgg/201501/W020150107594588131490.pdf" \h </w:instrText>
      </w:r>
      <w:r>
        <w:fldChar w:fldCharType="separate"/>
      </w:r>
      <w:r>
        <w:rPr>
          <w:spacing w:val="-2"/>
        </w:rPr>
        <w:t>《扬尘源颗粒物排放清单编制技术指</w:t>
      </w:r>
      <w:r>
        <w:rPr>
          <w:spacing w:val="-2"/>
        </w:rPr>
        <w:fldChar w:fldCharType="end"/>
      </w:r>
      <w:r>
        <w:t>南（试行）》中堆场扬尘排放量计算方法计算。计算公式如下：</w:t>
      </w:r>
    </w:p>
    <w:p>
      <w:pPr>
        <w:pStyle w:val="6"/>
        <w:spacing w:before="3"/>
        <w:rPr>
          <w:sz w:val="26"/>
        </w:rPr>
      </w:pPr>
      <w:r>
        <w:drawing>
          <wp:anchor distT="0" distB="0" distL="0" distR="0" simplePos="0" relativeHeight="1024" behindDoc="0" locked="0" layoutInCell="1" allowOverlap="1">
            <wp:simplePos x="0" y="0"/>
            <wp:positionH relativeFrom="page">
              <wp:posOffset>1630045</wp:posOffset>
            </wp:positionH>
            <wp:positionV relativeFrom="paragraph">
              <wp:posOffset>238125</wp:posOffset>
            </wp:positionV>
            <wp:extent cx="4301490" cy="51816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43" cstate="print"/>
                    <a:stretch>
                      <a:fillRect/>
                    </a:stretch>
                  </pic:blipFill>
                  <pic:spPr>
                    <a:xfrm>
                      <a:off x="0" y="0"/>
                      <a:ext cx="4301183" cy="518160"/>
                    </a:xfrm>
                    <a:prstGeom prst="rect">
                      <a:avLst/>
                    </a:prstGeom>
                  </pic:spPr>
                </pic:pic>
              </a:graphicData>
            </a:graphic>
          </wp:anchor>
        </w:drawing>
      </w:r>
    </w:p>
    <w:p>
      <w:pPr>
        <w:pStyle w:val="6"/>
        <w:spacing w:before="6"/>
        <w:rPr>
          <w:sz w:val="21"/>
        </w:rPr>
      </w:pPr>
    </w:p>
    <w:p>
      <w:pPr>
        <w:pStyle w:val="6"/>
        <w:spacing w:before="67"/>
        <w:ind w:left="1520"/>
      </w:pPr>
      <w:r>
        <w:t>式中：</w:t>
      </w:r>
    </w:p>
    <w:p>
      <w:pPr>
        <w:pStyle w:val="6"/>
        <w:spacing w:before="157"/>
        <w:ind w:left="1520"/>
      </w:pPr>
      <w:r>
        <w:rPr>
          <w:rFonts w:ascii="Times New Roman" w:eastAsia="Times New Roman"/>
          <w:position w:val="2"/>
        </w:rPr>
        <w:t>W</w:t>
      </w:r>
      <w:r>
        <w:rPr>
          <w:rFonts w:ascii="Times New Roman" w:eastAsia="Times New Roman"/>
          <w:position w:val="2"/>
          <w:vertAlign w:val="subscript"/>
        </w:rPr>
        <w:t>Y</w:t>
      </w:r>
      <w:r>
        <w:rPr>
          <w:rFonts w:ascii="Times New Roman" w:eastAsia="Times New Roman"/>
          <w:position w:val="2"/>
          <w:vertAlign w:val="baseline"/>
        </w:rPr>
        <w:t xml:space="preserve"> </w:t>
      </w:r>
      <w:r>
        <w:rPr>
          <w:position w:val="2"/>
          <w:vertAlign w:val="baseline"/>
        </w:rPr>
        <w:t>为堆场扬尘源中颗粒物总排放量，</w:t>
      </w:r>
      <w:r>
        <w:rPr>
          <w:rFonts w:ascii="Times New Roman" w:eastAsia="Times New Roman"/>
          <w:position w:val="2"/>
          <w:vertAlign w:val="baseline"/>
        </w:rPr>
        <w:t>t/a</w:t>
      </w:r>
      <w:r>
        <w:rPr>
          <w:position w:val="2"/>
          <w:vertAlign w:val="baseline"/>
        </w:rPr>
        <w:t>；</w:t>
      </w:r>
    </w:p>
    <w:p>
      <w:pPr>
        <w:pStyle w:val="6"/>
        <w:spacing w:before="156"/>
        <w:ind w:left="1520"/>
      </w:pPr>
      <w:r>
        <w:rPr>
          <w:rFonts w:ascii="Times New Roman" w:eastAsia="Times New Roman"/>
          <w:position w:val="2"/>
        </w:rPr>
        <w:t>E</w:t>
      </w:r>
      <w:r>
        <w:rPr>
          <w:rFonts w:ascii="Times New Roman" w:eastAsia="Times New Roman"/>
          <w:position w:val="2"/>
          <w:vertAlign w:val="subscript"/>
        </w:rPr>
        <w:t>h</w:t>
      </w:r>
      <w:r>
        <w:rPr>
          <w:rFonts w:ascii="Times New Roman" w:eastAsia="Times New Roman"/>
          <w:position w:val="2"/>
          <w:vertAlign w:val="baseline"/>
        </w:rPr>
        <w:t xml:space="preserve"> </w:t>
      </w:r>
      <w:r>
        <w:rPr>
          <w:position w:val="2"/>
          <w:vertAlign w:val="baseline"/>
        </w:rPr>
        <w:t>为堆场装卸运输过程的扬尘颗粒物排放系数，</w:t>
      </w:r>
      <w:r>
        <w:rPr>
          <w:rFonts w:ascii="Times New Roman" w:eastAsia="Times New Roman"/>
          <w:position w:val="2"/>
          <w:vertAlign w:val="baseline"/>
        </w:rPr>
        <w:t>kg/t</w:t>
      </w:r>
      <w:r>
        <w:rPr>
          <w:position w:val="2"/>
          <w:vertAlign w:val="baseline"/>
        </w:rPr>
        <w:t>；</w:t>
      </w:r>
    </w:p>
    <w:p>
      <w:pPr>
        <w:pStyle w:val="6"/>
        <w:spacing w:before="160"/>
        <w:ind w:left="1520"/>
      </w:pPr>
      <w:r>
        <w:rPr>
          <w:rFonts w:ascii="Times New Roman" w:eastAsia="Times New Roman"/>
        </w:rPr>
        <w:t xml:space="preserve">m </w:t>
      </w:r>
      <w:r>
        <w:t xml:space="preserve">为每年料堆物料装卸总次数，本次评价取 </w:t>
      </w:r>
      <w:r>
        <w:rPr>
          <w:rFonts w:ascii="Times New Roman" w:eastAsia="Times New Roman"/>
        </w:rPr>
        <w:t xml:space="preserve">30000 </w:t>
      </w:r>
      <w:r>
        <w:t>次；</w:t>
      </w:r>
    </w:p>
    <w:p>
      <w:pPr>
        <w:pStyle w:val="6"/>
        <w:spacing w:before="157" w:line="362" w:lineRule="auto"/>
        <w:ind w:left="1520" w:right="999"/>
      </w:pPr>
      <w:r>
        <w:rPr>
          <w:rFonts w:ascii="Times New Roman" w:eastAsia="Times New Roman"/>
          <w:spacing w:val="-4"/>
          <w:position w:val="2"/>
        </w:rPr>
        <w:t>G</w:t>
      </w:r>
      <w:r>
        <w:rPr>
          <w:rFonts w:ascii="Times New Roman" w:eastAsia="Times New Roman"/>
          <w:spacing w:val="-4"/>
          <w:position w:val="2"/>
          <w:vertAlign w:val="subscript"/>
        </w:rPr>
        <w:t>Yi</w:t>
      </w:r>
      <w:r>
        <w:rPr>
          <w:rFonts w:ascii="Times New Roman" w:eastAsia="Times New Roman"/>
          <w:spacing w:val="-4"/>
          <w:position w:val="2"/>
          <w:vertAlign w:val="baseline"/>
        </w:rPr>
        <w:t xml:space="preserve"> </w:t>
      </w:r>
      <w:r>
        <w:rPr>
          <w:spacing w:val="-20"/>
          <w:position w:val="2"/>
          <w:vertAlign w:val="baseline"/>
        </w:rPr>
        <w:t xml:space="preserve">为第 </w:t>
      </w:r>
      <w:r>
        <w:rPr>
          <w:rFonts w:ascii="Times New Roman" w:eastAsia="Times New Roman"/>
          <w:position w:val="2"/>
          <w:vertAlign w:val="baseline"/>
        </w:rPr>
        <w:t xml:space="preserve">i </w:t>
      </w:r>
      <w:r>
        <w:rPr>
          <w:spacing w:val="-3"/>
          <w:position w:val="2"/>
          <w:vertAlign w:val="baseline"/>
        </w:rPr>
        <w:t xml:space="preserve">次装卸过程的物料装卸量，本次评价取单个井下矿车载重量 </w:t>
      </w:r>
      <w:r>
        <w:rPr>
          <w:rFonts w:ascii="Times New Roman" w:eastAsia="Times New Roman"/>
          <w:spacing w:val="-7"/>
          <w:position w:val="2"/>
          <w:vertAlign w:val="baseline"/>
        </w:rPr>
        <w:t>1t</w:t>
      </w:r>
      <w:r>
        <w:rPr>
          <w:spacing w:val="-7"/>
          <w:position w:val="2"/>
          <w:vertAlign w:val="baseline"/>
        </w:rPr>
        <w:t xml:space="preserve">； </w:t>
      </w:r>
      <w:r>
        <w:rPr>
          <w:rFonts w:ascii="Times New Roman" w:eastAsia="Times New Roman"/>
          <w:position w:val="2"/>
          <w:vertAlign w:val="baseline"/>
        </w:rPr>
        <w:t>E</w:t>
      </w:r>
      <w:r>
        <w:rPr>
          <w:rFonts w:ascii="Times New Roman" w:eastAsia="Times New Roman"/>
          <w:position w:val="2"/>
          <w:vertAlign w:val="subscript"/>
        </w:rPr>
        <w:t>w</w:t>
      </w:r>
      <w:r>
        <w:rPr>
          <w:rFonts w:ascii="Times New Roman" w:eastAsia="Times New Roman"/>
          <w:position w:val="2"/>
          <w:vertAlign w:val="baseline"/>
        </w:rPr>
        <w:t xml:space="preserve"> </w:t>
      </w:r>
      <w:r>
        <w:rPr>
          <w:position w:val="2"/>
          <w:vertAlign w:val="baseline"/>
        </w:rPr>
        <w:t>为料堆受到风蚀作用的颗粒物排放系数，</w:t>
      </w:r>
      <w:r>
        <w:rPr>
          <w:rFonts w:ascii="Times New Roman" w:eastAsia="Times New Roman"/>
          <w:position w:val="2"/>
          <w:vertAlign w:val="baseline"/>
        </w:rPr>
        <w:t>kg/m</w:t>
      </w:r>
      <w:r>
        <w:rPr>
          <w:rFonts w:ascii="Times New Roman" w:eastAsia="Times New Roman"/>
          <w:position w:val="2"/>
          <w:vertAlign w:val="superscript"/>
        </w:rPr>
        <w:t>2</w:t>
      </w:r>
      <w:r>
        <w:rPr>
          <w:position w:val="2"/>
          <w:vertAlign w:val="baseline"/>
        </w:rPr>
        <w:t>；</w:t>
      </w:r>
    </w:p>
    <w:p>
      <w:pPr>
        <w:pStyle w:val="6"/>
        <w:spacing w:line="310" w:lineRule="exact"/>
        <w:ind w:left="1520"/>
      </w:pPr>
      <w:r>
        <w:rPr>
          <w:rFonts w:ascii="Times New Roman" w:eastAsia="Times New Roman"/>
          <w:position w:val="2"/>
        </w:rPr>
        <w:t>A</w:t>
      </w:r>
      <w:r>
        <w:rPr>
          <w:rFonts w:ascii="Times New Roman" w:eastAsia="Times New Roman"/>
          <w:position w:val="2"/>
          <w:vertAlign w:val="subscript"/>
        </w:rPr>
        <w:t>Y</w:t>
      </w:r>
      <w:r>
        <w:rPr>
          <w:rFonts w:ascii="Times New Roman" w:eastAsia="Times New Roman"/>
          <w:position w:val="2"/>
          <w:vertAlign w:val="baseline"/>
        </w:rPr>
        <w:t xml:space="preserve"> </w:t>
      </w:r>
      <w:r>
        <w:rPr>
          <w:position w:val="2"/>
          <w:vertAlign w:val="baseline"/>
        </w:rPr>
        <w:t xml:space="preserve">为料堆表面积，本次评价取 </w:t>
      </w:r>
      <w:r>
        <w:rPr>
          <w:rFonts w:ascii="Times New Roman" w:eastAsia="Times New Roman"/>
          <w:position w:val="2"/>
          <w:vertAlign w:val="baseline"/>
        </w:rPr>
        <w:t>8570m</w:t>
      </w:r>
      <w:r>
        <w:rPr>
          <w:rFonts w:ascii="Times New Roman" w:eastAsia="Times New Roman"/>
          <w:position w:val="2"/>
          <w:vertAlign w:val="superscript"/>
        </w:rPr>
        <w:t>2</w:t>
      </w:r>
      <w:r>
        <w:rPr>
          <w:position w:val="2"/>
          <w:vertAlign w:val="baseline"/>
        </w:rPr>
        <w:t>；</w:t>
      </w:r>
    </w:p>
    <w:p>
      <w:pPr>
        <w:spacing w:after="0" w:line="310" w:lineRule="exact"/>
        <w:sectPr>
          <w:pgSz w:w="11910" w:h="16840"/>
          <w:pgMar w:top="1080" w:right="720" w:bottom="1160" w:left="760" w:header="0" w:footer="97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36" name="组合 81"/>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35" name="直线 82"/>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81"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aCLtQAAAADAQAADwAAAAAAAAABACAAAAAiAAAAZHJzL2Rvd25yZXYueG1s&#10;UEsBAhQAFAAAAAgAh07iQOAjNHU1AgAAtgQAAA4AAAAAAAAAAQAgAAAAIwEAAGRycy9lMm9Eb2Mu&#10;eG1sUEsFBgAAAAAGAAYAWQEAAMoFAAAAAA==&#10;">
                <o:lock v:ext="edit" aspectratio="f"/>
                <v:line id="直线 82" o:spid="_x0000_s1026" o:spt="20" style="position:absolute;left:0;top:7;height:0;width:8306;" filled="f" stroked="t" coordsize="21600,21600" o:gfxdata="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tQyjb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6"/>
        <w:spacing w:before="8"/>
        <w:rPr>
          <w:sz w:val="25"/>
        </w:rPr>
      </w:pPr>
    </w:p>
    <w:p>
      <w:pPr>
        <w:pStyle w:val="6"/>
        <w:spacing w:before="70"/>
        <w:ind w:left="1520"/>
      </w:pPr>
      <w:r>
        <w:rPr>
          <w:position w:val="2"/>
        </w:rPr>
        <w:t xml:space="preserve">装卸、运输物料过程扬尘排放系数 </w:t>
      </w:r>
      <w:r>
        <w:rPr>
          <w:rFonts w:ascii="Times New Roman" w:eastAsia="Times New Roman"/>
          <w:position w:val="2"/>
        </w:rPr>
        <w:t>E</w:t>
      </w:r>
      <w:r>
        <w:rPr>
          <w:rFonts w:ascii="Times New Roman" w:eastAsia="Times New Roman"/>
          <w:position w:val="2"/>
          <w:vertAlign w:val="subscript"/>
        </w:rPr>
        <w:t>h</w:t>
      </w:r>
      <w:r>
        <w:rPr>
          <w:rFonts w:ascii="Times New Roman" w:eastAsia="Times New Roman"/>
          <w:position w:val="2"/>
          <w:vertAlign w:val="baseline"/>
        </w:rPr>
        <w:t xml:space="preserve"> </w:t>
      </w:r>
      <w:r>
        <w:rPr>
          <w:position w:val="2"/>
          <w:vertAlign w:val="baseline"/>
        </w:rPr>
        <w:t>的计算方法</w:t>
      </w:r>
    </w:p>
    <w:p>
      <w:pPr>
        <w:pStyle w:val="6"/>
        <w:rPr>
          <w:sz w:val="20"/>
        </w:rPr>
      </w:pPr>
    </w:p>
    <w:p>
      <w:pPr>
        <w:pStyle w:val="6"/>
        <w:spacing w:before="2"/>
        <w:rPr>
          <w:sz w:val="17"/>
        </w:rPr>
      </w:pPr>
      <w:r>
        <w:drawing>
          <wp:anchor distT="0" distB="0" distL="0" distR="0" simplePos="0" relativeHeight="1024" behindDoc="0" locked="0" layoutInCell="1" allowOverlap="1">
            <wp:simplePos x="0" y="0"/>
            <wp:positionH relativeFrom="page">
              <wp:posOffset>2154555</wp:posOffset>
            </wp:positionH>
            <wp:positionV relativeFrom="paragraph">
              <wp:posOffset>164465</wp:posOffset>
            </wp:positionV>
            <wp:extent cx="3267710" cy="1040130"/>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44" cstate="print"/>
                    <a:stretch>
                      <a:fillRect/>
                    </a:stretch>
                  </pic:blipFill>
                  <pic:spPr>
                    <a:xfrm>
                      <a:off x="0" y="0"/>
                      <a:ext cx="3267419" cy="1040129"/>
                    </a:xfrm>
                    <a:prstGeom prst="rect">
                      <a:avLst/>
                    </a:prstGeom>
                  </pic:spPr>
                </pic:pic>
              </a:graphicData>
            </a:graphic>
          </wp:anchor>
        </w:drawing>
      </w:r>
    </w:p>
    <w:p>
      <w:pPr>
        <w:pStyle w:val="6"/>
        <w:spacing w:before="10"/>
        <w:rPr>
          <w:sz w:val="6"/>
        </w:rPr>
      </w:pPr>
    </w:p>
    <w:p>
      <w:pPr>
        <w:pStyle w:val="6"/>
        <w:spacing w:before="71"/>
        <w:ind w:left="1520"/>
      </w:pPr>
      <w:r>
        <w:rPr>
          <w:rFonts w:ascii="Times New Roman" w:eastAsia="Times New Roman"/>
          <w:position w:val="2"/>
        </w:rPr>
        <w:t>E</w:t>
      </w:r>
      <w:r>
        <w:rPr>
          <w:rFonts w:ascii="Times New Roman" w:eastAsia="Times New Roman"/>
          <w:position w:val="2"/>
          <w:vertAlign w:val="subscript"/>
        </w:rPr>
        <w:t>h</w:t>
      </w:r>
      <w:r>
        <w:rPr>
          <w:rFonts w:ascii="Times New Roman" w:eastAsia="Times New Roman"/>
          <w:position w:val="2"/>
          <w:vertAlign w:val="baseline"/>
        </w:rPr>
        <w:t xml:space="preserve"> </w:t>
      </w:r>
      <w:r>
        <w:rPr>
          <w:position w:val="2"/>
          <w:vertAlign w:val="baseline"/>
        </w:rPr>
        <w:t>为堆场装卸扬尘的排放系数，</w:t>
      </w:r>
      <w:r>
        <w:rPr>
          <w:rFonts w:ascii="Times New Roman" w:eastAsia="Times New Roman"/>
          <w:position w:val="2"/>
          <w:vertAlign w:val="baseline"/>
        </w:rPr>
        <w:t>kg/t</w:t>
      </w:r>
      <w:r>
        <w:rPr>
          <w:position w:val="2"/>
          <w:vertAlign w:val="baseline"/>
        </w:rPr>
        <w:t>。</w:t>
      </w:r>
    </w:p>
    <w:p>
      <w:pPr>
        <w:pStyle w:val="6"/>
        <w:spacing w:before="156"/>
        <w:ind w:left="1520"/>
      </w:pPr>
      <w:r>
        <w:rPr>
          <w:rFonts w:ascii="Times New Roman" w:eastAsia="Times New Roman"/>
          <w:position w:val="2"/>
        </w:rPr>
        <w:t>k</w:t>
      </w:r>
      <w:r>
        <w:rPr>
          <w:rFonts w:ascii="Times New Roman" w:eastAsia="Times New Roman"/>
          <w:position w:val="2"/>
          <w:vertAlign w:val="subscript"/>
        </w:rPr>
        <w:t>i</w:t>
      </w:r>
      <w:r>
        <w:rPr>
          <w:rFonts w:ascii="Times New Roman" w:eastAsia="Times New Roman"/>
          <w:position w:val="2"/>
          <w:vertAlign w:val="baseline"/>
        </w:rPr>
        <w:t xml:space="preserve"> </w:t>
      </w:r>
      <w:r>
        <w:rPr>
          <w:position w:val="2"/>
          <w:vertAlign w:val="baseline"/>
        </w:rPr>
        <w:t xml:space="preserve">为物料的粒度乘数，本次评价取 </w:t>
      </w:r>
      <w:r>
        <w:rPr>
          <w:rFonts w:ascii="Times New Roman" w:eastAsia="Times New Roman"/>
          <w:position w:val="2"/>
          <w:vertAlign w:val="baseline"/>
        </w:rPr>
        <w:t>TSP0.74</w:t>
      </w:r>
      <w:r>
        <w:rPr>
          <w:position w:val="2"/>
          <w:vertAlign w:val="baseline"/>
        </w:rPr>
        <w:t>。</w:t>
      </w:r>
    </w:p>
    <w:p>
      <w:pPr>
        <w:pStyle w:val="6"/>
        <w:spacing w:before="159" w:line="364" w:lineRule="auto"/>
        <w:ind w:left="1520" w:right="2670"/>
      </w:pPr>
      <w:r>
        <w:rPr>
          <w:rFonts w:ascii="Times New Roman" w:eastAsia="Times New Roman"/>
        </w:rPr>
        <w:t xml:space="preserve">u </w:t>
      </w:r>
      <w:r>
        <w:t xml:space="preserve">为地面平均风速，本次评价取双鸭山市平均风速 </w:t>
      </w:r>
      <w:r>
        <w:rPr>
          <w:rFonts w:ascii="Times New Roman" w:eastAsia="Times New Roman"/>
        </w:rPr>
        <w:t>4.3m/s</w:t>
      </w:r>
      <w:r>
        <w:t>。</w:t>
      </w:r>
      <w:r>
        <w:rPr>
          <w:rFonts w:ascii="Times New Roman" w:eastAsia="Times New Roman"/>
        </w:rPr>
        <w:t xml:space="preserve">M </w:t>
      </w:r>
      <w:r>
        <w:t xml:space="preserve">为物料含水率，本次评价取 </w:t>
      </w:r>
      <w:r>
        <w:rPr>
          <w:rFonts w:ascii="Times New Roman" w:eastAsia="Times New Roman"/>
        </w:rPr>
        <w:t>6.9%</w:t>
      </w:r>
      <w:r>
        <w:t>。</w:t>
      </w:r>
    </w:p>
    <w:p>
      <w:pPr>
        <w:pStyle w:val="6"/>
        <w:spacing w:before="1" w:line="364" w:lineRule="auto"/>
        <w:ind w:left="1040" w:right="1077" w:firstLine="480"/>
      </w:pPr>
      <w:r>
        <w:rPr>
          <w:rFonts w:ascii="Times New Roman" w:hAnsi="Times New Roman" w:eastAsia="Times New Roman"/>
        </w:rPr>
        <w:t>η</w:t>
      </w:r>
      <w:r>
        <w:t>为污染控制技术对扬尘的去除效率，本次评价取输送点位连续洒水操作</w:t>
      </w:r>
      <w:r>
        <w:rPr>
          <w:rFonts w:ascii="Times New Roman" w:hAnsi="Times New Roman" w:eastAsia="Times New Roman"/>
        </w:rPr>
        <w:t>74%</w:t>
      </w:r>
      <w:r>
        <w:t>。</w:t>
      </w:r>
    </w:p>
    <w:p>
      <w:pPr>
        <w:pStyle w:val="6"/>
        <w:spacing w:before="2"/>
        <w:ind w:left="1520"/>
      </w:pPr>
      <w:r>
        <w:t>堆场风蚀扬尘排放系数的计算方法</w:t>
      </w:r>
    </w:p>
    <w:p>
      <w:pPr>
        <w:pStyle w:val="6"/>
        <w:spacing w:before="6"/>
        <w:rPr>
          <w:sz w:val="25"/>
        </w:rPr>
      </w:pPr>
      <w:r>
        <w:drawing>
          <wp:anchor distT="0" distB="0" distL="0" distR="0" simplePos="0" relativeHeight="1024" behindDoc="0" locked="0" layoutInCell="1" allowOverlap="1">
            <wp:simplePos x="0" y="0"/>
            <wp:positionH relativeFrom="page">
              <wp:posOffset>1381125</wp:posOffset>
            </wp:positionH>
            <wp:positionV relativeFrom="paragraph">
              <wp:posOffset>231775</wp:posOffset>
            </wp:positionV>
            <wp:extent cx="4678045" cy="1618615"/>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45" cstate="print"/>
                    <a:stretch>
                      <a:fillRect/>
                    </a:stretch>
                  </pic:blipFill>
                  <pic:spPr>
                    <a:xfrm>
                      <a:off x="0" y="0"/>
                      <a:ext cx="4677830" cy="1618488"/>
                    </a:xfrm>
                    <a:prstGeom prst="rect">
                      <a:avLst/>
                    </a:prstGeom>
                  </pic:spPr>
                </pic:pic>
              </a:graphicData>
            </a:graphic>
          </wp:anchor>
        </w:drawing>
      </w:r>
    </w:p>
    <w:p>
      <w:pPr>
        <w:pStyle w:val="6"/>
        <w:rPr>
          <w:sz w:val="26"/>
        </w:rPr>
      </w:pPr>
    </w:p>
    <w:p>
      <w:pPr>
        <w:pStyle w:val="6"/>
        <w:spacing w:before="1"/>
        <w:ind w:left="1520"/>
      </w:pPr>
      <w:r>
        <w:rPr>
          <w:rFonts w:ascii="Times New Roman" w:eastAsia="Times New Roman"/>
          <w:position w:val="2"/>
        </w:rPr>
        <w:t>E</w:t>
      </w:r>
      <w:r>
        <w:rPr>
          <w:rFonts w:ascii="Times New Roman" w:eastAsia="Times New Roman"/>
          <w:position w:val="2"/>
          <w:vertAlign w:val="subscript"/>
        </w:rPr>
        <w:t>w</w:t>
      </w:r>
      <w:r>
        <w:rPr>
          <w:rFonts w:ascii="Times New Roman" w:eastAsia="Times New Roman"/>
          <w:position w:val="2"/>
          <w:vertAlign w:val="baseline"/>
        </w:rPr>
        <w:t xml:space="preserve"> </w:t>
      </w:r>
      <w:r>
        <w:rPr>
          <w:position w:val="2"/>
          <w:vertAlign w:val="baseline"/>
        </w:rPr>
        <w:t>为堆场风蚀扬尘的排放系数，</w:t>
      </w:r>
      <w:r>
        <w:rPr>
          <w:rFonts w:ascii="Times New Roman" w:eastAsia="Times New Roman"/>
          <w:position w:val="2"/>
          <w:vertAlign w:val="baseline"/>
        </w:rPr>
        <w:t>kg/m</w:t>
      </w:r>
      <w:r>
        <w:rPr>
          <w:rFonts w:ascii="Times New Roman" w:eastAsia="Times New Roman"/>
          <w:position w:val="2"/>
          <w:vertAlign w:val="superscript"/>
        </w:rPr>
        <w:t>2</w:t>
      </w:r>
      <w:r>
        <w:rPr>
          <w:position w:val="2"/>
          <w:vertAlign w:val="baseline"/>
        </w:rPr>
        <w:t>。</w:t>
      </w:r>
    </w:p>
    <w:p>
      <w:pPr>
        <w:pStyle w:val="6"/>
        <w:spacing w:before="156"/>
        <w:ind w:left="1520"/>
      </w:pPr>
      <w:r>
        <w:rPr>
          <w:rFonts w:ascii="Times New Roman" w:eastAsia="Times New Roman"/>
          <w:position w:val="2"/>
        </w:rPr>
        <w:t>k</w:t>
      </w:r>
      <w:r>
        <w:rPr>
          <w:rFonts w:ascii="Times New Roman" w:eastAsia="Times New Roman"/>
          <w:position w:val="2"/>
          <w:vertAlign w:val="subscript"/>
        </w:rPr>
        <w:t>i</w:t>
      </w:r>
      <w:r>
        <w:rPr>
          <w:rFonts w:ascii="Times New Roman" w:eastAsia="Times New Roman"/>
          <w:position w:val="2"/>
          <w:vertAlign w:val="baseline"/>
        </w:rPr>
        <w:t xml:space="preserve"> </w:t>
      </w:r>
      <w:r>
        <w:rPr>
          <w:position w:val="2"/>
          <w:vertAlign w:val="baseline"/>
        </w:rPr>
        <w:t xml:space="preserve">为物料的粒度乘数，本次评价取 </w:t>
      </w:r>
      <w:r>
        <w:rPr>
          <w:rFonts w:ascii="Times New Roman" w:eastAsia="Times New Roman"/>
          <w:position w:val="2"/>
          <w:vertAlign w:val="baseline"/>
        </w:rPr>
        <w:t>TSP1</w:t>
      </w:r>
      <w:r>
        <w:rPr>
          <w:position w:val="2"/>
          <w:vertAlign w:val="baseline"/>
        </w:rPr>
        <w:t>。</w:t>
      </w:r>
    </w:p>
    <w:p>
      <w:pPr>
        <w:pStyle w:val="6"/>
        <w:spacing w:before="159"/>
        <w:ind w:left="1520"/>
      </w:pPr>
      <w:r>
        <w:rPr>
          <w:rFonts w:ascii="Times New Roman" w:eastAsia="Times New Roman"/>
        </w:rPr>
        <w:t xml:space="preserve">n </w:t>
      </w:r>
      <w:r>
        <w:t xml:space="preserve">为料堆每年受扰动的次数，本次评价取 </w:t>
      </w:r>
      <w:r>
        <w:rPr>
          <w:rFonts w:ascii="Times New Roman" w:eastAsia="Times New Roman"/>
        </w:rPr>
        <w:t xml:space="preserve">30000 </w:t>
      </w:r>
      <w:r>
        <w:t>次。</w:t>
      </w:r>
    </w:p>
    <w:p>
      <w:pPr>
        <w:pStyle w:val="6"/>
        <w:spacing w:before="157"/>
        <w:ind w:left="1520"/>
      </w:pPr>
      <w:r>
        <w:rPr>
          <w:rFonts w:ascii="Times New Roman" w:eastAsia="Times New Roman"/>
          <w:position w:val="2"/>
        </w:rPr>
        <w:t>P</w:t>
      </w:r>
      <w:r>
        <w:rPr>
          <w:rFonts w:ascii="Times New Roman" w:eastAsia="Times New Roman"/>
          <w:position w:val="2"/>
          <w:vertAlign w:val="subscript"/>
        </w:rPr>
        <w:t>i</w:t>
      </w:r>
      <w:r>
        <w:rPr>
          <w:rFonts w:ascii="Times New Roman" w:eastAsia="Times New Roman"/>
          <w:position w:val="2"/>
          <w:vertAlign w:val="baseline"/>
        </w:rPr>
        <w:t xml:space="preserve"> </w:t>
      </w:r>
      <w:r>
        <w:rPr>
          <w:position w:val="2"/>
          <w:vertAlign w:val="baseline"/>
        </w:rPr>
        <w:t xml:space="preserve">为第 </w:t>
      </w:r>
      <w:r>
        <w:rPr>
          <w:rFonts w:ascii="Times New Roman" w:eastAsia="Times New Roman"/>
          <w:position w:val="2"/>
          <w:vertAlign w:val="baseline"/>
        </w:rPr>
        <w:t xml:space="preserve">i </w:t>
      </w:r>
      <w:r>
        <w:rPr>
          <w:position w:val="2"/>
          <w:vertAlign w:val="baseline"/>
        </w:rPr>
        <w:t>次扰动中观测的最大风速的风蚀潜势，</w:t>
      </w:r>
      <w:r>
        <w:rPr>
          <w:rFonts w:ascii="Times New Roman" w:eastAsia="Times New Roman"/>
          <w:position w:val="2"/>
          <w:vertAlign w:val="baseline"/>
        </w:rPr>
        <w:t>g/m</w:t>
      </w:r>
      <w:r>
        <w:rPr>
          <w:rFonts w:ascii="Times New Roman" w:eastAsia="Times New Roman"/>
          <w:position w:val="2"/>
          <w:vertAlign w:val="superscript"/>
        </w:rPr>
        <w:t>2</w:t>
      </w:r>
      <w:r>
        <w:rPr>
          <w:position w:val="2"/>
          <w:vertAlign w:val="baseline"/>
        </w:rPr>
        <w:t>。</w:t>
      </w:r>
    </w:p>
    <w:p>
      <w:pPr>
        <w:pStyle w:val="6"/>
        <w:spacing w:before="160" w:line="364" w:lineRule="auto"/>
        <w:ind w:left="1520" w:right="1252"/>
      </w:pPr>
      <w:r>
        <w:rPr>
          <w:rFonts w:ascii="Times New Roman" w:hAnsi="Times New Roman" w:eastAsia="Times New Roman"/>
        </w:rPr>
        <w:t>η</w:t>
      </w:r>
      <w:r>
        <w:t xml:space="preserve">为污染控制技术对扬尘的去除效率，本次评价取矿料堆定期洒水 </w:t>
      </w:r>
      <w:r>
        <w:rPr>
          <w:rFonts w:ascii="Times New Roman" w:hAnsi="Times New Roman" w:eastAsia="Times New Roman"/>
        </w:rPr>
        <w:t>52%</w:t>
      </w:r>
      <w:r>
        <w:t>。</w:t>
      </w:r>
      <w:r>
        <w:rPr>
          <w:rFonts w:ascii="Times New Roman" w:hAnsi="Times New Roman" w:eastAsia="Times New Roman"/>
        </w:rPr>
        <w:t>u</w:t>
      </w:r>
      <w:r>
        <w:rPr>
          <w:rFonts w:ascii="Times New Roman" w:hAnsi="Times New Roman" w:eastAsia="Times New Roman"/>
          <w:position w:val="8"/>
          <w:sz w:val="15"/>
        </w:rPr>
        <w:t>*</w:t>
      </w:r>
      <w:r>
        <w:t>为摩擦风速，</w:t>
      </w:r>
      <w:r>
        <w:rPr>
          <w:rFonts w:ascii="Times New Roman" w:hAnsi="Times New Roman" w:eastAsia="Times New Roman"/>
        </w:rPr>
        <w:t>m/s</w:t>
      </w:r>
      <w:r>
        <w:t>。</w:t>
      </w:r>
    </w:p>
    <w:p>
      <w:pPr>
        <w:pStyle w:val="6"/>
        <w:spacing w:line="310" w:lineRule="exact"/>
        <w:ind w:left="1520"/>
      </w:pPr>
      <w:r>
        <w:rPr>
          <w:rFonts w:ascii="Times New Roman" w:eastAsia="Times New Roman"/>
          <w:position w:val="2"/>
        </w:rPr>
        <w:t>u</w:t>
      </w:r>
      <w:r>
        <w:rPr>
          <w:rFonts w:ascii="Times New Roman" w:eastAsia="Times New Roman"/>
          <w:position w:val="2"/>
          <w:vertAlign w:val="subscript"/>
        </w:rPr>
        <w:t>t</w:t>
      </w:r>
      <w:r>
        <w:rPr>
          <w:rFonts w:ascii="Times New Roman" w:eastAsia="Times New Roman"/>
          <w:position w:val="2"/>
          <w:vertAlign w:val="superscript"/>
        </w:rPr>
        <w:t>*</w:t>
      </w:r>
      <w:r>
        <w:rPr>
          <w:position w:val="2"/>
          <w:vertAlign w:val="baseline"/>
        </w:rPr>
        <w:t xml:space="preserve">为阈值摩擦风速，即起尘的临界摩擦风速，本次评价取煤矸石 </w:t>
      </w:r>
      <w:r>
        <w:rPr>
          <w:rFonts w:ascii="Times New Roman" w:eastAsia="Times New Roman"/>
          <w:position w:val="2"/>
          <w:vertAlign w:val="baseline"/>
        </w:rPr>
        <w:t>4.8m/s</w:t>
      </w:r>
      <w:r>
        <w:rPr>
          <w:position w:val="2"/>
          <w:vertAlign w:val="baseline"/>
        </w:rPr>
        <w:t>。</w:t>
      </w:r>
    </w:p>
    <w:p>
      <w:pPr>
        <w:pStyle w:val="6"/>
        <w:spacing w:before="12"/>
        <w:rPr>
          <w:sz w:val="13"/>
        </w:rPr>
      </w:pPr>
      <w:r>
        <w:drawing>
          <wp:anchor distT="0" distB="0" distL="0" distR="0" simplePos="0" relativeHeight="1024" behindDoc="0" locked="0" layoutInCell="1" allowOverlap="1">
            <wp:simplePos x="0" y="0"/>
            <wp:positionH relativeFrom="page">
              <wp:posOffset>1782445</wp:posOffset>
            </wp:positionH>
            <wp:positionV relativeFrom="paragraph">
              <wp:posOffset>138430</wp:posOffset>
            </wp:positionV>
            <wp:extent cx="4079240" cy="608965"/>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46" cstate="print"/>
                    <a:stretch>
                      <a:fillRect/>
                    </a:stretch>
                  </pic:blipFill>
                  <pic:spPr>
                    <a:xfrm>
                      <a:off x="0" y="0"/>
                      <a:ext cx="4079181" cy="609219"/>
                    </a:xfrm>
                    <a:prstGeom prst="rect">
                      <a:avLst/>
                    </a:prstGeom>
                  </pic:spPr>
                </pic:pic>
              </a:graphicData>
            </a:graphic>
          </wp:anchor>
        </w:drawing>
      </w:r>
    </w:p>
    <w:p>
      <w:pPr>
        <w:spacing w:after="0"/>
        <w:rPr>
          <w:sz w:val="13"/>
        </w:rPr>
        <w:sectPr>
          <w:pgSz w:w="11910" w:h="16840"/>
          <w:pgMar w:top="1080" w:right="720" w:bottom="1160" w:left="760" w:header="0" w:footer="97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38" name="组合 83"/>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37" name="直线 84"/>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83"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7toIu1AAAAAMBAAAPAAAAAAAAAAEAIAAAACIAAABkcnMvZG93bnJldi54bWxQ&#10;SwECFAAUAAAACACHTuJA2/3/ijQCAAC2BAAADgAAAAAAAAABACAAAAAjAQAAZHJzL2Uyb0RvYy54&#10;bWxQSwUGAAAAAAYABgBZAQAAyQUAAAAA&#10;">
                <o:lock v:ext="edit" aspectratio="f"/>
                <v:line id="直线 84" o:spid="_x0000_s1026" o:spt="20" style="position:absolute;left:0;top:7;height:0;width:8306;" filled="f" stroked="t" coordsize="21600,21600" o:gfxdata="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oJYb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6"/>
        <w:spacing w:before="8"/>
        <w:rPr>
          <w:sz w:val="25"/>
        </w:rPr>
      </w:pPr>
    </w:p>
    <w:p>
      <w:pPr>
        <w:pStyle w:val="6"/>
        <w:spacing w:before="74" w:line="364" w:lineRule="auto"/>
        <w:ind w:left="1520" w:right="2951"/>
      </w:pPr>
      <w:r>
        <w:rPr>
          <w:rFonts w:ascii="Times New Roman" w:eastAsia="Times New Roman"/>
        </w:rPr>
        <w:t>u(z)</w:t>
      </w:r>
      <w:r>
        <w:t xml:space="preserve">为地面风速，本次评价取双鸭山市平均风速 </w:t>
      </w:r>
      <w:r>
        <w:rPr>
          <w:rFonts w:ascii="Times New Roman" w:eastAsia="Times New Roman"/>
        </w:rPr>
        <w:t>4.3m/s</w:t>
      </w:r>
      <w:r>
        <w:t>。</w:t>
      </w:r>
      <w:r>
        <w:rPr>
          <w:rFonts w:ascii="Times New Roman" w:eastAsia="Times New Roman"/>
        </w:rPr>
        <w:t xml:space="preserve">z </w:t>
      </w:r>
      <w:r>
        <w:t xml:space="preserve">为地面风速检测高度，本次评价取 </w:t>
      </w:r>
      <w:r>
        <w:rPr>
          <w:rFonts w:ascii="Times New Roman" w:eastAsia="Times New Roman"/>
        </w:rPr>
        <w:t>1.2m</w:t>
      </w:r>
      <w:r>
        <w:t>。</w:t>
      </w:r>
    </w:p>
    <w:p>
      <w:pPr>
        <w:pStyle w:val="6"/>
        <w:spacing w:line="310" w:lineRule="exact"/>
        <w:ind w:left="1520"/>
      </w:pPr>
      <w:r>
        <w:rPr>
          <w:rFonts w:ascii="Times New Roman" w:eastAsia="Times New Roman"/>
          <w:position w:val="2"/>
        </w:rPr>
        <w:t>z</w:t>
      </w:r>
      <w:r>
        <w:rPr>
          <w:rFonts w:ascii="Times New Roman" w:eastAsia="Times New Roman"/>
          <w:position w:val="2"/>
          <w:vertAlign w:val="subscript"/>
        </w:rPr>
        <w:t>0</w:t>
      </w:r>
      <w:r>
        <w:rPr>
          <w:rFonts w:ascii="Times New Roman" w:eastAsia="Times New Roman"/>
          <w:position w:val="2"/>
          <w:vertAlign w:val="baseline"/>
        </w:rPr>
        <w:t xml:space="preserve"> </w:t>
      </w:r>
      <w:r>
        <w:rPr>
          <w:position w:val="2"/>
          <w:vertAlign w:val="baseline"/>
        </w:rPr>
        <w:t xml:space="preserve">为地面粗糙度，本次评价取郊区 </w:t>
      </w:r>
      <w:r>
        <w:rPr>
          <w:rFonts w:ascii="Times New Roman" w:eastAsia="Times New Roman"/>
          <w:position w:val="2"/>
          <w:vertAlign w:val="baseline"/>
        </w:rPr>
        <w:t>0.2m</w:t>
      </w:r>
      <w:r>
        <w:rPr>
          <w:position w:val="2"/>
          <w:vertAlign w:val="baseline"/>
        </w:rPr>
        <w:t>。</w:t>
      </w:r>
    </w:p>
    <w:p>
      <w:pPr>
        <w:pStyle w:val="6"/>
        <w:spacing w:before="159"/>
        <w:ind w:left="1520"/>
      </w:pPr>
      <w:r>
        <w:rPr>
          <w:rFonts w:ascii="Times New Roman" w:eastAsia="Times New Roman"/>
        </w:rPr>
        <w:t xml:space="preserve">0.4 </w:t>
      </w:r>
      <w:r>
        <w:t>为冯卡门常数，无量纲。</w:t>
      </w:r>
    </w:p>
    <w:p>
      <w:pPr>
        <w:pStyle w:val="6"/>
        <w:spacing w:before="225" w:line="374" w:lineRule="auto"/>
        <w:ind w:left="1040" w:right="957" w:firstLine="480"/>
      </w:pPr>
      <w:r>
        <w:rPr>
          <w:spacing w:val="-8"/>
        </w:rPr>
        <w:t xml:space="preserve">经计算，本项目临时矸石堆产生的扬尘为 </w:t>
      </w:r>
      <w:r>
        <w:rPr>
          <w:rFonts w:ascii="Times New Roman" w:eastAsia="Times New Roman"/>
          <w:spacing w:val="-5"/>
        </w:rPr>
        <w:t>4.05t/a</w:t>
      </w:r>
      <w:r>
        <w:rPr>
          <w:spacing w:val="-5"/>
        </w:rPr>
        <w:t>（</w:t>
      </w:r>
      <w:r>
        <w:rPr>
          <w:rFonts w:ascii="Times New Roman" w:eastAsia="Times New Roman"/>
          <w:spacing w:val="-5"/>
        </w:rPr>
        <w:t>0.462kg/h</w:t>
      </w:r>
      <w:r>
        <w:rPr>
          <w:spacing w:val="-5"/>
        </w:rPr>
        <w:t>），</w:t>
      </w:r>
      <w:r>
        <w:t>采取洒水控</w:t>
      </w:r>
      <w:r>
        <w:rPr>
          <w:spacing w:val="-3"/>
        </w:rPr>
        <w:t>制措施及围挡遮围</w:t>
      </w:r>
      <w:r>
        <w:t>（</w:t>
      </w:r>
      <w:r>
        <w:rPr>
          <w:spacing w:val="-20"/>
        </w:rPr>
        <w:t xml:space="preserve">效率 </w:t>
      </w:r>
      <w:r>
        <w:rPr>
          <w:rFonts w:ascii="Times New Roman" w:eastAsia="Times New Roman"/>
          <w:spacing w:val="-10"/>
        </w:rPr>
        <w:t>90%</w:t>
      </w:r>
      <w:r>
        <w:rPr>
          <w:spacing w:val="-10"/>
        </w:rPr>
        <w:t>），</w:t>
      </w:r>
      <w:r>
        <w:rPr>
          <w:spacing w:val="-6"/>
        </w:rPr>
        <w:t xml:space="preserve">临时矸石堆扬尘排放量 </w:t>
      </w:r>
      <w:r>
        <w:rPr>
          <w:rFonts w:ascii="Times New Roman" w:eastAsia="Times New Roman"/>
          <w:spacing w:val="-3"/>
        </w:rPr>
        <w:t>0.405t/a</w:t>
      </w:r>
      <w:r>
        <w:rPr>
          <w:spacing w:val="-3"/>
        </w:rPr>
        <w:t>（</w:t>
      </w:r>
      <w:r>
        <w:rPr>
          <w:rFonts w:ascii="Times New Roman" w:eastAsia="Times New Roman"/>
          <w:spacing w:val="-3"/>
        </w:rPr>
        <w:t>0.046kg/h</w:t>
      </w:r>
      <w:r>
        <w:rPr>
          <w:spacing w:val="-3"/>
        </w:rPr>
        <w:t>）</w:t>
      </w:r>
      <w:r>
        <w:rPr>
          <w:spacing w:val="-14"/>
        </w:rPr>
        <w:t>。</w:t>
      </w:r>
    </w:p>
    <w:p>
      <w:pPr>
        <w:pStyle w:val="6"/>
        <w:spacing w:before="13"/>
        <w:ind w:left="1520"/>
      </w:pPr>
      <w:r>
        <w:t>⑤食堂油烟气</w:t>
      </w:r>
    </w:p>
    <w:p>
      <w:pPr>
        <w:pStyle w:val="6"/>
        <w:spacing w:before="160" w:line="362" w:lineRule="auto"/>
        <w:ind w:left="1040" w:right="1077" w:firstLine="480"/>
      </w:pPr>
      <w:r>
        <w:rPr>
          <w:spacing w:val="-7"/>
        </w:rPr>
        <w:t>项目运行期间食堂会产生油烟，油烟废气中含油质、有机质及加热分解或裂</w:t>
      </w:r>
      <w:r>
        <w:rPr>
          <w:spacing w:val="5"/>
        </w:rPr>
        <w:t xml:space="preserve">解产物，本项目食堂设有 </w:t>
      </w:r>
      <w:r>
        <w:rPr>
          <w:rFonts w:ascii="Times New Roman" w:eastAsia="Times New Roman"/>
        </w:rPr>
        <w:t xml:space="preserve">6 </w:t>
      </w:r>
      <w:r>
        <w:rPr>
          <w:spacing w:val="12"/>
        </w:rPr>
        <w:t>个灶头，根据《饮食业油烟排放标准（试行</w:t>
      </w:r>
      <w:r>
        <w:rPr>
          <w:spacing w:val="14"/>
        </w:rPr>
        <w:t>）</w:t>
      </w:r>
      <w:r>
        <w:rPr>
          <w:spacing w:val="-17"/>
        </w:rPr>
        <w:t>》</w:t>
      </w:r>
    </w:p>
    <w:p>
      <w:pPr>
        <w:pStyle w:val="6"/>
        <w:spacing w:before="5" w:line="364" w:lineRule="auto"/>
        <w:ind w:left="1040" w:right="985"/>
      </w:pPr>
      <w:r>
        <w:t>（</w:t>
      </w:r>
      <w:r>
        <w:rPr>
          <w:rFonts w:ascii="Times New Roman" w:hAnsi="Times New Roman" w:eastAsia="Times New Roman"/>
        </w:rPr>
        <w:t>GB18483-2001</w:t>
      </w:r>
      <w:r>
        <w:t xml:space="preserve">），属于大型饮食业单位。根据对居民用油情况的类比调查， </w:t>
      </w:r>
      <w:r>
        <w:rPr>
          <w:spacing w:val="-4"/>
        </w:rPr>
        <w:t xml:space="preserve">目前居民人均日食用油用量约 </w:t>
      </w:r>
      <w:r>
        <w:rPr>
          <w:rFonts w:ascii="Times New Roman" w:hAnsi="Times New Roman" w:eastAsia="Times New Roman"/>
        </w:rPr>
        <w:t>0.03kg/</w:t>
      </w:r>
      <w:r>
        <w:rPr>
          <w:spacing w:val="4"/>
        </w:rPr>
        <w:t>人</w:t>
      </w:r>
      <w:r>
        <w:rPr>
          <w:rFonts w:ascii="Times New Roman" w:hAnsi="Times New Roman" w:eastAsia="Times New Roman"/>
          <w:spacing w:val="2"/>
        </w:rPr>
        <w:t>·d</w:t>
      </w:r>
      <w:r>
        <w:rPr>
          <w:spacing w:val="-6"/>
        </w:rPr>
        <w:t xml:space="preserve">，本项目共有员工 </w:t>
      </w:r>
      <w:r>
        <w:rPr>
          <w:rFonts w:ascii="Times New Roman" w:hAnsi="Times New Roman" w:eastAsia="Times New Roman"/>
        </w:rPr>
        <w:t xml:space="preserve">665 </w:t>
      </w:r>
      <w:r>
        <w:t>人，则食用油</w:t>
      </w:r>
      <w:r>
        <w:rPr>
          <w:spacing w:val="-16"/>
        </w:rPr>
        <w:t xml:space="preserve">用量约 </w:t>
      </w:r>
      <w:r>
        <w:rPr>
          <w:rFonts w:ascii="Times New Roman" w:hAnsi="Times New Roman" w:eastAsia="Times New Roman"/>
        </w:rPr>
        <w:t>19.95kg/d</w:t>
      </w:r>
      <w:r>
        <w:t>，</w:t>
      </w:r>
      <w:r>
        <w:rPr>
          <w:rFonts w:ascii="Times New Roman" w:hAnsi="Times New Roman" w:eastAsia="Times New Roman"/>
        </w:rPr>
        <w:t>6.58t/a</w:t>
      </w:r>
      <w:r>
        <w:rPr>
          <w:spacing w:val="-10"/>
        </w:rPr>
        <w:t xml:space="preserve">。一般油烟挥发量占耗油量的 </w:t>
      </w:r>
      <w:r>
        <w:rPr>
          <w:rFonts w:ascii="Times New Roman" w:hAnsi="Times New Roman" w:eastAsia="Times New Roman"/>
          <w:spacing w:val="-5"/>
        </w:rPr>
        <w:t>2</w:t>
      </w:r>
      <w:r>
        <w:rPr>
          <w:spacing w:val="-5"/>
        </w:rPr>
        <w:t>～</w:t>
      </w:r>
      <w:r>
        <w:rPr>
          <w:rFonts w:ascii="Times New Roman" w:hAnsi="Times New Roman" w:eastAsia="Times New Roman"/>
          <w:spacing w:val="-5"/>
        </w:rPr>
        <w:t>4%</w:t>
      </w:r>
      <w:r>
        <w:rPr>
          <w:spacing w:val="-23"/>
        </w:rPr>
        <w:t xml:space="preserve">，按 </w:t>
      </w:r>
      <w:r>
        <w:rPr>
          <w:rFonts w:ascii="Times New Roman" w:hAnsi="Times New Roman" w:eastAsia="Times New Roman"/>
        </w:rPr>
        <w:t>2.83%</w:t>
      </w:r>
      <w:r>
        <w:rPr>
          <w:spacing w:val="-7"/>
        </w:rPr>
        <w:t>计，油</w:t>
      </w:r>
      <w:r>
        <w:rPr>
          <w:spacing w:val="-19"/>
        </w:rPr>
        <w:t xml:space="preserve">烟产生量 </w:t>
      </w:r>
      <w:r>
        <w:rPr>
          <w:rFonts w:ascii="Times New Roman" w:hAnsi="Times New Roman" w:eastAsia="Times New Roman"/>
        </w:rPr>
        <w:t>0.56kg/d</w:t>
      </w:r>
      <w:r>
        <w:t>，</w:t>
      </w:r>
      <w:r>
        <w:rPr>
          <w:rFonts w:ascii="Times New Roman" w:hAnsi="Times New Roman" w:eastAsia="Times New Roman"/>
        </w:rPr>
        <w:t>0.185t/a</w:t>
      </w:r>
      <w:r>
        <w:rPr>
          <w:spacing w:val="-13"/>
        </w:rPr>
        <w:t xml:space="preserve">。按每日两餐，每餐 </w:t>
      </w:r>
      <w:r>
        <w:rPr>
          <w:rFonts w:ascii="Times New Roman" w:hAnsi="Times New Roman" w:eastAsia="Times New Roman"/>
        </w:rPr>
        <w:t xml:space="preserve">2 </w:t>
      </w:r>
      <w:r>
        <w:rPr>
          <w:spacing w:val="-5"/>
        </w:rPr>
        <w:t>小时计，则该项目油烟产生量</w:t>
      </w:r>
      <w:r>
        <w:rPr>
          <w:rFonts w:ascii="Times New Roman" w:hAnsi="Times New Roman" w:eastAsia="Times New Roman"/>
          <w:spacing w:val="-5"/>
        </w:rPr>
        <w:t>0.14kg/h</w:t>
      </w:r>
      <w:r>
        <w:rPr>
          <w:spacing w:val="-15"/>
        </w:rPr>
        <w:t xml:space="preserve">。风机风量以 </w:t>
      </w:r>
      <w:r>
        <w:rPr>
          <w:rFonts w:ascii="Times New Roman" w:hAnsi="Times New Roman" w:eastAsia="Times New Roman"/>
        </w:rPr>
        <w:t>16000m</w:t>
      </w:r>
      <w:r>
        <w:rPr>
          <w:rFonts w:ascii="Times New Roman" w:hAnsi="Times New Roman" w:eastAsia="Times New Roman"/>
          <w:position w:val="8"/>
          <w:sz w:val="15"/>
        </w:rPr>
        <w:t>3</w:t>
      </w:r>
      <w:r>
        <w:rPr>
          <w:rFonts w:ascii="Times New Roman" w:hAnsi="Times New Roman" w:eastAsia="Times New Roman"/>
        </w:rPr>
        <w:t xml:space="preserve">/h </w:t>
      </w:r>
      <w:r>
        <w:rPr>
          <w:spacing w:val="-12"/>
        </w:rPr>
        <w:t xml:space="preserve">计，油烟产生浓度 </w:t>
      </w:r>
      <w:r>
        <w:rPr>
          <w:rFonts w:ascii="Times New Roman" w:hAnsi="Times New Roman" w:eastAsia="Times New Roman"/>
        </w:rPr>
        <w:t>8.75mg/m</w:t>
      </w:r>
      <w:r>
        <w:rPr>
          <w:rFonts w:ascii="Times New Roman" w:hAnsi="Times New Roman" w:eastAsia="Times New Roman"/>
          <w:position w:val="8"/>
          <w:sz w:val="15"/>
        </w:rPr>
        <w:t>3</w:t>
      </w:r>
      <w:r>
        <w:rPr>
          <w:spacing w:val="-6"/>
        </w:rPr>
        <w:t>。为了防止油烟无</w:t>
      </w:r>
      <w:r>
        <w:rPr>
          <w:spacing w:val="-15"/>
        </w:rPr>
        <w:t xml:space="preserve">组织排放，须安装去除率 </w:t>
      </w:r>
      <w:r>
        <w:rPr>
          <w:rFonts w:ascii="Times New Roman" w:hAnsi="Times New Roman" w:eastAsia="Times New Roman"/>
        </w:rPr>
        <w:t>85%</w:t>
      </w:r>
      <w:r>
        <w:rPr>
          <w:spacing w:val="-6"/>
        </w:rPr>
        <w:t>以上的油烟净化装置，油烟经专用烟道引至屋顶排</w:t>
      </w:r>
      <w:r>
        <w:rPr>
          <w:spacing w:val="-11"/>
        </w:rPr>
        <w:t xml:space="preserve">放，净化后排放浓度为 </w:t>
      </w:r>
      <w:r>
        <w:rPr>
          <w:rFonts w:ascii="Times New Roman" w:hAnsi="Times New Roman" w:eastAsia="Times New Roman"/>
        </w:rPr>
        <w:t>1.31mg/m</w:t>
      </w:r>
      <w:r>
        <w:rPr>
          <w:rFonts w:ascii="Times New Roman" w:hAnsi="Times New Roman" w:eastAsia="Times New Roman"/>
          <w:position w:val="8"/>
          <w:sz w:val="15"/>
        </w:rPr>
        <w:t>3</w:t>
      </w:r>
      <w:r>
        <w:rPr>
          <w:spacing w:val="-12"/>
        </w:rPr>
        <w:t xml:space="preserve">，排放量为 </w:t>
      </w:r>
      <w:r>
        <w:rPr>
          <w:rFonts w:ascii="Times New Roman" w:hAnsi="Times New Roman" w:eastAsia="Times New Roman"/>
        </w:rPr>
        <w:t>27.67kg/a</w:t>
      </w:r>
      <w:r>
        <w:rPr>
          <w:spacing w:val="-4"/>
        </w:rPr>
        <w:t>，可满足《饮食业油烟排放标准（试行）》（</w:t>
      </w:r>
      <w:r>
        <w:rPr>
          <w:rFonts w:ascii="Times New Roman" w:hAnsi="Times New Roman" w:eastAsia="Times New Roman"/>
          <w:spacing w:val="-4"/>
        </w:rPr>
        <w:t>GB18483-2001</w:t>
      </w:r>
      <w:r>
        <w:rPr>
          <w:spacing w:val="-4"/>
        </w:rPr>
        <w:t>）</w:t>
      </w:r>
      <w:r>
        <w:rPr>
          <w:spacing w:val="-8"/>
        </w:rPr>
        <w:t xml:space="preserve">大型饮食业单位的排放浓度 </w:t>
      </w:r>
      <w:r>
        <w:rPr>
          <w:rFonts w:ascii="Times New Roman" w:hAnsi="Times New Roman" w:eastAsia="Times New Roman"/>
        </w:rPr>
        <w:t>2.0mg/m</w:t>
      </w:r>
      <w:r>
        <w:rPr>
          <w:rFonts w:ascii="Times New Roman" w:hAnsi="Times New Roman" w:eastAsia="Times New Roman"/>
          <w:position w:val="8"/>
          <w:sz w:val="15"/>
        </w:rPr>
        <w:t xml:space="preserve">3 </w:t>
      </w:r>
      <w:r>
        <w:t>的标</w:t>
      </w:r>
      <w:r>
        <w:rPr>
          <w:spacing w:val="-1"/>
        </w:rPr>
        <w:t>准要求，处理后的油烟废气经专用烟道通过高于所在建筑物顶部的排气筒排放。</w:t>
      </w:r>
      <w:r>
        <w:t>食堂油烟经净化后满足《饮食业油烟排放标准（</w:t>
      </w:r>
      <w:r>
        <w:rPr>
          <w:spacing w:val="2"/>
        </w:rPr>
        <w:t>试行</w:t>
      </w:r>
      <w:r>
        <w:rPr>
          <w:spacing w:val="4"/>
        </w:rPr>
        <w:t>）</w:t>
      </w:r>
      <w:r>
        <w:t>》（</w:t>
      </w:r>
      <w:r>
        <w:rPr>
          <w:rFonts w:ascii="Times New Roman" w:hAnsi="Times New Roman" w:eastAsia="Times New Roman"/>
        </w:rPr>
        <w:t>GB18483-2001</w:t>
      </w:r>
      <w:r>
        <w:t>）中标准限值。</w:t>
      </w:r>
    </w:p>
    <w:p>
      <w:pPr>
        <w:pStyle w:val="5"/>
        <w:spacing w:line="303" w:lineRule="exact"/>
        <w:ind w:left="1553" w:right="1581"/>
        <w:jc w:val="center"/>
      </w:pPr>
      <w:r>
        <w:t xml:space="preserve">表 </w:t>
      </w:r>
      <w:r>
        <w:rPr>
          <w:rFonts w:ascii="Times New Roman" w:eastAsia="Times New Roman"/>
        </w:rPr>
        <w:t xml:space="preserve">3.4-3 </w:t>
      </w:r>
      <w:r>
        <w:t>油烟废气产生与排放情况</w:t>
      </w:r>
    </w:p>
    <w:tbl>
      <w:tblPr>
        <w:tblStyle w:val="10"/>
        <w:tblW w:w="0" w:type="auto"/>
        <w:tblInd w:w="9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63"/>
        <w:gridCol w:w="1154"/>
        <w:gridCol w:w="800"/>
        <w:gridCol w:w="705"/>
        <w:gridCol w:w="1008"/>
        <w:gridCol w:w="1188"/>
        <w:gridCol w:w="896"/>
        <w:gridCol w:w="1188"/>
        <w:gridCol w:w="8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463" w:type="dxa"/>
            <w:vMerge w:val="restart"/>
          </w:tcPr>
          <w:p>
            <w:pPr>
              <w:pStyle w:val="14"/>
              <w:spacing w:before="7"/>
              <w:jc w:val="left"/>
              <w:rPr>
                <w:b/>
                <w:sz w:val="28"/>
              </w:rPr>
            </w:pPr>
          </w:p>
          <w:p>
            <w:pPr>
              <w:pStyle w:val="14"/>
              <w:ind w:left="56"/>
              <w:jc w:val="left"/>
              <w:rPr>
                <w:sz w:val="21"/>
              </w:rPr>
            </w:pPr>
            <w:r>
              <w:rPr>
                <w:sz w:val="21"/>
              </w:rPr>
              <w:t>类型</w:t>
            </w:r>
          </w:p>
        </w:tc>
        <w:tc>
          <w:tcPr>
            <w:tcW w:w="1154" w:type="dxa"/>
            <w:vMerge w:val="restart"/>
          </w:tcPr>
          <w:p>
            <w:pPr>
              <w:pStyle w:val="14"/>
              <w:jc w:val="left"/>
              <w:rPr>
                <w:b/>
                <w:sz w:val="18"/>
              </w:rPr>
            </w:pPr>
          </w:p>
          <w:p>
            <w:pPr>
              <w:pStyle w:val="14"/>
              <w:spacing w:before="1"/>
              <w:ind w:left="57"/>
              <w:jc w:val="left"/>
              <w:rPr>
                <w:sz w:val="21"/>
              </w:rPr>
            </w:pPr>
            <w:r>
              <w:rPr>
                <w:sz w:val="21"/>
              </w:rPr>
              <w:t>用油指标</w:t>
            </w:r>
          </w:p>
          <w:p>
            <w:pPr>
              <w:pStyle w:val="14"/>
              <w:spacing w:before="2"/>
              <w:ind w:left="57"/>
              <w:jc w:val="left"/>
              <w:rPr>
                <w:sz w:val="21"/>
              </w:rPr>
            </w:pPr>
            <w:r>
              <w:rPr>
                <w:sz w:val="21"/>
              </w:rPr>
              <w:t>（</w:t>
            </w:r>
            <w:r>
              <w:rPr>
                <w:rFonts w:ascii="Times New Roman" w:hAnsi="Times New Roman" w:eastAsia="Times New Roman"/>
                <w:sz w:val="21"/>
              </w:rPr>
              <w:t>kg/</w:t>
            </w:r>
            <w:r>
              <w:rPr>
                <w:sz w:val="21"/>
              </w:rPr>
              <w:t>人</w:t>
            </w:r>
            <w:r>
              <w:rPr>
                <w:rFonts w:ascii="Times New Roman" w:hAnsi="Times New Roman" w:eastAsia="Times New Roman"/>
                <w:sz w:val="21"/>
              </w:rPr>
              <w:t>·d</w:t>
            </w:r>
            <w:r>
              <w:rPr>
                <w:sz w:val="21"/>
              </w:rPr>
              <w:t>）</w:t>
            </w:r>
          </w:p>
        </w:tc>
        <w:tc>
          <w:tcPr>
            <w:tcW w:w="800" w:type="dxa"/>
            <w:vMerge w:val="restart"/>
          </w:tcPr>
          <w:p>
            <w:pPr>
              <w:pStyle w:val="14"/>
              <w:jc w:val="left"/>
              <w:rPr>
                <w:b/>
                <w:sz w:val="18"/>
              </w:rPr>
            </w:pPr>
          </w:p>
          <w:p>
            <w:pPr>
              <w:pStyle w:val="14"/>
              <w:spacing w:before="1"/>
              <w:ind w:left="55"/>
              <w:jc w:val="left"/>
              <w:rPr>
                <w:sz w:val="21"/>
              </w:rPr>
            </w:pPr>
            <w:r>
              <w:rPr>
                <w:w w:val="95"/>
                <w:sz w:val="21"/>
              </w:rPr>
              <w:t>耗油量</w:t>
            </w:r>
          </w:p>
          <w:p>
            <w:pPr>
              <w:pStyle w:val="14"/>
              <w:spacing w:before="2"/>
              <w:ind w:left="55"/>
              <w:jc w:val="left"/>
              <w:rPr>
                <w:sz w:val="21"/>
              </w:rPr>
            </w:pPr>
            <w:r>
              <w:rPr>
                <w:sz w:val="21"/>
              </w:rPr>
              <w:t>（</w:t>
            </w:r>
            <w:r>
              <w:rPr>
                <w:rFonts w:ascii="Times New Roman" w:eastAsia="Times New Roman"/>
                <w:sz w:val="21"/>
              </w:rPr>
              <w:t>t/a</w:t>
            </w:r>
            <w:r>
              <w:rPr>
                <w:sz w:val="21"/>
              </w:rPr>
              <w:t>）</w:t>
            </w:r>
          </w:p>
        </w:tc>
        <w:tc>
          <w:tcPr>
            <w:tcW w:w="705" w:type="dxa"/>
            <w:vMerge w:val="restart"/>
          </w:tcPr>
          <w:p>
            <w:pPr>
              <w:pStyle w:val="14"/>
              <w:jc w:val="left"/>
              <w:rPr>
                <w:b/>
                <w:sz w:val="18"/>
              </w:rPr>
            </w:pPr>
          </w:p>
          <w:p>
            <w:pPr>
              <w:pStyle w:val="14"/>
              <w:spacing w:before="1" w:line="242" w:lineRule="auto"/>
              <w:ind w:left="57" w:right="217"/>
              <w:jc w:val="left"/>
              <w:rPr>
                <w:sz w:val="21"/>
              </w:rPr>
            </w:pPr>
            <w:r>
              <w:rPr>
                <w:sz w:val="21"/>
              </w:rPr>
              <w:t>挥发系数</w:t>
            </w:r>
          </w:p>
        </w:tc>
        <w:tc>
          <w:tcPr>
            <w:tcW w:w="1008" w:type="dxa"/>
            <w:vMerge w:val="restart"/>
          </w:tcPr>
          <w:p>
            <w:pPr>
              <w:pStyle w:val="14"/>
              <w:jc w:val="left"/>
              <w:rPr>
                <w:b/>
                <w:sz w:val="18"/>
              </w:rPr>
            </w:pPr>
          </w:p>
          <w:p>
            <w:pPr>
              <w:pStyle w:val="14"/>
              <w:spacing w:before="1"/>
              <w:ind w:left="55"/>
              <w:jc w:val="left"/>
              <w:rPr>
                <w:sz w:val="21"/>
              </w:rPr>
            </w:pPr>
            <w:r>
              <w:rPr>
                <w:sz w:val="21"/>
              </w:rPr>
              <w:t>风量</w:t>
            </w:r>
          </w:p>
          <w:p>
            <w:pPr>
              <w:pStyle w:val="14"/>
              <w:spacing w:before="2"/>
              <w:ind w:left="55"/>
              <w:jc w:val="left"/>
              <w:rPr>
                <w:sz w:val="21"/>
              </w:rPr>
            </w:pPr>
            <w:r>
              <w:rPr>
                <w:sz w:val="21"/>
              </w:rPr>
              <w:t>（</w:t>
            </w:r>
            <w:r>
              <w:rPr>
                <w:rFonts w:ascii="Times New Roman" w:eastAsia="Times New Roman"/>
                <w:sz w:val="21"/>
              </w:rPr>
              <w:t>m</w:t>
            </w:r>
            <w:r>
              <w:rPr>
                <w:rFonts w:ascii="Times New Roman" w:eastAsia="Times New Roman"/>
                <w:position w:val="7"/>
                <w:sz w:val="13"/>
              </w:rPr>
              <w:t>3</w:t>
            </w:r>
            <w:r>
              <w:rPr>
                <w:rFonts w:ascii="Times New Roman" w:eastAsia="Times New Roman"/>
                <w:sz w:val="21"/>
              </w:rPr>
              <w:t>/h</w:t>
            </w:r>
            <w:r>
              <w:rPr>
                <w:sz w:val="21"/>
              </w:rPr>
              <w:t>）</w:t>
            </w:r>
          </w:p>
        </w:tc>
        <w:tc>
          <w:tcPr>
            <w:tcW w:w="2084" w:type="dxa"/>
            <w:gridSpan w:val="2"/>
          </w:tcPr>
          <w:p>
            <w:pPr>
              <w:pStyle w:val="14"/>
              <w:spacing w:before="90"/>
              <w:ind w:left="55"/>
              <w:jc w:val="left"/>
              <w:rPr>
                <w:sz w:val="21"/>
              </w:rPr>
            </w:pPr>
            <w:r>
              <w:rPr>
                <w:sz w:val="21"/>
              </w:rPr>
              <w:t>油烟治理前</w:t>
            </w:r>
          </w:p>
        </w:tc>
        <w:tc>
          <w:tcPr>
            <w:tcW w:w="2084" w:type="dxa"/>
            <w:gridSpan w:val="2"/>
          </w:tcPr>
          <w:p>
            <w:pPr>
              <w:pStyle w:val="14"/>
              <w:spacing w:before="90"/>
              <w:ind w:left="57"/>
              <w:jc w:val="left"/>
              <w:rPr>
                <w:sz w:val="21"/>
              </w:rPr>
            </w:pPr>
            <w:r>
              <w:rPr>
                <w:sz w:val="21"/>
              </w:rPr>
              <w:t>油烟治理后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1463" w:type="dxa"/>
            <w:vMerge w:val="continue"/>
            <w:tcBorders>
              <w:top w:val="nil"/>
            </w:tcBorders>
          </w:tcPr>
          <w:p>
            <w:pPr>
              <w:rPr>
                <w:sz w:val="2"/>
                <w:szCs w:val="2"/>
              </w:rPr>
            </w:pPr>
          </w:p>
        </w:tc>
        <w:tc>
          <w:tcPr>
            <w:tcW w:w="1154" w:type="dxa"/>
            <w:vMerge w:val="continue"/>
            <w:tcBorders>
              <w:top w:val="nil"/>
            </w:tcBorders>
          </w:tcPr>
          <w:p>
            <w:pPr>
              <w:rPr>
                <w:sz w:val="2"/>
                <w:szCs w:val="2"/>
              </w:rPr>
            </w:pPr>
          </w:p>
        </w:tc>
        <w:tc>
          <w:tcPr>
            <w:tcW w:w="800" w:type="dxa"/>
            <w:vMerge w:val="continue"/>
            <w:tcBorders>
              <w:top w:val="nil"/>
            </w:tcBorders>
          </w:tcPr>
          <w:p>
            <w:pPr>
              <w:rPr>
                <w:sz w:val="2"/>
                <w:szCs w:val="2"/>
              </w:rPr>
            </w:pPr>
          </w:p>
        </w:tc>
        <w:tc>
          <w:tcPr>
            <w:tcW w:w="705" w:type="dxa"/>
            <w:vMerge w:val="continue"/>
            <w:tcBorders>
              <w:top w:val="nil"/>
            </w:tcBorders>
          </w:tcPr>
          <w:p>
            <w:pPr>
              <w:rPr>
                <w:sz w:val="2"/>
                <w:szCs w:val="2"/>
              </w:rPr>
            </w:pPr>
          </w:p>
        </w:tc>
        <w:tc>
          <w:tcPr>
            <w:tcW w:w="1008" w:type="dxa"/>
            <w:vMerge w:val="continue"/>
            <w:tcBorders>
              <w:top w:val="nil"/>
            </w:tcBorders>
          </w:tcPr>
          <w:p>
            <w:pPr>
              <w:rPr>
                <w:sz w:val="2"/>
                <w:szCs w:val="2"/>
              </w:rPr>
            </w:pPr>
          </w:p>
        </w:tc>
        <w:tc>
          <w:tcPr>
            <w:tcW w:w="1188" w:type="dxa"/>
          </w:tcPr>
          <w:p>
            <w:pPr>
              <w:pStyle w:val="14"/>
              <w:ind w:left="55"/>
              <w:jc w:val="left"/>
              <w:rPr>
                <w:sz w:val="21"/>
              </w:rPr>
            </w:pPr>
            <w:r>
              <w:rPr>
                <w:sz w:val="21"/>
              </w:rPr>
              <w:t>浓度</w:t>
            </w:r>
          </w:p>
          <w:p>
            <w:pPr>
              <w:pStyle w:val="14"/>
              <w:spacing w:before="2" w:line="252" w:lineRule="exact"/>
              <w:ind w:left="55"/>
              <w:jc w:val="left"/>
              <w:rPr>
                <w:sz w:val="21"/>
              </w:rPr>
            </w:pPr>
            <w:r>
              <w:rPr>
                <w:sz w:val="21"/>
              </w:rPr>
              <w:t>（</w:t>
            </w:r>
            <w:r>
              <w:rPr>
                <w:rFonts w:ascii="Times New Roman" w:eastAsia="Times New Roman"/>
                <w:sz w:val="21"/>
              </w:rPr>
              <w:t>mg/m</w:t>
            </w:r>
            <w:r>
              <w:rPr>
                <w:rFonts w:ascii="Times New Roman" w:eastAsia="Times New Roman"/>
                <w:position w:val="7"/>
                <w:sz w:val="13"/>
              </w:rPr>
              <w:t>3</w:t>
            </w:r>
            <w:r>
              <w:rPr>
                <w:sz w:val="21"/>
              </w:rPr>
              <w:t>）</w:t>
            </w:r>
          </w:p>
        </w:tc>
        <w:tc>
          <w:tcPr>
            <w:tcW w:w="896" w:type="dxa"/>
          </w:tcPr>
          <w:p>
            <w:pPr>
              <w:pStyle w:val="14"/>
              <w:ind w:left="55"/>
              <w:jc w:val="left"/>
              <w:rPr>
                <w:sz w:val="21"/>
              </w:rPr>
            </w:pPr>
            <w:r>
              <w:rPr>
                <w:sz w:val="21"/>
              </w:rPr>
              <w:t>产生量</w:t>
            </w:r>
          </w:p>
          <w:p>
            <w:pPr>
              <w:pStyle w:val="14"/>
              <w:spacing w:before="2" w:line="252" w:lineRule="exact"/>
              <w:ind w:left="55"/>
              <w:jc w:val="left"/>
              <w:rPr>
                <w:sz w:val="21"/>
              </w:rPr>
            </w:pPr>
            <w:r>
              <w:rPr>
                <w:sz w:val="21"/>
              </w:rPr>
              <w:t>（</w:t>
            </w:r>
            <w:r>
              <w:rPr>
                <w:rFonts w:ascii="Times New Roman" w:eastAsia="Times New Roman"/>
                <w:sz w:val="21"/>
              </w:rPr>
              <w:t>kg/d</w:t>
            </w:r>
            <w:r>
              <w:rPr>
                <w:sz w:val="21"/>
              </w:rPr>
              <w:t>）</w:t>
            </w:r>
          </w:p>
        </w:tc>
        <w:tc>
          <w:tcPr>
            <w:tcW w:w="1188" w:type="dxa"/>
          </w:tcPr>
          <w:p>
            <w:pPr>
              <w:pStyle w:val="14"/>
              <w:ind w:left="57"/>
              <w:jc w:val="left"/>
              <w:rPr>
                <w:sz w:val="21"/>
              </w:rPr>
            </w:pPr>
            <w:r>
              <w:rPr>
                <w:sz w:val="21"/>
              </w:rPr>
              <w:t>排放浓度</w:t>
            </w:r>
          </w:p>
          <w:p>
            <w:pPr>
              <w:pStyle w:val="14"/>
              <w:spacing w:before="2" w:line="252" w:lineRule="exact"/>
              <w:ind w:left="57"/>
              <w:jc w:val="left"/>
              <w:rPr>
                <w:sz w:val="21"/>
              </w:rPr>
            </w:pPr>
            <w:r>
              <w:rPr>
                <w:sz w:val="21"/>
              </w:rPr>
              <w:t>（</w:t>
            </w:r>
            <w:r>
              <w:rPr>
                <w:rFonts w:ascii="Times New Roman" w:eastAsia="Times New Roman"/>
                <w:sz w:val="21"/>
              </w:rPr>
              <w:t>mg/m</w:t>
            </w:r>
            <w:r>
              <w:rPr>
                <w:rFonts w:ascii="Times New Roman" w:eastAsia="Times New Roman"/>
                <w:position w:val="7"/>
                <w:sz w:val="13"/>
              </w:rPr>
              <w:t>3</w:t>
            </w:r>
            <w:r>
              <w:rPr>
                <w:sz w:val="21"/>
              </w:rPr>
              <w:t>）</w:t>
            </w:r>
          </w:p>
        </w:tc>
        <w:tc>
          <w:tcPr>
            <w:tcW w:w="896" w:type="dxa"/>
          </w:tcPr>
          <w:p>
            <w:pPr>
              <w:pStyle w:val="14"/>
              <w:ind w:left="57"/>
              <w:jc w:val="left"/>
              <w:rPr>
                <w:sz w:val="21"/>
              </w:rPr>
            </w:pPr>
            <w:r>
              <w:rPr>
                <w:sz w:val="21"/>
              </w:rPr>
              <w:t>排放量</w:t>
            </w:r>
          </w:p>
          <w:p>
            <w:pPr>
              <w:pStyle w:val="14"/>
              <w:spacing w:before="2" w:line="252" w:lineRule="exact"/>
              <w:ind w:left="57"/>
              <w:jc w:val="left"/>
              <w:rPr>
                <w:sz w:val="21"/>
              </w:rPr>
            </w:pPr>
            <w:r>
              <w:rPr>
                <w:sz w:val="21"/>
              </w:rPr>
              <w:t>（</w:t>
            </w:r>
            <w:r>
              <w:rPr>
                <w:rFonts w:ascii="Times New Roman" w:eastAsia="Times New Roman"/>
                <w:sz w:val="21"/>
              </w:rPr>
              <w:t>kg/d</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463" w:type="dxa"/>
          </w:tcPr>
          <w:p>
            <w:pPr>
              <w:pStyle w:val="14"/>
              <w:spacing w:before="92"/>
              <w:ind w:left="56"/>
              <w:jc w:val="left"/>
              <w:rPr>
                <w:sz w:val="21"/>
              </w:rPr>
            </w:pPr>
            <w:r>
              <w:rPr>
                <w:sz w:val="21"/>
              </w:rPr>
              <w:t>餐厅</w:t>
            </w:r>
          </w:p>
        </w:tc>
        <w:tc>
          <w:tcPr>
            <w:tcW w:w="1154" w:type="dxa"/>
          </w:tcPr>
          <w:p>
            <w:pPr>
              <w:pStyle w:val="14"/>
              <w:spacing w:before="106"/>
              <w:ind w:left="57"/>
              <w:jc w:val="left"/>
              <w:rPr>
                <w:rFonts w:ascii="Times New Roman"/>
                <w:sz w:val="21"/>
              </w:rPr>
            </w:pPr>
            <w:r>
              <w:rPr>
                <w:rFonts w:ascii="Times New Roman"/>
                <w:sz w:val="21"/>
              </w:rPr>
              <w:t>0.03</w:t>
            </w:r>
          </w:p>
        </w:tc>
        <w:tc>
          <w:tcPr>
            <w:tcW w:w="800" w:type="dxa"/>
          </w:tcPr>
          <w:p>
            <w:pPr>
              <w:pStyle w:val="14"/>
              <w:spacing w:before="106"/>
              <w:ind w:left="55"/>
              <w:jc w:val="left"/>
              <w:rPr>
                <w:rFonts w:ascii="Times New Roman"/>
                <w:sz w:val="21"/>
              </w:rPr>
            </w:pPr>
            <w:r>
              <w:rPr>
                <w:rFonts w:ascii="Times New Roman"/>
                <w:sz w:val="21"/>
              </w:rPr>
              <w:t>6.58</w:t>
            </w:r>
          </w:p>
        </w:tc>
        <w:tc>
          <w:tcPr>
            <w:tcW w:w="705" w:type="dxa"/>
          </w:tcPr>
          <w:p>
            <w:pPr>
              <w:pStyle w:val="14"/>
              <w:spacing w:before="106"/>
              <w:ind w:left="57"/>
              <w:jc w:val="left"/>
              <w:rPr>
                <w:rFonts w:ascii="Times New Roman"/>
                <w:sz w:val="21"/>
              </w:rPr>
            </w:pPr>
            <w:r>
              <w:rPr>
                <w:rFonts w:ascii="Times New Roman"/>
                <w:sz w:val="21"/>
              </w:rPr>
              <w:t>2.83%</w:t>
            </w:r>
          </w:p>
        </w:tc>
        <w:tc>
          <w:tcPr>
            <w:tcW w:w="1008" w:type="dxa"/>
          </w:tcPr>
          <w:p>
            <w:pPr>
              <w:pStyle w:val="14"/>
              <w:spacing w:before="106"/>
              <w:ind w:left="55"/>
              <w:jc w:val="left"/>
              <w:rPr>
                <w:rFonts w:ascii="Times New Roman"/>
                <w:sz w:val="21"/>
              </w:rPr>
            </w:pPr>
            <w:r>
              <w:rPr>
                <w:rFonts w:ascii="Times New Roman"/>
                <w:sz w:val="21"/>
              </w:rPr>
              <w:t>16000</w:t>
            </w:r>
          </w:p>
        </w:tc>
        <w:tc>
          <w:tcPr>
            <w:tcW w:w="1188" w:type="dxa"/>
          </w:tcPr>
          <w:p>
            <w:pPr>
              <w:pStyle w:val="14"/>
              <w:spacing w:before="106"/>
              <w:ind w:left="55"/>
              <w:jc w:val="left"/>
              <w:rPr>
                <w:rFonts w:ascii="Times New Roman"/>
                <w:sz w:val="21"/>
              </w:rPr>
            </w:pPr>
            <w:r>
              <w:rPr>
                <w:rFonts w:ascii="Times New Roman"/>
                <w:sz w:val="21"/>
              </w:rPr>
              <w:t>8.75</w:t>
            </w:r>
          </w:p>
        </w:tc>
        <w:tc>
          <w:tcPr>
            <w:tcW w:w="896" w:type="dxa"/>
          </w:tcPr>
          <w:p>
            <w:pPr>
              <w:pStyle w:val="14"/>
              <w:spacing w:before="106"/>
              <w:ind w:left="55"/>
              <w:jc w:val="left"/>
              <w:rPr>
                <w:rFonts w:ascii="Times New Roman"/>
                <w:sz w:val="21"/>
              </w:rPr>
            </w:pPr>
            <w:r>
              <w:rPr>
                <w:rFonts w:ascii="Times New Roman"/>
                <w:sz w:val="21"/>
              </w:rPr>
              <w:t>0.56</w:t>
            </w:r>
          </w:p>
        </w:tc>
        <w:tc>
          <w:tcPr>
            <w:tcW w:w="1188" w:type="dxa"/>
          </w:tcPr>
          <w:p>
            <w:pPr>
              <w:pStyle w:val="14"/>
              <w:spacing w:before="106"/>
              <w:ind w:left="57"/>
              <w:jc w:val="left"/>
              <w:rPr>
                <w:rFonts w:ascii="Times New Roman"/>
                <w:sz w:val="21"/>
              </w:rPr>
            </w:pPr>
            <w:r>
              <w:rPr>
                <w:rFonts w:ascii="Times New Roman"/>
                <w:sz w:val="21"/>
              </w:rPr>
              <w:t>1.31</w:t>
            </w:r>
          </w:p>
        </w:tc>
        <w:tc>
          <w:tcPr>
            <w:tcW w:w="896" w:type="dxa"/>
          </w:tcPr>
          <w:p>
            <w:pPr>
              <w:pStyle w:val="14"/>
              <w:spacing w:before="106"/>
              <w:ind w:left="57"/>
              <w:jc w:val="left"/>
              <w:rPr>
                <w:rFonts w:ascii="Times New Roman"/>
                <w:sz w:val="21"/>
              </w:rPr>
            </w:pPr>
            <w:r>
              <w:rPr>
                <w:rFonts w:ascii="Times New Roman"/>
                <w:sz w:val="21"/>
              </w:rPr>
              <w:t>0.084</w:t>
            </w:r>
          </w:p>
        </w:tc>
      </w:tr>
    </w:tbl>
    <w:p>
      <w:pPr>
        <w:pStyle w:val="6"/>
        <w:rPr>
          <w:b/>
          <w:sz w:val="26"/>
        </w:rPr>
      </w:pPr>
    </w:p>
    <w:p>
      <w:pPr>
        <w:pStyle w:val="6"/>
        <w:spacing w:before="10"/>
        <w:rPr>
          <w:b/>
          <w:sz w:val="22"/>
        </w:rPr>
      </w:pPr>
    </w:p>
    <w:p>
      <w:pPr>
        <w:pStyle w:val="6"/>
        <w:ind w:left="1520"/>
      </w:pPr>
      <w:r>
        <w:t xml:space="preserve">废气污染源源强核算结果及相关参数见表 </w:t>
      </w:r>
      <w:r>
        <w:rPr>
          <w:rFonts w:ascii="Times New Roman" w:eastAsia="Times New Roman"/>
        </w:rPr>
        <w:t>3.4-4</w:t>
      </w:r>
      <w:r>
        <w:t>。</w:t>
      </w:r>
    </w:p>
    <w:p>
      <w:pPr>
        <w:spacing w:after="0"/>
        <w:sectPr>
          <w:pgSz w:w="11910" w:h="16840"/>
          <w:pgMar w:top="1080" w:right="720" w:bottom="1160" w:left="760" w:header="0" w:footer="971" w:gutter="0"/>
        </w:sectPr>
      </w:pPr>
    </w:p>
    <w:p>
      <w:pPr>
        <w:pStyle w:val="6"/>
        <w:spacing w:line="20" w:lineRule="exact"/>
        <w:ind w:left="312"/>
        <w:rPr>
          <w:sz w:val="2"/>
        </w:rPr>
      </w:pPr>
      <w:r>
        <w:rPr>
          <w:sz w:val="2"/>
        </w:rPr>
        <mc:AlternateContent>
          <mc:Choice Requires="wpg">
            <w:drawing>
              <wp:inline distT="0" distB="0" distL="114300" distR="114300">
                <wp:extent cx="8863330" cy="9525"/>
                <wp:effectExtent l="0" t="0" r="0" b="0"/>
                <wp:docPr id="140" name="组合 85"/>
                <wp:cNvGraphicFramePr/>
                <a:graphic xmlns:a="http://schemas.openxmlformats.org/drawingml/2006/main">
                  <a:graphicData uri="http://schemas.microsoft.com/office/word/2010/wordprocessingGroup">
                    <wpg:wgp>
                      <wpg:cNvGrpSpPr/>
                      <wpg:grpSpPr>
                        <a:xfrm>
                          <a:off x="0" y="0"/>
                          <a:ext cx="8863330" cy="9525"/>
                          <a:chOff x="0" y="0"/>
                          <a:chExt cx="13958" cy="15"/>
                        </a:xfrm>
                      </wpg:grpSpPr>
                      <wps:wsp>
                        <wps:cNvPr id="139" name="直线 86"/>
                        <wps:cNvSpPr/>
                        <wps:spPr>
                          <a:xfrm>
                            <a:off x="0" y="7"/>
                            <a:ext cx="13958"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85" o:spid="_x0000_s1026" o:spt="203" style="height:0.75pt;width:697.9pt;" coordsize="13958,15" o:gfxdata="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KU35L1AAAAAQBAAAPAAAAAAAAAAEAIAAAACIAAABkcnMvZG93bnJldi54&#10;bWxQSwECFAAUAAAACACHTuJA9W30/jcCAAC4BAAADgAAAAAAAAABACAAAAAjAQAAZHJzL2Uyb0Rv&#10;Yy54bWxQSwUGAAAAAAYABgBZAQAAzAUAAAAA&#10;">
                <o:lock v:ext="edit" aspectratio="f"/>
                <v:line id="直线 86" o:spid="_x0000_s1026" o:spt="20" style="position:absolute;left:0;top:7;height:0;width:13958;" filled="f" stroked="t" coordsize="21600,21600" o:gfxdata="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5k4iL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6"/>
        <w:rPr>
          <w:sz w:val="20"/>
        </w:rPr>
      </w:pPr>
    </w:p>
    <w:p>
      <w:pPr>
        <w:pStyle w:val="6"/>
        <w:rPr>
          <w:sz w:val="20"/>
        </w:rPr>
      </w:pPr>
    </w:p>
    <w:p>
      <w:pPr>
        <w:pStyle w:val="6"/>
        <w:spacing w:before="9"/>
        <w:rPr>
          <w:sz w:val="16"/>
        </w:rPr>
      </w:pPr>
    </w:p>
    <w:p>
      <w:pPr>
        <w:pStyle w:val="5"/>
        <w:spacing w:before="74"/>
        <w:ind w:left="4508" w:right="4491"/>
        <w:jc w:val="center"/>
      </w:pPr>
      <w:r>
        <w:t xml:space="preserve">表 </w:t>
      </w:r>
      <w:r>
        <w:rPr>
          <w:rFonts w:ascii="Times New Roman" w:eastAsia="Times New Roman"/>
        </w:rPr>
        <w:t xml:space="preserve">3.4-4  </w:t>
      </w:r>
      <w:r>
        <w:t>废气污染源源强核算结果及相关参数一览表</w:t>
      </w:r>
    </w:p>
    <w:p>
      <w:pPr>
        <w:pStyle w:val="6"/>
        <w:rPr>
          <w:b/>
          <w:sz w:val="20"/>
        </w:rPr>
      </w:pPr>
    </w:p>
    <w:p>
      <w:pPr>
        <w:pStyle w:val="6"/>
        <w:spacing w:before="1"/>
        <w:rPr>
          <w:b/>
          <w:sz w:val="10"/>
        </w:rPr>
      </w:pPr>
    </w:p>
    <w:tbl>
      <w:tblPr>
        <w:tblStyle w:val="10"/>
        <w:tblW w:w="0" w:type="auto"/>
        <w:tblInd w:w="13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64"/>
        <w:gridCol w:w="1323"/>
        <w:gridCol w:w="677"/>
        <w:gridCol w:w="1038"/>
        <w:gridCol w:w="1037"/>
        <w:gridCol w:w="1038"/>
        <w:gridCol w:w="1039"/>
        <w:gridCol w:w="1370"/>
        <w:gridCol w:w="914"/>
        <w:gridCol w:w="898"/>
        <w:gridCol w:w="898"/>
        <w:gridCol w:w="897"/>
        <w:gridCol w:w="899"/>
        <w:gridCol w:w="879"/>
        <w:gridCol w:w="87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564" w:type="dxa"/>
            <w:vMerge w:val="restart"/>
            <w:tcBorders>
              <w:bottom w:val="single" w:color="000000" w:sz="4" w:space="0"/>
              <w:right w:val="single" w:color="000000" w:sz="4" w:space="0"/>
            </w:tcBorders>
          </w:tcPr>
          <w:p>
            <w:pPr>
              <w:pStyle w:val="14"/>
              <w:spacing w:before="43" w:line="324" w:lineRule="auto"/>
              <w:ind w:left="190" w:right="176"/>
              <w:jc w:val="both"/>
              <w:rPr>
                <w:sz w:val="18"/>
              </w:rPr>
            </w:pPr>
            <w:r>
              <w:rPr>
                <w:sz w:val="18"/>
              </w:rPr>
              <w:t>污染物类</w:t>
            </w:r>
          </w:p>
          <w:p>
            <w:pPr>
              <w:pStyle w:val="14"/>
              <w:spacing w:before="2"/>
              <w:ind w:left="190"/>
              <w:jc w:val="left"/>
              <w:rPr>
                <w:sz w:val="18"/>
              </w:rPr>
            </w:pPr>
            <w:r>
              <w:rPr>
                <w:sz w:val="18"/>
              </w:rPr>
              <w:t>别</w:t>
            </w:r>
          </w:p>
        </w:tc>
        <w:tc>
          <w:tcPr>
            <w:tcW w:w="1323" w:type="dxa"/>
            <w:vMerge w:val="restart"/>
            <w:tcBorders>
              <w:left w:val="single" w:color="000000" w:sz="4" w:space="0"/>
              <w:bottom w:val="single" w:color="000000" w:sz="4" w:space="0"/>
              <w:right w:val="single" w:color="000000" w:sz="4" w:space="0"/>
            </w:tcBorders>
          </w:tcPr>
          <w:p>
            <w:pPr>
              <w:pStyle w:val="14"/>
              <w:jc w:val="left"/>
              <w:rPr>
                <w:b/>
                <w:sz w:val="18"/>
              </w:rPr>
            </w:pPr>
          </w:p>
          <w:p>
            <w:pPr>
              <w:pStyle w:val="14"/>
              <w:jc w:val="left"/>
              <w:rPr>
                <w:b/>
                <w:sz w:val="18"/>
              </w:rPr>
            </w:pPr>
          </w:p>
          <w:p>
            <w:pPr>
              <w:pStyle w:val="14"/>
              <w:jc w:val="left"/>
              <w:rPr>
                <w:b/>
                <w:sz w:val="16"/>
              </w:rPr>
            </w:pPr>
          </w:p>
          <w:p>
            <w:pPr>
              <w:pStyle w:val="14"/>
              <w:ind w:left="395"/>
              <w:jc w:val="left"/>
              <w:rPr>
                <w:sz w:val="18"/>
              </w:rPr>
            </w:pPr>
            <w:r>
              <w:rPr>
                <w:sz w:val="18"/>
              </w:rPr>
              <w:t>污染源</w:t>
            </w:r>
          </w:p>
        </w:tc>
        <w:tc>
          <w:tcPr>
            <w:tcW w:w="677" w:type="dxa"/>
            <w:vMerge w:val="restart"/>
            <w:tcBorders>
              <w:left w:val="single" w:color="000000" w:sz="4" w:space="0"/>
              <w:bottom w:val="single" w:color="000000" w:sz="4" w:space="0"/>
              <w:right w:val="single" w:color="000000" w:sz="4" w:space="0"/>
            </w:tcBorders>
          </w:tcPr>
          <w:p>
            <w:pPr>
              <w:pStyle w:val="14"/>
              <w:jc w:val="left"/>
              <w:rPr>
                <w:b/>
                <w:sz w:val="18"/>
              </w:rPr>
            </w:pPr>
          </w:p>
          <w:p>
            <w:pPr>
              <w:pStyle w:val="14"/>
              <w:spacing w:before="11"/>
              <w:jc w:val="left"/>
              <w:rPr>
                <w:b/>
                <w:sz w:val="21"/>
              </w:rPr>
            </w:pPr>
          </w:p>
          <w:p>
            <w:pPr>
              <w:pStyle w:val="14"/>
              <w:spacing w:line="324" w:lineRule="auto"/>
              <w:ind w:left="252" w:right="143" w:hanging="92"/>
              <w:jc w:val="left"/>
              <w:rPr>
                <w:sz w:val="18"/>
              </w:rPr>
            </w:pPr>
            <w:r>
              <w:rPr>
                <w:sz w:val="18"/>
              </w:rPr>
              <w:t>污染物</w:t>
            </w:r>
          </w:p>
        </w:tc>
        <w:tc>
          <w:tcPr>
            <w:tcW w:w="4152" w:type="dxa"/>
            <w:gridSpan w:val="4"/>
            <w:tcBorders>
              <w:left w:val="single" w:color="000000" w:sz="4" w:space="0"/>
              <w:bottom w:val="single" w:color="000000" w:sz="4" w:space="0"/>
              <w:right w:val="single" w:color="000000" w:sz="4" w:space="0"/>
            </w:tcBorders>
          </w:tcPr>
          <w:p>
            <w:pPr>
              <w:pStyle w:val="14"/>
              <w:spacing w:before="43"/>
              <w:ind w:left="1430" w:right="1412"/>
              <w:rPr>
                <w:sz w:val="18"/>
              </w:rPr>
            </w:pPr>
            <w:r>
              <w:rPr>
                <w:sz w:val="18"/>
              </w:rPr>
              <w:t>污染物产生情况</w:t>
            </w:r>
          </w:p>
        </w:tc>
        <w:tc>
          <w:tcPr>
            <w:tcW w:w="2284" w:type="dxa"/>
            <w:gridSpan w:val="2"/>
            <w:tcBorders>
              <w:left w:val="single" w:color="000000" w:sz="4" w:space="0"/>
              <w:bottom w:val="single" w:color="000000" w:sz="4" w:space="0"/>
              <w:right w:val="single" w:color="000000" w:sz="4" w:space="0"/>
            </w:tcBorders>
          </w:tcPr>
          <w:p>
            <w:pPr>
              <w:pStyle w:val="14"/>
              <w:spacing w:before="43"/>
              <w:ind w:left="761" w:right="745"/>
              <w:rPr>
                <w:sz w:val="18"/>
              </w:rPr>
            </w:pPr>
            <w:r>
              <w:rPr>
                <w:sz w:val="18"/>
              </w:rPr>
              <w:t>治理措施</w:t>
            </w:r>
          </w:p>
        </w:tc>
        <w:tc>
          <w:tcPr>
            <w:tcW w:w="3592" w:type="dxa"/>
            <w:gridSpan w:val="4"/>
            <w:tcBorders>
              <w:left w:val="single" w:color="000000" w:sz="4" w:space="0"/>
              <w:bottom w:val="single" w:color="000000" w:sz="4" w:space="0"/>
              <w:right w:val="single" w:color="000000" w:sz="4" w:space="0"/>
            </w:tcBorders>
          </w:tcPr>
          <w:p>
            <w:pPr>
              <w:pStyle w:val="14"/>
              <w:spacing w:before="43"/>
              <w:ind w:left="1170"/>
              <w:jc w:val="left"/>
              <w:rPr>
                <w:sz w:val="18"/>
              </w:rPr>
            </w:pPr>
            <w:r>
              <w:rPr>
                <w:sz w:val="18"/>
              </w:rPr>
              <w:t>污染物排放情况</w:t>
            </w:r>
          </w:p>
        </w:tc>
        <w:tc>
          <w:tcPr>
            <w:tcW w:w="879" w:type="dxa"/>
            <w:vMerge w:val="restart"/>
            <w:tcBorders>
              <w:left w:val="single" w:color="000000" w:sz="4" w:space="0"/>
              <w:bottom w:val="single" w:color="000000" w:sz="4" w:space="0"/>
              <w:right w:val="single" w:color="000000" w:sz="4" w:space="0"/>
            </w:tcBorders>
          </w:tcPr>
          <w:p>
            <w:pPr>
              <w:pStyle w:val="14"/>
              <w:jc w:val="left"/>
              <w:rPr>
                <w:b/>
                <w:sz w:val="18"/>
              </w:rPr>
            </w:pPr>
          </w:p>
          <w:p>
            <w:pPr>
              <w:pStyle w:val="14"/>
              <w:spacing w:before="11"/>
              <w:jc w:val="left"/>
              <w:rPr>
                <w:b/>
                <w:sz w:val="21"/>
              </w:rPr>
            </w:pPr>
          </w:p>
          <w:p>
            <w:pPr>
              <w:pStyle w:val="14"/>
              <w:ind w:left="263"/>
              <w:jc w:val="left"/>
              <w:rPr>
                <w:sz w:val="18"/>
              </w:rPr>
            </w:pPr>
            <w:r>
              <w:rPr>
                <w:sz w:val="18"/>
              </w:rPr>
              <w:t>标准</w:t>
            </w:r>
          </w:p>
          <w:p>
            <w:pPr>
              <w:pStyle w:val="14"/>
              <w:spacing w:before="91"/>
              <w:ind w:left="203"/>
              <w:jc w:val="left"/>
              <w:rPr>
                <w:rFonts w:ascii="Times New Roman"/>
                <w:sz w:val="11"/>
              </w:rPr>
            </w:pPr>
            <w:r>
              <w:rPr>
                <w:rFonts w:ascii="Times New Roman"/>
                <w:sz w:val="18"/>
              </w:rPr>
              <w:t>mg/m</w:t>
            </w:r>
            <w:r>
              <w:rPr>
                <w:rFonts w:ascii="Times New Roman"/>
                <w:position w:val="6"/>
                <w:sz w:val="11"/>
              </w:rPr>
              <w:t>3</w:t>
            </w:r>
          </w:p>
        </w:tc>
        <w:tc>
          <w:tcPr>
            <w:tcW w:w="879" w:type="dxa"/>
            <w:vMerge w:val="restart"/>
            <w:tcBorders>
              <w:left w:val="single" w:color="000000" w:sz="4" w:space="0"/>
              <w:bottom w:val="single" w:color="000000" w:sz="4" w:space="0"/>
            </w:tcBorders>
          </w:tcPr>
          <w:p>
            <w:pPr>
              <w:pStyle w:val="14"/>
              <w:jc w:val="left"/>
              <w:rPr>
                <w:b/>
                <w:sz w:val="20"/>
              </w:rPr>
            </w:pPr>
          </w:p>
          <w:p>
            <w:pPr>
              <w:pStyle w:val="14"/>
              <w:spacing w:before="11"/>
              <w:jc w:val="left"/>
              <w:rPr>
                <w:b/>
                <w:sz w:val="19"/>
              </w:rPr>
            </w:pPr>
          </w:p>
          <w:p>
            <w:pPr>
              <w:pStyle w:val="14"/>
              <w:spacing w:line="324" w:lineRule="auto"/>
              <w:ind w:left="287" w:right="147" w:hanging="113"/>
              <w:jc w:val="left"/>
              <w:rPr>
                <w:rFonts w:ascii="Times New Roman" w:eastAsia="Times New Roman"/>
                <w:sz w:val="18"/>
              </w:rPr>
            </w:pPr>
            <w:r>
              <w:rPr>
                <w:sz w:val="18"/>
              </w:rPr>
              <w:t>排放时间</w:t>
            </w:r>
            <w:r>
              <w:rPr>
                <w:rFonts w:ascii="Times New Roman" w:eastAsia="Times New Roman"/>
                <w:sz w:val="18"/>
              </w:rPr>
              <w:t>h</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35" w:hRule="atLeast"/>
        </w:trPr>
        <w:tc>
          <w:tcPr>
            <w:tcW w:w="564" w:type="dxa"/>
            <w:vMerge w:val="continue"/>
            <w:tcBorders>
              <w:top w:val="nil"/>
              <w:bottom w:val="single" w:color="000000" w:sz="4" w:space="0"/>
              <w:right w:val="single" w:color="000000" w:sz="4" w:space="0"/>
            </w:tcBorders>
          </w:tcPr>
          <w:p>
            <w:pPr>
              <w:rPr>
                <w:sz w:val="2"/>
                <w:szCs w:val="2"/>
              </w:rPr>
            </w:pPr>
          </w:p>
        </w:tc>
        <w:tc>
          <w:tcPr>
            <w:tcW w:w="1323" w:type="dxa"/>
            <w:vMerge w:val="continue"/>
            <w:tcBorders>
              <w:top w:val="nil"/>
              <w:left w:val="single" w:color="000000" w:sz="4" w:space="0"/>
              <w:bottom w:val="single" w:color="000000" w:sz="4" w:space="0"/>
              <w:right w:val="single" w:color="000000" w:sz="4" w:space="0"/>
            </w:tcBorders>
          </w:tcPr>
          <w:p>
            <w:pPr>
              <w:rPr>
                <w:sz w:val="2"/>
                <w:szCs w:val="2"/>
              </w:rPr>
            </w:pPr>
          </w:p>
        </w:tc>
        <w:tc>
          <w:tcPr>
            <w:tcW w:w="677" w:type="dxa"/>
            <w:vMerge w:val="continue"/>
            <w:tcBorders>
              <w:top w:val="nil"/>
              <w:left w:val="single" w:color="000000" w:sz="4" w:space="0"/>
              <w:bottom w:val="single" w:color="000000" w:sz="4" w:space="0"/>
              <w:right w:val="single" w:color="000000" w:sz="4" w:space="0"/>
            </w:tcBorders>
          </w:tcPr>
          <w:p>
            <w:pPr>
              <w:rPr>
                <w:sz w:val="2"/>
                <w:szCs w:val="2"/>
              </w:rPr>
            </w:pPr>
          </w:p>
        </w:tc>
        <w:tc>
          <w:tcPr>
            <w:tcW w:w="1038" w:type="dxa"/>
            <w:tcBorders>
              <w:top w:val="single" w:color="000000" w:sz="4" w:space="0"/>
              <w:left w:val="single" w:color="000000" w:sz="4" w:space="0"/>
              <w:bottom w:val="single" w:color="000000" w:sz="4" w:space="0"/>
              <w:right w:val="single" w:color="000000" w:sz="4" w:space="0"/>
            </w:tcBorders>
          </w:tcPr>
          <w:p>
            <w:pPr>
              <w:pStyle w:val="14"/>
              <w:jc w:val="left"/>
              <w:rPr>
                <w:b/>
                <w:sz w:val="18"/>
              </w:rPr>
            </w:pPr>
          </w:p>
          <w:p>
            <w:pPr>
              <w:pStyle w:val="14"/>
              <w:spacing w:before="116" w:line="324" w:lineRule="auto"/>
              <w:ind w:left="343" w:right="322"/>
              <w:jc w:val="left"/>
              <w:rPr>
                <w:sz w:val="18"/>
              </w:rPr>
            </w:pPr>
            <w:r>
              <w:rPr>
                <w:sz w:val="18"/>
              </w:rPr>
              <w:t>核算方法</w:t>
            </w:r>
          </w:p>
        </w:tc>
        <w:tc>
          <w:tcPr>
            <w:tcW w:w="1037" w:type="dxa"/>
            <w:tcBorders>
              <w:top w:val="single" w:color="000000" w:sz="4" w:space="0"/>
              <w:left w:val="single" w:color="000000" w:sz="4" w:space="0"/>
              <w:bottom w:val="single" w:color="000000" w:sz="4" w:space="0"/>
              <w:right w:val="single" w:color="000000" w:sz="4" w:space="0"/>
            </w:tcBorders>
          </w:tcPr>
          <w:p>
            <w:pPr>
              <w:pStyle w:val="14"/>
              <w:jc w:val="left"/>
              <w:rPr>
                <w:b/>
                <w:sz w:val="18"/>
              </w:rPr>
            </w:pPr>
          </w:p>
          <w:p>
            <w:pPr>
              <w:pStyle w:val="14"/>
              <w:spacing w:before="116"/>
              <w:ind w:left="231" w:right="216"/>
              <w:rPr>
                <w:sz w:val="18"/>
              </w:rPr>
            </w:pPr>
            <w:r>
              <w:rPr>
                <w:sz w:val="18"/>
              </w:rPr>
              <w:t>废气量</w:t>
            </w:r>
          </w:p>
          <w:p>
            <w:pPr>
              <w:pStyle w:val="14"/>
              <w:spacing w:before="93"/>
              <w:ind w:left="231" w:right="212"/>
              <w:rPr>
                <w:rFonts w:ascii="Times New Roman"/>
                <w:sz w:val="18"/>
              </w:rPr>
            </w:pPr>
            <w:r>
              <w:rPr>
                <w:rFonts w:ascii="Times New Roman"/>
                <w:sz w:val="18"/>
              </w:rPr>
              <w:t>m</w:t>
            </w:r>
            <w:r>
              <w:rPr>
                <w:rFonts w:ascii="Times New Roman"/>
                <w:position w:val="6"/>
                <w:sz w:val="11"/>
              </w:rPr>
              <w:t>3</w:t>
            </w:r>
            <w:r>
              <w:rPr>
                <w:rFonts w:ascii="Times New Roman"/>
                <w:sz w:val="18"/>
              </w:rPr>
              <w:t>/h</w:t>
            </w:r>
          </w:p>
        </w:tc>
        <w:tc>
          <w:tcPr>
            <w:tcW w:w="1038" w:type="dxa"/>
            <w:tcBorders>
              <w:top w:val="single" w:color="000000" w:sz="4" w:space="0"/>
              <w:left w:val="single" w:color="000000" w:sz="4" w:space="0"/>
              <w:bottom w:val="single" w:color="000000" w:sz="4" w:space="0"/>
              <w:right w:val="single" w:color="000000" w:sz="4" w:space="0"/>
            </w:tcBorders>
          </w:tcPr>
          <w:p>
            <w:pPr>
              <w:pStyle w:val="14"/>
              <w:jc w:val="left"/>
              <w:rPr>
                <w:b/>
                <w:sz w:val="18"/>
              </w:rPr>
            </w:pPr>
          </w:p>
          <w:p>
            <w:pPr>
              <w:pStyle w:val="14"/>
              <w:spacing w:before="116"/>
              <w:ind w:left="140" w:right="124"/>
              <w:rPr>
                <w:sz w:val="18"/>
              </w:rPr>
            </w:pPr>
            <w:r>
              <w:rPr>
                <w:sz w:val="18"/>
              </w:rPr>
              <w:t>产生浓度</w:t>
            </w:r>
          </w:p>
          <w:p>
            <w:pPr>
              <w:pStyle w:val="14"/>
              <w:spacing w:before="93"/>
              <w:ind w:left="142" w:right="123"/>
              <w:rPr>
                <w:rFonts w:ascii="Times New Roman"/>
                <w:sz w:val="11"/>
              </w:rPr>
            </w:pPr>
            <w:r>
              <w:rPr>
                <w:rFonts w:ascii="Times New Roman"/>
                <w:sz w:val="18"/>
              </w:rPr>
              <w:t>mg/m</w:t>
            </w:r>
            <w:r>
              <w:rPr>
                <w:rFonts w:ascii="Times New Roman"/>
                <w:position w:val="6"/>
                <w:sz w:val="11"/>
              </w:rPr>
              <w:t>3</w:t>
            </w:r>
          </w:p>
        </w:tc>
        <w:tc>
          <w:tcPr>
            <w:tcW w:w="1039" w:type="dxa"/>
            <w:tcBorders>
              <w:top w:val="single" w:color="000000" w:sz="4" w:space="0"/>
              <w:left w:val="single" w:color="000000" w:sz="4" w:space="0"/>
              <w:bottom w:val="single" w:color="000000" w:sz="4" w:space="0"/>
              <w:right w:val="single" w:color="000000" w:sz="4" w:space="0"/>
            </w:tcBorders>
          </w:tcPr>
          <w:p>
            <w:pPr>
              <w:pStyle w:val="14"/>
              <w:jc w:val="left"/>
              <w:rPr>
                <w:b/>
                <w:sz w:val="20"/>
              </w:rPr>
            </w:pPr>
          </w:p>
          <w:p>
            <w:pPr>
              <w:pStyle w:val="14"/>
              <w:spacing w:before="2"/>
              <w:jc w:val="left"/>
              <w:rPr>
                <w:b/>
                <w:sz w:val="19"/>
              </w:rPr>
            </w:pPr>
          </w:p>
          <w:p>
            <w:pPr>
              <w:pStyle w:val="14"/>
              <w:spacing w:before="1"/>
              <w:ind w:left="100" w:right="79"/>
              <w:rPr>
                <w:rFonts w:ascii="Times New Roman" w:eastAsia="Times New Roman"/>
                <w:sz w:val="18"/>
              </w:rPr>
            </w:pPr>
            <w:r>
              <w:rPr>
                <w:sz w:val="18"/>
              </w:rPr>
              <w:t xml:space="preserve">产生量 </w:t>
            </w:r>
            <w:r>
              <w:rPr>
                <w:rFonts w:ascii="Times New Roman" w:eastAsia="Times New Roman"/>
                <w:sz w:val="18"/>
              </w:rPr>
              <w:t>t/a</w:t>
            </w:r>
          </w:p>
        </w:tc>
        <w:tc>
          <w:tcPr>
            <w:tcW w:w="1370" w:type="dxa"/>
            <w:tcBorders>
              <w:top w:val="single" w:color="000000" w:sz="4" w:space="0"/>
              <w:left w:val="single" w:color="000000" w:sz="4" w:space="0"/>
              <w:bottom w:val="single" w:color="000000" w:sz="4" w:space="0"/>
              <w:right w:val="single" w:color="000000" w:sz="4" w:space="0"/>
            </w:tcBorders>
          </w:tcPr>
          <w:p>
            <w:pPr>
              <w:pStyle w:val="14"/>
              <w:jc w:val="left"/>
              <w:rPr>
                <w:b/>
                <w:sz w:val="18"/>
              </w:rPr>
            </w:pPr>
          </w:p>
          <w:p>
            <w:pPr>
              <w:pStyle w:val="14"/>
              <w:spacing w:before="2"/>
              <w:jc w:val="left"/>
              <w:rPr>
                <w:b/>
                <w:sz w:val="21"/>
              </w:rPr>
            </w:pPr>
          </w:p>
          <w:p>
            <w:pPr>
              <w:pStyle w:val="14"/>
              <w:spacing w:before="1"/>
              <w:ind w:left="129" w:right="111"/>
              <w:rPr>
                <w:sz w:val="18"/>
              </w:rPr>
            </w:pPr>
            <w:r>
              <w:rPr>
                <w:sz w:val="18"/>
              </w:rPr>
              <w:t>工艺</w:t>
            </w:r>
          </w:p>
        </w:tc>
        <w:tc>
          <w:tcPr>
            <w:tcW w:w="914" w:type="dxa"/>
            <w:tcBorders>
              <w:top w:val="single" w:color="000000" w:sz="4" w:space="0"/>
              <w:left w:val="single" w:color="000000" w:sz="4" w:space="0"/>
              <w:bottom w:val="single" w:color="000000" w:sz="4" w:space="0"/>
              <w:right w:val="single" w:color="000000" w:sz="4" w:space="0"/>
            </w:tcBorders>
          </w:tcPr>
          <w:p>
            <w:pPr>
              <w:pStyle w:val="14"/>
              <w:jc w:val="left"/>
              <w:rPr>
                <w:b/>
                <w:sz w:val="20"/>
              </w:rPr>
            </w:pPr>
          </w:p>
          <w:p>
            <w:pPr>
              <w:pStyle w:val="14"/>
              <w:spacing w:before="2"/>
              <w:jc w:val="left"/>
              <w:rPr>
                <w:b/>
                <w:sz w:val="19"/>
              </w:rPr>
            </w:pPr>
          </w:p>
          <w:p>
            <w:pPr>
              <w:pStyle w:val="14"/>
              <w:spacing w:before="1"/>
              <w:ind w:left="187" w:right="167"/>
              <w:rPr>
                <w:rFonts w:ascii="Times New Roman" w:eastAsia="Times New Roman"/>
                <w:sz w:val="18"/>
              </w:rPr>
            </w:pPr>
            <w:r>
              <w:rPr>
                <w:sz w:val="18"/>
              </w:rPr>
              <w:t>效率</w:t>
            </w:r>
            <w:r>
              <w:rPr>
                <w:rFonts w:ascii="Times New Roman" w:eastAsia="Times New Roman"/>
                <w:sz w:val="18"/>
              </w:rPr>
              <w:t>%</w:t>
            </w:r>
          </w:p>
        </w:tc>
        <w:tc>
          <w:tcPr>
            <w:tcW w:w="898" w:type="dxa"/>
            <w:tcBorders>
              <w:top w:val="single" w:color="000000" w:sz="4" w:space="0"/>
              <w:left w:val="single" w:color="000000" w:sz="4" w:space="0"/>
              <w:bottom w:val="single" w:color="000000" w:sz="4" w:space="0"/>
              <w:right w:val="single" w:color="000000" w:sz="4" w:space="0"/>
            </w:tcBorders>
          </w:tcPr>
          <w:p>
            <w:pPr>
              <w:pStyle w:val="14"/>
              <w:jc w:val="left"/>
              <w:rPr>
                <w:b/>
                <w:sz w:val="18"/>
              </w:rPr>
            </w:pPr>
          </w:p>
          <w:p>
            <w:pPr>
              <w:pStyle w:val="14"/>
              <w:spacing w:before="116"/>
              <w:ind w:left="183"/>
              <w:jc w:val="left"/>
              <w:rPr>
                <w:sz w:val="18"/>
              </w:rPr>
            </w:pPr>
            <w:r>
              <w:rPr>
                <w:sz w:val="18"/>
              </w:rPr>
              <w:t>废气量</w:t>
            </w:r>
          </w:p>
          <w:p>
            <w:pPr>
              <w:pStyle w:val="14"/>
              <w:spacing w:before="93"/>
              <w:ind w:left="224"/>
              <w:jc w:val="left"/>
              <w:rPr>
                <w:rFonts w:ascii="Times New Roman"/>
                <w:sz w:val="18"/>
              </w:rPr>
            </w:pPr>
            <w:r>
              <w:rPr>
                <w:rFonts w:ascii="Times New Roman"/>
                <w:sz w:val="18"/>
              </w:rPr>
              <w:t>(m</w:t>
            </w:r>
            <w:r>
              <w:rPr>
                <w:rFonts w:ascii="Times New Roman"/>
                <w:position w:val="6"/>
                <w:sz w:val="11"/>
              </w:rPr>
              <w:t>3</w:t>
            </w:r>
            <w:r>
              <w:rPr>
                <w:rFonts w:ascii="Times New Roman"/>
                <w:sz w:val="18"/>
              </w:rPr>
              <w:t>/h)</w:t>
            </w:r>
          </w:p>
        </w:tc>
        <w:tc>
          <w:tcPr>
            <w:tcW w:w="898" w:type="dxa"/>
            <w:tcBorders>
              <w:top w:val="single" w:color="000000" w:sz="4" w:space="0"/>
              <w:left w:val="single" w:color="000000" w:sz="4" w:space="0"/>
              <w:bottom w:val="single" w:color="000000" w:sz="4" w:space="0"/>
              <w:right w:val="single" w:color="000000" w:sz="4" w:space="0"/>
            </w:tcBorders>
          </w:tcPr>
          <w:p>
            <w:pPr>
              <w:pStyle w:val="14"/>
              <w:jc w:val="left"/>
              <w:rPr>
                <w:b/>
                <w:sz w:val="27"/>
              </w:rPr>
            </w:pPr>
          </w:p>
          <w:p>
            <w:pPr>
              <w:pStyle w:val="14"/>
              <w:spacing w:line="324" w:lineRule="auto"/>
              <w:ind w:left="111" w:right="93" w:firstLine="72"/>
              <w:jc w:val="left"/>
              <w:rPr>
                <w:rFonts w:ascii="Times New Roman" w:eastAsia="Times New Roman"/>
                <w:sz w:val="11"/>
              </w:rPr>
            </w:pPr>
            <w:r>
              <w:rPr>
                <w:sz w:val="18"/>
              </w:rPr>
              <w:t>排放浓度</w:t>
            </w:r>
            <w:r>
              <w:rPr>
                <w:rFonts w:ascii="Times New Roman" w:eastAsia="Times New Roman"/>
                <w:sz w:val="18"/>
              </w:rPr>
              <w:t>mg/m</w:t>
            </w:r>
            <w:r>
              <w:rPr>
                <w:rFonts w:ascii="Times New Roman" w:eastAsia="Times New Roman"/>
                <w:position w:val="6"/>
                <w:sz w:val="11"/>
              </w:rPr>
              <w:t>3</w:t>
            </w:r>
          </w:p>
        </w:tc>
        <w:tc>
          <w:tcPr>
            <w:tcW w:w="897" w:type="dxa"/>
            <w:tcBorders>
              <w:top w:val="single" w:color="000000" w:sz="4" w:space="0"/>
              <w:left w:val="single" w:color="000000" w:sz="4" w:space="0"/>
              <w:bottom w:val="single" w:color="000000" w:sz="4" w:space="0"/>
              <w:right w:val="single" w:color="000000" w:sz="4" w:space="0"/>
            </w:tcBorders>
          </w:tcPr>
          <w:p>
            <w:pPr>
              <w:pStyle w:val="14"/>
              <w:jc w:val="left"/>
              <w:rPr>
                <w:b/>
                <w:sz w:val="27"/>
              </w:rPr>
            </w:pPr>
          </w:p>
          <w:p>
            <w:pPr>
              <w:pStyle w:val="14"/>
              <w:spacing w:line="324" w:lineRule="auto"/>
              <w:ind w:left="180" w:right="98" w:firstLine="2"/>
              <w:jc w:val="left"/>
              <w:rPr>
                <w:rFonts w:ascii="Times New Roman" w:eastAsia="Times New Roman"/>
                <w:sz w:val="18"/>
              </w:rPr>
            </w:pPr>
            <w:r>
              <w:rPr>
                <w:sz w:val="18"/>
              </w:rPr>
              <w:t xml:space="preserve">排放速率 </w:t>
            </w:r>
            <w:r>
              <w:rPr>
                <w:rFonts w:ascii="Times New Roman" w:eastAsia="Times New Roman"/>
                <w:sz w:val="18"/>
              </w:rPr>
              <w:t>kg/h</w:t>
            </w:r>
          </w:p>
        </w:tc>
        <w:tc>
          <w:tcPr>
            <w:tcW w:w="899" w:type="dxa"/>
            <w:tcBorders>
              <w:top w:val="single" w:color="000000" w:sz="4" w:space="0"/>
              <w:left w:val="single" w:color="000000" w:sz="4" w:space="0"/>
              <w:bottom w:val="single" w:color="000000" w:sz="4" w:space="0"/>
              <w:right w:val="single" w:color="000000" w:sz="4" w:space="0"/>
            </w:tcBorders>
          </w:tcPr>
          <w:p>
            <w:pPr>
              <w:pStyle w:val="14"/>
              <w:jc w:val="left"/>
              <w:rPr>
                <w:b/>
                <w:sz w:val="18"/>
              </w:rPr>
            </w:pPr>
          </w:p>
          <w:p>
            <w:pPr>
              <w:pStyle w:val="14"/>
              <w:spacing w:before="116"/>
              <w:ind w:left="163" w:right="145"/>
              <w:rPr>
                <w:sz w:val="18"/>
              </w:rPr>
            </w:pPr>
            <w:r>
              <w:rPr>
                <w:sz w:val="18"/>
              </w:rPr>
              <w:t>排放量</w:t>
            </w:r>
          </w:p>
          <w:p>
            <w:pPr>
              <w:pStyle w:val="14"/>
              <w:spacing w:before="93"/>
              <w:ind w:left="163" w:right="145"/>
              <w:rPr>
                <w:rFonts w:ascii="Times New Roman"/>
                <w:sz w:val="18"/>
              </w:rPr>
            </w:pPr>
            <w:r>
              <w:rPr>
                <w:rFonts w:ascii="Times New Roman"/>
                <w:sz w:val="18"/>
              </w:rPr>
              <w:t>t/a</w:t>
            </w:r>
          </w:p>
        </w:tc>
        <w:tc>
          <w:tcPr>
            <w:tcW w:w="879" w:type="dxa"/>
            <w:vMerge w:val="continue"/>
            <w:tcBorders>
              <w:top w:val="nil"/>
              <w:left w:val="single" w:color="000000" w:sz="4" w:space="0"/>
              <w:bottom w:val="single" w:color="000000" w:sz="4" w:space="0"/>
              <w:right w:val="single" w:color="000000" w:sz="4" w:space="0"/>
            </w:tcBorders>
          </w:tcPr>
          <w:p>
            <w:pPr>
              <w:rPr>
                <w:sz w:val="2"/>
                <w:szCs w:val="2"/>
              </w:rPr>
            </w:pPr>
          </w:p>
        </w:tc>
        <w:tc>
          <w:tcPr>
            <w:tcW w:w="87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 w:hRule="atLeast"/>
        </w:trPr>
        <w:tc>
          <w:tcPr>
            <w:tcW w:w="564" w:type="dxa"/>
            <w:vMerge w:val="restart"/>
            <w:tcBorders>
              <w:top w:val="single" w:color="000000" w:sz="4" w:space="0"/>
              <w:right w:val="single" w:color="000000" w:sz="4" w:space="0"/>
            </w:tcBorders>
          </w:tcPr>
          <w:p>
            <w:pPr>
              <w:pStyle w:val="14"/>
              <w:jc w:val="left"/>
              <w:rPr>
                <w:b/>
                <w:sz w:val="18"/>
              </w:rPr>
            </w:pPr>
          </w:p>
          <w:p>
            <w:pPr>
              <w:pStyle w:val="14"/>
              <w:jc w:val="left"/>
              <w:rPr>
                <w:b/>
                <w:sz w:val="18"/>
              </w:rPr>
            </w:pPr>
          </w:p>
          <w:p>
            <w:pPr>
              <w:pStyle w:val="14"/>
              <w:jc w:val="left"/>
              <w:rPr>
                <w:b/>
                <w:sz w:val="18"/>
              </w:rPr>
            </w:pPr>
          </w:p>
          <w:p>
            <w:pPr>
              <w:pStyle w:val="14"/>
              <w:jc w:val="left"/>
              <w:rPr>
                <w:b/>
                <w:sz w:val="18"/>
              </w:rPr>
            </w:pPr>
          </w:p>
          <w:p>
            <w:pPr>
              <w:pStyle w:val="14"/>
              <w:jc w:val="left"/>
              <w:rPr>
                <w:b/>
                <w:sz w:val="18"/>
              </w:rPr>
            </w:pPr>
          </w:p>
          <w:p>
            <w:pPr>
              <w:pStyle w:val="14"/>
              <w:jc w:val="left"/>
              <w:rPr>
                <w:b/>
                <w:sz w:val="18"/>
              </w:rPr>
            </w:pPr>
          </w:p>
          <w:p>
            <w:pPr>
              <w:pStyle w:val="14"/>
              <w:spacing w:before="3"/>
              <w:jc w:val="left"/>
              <w:rPr>
                <w:b/>
                <w:sz w:val="20"/>
              </w:rPr>
            </w:pPr>
          </w:p>
          <w:p>
            <w:pPr>
              <w:pStyle w:val="14"/>
              <w:spacing w:line="324" w:lineRule="auto"/>
              <w:ind w:left="190" w:right="176"/>
              <w:jc w:val="left"/>
              <w:rPr>
                <w:sz w:val="18"/>
              </w:rPr>
            </w:pPr>
            <w:r>
              <w:rPr>
                <w:sz w:val="18"/>
              </w:rPr>
              <w:t>废气</w:t>
            </w:r>
          </w:p>
        </w:tc>
        <w:tc>
          <w:tcPr>
            <w:tcW w:w="1323" w:type="dxa"/>
            <w:vMerge w:val="restart"/>
            <w:tcBorders>
              <w:top w:val="single" w:color="000000" w:sz="4" w:space="0"/>
              <w:left w:val="single" w:color="000000" w:sz="4" w:space="0"/>
              <w:bottom w:val="single" w:color="000000" w:sz="4" w:space="0"/>
              <w:right w:val="single" w:color="000000" w:sz="4" w:space="0"/>
            </w:tcBorders>
          </w:tcPr>
          <w:p>
            <w:pPr>
              <w:pStyle w:val="14"/>
              <w:jc w:val="left"/>
              <w:rPr>
                <w:b/>
                <w:sz w:val="18"/>
              </w:rPr>
            </w:pPr>
          </w:p>
          <w:p>
            <w:pPr>
              <w:pStyle w:val="14"/>
              <w:spacing w:before="133"/>
              <w:ind w:left="126"/>
              <w:jc w:val="left"/>
              <w:rPr>
                <w:sz w:val="18"/>
              </w:rPr>
            </w:pPr>
            <w:r>
              <w:rPr>
                <w:sz w:val="18"/>
              </w:rPr>
              <w:t>热风炉房烟囱</w:t>
            </w:r>
          </w:p>
        </w:tc>
        <w:tc>
          <w:tcPr>
            <w:tcW w:w="677" w:type="dxa"/>
            <w:tcBorders>
              <w:top w:val="single" w:color="000000" w:sz="4" w:space="0"/>
              <w:left w:val="single" w:color="000000" w:sz="4" w:space="0"/>
              <w:bottom w:val="single" w:color="000000" w:sz="4" w:space="0"/>
              <w:right w:val="single" w:color="000000" w:sz="4" w:space="0"/>
            </w:tcBorders>
          </w:tcPr>
          <w:p>
            <w:pPr>
              <w:pStyle w:val="14"/>
              <w:spacing w:before="40"/>
              <w:ind w:left="161"/>
              <w:jc w:val="left"/>
              <w:rPr>
                <w:sz w:val="18"/>
              </w:rPr>
            </w:pPr>
            <w:r>
              <w:rPr>
                <w:sz w:val="18"/>
              </w:rPr>
              <w:t>烟尘</w:t>
            </w:r>
          </w:p>
        </w:tc>
        <w:tc>
          <w:tcPr>
            <w:tcW w:w="1038" w:type="dxa"/>
            <w:vMerge w:val="restart"/>
            <w:tcBorders>
              <w:top w:val="single" w:color="000000" w:sz="4" w:space="0"/>
              <w:left w:val="single" w:color="000000" w:sz="4" w:space="0"/>
              <w:bottom w:val="single" w:color="000000" w:sz="4" w:space="0"/>
              <w:right w:val="single" w:color="000000" w:sz="4" w:space="0"/>
            </w:tcBorders>
          </w:tcPr>
          <w:p>
            <w:pPr>
              <w:pStyle w:val="14"/>
              <w:spacing w:before="3"/>
              <w:jc w:val="left"/>
              <w:rPr>
                <w:b/>
                <w:sz w:val="16"/>
              </w:rPr>
            </w:pPr>
          </w:p>
          <w:p>
            <w:pPr>
              <w:pStyle w:val="14"/>
              <w:spacing w:line="324" w:lineRule="auto"/>
              <w:ind w:left="252" w:right="233" w:firstLine="91"/>
              <w:jc w:val="left"/>
              <w:rPr>
                <w:sz w:val="18"/>
              </w:rPr>
            </w:pPr>
            <w:r>
              <w:rPr>
                <w:sz w:val="18"/>
              </w:rPr>
              <w:t>物料衡算法</w:t>
            </w:r>
          </w:p>
        </w:tc>
        <w:tc>
          <w:tcPr>
            <w:tcW w:w="1037" w:type="dxa"/>
            <w:vMerge w:val="restart"/>
            <w:tcBorders>
              <w:top w:val="single" w:color="000000" w:sz="4" w:space="0"/>
              <w:left w:val="single" w:color="000000" w:sz="4" w:space="0"/>
              <w:bottom w:val="single" w:color="000000" w:sz="4" w:space="0"/>
              <w:right w:val="single" w:color="000000" w:sz="4" w:space="0"/>
            </w:tcBorders>
          </w:tcPr>
          <w:p>
            <w:pPr>
              <w:pStyle w:val="14"/>
              <w:spacing w:before="4"/>
              <w:jc w:val="left"/>
              <w:rPr>
                <w:b/>
                <w:sz w:val="29"/>
              </w:rPr>
            </w:pPr>
          </w:p>
          <w:p>
            <w:pPr>
              <w:pStyle w:val="14"/>
              <w:ind w:left="342"/>
              <w:jc w:val="left"/>
              <w:rPr>
                <w:rFonts w:ascii="Times New Roman"/>
                <w:sz w:val="18"/>
              </w:rPr>
            </w:pPr>
            <w:r>
              <w:rPr>
                <w:rFonts w:ascii="Times New Roman"/>
                <w:sz w:val="18"/>
              </w:rPr>
              <w:t>1508</w:t>
            </w:r>
          </w:p>
        </w:tc>
        <w:tc>
          <w:tcPr>
            <w:tcW w:w="1038" w:type="dxa"/>
            <w:tcBorders>
              <w:top w:val="single" w:color="000000" w:sz="4" w:space="0"/>
              <w:left w:val="single" w:color="000000" w:sz="4" w:space="0"/>
              <w:bottom w:val="single" w:color="000000" w:sz="4" w:space="0"/>
              <w:right w:val="single" w:color="000000" w:sz="4" w:space="0"/>
            </w:tcBorders>
          </w:tcPr>
          <w:p>
            <w:pPr>
              <w:pStyle w:val="14"/>
              <w:spacing w:before="52"/>
              <w:ind w:right="276"/>
              <w:jc w:val="right"/>
              <w:rPr>
                <w:rFonts w:ascii="Times New Roman"/>
                <w:sz w:val="18"/>
              </w:rPr>
            </w:pPr>
            <w:r>
              <w:rPr>
                <w:rFonts w:ascii="Times New Roman"/>
                <w:sz w:val="18"/>
              </w:rPr>
              <w:t>14229</w:t>
            </w:r>
          </w:p>
        </w:tc>
        <w:tc>
          <w:tcPr>
            <w:tcW w:w="1039" w:type="dxa"/>
            <w:tcBorders>
              <w:top w:val="single" w:color="000000" w:sz="4" w:space="0"/>
              <w:left w:val="single" w:color="000000" w:sz="4" w:space="0"/>
              <w:bottom w:val="single" w:color="000000" w:sz="4" w:space="0"/>
              <w:right w:val="single" w:color="000000" w:sz="4" w:space="0"/>
            </w:tcBorders>
          </w:tcPr>
          <w:p>
            <w:pPr>
              <w:pStyle w:val="14"/>
              <w:spacing w:before="52"/>
              <w:ind w:left="98" w:right="79"/>
              <w:rPr>
                <w:rFonts w:ascii="Times New Roman"/>
                <w:sz w:val="18"/>
              </w:rPr>
            </w:pPr>
            <w:r>
              <w:rPr>
                <w:rFonts w:ascii="Times New Roman"/>
                <w:sz w:val="18"/>
              </w:rPr>
              <w:t>201</w:t>
            </w:r>
          </w:p>
        </w:tc>
        <w:tc>
          <w:tcPr>
            <w:tcW w:w="1370" w:type="dxa"/>
            <w:tcBorders>
              <w:top w:val="single" w:color="000000" w:sz="4" w:space="0"/>
              <w:left w:val="single" w:color="000000" w:sz="4" w:space="0"/>
              <w:bottom w:val="single" w:color="000000" w:sz="4" w:space="0"/>
              <w:right w:val="single" w:color="000000" w:sz="4" w:space="0"/>
            </w:tcBorders>
          </w:tcPr>
          <w:p>
            <w:pPr>
              <w:pStyle w:val="14"/>
              <w:spacing w:before="42"/>
              <w:ind w:left="129" w:right="108"/>
              <w:rPr>
                <w:sz w:val="18"/>
              </w:rPr>
            </w:pPr>
            <w:r>
              <w:rPr>
                <w:sz w:val="18"/>
              </w:rPr>
              <w:t>布袋除尘器</w:t>
            </w:r>
          </w:p>
        </w:tc>
        <w:tc>
          <w:tcPr>
            <w:tcW w:w="914" w:type="dxa"/>
            <w:tcBorders>
              <w:top w:val="single" w:color="000000" w:sz="4" w:space="0"/>
              <w:left w:val="single" w:color="000000" w:sz="4" w:space="0"/>
              <w:bottom w:val="single" w:color="000000" w:sz="4" w:space="0"/>
              <w:right w:val="single" w:color="000000" w:sz="4" w:space="0"/>
            </w:tcBorders>
          </w:tcPr>
          <w:p>
            <w:pPr>
              <w:pStyle w:val="14"/>
              <w:spacing w:before="52"/>
              <w:ind w:left="185" w:right="167"/>
              <w:rPr>
                <w:rFonts w:ascii="Times New Roman"/>
                <w:sz w:val="18"/>
              </w:rPr>
            </w:pPr>
            <w:r>
              <w:rPr>
                <w:rFonts w:ascii="Times New Roman"/>
                <w:sz w:val="18"/>
              </w:rPr>
              <w:t>99.9</w:t>
            </w:r>
          </w:p>
        </w:tc>
        <w:tc>
          <w:tcPr>
            <w:tcW w:w="898" w:type="dxa"/>
            <w:vMerge w:val="restart"/>
            <w:tcBorders>
              <w:top w:val="single" w:color="000000" w:sz="4" w:space="0"/>
              <w:left w:val="single" w:color="000000" w:sz="4" w:space="0"/>
              <w:bottom w:val="single" w:color="000000" w:sz="4" w:space="0"/>
              <w:right w:val="single" w:color="000000" w:sz="4" w:space="0"/>
            </w:tcBorders>
          </w:tcPr>
          <w:p>
            <w:pPr>
              <w:pStyle w:val="14"/>
              <w:spacing w:before="4"/>
              <w:jc w:val="left"/>
              <w:rPr>
                <w:b/>
                <w:sz w:val="29"/>
              </w:rPr>
            </w:pPr>
          </w:p>
          <w:p>
            <w:pPr>
              <w:pStyle w:val="14"/>
              <w:ind w:left="272"/>
              <w:jc w:val="left"/>
              <w:rPr>
                <w:rFonts w:ascii="Times New Roman"/>
                <w:sz w:val="18"/>
              </w:rPr>
            </w:pPr>
            <w:r>
              <w:rPr>
                <w:rFonts w:ascii="Times New Roman"/>
                <w:sz w:val="18"/>
              </w:rPr>
              <w:t>1508</w:t>
            </w:r>
          </w:p>
        </w:tc>
        <w:tc>
          <w:tcPr>
            <w:tcW w:w="898" w:type="dxa"/>
            <w:tcBorders>
              <w:top w:val="single" w:color="000000" w:sz="4" w:space="0"/>
              <w:left w:val="single" w:color="000000" w:sz="4" w:space="0"/>
              <w:bottom w:val="single" w:color="000000" w:sz="4" w:space="0"/>
              <w:right w:val="single" w:color="000000" w:sz="4" w:space="0"/>
            </w:tcBorders>
          </w:tcPr>
          <w:p>
            <w:pPr>
              <w:pStyle w:val="14"/>
              <w:spacing w:before="52"/>
              <w:ind w:right="228"/>
              <w:jc w:val="right"/>
              <w:rPr>
                <w:rFonts w:ascii="Times New Roman"/>
                <w:sz w:val="18"/>
              </w:rPr>
            </w:pPr>
            <w:r>
              <w:rPr>
                <w:rFonts w:ascii="Times New Roman"/>
                <w:sz w:val="18"/>
              </w:rPr>
              <w:t>14.23</w:t>
            </w:r>
          </w:p>
        </w:tc>
        <w:tc>
          <w:tcPr>
            <w:tcW w:w="897" w:type="dxa"/>
            <w:tcBorders>
              <w:top w:val="single" w:color="000000" w:sz="4" w:space="0"/>
              <w:left w:val="single" w:color="000000" w:sz="4" w:space="0"/>
              <w:bottom w:val="single" w:color="000000" w:sz="4" w:space="0"/>
              <w:right w:val="single" w:color="000000" w:sz="4" w:space="0"/>
            </w:tcBorders>
          </w:tcPr>
          <w:p>
            <w:pPr>
              <w:pStyle w:val="14"/>
              <w:spacing w:before="52"/>
              <w:ind w:left="142" w:right="125"/>
              <w:rPr>
                <w:rFonts w:ascii="Times New Roman"/>
                <w:sz w:val="18"/>
              </w:rPr>
            </w:pPr>
            <w:r>
              <w:rPr>
                <w:rFonts w:ascii="Times New Roman"/>
                <w:sz w:val="18"/>
              </w:rPr>
              <w:t>0.062</w:t>
            </w:r>
          </w:p>
        </w:tc>
        <w:tc>
          <w:tcPr>
            <w:tcW w:w="899" w:type="dxa"/>
            <w:tcBorders>
              <w:top w:val="single" w:color="000000" w:sz="4" w:space="0"/>
              <w:left w:val="single" w:color="000000" w:sz="4" w:space="0"/>
              <w:bottom w:val="single" w:color="000000" w:sz="4" w:space="0"/>
              <w:right w:val="single" w:color="000000" w:sz="4" w:space="0"/>
            </w:tcBorders>
          </w:tcPr>
          <w:p>
            <w:pPr>
              <w:pStyle w:val="14"/>
              <w:spacing w:before="52"/>
              <w:ind w:left="296"/>
              <w:jc w:val="left"/>
              <w:rPr>
                <w:rFonts w:ascii="Times New Roman"/>
                <w:sz w:val="18"/>
              </w:rPr>
            </w:pPr>
            <w:r>
              <w:rPr>
                <w:rFonts w:ascii="Times New Roman"/>
                <w:sz w:val="18"/>
              </w:rPr>
              <w:t>0.20</w:t>
            </w:r>
          </w:p>
        </w:tc>
        <w:tc>
          <w:tcPr>
            <w:tcW w:w="879" w:type="dxa"/>
            <w:tcBorders>
              <w:top w:val="single" w:color="000000" w:sz="4" w:space="0"/>
              <w:left w:val="single" w:color="000000" w:sz="4" w:space="0"/>
              <w:bottom w:val="single" w:color="000000" w:sz="4" w:space="0"/>
              <w:right w:val="single" w:color="000000" w:sz="4" w:space="0"/>
            </w:tcBorders>
          </w:tcPr>
          <w:p>
            <w:pPr>
              <w:pStyle w:val="14"/>
              <w:spacing w:before="52"/>
              <w:ind w:left="287" w:right="270"/>
              <w:rPr>
                <w:rFonts w:ascii="Times New Roman"/>
                <w:sz w:val="18"/>
              </w:rPr>
            </w:pPr>
            <w:r>
              <w:rPr>
                <w:rFonts w:ascii="Times New Roman"/>
                <w:sz w:val="18"/>
              </w:rPr>
              <w:t>50</w:t>
            </w:r>
          </w:p>
        </w:tc>
        <w:tc>
          <w:tcPr>
            <w:tcW w:w="879" w:type="dxa"/>
            <w:vMerge w:val="restart"/>
            <w:tcBorders>
              <w:top w:val="single" w:color="000000" w:sz="4" w:space="0"/>
              <w:left w:val="single" w:color="000000" w:sz="4" w:space="0"/>
              <w:bottom w:val="single" w:color="000000" w:sz="4" w:space="0"/>
            </w:tcBorders>
          </w:tcPr>
          <w:p>
            <w:pPr>
              <w:pStyle w:val="14"/>
              <w:spacing w:before="4"/>
              <w:jc w:val="left"/>
              <w:rPr>
                <w:b/>
                <w:sz w:val="29"/>
              </w:rPr>
            </w:pPr>
          </w:p>
          <w:p>
            <w:pPr>
              <w:pStyle w:val="14"/>
              <w:ind w:left="263"/>
              <w:jc w:val="left"/>
              <w:rPr>
                <w:rFonts w:ascii="Times New Roman"/>
                <w:sz w:val="18"/>
              </w:rPr>
            </w:pPr>
            <w:r>
              <w:rPr>
                <w:rFonts w:ascii="Times New Roman"/>
                <w:sz w:val="18"/>
              </w:rPr>
              <w:t>3240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1" w:hRule="atLeast"/>
        </w:trPr>
        <w:tc>
          <w:tcPr>
            <w:tcW w:w="564" w:type="dxa"/>
            <w:vMerge w:val="continue"/>
            <w:tcBorders>
              <w:top w:val="nil"/>
              <w:right w:val="single" w:color="000000" w:sz="4" w:space="0"/>
            </w:tcBorders>
          </w:tcPr>
          <w:p>
            <w:pPr>
              <w:rPr>
                <w:sz w:val="2"/>
                <w:szCs w:val="2"/>
              </w:rPr>
            </w:pPr>
          </w:p>
        </w:tc>
        <w:tc>
          <w:tcPr>
            <w:tcW w:w="1323" w:type="dxa"/>
            <w:vMerge w:val="continue"/>
            <w:tcBorders>
              <w:top w:val="nil"/>
              <w:left w:val="single" w:color="000000" w:sz="4" w:space="0"/>
              <w:bottom w:val="single" w:color="000000" w:sz="4" w:space="0"/>
              <w:right w:val="single" w:color="000000" w:sz="4" w:space="0"/>
            </w:tcBorders>
          </w:tcPr>
          <w:p>
            <w:pPr>
              <w:rPr>
                <w:sz w:val="2"/>
                <w:szCs w:val="2"/>
              </w:rPr>
            </w:pPr>
          </w:p>
        </w:tc>
        <w:tc>
          <w:tcPr>
            <w:tcW w:w="677" w:type="dxa"/>
            <w:tcBorders>
              <w:top w:val="single" w:color="000000" w:sz="4" w:space="0"/>
              <w:left w:val="single" w:color="000000" w:sz="4" w:space="0"/>
              <w:bottom w:val="single" w:color="000000" w:sz="4" w:space="0"/>
              <w:right w:val="single" w:color="000000" w:sz="4" w:space="0"/>
            </w:tcBorders>
          </w:tcPr>
          <w:p>
            <w:pPr>
              <w:pStyle w:val="14"/>
              <w:spacing w:before="51"/>
              <w:ind w:left="200"/>
              <w:jc w:val="left"/>
              <w:rPr>
                <w:rFonts w:ascii="Times New Roman"/>
                <w:sz w:val="18"/>
              </w:rPr>
            </w:pPr>
            <w:r>
              <w:rPr>
                <w:rFonts w:ascii="Times New Roman"/>
                <w:position w:val="1"/>
                <w:sz w:val="18"/>
              </w:rPr>
              <w:t>SO</w:t>
            </w:r>
            <w:r>
              <w:rPr>
                <w:rFonts w:ascii="Times New Roman"/>
                <w:position w:val="1"/>
                <w:sz w:val="18"/>
                <w:vertAlign w:val="subscript"/>
              </w:rPr>
              <w:t>2</w:t>
            </w:r>
          </w:p>
        </w:tc>
        <w:tc>
          <w:tcPr>
            <w:tcW w:w="1038" w:type="dxa"/>
            <w:vMerge w:val="continue"/>
            <w:tcBorders>
              <w:top w:val="nil"/>
              <w:left w:val="single" w:color="000000" w:sz="4" w:space="0"/>
              <w:bottom w:val="single" w:color="000000" w:sz="4" w:space="0"/>
              <w:right w:val="single" w:color="000000" w:sz="4" w:space="0"/>
            </w:tcBorders>
          </w:tcPr>
          <w:p>
            <w:pPr>
              <w:rPr>
                <w:sz w:val="2"/>
                <w:szCs w:val="2"/>
              </w:rPr>
            </w:pPr>
          </w:p>
        </w:tc>
        <w:tc>
          <w:tcPr>
            <w:tcW w:w="1037" w:type="dxa"/>
            <w:vMerge w:val="continue"/>
            <w:tcBorders>
              <w:top w:val="nil"/>
              <w:left w:val="single" w:color="000000" w:sz="4" w:space="0"/>
              <w:bottom w:val="single" w:color="000000" w:sz="4" w:space="0"/>
              <w:right w:val="single" w:color="000000" w:sz="4" w:space="0"/>
            </w:tcBorders>
          </w:tcPr>
          <w:p>
            <w:pPr>
              <w:rPr>
                <w:sz w:val="2"/>
                <w:szCs w:val="2"/>
              </w:rPr>
            </w:pPr>
          </w:p>
        </w:tc>
        <w:tc>
          <w:tcPr>
            <w:tcW w:w="1038" w:type="dxa"/>
            <w:tcBorders>
              <w:top w:val="single" w:color="000000" w:sz="4" w:space="0"/>
              <w:left w:val="single" w:color="000000" w:sz="4" w:space="0"/>
              <w:bottom w:val="single" w:color="000000" w:sz="4" w:space="0"/>
              <w:right w:val="single" w:color="000000" w:sz="4" w:space="0"/>
            </w:tcBorders>
          </w:tcPr>
          <w:p>
            <w:pPr>
              <w:pStyle w:val="14"/>
              <w:spacing w:before="46"/>
              <w:ind w:right="298"/>
              <w:jc w:val="right"/>
              <w:rPr>
                <w:rFonts w:ascii="Times New Roman"/>
                <w:sz w:val="18"/>
              </w:rPr>
            </w:pPr>
            <w:r>
              <w:rPr>
                <w:rFonts w:ascii="Times New Roman"/>
                <w:sz w:val="18"/>
              </w:rPr>
              <w:t>22.65</w:t>
            </w:r>
          </w:p>
        </w:tc>
        <w:tc>
          <w:tcPr>
            <w:tcW w:w="1039" w:type="dxa"/>
            <w:tcBorders>
              <w:top w:val="single" w:color="000000" w:sz="4" w:space="0"/>
              <w:left w:val="single" w:color="000000" w:sz="4" w:space="0"/>
              <w:bottom w:val="single" w:color="000000" w:sz="4" w:space="0"/>
              <w:right w:val="single" w:color="000000" w:sz="4" w:space="0"/>
            </w:tcBorders>
          </w:tcPr>
          <w:p>
            <w:pPr>
              <w:pStyle w:val="14"/>
              <w:spacing w:before="46"/>
              <w:ind w:left="100" w:right="79"/>
              <w:rPr>
                <w:rFonts w:ascii="Times New Roman"/>
                <w:sz w:val="18"/>
              </w:rPr>
            </w:pPr>
            <w:r>
              <w:rPr>
                <w:rFonts w:ascii="Times New Roman"/>
                <w:sz w:val="18"/>
              </w:rPr>
              <w:t>0.32</w:t>
            </w:r>
          </w:p>
        </w:tc>
        <w:tc>
          <w:tcPr>
            <w:tcW w:w="1370" w:type="dxa"/>
            <w:tcBorders>
              <w:top w:val="single" w:color="000000" w:sz="4" w:space="0"/>
              <w:left w:val="single" w:color="000000" w:sz="4" w:space="0"/>
              <w:bottom w:val="single" w:color="000000" w:sz="4" w:space="0"/>
              <w:right w:val="single" w:color="000000" w:sz="4" w:space="0"/>
            </w:tcBorders>
          </w:tcPr>
          <w:p>
            <w:pPr>
              <w:pStyle w:val="14"/>
              <w:spacing w:before="49"/>
              <w:ind w:left="20"/>
              <w:rPr>
                <w:rFonts w:ascii="Times New Roman"/>
                <w:sz w:val="18"/>
              </w:rPr>
            </w:pPr>
            <w:r>
              <w:rPr>
                <w:rFonts w:ascii="Times New Roman"/>
                <w:sz w:val="18"/>
              </w:rPr>
              <w:t>/</w:t>
            </w:r>
          </w:p>
        </w:tc>
        <w:tc>
          <w:tcPr>
            <w:tcW w:w="914" w:type="dxa"/>
            <w:tcBorders>
              <w:top w:val="single" w:color="000000" w:sz="4" w:space="0"/>
              <w:left w:val="single" w:color="000000" w:sz="4" w:space="0"/>
              <w:bottom w:val="single" w:color="000000" w:sz="4" w:space="0"/>
              <w:right w:val="single" w:color="000000" w:sz="4" w:space="0"/>
            </w:tcBorders>
          </w:tcPr>
          <w:p>
            <w:pPr>
              <w:pStyle w:val="14"/>
              <w:spacing w:before="49"/>
              <w:ind w:left="18"/>
              <w:rPr>
                <w:rFonts w:ascii="Times New Roman"/>
                <w:sz w:val="18"/>
              </w:rPr>
            </w:pPr>
            <w:r>
              <w:rPr>
                <w:rFonts w:ascii="Times New Roman"/>
                <w:sz w:val="18"/>
              </w:rPr>
              <w:t>0</w:t>
            </w:r>
          </w:p>
        </w:tc>
        <w:tc>
          <w:tcPr>
            <w:tcW w:w="898" w:type="dxa"/>
            <w:vMerge w:val="continue"/>
            <w:tcBorders>
              <w:top w:val="nil"/>
              <w:left w:val="single" w:color="000000" w:sz="4" w:space="0"/>
              <w:bottom w:val="single" w:color="000000" w:sz="4" w:space="0"/>
              <w:right w:val="single" w:color="000000" w:sz="4" w:space="0"/>
            </w:tcBorders>
          </w:tcPr>
          <w:p>
            <w:pPr>
              <w:rPr>
                <w:sz w:val="2"/>
                <w:szCs w:val="2"/>
              </w:rPr>
            </w:pPr>
          </w:p>
        </w:tc>
        <w:tc>
          <w:tcPr>
            <w:tcW w:w="898" w:type="dxa"/>
            <w:tcBorders>
              <w:top w:val="single" w:color="000000" w:sz="4" w:space="0"/>
              <w:left w:val="single" w:color="000000" w:sz="4" w:space="0"/>
              <w:bottom w:val="single" w:color="000000" w:sz="4" w:space="0"/>
              <w:right w:val="single" w:color="000000" w:sz="4" w:space="0"/>
            </w:tcBorders>
          </w:tcPr>
          <w:p>
            <w:pPr>
              <w:pStyle w:val="14"/>
              <w:spacing w:before="46"/>
              <w:ind w:right="228"/>
              <w:jc w:val="right"/>
              <w:rPr>
                <w:rFonts w:ascii="Times New Roman"/>
                <w:sz w:val="18"/>
              </w:rPr>
            </w:pPr>
            <w:r>
              <w:rPr>
                <w:rFonts w:ascii="Times New Roman"/>
                <w:sz w:val="18"/>
              </w:rPr>
              <w:t>22.65</w:t>
            </w:r>
          </w:p>
        </w:tc>
        <w:tc>
          <w:tcPr>
            <w:tcW w:w="897" w:type="dxa"/>
            <w:tcBorders>
              <w:top w:val="single" w:color="000000" w:sz="4" w:space="0"/>
              <w:left w:val="single" w:color="000000" w:sz="4" w:space="0"/>
              <w:bottom w:val="single" w:color="000000" w:sz="4" w:space="0"/>
              <w:right w:val="single" w:color="000000" w:sz="4" w:space="0"/>
            </w:tcBorders>
          </w:tcPr>
          <w:p>
            <w:pPr>
              <w:pStyle w:val="14"/>
              <w:spacing w:before="46"/>
              <w:ind w:left="142" w:right="122"/>
              <w:rPr>
                <w:rFonts w:ascii="Times New Roman"/>
                <w:sz w:val="18"/>
              </w:rPr>
            </w:pPr>
            <w:r>
              <w:rPr>
                <w:rFonts w:ascii="Times New Roman"/>
                <w:sz w:val="18"/>
              </w:rPr>
              <w:t>0.099</w:t>
            </w:r>
          </w:p>
        </w:tc>
        <w:tc>
          <w:tcPr>
            <w:tcW w:w="899" w:type="dxa"/>
            <w:tcBorders>
              <w:top w:val="single" w:color="000000" w:sz="4" w:space="0"/>
              <w:left w:val="single" w:color="000000" w:sz="4" w:space="0"/>
              <w:bottom w:val="single" w:color="000000" w:sz="4" w:space="0"/>
              <w:right w:val="single" w:color="000000" w:sz="4" w:space="0"/>
            </w:tcBorders>
          </w:tcPr>
          <w:p>
            <w:pPr>
              <w:pStyle w:val="14"/>
              <w:spacing w:before="46"/>
              <w:ind w:left="296"/>
              <w:jc w:val="left"/>
              <w:rPr>
                <w:rFonts w:ascii="Times New Roman"/>
                <w:sz w:val="18"/>
              </w:rPr>
            </w:pPr>
            <w:r>
              <w:rPr>
                <w:rFonts w:ascii="Times New Roman"/>
                <w:sz w:val="18"/>
              </w:rPr>
              <w:t>0.32</w:t>
            </w:r>
          </w:p>
        </w:tc>
        <w:tc>
          <w:tcPr>
            <w:tcW w:w="879" w:type="dxa"/>
            <w:tcBorders>
              <w:top w:val="single" w:color="000000" w:sz="4" w:space="0"/>
              <w:left w:val="single" w:color="000000" w:sz="4" w:space="0"/>
              <w:bottom w:val="single" w:color="000000" w:sz="4" w:space="0"/>
              <w:right w:val="single" w:color="000000" w:sz="4" w:space="0"/>
            </w:tcBorders>
          </w:tcPr>
          <w:p>
            <w:pPr>
              <w:pStyle w:val="14"/>
              <w:spacing w:before="49"/>
              <w:ind w:left="289" w:right="270"/>
              <w:rPr>
                <w:rFonts w:ascii="Times New Roman"/>
                <w:sz w:val="18"/>
              </w:rPr>
            </w:pPr>
            <w:r>
              <w:rPr>
                <w:rFonts w:ascii="Times New Roman"/>
                <w:sz w:val="18"/>
              </w:rPr>
              <w:t>300</w:t>
            </w:r>
          </w:p>
        </w:tc>
        <w:tc>
          <w:tcPr>
            <w:tcW w:w="87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564" w:type="dxa"/>
            <w:vMerge w:val="continue"/>
            <w:tcBorders>
              <w:top w:val="nil"/>
              <w:right w:val="single" w:color="000000" w:sz="4" w:space="0"/>
            </w:tcBorders>
          </w:tcPr>
          <w:p>
            <w:pPr>
              <w:rPr>
                <w:sz w:val="2"/>
                <w:szCs w:val="2"/>
              </w:rPr>
            </w:pPr>
          </w:p>
        </w:tc>
        <w:tc>
          <w:tcPr>
            <w:tcW w:w="1323" w:type="dxa"/>
            <w:vMerge w:val="continue"/>
            <w:tcBorders>
              <w:top w:val="nil"/>
              <w:left w:val="single" w:color="000000" w:sz="4" w:space="0"/>
              <w:bottom w:val="single" w:color="000000" w:sz="4" w:space="0"/>
              <w:right w:val="single" w:color="000000" w:sz="4" w:space="0"/>
            </w:tcBorders>
          </w:tcPr>
          <w:p>
            <w:pPr>
              <w:rPr>
                <w:sz w:val="2"/>
                <w:szCs w:val="2"/>
              </w:rPr>
            </w:pPr>
          </w:p>
        </w:tc>
        <w:tc>
          <w:tcPr>
            <w:tcW w:w="677" w:type="dxa"/>
            <w:tcBorders>
              <w:top w:val="single" w:color="000000" w:sz="4" w:space="0"/>
              <w:left w:val="single" w:color="000000" w:sz="4" w:space="0"/>
              <w:bottom w:val="single" w:color="000000" w:sz="4" w:space="0"/>
              <w:right w:val="single" w:color="000000" w:sz="4" w:space="0"/>
            </w:tcBorders>
          </w:tcPr>
          <w:p>
            <w:pPr>
              <w:pStyle w:val="14"/>
              <w:spacing w:before="46"/>
              <w:ind w:left="168"/>
              <w:jc w:val="left"/>
              <w:rPr>
                <w:rFonts w:ascii="Times New Roman"/>
                <w:sz w:val="18"/>
              </w:rPr>
            </w:pPr>
            <w:r>
              <w:rPr>
                <w:rFonts w:ascii="Times New Roman"/>
                <w:sz w:val="18"/>
              </w:rPr>
              <w:t>NOx</w:t>
            </w:r>
          </w:p>
        </w:tc>
        <w:tc>
          <w:tcPr>
            <w:tcW w:w="1038" w:type="dxa"/>
            <w:vMerge w:val="continue"/>
            <w:tcBorders>
              <w:top w:val="nil"/>
              <w:left w:val="single" w:color="000000" w:sz="4" w:space="0"/>
              <w:bottom w:val="single" w:color="000000" w:sz="4" w:space="0"/>
              <w:right w:val="single" w:color="000000" w:sz="4" w:space="0"/>
            </w:tcBorders>
          </w:tcPr>
          <w:p>
            <w:pPr>
              <w:rPr>
                <w:sz w:val="2"/>
                <w:szCs w:val="2"/>
              </w:rPr>
            </w:pPr>
          </w:p>
        </w:tc>
        <w:tc>
          <w:tcPr>
            <w:tcW w:w="1037" w:type="dxa"/>
            <w:vMerge w:val="continue"/>
            <w:tcBorders>
              <w:top w:val="nil"/>
              <w:left w:val="single" w:color="000000" w:sz="4" w:space="0"/>
              <w:bottom w:val="single" w:color="000000" w:sz="4" w:space="0"/>
              <w:right w:val="single" w:color="000000" w:sz="4" w:space="0"/>
            </w:tcBorders>
          </w:tcPr>
          <w:p>
            <w:pPr>
              <w:rPr>
                <w:sz w:val="2"/>
                <w:szCs w:val="2"/>
              </w:rPr>
            </w:pPr>
          </w:p>
        </w:tc>
        <w:tc>
          <w:tcPr>
            <w:tcW w:w="1038" w:type="dxa"/>
            <w:tcBorders>
              <w:top w:val="single" w:color="000000" w:sz="4" w:space="0"/>
              <w:left w:val="single" w:color="000000" w:sz="4" w:space="0"/>
              <w:bottom w:val="single" w:color="000000" w:sz="4" w:space="0"/>
              <w:right w:val="single" w:color="000000" w:sz="4" w:space="0"/>
            </w:tcBorders>
          </w:tcPr>
          <w:p>
            <w:pPr>
              <w:pStyle w:val="14"/>
              <w:spacing w:before="46"/>
              <w:ind w:right="368"/>
              <w:jc w:val="right"/>
              <w:rPr>
                <w:rFonts w:ascii="Times New Roman"/>
                <w:sz w:val="18"/>
              </w:rPr>
            </w:pPr>
            <w:r>
              <w:rPr>
                <w:rFonts w:ascii="Times New Roman"/>
                <w:sz w:val="18"/>
              </w:rPr>
              <w:t>200</w:t>
            </w:r>
          </w:p>
        </w:tc>
        <w:tc>
          <w:tcPr>
            <w:tcW w:w="1039" w:type="dxa"/>
            <w:tcBorders>
              <w:top w:val="single" w:color="000000" w:sz="4" w:space="0"/>
              <w:left w:val="single" w:color="000000" w:sz="4" w:space="0"/>
              <w:bottom w:val="single" w:color="000000" w:sz="4" w:space="0"/>
              <w:right w:val="single" w:color="000000" w:sz="4" w:space="0"/>
            </w:tcBorders>
          </w:tcPr>
          <w:p>
            <w:pPr>
              <w:pStyle w:val="14"/>
              <w:spacing w:before="46"/>
              <w:ind w:left="100" w:right="79"/>
              <w:rPr>
                <w:rFonts w:ascii="Times New Roman"/>
                <w:sz w:val="18"/>
              </w:rPr>
            </w:pPr>
            <w:r>
              <w:rPr>
                <w:rFonts w:ascii="Times New Roman"/>
                <w:sz w:val="18"/>
              </w:rPr>
              <w:t>2.83</w:t>
            </w:r>
          </w:p>
        </w:tc>
        <w:tc>
          <w:tcPr>
            <w:tcW w:w="1370" w:type="dxa"/>
            <w:tcBorders>
              <w:top w:val="single" w:color="000000" w:sz="4" w:space="0"/>
              <w:left w:val="single" w:color="000000" w:sz="4" w:space="0"/>
              <w:bottom w:val="single" w:color="000000" w:sz="4" w:space="0"/>
              <w:right w:val="single" w:color="000000" w:sz="4" w:space="0"/>
            </w:tcBorders>
          </w:tcPr>
          <w:p>
            <w:pPr>
              <w:pStyle w:val="14"/>
              <w:spacing w:before="48"/>
              <w:ind w:left="20"/>
              <w:rPr>
                <w:rFonts w:ascii="Times New Roman"/>
                <w:sz w:val="18"/>
              </w:rPr>
            </w:pPr>
            <w:r>
              <w:rPr>
                <w:rFonts w:ascii="Times New Roman"/>
                <w:sz w:val="18"/>
              </w:rPr>
              <w:t>/</w:t>
            </w:r>
          </w:p>
        </w:tc>
        <w:tc>
          <w:tcPr>
            <w:tcW w:w="914" w:type="dxa"/>
            <w:tcBorders>
              <w:top w:val="single" w:color="000000" w:sz="4" w:space="0"/>
              <w:left w:val="single" w:color="000000" w:sz="4" w:space="0"/>
              <w:bottom w:val="single" w:color="000000" w:sz="4" w:space="0"/>
              <w:right w:val="single" w:color="000000" w:sz="4" w:space="0"/>
            </w:tcBorders>
          </w:tcPr>
          <w:p>
            <w:pPr>
              <w:pStyle w:val="14"/>
              <w:spacing w:before="48"/>
              <w:ind w:left="18"/>
              <w:rPr>
                <w:rFonts w:ascii="Times New Roman"/>
                <w:sz w:val="18"/>
              </w:rPr>
            </w:pPr>
            <w:r>
              <w:rPr>
                <w:rFonts w:ascii="Times New Roman"/>
                <w:sz w:val="18"/>
              </w:rPr>
              <w:t>0</w:t>
            </w:r>
          </w:p>
        </w:tc>
        <w:tc>
          <w:tcPr>
            <w:tcW w:w="898" w:type="dxa"/>
            <w:vMerge w:val="continue"/>
            <w:tcBorders>
              <w:top w:val="nil"/>
              <w:left w:val="single" w:color="000000" w:sz="4" w:space="0"/>
              <w:bottom w:val="single" w:color="000000" w:sz="4" w:space="0"/>
              <w:right w:val="single" w:color="000000" w:sz="4" w:space="0"/>
            </w:tcBorders>
          </w:tcPr>
          <w:p>
            <w:pPr>
              <w:rPr>
                <w:sz w:val="2"/>
                <w:szCs w:val="2"/>
              </w:rPr>
            </w:pPr>
          </w:p>
        </w:tc>
        <w:tc>
          <w:tcPr>
            <w:tcW w:w="898" w:type="dxa"/>
            <w:tcBorders>
              <w:top w:val="single" w:color="000000" w:sz="4" w:space="0"/>
              <w:left w:val="single" w:color="000000" w:sz="4" w:space="0"/>
              <w:bottom w:val="single" w:color="000000" w:sz="4" w:space="0"/>
              <w:right w:val="single" w:color="000000" w:sz="4" w:space="0"/>
            </w:tcBorders>
          </w:tcPr>
          <w:p>
            <w:pPr>
              <w:pStyle w:val="14"/>
              <w:spacing w:before="46"/>
              <w:ind w:right="298"/>
              <w:jc w:val="right"/>
              <w:rPr>
                <w:rFonts w:ascii="Times New Roman"/>
                <w:sz w:val="18"/>
              </w:rPr>
            </w:pPr>
            <w:r>
              <w:rPr>
                <w:rFonts w:ascii="Times New Roman"/>
                <w:sz w:val="18"/>
              </w:rPr>
              <w:t>200</w:t>
            </w:r>
          </w:p>
        </w:tc>
        <w:tc>
          <w:tcPr>
            <w:tcW w:w="897" w:type="dxa"/>
            <w:tcBorders>
              <w:top w:val="single" w:color="000000" w:sz="4" w:space="0"/>
              <w:left w:val="single" w:color="000000" w:sz="4" w:space="0"/>
              <w:bottom w:val="single" w:color="000000" w:sz="4" w:space="0"/>
              <w:right w:val="single" w:color="000000" w:sz="4" w:space="0"/>
            </w:tcBorders>
          </w:tcPr>
          <w:p>
            <w:pPr>
              <w:pStyle w:val="14"/>
              <w:spacing w:before="46"/>
              <w:ind w:left="142" w:right="122"/>
              <w:rPr>
                <w:rFonts w:ascii="Times New Roman"/>
                <w:sz w:val="18"/>
              </w:rPr>
            </w:pPr>
            <w:r>
              <w:rPr>
                <w:rFonts w:ascii="Times New Roman"/>
                <w:sz w:val="18"/>
              </w:rPr>
              <w:t>0.872</w:t>
            </w:r>
          </w:p>
        </w:tc>
        <w:tc>
          <w:tcPr>
            <w:tcW w:w="899" w:type="dxa"/>
            <w:tcBorders>
              <w:top w:val="single" w:color="000000" w:sz="4" w:space="0"/>
              <w:left w:val="single" w:color="000000" w:sz="4" w:space="0"/>
              <w:bottom w:val="single" w:color="000000" w:sz="4" w:space="0"/>
              <w:right w:val="single" w:color="000000" w:sz="4" w:space="0"/>
            </w:tcBorders>
          </w:tcPr>
          <w:p>
            <w:pPr>
              <w:pStyle w:val="14"/>
              <w:spacing w:before="46"/>
              <w:ind w:left="296"/>
              <w:jc w:val="left"/>
              <w:rPr>
                <w:rFonts w:ascii="Times New Roman"/>
                <w:sz w:val="18"/>
              </w:rPr>
            </w:pPr>
            <w:r>
              <w:rPr>
                <w:rFonts w:ascii="Times New Roman"/>
                <w:sz w:val="18"/>
              </w:rPr>
              <w:t>2.83</w:t>
            </w:r>
          </w:p>
        </w:tc>
        <w:tc>
          <w:tcPr>
            <w:tcW w:w="879" w:type="dxa"/>
            <w:tcBorders>
              <w:top w:val="single" w:color="000000" w:sz="4" w:space="0"/>
              <w:left w:val="single" w:color="000000" w:sz="4" w:space="0"/>
              <w:bottom w:val="single" w:color="000000" w:sz="4" w:space="0"/>
              <w:right w:val="single" w:color="000000" w:sz="4" w:space="0"/>
            </w:tcBorders>
          </w:tcPr>
          <w:p>
            <w:pPr>
              <w:pStyle w:val="14"/>
              <w:spacing w:before="48"/>
              <w:ind w:left="289" w:right="270"/>
              <w:rPr>
                <w:rFonts w:ascii="Times New Roman"/>
                <w:sz w:val="18"/>
              </w:rPr>
            </w:pPr>
            <w:r>
              <w:rPr>
                <w:rFonts w:ascii="Times New Roman"/>
                <w:sz w:val="18"/>
              </w:rPr>
              <w:t>300</w:t>
            </w:r>
          </w:p>
        </w:tc>
        <w:tc>
          <w:tcPr>
            <w:tcW w:w="87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1" w:hRule="atLeast"/>
        </w:trPr>
        <w:tc>
          <w:tcPr>
            <w:tcW w:w="564" w:type="dxa"/>
            <w:vMerge w:val="continue"/>
            <w:tcBorders>
              <w:top w:val="nil"/>
              <w:right w:val="single" w:color="000000" w:sz="4" w:space="0"/>
            </w:tcBorders>
          </w:tcPr>
          <w:p>
            <w:pPr>
              <w:rPr>
                <w:sz w:val="2"/>
                <w:szCs w:val="2"/>
              </w:rPr>
            </w:pPr>
          </w:p>
        </w:tc>
        <w:tc>
          <w:tcPr>
            <w:tcW w:w="1323" w:type="dxa"/>
            <w:vMerge w:val="restart"/>
            <w:tcBorders>
              <w:top w:val="single" w:color="000000" w:sz="4" w:space="0"/>
              <w:left w:val="single" w:color="000000" w:sz="4" w:space="0"/>
              <w:bottom w:val="single" w:color="000000" w:sz="4" w:space="0"/>
              <w:right w:val="single" w:color="000000" w:sz="4" w:space="0"/>
            </w:tcBorders>
          </w:tcPr>
          <w:p>
            <w:pPr>
              <w:pStyle w:val="14"/>
              <w:jc w:val="left"/>
              <w:rPr>
                <w:b/>
                <w:sz w:val="18"/>
              </w:rPr>
            </w:pPr>
          </w:p>
          <w:p>
            <w:pPr>
              <w:pStyle w:val="14"/>
              <w:spacing w:before="127"/>
              <w:ind w:left="215"/>
              <w:jc w:val="left"/>
              <w:rPr>
                <w:sz w:val="18"/>
              </w:rPr>
            </w:pPr>
            <w:r>
              <w:rPr>
                <w:sz w:val="18"/>
              </w:rPr>
              <w:t>锅炉房烟囱</w:t>
            </w:r>
          </w:p>
        </w:tc>
        <w:tc>
          <w:tcPr>
            <w:tcW w:w="677" w:type="dxa"/>
            <w:tcBorders>
              <w:top w:val="single" w:color="000000" w:sz="4" w:space="0"/>
              <w:left w:val="single" w:color="000000" w:sz="4" w:space="0"/>
              <w:bottom w:val="single" w:color="000000" w:sz="4" w:space="0"/>
              <w:right w:val="single" w:color="000000" w:sz="4" w:space="0"/>
            </w:tcBorders>
          </w:tcPr>
          <w:p>
            <w:pPr>
              <w:pStyle w:val="14"/>
              <w:spacing w:before="36"/>
              <w:ind w:left="161"/>
              <w:jc w:val="left"/>
              <w:rPr>
                <w:sz w:val="18"/>
              </w:rPr>
            </w:pPr>
            <w:r>
              <w:rPr>
                <w:sz w:val="18"/>
              </w:rPr>
              <w:t>烟尘</w:t>
            </w:r>
          </w:p>
        </w:tc>
        <w:tc>
          <w:tcPr>
            <w:tcW w:w="1038" w:type="dxa"/>
            <w:vMerge w:val="restart"/>
            <w:tcBorders>
              <w:top w:val="single" w:color="000000" w:sz="4" w:space="0"/>
              <w:left w:val="single" w:color="000000" w:sz="4" w:space="0"/>
              <w:bottom w:val="single" w:color="000000" w:sz="4" w:space="0"/>
              <w:right w:val="single" w:color="000000" w:sz="4" w:space="0"/>
            </w:tcBorders>
          </w:tcPr>
          <w:p>
            <w:pPr>
              <w:pStyle w:val="14"/>
              <w:spacing w:before="9"/>
              <w:jc w:val="left"/>
              <w:rPr>
                <w:b/>
                <w:sz w:val="15"/>
              </w:rPr>
            </w:pPr>
          </w:p>
          <w:p>
            <w:pPr>
              <w:pStyle w:val="14"/>
              <w:spacing w:line="324" w:lineRule="auto"/>
              <w:ind w:left="252" w:right="233" w:firstLine="91"/>
              <w:jc w:val="left"/>
              <w:rPr>
                <w:sz w:val="18"/>
              </w:rPr>
            </w:pPr>
            <w:r>
              <w:rPr>
                <w:sz w:val="18"/>
              </w:rPr>
              <w:t>物料衡算法</w:t>
            </w:r>
          </w:p>
        </w:tc>
        <w:tc>
          <w:tcPr>
            <w:tcW w:w="1037" w:type="dxa"/>
            <w:vMerge w:val="restart"/>
            <w:tcBorders>
              <w:top w:val="single" w:color="000000" w:sz="4" w:space="0"/>
              <w:left w:val="single" w:color="000000" w:sz="4" w:space="0"/>
              <w:bottom w:val="single" w:color="000000" w:sz="4" w:space="0"/>
              <w:right w:val="single" w:color="000000" w:sz="4" w:space="0"/>
            </w:tcBorders>
          </w:tcPr>
          <w:p>
            <w:pPr>
              <w:pStyle w:val="14"/>
              <w:spacing w:before="11"/>
              <w:jc w:val="left"/>
              <w:rPr>
                <w:b/>
                <w:sz w:val="28"/>
              </w:rPr>
            </w:pPr>
          </w:p>
          <w:p>
            <w:pPr>
              <w:pStyle w:val="14"/>
              <w:ind w:left="342"/>
              <w:jc w:val="left"/>
              <w:rPr>
                <w:rFonts w:ascii="Times New Roman"/>
                <w:sz w:val="18"/>
              </w:rPr>
            </w:pPr>
            <w:r>
              <w:rPr>
                <w:rFonts w:ascii="Times New Roman"/>
                <w:sz w:val="18"/>
              </w:rPr>
              <w:t>4360</w:t>
            </w:r>
          </w:p>
        </w:tc>
        <w:tc>
          <w:tcPr>
            <w:tcW w:w="1038" w:type="dxa"/>
            <w:tcBorders>
              <w:top w:val="single" w:color="000000" w:sz="4" w:space="0"/>
              <w:left w:val="single" w:color="000000" w:sz="4" w:space="0"/>
              <w:bottom w:val="single" w:color="000000" w:sz="4" w:space="0"/>
              <w:right w:val="single" w:color="000000" w:sz="4" w:space="0"/>
            </w:tcBorders>
          </w:tcPr>
          <w:p>
            <w:pPr>
              <w:pStyle w:val="14"/>
              <w:spacing w:before="48"/>
              <w:ind w:right="276"/>
              <w:jc w:val="right"/>
              <w:rPr>
                <w:rFonts w:ascii="Times New Roman"/>
                <w:sz w:val="18"/>
              </w:rPr>
            </w:pPr>
            <w:r>
              <w:rPr>
                <w:rFonts w:ascii="Times New Roman"/>
                <w:sz w:val="18"/>
              </w:rPr>
              <w:t>14211</w:t>
            </w:r>
          </w:p>
        </w:tc>
        <w:tc>
          <w:tcPr>
            <w:tcW w:w="1039" w:type="dxa"/>
            <w:tcBorders>
              <w:top w:val="single" w:color="000000" w:sz="4" w:space="0"/>
              <w:left w:val="single" w:color="000000" w:sz="4" w:space="0"/>
              <w:bottom w:val="single" w:color="000000" w:sz="4" w:space="0"/>
              <w:right w:val="single" w:color="000000" w:sz="4" w:space="0"/>
            </w:tcBorders>
          </w:tcPr>
          <w:p>
            <w:pPr>
              <w:pStyle w:val="14"/>
              <w:spacing w:before="48"/>
              <w:ind w:left="98" w:right="79"/>
              <w:rPr>
                <w:rFonts w:ascii="Times New Roman"/>
                <w:sz w:val="18"/>
              </w:rPr>
            </w:pPr>
            <w:r>
              <w:rPr>
                <w:rFonts w:ascii="Times New Roman"/>
                <w:sz w:val="18"/>
              </w:rPr>
              <w:t>108</w:t>
            </w:r>
          </w:p>
        </w:tc>
        <w:tc>
          <w:tcPr>
            <w:tcW w:w="1370" w:type="dxa"/>
            <w:tcBorders>
              <w:top w:val="single" w:color="000000" w:sz="4" w:space="0"/>
              <w:left w:val="single" w:color="000000" w:sz="4" w:space="0"/>
              <w:bottom w:val="single" w:color="000000" w:sz="4" w:space="0"/>
              <w:right w:val="single" w:color="000000" w:sz="4" w:space="0"/>
            </w:tcBorders>
          </w:tcPr>
          <w:p>
            <w:pPr>
              <w:pStyle w:val="14"/>
              <w:spacing w:before="36"/>
              <w:ind w:left="129" w:right="108"/>
              <w:rPr>
                <w:sz w:val="18"/>
              </w:rPr>
            </w:pPr>
            <w:r>
              <w:rPr>
                <w:sz w:val="18"/>
              </w:rPr>
              <w:t>布袋除尘器</w:t>
            </w:r>
          </w:p>
        </w:tc>
        <w:tc>
          <w:tcPr>
            <w:tcW w:w="914" w:type="dxa"/>
            <w:tcBorders>
              <w:top w:val="single" w:color="000000" w:sz="4" w:space="0"/>
              <w:left w:val="single" w:color="000000" w:sz="4" w:space="0"/>
              <w:bottom w:val="single" w:color="000000" w:sz="4" w:space="0"/>
              <w:right w:val="single" w:color="000000" w:sz="4" w:space="0"/>
            </w:tcBorders>
          </w:tcPr>
          <w:p>
            <w:pPr>
              <w:pStyle w:val="14"/>
              <w:spacing w:before="48"/>
              <w:ind w:left="185" w:right="167"/>
              <w:rPr>
                <w:rFonts w:ascii="Times New Roman"/>
                <w:sz w:val="18"/>
              </w:rPr>
            </w:pPr>
            <w:r>
              <w:rPr>
                <w:rFonts w:ascii="Times New Roman"/>
                <w:sz w:val="18"/>
              </w:rPr>
              <w:t>99.9</w:t>
            </w:r>
          </w:p>
        </w:tc>
        <w:tc>
          <w:tcPr>
            <w:tcW w:w="898" w:type="dxa"/>
            <w:vMerge w:val="restart"/>
            <w:tcBorders>
              <w:top w:val="single" w:color="000000" w:sz="4" w:space="0"/>
              <w:left w:val="single" w:color="000000" w:sz="4" w:space="0"/>
              <w:bottom w:val="single" w:color="000000" w:sz="4" w:space="0"/>
              <w:right w:val="single" w:color="000000" w:sz="4" w:space="0"/>
            </w:tcBorders>
          </w:tcPr>
          <w:p>
            <w:pPr>
              <w:pStyle w:val="14"/>
              <w:spacing w:before="11"/>
              <w:jc w:val="left"/>
              <w:rPr>
                <w:b/>
                <w:sz w:val="28"/>
              </w:rPr>
            </w:pPr>
          </w:p>
          <w:p>
            <w:pPr>
              <w:pStyle w:val="14"/>
              <w:ind w:left="272"/>
              <w:jc w:val="left"/>
              <w:rPr>
                <w:rFonts w:ascii="Times New Roman"/>
                <w:sz w:val="18"/>
              </w:rPr>
            </w:pPr>
            <w:r>
              <w:rPr>
                <w:rFonts w:ascii="Times New Roman"/>
                <w:sz w:val="18"/>
              </w:rPr>
              <w:t>4360</w:t>
            </w:r>
          </w:p>
        </w:tc>
        <w:tc>
          <w:tcPr>
            <w:tcW w:w="898" w:type="dxa"/>
            <w:tcBorders>
              <w:top w:val="single" w:color="000000" w:sz="4" w:space="0"/>
              <w:left w:val="single" w:color="000000" w:sz="4" w:space="0"/>
              <w:bottom w:val="single" w:color="000000" w:sz="4" w:space="0"/>
              <w:right w:val="single" w:color="000000" w:sz="4" w:space="0"/>
            </w:tcBorders>
          </w:tcPr>
          <w:p>
            <w:pPr>
              <w:pStyle w:val="14"/>
              <w:spacing w:before="48"/>
              <w:ind w:right="228"/>
              <w:jc w:val="right"/>
              <w:rPr>
                <w:rFonts w:ascii="Times New Roman"/>
                <w:sz w:val="18"/>
              </w:rPr>
            </w:pPr>
            <w:r>
              <w:rPr>
                <w:rFonts w:ascii="Times New Roman"/>
                <w:sz w:val="18"/>
              </w:rPr>
              <w:t>13.93</w:t>
            </w:r>
          </w:p>
        </w:tc>
        <w:tc>
          <w:tcPr>
            <w:tcW w:w="897" w:type="dxa"/>
            <w:tcBorders>
              <w:top w:val="single" w:color="000000" w:sz="4" w:space="0"/>
              <w:left w:val="single" w:color="000000" w:sz="4" w:space="0"/>
              <w:bottom w:val="single" w:color="000000" w:sz="4" w:space="0"/>
              <w:right w:val="single" w:color="000000" w:sz="4" w:space="0"/>
            </w:tcBorders>
          </w:tcPr>
          <w:p>
            <w:pPr>
              <w:pStyle w:val="14"/>
              <w:spacing w:before="48"/>
              <w:ind w:left="142" w:right="122"/>
              <w:rPr>
                <w:rFonts w:ascii="Times New Roman"/>
                <w:sz w:val="18"/>
              </w:rPr>
            </w:pPr>
            <w:r>
              <w:rPr>
                <w:rFonts w:ascii="Times New Roman"/>
                <w:sz w:val="18"/>
              </w:rPr>
              <w:t>0.021</w:t>
            </w:r>
          </w:p>
        </w:tc>
        <w:tc>
          <w:tcPr>
            <w:tcW w:w="899" w:type="dxa"/>
            <w:tcBorders>
              <w:top w:val="single" w:color="000000" w:sz="4" w:space="0"/>
              <w:left w:val="single" w:color="000000" w:sz="4" w:space="0"/>
              <w:bottom w:val="single" w:color="000000" w:sz="4" w:space="0"/>
              <w:right w:val="single" w:color="000000" w:sz="4" w:space="0"/>
            </w:tcBorders>
          </w:tcPr>
          <w:p>
            <w:pPr>
              <w:pStyle w:val="14"/>
              <w:spacing w:before="48"/>
              <w:ind w:left="298"/>
              <w:jc w:val="left"/>
              <w:rPr>
                <w:rFonts w:ascii="Times New Roman"/>
                <w:sz w:val="18"/>
              </w:rPr>
            </w:pPr>
            <w:r>
              <w:rPr>
                <w:rFonts w:ascii="Times New Roman"/>
                <w:sz w:val="18"/>
              </w:rPr>
              <w:t>0.11</w:t>
            </w:r>
          </w:p>
        </w:tc>
        <w:tc>
          <w:tcPr>
            <w:tcW w:w="879" w:type="dxa"/>
            <w:tcBorders>
              <w:top w:val="single" w:color="000000" w:sz="4" w:space="0"/>
              <w:left w:val="single" w:color="000000" w:sz="4" w:space="0"/>
              <w:bottom w:val="single" w:color="000000" w:sz="4" w:space="0"/>
              <w:right w:val="single" w:color="000000" w:sz="4" w:space="0"/>
            </w:tcBorders>
          </w:tcPr>
          <w:p>
            <w:pPr>
              <w:pStyle w:val="14"/>
              <w:spacing w:before="48"/>
              <w:ind w:left="287" w:right="270"/>
              <w:rPr>
                <w:rFonts w:ascii="Times New Roman"/>
                <w:sz w:val="18"/>
              </w:rPr>
            </w:pPr>
            <w:r>
              <w:rPr>
                <w:rFonts w:ascii="Times New Roman"/>
                <w:sz w:val="18"/>
              </w:rPr>
              <w:t>50</w:t>
            </w:r>
          </w:p>
        </w:tc>
        <w:tc>
          <w:tcPr>
            <w:tcW w:w="879" w:type="dxa"/>
            <w:vMerge w:val="restart"/>
            <w:tcBorders>
              <w:top w:val="single" w:color="000000" w:sz="4" w:space="0"/>
              <w:left w:val="single" w:color="000000" w:sz="4" w:space="0"/>
              <w:bottom w:val="single" w:color="000000" w:sz="4" w:space="0"/>
            </w:tcBorders>
          </w:tcPr>
          <w:p>
            <w:pPr>
              <w:pStyle w:val="14"/>
              <w:spacing w:before="11"/>
              <w:jc w:val="left"/>
              <w:rPr>
                <w:b/>
                <w:sz w:val="28"/>
              </w:rPr>
            </w:pPr>
          </w:p>
          <w:p>
            <w:pPr>
              <w:pStyle w:val="14"/>
              <w:ind w:left="263"/>
              <w:jc w:val="left"/>
              <w:rPr>
                <w:rFonts w:ascii="Times New Roman"/>
                <w:sz w:val="18"/>
              </w:rPr>
            </w:pPr>
            <w:r>
              <w:rPr>
                <w:rFonts w:ascii="Times New Roman"/>
                <w:sz w:val="18"/>
              </w:rPr>
              <w:t>5040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564" w:type="dxa"/>
            <w:vMerge w:val="continue"/>
            <w:tcBorders>
              <w:top w:val="nil"/>
              <w:right w:val="single" w:color="000000" w:sz="4" w:space="0"/>
            </w:tcBorders>
          </w:tcPr>
          <w:p>
            <w:pPr>
              <w:rPr>
                <w:sz w:val="2"/>
                <w:szCs w:val="2"/>
              </w:rPr>
            </w:pPr>
          </w:p>
        </w:tc>
        <w:tc>
          <w:tcPr>
            <w:tcW w:w="1323" w:type="dxa"/>
            <w:vMerge w:val="continue"/>
            <w:tcBorders>
              <w:top w:val="nil"/>
              <w:left w:val="single" w:color="000000" w:sz="4" w:space="0"/>
              <w:bottom w:val="single" w:color="000000" w:sz="4" w:space="0"/>
              <w:right w:val="single" w:color="000000" w:sz="4" w:space="0"/>
            </w:tcBorders>
          </w:tcPr>
          <w:p>
            <w:pPr>
              <w:rPr>
                <w:sz w:val="2"/>
                <w:szCs w:val="2"/>
              </w:rPr>
            </w:pPr>
          </w:p>
        </w:tc>
        <w:tc>
          <w:tcPr>
            <w:tcW w:w="677" w:type="dxa"/>
            <w:tcBorders>
              <w:top w:val="single" w:color="000000" w:sz="4" w:space="0"/>
              <w:left w:val="single" w:color="000000" w:sz="4" w:space="0"/>
              <w:bottom w:val="single" w:color="000000" w:sz="4" w:space="0"/>
              <w:right w:val="single" w:color="000000" w:sz="4" w:space="0"/>
            </w:tcBorders>
          </w:tcPr>
          <w:p>
            <w:pPr>
              <w:pStyle w:val="14"/>
              <w:spacing w:before="52"/>
              <w:ind w:left="200"/>
              <w:jc w:val="left"/>
              <w:rPr>
                <w:rFonts w:ascii="Times New Roman"/>
                <w:sz w:val="18"/>
              </w:rPr>
            </w:pPr>
            <w:r>
              <w:rPr>
                <w:rFonts w:ascii="Times New Roman"/>
                <w:position w:val="1"/>
                <w:sz w:val="18"/>
              </w:rPr>
              <w:t>SO</w:t>
            </w:r>
            <w:r>
              <w:rPr>
                <w:rFonts w:ascii="Times New Roman"/>
                <w:position w:val="1"/>
                <w:sz w:val="18"/>
                <w:vertAlign w:val="subscript"/>
              </w:rPr>
              <w:t>2</w:t>
            </w:r>
          </w:p>
        </w:tc>
        <w:tc>
          <w:tcPr>
            <w:tcW w:w="1038" w:type="dxa"/>
            <w:vMerge w:val="continue"/>
            <w:tcBorders>
              <w:top w:val="nil"/>
              <w:left w:val="single" w:color="000000" w:sz="4" w:space="0"/>
              <w:bottom w:val="single" w:color="000000" w:sz="4" w:space="0"/>
              <w:right w:val="single" w:color="000000" w:sz="4" w:space="0"/>
            </w:tcBorders>
          </w:tcPr>
          <w:p>
            <w:pPr>
              <w:rPr>
                <w:sz w:val="2"/>
                <w:szCs w:val="2"/>
              </w:rPr>
            </w:pPr>
          </w:p>
        </w:tc>
        <w:tc>
          <w:tcPr>
            <w:tcW w:w="1037" w:type="dxa"/>
            <w:vMerge w:val="continue"/>
            <w:tcBorders>
              <w:top w:val="nil"/>
              <w:left w:val="single" w:color="000000" w:sz="4" w:space="0"/>
              <w:bottom w:val="single" w:color="000000" w:sz="4" w:space="0"/>
              <w:right w:val="single" w:color="000000" w:sz="4" w:space="0"/>
            </w:tcBorders>
          </w:tcPr>
          <w:p>
            <w:pPr>
              <w:rPr>
                <w:sz w:val="2"/>
                <w:szCs w:val="2"/>
              </w:rPr>
            </w:pPr>
          </w:p>
        </w:tc>
        <w:tc>
          <w:tcPr>
            <w:tcW w:w="1038" w:type="dxa"/>
            <w:tcBorders>
              <w:top w:val="single" w:color="000000" w:sz="4" w:space="0"/>
              <w:left w:val="single" w:color="000000" w:sz="4" w:space="0"/>
              <w:bottom w:val="single" w:color="000000" w:sz="4" w:space="0"/>
              <w:right w:val="single" w:color="000000" w:sz="4" w:space="0"/>
            </w:tcBorders>
          </w:tcPr>
          <w:p>
            <w:pPr>
              <w:pStyle w:val="14"/>
              <w:spacing w:before="47"/>
              <w:ind w:right="298"/>
              <w:jc w:val="right"/>
              <w:rPr>
                <w:rFonts w:ascii="Times New Roman"/>
                <w:sz w:val="18"/>
              </w:rPr>
            </w:pPr>
            <w:r>
              <w:rPr>
                <w:rFonts w:ascii="Times New Roman"/>
                <w:sz w:val="18"/>
              </w:rPr>
              <w:t>23.21</w:t>
            </w:r>
          </w:p>
        </w:tc>
        <w:tc>
          <w:tcPr>
            <w:tcW w:w="1039" w:type="dxa"/>
            <w:tcBorders>
              <w:top w:val="single" w:color="000000" w:sz="4" w:space="0"/>
              <w:left w:val="single" w:color="000000" w:sz="4" w:space="0"/>
              <w:bottom w:val="single" w:color="000000" w:sz="4" w:space="0"/>
              <w:right w:val="single" w:color="000000" w:sz="4" w:space="0"/>
            </w:tcBorders>
          </w:tcPr>
          <w:p>
            <w:pPr>
              <w:pStyle w:val="14"/>
              <w:spacing w:before="47"/>
              <w:ind w:left="100" w:right="79"/>
              <w:rPr>
                <w:rFonts w:ascii="Times New Roman"/>
                <w:sz w:val="18"/>
              </w:rPr>
            </w:pPr>
            <w:r>
              <w:rPr>
                <w:rFonts w:ascii="Times New Roman"/>
                <w:sz w:val="18"/>
              </w:rPr>
              <w:t>0.176</w:t>
            </w:r>
          </w:p>
        </w:tc>
        <w:tc>
          <w:tcPr>
            <w:tcW w:w="1370" w:type="dxa"/>
            <w:tcBorders>
              <w:top w:val="single" w:color="000000" w:sz="4" w:space="0"/>
              <w:left w:val="single" w:color="000000" w:sz="4" w:space="0"/>
              <w:bottom w:val="single" w:color="000000" w:sz="4" w:space="0"/>
              <w:right w:val="single" w:color="000000" w:sz="4" w:space="0"/>
            </w:tcBorders>
          </w:tcPr>
          <w:p>
            <w:pPr>
              <w:pStyle w:val="14"/>
              <w:spacing w:before="47"/>
              <w:ind w:left="20"/>
              <w:rPr>
                <w:rFonts w:ascii="Times New Roman"/>
                <w:sz w:val="18"/>
              </w:rPr>
            </w:pPr>
            <w:r>
              <w:rPr>
                <w:rFonts w:ascii="Times New Roman"/>
                <w:sz w:val="18"/>
              </w:rPr>
              <w:t>/</w:t>
            </w:r>
          </w:p>
        </w:tc>
        <w:tc>
          <w:tcPr>
            <w:tcW w:w="914" w:type="dxa"/>
            <w:tcBorders>
              <w:top w:val="single" w:color="000000" w:sz="4" w:space="0"/>
              <w:left w:val="single" w:color="000000" w:sz="4" w:space="0"/>
              <w:bottom w:val="single" w:color="000000" w:sz="4" w:space="0"/>
              <w:right w:val="single" w:color="000000" w:sz="4" w:space="0"/>
            </w:tcBorders>
          </w:tcPr>
          <w:p>
            <w:pPr>
              <w:pStyle w:val="14"/>
              <w:spacing w:before="47"/>
              <w:ind w:left="18"/>
              <w:rPr>
                <w:rFonts w:ascii="Times New Roman"/>
                <w:sz w:val="18"/>
              </w:rPr>
            </w:pPr>
            <w:r>
              <w:rPr>
                <w:rFonts w:ascii="Times New Roman"/>
                <w:sz w:val="18"/>
              </w:rPr>
              <w:t>0</w:t>
            </w:r>
          </w:p>
        </w:tc>
        <w:tc>
          <w:tcPr>
            <w:tcW w:w="898" w:type="dxa"/>
            <w:vMerge w:val="continue"/>
            <w:tcBorders>
              <w:top w:val="nil"/>
              <w:left w:val="single" w:color="000000" w:sz="4" w:space="0"/>
              <w:bottom w:val="single" w:color="000000" w:sz="4" w:space="0"/>
              <w:right w:val="single" w:color="000000" w:sz="4" w:space="0"/>
            </w:tcBorders>
          </w:tcPr>
          <w:p>
            <w:pPr>
              <w:rPr>
                <w:sz w:val="2"/>
                <w:szCs w:val="2"/>
              </w:rPr>
            </w:pPr>
          </w:p>
        </w:tc>
        <w:tc>
          <w:tcPr>
            <w:tcW w:w="898" w:type="dxa"/>
            <w:tcBorders>
              <w:top w:val="single" w:color="000000" w:sz="4" w:space="0"/>
              <w:left w:val="single" w:color="000000" w:sz="4" w:space="0"/>
              <w:bottom w:val="single" w:color="000000" w:sz="4" w:space="0"/>
              <w:right w:val="single" w:color="000000" w:sz="4" w:space="0"/>
            </w:tcBorders>
          </w:tcPr>
          <w:p>
            <w:pPr>
              <w:pStyle w:val="14"/>
              <w:spacing w:before="47"/>
              <w:ind w:right="228"/>
              <w:jc w:val="right"/>
              <w:rPr>
                <w:rFonts w:ascii="Times New Roman"/>
                <w:sz w:val="18"/>
              </w:rPr>
            </w:pPr>
            <w:r>
              <w:rPr>
                <w:rFonts w:ascii="Times New Roman"/>
                <w:sz w:val="18"/>
              </w:rPr>
              <w:t>23.21</w:t>
            </w:r>
          </w:p>
        </w:tc>
        <w:tc>
          <w:tcPr>
            <w:tcW w:w="897" w:type="dxa"/>
            <w:tcBorders>
              <w:top w:val="single" w:color="000000" w:sz="4" w:space="0"/>
              <w:left w:val="single" w:color="000000" w:sz="4" w:space="0"/>
              <w:bottom w:val="single" w:color="000000" w:sz="4" w:space="0"/>
              <w:right w:val="single" w:color="000000" w:sz="4" w:space="0"/>
            </w:tcBorders>
          </w:tcPr>
          <w:p>
            <w:pPr>
              <w:pStyle w:val="14"/>
              <w:spacing w:before="47"/>
              <w:ind w:left="142" w:right="125"/>
              <w:rPr>
                <w:rFonts w:ascii="Times New Roman"/>
                <w:sz w:val="18"/>
              </w:rPr>
            </w:pPr>
            <w:r>
              <w:rPr>
                <w:rFonts w:ascii="Times New Roman"/>
                <w:sz w:val="18"/>
              </w:rPr>
              <w:t>0.035</w:t>
            </w:r>
          </w:p>
        </w:tc>
        <w:tc>
          <w:tcPr>
            <w:tcW w:w="899" w:type="dxa"/>
            <w:tcBorders>
              <w:top w:val="single" w:color="000000" w:sz="4" w:space="0"/>
              <w:left w:val="single" w:color="000000" w:sz="4" w:space="0"/>
              <w:bottom w:val="single" w:color="000000" w:sz="4" w:space="0"/>
              <w:right w:val="single" w:color="000000" w:sz="4" w:space="0"/>
            </w:tcBorders>
          </w:tcPr>
          <w:p>
            <w:pPr>
              <w:pStyle w:val="14"/>
              <w:spacing w:before="47"/>
              <w:ind w:left="250"/>
              <w:jc w:val="left"/>
              <w:rPr>
                <w:rFonts w:ascii="Times New Roman"/>
                <w:sz w:val="18"/>
              </w:rPr>
            </w:pPr>
            <w:r>
              <w:rPr>
                <w:rFonts w:ascii="Times New Roman"/>
                <w:sz w:val="18"/>
              </w:rPr>
              <w:t>0.176</w:t>
            </w:r>
          </w:p>
        </w:tc>
        <w:tc>
          <w:tcPr>
            <w:tcW w:w="879" w:type="dxa"/>
            <w:tcBorders>
              <w:top w:val="single" w:color="000000" w:sz="4" w:space="0"/>
              <w:left w:val="single" w:color="000000" w:sz="4" w:space="0"/>
              <w:bottom w:val="single" w:color="000000" w:sz="4" w:space="0"/>
              <w:right w:val="single" w:color="000000" w:sz="4" w:space="0"/>
            </w:tcBorders>
          </w:tcPr>
          <w:p>
            <w:pPr>
              <w:pStyle w:val="14"/>
              <w:spacing w:before="47"/>
              <w:ind w:left="289" w:right="270"/>
              <w:rPr>
                <w:rFonts w:ascii="Times New Roman"/>
                <w:sz w:val="18"/>
              </w:rPr>
            </w:pPr>
            <w:r>
              <w:rPr>
                <w:rFonts w:ascii="Times New Roman"/>
                <w:sz w:val="18"/>
              </w:rPr>
              <w:t>300</w:t>
            </w:r>
          </w:p>
        </w:tc>
        <w:tc>
          <w:tcPr>
            <w:tcW w:w="87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1" w:hRule="atLeast"/>
        </w:trPr>
        <w:tc>
          <w:tcPr>
            <w:tcW w:w="564" w:type="dxa"/>
            <w:vMerge w:val="continue"/>
            <w:tcBorders>
              <w:top w:val="nil"/>
              <w:right w:val="single" w:color="000000" w:sz="4" w:space="0"/>
            </w:tcBorders>
          </w:tcPr>
          <w:p>
            <w:pPr>
              <w:rPr>
                <w:sz w:val="2"/>
                <w:szCs w:val="2"/>
              </w:rPr>
            </w:pPr>
          </w:p>
        </w:tc>
        <w:tc>
          <w:tcPr>
            <w:tcW w:w="1323" w:type="dxa"/>
            <w:vMerge w:val="continue"/>
            <w:tcBorders>
              <w:top w:val="nil"/>
              <w:left w:val="single" w:color="000000" w:sz="4" w:space="0"/>
              <w:bottom w:val="single" w:color="000000" w:sz="4" w:space="0"/>
              <w:right w:val="single" w:color="000000" w:sz="4" w:space="0"/>
            </w:tcBorders>
          </w:tcPr>
          <w:p>
            <w:pPr>
              <w:rPr>
                <w:sz w:val="2"/>
                <w:szCs w:val="2"/>
              </w:rPr>
            </w:pPr>
          </w:p>
        </w:tc>
        <w:tc>
          <w:tcPr>
            <w:tcW w:w="677" w:type="dxa"/>
            <w:tcBorders>
              <w:top w:val="single" w:color="000000" w:sz="4" w:space="0"/>
              <w:left w:val="single" w:color="000000" w:sz="4" w:space="0"/>
              <w:bottom w:val="single" w:color="000000" w:sz="4" w:space="0"/>
              <w:right w:val="single" w:color="000000" w:sz="4" w:space="0"/>
            </w:tcBorders>
          </w:tcPr>
          <w:p>
            <w:pPr>
              <w:pStyle w:val="14"/>
              <w:spacing w:before="47"/>
              <w:ind w:left="168"/>
              <w:jc w:val="left"/>
              <w:rPr>
                <w:rFonts w:ascii="Times New Roman"/>
                <w:sz w:val="18"/>
              </w:rPr>
            </w:pPr>
            <w:r>
              <w:rPr>
                <w:rFonts w:ascii="Times New Roman"/>
                <w:sz w:val="18"/>
              </w:rPr>
              <w:t>NOx</w:t>
            </w:r>
          </w:p>
        </w:tc>
        <w:tc>
          <w:tcPr>
            <w:tcW w:w="1038" w:type="dxa"/>
            <w:vMerge w:val="continue"/>
            <w:tcBorders>
              <w:top w:val="nil"/>
              <w:left w:val="single" w:color="000000" w:sz="4" w:space="0"/>
              <w:bottom w:val="single" w:color="000000" w:sz="4" w:space="0"/>
              <w:right w:val="single" w:color="000000" w:sz="4" w:space="0"/>
            </w:tcBorders>
          </w:tcPr>
          <w:p>
            <w:pPr>
              <w:rPr>
                <w:sz w:val="2"/>
                <w:szCs w:val="2"/>
              </w:rPr>
            </w:pPr>
          </w:p>
        </w:tc>
        <w:tc>
          <w:tcPr>
            <w:tcW w:w="1037" w:type="dxa"/>
            <w:vMerge w:val="continue"/>
            <w:tcBorders>
              <w:top w:val="nil"/>
              <w:left w:val="single" w:color="000000" w:sz="4" w:space="0"/>
              <w:bottom w:val="single" w:color="000000" w:sz="4" w:space="0"/>
              <w:right w:val="single" w:color="000000" w:sz="4" w:space="0"/>
            </w:tcBorders>
          </w:tcPr>
          <w:p>
            <w:pPr>
              <w:rPr>
                <w:sz w:val="2"/>
                <w:szCs w:val="2"/>
              </w:rPr>
            </w:pPr>
          </w:p>
        </w:tc>
        <w:tc>
          <w:tcPr>
            <w:tcW w:w="1038" w:type="dxa"/>
            <w:tcBorders>
              <w:top w:val="single" w:color="000000" w:sz="4" w:space="0"/>
              <w:left w:val="single" w:color="000000" w:sz="4" w:space="0"/>
              <w:bottom w:val="single" w:color="000000" w:sz="4" w:space="0"/>
              <w:right w:val="single" w:color="000000" w:sz="4" w:space="0"/>
            </w:tcBorders>
          </w:tcPr>
          <w:p>
            <w:pPr>
              <w:pStyle w:val="14"/>
              <w:spacing w:before="47"/>
              <w:ind w:right="368"/>
              <w:jc w:val="right"/>
              <w:rPr>
                <w:rFonts w:ascii="Times New Roman"/>
                <w:sz w:val="18"/>
              </w:rPr>
            </w:pPr>
            <w:r>
              <w:rPr>
                <w:rFonts w:ascii="Times New Roman"/>
                <w:sz w:val="18"/>
              </w:rPr>
              <w:t>200</w:t>
            </w:r>
          </w:p>
        </w:tc>
        <w:tc>
          <w:tcPr>
            <w:tcW w:w="1039" w:type="dxa"/>
            <w:tcBorders>
              <w:top w:val="single" w:color="000000" w:sz="4" w:space="0"/>
              <w:left w:val="single" w:color="000000" w:sz="4" w:space="0"/>
              <w:bottom w:val="single" w:color="000000" w:sz="4" w:space="0"/>
              <w:right w:val="single" w:color="000000" w:sz="4" w:space="0"/>
            </w:tcBorders>
          </w:tcPr>
          <w:p>
            <w:pPr>
              <w:pStyle w:val="14"/>
              <w:spacing w:before="47"/>
              <w:ind w:left="100" w:right="79"/>
              <w:rPr>
                <w:rFonts w:ascii="Times New Roman"/>
                <w:sz w:val="18"/>
              </w:rPr>
            </w:pPr>
            <w:r>
              <w:rPr>
                <w:rFonts w:ascii="Times New Roman"/>
                <w:sz w:val="18"/>
              </w:rPr>
              <w:t>1.52</w:t>
            </w:r>
          </w:p>
        </w:tc>
        <w:tc>
          <w:tcPr>
            <w:tcW w:w="1370" w:type="dxa"/>
            <w:tcBorders>
              <w:top w:val="single" w:color="000000" w:sz="4" w:space="0"/>
              <w:left w:val="single" w:color="000000" w:sz="4" w:space="0"/>
              <w:bottom w:val="single" w:color="000000" w:sz="4" w:space="0"/>
              <w:right w:val="single" w:color="000000" w:sz="4" w:space="0"/>
            </w:tcBorders>
          </w:tcPr>
          <w:p>
            <w:pPr>
              <w:pStyle w:val="14"/>
              <w:spacing w:before="47"/>
              <w:ind w:left="20"/>
              <w:rPr>
                <w:rFonts w:ascii="Times New Roman"/>
                <w:sz w:val="18"/>
              </w:rPr>
            </w:pPr>
            <w:r>
              <w:rPr>
                <w:rFonts w:ascii="Times New Roman"/>
                <w:sz w:val="18"/>
              </w:rPr>
              <w:t>/</w:t>
            </w:r>
          </w:p>
        </w:tc>
        <w:tc>
          <w:tcPr>
            <w:tcW w:w="914" w:type="dxa"/>
            <w:tcBorders>
              <w:top w:val="single" w:color="000000" w:sz="4" w:space="0"/>
              <w:left w:val="single" w:color="000000" w:sz="4" w:space="0"/>
              <w:bottom w:val="single" w:color="000000" w:sz="4" w:space="0"/>
              <w:right w:val="single" w:color="000000" w:sz="4" w:space="0"/>
            </w:tcBorders>
          </w:tcPr>
          <w:p>
            <w:pPr>
              <w:pStyle w:val="14"/>
              <w:spacing w:before="47"/>
              <w:ind w:left="18"/>
              <w:rPr>
                <w:rFonts w:ascii="Times New Roman"/>
                <w:sz w:val="18"/>
              </w:rPr>
            </w:pPr>
            <w:r>
              <w:rPr>
                <w:rFonts w:ascii="Times New Roman"/>
                <w:sz w:val="18"/>
              </w:rPr>
              <w:t>0</w:t>
            </w:r>
          </w:p>
        </w:tc>
        <w:tc>
          <w:tcPr>
            <w:tcW w:w="898" w:type="dxa"/>
            <w:vMerge w:val="continue"/>
            <w:tcBorders>
              <w:top w:val="nil"/>
              <w:left w:val="single" w:color="000000" w:sz="4" w:space="0"/>
              <w:bottom w:val="single" w:color="000000" w:sz="4" w:space="0"/>
              <w:right w:val="single" w:color="000000" w:sz="4" w:space="0"/>
            </w:tcBorders>
          </w:tcPr>
          <w:p>
            <w:pPr>
              <w:rPr>
                <w:sz w:val="2"/>
                <w:szCs w:val="2"/>
              </w:rPr>
            </w:pPr>
          </w:p>
        </w:tc>
        <w:tc>
          <w:tcPr>
            <w:tcW w:w="898" w:type="dxa"/>
            <w:tcBorders>
              <w:top w:val="single" w:color="000000" w:sz="4" w:space="0"/>
              <w:left w:val="single" w:color="000000" w:sz="4" w:space="0"/>
              <w:bottom w:val="single" w:color="000000" w:sz="4" w:space="0"/>
              <w:right w:val="single" w:color="000000" w:sz="4" w:space="0"/>
            </w:tcBorders>
          </w:tcPr>
          <w:p>
            <w:pPr>
              <w:pStyle w:val="14"/>
              <w:spacing w:before="47"/>
              <w:ind w:right="298"/>
              <w:jc w:val="right"/>
              <w:rPr>
                <w:rFonts w:ascii="Times New Roman"/>
                <w:sz w:val="18"/>
              </w:rPr>
            </w:pPr>
            <w:r>
              <w:rPr>
                <w:rFonts w:ascii="Times New Roman"/>
                <w:sz w:val="18"/>
              </w:rPr>
              <w:t>200</w:t>
            </w:r>
          </w:p>
        </w:tc>
        <w:tc>
          <w:tcPr>
            <w:tcW w:w="897" w:type="dxa"/>
            <w:tcBorders>
              <w:top w:val="single" w:color="000000" w:sz="4" w:space="0"/>
              <w:left w:val="single" w:color="000000" w:sz="4" w:space="0"/>
              <w:bottom w:val="single" w:color="000000" w:sz="4" w:space="0"/>
              <w:right w:val="single" w:color="000000" w:sz="4" w:space="0"/>
            </w:tcBorders>
          </w:tcPr>
          <w:p>
            <w:pPr>
              <w:pStyle w:val="14"/>
              <w:spacing w:before="47"/>
              <w:ind w:left="142" w:right="125"/>
              <w:rPr>
                <w:rFonts w:ascii="Times New Roman"/>
                <w:sz w:val="18"/>
              </w:rPr>
            </w:pPr>
            <w:r>
              <w:rPr>
                <w:rFonts w:ascii="Times New Roman"/>
                <w:sz w:val="18"/>
              </w:rPr>
              <w:t>0.302</w:t>
            </w:r>
          </w:p>
        </w:tc>
        <w:tc>
          <w:tcPr>
            <w:tcW w:w="899" w:type="dxa"/>
            <w:tcBorders>
              <w:top w:val="single" w:color="000000" w:sz="4" w:space="0"/>
              <w:left w:val="single" w:color="000000" w:sz="4" w:space="0"/>
              <w:bottom w:val="single" w:color="000000" w:sz="4" w:space="0"/>
              <w:right w:val="single" w:color="000000" w:sz="4" w:space="0"/>
            </w:tcBorders>
          </w:tcPr>
          <w:p>
            <w:pPr>
              <w:pStyle w:val="14"/>
              <w:spacing w:before="47"/>
              <w:ind w:left="296"/>
              <w:jc w:val="left"/>
              <w:rPr>
                <w:rFonts w:ascii="Times New Roman"/>
                <w:sz w:val="18"/>
              </w:rPr>
            </w:pPr>
            <w:r>
              <w:rPr>
                <w:rFonts w:ascii="Times New Roman"/>
                <w:sz w:val="18"/>
              </w:rPr>
              <w:t>1.52</w:t>
            </w:r>
          </w:p>
        </w:tc>
        <w:tc>
          <w:tcPr>
            <w:tcW w:w="879" w:type="dxa"/>
            <w:tcBorders>
              <w:top w:val="single" w:color="000000" w:sz="4" w:space="0"/>
              <w:left w:val="single" w:color="000000" w:sz="4" w:space="0"/>
              <w:bottom w:val="single" w:color="000000" w:sz="4" w:space="0"/>
              <w:right w:val="single" w:color="000000" w:sz="4" w:space="0"/>
            </w:tcBorders>
          </w:tcPr>
          <w:p>
            <w:pPr>
              <w:pStyle w:val="14"/>
              <w:spacing w:before="47"/>
              <w:ind w:left="289" w:right="270"/>
              <w:rPr>
                <w:rFonts w:ascii="Times New Roman"/>
                <w:sz w:val="18"/>
              </w:rPr>
            </w:pPr>
            <w:r>
              <w:rPr>
                <w:rFonts w:ascii="Times New Roman"/>
                <w:sz w:val="18"/>
              </w:rPr>
              <w:t>300</w:t>
            </w:r>
          </w:p>
        </w:tc>
        <w:tc>
          <w:tcPr>
            <w:tcW w:w="87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4" w:hRule="atLeast"/>
        </w:trPr>
        <w:tc>
          <w:tcPr>
            <w:tcW w:w="564" w:type="dxa"/>
            <w:vMerge w:val="continue"/>
            <w:tcBorders>
              <w:top w:val="nil"/>
              <w:right w:val="single" w:color="000000" w:sz="4" w:space="0"/>
            </w:tcBorders>
          </w:tcPr>
          <w:p>
            <w:pPr>
              <w:rPr>
                <w:sz w:val="2"/>
                <w:szCs w:val="2"/>
              </w:rPr>
            </w:pPr>
          </w:p>
        </w:tc>
        <w:tc>
          <w:tcPr>
            <w:tcW w:w="1323" w:type="dxa"/>
            <w:tcBorders>
              <w:top w:val="single" w:color="000000" w:sz="4" w:space="0"/>
              <w:left w:val="single" w:color="000000" w:sz="4" w:space="0"/>
              <w:bottom w:val="single" w:color="000000" w:sz="4" w:space="0"/>
              <w:right w:val="single" w:color="000000" w:sz="4" w:space="0"/>
            </w:tcBorders>
          </w:tcPr>
          <w:p>
            <w:pPr>
              <w:pStyle w:val="14"/>
              <w:spacing w:before="1"/>
              <w:jc w:val="left"/>
              <w:rPr>
                <w:b/>
                <w:sz w:val="15"/>
              </w:rPr>
            </w:pPr>
          </w:p>
          <w:p>
            <w:pPr>
              <w:pStyle w:val="14"/>
              <w:ind w:left="195" w:right="178"/>
              <w:rPr>
                <w:sz w:val="18"/>
              </w:rPr>
            </w:pPr>
            <w:r>
              <w:rPr>
                <w:sz w:val="18"/>
              </w:rPr>
              <w:t>矸石场扬尘</w:t>
            </w:r>
          </w:p>
        </w:tc>
        <w:tc>
          <w:tcPr>
            <w:tcW w:w="677" w:type="dxa"/>
            <w:tcBorders>
              <w:top w:val="single" w:color="000000" w:sz="4" w:space="0"/>
              <w:left w:val="single" w:color="000000" w:sz="4" w:space="0"/>
              <w:bottom w:val="single" w:color="000000" w:sz="4" w:space="0"/>
              <w:right w:val="single" w:color="000000" w:sz="4" w:space="0"/>
            </w:tcBorders>
          </w:tcPr>
          <w:p>
            <w:pPr>
              <w:pStyle w:val="14"/>
              <w:spacing w:before="37"/>
              <w:ind w:left="141" w:right="125"/>
              <w:rPr>
                <w:sz w:val="18"/>
              </w:rPr>
            </w:pPr>
            <w:r>
              <w:rPr>
                <w:sz w:val="18"/>
              </w:rPr>
              <w:t>颗粒</w:t>
            </w:r>
          </w:p>
          <w:p>
            <w:pPr>
              <w:pStyle w:val="14"/>
              <w:spacing w:before="81"/>
              <w:ind w:left="18"/>
              <w:rPr>
                <w:sz w:val="18"/>
              </w:rPr>
            </w:pPr>
            <w:r>
              <w:rPr>
                <w:sz w:val="18"/>
              </w:rPr>
              <w:t>物</w:t>
            </w:r>
          </w:p>
        </w:tc>
        <w:tc>
          <w:tcPr>
            <w:tcW w:w="1038" w:type="dxa"/>
            <w:tcBorders>
              <w:top w:val="single" w:color="000000" w:sz="4" w:space="0"/>
              <w:left w:val="single" w:color="000000" w:sz="4" w:space="0"/>
              <w:bottom w:val="single" w:color="000000" w:sz="4" w:space="0"/>
              <w:right w:val="single" w:color="000000" w:sz="4" w:space="0"/>
            </w:tcBorders>
          </w:tcPr>
          <w:p>
            <w:pPr>
              <w:pStyle w:val="14"/>
              <w:spacing w:before="37"/>
              <w:ind w:left="343"/>
              <w:jc w:val="left"/>
              <w:rPr>
                <w:sz w:val="18"/>
              </w:rPr>
            </w:pPr>
            <w:r>
              <w:rPr>
                <w:sz w:val="18"/>
              </w:rPr>
              <w:t>物料</w:t>
            </w:r>
          </w:p>
          <w:p>
            <w:pPr>
              <w:pStyle w:val="14"/>
              <w:spacing w:before="81"/>
              <w:ind w:left="252"/>
              <w:jc w:val="left"/>
              <w:rPr>
                <w:sz w:val="18"/>
              </w:rPr>
            </w:pPr>
            <w:r>
              <w:rPr>
                <w:sz w:val="18"/>
              </w:rPr>
              <w:t>衡算法</w:t>
            </w:r>
          </w:p>
        </w:tc>
        <w:tc>
          <w:tcPr>
            <w:tcW w:w="1037" w:type="dxa"/>
            <w:tcBorders>
              <w:top w:val="single" w:color="000000" w:sz="4" w:space="0"/>
              <w:left w:val="single" w:color="000000" w:sz="4" w:space="0"/>
              <w:bottom w:val="single" w:color="000000" w:sz="4" w:space="0"/>
              <w:right w:val="single" w:color="000000" w:sz="4" w:space="0"/>
            </w:tcBorders>
          </w:tcPr>
          <w:p>
            <w:pPr>
              <w:pStyle w:val="14"/>
              <w:spacing w:before="10"/>
              <w:jc w:val="left"/>
              <w:rPr>
                <w:b/>
                <w:sz w:val="15"/>
              </w:rPr>
            </w:pPr>
          </w:p>
          <w:p>
            <w:pPr>
              <w:pStyle w:val="14"/>
              <w:ind w:left="20"/>
              <w:rPr>
                <w:rFonts w:ascii="Times New Roman"/>
                <w:sz w:val="18"/>
              </w:rPr>
            </w:pPr>
            <w:r>
              <w:rPr>
                <w:rFonts w:ascii="Times New Roman"/>
                <w:sz w:val="18"/>
              </w:rPr>
              <w:t>/</w:t>
            </w:r>
          </w:p>
        </w:tc>
        <w:tc>
          <w:tcPr>
            <w:tcW w:w="1038" w:type="dxa"/>
            <w:tcBorders>
              <w:top w:val="single" w:color="000000" w:sz="4" w:space="0"/>
              <w:left w:val="single" w:color="000000" w:sz="4" w:space="0"/>
              <w:bottom w:val="single" w:color="000000" w:sz="4" w:space="0"/>
              <w:right w:val="single" w:color="000000" w:sz="4" w:space="0"/>
            </w:tcBorders>
          </w:tcPr>
          <w:p>
            <w:pPr>
              <w:pStyle w:val="14"/>
              <w:spacing w:before="10"/>
              <w:jc w:val="left"/>
              <w:rPr>
                <w:b/>
                <w:sz w:val="15"/>
              </w:rPr>
            </w:pPr>
          </w:p>
          <w:p>
            <w:pPr>
              <w:pStyle w:val="14"/>
              <w:ind w:left="18"/>
              <w:rPr>
                <w:rFonts w:ascii="Times New Roman"/>
                <w:sz w:val="18"/>
              </w:rPr>
            </w:pPr>
            <w:r>
              <w:rPr>
                <w:rFonts w:ascii="Times New Roman"/>
                <w:sz w:val="18"/>
              </w:rPr>
              <w:t>/</w:t>
            </w:r>
          </w:p>
        </w:tc>
        <w:tc>
          <w:tcPr>
            <w:tcW w:w="1039" w:type="dxa"/>
            <w:tcBorders>
              <w:top w:val="single" w:color="000000" w:sz="4" w:space="0"/>
              <w:left w:val="single" w:color="000000" w:sz="4" w:space="0"/>
              <w:bottom w:val="single" w:color="000000" w:sz="4" w:space="0"/>
              <w:right w:val="single" w:color="000000" w:sz="4" w:space="0"/>
            </w:tcBorders>
          </w:tcPr>
          <w:p>
            <w:pPr>
              <w:pStyle w:val="14"/>
              <w:spacing w:before="10"/>
              <w:jc w:val="left"/>
              <w:rPr>
                <w:b/>
                <w:sz w:val="15"/>
              </w:rPr>
            </w:pPr>
          </w:p>
          <w:p>
            <w:pPr>
              <w:pStyle w:val="14"/>
              <w:ind w:left="100" w:right="79"/>
              <w:rPr>
                <w:rFonts w:ascii="Times New Roman"/>
                <w:sz w:val="18"/>
              </w:rPr>
            </w:pPr>
            <w:r>
              <w:rPr>
                <w:rFonts w:ascii="Times New Roman"/>
                <w:sz w:val="18"/>
              </w:rPr>
              <w:t>4.05</w:t>
            </w:r>
          </w:p>
        </w:tc>
        <w:tc>
          <w:tcPr>
            <w:tcW w:w="1370" w:type="dxa"/>
            <w:tcBorders>
              <w:top w:val="single" w:color="000000" w:sz="4" w:space="0"/>
              <w:left w:val="single" w:color="000000" w:sz="4" w:space="0"/>
              <w:bottom w:val="single" w:color="000000" w:sz="4" w:space="0"/>
              <w:right w:val="single" w:color="000000" w:sz="4" w:space="0"/>
            </w:tcBorders>
          </w:tcPr>
          <w:p>
            <w:pPr>
              <w:pStyle w:val="14"/>
              <w:spacing w:before="37"/>
              <w:ind w:left="149"/>
              <w:jc w:val="left"/>
              <w:rPr>
                <w:sz w:val="18"/>
              </w:rPr>
            </w:pPr>
            <w:r>
              <w:rPr>
                <w:sz w:val="18"/>
              </w:rPr>
              <w:t>洒水控制措施</w:t>
            </w:r>
          </w:p>
          <w:p>
            <w:pPr>
              <w:pStyle w:val="14"/>
              <w:spacing w:before="81"/>
              <w:ind w:left="240"/>
              <w:jc w:val="left"/>
              <w:rPr>
                <w:sz w:val="18"/>
              </w:rPr>
            </w:pPr>
            <w:r>
              <w:rPr>
                <w:sz w:val="18"/>
              </w:rPr>
              <w:t>及围挡遮围</w:t>
            </w:r>
          </w:p>
        </w:tc>
        <w:tc>
          <w:tcPr>
            <w:tcW w:w="914" w:type="dxa"/>
            <w:tcBorders>
              <w:top w:val="single" w:color="000000" w:sz="4" w:space="0"/>
              <w:left w:val="single" w:color="000000" w:sz="4" w:space="0"/>
              <w:bottom w:val="single" w:color="000000" w:sz="4" w:space="0"/>
              <w:right w:val="single" w:color="000000" w:sz="4" w:space="0"/>
            </w:tcBorders>
          </w:tcPr>
          <w:p>
            <w:pPr>
              <w:pStyle w:val="14"/>
              <w:spacing w:before="10"/>
              <w:jc w:val="left"/>
              <w:rPr>
                <w:b/>
                <w:sz w:val="15"/>
              </w:rPr>
            </w:pPr>
          </w:p>
          <w:p>
            <w:pPr>
              <w:pStyle w:val="14"/>
              <w:ind w:left="185" w:right="167"/>
              <w:rPr>
                <w:rFonts w:ascii="Times New Roman"/>
                <w:sz w:val="18"/>
              </w:rPr>
            </w:pPr>
            <w:r>
              <w:rPr>
                <w:rFonts w:ascii="Times New Roman"/>
                <w:sz w:val="18"/>
              </w:rPr>
              <w:t>90</w:t>
            </w:r>
          </w:p>
        </w:tc>
        <w:tc>
          <w:tcPr>
            <w:tcW w:w="898" w:type="dxa"/>
            <w:tcBorders>
              <w:top w:val="single" w:color="000000" w:sz="4" w:space="0"/>
              <w:left w:val="single" w:color="000000" w:sz="4" w:space="0"/>
              <w:bottom w:val="single" w:color="000000" w:sz="4" w:space="0"/>
              <w:right w:val="single" w:color="000000" w:sz="4" w:space="0"/>
            </w:tcBorders>
          </w:tcPr>
          <w:p>
            <w:pPr>
              <w:pStyle w:val="14"/>
              <w:spacing w:before="10"/>
              <w:jc w:val="left"/>
              <w:rPr>
                <w:b/>
                <w:sz w:val="15"/>
              </w:rPr>
            </w:pPr>
          </w:p>
          <w:p>
            <w:pPr>
              <w:pStyle w:val="14"/>
              <w:ind w:left="19"/>
              <w:rPr>
                <w:rFonts w:ascii="Times New Roman"/>
                <w:sz w:val="18"/>
              </w:rPr>
            </w:pPr>
            <w:r>
              <w:rPr>
                <w:rFonts w:ascii="Times New Roman"/>
                <w:sz w:val="18"/>
              </w:rPr>
              <w:t>/</w:t>
            </w:r>
          </w:p>
        </w:tc>
        <w:tc>
          <w:tcPr>
            <w:tcW w:w="898" w:type="dxa"/>
            <w:tcBorders>
              <w:top w:val="single" w:color="000000" w:sz="4" w:space="0"/>
              <w:left w:val="single" w:color="000000" w:sz="4" w:space="0"/>
              <w:bottom w:val="single" w:color="000000" w:sz="4" w:space="0"/>
              <w:right w:val="single" w:color="000000" w:sz="4" w:space="0"/>
            </w:tcBorders>
          </w:tcPr>
          <w:p>
            <w:pPr>
              <w:pStyle w:val="14"/>
              <w:spacing w:before="10"/>
              <w:jc w:val="left"/>
              <w:rPr>
                <w:b/>
                <w:sz w:val="15"/>
              </w:rPr>
            </w:pPr>
          </w:p>
          <w:p>
            <w:pPr>
              <w:pStyle w:val="14"/>
              <w:ind w:left="18"/>
              <w:rPr>
                <w:rFonts w:ascii="Times New Roman"/>
                <w:sz w:val="18"/>
              </w:rPr>
            </w:pPr>
            <w:r>
              <w:rPr>
                <w:rFonts w:ascii="Times New Roman"/>
                <w:sz w:val="18"/>
              </w:rPr>
              <w:t>/</w:t>
            </w:r>
          </w:p>
        </w:tc>
        <w:tc>
          <w:tcPr>
            <w:tcW w:w="897" w:type="dxa"/>
            <w:tcBorders>
              <w:top w:val="single" w:color="000000" w:sz="4" w:space="0"/>
              <w:left w:val="single" w:color="000000" w:sz="4" w:space="0"/>
              <w:bottom w:val="single" w:color="000000" w:sz="4" w:space="0"/>
              <w:right w:val="single" w:color="000000" w:sz="4" w:space="0"/>
            </w:tcBorders>
          </w:tcPr>
          <w:p>
            <w:pPr>
              <w:pStyle w:val="14"/>
              <w:spacing w:before="10"/>
              <w:jc w:val="left"/>
              <w:rPr>
                <w:b/>
                <w:sz w:val="15"/>
              </w:rPr>
            </w:pPr>
          </w:p>
          <w:p>
            <w:pPr>
              <w:pStyle w:val="14"/>
              <w:ind w:left="142" w:right="122"/>
              <w:rPr>
                <w:rFonts w:ascii="Times New Roman"/>
                <w:sz w:val="18"/>
              </w:rPr>
            </w:pPr>
            <w:r>
              <w:rPr>
                <w:rFonts w:ascii="Times New Roman"/>
                <w:sz w:val="18"/>
              </w:rPr>
              <w:t>0.046</w:t>
            </w:r>
          </w:p>
        </w:tc>
        <w:tc>
          <w:tcPr>
            <w:tcW w:w="899" w:type="dxa"/>
            <w:tcBorders>
              <w:top w:val="single" w:color="000000" w:sz="4" w:space="0"/>
              <w:left w:val="single" w:color="000000" w:sz="4" w:space="0"/>
              <w:bottom w:val="single" w:color="000000" w:sz="4" w:space="0"/>
              <w:right w:val="single" w:color="000000" w:sz="4" w:space="0"/>
            </w:tcBorders>
          </w:tcPr>
          <w:p>
            <w:pPr>
              <w:pStyle w:val="14"/>
              <w:spacing w:before="10"/>
              <w:jc w:val="left"/>
              <w:rPr>
                <w:b/>
                <w:sz w:val="15"/>
              </w:rPr>
            </w:pPr>
          </w:p>
          <w:p>
            <w:pPr>
              <w:pStyle w:val="14"/>
              <w:ind w:left="250"/>
              <w:jc w:val="left"/>
              <w:rPr>
                <w:rFonts w:ascii="Times New Roman"/>
                <w:sz w:val="18"/>
              </w:rPr>
            </w:pPr>
            <w:r>
              <w:rPr>
                <w:rFonts w:ascii="Times New Roman"/>
                <w:sz w:val="18"/>
              </w:rPr>
              <w:t>0.405</w:t>
            </w:r>
          </w:p>
        </w:tc>
        <w:tc>
          <w:tcPr>
            <w:tcW w:w="879" w:type="dxa"/>
            <w:tcBorders>
              <w:top w:val="single" w:color="000000" w:sz="4" w:space="0"/>
              <w:left w:val="single" w:color="000000" w:sz="4" w:space="0"/>
              <w:bottom w:val="single" w:color="000000" w:sz="4" w:space="0"/>
              <w:right w:val="single" w:color="000000" w:sz="4" w:space="0"/>
            </w:tcBorders>
          </w:tcPr>
          <w:p>
            <w:pPr>
              <w:pStyle w:val="14"/>
              <w:spacing w:before="10"/>
              <w:jc w:val="left"/>
              <w:rPr>
                <w:b/>
                <w:sz w:val="15"/>
              </w:rPr>
            </w:pPr>
          </w:p>
          <w:p>
            <w:pPr>
              <w:pStyle w:val="14"/>
              <w:ind w:left="17"/>
              <w:rPr>
                <w:rFonts w:ascii="Times New Roman"/>
                <w:sz w:val="18"/>
              </w:rPr>
            </w:pPr>
            <w:r>
              <w:rPr>
                <w:rFonts w:ascii="Times New Roman"/>
                <w:sz w:val="18"/>
              </w:rPr>
              <w:t>1</w:t>
            </w:r>
          </w:p>
        </w:tc>
        <w:tc>
          <w:tcPr>
            <w:tcW w:w="879" w:type="dxa"/>
            <w:tcBorders>
              <w:top w:val="single" w:color="000000" w:sz="4" w:space="0"/>
              <w:left w:val="single" w:color="000000" w:sz="4" w:space="0"/>
              <w:bottom w:val="single" w:color="000000" w:sz="4" w:space="0"/>
            </w:tcBorders>
          </w:tcPr>
          <w:p>
            <w:pPr>
              <w:pStyle w:val="14"/>
              <w:spacing w:before="10"/>
              <w:jc w:val="left"/>
              <w:rPr>
                <w:b/>
                <w:sz w:val="15"/>
              </w:rPr>
            </w:pPr>
          </w:p>
          <w:p>
            <w:pPr>
              <w:pStyle w:val="14"/>
              <w:ind w:left="205" w:right="182"/>
              <w:rPr>
                <w:rFonts w:ascii="Times New Roman"/>
                <w:sz w:val="18"/>
              </w:rPr>
            </w:pPr>
            <w:r>
              <w:rPr>
                <w:rFonts w:ascii="Times New Roman"/>
                <w:sz w:val="18"/>
              </w:rPr>
              <w:t>8760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3" w:hRule="atLeast"/>
        </w:trPr>
        <w:tc>
          <w:tcPr>
            <w:tcW w:w="564" w:type="dxa"/>
            <w:vMerge w:val="continue"/>
            <w:tcBorders>
              <w:top w:val="nil"/>
              <w:right w:val="single" w:color="000000" w:sz="4" w:space="0"/>
            </w:tcBorders>
          </w:tcPr>
          <w:p>
            <w:pPr>
              <w:rPr>
                <w:sz w:val="2"/>
                <w:szCs w:val="2"/>
              </w:rPr>
            </w:pPr>
          </w:p>
        </w:tc>
        <w:tc>
          <w:tcPr>
            <w:tcW w:w="1323" w:type="dxa"/>
            <w:tcBorders>
              <w:top w:val="single" w:color="000000" w:sz="4" w:space="0"/>
              <w:left w:val="single" w:color="000000" w:sz="4" w:space="0"/>
              <w:bottom w:val="single" w:color="000000" w:sz="4" w:space="0"/>
              <w:right w:val="single" w:color="000000" w:sz="4" w:space="0"/>
            </w:tcBorders>
          </w:tcPr>
          <w:p>
            <w:pPr>
              <w:pStyle w:val="14"/>
              <w:jc w:val="left"/>
              <w:rPr>
                <w:b/>
                <w:sz w:val="15"/>
              </w:rPr>
            </w:pPr>
          </w:p>
          <w:p>
            <w:pPr>
              <w:pStyle w:val="14"/>
              <w:spacing w:before="1"/>
              <w:ind w:left="195" w:right="176"/>
              <w:rPr>
                <w:sz w:val="18"/>
              </w:rPr>
            </w:pPr>
            <w:r>
              <w:rPr>
                <w:sz w:val="18"/>
              </w:rPr>
              <w:t>食堂油烟</w:t>
            </w:r>
          </w:p>
        </w:tc>
        <w:tc>
          <w:tcPr>
            <w:tcW w:w="677" w:type="dxa"/>
            <w:tcBorders>
              <w:top w:val="single" w:color="000000" w:sz="4" w:space="0"/>
              <w:left w:val="single" w:color="000000" w:sz="4" w:space="0"/>
              <w:bottom w:val="single" w:color="000000" w:sz="4" w:space="0"/>
              <w:right w:val="single" w:color="000000" w:sz="4" w:space="0"/>
            </w:tcBorders>
          </w:tcPr>
          <w:p>
            <w:pPr>
              <w:pStyle w:val="14"/>
              <w:spacing w:before="37"/>
              <w:ind w:left="141" w:right="125"/>
              <w:rPr>
                <w:sz w:val="18"/>
              </w:rPr>
            </w:pPr>
            <w:r>
              <w:rPr>
                <w:sz w:val="18"/>
              </w:rPr>
              <w:t>颗粒</w:t>
            </w:r>
          </w:p>
          <w:p>
            <w:pPr>
              <w:pStyle w:val="14"/>
              <w:spacing w:before="81"/>
              <w:ind w:left="18"/>
              <w:rPr>
                <w:sz w:val="18"/>
              </w:rPr>
            </w:pPr>
            <w:r>
              <w:rPr>
                <w:sz w:val="18"/>
              </w:rPr>
              <w:t>物</w:t>
            </w:r>
          </w:p>
        </w:tc>
        <w:tc>
          <w:tcPr>
            <w:tcW w:w="1038" w:type="dxa"/>
            <w:tcBorders>
              <w:top w:val="single" w:color="000000" w:sz="4" w:space="0"/>
              <w:left w:val="single" w:color="000000" w:sz="4" w:space="0"/>
              <w:bottom w:val="single" w:color="000000" w:sz="4" w:space="0"/>
              <w:right w:val="single" w:color="000000" w:sz="4" w:space="0"/>
            </w:tcBorders>
          </w:tcPr>
          <w:p>
            <w:pPr>
              <w:pStyle w:val="14"/>
              <w:spacing w:before="37"/>
              <w:ind w:left="343"/>
              <w:jc w:val="left"/>
              <w:rPr>
                <w:sz w:val="18"/>
              </w:rPr>
            </w:pPr>
            <w:r>
              <w:rPr>
                <w:sz w:val="18"/>
              </w:rPr>
              <w:t>物料</w:t>
            </w:r>
          </w:p>
          <w:p>
            <w:pPr>
              <w:pStyle w:val="14"/>
              <w:spacing w:before="81"/>
              <w:ind w:left="252"/>
              <w:jc w:val="left"/>
              <w:rPr>
                <w:sz w:val="18"/>
              </w:rPr>
            </w:pPr>
            <w:r>
              <w:rPr>
                <w:sz w:val="18"/>
              </w:rPr>
              <w:t>衡算法</w:t>
            </w:r>
          </w:p>
        </w:tc>
        <w:tc>
          <w:tcPr>
            <w:tcW w:w="1037" w:type="dxa"/>
            <w:tcBorders>
              <w:top w:val="single" w:color="000000" w:sz="4" w:space="0"/>
              <w:left w:val="single" w:color="000000" w:sz="4" w:space="0"/>
              <w:bottom w:val="single" w:color="000000" w:sz="4" w:space="0"/>
              <w:right w:val="single" w:color="000000" w:sz="4" w:space="0"/>
            </w:tcBorders>
          </w:tcPr>
          <w:p>
            <w:pPr>
              <w:pStyle w:val="14"/>
              <w:spacing w:before="12"/>
              <w:jc w:val="left"/>
              <w:rPr>
                <w:b/>
                <w:sz w:val="15"/>
              </w:rPr>
            </w:pPr>
          </w:p>
          <w:p>
            <w:pPr>
              <w:pStyle w:val="14"/>
              <w:ind w:left="231" w:right="215"/>
              <w:rPr>
                <w:rFonts w:ascii="Times New Roman"/>
                <w:sz w:val="18"/>
              </w:rPr>
            </w:pPr>
            <w:r>
              <w:rPr>
                <w:rFonts w:ascii="Times New Roman"/>
                <w:sz w:val="18"/>
              </w:rPr>
              <w:t>16000</w:t>
            </w:r>
          </w:p>
        </w:tc>
        <w:tc>
          <w:tcPr>
            <w:tcW w:w="1038" w:type="dxa"/>
            <w:tcBorders>
              <w:top w:val="single" w:color="000000" w:sz="4" w:space="0"/>
              <w:left w:val="single" w:color="000000" w:sz="4" w:space="0"/>
              <w:bottom w:val="single" w:color="000000" w:sz="4" w:space="0"/>
              <w:right w:val="single" w:color="000000" w:sz="4" w:space="0"/>
            </w:tcBorders>
          </w:tcPr>
          <w:p>
            <w:pPr>
              <w:pStyle w:val="14"/>
              <w:spacing w:before="10"/>
              <w:jc w:val="left"/>
              <w:rPr>
                <w:b/>
                <w:sz w:val="15"/>
              </w:rPr>
            </w:pPr>
          </w:p>
          <w:p>
            <w:pPr>
              <w:pStyle w:val="14"/>
              <w:ind w:right="344"/>
              <w:jc w:val="right"/>
              <w:rPr>
                <w:rFonts w:ascii="Times New Roman"/>
                <w:sz w:val="18"/>
              </w:rPr>
            </w:pPr>
            <w:r>
              <w:rPr>
                <w:rFonts w:ascii="Times New Roman"/>
                <w:sz w:val="18"/>
              </w:rPr>
              <w:t>8.75</w:t>
            </w:r>
          </w:p>
        </w:tc>
        <w:tc>
          <w:tcPr>
            <w:tcW w:w="1039" w:type="dxa"/>
            <w:tcBorders>
              <w:top w:val="single" w:color="000000" w:sz="4" w:space="0"/>
              <w:left w:val="single" w:color="000000" w:sz="4" w:space="0"/>
              <w:bottom w:val="single" w:color="000000" w:sz="4" w:space="0"/>
              <w:right w:val="single" w:color="000000" w:sz="4" w:space="0"/>
            </w:tcBorders>
          </w:tcPr>
          <w:p>
            <w:pPr>
              <w:pStyle w:val="14"/>
              <w:spacing w:before="10"/>
              <w:jc w:val="left"/>
              <w:rPr>
                <w:b/>
                <w:sz w:val="15"/>
              </w:rPr>
            </w:pPr>
          </w:p>
          <w:p>
            <w:pPr>
              <w:pStyle w:val="14"/>
              <w:ind w:left="100" w:right="79"/>
              <w:rPr>
                <w:rFonts w:ascii="Times New Roman"/>
                <w:sz w:val="18"/>
              </w:rPr>
            </w:pPr>
            <w:r>
              <w:rPr>
                <w:rFonts w:ascii="Times New Roman"/>
                <w:sz w:val="18"/>
              </w:rPr>
              <w:t>0.185</w:t>
            </w:r>
          </w:p>
        </w:tc>
        <w:tc>
          <w:tcPr>
            <w:tcW w:w="1370" w:type="dxa"/>
            <w:tcBorders>
              <w:top w:val="single" w:color="000000" w:sz="4" w:space="0"/>
              <w:left w:val="single" w:color="000000" w:sz="4" w:space="0"/>
              <w:bottom w:val="single" w:color="000000" w:sz="4" w:space="0"/>
              <w:right w:val="single" w:color="000000" w:sz="4" w:space="0"/>
            </w:tcBorders>
          </w:tcPr>
          <w:p>
            <w:pPr>
              <w:pStyle w:val="14"/>
              <w:jc w:val="left"/>
              <w:rPr>
                <w:b/>
                <w:sz w:val="15"/>
              </w:rPr>
            </w:pPr>
          </w:p>
          <w:p>
            <w:pPr>
              <w:pStyle w:val="14"/>
              <w:spacing w:before="1"/>
              <w:ind w:left="129" w:right="111"/>
              <w:rPr>
                <w:sz w:val="18"/>
              </w:rPr>
            </w:pPr>
            <w:r>
              <w:rPr>
                <w:sz w:val="18"/>
              </w:rPr>
              <w:t>油烟净化装置</w:t>
            </w:r>
          </w:p>
        </w:tc>
        <w:tc>
          <w:tcPr>
            <w:tcW w:w="914" w:type="dxa"/>
            <w:tcBorders>
              <w:top w:val="single" w:color="000000" w:sz="4" w:space="0"/>
              <w:left w:val="single" w:color="000000" w:sz="4" w:space="0"/>
              <w:bottom w:val="single" w:color="000000" w:sz="4" w:space="0"/>
              <w:right w:val="single" w:color="000000" w:sz="4" w:space="0"/>
            </w:tcBorders>
          </w:tcPr>
          <w:p>
            <w:pPr>
              <w:pStyle w:val="14"/>
              <w:spacing w:before="12"/>
              <w:jc w:val="left"/>
              <w:rPr>
                <w:b/>
                <w:sz w:val="15"/>
              </w:rPr>
            </w:pPr>
          </w:p>
          <w:p>
            <w:pPr>
              <w:pStyle w:val="14"/>
              <w:ind w:left="185" w:right="167"/>
              <w:rPr>
                <w:rFonts w:ascii="Times New Roman"/>
                <w:sz w:val="18"/>
              </w:rPr>
            </w:pPr>
            <w:r>
              <w:rPr>
                <w:rFonts w:ascii="Times New Roman"/>
                <w:sz w:val="18"/>
              </w:rPr>
              <w:t>85</w:t>
            </w:r>
          </w:p>
        </w:tc>
        <w:tc>
          <w:tcPr>
            <w:tcW w:w="898" w:type="dxa"/>
            <w:tcBorders>
              <w:top w:val="single" w:color="000000" w:sz="4" w:space="0"/>
              <w:left w:val="single" w:color="000000" w:sz="4" w:space="0"/>
              <w:bottom w:val="single" w:color="000000" w:sz="4" w:space="0"/>
              <w:right w:val="single" w:color="000000" w:sz="4" w:space="0"/>
            </w:tcBorders>
          </w:tcPr>
          <w:p>
            <w:pPr>
              <w:pStyle w:val="14"/>
              <w:spacing w:before="12"/>
              <w:jc w:val="left"/>
              <w:rPr>
                <w:b/>
                <w:sz w:val="15"/>
              </w:rPr>
            </w:pPr>
          </w:p>
          <w:p>
            <w:pPr>
              <w:pStyle w:val="14"/>
              <w:ind w:left="209" w:right="189"/>
              <w:rPr>
                <w:rFonts w:ascii="Times New Roman"/>
                <w:sz w:val="18"/>
              </w:rPr>
            </w:pPr>
            <w:r>
              <w:rPr>
                <w:rFonts w:ascii="Times New Roman"/>
                <w:sz w:val="18"/>
              </w:rPr>
              <w:t>16000</w:t>
            </w:r>
          </w:p>
        </w:tc>
        <w:tc>
          <w:tcPr>
            <w:tcW w:w="898" w:type="dxa"/>
            <w:tcBorders>
              <w:top w:val="single" w:color="000000" w:sz="4" w:space="0"/>
              <w:left w:val="single" w:color="000000" w:sz="4" w:space="0"/>
              <w:bottom w:val="single" w:color="000000" w:sz="4" w:space="0"/>
              <w:right w:val="single" w:color="000000" w:sz="4" w:space="0"/>
            </w:tcBorders>
          </w:tcPr>
          <w:p>
            <w:pPr>
              <w:pStyle w:val="14"/>
              <w:spacing w:before="10"/>
              <w:jc w:val="left"/>
              <w:rPr>
                <w:b/>
                <w:sz w:val="15"/>
              </w:rPr>
            </w:pPr>
          </w:p>
          <w:p>
            <w:pPr>
              <w:pStyle w:val="14"/>
              <w:ind w:right="274"/>
              <w:jc w:val="right"/>
              <w:rPr>
                <w:rFonts w:ascii="Times New Roman"/>
                <w:sz w:val="18"/>
              </w:rPr>
            </w:pPr>
            <w:r>
              <w:rPr>
                <w:rFonts w:ascii="Times New Roman"/>
                <w:sz w:val="18"/>
              </w:rPr>
              <w:t>1.31</w:t>
            </w:r>
          </w:p>
        </w:tc>
        <w:tc>
          <w:tcPr>
            <w:tcW w:w="897" w:type="dxa"/>
            <w:tcBorders>
              <w:top w:val="single" w:color="000000" w:sz="4" w:space="0"/>
              <w:left w:val="single" w:color="000000" w:sz="4" w:space="0"/>
              <w:bottom w:val="single" w:color="000000" w:sz="4" w:space="0"/>
              <w:right w:val="single" w:color="000000" w:sz="4" w:space="0"/>
            </w:tcBorders>
          </w:tcPr>
          <w:p>
            <w:pPr>
              <w:pStyle w:val="14"/>
              <w:spacing w:before="10"/>
              <w:jc w:val="left"/>
              <w:rPr>
                <w:b/>
                <w:sz w:val="15"/>
              </w:rPr>
            </w:pPr>
          </w:p>
          <w:p>
            <w:pPr>
              <w:pStyle w:val="14"/>
              <w:ind w:left="142" w:right="122"/>
              <w:rPr>
                <w:rFonts w:ascii="Times New Roman"/>
                <w:sz w:val="18"/>
              </w:rPr>
            </w:pPr>
            <w:r>
              <w:rPr>
                <w:rFonts w:ascii="Times New Roman"/>
                <w:sz w:val="18"/>
              </w:rPr>
              <w:t>0.021</w:t>
            </w:r>
          </w:p>
        </w:tc>
        <w:tc>
          <w:tcPr>
            <w:tcW w:w="899" w:type="dxa"/>
            <w:tcBorders>
              <w:top w:val="single" w:color="000000" w:sz="4" w:space="0"/>
              <w:left w:val="single" w:color="000000" w:sz="4" w:space="0"/>
              <w:bottom w:val="single" w:color="000000" w:sz="4" w:space="0"/>
              <w:right w:val="single" w:color="000000" w:sz="4" w:space="0"/>
            </w:tcBorders>
          </w:tcPr>
          <w:p>
            <w:pPr>
              <w:pStyle w:val="14"/>
              <w:spacing w:before="10"/>
              <w:jc w:val="left"/>
              <w:rPr>
                <w:b/>
                <w:sz w:val="15"/>
              </w:rPr>
            </w:pPr>
          </w:p>
          <w:p>
            <w:pPr>
              <w:pStyle w:val="14"/>
              <w:ind w:left="250"/>
              <w:jc w:val="left"/>
              <w:rPr>
                <w:rFonts w:ascii="Times New Roman"/>
                <w:sz w:val="18"/>
              </w:rPr>
            </w:pPr>
            <w:r>
              <w:rPr>
                <w:rFonts w:ascii="Times New Roman"/>
                <w:sz w:val="18"/>
              </w:rPr>
              <w:t>0.028</w:t>
            </w:r>
          </w:p>
        </w:tc>
        <w:tc>
          <w:tcPr>
            <w:tcW w:w="879" w:type="dxa"/>
            <w:tcBorders>
              <w:top w:val="single" w:color="000000" w:sz="4" w:space="0"/>
              <w:left w:val="single" w:color="000000" w:sz="4" w:space="0"/>
              <w:bottom w:val="single" w:color="000000" w:sz="4" w:space="0"/>
              <w:right w:val="single" w:color="000000" w:sz="4" w:space="0"/>
            </w:tcBorders>
          </w:tcPr>
          <w:p>
            <w:pPr>
              <w:pStyle w:val="14"/>
              <w:spacing w:before="12"/>
              <w:jc w:val="left"/>
              <w:rPr>
                <w:b/>
                <w:sz w:val="15"/>
              </w:rPr>
            </w:pPr>
          </w:p>
          <w:p>
            <w:pPr>
              <w:pStyle w:val="14"/>
              <w:ind w:left="17"/>
              <w:rPr>
                <w:rFonts w:ascii="Times New Roman"/>
                <w:sz w:val="18"/>
              </w:rPr>
            </w:pPr>
            <w:r>
              <w:rPr>
                <w:rFonts w:ascii="Times New Roman"/>
                <w:sz w:val="18"/>
              </w:rPr>
              <w:t>2</w:t>
            </w:r>
          </w:p>
        </w:tc>
        <w:tc>
          <w:tcPr>
            <w:tcW w:w="879" w:type="dxa"/>
            <w:tcBorders>
              <w:top w:val="single" w:color="000000" w:sz="4" w:space="0"/>
              <w:left w:val="single" w:color="000000" w:sz="4" w:space="0"/>
              <w:bottom w:val="single" w:color="000000" w:sz="4" w:space="0"/>
            </w:tcBorders>
          </w:tcPr>
          <w:p>
            <w:pPr>
              <w:pStyle w:val="14"/>
              <w:spacing w:before="12"/>
              <w:jc w:val="left"/>
              <w:rPr>
                <w:b/>
                <w:sz w:val="15"/>
              </w:rPr>
            </w:pPr>
          </w:p>
          <w:p>
            <w:pPr>
              <w:pStyle w:val="14"/>
              <w:ind w:left="205" w:right="182"/>
              <w:rPr>
                <w:rFonts w:ascii="Times New Roman"/>
                <w:sz w:val="18"/>
              </w:rPr>
            </w:pPr>
            <w:r>
              <w:rPr>
                <w:rFonts w:ascii="Times New Roman"/>
                <w:sz w:val="18"/>
              </w:rPr>
              <w:t>1320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8" w:hRule="atLeast"/>
        </w:trPr>
        <w:tc>
          <w:tcPr>
            <w:tcW w:w="564" w:type="dxa"/>
            <w:vMerge w:val="continue"/>
            <w:tcBorders>
              <w:top w:val="nil"/>
              <w:right w:val="single" w:color="000000" w:sz="4" w:space="0"/>
            </w:tcBorders>
          </w:tcPr>
          <w:p>
            <w:pPr>
              <w:rPr>
                <w:sz w:val="2"/>
                <w:szCs w:val="2"/>
              </w:rPr>
            </w:pPr>
          </w:p>
        </w:tc>
        <w:tc>
          <w:tcPr>
            <w:tcW w:w="1323" w:type="dxa"/>
            <w:tcBorders>
              <w:top w:val="single" w:color="000000" w:sz="4" w:space="0"/>
              <w:left w:val="single" w:color="000000" w:sz="4" w:space="0"/>
              <w:right w:val="single" w:color="000000" w:sz="4" w:space="0"/>
            </w:tcBorders>
          </w:tcPr>
          <w:p>
            <w:pPr>
              <w:pStyle w:val="14"/>
              <w:jc w:val="left"/>
              <w:rPr>
                <w:b/>
                <w:sz w:val="15"/>
              </w:rPr>
            </w:pPr>
          </w:p>
          <w:p>
            <w:pPr>
              <w:pStyle w:val="14"/>
              <w:ind w:left="195" w:right="176"/>
              <w:rPr>
                <w:sz w:val="18"/>
              </w:rPr>
            </w:pPr>
            <w:r>
              <w:rPr>
                <w:sz w:val="18"/>
              </w:rPr>
              <w:t>筛分车间</w:t>
            </w:r>
          </w:p>
        </w:tc>
        <w:tc>
          <w:tcPr>
            <w:tcW w:w="677" w:type="dxa"/>
            <w:tcBorders>
              <w:top w:val="single" w:color="000000" w:sz="4" w:space="0"/>
              <w:left w:val="single" w:color="000000" w:sz="4" w:space="0"/>
              <w:right w:val="single" w:color="000000" w:sz="4" w:space="0"/>
            </w:tcBorders>
          </w:tcPr>
          <w:p>
            <w:pPr>
              <w:pStyle w:val="14"/>
              <w:spacing w:before="36"/>
              <w:ind w:left="141" w:right="125"/>
              <w:rPr>
                <w:sz w:val="18"/>
              </w:rPr>
            </w:pPr>
            <w:r>
              <w:rPr>
                <w:sz w:val="18"/>
              </w:rPr>
              <w:t>颗粒</w:t>
            </w:r>
          </w:p>
          <w:p>
            <w:pPr>
              <w:pStyle w:val="14"/>
              <w:spacing w:before="82"/>
              <w:ind w:left="18"/>
              <w:rPr>
                <w:sz w:val="18"/>
              </w:rPr>
            </w:pPr>
            <w:r>
              <w:rPr>
                <w:sz w:val="18"/>
              </w:rPr>
              <w:t>物</w:t>
            </w:r>
          </w:p>
        </w:tc>
        <w:tc>
          <w:tcPr>
            <w:tcW w:w="1038" w:type="dxa"/>
            <w:tcBorders>
              <w:top w:val="single" w:color="000000" w:sz="4" w:space="0"/>
              <w:left w:val="single" w:color="000000" w:sz="4" w:space="0"/>
              <w:right w:val="single" w:color="000000" w:sz="4" w:space="0"/>
            </w:tcBorders>
          </w:tcPr>
          <w:p>
            <w:pPr>
              <w:pStyle w:val="14"/>
              <w:spacing w:before="36"/>
              <w:ind w:left="142" w:right="123"/>
              <w:rPr>
                <w:sz w:val="18"/>
              </w:rPr>
            </w:pPr>
            <w:r>
              <w:rPr>
                <w:sz w:val="18"/>
              </w:rPr>
              <w:t>产污系数</w:t>
            </w:r>
          </w:p>
          <w:p>
            <w:pPr>
              <w:pStyle w:val="14"/>
              <w:spacing w:before="82"/>
              <w:ind w:left="17"/>
              <w:rPr>
                <w:sz w:val="18"/>
              </w:rPr>
            </w:pPr>
            <w:r>
              <w:rPr>
                <w:sz w:val="18"/>
              </w:rPr>
              <w:t>法</w:t>
            </w:r>
          </w:p>
        </w:tc>
        <w:tc>
          <w:tcPr>
            <w:tcW w:w="1037" w:type="dxa"/>
            <w:tcBorders>
              <w:top w:val="single" w:color="000000" w:sz="4" w:space="0"/>
              <w:left w:val="single" w:color="000000" w:sz="4" w:space="0"/>
              <w:right w:val="single" w:color="000000" w:sz="4" w:space="0"/>
            </w:tcBorders>
          </w:tcPr>
          <w:p>
            <w:pPr>
              <w:pStyle w:val="14"/>
              <w:spacing w:before="12"/>
              <w:jc w:val="left"/>
              <w:rPr>
                <w:b/>
                <w:sz w:val="15"/>
              </w:rPr>
            </w:pPr>
          </w:p>
          <w:p>
            <w:pPr>
              <w:pStyle w:val="14"/>
              <w:ind w:left="231" w:right="215"/>
              <w:rPr>
                <w:rFonts w:ascii="Times New Roman"/>
                <w:sz w:val="18"/>
              </w:rPr>
            </w:pPr>
            <w:r>
              <w:rPr>
                <w:rFonts w:ascii="Times New Roman"/>
                <w:sz w:val="18"/>
              </w:rPr>
              <w:t>3000</w:t>
            </w:r>
          </w:p>
        </w:tc>
        <w:tc>
          <w:tcPr>
            <w:tcW w:w="1038" w:type="dxa"/>
            <w:tcBorders>
              <w:top w:val="single" w:color="000000" w:sz="4" w:space="0"/>
              <w:left w:val="single" w:color="000000" w:sz="4" w:space="0"/>
              <w:right w:val="single" w:color="000000" w:sz="4" w:space="0"/>
            </w:tcBorders>
          </w:tcPr>
          <w:p>
            <w:pPr>
              <w:pStyle w:val="14"/>
              <w:spacing w:before="9"/>
              <w:jc w:val="left"/>
              <w:rPr>
                <w:b/>
                <w:sz w:val="15"/>
              </w:rPr>
            </w:pPr>
          </w:p>
          <w:p>
            <w:pPr>
              <w:pStyle w:val="14"/>
              <w:spacing w:before="1"/>
              <w:ind w:right="322"/>
              <w:jc w:val="right"/>
              <w:rPr>
                <w:rFonts w:ascii="Times New Roman"/>
                <w:sz w:val="18"/>
              </w:rPr>
            </w:pPr>
            <w:r>
              <w:rPr>
                <w:rFonts w:ascii="Times New Roman"/>
                <w:sz w:val="18"/>
              </w:rPr>
              <w:t>1683</w:t>
            </w:r>
          </w:p>
        </w:tc>
        <w:tc>
          <w:tcPr>
            <w:tcW w:w="1039" w:type="dxa"/>
            <w:tcBorders>
              <w:top w:val="single" w:color="000000" w:sz="4" w:space="0"/>
              <w:left w:val="single" w:color="000000" w:sz="4" w:space="0"/>
              <w:right w:val="single" w:color="000000" w:sz="4" w:space="0"/>
            </w:tcBorders>
          </w:tcPr>
          <w:p>
            <w:pPr>
              <w:pStyle w:val="14"/>
              <w:spacing w:before="9"/>
              <w:jc w:val="left"/>
              <w:rPr>
                <w:b/>
                <w:sz w:val="15"/>
              </w:rPr>
            </w:pPr>
          </w:p>
          <w:p>
            <w:pPr>
              <w:pStyle w:val="14"/>
              <w:spacing w:before="1"/>
              <w:ind w:left="95" w:right="79"/>
              <w:rPr>
                <w:rFonts w:ascii="Times New Roman"/>
                <w:sz w:val="18"/>
              </w:rPr>
            </w:pPr>
            <w:r>
              <w:rPr>
                <w:rFonts w:ascii="Times New Roman"/>
                <w:sz w:val="18"/>
              </w:rPr>
              <w:t>30</w:t>
            </w:r>
          </w:p>
        </w:tc>
        <w:tc>
          <w:tcPr>
            <w:tcW w:w="1370" w:type="dxa"/>
            <w:tcBorders>
              <w:top w:val="single" w:color="000000" w:sz="4" w:space="0"/>
              <w:left w:val="single" w:color="000000" w:sz="4" w:space="0"/>
              <w:right w:val="single" w:color="000000" w:sz="4" w:space="0"/>
            </w:tcBorders>
          </w:tcPr>
          <w:p>
            <w:pPr>
              <w:pStyle w:val="14"/>
              <w:jc w:val="left"/>
              <w:rPr>
                <w:b/>
                <w:sz w:val="15"/>
              </w:rPr>
            </w:pPr>
          </w:p>
          <w:p>
            <w:pPr>
              <w:pStyle w:val="14"/>
              <w:ind w:left="129" w:right="108"/>
              <w:rPr>
                <w:sz w:val="18"/>
              </w:rPr>
            </w:pPr>
            <w:r>
              <w:rPr>
                <w:sz w:val="18"/>
              </w:rPr>
              <w:t>布袋除尘器</w:t>
            </w:r>
          </w:p>
        </w:tc>
        <w:tc>
          <w:tcPr>
            <w:tcW w:w="914" w:type="dxa"/>
            <w:tcBorders>
              <w:top w:val="single" w:color="000000" w:sz="4" w:space="0"/>
              <w:left w:val="single" w:color="000000" w:sz="4" w:space="0"/>
              <w:right w:val="single" w:color="000000" w:sz="4" w:space="0"/>
            </w:tcBorders>
          </w:tcPr>
          <w:p>
            <w:pPr>
              <w:pStyle w:val="14"/>
              <w:spacing w:before="12"/>
              <w:jc w:val="left"/>
              <w:rPr>
                <w:b/>
                <w:sz w:val="15"/>
              </w:rPr>
            </w:pPr>
          </w:p>
          <w:p>
            <w:pPr>
              <w:pStyle w:val="14"/>
              <w:ind w:left="185" w:right="167"/>
              <w:rPr>
                <w:rFonts w:ascii="Times New Roman"/>
                <w:sz w:val="18"/>
              </w:rPr>
            </w:pPr>
            <w:r>
              <w:rPr>
                <w:rFonts w:ascii="Times New Roman"/>
                <w:sz w:val="18"/>
              </w:rPr>
              <w:t>99</w:t>
            </w:r>
          </w:p>
        </w:tc>
        <w:tc>
          <w:tcPr>
            <w:tcW w:w="898" w:type="dxa"/>
            <w:tcBorders>
              <w:top w:val="single" w:color="000000" w:sz="4" w:space="0"/>
              <w:left w:val="single" w:color="000000" w:sz="4" w:space="0"/>
              <w:right w:val="single" w:color="000000" w:sz="4" w:space="0"/>
            </w:tcBorders>
          </w:tcPr>
          <w:p>
            <w:pPr>
              <w:pStyle w:val="14"/>
              <w:spacing w:before="12"/>
              <w:jc w:val="left"/>
              <w:rPr>
                <w:b/>
                <w:sz w:val="15"/>
              </w:rPr>
            </w:pPr>
          </w:p>
          <w:p>
            <w:pPr>
              <w:pStyle w:val="14"/>
              <w:ind w:left="207" w:right="189"/>
              <w:rPr>
                <w:rFonts w:ascii="Times New Roman"/>
                <w:sz w:val="18"/>
              </w:rPr>
            </w:pPr>
            <w:r>
              <w:rPr>
                <w:rFonts w:ascii="Times New Roman"/>
                <w:sz w:val="18"/>
              </w:rPr>
              <w:t>3000</w:t>
            </w:r>
          </w:p>
        </w:tc>
        <w:tc>
          <w:tcPr>
            <w:tcW w:w="898" w:type="dxa"/>
            <w:tcBorders>
              <w:top w:val="single" w:color="000000" w:sz="4" w:space="0"/>
              <w:left w:val="single" w:color="000000" w:sz="4" w:space="0"/>
              <w:right w:val="single" w:color="000000" w:sz="4" w:space="0"/>
            </w:tcBorders>
          </w:tcPr>
          <w:p>
            <w:pPr>
              <w:pStyle w:val="14"/>
              <w:spacing w:before="9"/>
              <w:jc w:val="left"/>
              <w:rPr>
                <w:b/>
                <w:sz w:val="15"/>
              </w:rPr>
            </w:pPr>
          </w:p>
          <w:p>
            <w:pPr>
              <w:pStyle w:val="14"/>
              <w:spacing w:before="1"/>
              <w:ind w:right="228"/>
              <w:jc w:val="right"/>
              <w:rPr>
                <w:rFonts w:ascii="Times New Roman"/>
                <w:sz w:val="18"/>
              </w:rPr>
            </w:pPr>
            <w:r>
              <w:rPr>
                <w:rFonts w:ascii="Times New Roman"/>
                <w:sz w:val="18"/>
              </w:rPr>
              <w:t>16.83</w:t>
            </w:r>
          </w:p>
        </w:tc>
        <w:tc>
          <w:tcPr>
            <w:tcW w:w="897" w:type="dxa"/>
            <w:tcBorders>
              <w:top w:val="single" w:color="000000" w:sz="4" w:space="0"/>
              <w:left w:val="single" w:color="000000" w:sz="4" w:space="0"/>
              <w:right w:val="single" w:color="000000" w:sz="4" w:space="0"/>
            </w:tcBorders>
          </w:tcPr>
          <w:p>
            <w:pPr>
              <w:pStyle w:val="14"/>
              <w:spacing w:before="9"/>
              <w:jc w:val="left"/>
              <w:rPr>
                <w:b/>
                <w:sz w:val="15"/>
              </w:rPr>
            </w:pPr>
          </w:p>
          <w:p>
            <w:pPr>
              <w:pStyle w:val="14"/>
              <w:spacing w:before="1"/>
              <w:ind w:left="142" w:right="122"/>
              <w:rPr>
                <w:rFonts w:ascii="Times New Roman"/>
                <w:sz w:val="18"/>
              </w:rPr>
            </w:pPr>
            <w:r>
              <w:rPr>
                <w:rFonts w:ascii="Times New Roman"/>
                <w:sz w:val="18"/>
              </w:rPr>
              <w:t>0.051</w:t>
            </w:r>
          </w:p>
        </w:tc>
        <w:tc>
          <w:tcPr>
            <w:tcW w:w="899" w:type="dxa"/>
            <w:tcBorders>
              <w:top w:val="single" w:color="000000" w:sz="4" w:space="0"/>
              <w:left w:val="single" w:color="000000" w:sz="4" w:space="0"/>
              <w:right w:val="single" w:color="000000" w:sz="4" w:space="0"/>
            </w:tcBorders>
          </w:tcPr>
          <w:p>
            <w:pPr>
              <w:pStyle w:val="14"/>
              <w:spacing w:before="9"/>
              <w:jc w:val="left"/>
              <w:rPr>
                <w:b/>
                <w:sz w:val="15"/>
              </w:rPr>
            </w:pPr>
          </w:p>
          <w:p>
            <w:pPr>
              <w:pStyle w:val="14"/>
              <w:spacing w:before="1"/>
              <w:ind w:left="341"/>
              <w:jc w:val="left"/>
              <w:rPr>
                <w:rFonts w:ascii="Times New Roman"/>
                <w:sz w:val="18"/>
              </w:rPr>
            </w:pPr>
            <w:r>
              <w:rPr>
                <w:rFonts w:ascii="Times New Roman"/>
                <w:sz w:val="18"/>
              </w:rPr>
              <w:t>0.3</w:t>
            </w:r>
          </w:p>
        </w:tc>
        <w:tc>
          <w:tcPr>
            <w:tcW w:w="879" w:type="dxa"/>
            <w:tcBorders>
              <w:top w:val="single" w:color="000000" w:sz="4" w:space="0"/>
              <w:left w:val="single" w:color="000000" w:sz="4" w:space="0"/>
              <w:right w:val="single" w:color="000000" w:sz="4" w:space="0"/>
            </w:tcBorders>
          </w:tcPr>
          <w:p>
            <w:pPr>
              <w:pStyle w:val="14"/>
              <w:spacing w:before="12"/>
              <w:jc w:val="left"/>
              <w:rPr>
                <w:b/>
                <w:sz w:val="15"/>
              </w:rPr>
            </w:pPr>
          </w:p>
          <w:p>
            <w:pPr>
              <w:pStyle w:val="14"/>
              <w:ind w:left="287" w:right="270"/>
              <w:rPr>
                <w:rFonts w:ascii="Times New Roman"/>
                <w:sz w:val="18"/>
              </w:rPr>
            </w:pPr>
            <w:r>
              <w:rPr>
                <w:rFonts w:ascii="Times New Roman"/>
                <w:sz w:val="18"/>
              </w:rPr>
              <w:t>80</w:t>
            </w:r>
          </w:p>
        </w:tc>
        <w:tc>
          <w:tcPr>
            <w:tcW w:w="879" w:type="dxa"/>
            <w:tcBorders>
              <w:top w:val="single" w:color="000000" w:sz="4" w:space="0"/>
              <w:left w:val="single" w:color="000000" w:sz="4" w:space="0"/>
            </w:tcBorders>
          </w:tcPr>
          <w:p>
            <w:pPr>
              <w:pStyle w:val="14"/>
              <w:spacing w:before="12"/>
              <w:jc w:val="left"/>
              <w:rPr>
                <w:b/>
                <w:sz w:val="15"/>
              </w:rPr>
            </w:pPr>
          </w:p>
          <w:p>
            <w:pPr>
              <w:pStyle w:val="14"/>
              <w:ind w:left="205" w:right="182"/>
              <w:rPr>
                <w:rFonts w:ascii="Times New Roman"/>
                <w:sz w:val="18"/>
              </w:rPr>
            </w:pPr>
            <w:r>
              <w:rPr>
                <w:rFonts w:ascii="Times New Roman"/>
                <w:sz w:val="18"/>
              </w:rPr>
              <w:t>5940</w:t>
            </w:r>
          </w:p>
        </w:tc>
      </w:tr>
    </w:tbl>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spacing w:before="1"/>
        <w:rPr>
          <w:b/>
          <w:sz w:val="23"/>
        </w:rPr>
      </w:pPr>
    </w:p>
    <w:p>
      <w:pPr>
        <w:spacing w:before="57"/>
        <w:ind w:left="4491" w:right="4491" w:firstLine="0"/>
        <w:jc w:val="center"/>
        <w:rPr>
          <w:rFonts w:ascii="Calibri"/>
          <w:sz w:val="21"/>
        </w:rPr>
      </w:pPr>
      <w:r>
        <w:rPr>
          <w:rFonts w:ascii="Calibri"/>
          <w:sz w:val="21"/>
        </w:rPr>
        <w:t>60</w:t>
      </w:r>
    </w:p>
    <w:p>
      <w:pPr>
        <w:spacing w:after="0"/>
        <w:jc w:val="center"/>
        <w:rPr>
          <w:rFonts w:ascii="Calibri"/>
          <w:sz w:val="21"/>
        </w:rPr>
        <w:sectPr>
          <w:footerReference r:id="rId10" w:type="default"/>
          <w:pgSz w:w="16840" w:h="11910" w:orient="landscape"/>
          <w:pgMar w:top="1080" w:right="1120" w:bottom="280" w:left="1120" w:header="0" w:footer="0" w:gutter="0"/>
        </w:sectPr>
      </w:pPr>
    </w:p>
    <w:p>
      <w:pPr>
        <w:pStyle w:val="13"/>
        <w:numPr>
          <w:ilvl w:val="0"/>
          <w:numId w:val="32"/>
        </w:numPr>
        <w:tabs>
          <w:tab w:val="left" w:pos="1596"/>
        </w:tabs>
        <w:spacing w:before="62" w:after="0" w:line="240" w:lineRule="auto"/>
        <w:ind w:left="1595" w:right="0" w:hanging="602"/>
        <w:jc w:val="left"/>
        <w:rPr>
          <w:sz w:val="24"/>
        </w:rPr>
      </w:pPr>
      <w:r>
        <w:rPr>
          <w:sz w:val="24"/>
        </w:rPr>
        <w:t>水污染源及源强分析</w:t>
      </w:r>
    </w:p>
    <w:p>
      <w:pPr>
        <w:pStyle w:val="6"/>
        <w:spacing w:before="160"/>
        <w:ind w:left="994"/>
      </w:pPr>
      <w:r>
        <w:t>本项目水污染源主要为矿井水和生活污水。</w:t>
      </w:r>
    </w:p>
    <w:p>
      <w:pPr>
        <w:pStyle w:val="6"/>
        <w:spacing w:before="161"/>
        <w:ind w:left="994"/>
      </w:pPr>
      <w:r>
        <w:t>①矿井水及处理措施</w:t>
      </w:r>
    </w:p>
    <w:p>
      <w:pPr>
        <w:pStyle w:val="6"/>
        <w:spacing w:before="160" w:line="364" w:lineRule="auto"/>
        <w:ind w:left="511" w:right="404" w:firstLine="420"/>
      </w:pPr>
      <w:r>
        <w:rPr>
          <w:spacing w:val="-5"/>
        </w:rPr>
        <w:t xml:space="preserve">本项目矿井水正常涌水量 </w:t>
      </w:r>
      <w:r>
        <w:rPr>
          <w:rFonts w:ascii="Times New Roman" w:hAnsi="Times New Roman" w:eastAsia="Times New Roman"/>
          <w:spacing w:val="-3"/>
        </w:rPr>
        <w:t>76m</w:t>
      </w:r>
      <w:r>
        <w:rPr>
          <w:rFonts w:ascii="Times New Roman" w:hAnsi="Times New Roman" w:eastAsia="Times New Roman"/>
          <w:spacing w:val="-3"/>
          <w:position w:val="8"/>
          <w:sz w:val="15"/>
        </w:rPr>
        <w:t>3</w:t>
      </w:r>
      <w:r>
        <w:rPr>
          <w:rFonts w:ascii="Times New Roman" w:hAnsi="Times New Roman" w:eastAsia="Times New Roman"/>
          <w:spacing w:val="-3"/>
        </w:rPr>
        <w:t>/h</w:t>
      </w:r>
      <w:r>
        <w:rPr>
          <w:spacing w:val="-13"/>
        </w:rPr>
        <w:t xml:space="preserve">，总水量 </w:t>
      </w:r>
      <w:r>
        <w:rPr>
          <w:rFonts w:ascii="Times New Roman" w:hAnsi="Times New Roman" w:eastAsia="Times New Roman"/>
        </w:rPr>
        <w:t>1824m</w:t>
      </w:r>
      <w:r>
        <w:rPr>
          <w:rFonts w:ascii="Times New Roman" w:hAnsi="Times New Roman" w:eastAsia="Times New Roman"/>
          <w:position w:val="8"/>
          <w:sz w:val="15"/>
        </w:rPr>
        <w:t>3</w:t>
      </w:r>
      <w:r>
        <w:rPr>
          <w:rFonts w:ascii="Times New Roman" w:hAnsi="Times New Roman" w:eastAsia="Times New Roman"/>
        </w:rPr>
        <w:t>/d</w:t>
      </w:r>
      <w:r>
        <w:rPr>
          <w:spacing w:val="-8"/>
        </w:rPr>
        <w:t xml:space="preserve">，最大涌水量为 </w:t>
      </w:r>
      <w:r>
        <w:rPr>
          <w:rFonts w:ascii="Times New Roman" w:hAnsi="Times New Roman" w:eastAsia="Times New Roman"/>
          <w:spacing w:val="-3"/>
        </w:rPr>
        <w:t>155m</w:t>
      </w:r>
      <w:r>
        <w:rPr>
          <w:rFonts w:ascii="Times New Roman" w:hAnsi="Times New Roman" w:eastAsia="Times New Roman"/>
          <w:spacing w:val="-3"/>
          <w:position w:val="8"/>
          <w:sz w:val="15"/>
        </w:rPr>
        <w:t>3</w:t>
      </w:r>
      <w:r>
        <w:rPr>
          <w:rFonts w:ascii="Times New Roman" w:hAnsi="Times New Roman" w:eastAsia="Times New Roman"/>
          <w:spacing w:val="-3"/>
        </w:rPr>
        <w:t>/h</w:t>
      </w:r>
      <w:r>
        <w:rPr>
          <w:spacing w:val="-3"/>
        </w:rPr>
        <w:t xml:space="preserve">， </w:t>
      </w:r>
      <w:r>
        <w:rPr>
          <w:spacing w:val="-13"/>
        </w:rPr>
        <w:t xml:space="preserve">总水量为 </w:t>
      </w:r>
      <w:r>
        <w:rPr>
          <w:rFonts w:ascii="Times New Roman" w:hAnsi="Times New Roman" w:eastAsia="Times New Roman"/>
        </w:rPr>
        <w:t>3720m</w:t>
      </w:r>
      <w:r>
        <w:rPr>
          <w:rFonts w:ascii="Times New Roman" w:hAnsi="Times New Roman" w:eastAsia="Times New Roman"/>
          <w:position w:val="8"/>
          <w:sz w:val="15"/>
        </w:rPr>
        <w:t>3</w:t>
      </w:r>
      <w:r>
        <w:rPr>
          <w:rFonts w:ascii="Times New Roman" w:hAnsi="Times New Roman" w:eastAsia="Times New Roman"/>
        </w:rPr>
        <w:t>/d</w:t>
      </w:r>
      <w:r>
        <w:rPr>
          <w:spacing w:val="-2"/>
        </w:rPr>
        <w:t>，在井下汇流过程中受到煤尘和人为活动的污染，使其悬浮物浓度较高，水多呈黑色，故矿井水的主要污染物为悬浮物，矿井同步建设一座处</w:t>
      </w:r>
      <w:r>
        <w:rPr>
          <w:spacing w:val="-17"/>
        </w:rPr>
        <w:t xml:space="preserve">理规模 </w:t>
      </w:r>
      <w:r>
        <w:rPr>
          <w:rFonts w:ascii="Times New Roman" w:hAnsi="Times New Roman" w:eastAsia="Times New Roman"/>
        </w:rPr>
        <w:t>3720m</w:t>
      </w:r>
      <w:r>
        <w:rPr>
          <w:rFonts w:ascii="Times New Roman" w:hAnsi="Times New Roman" w:eastAsia="Times New Roman"/>
          <w:position w:val="8"/>
          <w:sz w:val="15"/>
        </w:rPr>
        <w:t>3</w:t>
      </w:r>
      <w:r>
        <w:rPr>
          <w:rFonts w:ascii="Times New Roman" w:hAnsi="Times New Roman" w:eastAsia="Times New Roman"/>
        </w:rPr>
        <w:t xml:space="preserve">/d </w:t>
      </w:r>
      <w:r>
        <w:rPr>
          <w:spacing w:val="-13"/>
        </w:rPr>
        <w:t>的矿井水处理站，采用絮凝、沉淀处理工艺。</w:t>
      </w:r>
      <w:r>
        <w:rPr>
          <w:rFonts w:ascii="Times New Roman" w:hAnsi="Times New Roman" w:eastAsia="Times New Roman"/>
        </w:rPr>
        <w:t xml:space="preserve">COD </w:t>
      </w:r>
      <w:r>
        <w:t>去除率</w:t>
      </w:r>
      <w:r>
        <w:rPr>
          <w:rFonts w:ascii="Times New Roman" w:hAnsi="Times New Roman" w:eastAsia="Times New Roman"/>
        </w:rPr>
        <w:t>≥80%</w:t>
      </w:r>
      <w:r>
        <w:t xml:space="preserve">， </w:t>
      </w:r>
      <w:r>
        <w:rPr>
          <w:rFonts w:ascii="Times New Roman" w:hAnsi="Times New Roman" w:eastAsia="Times New Roman"/>
        </w:rPr>
        <w:t xml:space="preserve">SS </w:t>
      </w:r>
      <w:r>
        <w:t>去除率</w:t>
      </w:r>
      <w:r>
        <w:rPr>
          <w:rFonts w:ascii="Times New Roman" w:hAnsi="Times New Roman" w:eastAsia="Times New Roman"/>
        </w:rPr>
        <w:t>≥85%</w:t>
      </w:r>
      <w:r>
        <w:t>。处理后可用于其它非生活饮用水、井下消防及防尘洒水、浴室洗浴洗衣用水、锅炉房补充水、浇洒绿地用水等，剩余部分排入扁石河。</w:t>
      </w:r>
    </w:p>
    <w:p>
      <w:pPr>
        <w:pStyle w:val="6"/>
        <w:spacing w:before="4"/>
        <w:ind w:left="931"/>
      </w:pPr>
      <w:r>
        <w:t>②生活污水及处理措施</w:t>
      </w:r>
    </w:p>
    <w:p>
      <w:pPr>
        <w:pStyle w:val="6"/>
        <w:spacing w:before="160" w:line="364" w:lineRule="auto"/>
        <w:ind w:left="511" w:right="529" w:firstLine="420"/>
      </w:pPr>
      <w:r>
        <w:t>本项目生产污水经生活污水处理设备处理达标后，回用于生产、工业场地绿化洒水用水。</w:t>
      </w:r>
    </w:p>
    <w:p>
      <w:pPr>
        <w:pStyle w:val="6"/>
        <w:spacing w:before="2"/>
        <w:ind w:left="931"/>
      </w:pPr>
      <w:r>
        <w:t xml:space="preserve">废水污染源源强核算见表 </w:t>
      </w:r>
      <w:r>
        <w:rPr>
          <w:rFonts w:ascii="Times New Roman" w:eastAsia="Times New Roman"/>
        </w:rPr>
        <w:t>3.4-5</w:t>
      </w:r>
      <w:r>
        <w:t xml:space="preserve">，表 </w:t>
      </w:r>
      <w:r>
        <w:rPr>
          <w:rFonts w:ascii="Times New Roman" w:eastAsia="Times New Roman"/>
        </w:rPr>
        <w:t>3.4-6</w:t>
      </w:r>
      <w:r>
        <w:t>。</w:t>
      </w:r>
    </w:p>
    <w:p>
      <w:pPr>
        <w:pStyle w:val="6"/>
        <w:rPr>
          <w:sz w:val="20"/>
        </w:rPr>
      </w:pPr>
    </w:p>
    <w:p>
      <w:pPr>
        <w:pStyle w:val="6"/>
        <w:tabs>
          <w:tab w:val="left" w:pos="1039"/>
        </w:tabs>
        <w:spacing w:after="37"/>
        <w:ind w:right="17"/>
        <w:jc w:val="center"/>
        <w:rPr>
          <w:rFonts w:hint="eastAsia" w:ascii="黑体" w:eastAsia="黑体"/>
        </w:rPr>
      </w:pPr>
      <w:r>
        <w:rPr>
          <w:rFonts w:hint="eastAsia" w:ascii="黑体" w:eastAsia="黑体"/>
        </w:rPr>
        <w:t>表</w:t>
      </w:r>
      <w:r>
        <w:rPr>
          <w:rFonts w:hint="eastAsia" w:ascii="黑体" w:eastAsia="黑体"/>
          <w:spacing w:val="-61"/>
        </w:rPr>
        <w:t xml:space="preserve"> </w:t>
      </w:r>
      <w:r>
        <w:rPr>
          <w:rFonts w:ascii="Times New Roman" w:eastAsia="Times New Roman"/>
        </w:rPr>
        <w:t>3.4-5</w:t>
      </w:r>
      <w:r>
        <w:rPr>
          <w:rFonts w:ascii="Times New Roman" w:eastAsia="Times New Roman"/>
        </w:rPr>
        <w:tab/>
      </w:r>
      <w:r>
        <w:rPr>
          <w:rFonts w:hint="eastAsia" w:ascii="黑体" w:eastAsia="黑体"/>
        </w:rPr>
        <w:t>采暖期废水污染源源强核算结果及相关参数一览表</w:t>
      </w:r>
    </w:p>
    <w:tbl>
      <w:tblPr>
        <w:tblStyle w:val="10"/>
        <w:tblW w:w="0" w:type="auto"/>
        <w:tblInd w:w="1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0"/>
        <w:gridCol w:w="717"/>
        <w:gridCol w:w="353"/>
        <w:gridCol w:w="793"/>
        <w:gridCol w:w="837"/>
        <w:gridCol w:w="779"/>
        <w:gridCol w:w="1230"/>
        <w:gridCol w:w="577"/>
        <w:gridCol w:w="353"/>
        <w:gridCol w:w="793"/>
        <w:gridCol w:w="837"/>
        <w:gridCol w:w="779"/>
        <w:gridCol w:w="6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390" w:type="dxa"/>
            <w:vMerge w:val="restart"/>
          </w:tcPr>
          <w:p>
            <w:pPr>
              <w:pStyle w:val="14"/>
              <w:spacing w:before="8"/>
              <w:jc w:val="left"/>
              <w:rPr>
                <w:rFonts w:ascii="黑体"/>
                <w:sz w:val="18"/>
              </w:rPr>
            </w:pPr>
          </w:p>
          <w:p>
            <w:pPr>
              <w:pStyle w:val="14"/>
              <w:spacing w:line="242" w:lineRule="auto"/>
              <w:ind w:left="108" w:right="89"/>
              <w:jc w:val="both"/>
              <w:rPr>
                <w:sz w:val="18"/>
              </w:rPr>
            </w:pPr>
            <w:r>
              <w:rPr>
                <w:sz w:val="18"/>
              </w:rPr>
              <w:t>污染源</w:t>
            </w:r>
          </w:p>
        </w:tc>
        <w:tc>
          <w:tcPr>
            <w:tcW w:w="717" w:type="dxa"/>
            <w:vMerge w:val="restart"/>
          </w:tcPr>
          <w:p>
            <w:pPr>
              <w:pStyle w:val="14"/>
              <w:jc w:val="left"/>
              <w:rPr>
                <w:rFonts w:ascii="黑体"/>
                <w:sz w:val="18"/>
              </w:rPr>
            </w:pPr>
          </w:p>
          <w:p>
            <w:pPr>
              <w:pStyle w:val="14"/>
              <w:spacing w:before="126" w:line="242" w:lineRule="auto"/>
              <w:ind w:left="267" w:right="168" w:hanging="92"/>
              <w:jc w:val="left"/>
              <w:rPr>
                <w:sz w:val="18"/>
              </w:rPr>
            </w:pPr>
            <w:r>
              <w:rPr>
                <w:sz w:val="18"/>
              </w:rPr>
              <w:t>污染物</w:t>
            </w:r>
          </w:p>
        </w:tc>
        <w:tc>
          <w:tcPr>
            <w:tcW w:w="2762" w:type="dxa"/>
            <w:gridSpan w:val="4"/>
          </w:tcPr>
          <w:p>
            <w:pPr>
              <w:pStyle w:val="14"/>
              <w:spacing w:before="1" w:line="211" w:lineRule="exact"/>
              <w:ind w:left="909" w:right="900"/>
              <w:rPr>
                <w:sz w:val="18"/>
              </w:rPr>
            </w:pPr>
            <w:r>
              <w:rPr>
                <w:sz w:val="18"/>
              </w:rPr>
              <w:t>污染物产生</w:t>
            </w:r>
          </w:p>
        </w:tc>
        <w:tc>
          <w:tcPr>
            <w:tcW w:w="1807" w:type="dxa"/>
            <w:gridSpan w:val="2"/>
          </w:tcPr>
          <w:p>
            <w:pPr>
              <w:pStyle w:val="14"/>
              <w:spacing w:before="1" w:line="211" w:lineRule="exact"/>
              <w:ind w:left="542"/>
              <w:jc w:val="left"/>
              <w:rPr>
                <w:sz w:val="18"/>
              </w:rPr>
            </w:pPr>
            <w:r>
              <w:rPr>
                <w:sz w:val="18"/>
              </w:rPr>
              <w:t>治理措施</w:t>
            </w:r>
          </w:p>
        </w:tc>
        <w:tc>
          <w:tcPr>
            <w:tcW w:w="2762" w:type="dxa"/>
            <w:gridSpan w:val="4"/>
          </w:tcPr>
          <w:p>
            <w:pPr>
              <w:pStyle w:val="14"/>
              <w:spacing w:before="1" w:line="211" w:lineRule="exact"/>
              <w:ind w:left="910" w:right="899"/>
              <w:rPr>
                <w:sz w:val="18"/>
              </w:rPr>
            </w:pPr>
            <w:r>
              <w:rPr>
                <w:sz w:val="18"/>
              </w:rPr>
              <w:t>污染物排放</w:t>
            </w:r>
          </w:p>
        </w:tc>
        <w:tc>
          <w:tcPr>
            <w:tcW w:w="618" w:type="dxa"/>
            <w:vMerge w:val="restart"/>
          </w:tcPr>
          <w:p>
            <w:pPr>
              <w:pStyle w:val="14"/>
              <w:spacing w:before="10"/>
              <w:jc w:val="left"/>
              <w:rPr>
                <w:rFonts w:ascii="黑体"/>
                <w:sz w:val="19"/>
              </w:rPr>
            </w:pPr>
          </w:p>
          <w:p>
            <w:pPr>
              <w:pStyle w:val="14"/>
              <w:ind w:left="127" w:right="118"/>
              <w:jc w:val="both"/>
              <w:rPr>
                <w:rFonts w:ascii="Times New Roman" w:eastAsia="Times New Roman"/>
                <w:sz w:val="18"/>
              </w:rPr>
            </w:pPr>
            <w:r>
              <w:rPr>
                <w:sz w:val="18"/>
              </w:rPr>
              <w:t>排放时间</w:t>
            </w:r>
            <w:r>
              <w:rPr>
                <w:rFonts w:ascii="Times New Roman" w:eastAsia="Times New Roman"/>
                <w:sz w:val="18"/>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390" w:type="dxa"/>
            <w:vMerge w:val="continue"/>
            <w:tcBorders>
              <w:top w:val="nil"/>
            </w:tcBorders>
          </w:tcPr>
          <w:p>
            <w:pPr>
              <w:rPr>
                <w:sz w:val="2"/>
                <w:szCs w:val="2"/>
              </w:rPr>
            </w:pPr>
          </w:p>
        </w:tc>
        <w:tc>
          <w:tcPr>
            <w:tcW w:w="717" w:type="dxa"/>
            <w:vMerge w:val="continue"/>
            <w:tcBorders>
              <w:top w:val="nil"/>
            </w:tcBorders>
          </w:tcPr>
          <w:p>
            <w:pPr>
              <w:rPr>
                <w:sz w:val="2"/>
                <w:szCs w:val="2"/>
              </w:rPr>
            </w:pPr>
          </w:p>
        </w:tc>
        <w:tc>
          <w:tcPr>
            <w:tcW w:w="353" w:type="dxa"/>
          </w:tcPr>
          <w:p>
            <w:pPr>
              <w:pStyle w:val="14"/>
              <w:spacing w:before="1" w:line="242" w:lineRule="auto"/>
              <w:ind w:left="107" w:right="53"/>
              <w:jc w:val="both"/>
              <w:rPr>
                <w:sz w:val="18"/>
              </w:rPr>
            </w:pPr>
            <w:r>
              <w:rPr>
                <w:sz w:val="18"/>
              </w:rPr>
              <w:t>核算方</w:t>
            </w:r>
          </w:p>
          <w:p>
            <w:pPr>
              <w:pStyle w:val="14"/>
              <w:spacing w:before="2" w:line="212" w:lineRule="exact"/>
              <w:ind w:left="107"/>
              <w:jc w:val="left"/>
              <w:rPr>
                <w:sz w:val="18"/>
              </w:rPr>
            </w:pPr>
            <w:r>
              <w:rPr>
                <w:sz w:val="18"/>
              </w:rPr>
              <w:t>法</w:t>
            </w:r>
          </w:p>
        </w:tc>
        <w:tc>
          <w:tcPr>
            <w:tcW w:w="793" w:type="dxa"/>
          </w:tcPr>
          <w:p>
            <w:pPr>
              <w:pStyle w:val="14"/>
              <w:spacing w:before="1" w:line="244" w:lineRule="auto"/>
              <w:ind w:left="126" w:right="114" w:hanging="3"/>
              <w:rPr>
                <w:sz w:val="18"/>
              </w:rPr>
            </w:pPr>
            <w:r>
              <w:rPr>
                <w:sz w:val="18"/>
              </w:rPr>
              <w:t xml:space="preserve">产生 </w:t>
            </w:r>
            <w:r>
              <w:rPr>
                <w:spacing w:val="-6"/>
                <w:sz w:val="18"/>
              </w:rPr>
              <w:t>废水量</w:t>
            </w:r>
          </w:p>
          <w:p>
            <w:pPr>
              <w:pStyle w:val="14"/>
              <w:spacing w:line="228" w:lineRule="exact"/>
              <w:ind w:left="118" w:right="109"/>
              <w:rPr>
                <w:rFonts w:ascii="Times New Roman" w:eastAsia="Times New Roman"/>
                <w:sz w:val="18"/>
              </w:rPr>
            </w:pPr>
            <w:r>
              <w:rPr>
                <w:sz w:val="18"/>
              </w:rPr>
              <w:t>（</w:t>
            </w:r>
            <w:r>
              <w:rPr>
                <w:rFonts w:ascii="Times New Roman" w:eastAsia="Times New Roman"/>
                <w:sz w:val="18"/>
              </w:rPr>
              <w:t>m</w:t>
            </w:r>
            <w:r>
              <w:rPr>
                <w:rFonts w:ascii="Times New Roman" w:eastAsia="Times New Roman"/>
                <w:position w:val="6"/>
                <w:sz w:val="11"/>
              </w:rPr>
              <w:t>3</w:t>
            </w:r>
            <w:r>
              <w:rPr>
                <w:rFonts w:ascii="Times New Roman" w:eastAsia="Times New Roman"/>
                <w:sz w:val="18"/>
              </w:rPr>
              <w:t>/d</w:t>
            </w:r>
          </w:p>
          <w:p>
            <w:pPr>
              <w:pStyle w:val="14"/>
              <w:spacing w:before="2" w:line="212" w:lineRule="exact"/>
              <w:ind w:left="10"/>
              <w:rPr>
                <w:sz w:val="18"/>
              </w:rPr>
            </w:pPr>
            <w:r>
              <w:rPr>
                <w:sz w:val="18"/>
              </w:rPr>
              <w:t>）</w:t>
            </w:r>
          </w:p>
        </w:tc>
        <w:tc>
          <w:tcPr>
            <w:tcW w:w="837" w:type="dxa"/>
          </w:tcPr>
          <w:p>
            <w:pPr>
              <w:pStyle w:val="14"/>
              <w:spacing w:before="1" w:line="244" w:lineRule="auto"/>
              <w:ind w:left="238" w:right="226"/>
              <w:rPr>
                <w:sz w:val="18"/>
              </w:rPr>
            </w:pPr>
            <w:r>
              <w:rPr>
                <w:sz w:val="18"/>
              </w:rPr>
              <w:t>产生浓度</w:t>
            </w:r>
          </w:p>
          <w:p>
            <w:pPr>
              <w:pStyle w:val="14"/>
              <w:spacing w:line="228" w:lineRule="exact"/>
              <w:ind w:left="111" w:right="104"/>
              <w:rPr>
                <w:rFonts w:ascii="Times New Roman" w:eastAsia="Times New Roman"/>
                <w:sz w:val="18"/>
              </w:rPr>
            </w:pPr>
            <w:r>
              <w:rPr>
                <w:sz w:val="18"/>
              </w:rPr>
              <w:t>（</w:t>
            </w:r>
            <w:r>
              <w:rPr>
                <w:rFonts w:ascii="Times New Roman" w:eastAsia="Times New Roman"/>
                <w:sz w:val="18"/>
              </w:rPr>
              <w:t>mg/L</w:t>
            </w:r>
          </w:p>
          <w:p>
            <w:pPr>
              <w:pStyle w:val="14"/>
              <w:spacing w:before="2" w:line="212" w:lineRule="exact"/>
              <w:ind w:left="7"/>
              <w:rPr>
                <w:sz w:val="18"/>
              </w:rPr>
            </w:pPr>
            <w:r>
              <w:rPr>
                <w:sz w:val="18"/>
              </w:rPr>
              <w:t>）</w:t>
            </w:r>
          </w:p>
        </w:tc>
        <w:tc>
          <w:tcPr>
            <w:tcW w:w="779" w:type="dxa"/>
          </w:tcPr>
          <w:p>
            <w:pPr>
              <w:pStyle w:val="14"/>
              <w:spacing w:before="118"/>
              <w:ind w:left="98" w:right="89"/>
              <w:rPr>
                <w:sz w:val="18"/>
              </w:rPr>
            </w:pPr>
            <w:r>
              <w:rPr>
                <w:sz w:val="18"/>
              </w:rPr>
              <w:t>产生量</w:t>
            </w:r>
          </w:p>
          <w:p>
            <w:pPr>
              <w:pStyle w:val="14"/>
              <w:spacing w:before="2"/>
              <w:ind w:left="94" w:right="89"/>
              <w:rPr>
                <w:rFonts w:ascii="Times New Roman" w:eastAsia="Times New Roman"/>
                <w:sz w:val="18"/>
              </w:rPr>
            </w:pPr>
            <w:r>
              <w:rPr>
                <w:sz w:val="18"/>
              </w:rPr>
              <w:t>（</w:t>
            </w:r>
            <w:r>
              <w:rPr>
                <w:rFonts w:ascii="Times New Roman" w:eastAsia="Times New Roman"/>
                <w:sz w:val="18"/>
              </w:rPr>
              <w:t>kg/d</w:t>
            </w:r>
          </w:p>
          <w:p>
            <w:pPr>
              <w:pStyle w:val="14"/>
              <w:spacing w:before="3"/>
              <w:ind w:left="9"/>
              <w:rPr>
                <w:sz w:val="18"/>
              </w:rPr>
            </w:pPr>
            <w:r>
              <w:rPr>
                <w:sz w:val="18"/>
              </w:rPr>
              <w:t>）</w:t>
            </w:r>
          </w:p>
        </w:tc>
        <w:tc>
          <w:tcPr>
            <w:tcW w:w="1230" w:type="dxa"/>
          </w:tcPr>
          <w:p>
            <w:pPr>
              <w:pStyle w:val="14"/>
              <w:jc w:val="left"/>
              <w:rPr>
                <w:rFonts w:ascii="黑体"/>
                <w:sz w:val="18"/>
              </w:rPr>
            </w:pPr>
          </w:p>
          <w:p>
            <w:pPr>
              <w:pStyle w:val="14"/>
              <w:spacing w:before="120"/>
              <w:ind w:left="414" w:right="405"/>
              <w:rPr>
                <w:sz w:val="18"/>
              </w:rPr>
            </w:pPr>
            <w:r>
              <w:rPr>
                <w:sz w:val="18"/>
              </w:rPr>
              <w:t>工艺</w:t>
            </w:r>
          </w:p>
        </w:tc>
        <w:tc>
          <w:tcPr>
            <w:tcW w:w="577" w:type="dxa"/>
          </w:tcPr>
          <w:p>
            <w:pPr>
              <w:pStyle w:val="14"/>
              <w:spacing w:before="118"/>
              <w:ind w:left="106"/>
              <w:jc w:val="left"/>
              <w:rPr>
                <w:sz w:val="18"/>
              </w:rPr>
            </w:pPr>
            <w:r>
              <w:rPr>
                <w:sz w:val="18"/>
              </w:rPr>
              <w:t>效率</w:t>
            </w:r>
          </w:p>
          <w:p>
            <w:pPr>
              <w:pStyle w:val="14"/>
              <w:spacing w:before="2"/>
              <w:ind w:left="123"/>
              <w:jc w:val="left"/>
              <w:rPr>
                <w:rFonts w:ascii="Times New Roman" w:eastAsia="Times New Roman"/>
                <w:sz w:val="18"/>
              </w:rPr>
            </w:pPr>
            <w:r>
              <w:rPr>
                <w:sz w:val="18"/>
              </w:rPr>
              <w:t>（</w:t>
            </w:r>
            <w:r>
              <w:rPr>
                <w:rFonts w:ascii="Times New Roman" w:eastAsia="Times New Roman"/>
                <w:sz w:val="18"/>
              </w:rPr>
              <w:t>%</w:t>
            </w:r>
          </w:p>
          <w:p>
            <w:pPr>
              <w:pStyle w:val="14"/>
              <w:spacing w:before="3"/>
              <w:ind w:left="198"/>
              <w:jc w:val="left"/>
              <w:rPr>
                <w:sz w:val="18"/>
              </w:rPr>
            </w:pPr>
            <w:r>
              <w:rPr>
                <w:sz w:val="18"/>
              </w:rPr>
              <w:t>）</w:t>
            </w:r>
          </w:p>
        </w:tc>
        <w:tc>
          <w:tcPr>
            <w:tcW w:w="353" w:type="dxa"/>
          </w:tcPr>
          <w:p>
            <w:pPr>
              <w:pStyle w:val="14"/>
              <w:spacing w:before="1" w:line="242" w:lineRule="auto"/>
              <w:ind w:left="108" w:right="52"/>
              <w:jc w:val="both"/>
              <w:rPr>
                <w:sz w:val="18"/>
              </w:rPr>
            </w:pPr>
            <w:r>
              <w:rPr>
                <w:sz w:val="18"/>
              </w:rPr>
              <w:t>核算方</w:t>
            </w:r>
          </w:p>
          <w:p>
            <w:pPr>
              <w:pStyle w:val="14"/>
              <w:spacing w:before="2" w:line="212" w:lineRule="exact"/>
              <w:ind w:left="108"/>
              <w:jc w:val="left"/>
              <w:rPr>
                <w:sz w:val="18"/>
              </w:rPr>
            </w:pPr>
            <w:r>
              <w:rPr>
                <w:sz w:val="18"/>
              </w:rPr>
              <w:t>法</w:t>
            </w:r>
          </w:p>
        </w:tc>
        <w:tc>
          <w:tcPr>
            <w:tcW w:w="793" w:type="dxa"/>
          </w:tcPr>
          <w:p>
            <w:pPr>
              <w:pStyle w:val="14"/>
              <w:spacing w:before="1" w:line="244" w:lineRule="auto"/>
              <w:ind w:left="124" w:right="116" w:firstLine="2"/>
              <w:rPr>
                <w:sz w:val="18"/>
              </w:rPr>
            </w:pPr>
            <w:r>
              <w:rPr>
                <w:sz w:val="18"/>
              </w:rPr>
              <w:t xml:space="preserve">排放 </w:t>
            </w:r>
            <w:r>
              <w:rPr>
                <w:spacing w:val="-6"/>
                <w:sz w:val="18"/>
              </w:rPr>
              <w:t>废水量</w:t>
            </w:r>
          </w:p>
          <w:p>
            <w:pPr>
              <w:pStyle w:val="14"/>
              <w:spacing w:line="228" w:lineRule="exact"/>
              <w:ind w:left="117" w:right="109"/>
              <w:rPr>
                <w:rFonts w:ascii="Times New Roman" w:eastAsia="Times New Roman"/>
                <w:sz w:val="18"/>
              </w:rPr>
            </w:pPr>
            <w:r>
              <w:rPr>
                <w:sz w:val="18"/>
              </w:rPr>
              <w:t>（</w:t>
            </w:r>
            <w:r>
              <w:rPr>
                <w:rFonts w:ascii="Times New Roman" w:eastAsia="Times New Roman"/>
                <w:sz w:val="18"/>
              </w:rPr>
              <w:t>m</w:t>
            </w:r>
            <w:r>
              <w:rPr>
                <w:rFonts w:ascii="Times New Roman" w:eastAsia="Times New Roman"/>
                <w:position w:val="6"/>
                <w:sz w:val="11"/>
              </w:rPr>
              <w:t>3</w:t>
            </w:r>
            <w:r>
              <w:rPr>
                <w:rFonts w:ascii="Times New Roman" w:eastAsia="Times New Roman"/>
                <w:sz w:val="18"/>
              </w:rPr>
              <w:t>/d</w:t>
            </w:r>
          </w:p>
          <w:p>
            <w:pPr>
              <w:pStyle w:val="14"/>
              <w:spacing w:before="2" w:line="212" w:lineRule="exact"/>
              <w:ind w:left="6"/>
              <w:rPr>
                <w:sz w:val="18"/>
              </w:rPr>
            </w:pPr>
            <w:r>
              <w:rPr>
                <w:sz w:val="18"/>
              </w:rPr>
              <w:t>）</w:t>
            </w:r>
          </w:p>
        </w:tc>
        <w:tc>
          <w:tcPr>
            <w:tcW w:w="837" w:type="dxa"/>
          </w:tcPr>
          <w:p>
            <w:pPr>
              <w:pStyle w:val="14"/>
              <w:spacing w:before="1" w:line="244" w:lineRule="auto"/>
              <w:ind w:left="236" w:right="228"/>
              <w:rPr>
                <w:sz w:val="18"/>
              </w:rPr>
            </w:pPr>
            <w:r>
              <w:rPr>
                <w:sz w:val="18"/>
              </w:rPr>
              <w:t>排放浓度</w:t>
            </w:r>
          </w:p>
          <w:p>
            <w:pPr>
              <w:pStyle w:val="14"/>
              <w:spacing w:line="228" w:lineRule="exact"/>
              <w:ind w:left="112" w:right="104"/>
              <w:rPr>
                <w:rFonts w:ascii="Times New Roman" w:eastAsia="Times New Roman"/>
                <w:sz w:val="18"/>
              </w:rPr>
            </w:pPr>
            <w:r>
              <w:rPr>
                <w:sz w:val="18"/>
              </w:rPr>
              <w:t>（</w:t>
            </w:r>
            <w:r>
              <w:rPr>
                <w:rFonts w:ascii="Times New Roman" w:eastAsia="Times New Roman"/>
                <w:sz w:val="18"/>
              </w:rPr>
              <w:t>mg/L</w:t>
            </w:r>
          </w:p>
          <w:p>
            <w:pPr>
              <w:pStyle w:val="14"/>
              <w:spacing w:before="2" w:line="212" w:lineRule="exact"/>
              <w:ind w:left="8"/>
              <w:rPr>
                <w:sz w:val="18"/>
              </w:rPr>
            </w:pPr>
            <w:r>
              <w:rPr>
                <w:sz w:val="18"/>
              </w:rPr>
              <w:t>）</w:t>
            </w:r>
          </w:p>
        </w:tc>
        <w:tc>
          <w:tcPr>
            <w:tcW w:w="779" w:type="dxa"/>
          </w:tcPr>
          <w:p>
            <w:pPr>
              <w:pStyle w:val="14"/>
              <w:spacing w:before="118"/>
              <w:ind w:left="99" w:right="89"/>
              <w:rPr>
                <w:sz w:val="18"/>
              </w:rPr>
            </w:pPr>
            <w:r>
              <w:rPr>
                <w:sz w:val="18"/>
              </w:rPr>
              <w:t>排放量</w:t>
            </w:r>
          </w:p>
          <w:p>
            <w:pPr>
              <w:pStyle w:val="14"/>
              <w:spacing w:before="2"/>
              <w:ind w:left="95" w:right="89"/>
              <w:rPr>
                <w:rFonts w:ascii="Times New Roman" w:eastAsia="Times New Roman"/>
                <w:sz w:val="18"/>
              </w:rPr>
            </w:pPr>
            <w:r>
              <w:rPr>
                <w:sz w:val="18"/>
              </w:rPr>
              <w:t>（</w:t>
            </w:r>
            <w:r>
              <w:rPr>
                <w:rFonts w:ascii="Times New Roman" w:eastAsia="Times New Roman"/>
                <w:sz w:val="18"/>
              </w:rPr>
              <w:t>kg/d</w:t>
            </w:r>
          </w:p>
          <w:p>
            <w:pPr>
              <w:pStyle w:val="14"/>
              <w:spacing w:before="3"/>
              <w:ind w:left="10"/>
              <w:rPr>
                <w:sz w:val="18"/>
              </w:rPr>
            </w:pPr>
            <w:r>
              <w:rPr>
                <w:sz w:val="18"/>
              </w:rPr>
              <w:t>）</w:t>
            </w:r>
          </w:p>
        </w:tc>
        <w:tc>
          <w:tcPr>
            <w:tcW w:w="61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390" w:type="dxa"/>
            <w:vMerge w:val="restart"/>
          </w:tcPr>
          <w:p>
            <w:pPr>
              <w:pStyle w:val="14"/>
              <w:jc w:val="left"/>
              <w:rPr>
                <w:rFonts w:ascii="黑体"/>
                <w:sz w:val="18"/>
              </w:rPr>
            </w:pPr>
          </w:p>
          <w:p>
            <w:pPr>
              <w:pStyle w:val="14"/>
              <w:spacing w:before="6"/>
              <w:jc w:val="left"/>
              <w:rPr>
                <w:rFonts w:ascii="黑体"/>
                <w:sz w:val="18"/>
              </w:rPr>
            </w:pPr>
          </w:p>
          <w:p>
            <w:pPr>
              <w:pStyle w:val="14"/>
              <w:spacing w:before="1" w:line="242" w:lineRule="auto"/>
              <w:ind w:left="108" w:right="89"/>
              <w:jc w:val="both"/>
              <w:rPr>
                <w:sz w:val="18"/>
              </w:rPr>
            </w:pPr>
            <w:r>
              <w:rPr>
                <w:sz w:val="18"/>
              </w:rPr>
              <w:t>矿井水</w:t>
            </w:r>
          </w:p>
        </w:tc>
        <w:tc>
          <w:tcPr>
            <w:tcW w:w="717" w:type="dxa"/>
          </w:tcPr>
          <w:p>
            <w:pPr>
              <w:pStyle w:val="14"/>
              <w:spacing w:before="3"/>
              <w:jc w:val="left"/>
              <w:rPr>
                <w:rFonts w:ascii="黑体"/>
                <w:sz w:val="14"/>
              </w:rPr>
            </w:pPr>
          </w:p>
          <w:p>
            <w:pPr>
              <w:pStyle w:val="14"/>
              <w:ind w:left="119" w:right="108"/>
              <w:rPr>
                <w:rFonts w:ascii="Times New Roman"/>
                <w:sz w:val="18"/>
              </w:rPr>
            </w:pPr>
            <w:r>
              <w:rPr>
                <w:rFonts w:ascii="Times New Roman"/>
                <w:sz w:val="18"/>
              </w:rPr>
              <w:t>COD</w:t>
            </w:r>
          </w:p>
        </w:tc>
        <w:tc>
          <w:tcPr>
            <w:tcW w:w="353" w:type="dxa"/>
            <w:vMerge w:val="restart"/>
          </w:tcPr>
          <w:p>
            <w:pPr>
              <w:pStyle w:val="14"/>
              <w:jc w:val="left"/>
              <w:rPr>
                <w:rFonts w:ascii="黑体"/>
                <w:sz w:val="18"/>
              </w:rPr>
            </w:pPr>
          </w:p>
          <w:p>
            <w:pPr>
              <w:pStyle w:val="14"/>
              <w:jc w:val="left"/>
              <w:rPr>
                <w:rFonts w:ascii="黑体"/>
                <w:sz w:val="18"/>
              </w:rPr>
            </w:pPr>
          </w:p>
          <w:p>
            <w:pPr>
              <w:pStyle w:val="14"/>
              <w:jc w:val="left"/>
              <w:rPr>
                <w:rFonts w:ascii="黑体"/>
                <w:sz w:val="18"/>
              </w:rPr>
            </w:pPr>
          </w:p>
          <w:p>
            <w:pPr>
              <w:pStyle w:val="14"/>
              <w:jc w:val="left"/>
              <w:rPr>
                <w:rFonts w:ascii="黑体"/>
                <w:sz w:val="18"/>
              </w:rPr>
            </w:pPr>
          </w:p>
          <w:p>
            <w:pPr>
              <w:pStyle w:val="14"/>
              <w:jc w:val="left"/>
              <w:rPr>
                <w:rFonts w:ascii="黑体"/>
                <w:sz w:val="18"/>
              </w:rPr>
            </w:pPr>
          </w:p>
          <w:p>
            <w:pPr>
              <w:pStyle w:val="14"/>
              <w:jc w:val="left"/>
              <w:rPr>
                <w:rFonts w:ascii="黑体"/>
                <w:sz w:val="18"/>
              </w:rPr>
            </w:pPr>
          </w:p>
          <w:p>
            <w:pPr>
              <w:pStyle w:val="14"/>
              <w:spacing w:before="10"/>
              <w:jc w:val="left"/>
              <w:rPr>
                <w:rFonts w:ascii="黑体"/>
                <w:sz w:val="15"/>
              </w:rPr>
            </w:pPr>
          </w:p>
          <w:p>
            <w:pPr>
              <w:pStyle w:val="14"/>
              <w:spacing w:line="242" w:lineRule="auto"/>
              <w:ind w:left="107" w:right="53"/>
              <w:jc w:val="both"/>
              <w:rPr>
                <w:sz w:val="18"/>
              </w:rPr>
            </w:pPr>
            <w:r>
              <w:rPr>
                <w:sz w:val="18"/>
              </w:rPr>
              <w:t>类比法</w:t>
            </w:r>
          </w:p>
        </w:tc>
        <w:tc>
          <w:tcPr>
            <w:tcW w:w="793" w:type="dxa"/>
            <w:vMerge w:val="restart"/>
          </w:tcPr>
          <w:p>
            <w:pPr>
              <w:pStyle w:val="14"/>
              <w:jc w:val="left"/>
              <w:rPr>
                <w:rFonts w:ascii="黑体"/>
                <w:sz w:val="20"/>
              </w:rPr>
            </w:pPr>
          </w:p>
          <w:p>
            <w:pPr>
              <w:pStyle w:val="14"/>
              <w:jc w:val="left"/>
              <w:rPr>
                <w:rFonts w:ascii="黑体"/>
                <w:sz w:val="20"/>
              </w:rPr>
            </w:pPr>
          </w:p>
          <w:p>
            <w:pPr>
              <w:pStyle w:val="14"/>
              <w:spacing w:before="8"/>
              <w:jc w:val="left"/>
              <w:rPr>
                <w:rFonts w:ascii="黑体"/>
                <w:sz w:val="15"/>
              </w:rPr>
            </w:pPr>
          </w:p>
          <w:p>
            <w:pPr>
              <w:pStyle w:val="14"/>
              <w:ind w:left="215"/>
              <w:jc w:val="left"/>
              <w:rPr>
                <w:rFonts w:ascii="Times New Roman"/>
                <w:sz w:val="18"/>
              </w:rPr>
            </w:pPr>
            <w:r>
              <w:rPr>
                <w:rFonts w:ascii="Times New Roman"/>
                <w:sz w:val="18"/>
              </w:rPr>
              <w:t>1824</w:t>
            </w:r>
          </w:p>
        </w:tc>
        <w:tc>
          <w:tcPr>
            <w:tcW w:w="837" w:type="dxa"/>
          </w:tcPr>
          <w:p>
            <w:pPr>
              <w:pStyle w:val="14"/>
              <w:spacing w:before="3"/>
              <w:jc w:val="left"/>
              <w:rPr>
                <w:rFonts w:ascii="黑体"/>
                <w:sz w:val="14"/>
              </w:rPr>
            </w:pPr>
          </w:p>
          <w:p>
            <w:pPr>
              <w:pStyle w:val="14"/>
              <w:ind w:left="232" w:right="226"/>
              <w:rPr>
                <w:rFonts w:ascii="Times New Roman"/>
                <w:sz w:val="18"/>
              </w:rPr>
            </w:pPr>
            <w:r>
              <w:rPr>
                <w:rFonts w:ascii="Times New Roman"/>
                <w:sz w:val="18"/>
              </w:rPr>
              <w:t>150</w:t>
            </w:r>
          </w:p>
        </w:tc>
        <w:tc>
          <w:tcPr>
            <w:tcW w:w="779" w:type="dxa"/>
          </w:tcPr>
          <w:p>
            <w:pPr>
              <w:pStyle w:val="14"/>
              <w:spacing w:before="3"/>
              <w:jc w:val="left"/>
              <w:rPr>
                <w:rFonts w:ascii="黑体"/>
                <w:sz w:val="14"/>
              </w:rPr>
            </w:pPr>
          </w:p>
          <w:p>
            <w:pPr>
              <w:pStyle w:val="14"/>
              <w:ind w:right="173"/>
              <w:jc w:val="right"/>
              <w:rPr>
                <w:rFonts w:ascii="Times New Roman"/>
                <w:sz w:val="18"/>
              </w:rPr>
            </w:pPr>
            <w:r>
              <w:rPr>
                <w:rFonts w:ascii="Times New Roman"/>
                <w:sz w:val="18"/>
              </w:rPr>
              <w:t>273.6</w:t>
            </w:r>
          </w:p>
        </w:tc>
        <w:tc>
          <w:tcPr>
            <w:tcW w:w="1230" w:type="dxa"/>
            <w:vMerge w:val="restart"/>
          </w:tcPr>
          <w:p>
            <w:pPr>
              <w:pStyle w:val="14"/>
              <w:spacing w:before="2" w:line="242" w:lineRule="auto"/>
              <w:ind w:left="108" w:right="94"/>
              <w:jc w:val="both"/>
              <w:rPr>
                <w:sz w:val="18"/>
              </w:rPr>
            </w:pPr>
            <w:r>
              <w:rPr>
                <w:sz w:val="18"/>
              </w:rPr>
              <w:t>处 理 规 模</w:t>
            </w:r>
            <w:r>
              <w:rPr>
                <w:rFonts w:ascii="Times New Roman" w:eastAsia="Times New Roman"/>
                <w:spacing w:val="1"/>
                <w:sz w:val="18"/>
              </w:rPr>
              <w:t>3</w:t>
            </w:r>
            <w:r>
              <w:rPr>
                <w:rFonts w:ascii="Times New Roman" w:eastAsia="Times New Roman"/>
                <w:spacing w:val="-2"/>
                <w:sz w:val="18"/>
              </w:rPr>
              <w:t>7</w:t>
            </w:r>
            <w:r>
              <w:rPr>
                <w:rFonts w:ascii="Times New Roman" w:eastAsia="Times New Roman"/>
                <w:spacing w:val="1"/>
                <w:sz w:val="18"/>
              </w:rPr>
              <w:t>2</w:t>
            </w:r>
            <w:r>
              <w:rPr>
                <w:rFonts w:ascii="Times New Roman" w:eastAsia="Times New Roman"/>
                <w:spacing w:val="-2"/>
                <w:sz w:val="18"/>
              </w:rPr>
              <w:t>0</w:t>
            </w:r>
            <w:r>
              <w:rPr>
                <w:rFonts w:ascii="Times New Roman" w:eastAsia="Times New Roman"/>
                <w:spacing w:val="-1"/>
                <w:sz w:val="18"/>
              </w:rPr>
              <w:t>m</w:t>
            </w:r>
            <w:r>
              <w:rPr>
                <w:rFonts w:ascii="Times New Roman" w:eastAsia="Times New Roman"/>
                <w:w w:val="104"/>
                <w:position w:val="6"/>
                <w:sz w:val="11"/>
              </w:rPr>
              <w:t>3</w:t>
            </w:r>
            <w:r>
              <w:rPr>
                <w:rFonts w:ascii="Times New Roman" w:eastAsia="Times New Roman"/>
                <w:sz w:val="18"/>
              </w:rPr>
              <w:t>/</w:t>
            </w:r>
            <w:r>
              <w:rPr>
                <w:rFonts w:ascii="Times New Roman" w:eastAsia="Times New Roman"/>
                <w:spacing w:val="1"/>
                <w:sz w:val="18"/>
              </w:rPr>
              <w:t>d</w:t>
            </w:r>
            <w:r>
              <w:rPr>
                <w:spacing w:val="-29"/>
                <w:sz w:val="18"/>
              </w:rPr>
              <w:t>，主</w:t>
            </w:r>
            <w:r>
              <w:rPr>
                <w:spacing w:val="-14"/>
                <w:sz w:val="18"/>
              </w:rPr>
              <w:t>体工艺：调节</w:t>
            </w:r>
          </w:p>
          <w:p>
            <w:pPr>
              <w:pStyle w:val="14"/>
              <w:spacing w:line="230" w:lineRule="exact"/>
              <w:ind w:left="108"/>
              <w:jc w:val="left"/>
              <w:rPr>
                <w:sz w:val="18"/>
              </w:rPr>
            </w:pPr>
            <w:r>
              <w:rPr>
                <w:rFonts w:ascii="Times New Roman" w:eastAsia="Times New Roman"/>
                <w:spacing w:val="-15"/>
                <w:sz w:val="18"/>
              </w:rPr>
              <w:t xml:space="preserve">+ </w:t>
            </w:r>
            <w:r>
              <w:rPr>
                <w:spacing w:val="19"/>
                <w:sz w:val="18"/>
              </w:rPr>
              <w:t>絮凝</w:t>
            </w:r>
            <w:r>
              <w:rPr>
                <w:rFonts w:ascii="Times New Roman" w:eastAsia="Times New Roman"/>
                <w:spacing w:val="-14"/>
                <w:sz w:val="18"/>
              </w:rPr>
              <w:t xml:space="preserve">+ </w:t>
            </w:r>
            <w:r>
              <w:rPr>
                <w:spacing w:val="9"/>
                <w:sz w:val="18"/>
              </w:rPr>
              <w:t>沉淀</w:t>
            </w:r>
          </w:p>
          <w:p>
            <w:pPr>
              <w:pStyle w:val="14"/>
              <w:spacing w:before="5" w:line="230" w:lineRule="atLeast"/>
              <w:ind w:left="108" w:right="5"/>
              <w:jc w:val="left"/>
              <w:rPr>
                <w:sz w:val="18"/>
              </w:rPr>
            </w:pPr>
            <w:r>
              <w:rPr>
                <w:rFonts w:ascii="Times New Roman" w:eastAsia="Times New Roman"/>
                <w:sz w:val="18"/>
              </w:rPr>
              <w:t>+</w:t>
            </w:r>
            <w:r>
              <w:rPr>
                <w:sz w:val="18"/>
              </w:rPr>
              <w:t>过滤</w:t>
            </w:r>
            <w:r>
              <w:rPr>
                <w:rFonts w:ascii="Times New Roman" w:eastAsia="Times New Roman"/>
                <w:sz w:val="18"/>
              </w:rPr>
              <w:t>+</w:t>
            </w:r>
            <w:r>
              <w:rPr>
                <w:sz w:val="18"/>
              </w:rPr>
              <w:t>消毒， 部分回用，部分外排。</w:t>
            </w:r>
          </w:p>
        </w:tc>
        <w:tc>
          <w:tcPr>
            <w:tcW w:w="577" w:type="dxa"/>
          </w:tcPr>
          <w:p>
            <w:pPr>
              <w:pStyle w:val="14"/>
              <w:spacing w:before="3"/>
              <w:jc w:val="left"/>
              <w:rPr>
                <w:rFonts w:ascii="黑体"/>
                <w:sz w:val="14"/>
              </w:rPr>
            </w:pPr>
          </w:p>
          <w:p>
            <w:pPr>
              <w:pStyle w:val="14"/>
              <w:ind w:left="198"/>
              <w:jc w:val="left"/>
              <w:rPr>
                <w:rFonts w:ascii="Times New Roman"/>
                <w:sz w:val="18"/>
              </w:rPr>
            </w:pPr>
            <w:r>
              <w:rPr>
                <w:rFonts w:ascii="Times New Roman"/>
                <w:sz w:val="18"/>
              </w:rPr>
              <w:t>90</w:t>
            </w:r>
          </w:p>
        </w:tc>
        <w:tc>
          <w:tcPr>
            <w:tcW w:w="353" w:type="dxa"/>
            <w:vMerge w:val="restart"/>
          </w:tcPr>
          <w:p>
            <w:pPr>
              <w:pStyle w:val="14"/>
              <w:jc w:val="left"/>
              <w:rPr>
                <w:rFonts w:ascii="黑体"/>
                <w:sz w:val="18"/>
              </w:rPr>
            </w:pPr>
          </w:p>
          <w:p>
            <w:pPr>
              <w:pStyle w:val="14"/>
              <w:jc w:val="left"/>
              <w:rPr>
                <w:rFonts w:ascii="黑体"/>
                <w:sz w:val="18"/>
              </w:rPr>
            </w:pPr>
          </w:p>
          <w:p>
            <w:pPr>
              <w:pStyle w:val="14"/>
              <w:jc w:val="left"/>
              <w:rPr>
                <w:rFonts w:ascii="黑体"/>
                <w:sz w:val="18"/>
              </w:rPr>
            </w:pPr>
          </w:p>
          <w:p>
            <w:pPr>
              <w:pStyle w:val="14"/>
              <w:jc w:val="left"/>
              <w:rPr>
                <w:rFonts w:ascii="黑体"/>
                <w:sz w:val="18"/>
              </w:rPr>
            </w:pPr>
          </w:p>
          <w:p>
            <w:pPr>
              <w:pStyle w:val="14"/>
              <w:jc w:val="left"/>
              <w:rPr>
                <w:rFonts w:ascii="黑体"/>
                <w:sz w:val="18"/>
              </w:rPr>
            </w:pPr>
          </w:p>
          <w:p>
            <w:pPr>
              <w:pStyle w:val="14"/>
              <w:jc w:val="left"/>
              <w:rPr>
                <w:rFonts w:ascii="黑体"/>
                <w:sz w:val="18"/>
              </w:rPr>
            </w:pPr>
          </w:p>
          <w:p>
            <w:pPr>
              <w:pStyle w:val="14"/>
              <w:spacing w:before="10"/>
              <w:jc w:val="left"/>
              <w:rPr>
                <w:rFonts w:ascii="黑体"/>
                <w:sz w:val="15"/>
              </w:rPr>
            </w:pPr>
          </w:p>
          <w:p>
            <w:pPr>
              <w:pStyle w:val="14"/>
              <w:spacing w:line="242" w:lineRule="auto"/>
              <w:ind w:left="108" w:right="52"/>
              <w:jc w:val="both"/>
              <w:rPr>
                <w:sz w:val="18"/>
              </w:rPr>
            </w:pPr>
            <w:r>
              <w:rPr>
                <w:sz w:val="18"/>
              </w:rPr>
              <w:t>类比法</w:t>
            </w:r>
          </w:p>
        </w:tc>
        <w:tc>
          <w:tcPr>
            <w:tcW w:w="793" w:type="dxa"/>
            <w:vMerge w:val="restart"/>
          </w:tcPr>
          <w:p>
            <w:pPr>
              <w:pStyle w:val="14"/>
              <w:jc w:val="left"/>
              <w:rPr>
                <w:rFonts w:ascii="黑体"/>
                <w:sz w:val="20"/>
              </w:rPr>
            </w:pPr>
          </w:p>
          <w:p>
            <w:pPr>
              <w:pStyle w:val="14"/>
              <w:spacing w:before="7"/>
              <w:jc w:val="left"/>
              <w:rPr>
                <w:rFonts w:ascii="黑体"/>
                <w:sz w:val="27"/>
              </w:rPr>
            </w:pPr>
          </w:p>
          <w:p>
            <w:pPr>
              <w:pStyle w:val="14"/>
              <w:spacing w:line="207" w:lineRule="exact"/>
              <w:ind w:left="118" w:right="108"/>
              <w:rPr>
                <w:rFonts w:ascii="Times New Roman"/>
                <w:sz w:val="18"/>
              </w:rPr>
            </w:pPr>
            <w:r>
              <w:rPr>
                <w:rFonts w:ascii="Times New Roman"/>
                <w:sz w:val="18"/>
              </w:rPr>
              <w:t>1435.6</w:t>
            </w:r>
          </w:p>
          <w:p>
            <w:pPr>
              <w:pStyle w:val="14"/>
              <w:spacing w:line="207" w:lineRule="exact"/>
              <w:ind w:left="8"/>
              <w:rPr>
                <w:rFonts w:ascii="Times New Roman"/>
                <w:sz w:val="18"/>
              </w:rPr>
            </w:pPr>
            <w:r>
              <w:rPr>
                <w:rFonts w:ascii="Times New Roman"/>
                <w:sz w:val="18"/>
              </w:rPr>
              <w:t>8</w:t>
            </w:r>
          </w:p>
        </w:tc>
        <w:tc>
          <w:tcPr>
            <w:tcW w:w="837" w:type="dxa"/>
          </w:tcPr>
          <w:p>
            <w:pPr>
              <w:pStyle w:val="14"/>
              <w:spacing w:before="3"/>
              <w:jc w:val="left"/>
              <w:rPr>
                <w:rFonts w:ascii="黑体"/>
                <w:sz w:val="14"/>
              </w:rPr>
            </w:pPr>
          </w:p>
          <w:p>
            <w:pPr>
              <w:pStyle w:val="14"/>
              <w:ind w:left="236" w:right="226"/>
              <w:rPr>
                <w:rFonts w:ascii="Times New Roman"/>
                <w:sz w:val="18"/>
              </w:rPr>
            </w:pPr>
            <w:r>
              <w:rPr>
                <w:rFonts w:ascii="Times New Roman"/>
                <w:sz w:val="18"/>
              </w:rPr>
              <w:t>15</w:t>
            </w:r>
          </w:p>
        </w:tc>
        <w:tc>
          <w:tcPr>
            <w:tcW w:w="779" w:type="dxa"/>
          </w:tcPr>
          <w:p>
            <w:pPr>
              <w:pStyle w:val="14"/>
              <w:spacing w:before="3"/>
              <w:jc w:val="left"/>
              <w:rPr>
                <w:rFonts w:ascii="黑体"/>
                <w:sz w:val="14"/>
              </w:rPr>
            </w:pPr>
          </w:p>
          <w:p>
            <w:pPr>
              <w:pStyle w:val="14"/>
              <w:ind w:left="99" w:right="88"/>
              <w:rPr>
                <w:rFonts w:ascii="Times New Roman"/>
                <w:sz w:val="18"/>
              </w:rPr>
            </w:pPr>
            <w:r>
              <w:rPr>
                <w:rFonts w:ascii="Times New Roman"/>
                <w:sz w:val="18"/>
              </w:rPr>
              <w:t>21.54</w:t>
            </w:r>
          </w:p>
        </w:tc>
        <w:tc>
          <w:tcPr>
            <w:tcW w:w="618" w:type="dxa"/>
            <w:vMerge w:val="restart"/>
          </w:tcPr>
          <w:p>
            <w:pPr>
              <w:pStyle w:val="14"/>
              <w:jc w:val="left"/>
              <w:rPr>
                <w:rFonts w:ascii="黑体"/>
                <w:sz w:val="20"/>
              </w:rPr>
            </w:pPr>
          </w:p>
          <w:p>
            <w:pPr>
              <w:pStyle w:val="14"/>
              <w:jc w:val="left"/>
              <w:rPr>
                <w:rFonts w:ascii="黑体"/>
                <w:sz w:val="20"/>
              </w:rPr>
            </w:pPr>
          </w:p>
          <w:p>
            <w:pPr>
              <w:pStyle w:val="14"/>
              <w:jc w:val="left"/>
              <w:rPr>
                <w:rFonts w:ascii="黑体"/>
                <w:sz w:val="20"/>
              </w:rPr>
            </w:pPr>
          </w:p>
          <w:p>
            <w:pPr>
              <w:pStyle w:val="14"/>
              <w:jc w:val="left"/>
              <w:rPr>
                <w:rFonts w:ascii="黑体"/>
                <w:sz w:val="20"/>
              </w:rPr>
            </w:pPr>
          </w:p>
          <w:p>
            <w:pPr>
              <w:pStyle w:val="14"/>
              <w:jc w:val="left"/>
              <w:rPr>
                <w:rFonts w:ascii="黑体"/>
                <w:sz w:val="20"/>
              </w:rPr>
            </w:pPr>
          </w:p>
          <w:p>
            <w:pPr>
              <w:pStyle w:val="14"/>
              <w:jc w:val="left"/>
              <w:rPr>
                <w:rFonts w:ascii="黑体"/>
                <w:sz w:val="20"/>
              </w:rPr>
            </w:pPr>
          </w:p>
          <w:p>
            <w:pPr>
              <w:pStyle w:val="14"/>
              <w:spacing w:before="11"/>
              <w:jc w:val="left"/>
              <w:rPr>
                <w:rFonts w:ascii="黑体"/>
                <w:sz w:val="22"/>
              </w:rPr>
            </w:pPr>
          </w:p>
          <w:p>
            <w:pPr>
              <w:pStyle w:val="14"/>
              <w:spacing w:before="1"/>
              <w:ind w:left="173"/>
              <w:jc w:val="left"/>
              <w:rPr>
                <w:rFonts w:ascii="Times New Roman"/>
                <w:sz w:val="18"/>
              </w:rPr>
            </w:pPr>
            <w:r>
              <w:rPr>
                <w:rFonts w:ascii="Times New Roman"/>
                <w:sz w:val="18"/>
              </w:rPr>
              <w:t>180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390" w:type="dxa"/>
            <w:vMerge w:val="continue"/>
            <w:tcBorders>
              <w:top w:val="nil"/>
            </w:tcBorders>
          </w:tcPr>
          <w:p>
            <w:pPr>
              <w:rPr>
                <w:sz w:val="2"/>
                <w:szCs w:val="2"/>
              </w:rPr>
            </w:pPr>
          </w:p>
        </w:tc>
        <w:tc>
          <w:tcPr>
            <w:tcW w:w="717" w:type="dxa"/>
          </w:tcPr>
          <w:p>
            <w:pPr>
              <w:pStyle w:val="14"/>
              <w:spacing w:before="138"/>
              <w:ind w:left="118" w:right="108"/>
              <w:rPr>
                <w:rFonts w:ascii="Times New Roman"/>
                <w:sz w:val="18"/>
              </w:rPr>
            </w:pPr>
            <w:r>
              <w:rPr>
                <w:rFonts w:ascii="Times New Roman"/>
                <w:sz w:val="18"/>
              </w:rPr>
              <w:t>SS</w:t>
            </w: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138"/>
              <w:ind w:left="232" w:right="226"/>
              <w:rPr>
                <w:rFonts w:ascii="Times New Roman"/>
                <w:sz w:val="18"/>
              </w:rPr>
            </w:pPr>
            <w:r>
              <w:rPr>
                <w:rFonts w:ascii="Times New Roman"/>
                <w:sz w:val="18"/>
              </w:rPr>
              <w:t>400</w:t>
            </w:r>
          </w:p>
        </w:tc>
        <w:tc>
          <w:tcPr>
            <w:tcW w:w="779" w:type="dxa"/>
          </w:tcPr>
          <w:p>
            <w:pPr>
              <w:pStyle w:val="14"/>
              <w:spacing w:before="138"/>
              <w:ind w:right="173"/>
              <w:jc w:val="right"/>
              <w:rPr>
                <w:rFonts w:ascii="Times New Roman"/>
                <w:sz w:val="18"/>
              </w:rPr>
            </w:pPr>
            <w:r>
              <w:rPr>
                <w:rFonts w:ascii="Times New Roman"/>
                <w:sz w:val="18"/>
              </w:rPr>
              <w:t>729.6</w:t>
            </w:r>
          </w:p>
        </w:tc>
        <w:tc>
          <w:tcPr>
            <w:tcW w:w="1230" w:type="dxa"/>
            <w:vMerge w:val="continue"/>
            <w:tcBorders>
              <w:top w:val="nil"/>
            </w:tcBorders>
          </w:tcPr>
          <w:p>
            <w:pPr>
              <w:rPr>
                <w:sz w:val="2"/>
                <w:szCs w:val="2"/>
              </w:rPr>
            </w:pPr>
          </w:p>
        </w:tc>
        <w:tc>
          <w:tcPr>
            <w:tcW w:w="577" w:type="dxa"/>
          </w:tcPr>
          <w:p>
            <w:pPr>
              <w:pStyle w:val="14"/>
              <w:spacing w:before="138"/>
              <w:ind w:left="198"/>
              <w:jc w:val="left"/>
              <w:rPr>
                <w:rFonts w:ascii="Times New Roman"/>
                <w:sz w:val="18"/>
              </w:rPr>
            </w:pPr>
            <w:r>
              <w:rPr>
                <w:rFonts w:ascii="Times New Roman"/>
                <w:sz w:val="18"/>
              </w:rPr>
              <w:t>90</w:t>
            </w: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138"/>
              <w:ind w:left="233" w:right="226"/>
              <w:rPr>
                <w:rFonts w:ascii="Times New Roman"/>
                <w:sz w:val="18"/>
              </w:rPr>
            </w:pPr>
            <w:r>
              <w:rPr>
                <w:rFonts w:ascii="Times New Roman"/>
                <w:sz w:val="18"/>
              </w:rPr>
              <w:t>40</w:t>
            </w:r>
          </w:p>
        </w:tc>
        <w:tc>
          <w:tcPr>
            <w:tcW w:w="779" w:type="dxa"/>
          </w:tcPr>
          <w:p>
            <w:pPr>
              <w:pStyle w:val="14"/>
              <w:spacing w:before="138"/>
              <w:ind w:left="99" w:right="88"/>
              <w:rPr>
                <w:rFonts w:ascii="Times New Roman"/>
                <w:sz w:val="18"/>
              </w:rPr>
            </w:pPr>
            <w:r>
              <w:rPr>
                <w:rFonts w:ascii="Times New Roman"/>
                <w:sz w:val="18"/>
              </w:rPr>
              <w:t>57.43</w:t>
            </w:r>
          </w:p>
        </w:tc>
        <w:tc>
          <w:tcPr>
            <w:tcW w:w="61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390" w:type="dxa"/>
            <w:vMerge w:val="continue"/>
            <w:tcBorders>
              <w:top w:val="nil"/>
            </w:tcBorders>
          </w:tcPr>
          <w:p>
            <w:pPr>
              <w:rPr>
                <w:sz w:val="2"/>
                <w:szCs w:val="2"/>
              </w:rPr>
            </w:pPr>
          </w:p>
        </w:tc>
        <w:tc>
          <w:tcPr>
            <w:tcW w:w="717" w:type="dxa"/>
          </w:tcPr>
          <w:p>
            <w:pPr>
              <w:pStyle w:val="14"/>
              <w:spacing w:before="45" w:line="242" w:lineRule="auto"/>
              <w:ind w:left="267" w:right="168" w:hanging="92"/>
              <w:jc w:val="left"/>
              <w:rPr>
                <w:sz w:val="18"/>
              </w:rPr>
            </w:pPr>
            <w:r>
              <w:rPr>
                <w:sz w:val="18"/>
              </w:rPr>
              <w:t>石油类</w:t>
            </w: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173"/>
              <w:ind w:left="8"/>
              <w:rPr>
                <w:rFonts w:ascii="Times New Roman"/>
                <w:sz w:val="18"/>
              </w:rPr>
            </w:pPr>
            <w:r>
              <w:rPr>
                <w:rFonts w:ascii="Times New Roman"/>
                <w:sz w:val="18"/>
              </w:rPr>
              <w:t>2</w:t>
            </w:r>
          </w:p>
        </w:tc>
        <w:tc>
          <w:tcPr>
            <w:tcW w:w="779" w:type="dxa"/>
          </w:tcPr>
          <w:p>
            <w:pPr>
              <w:pStyle w:val="14"/>
              <w:spacing w:before="173"/>
              <w:ind w:right="173"/>
              <w:jc w:val="right"/>
              <w:rPr>
                <w:rFonts w:ascii="Times New Roman"/>
                <w:sz w:val="18"/>
              </w:rPr>
            </w:pPr>
            <w:r>
              <w:rPr>
                <w:rFonts w:ascii="Times New Roman"/>
                <w:sz w:val="18"/>
              </w:rPr>
              <w:t>3.648</w:t>
            </w:r>
          </w:p>
        </w:tc>
        <w:tc>
          <w:tcPr>
            <w:tcW w:w="1230" w:type="dxa"/>
            <w:vMerge w:val="continue"/>
            <w:tcBorders>
              <w:top w:val="nil"/>
            </w:tcBorders>
          </w:tcPr>
          <w:p>
            <w:pPr>
              <w:rPr>
                <w:sz w:val="2"/>
                <w:szCs w:val="2"/>
              </w:rPr>
            </w:pPr>
          </w:p>
        </w:tc>
        <w:tc>
          <w:tcPr>
            <w:tcW w:w="577" w:type="dxa"/>
          </w:tcPr>
          <w:p>
            <w:pPr>
              <w:pStyle w:val="14"/>
              <w:spacing w:before="173"/>
              <w:ind w:left="198"/>
              <w:jc w:val="left"/>
              <w:rPr>
                <w:rFonts w:ascii="Times New Roman"/>
                <w:sz w:val="18"/>
              </w:rPr>
            </w:pPr>
            <w:r>
              <w:rPr>
                <w:rFonts w:ascii="Times New Roman"/>
                <w:sz w:val="18"/>
              </w:rPr>
              <w:t>99</w:t>
            </w: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173"/>
              <w:ind w:left="236" w:right="226"/>
              <w:rPr>
                <w:rFonts w:ascii="Times New Roman"/>
                <w:sz w:val="18"/>
              </w:rPr>
            </w:pPr>
            <w:r>
              <w:rPr>
                <w:rFonts w:ascii="Times New Roman"/>
                <w:sz w:val="18"/>
              </w:rPr>
              <w:t>0.02</w:t>
            </w:r>
          </w:p>
        </w:tc>
        <w:tc>
          <w:tcPr>
            <w:tcW w:w="779" w:type="dxa"/>
          </w:tcPr>
          <w:p>
            <w:pPr>
              <w:pStyle w:val="14"/>
              <w:spacing w:before="173"/>
              <w:ind w:left="99" w:right="88"/>
              <w:rPr>
                <w:rFonts w:ascii="Times New Roman"/>
                <w:sz w:val="18"/>
              </w:rPr>
            </w:pPr>
            <w:r>
              <w:rPr>
                <w:rFonts w:ascii="Times New Roman"/>
                <w:sz w:val="18"/>
              </w:rPr>
              <w:t>0.03</w:t>
            </w:r>
          </w:p>
        </w:tc>
        <w:tc>
          <w:tcPr>
            <w:tcW w:w="61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390" w:type="dxa"/>
            <w:vMerge w:val="restart"/>
          </w:tcPr>
          <w:p>
            <w:pPr>
              <w:pStyle w:val="14"/>
              <w:jc w:val="left"/>
              <w:rPr>
                <w:rFonts w:ascii="黑体"/>
                <w:sz w:val="18"/>
              </w:rPr>
            </w:pPr>
          </w:p>
          <w:p>
            <w:pPr>
              <w:pStyle w:val="14"/>
              <w:jc w:val="left"/>
              <w:rPr>
                <w:rFonts w:ascii="黑体"/>
                <w:sz w:val="18"/>
              </w:rPr>
            </w:pPr>
          </w:p>
          <w:p>
            <w:pPr>
              <w:pStyle w:val="14"/>
              <w:spacing w:before="7"/>
              <w:jc w:val="left"/>
              <w:rPr>
                <w:rFonts w:ascii="黑体"/>
                <w:sz w:val="14"/>
              </w:rPr>
            </w:pPr>
          </w:p>
          <w:p>
            <w:pPr>
              <w:pStyle w:val="14"/>
              <w:spacing w:line="242" w:lineRule="auto"/>
              <w:ind w:left="108" w:right="89"/>
              <w:jc w:val="both"/>
              <w:rPr>
                <w:sz w:val="18"/>
              </w:rPr>
            </w:pPr>
            <w:r>
              <w:rPr>
                <w:sz w:val="18"/>
              </w:rPr>
              <w:t>生活污水</w:t>
            </w:r>
          </w:p>
        </w:tc>
        <w:tc>
          <w:tcPr>
            <w:tcW w:w="717" w:type="dxa"/>
          </w:tcPr>
          <w:p>
            <w:pPr>
              <w:pStyle w:val="14"/>
              <w:spacing w:before="129"/>
              <w:ind w:left="119" w:right="108"/>
              <w:rPr>
                <w:rFonts w:ascii="Times New Roman"/>
                <w:sz w:val="18"/>
              </w:rPr>
            </w:pPr>
            <w:r>
              <w:rPr>
                <w:rFonts w:ascii="Times New Roman"/>
                <w:sz w:val="18"/>
              </w:rPr>
              <w:t>COD</w:t>
            </w:r>
          </w:p>
        </w:tc>
        <w:tc>
          <w:tcPr>
            <w:tcW w:w="353" w:type="dxa"/>
            <w:vMerge w:val="continue"/>
            <w:tcBorders>
              <w:top w:val="nil"/>
            </w:tcBorders>
          </w:tcPr>
          <w:p>
            <w:pPr>
              <w:rPr>
                <w:sz w:val="2"/>
                <w:szCs w:val="2"/>
              </w:rPr>
            </w:pPr>
          </w:p>
        </w:tc>
        <w:tc>
          <w:tcPr>
            <w:tcW w:w="793" w:type="dxa"/>
            <w:vMerge w:val="restart"/>
          </w:tcPr>
          <w:p>
            <w:pPr>
              <w:pStyle w:val="14"/>
              <w:jc w:val="left"/>
              <w:rPr>
                <w:rFonts w:ascii="黑体"/>
                <w:sz w:val="20"/>
              </w:rPr>
            </w:pPr>
          </w:p>
          <w:p>
            <w:pPr>
              <w:pStyle w:val="14"/>
              <w:jc w:val="left"/>
              <w:rPr>
                <w:rFonts w:ascii="黑体"/>
                <w:sz w:val="20"/>
              </w:rPr>
            </w:pPr>
          </w:p>
          <w:p>
            <w:pPr>
              <w:pStyle w:val="14"/>
              <w:jc w:val="left"/>
              <w:rPr>
                <w:rFonts w:ascii="黑体"/>
                <w:sz w:val="20"/>
              </w:rPr>
            </w:pPr>
          </w:p>
          <w:p>
            <w:pPr>
              <w:pStyle w:val="14"/>
              <w:spacing w:before="11"/>
              <w:jc w:val="left"/>
              <w:rPr>
                <w:rFonts w:ascii="黑体"/>
                <w:sz w:val="18"/>
              </w:rPr>
            </w:pPr>
          </w:p>
          <w:p>
            <w:pPr>
              <w:pStyle w:val="14"/>
              <w:ind w:left="193"/>
              <w:jc w:val="left"/>
              <w:rPr>
                <w:rFonts w:ascii="Times New Roman"/>
                <w:sz w:val="18"/>
              </w:rPr>
            </w:pPr>
            <w:r>
              <w:rPr>
                <w:rFonts w:ascii="Times New Roman"/>
                <w:sz w:val="18"/>
              </w:rPr>
              <w:t>86.92</w:t>
            </w:r>
          </w:p>
        </w:tc>
        <w:tc>
          <w:tcPr>
            <w:tcW w:w="837" w:type="dxa"/>
          </w:tcPr>
          <w:p>
            <w:pPr>
              <w:pStyle w:val="14"/>
              <w:spacing w:before="129"/>
              <w:ind w:left="232" w:right="226"/>
              <w:rPr>
                <w:rFonts w:ascii="Times New Roman"/>
                <w:sz w:val="18"/>
              </w:rPr>
            </w:pPr>
            <w:r>
              <w:rPr>
                <w:rFonts w:ascii="Times New Roman"/>
                <w:sz w:val="18"/>
              </w:rPr>
              <w:t>300</w:t>
            </w:r>
          </w:p>
        </w:tc>
        <w:tc>
          <w:tcPr>
            <w:tcW w:w="779" w:type="dxa"/>
          </w:tcPr>
          <w:p>
            <w:pPr>
              <w:pStyle w:val="14"/>
              <w:spacing w:before="129"/>
              <w:ind w:right="173"/>
              <w:jc w:val="right"/>
              <w:rPr>
                <w:rFonts w:ascii="Times New Roman"/>
                <w:sz w:val="18"/>
              </w:rPr>
            </w:pPr>
            <w:r>
              <w:rPr>
                <w:rFonts w:ascii="Times New Roman"/>
                <w:sz w:val="18"/>
              </w:rPr>
              <w:t>26.08</w:t>
            </w:r>
          </w:p>
        </w:tc>
        <w:tc>
          <w:tcPr>
            <w:tcW w:w="1230" w:type="dxa"/>
            <w:vMerge w:val="restart"/>
          </w:tcPr>
          <w:p>
            <w:pPr>
              <w:pStyle w:val="14"/>
              <w:spacing w:before="3"/>
              <w:jc w:val="left"/>
              <w:rPr>
                <w:rFonts w:ascii="黑体"/>
                <w:sz w:val="23"/>
              </w:rPr>
            </w:pPr>
          </w:p>
          <w:p>
            <w:pPr>
              <w:pStyle w:val="14"/>
              <w:spacing w:line="242" w:lineRule="auto"/>
              <w:ind w:left="108" w:right="94"/>
              <w:jc w:val="both"/>
              <w:rPr>
                <w:sz w:val="18"/>
              </w:rPr>
            </w:pPr>
            <w:r>
              <w:rPr>
                <w:sz w:val="18"/>
              </w:rPr>
              <w:t>处 理 规 模</w:t>
            </w:r>
            <w:r>
              <w:rPr>
                <w:rFonts w:ascii="Times New Roman" w:eastAsia="Times New Roman"/>
                <w:sz w:val="18"/>
              </w:rPr>
              <w:t>360m</w:t>
            </w:r>
            <w:r>
              <w:rPr>
                <w:rFonts w:ascii="Times New Roman" w:eastAsia="Times New Roman"/>
                <w:position w:val="6"/>
                <w:sz w:val="11"/>
              </w:rPr>
              <w:t>3</w:t>
            </w:r>
            <w:r>
              <w:rPr>
                <w:rFonts w:ascii="Times New Roman" w:eastAsia="Times New Roman"/>
                <w:sz w:val="18"/>
              </w:rPr>
              <w:t>/d</w:t>
            </w:r>
            <w:r>
              <w:rPr>
                <w:rFonts w:ascii="Times New Roman" w:eastAsia="Times New Roman"/>
                <w:spacing w:val="-23"/>
                <w:sz w:val="18"/>
              </w:rPr>
              <w:t xml:space="preserve"> </w:t>
            </w:r>
            <w:r>
              <w:rPr>
                <w:spacing w:val="-27"/>
                <w:sz w:val="18"/>
              </w:rPr>
              <w:t>， 经</w:t>
            </w:r>
            <w:r>
              <w:rPr>
                <w:spacing w:val="19"/>
                <w:sz w:val="18"/>
              </w:rPr>
              <w:t>二级生物处</w:t>
            </w:r>
            <w:r>
              <w:rPr>
                <w:spacing w:val="-15"/>
                <w:sz w:val="18"/>
              </w:rPr>
              <w:t>理后，回用于生产、工业场</w:t>
            </w:r>
            <w:r>
              <w:rPr>
                <w:spacing w:val="19"/>
                <w:sz w:val="18"/>
              </w:rPr>
              <w:t>地绿化洒水</w:t>
            </w:r>
            <w:r>
              <w:rPr>
                <w:sz w:val="18"/>
              </w:rPr>
              <w:t>用水</w:t>
            </w:r>
          </w:p>
        </w:tc>
        <w:tc>
          <w:tcPr>
            <w:tcW w:w="577" w:type="dxa"/>
          </w:tcPr>
          <w:p>
            <w:pPr>
              <w:pStyle w:val="14"/>
              <w:spacing w:before="129"/>
              <w:ind w:left="198"/>
              <w:jc w:val="left"/>
              <w:rPr>
                <w:rFonts w:ascii="Times New Roman"/>
                <w:sz w:val="18"/>
              </w:rPr>
            </w:pPr>
            <w:r>
              <w:rPr>
                <w:rFonts w:ascii="Times New Roman"/>
                <w:sz w:val="18"/>
              </w:rPr>
              <w:t>90</w:t>
            </w:r>
          </w:p>
        </w:tc>
        <w:tc>
          <w:tcPr>
            <w:tcW w:w="353" w:type="dxa"/>
            <w:vMerge w:val="continue"/>
            <w:tcBorders>
              <w:top w:val="nil"/>
            </w:tcBorders>
          </w:tcPr>
          <w:p>
            <w:pPr>
              <w:rPr>
                <w:sz w:val="2"/>
                <w:szCs w:val="2"/>
              </w:rPr>
            </w:pPr>
          </w:p>
        </w:tc>
        <w:tc>
          <w:tcPr>
            <w:tcW w:w="793" w:type="dxa"/>
            <w:vMerge w:val="restart"/>
          </w:tcPr>
          <w:p>
            <w:pPr>
              <w:pStyle w:val="14"/>
              <w:jc w:val="left"/>
              <w:rPr>
                <w:rFonts w:ascii="黑体"/>
                <w:sz w:val="20"/>
              </w:rPr>
            </w:pPr>
          </w:p>
          <w:p>
            <w:pPr>
              <w:pStyle w:val="14"/>
              <w:jc w:val="left"/>
              <w:rPr>
                <w:rFonts w:ascii="黑体"/>
                <w:sz w:val="20"/>
              </w:rPr>
            </w:pPr>
          </w:p>
          <w:p>
            <w:pPr>
              <w:pStyle w:val="14"/>
              <w:jc w:val="left"/>
              <w:rPr>
                <w:rFonts w:ascii="黑体"/>
                <w:sz w:val="20"/>
              </w:rPr>
            </w:pPr>
          </w:p>
          <w:p>
            <w:pPr>
              <w:pStyle w:val="14"/>
              <w:spacing w:before="11"/>
              <w:jc w:val="left"/>
              <w:rPr>
                <w:rFonts w:ascii="黑体"/>
                <w:sz w:val="18"/>
              </w:rPr>
            </w:pPr>
          </w:p>
          <w:p>
            <w:pPr>
              <w:pStyle w:val="14"/>
              <w:ind w:left="6"/>
              <w:rPr>
                <w:rFonts w:ascii="Times New Roman"/>
                <w:sz w:val="18"/>
              </w:rPr>
            </w:pPr>
            <w:r>
              <w:rPr>
                <w:rFonts w:ascii="Times New Roman"/>
                <w:sz w:val="18"/>
              </w:rPr>
              <w:t>/</w:t>
            </w:r>
          </w:p>
        </w:tc>
        <w:tc>
          <w:tcPr>
            <w:tcW w:w="837" w:type="dxa"/>
          </w:tcPr>
          <w:p>
            <w:pPr>
              <w:pStyle w:val="14"/>
              <w:spacing w:before="129"/>
              <w:ind w:left="236" w:right="226"/>
              <w:rPr>
                <w:rFonts w:ascii="Times New Roman"/>
                <w:sz w:val="18"/>
              </w:rPr>
            </w:pPr>
            <w:r>
              <w:rPr>
                <w:rFonts w:ascii="Times New Roman"/>
                <w:sz w:val="18"/>
              </w:rPr>
              <w:t>30</w:t>
            </w:r>
          </w:p>
        </w:tc>
        <w:tc>
          <w:tcPr>
            <w:tcW w:w="779" w:type="dxa"/>
          </w:tcPr>
          <w:p>
            <w:pPr>
              <w:pStyle w:val="14"/>
              <w:spacing w:before="129"/>
              <w:ind w:left="6"/>
              <w:rPr>
                <w:rFonts w:ascii="Times New Roman"/>
                <w:sz w:val="18"/>
              </w:rPr>
            </w:pPr>
            <w:r>
              <w:rPr>
                <w:rFonts w:ascii="Times New Roman"/>
                <w:sz w:val="18"/>
              </w:rPr>
              <w:t>0</w:t>
            </w:r>
          </w:p>
        </w:tc>
        <w:tc>
          <w:tcPr>
            <w:tcW w:w="61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390" w:type="dxa"/>
            <w:vMerge w:val="continue"/>
            <w:tcBorders>
              <w:top w:val="nil"/>
            </w:tcBorders>
          </w:tcPr>
          <w:p>
            <w:pPr>
              <w:rPr>
                <w:sz w:val="2"/>
                <w:szCs w:val="2"/>
              </w:rPr>
            </w:pPr>
          </w:p>
        </w:tc>
        <w:tc>
          <w:tcPr>
            <w:tcW w:w="717" w:type="dxa"/>
          </w:tcPr>
          <w:p>
            <w:pPr>
              <w:pStyle w:val="14"/>
              <w:spacing w:before="119"/>
              <w:ind w:left="119" w:right="108"/>
              <w:rPr>
                <w:rFonts w:ascii="Times New Roman"/>
                <w:sz w:val="18"/>
              </w:rPr>
            </w:pPr>
            <w:r>
              <w:rPr>
                <w:rFonts w:ascii="Times New Roman"/>
                <w:position w:val="1"/>
                <w:sz w:val="18"/>
              </w:rPr>
              <w:t>BOD</w:t>
            </w:r>
            <w:r>
              <w:rPr>
                <w:rFonts w:ascii="Times New Roman"/>
                <w:position w:val="1"/>
                <w:sz w:val="18"/>
                <w:vertAlign w:val="subscript"/>
              </w:rPr>
              <w:t>5</w:t>
            </w: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114"/>
              <w:ind w:left="232" w:right="226"/>
              <w:rPr>
                <w:rFonts w:ascii="Times New Roman"/>
                <w:sz w:val="18"/>
              </w:rPr>
            </w:pPr>
            <w:r>
              <w:rPr>
                <w:rFonts w:ascii="Times New Roman"/>
                <w:sz w:val="18"/>
              </w:rPr>
              <w:t>200</w:t>
            </w:r>
          </w:p>
        </w:tc>
        <w:tc>
          <w:tcPr>
            <w:tcW w:w="779" w:type="dxa"/>
          </w:tcPr>
          <w:p>
            <w:pPr>
              <w:pStyle w:val="14"/>
              <w:spacing w:before="114"/>
              <w:ind w:right="173"/>
              <w:jc w:val="right"/>
              <w:rPr>
                <w:rFonts w:ascii="Times New Roman"/>
                <w:sz w:val="18"/>
              </w:rPr>
            </w:pPr>
            <w:r>
              <w:rPr>
                <w:rFonts w:ascii="Times New Roman"/>
                <w:sz w:val="18"/>
              </w:rPr>
              <w:t>17.38</w:t>
            </w:r>
          </w:p>
        </w:tc>
        <w:tc>
          <w:tcPr>
            <w:tcW w:w="1230" w:type="dxa"/>
            <w:vMerge w:val="continue"/>
            <w:tcBorders>
              <w:top w:val="nil"/>
            </w:tcBorders>
          </w:tcPr>
          <w:p>
            <w:pPr>
              <w:rPr>
                <w:sz w:val="2"/>
                <w:szCs w:val="2"/>
              </w:rPr>
            </w:pPr>
          </w:p>
        </w:tc>
        <w:tc>
          <w:tcPr>
            <w:tcW w:w="577" w:type="dxa"/>
          </w:tcPr>
          <w:p>
            <w:pPr>
              <w:pStyle w:val="14"/>
              <w:spacing w:before="114"/>
              <w:ind w:left="198"/>
              <w:jc w:val="left"/>
              <w:rPr>
                <w:rFonts w:ascii="Times New Roman"/>
                <w:sz w:val="18"/>
              </w:rPr>
            </w:pPr>
            <w:r>
              <w:rPr>
                <w:rFonts w:ascii="Times New Roman"/>
                <w:sz w:val="18"/>
              </w:rPr>
              <w:t>95</w:t>
            </w: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114"/>
              <w:ind w:left="236" w:right="226"/>
              <w:rPr>
                <w:rFonts w:ascii="Times New Roman"/>
                <w:sz w:val="18"/>
              </w:rPr>
            </w:pPr>
            <w:r>
              <w:rPr>
                <w:rFonts w:ascii="Times New Roman"/>
                <w:sz w:val="18"/>
              </w:rPr>
              <w:t>10</w:t>
            </w:r>
          </w:p>
        </w:tc>
        <w:tc>
          <w:tcPr>
            <w:tcW w:w="779" w:type="dxa"/>
          </w:tcPr>
          <w:p>
            <w:pPr>
              <w:pStyle w:val="14"/>
              <w:spacing w:before="114"/>
              <w:ind w:left="6"/>
              <w:rPr>
                <w:rFonts w:ascii="Times New Roman"/>
                <w:sz w:val="18"/>
              </w:rPr>
            </w:pPr>
            <w:r>
              <w:rPr>
                <w:rFonts w:ascii="Times New Roman"/>
                <w:sz w:val="18"/>
              </w:rPr>
              <w:t>0</w:t>
            </w:r>
          </w:p>
        </w:tc>
        <w:tc>
          <w:tcPr>
            <w:tcW w:w="61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390" w:type="dxa"/>
            <w:vMerge w:val="continue"/>
            <w:tcBorders>
              <w:top w:val="nil"/>
            </w:tcBorders>
          </w:tcPr>
          <w:p>
            <w:pPr>
              <w:rPr>
                <w:sz w:val="2"/>
                <w:szCs w:val="2"/>
              </w:rPr>
            </w:pPr>
          </w:p>
        </w:tc>
        <w:tc>
          <w:tcPr>
            <w:tcW w:w="717" w:type="dxa"/>
          </w:tcPr>
          <w:p>
            <w:pPr>
              <w:pStyle w:val="14"/>
              <w:spacing w:before="110"/>
              <w:ind w:left="118" w:right="108"/>
              <w:rPr>
                <w:rFonts w:ascii="Times New Roman"/>
                <w:sz w:val="18"/>
              </w:rPr>
            </w:pPr>
            <w:r>
              <w:rPr>
                <w:rFonts w:ascii="Times New Roman"/>
                <w:sz w:val="18"/>
              </w:rPr>
              <w:t>SS</w:t>
            </w: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110"/>
              <w:ind w:left="232" w:right="226"/>
              <w:rPr>
                <w:rFonts w:ascii="Times New Roman"/>
                <w:sz w:val="18"/>
              </w:rPr>
            </w:pPr>
            <w:r>
              <w:rPr>
                <w:rFonts w:ascii="Times New Roman"/>
                <w:sz w:val="18"/>
              </w:rPr>
              <w:t>200</w:t>
            </w:r>
          </w:p>
        </w:tc>
        <w:tc>
          <w:tcPr>
            <w:tcW w:w="779" w:type="dxa"/>
          </w:tcPr>
          <w:p>
            <w:pPr>
              <w:pStyle w:val="14"/>
              <w:spacing w:before="110"/>
              <w:ind w:right="173"/>
              <w:jc w:val="right"/>
              <w:rPr>
                <w:rFonts w:ascii="Times New Roman"/>
                <w:sz w:val="18"/>
              </w:rPr>
            </w:pPr>
            <w:r>
              <w:rPr>
                <w:rFonts w:ascii="Times New Roman"/>
                <w:sz w:val="18"/>
              </w:rPr>
              <w:t>17.38</w:t>
            </w:r>
          </w:p>
        </w:tc>
        <w:tc>
          <w:tcPr>
            <w:tcW w:w="1230" w:type="dxa"/>
            <w:vMerge w:val="continue"/>
            <w:tcBorders>
              <w:top w:val="nil"/>
            </w:tcBorders>
          </w:tcPr>
          <w:p>
            <w:pPr>
              <w:rPr>
                <w:sz w:val="2"/>
                <w:szCs w:val="2"/>
              </w:rPr>
            </w:pPr>
          </w:p>
        </w:tc>
        <w:tc>
          <w:tcPr>
            <w:tcW w:w="577" w:type="dxa"/>
          </w:tcPr>
          <w:p>
            <w:pPr>
              <w:pStyle w:val="14"/>
              <w:spacing w:before="110"/>
              <w:ind w:left="198"/>
              <w:jc w:val="left"/>
              <w:rPr>
                <w:rFonts w:ascii="Times New Roman"/>
                <w:sz w:val="18"/>
              </w:rPr>
            </w:pPr>
            <w:r>
              <w:rPr>
                <w:rFonts w:ascii="Times New Roman"/>
                <w:sz w:val="18"/>
              </w:rPr>
              <w:t>95</w:t>
            </w: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110"/>
              <w:ind w:left="236" w:right="226"/>
              <w:rPr>
                <w:rFonts w:ascii="Times New Roman"/>
                <w:sz w:val="18"/>
              </w:rPr>
            </w:pPr>
            <w:r>
              <w:rPr>
                <w:rFonts w:ascii="Times New Roman"/>
                <w:sz w:val="18"/>
              </w:rPr>
              <w:t>10</w:t>
            </w:r>
          </w:p>
        </w:tc>
        <w:tc>
          <w:tcPr>
            <w:tcW w:w="779" w:type="dxa"/>
          </w:tcPr>
          <w:p>
            <w:pPr>
              <w:pStyle w:val="14"/>
              <w:spacing w:before="110"/>
              <w:ind w:left="6"/>
              <w:rPr>
                <w:rFonts w:ascii="Times New Roman"/>
                <w:sz w:val="18"/>
              </w:rPr>
            </w:pPr>
            <w:r>
              <w:rPr>
                <w:rFonts w:ascii="Times New Roman"/>
                <w:sz w:val="18"/>
              </w:rPr>
              <w:t>0</w:t>
            </w:r>
          </w:p>
        </w:tc>
        <w:tc>
          <w:tcPr>
            <w:tcW w:w="61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390" w:type="dxa"/>
            <w:vMerge w:val="continue"/>
            <w:tcBorders>
              <w:top w:val="nil"/>
            </w:tcBorders>
          </w:tcPr>
          <w:p>
            <w:pPr>
              <w:rPr>
                <w:sz w:val="2"/>
                <w:szCs w:val="2"/>
              </w:rPr>
            </w:pPr>
          </w:p>
        </w:tc>
        <w:tc>
          <w:tcPr>
            <w:tcW w:w="717" w:type="dxa"/>
          </w:tcPr>
          <w:p>
            <w:pPr>
              <w:pStyle w:val="14"/>
              <w:spacing w:before="82"/>
              <w:ind w:left="114" w:right="108"/>
              <w:rPr>
                <w:sz w:val="18"/>
              </w:rPr>
            </w:pPr>
            <w:r>
              <w:rPr>
                <w:sz w:val="18"/>
              </w:rPr>
              <w:t>氨氮</w:t>
            </w: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94"/>
              <w:ind w:left="234" w:right="226"/>
              <w:rPr>
                <w:rFonts w:ascii="Times New Roman"/>
                <w:sz w:val="18"/>
              </w:rPr>
            </w:pPr>
            <w:r>
              <w:rPr>
                <w:rFonts w:ascii="Times New Roman"/>
                <w:sz w:val="18"/>
              </w:rPr>
              <w:t>25</w:t>
            </w:r>
          </w:p>
        </w:tc>
        <w:tc>
          <w:tcPr>
            <w:tcW w:w="779" w:type="dxa"/>
          </w:tcPr>
          <w:p>
            <w:pPr>
              <w:pStyle w:val="14"/>
              <w:spacing w:before="94"/>
              <w:ind w:right="173"/>
              <w:jc w:val="right"/>
              <w:rPr>
                <w:rFonts w:ascii="Times New Roman"/>
                <w:sz w:val="18"/>
              </w:rPr>
            </w:pPr>
            <w:r>
              <w:rPr>
                <w:rFonts w:ascii="Times New Roman"/>
                <w:sz w:val="18"/>
              </w:rPr>
              <w:t>2.173</w:t>
            </w:r>
          </w:p>
        </w:tc>
        <w:tc>
          <w:tcPr>
            <w:tcW w:w="1230" w:type="dxa"/>
            <w:vMerge w:val="continue"/>
            <w:tcBorders>
              <w:top w:val="nil"/>
            </w:tcBorders>
          </w:tcPr>
          <w:p>
            <w:pPr>
              <w:rPr>
                <w:sz w:val="2"/>
                <w:szCs w:val="2"/>
              </w:rPr>
            </w:pPr>
          </w:p>
        </w:tc>
        <w:tc>
          <w:tcPr>
            <w:tcW w:w="577" w:type="dxa"/>
          </w:tcPr>
          <w:p>
            <w:pPr>
              <w:pStyle w:val="14"/>
              <w:spacing w:before="94"/>
              <w:ind w:left="198"/>
              <w:jc w:val="left"/>
              <w:rPr>
                <w:rFonts w:ascii="Times New Roman"/>
                <w:sz w:val="18"/>
              </w:rPr>
            </w:pPr>
            <w:r>
              <w:rPr>
                <w:rFonts w:ascii="Times New Roman"/>
                <w:sz w:val="18"/>
              </w:rPr>
              <w:t>75</w:t>
            </w: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94"/>
              <w:ind w:left="10"/>
              <w:rPr>
                <w:rFonts w:ascii="Times New Roman"/>
                <w:sz w:val="18"/>
              </w:rPr>
            </w:pPr>
            <w:r>
              <w:rPr>
                <w:rFonts w:ascii="Times New Roman"/>
                <w:sz w:val="18"/>
              </w:rPr>
              <w:t>5</w:t>
            </w:r>
          </w:p>
        </w:tc>
        <w:tc>
          <w:tcPr>
            <w:tcW w:w="779" w:type="dxa"/>
          </w:tcPr>
          <w:p>
            <w:pPr>
              <w:pStyle w:val="14"/>
              <w:spacing w:before="94"/>
              <w:ind w:left="6"/>
              <w:rPr>
                <w:rFonts w:ascii="Times New Roman"/>
                <w:sz w:val="18"/>
              </w:rPr>
            </w:pPr>
            <w:r>
              <w:rPr>
                <w:rFonts w:ascii="Times New Roman"/>
                <w:sz w:val="18"/>
              </w:rPr>
              <w:t>0</w:t>
            </w:r>
          </w:p>
        </w:tc>
        <w:tc>
          <w:tcPr>
            <w:tcW w:w="61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90" w:type="dxa"/>
            <w:vMerge w:val="continue"/>
            <w:tcBorders>
              <w:top w:val="nil"/>
            </w:tcBorders>
          </w:tcPr>
          <w:p>
            <w:pPr>
              <w:rPr>
                <w:sz w:val="2"/>
                <w:szCs w:val="2"/>
              </w:rPr>
            </w:pPr>
          </w:p>
        </w:tc>
        <w:tc>
          <w:tcPr>
            <w:tcW w:w="717" w:type="dxa"/>
          </w:tcPr>
          <w:p>
            <w:pPr>
              <w:pStyle w:val="14"/>
              <w:spacing w:before="3" w:line="230" w:lineRule="atLeast"/>
              <w:ind w:left="267" w:right="168" w:hanging="92"/>
              <w:jc w:val="left"/>
              <w:rPr>
                <w:sz w:val="18"/>
              </w:rPr>
            </w:pPr>
            <w:r>
              <w:rPr>
                <w:sz w:val="18"/>
              </w:rPr>
              <w:t>石油类</w:t>
            </w: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128"/>
              <w:ind w:left="234" w:right="226"/>
              <w:rPr>
                <w:rFonts w:ascii="Times New Roman"/>
                <w:sz w:val="18"/>
              </w:rPr>
            </w:pPr>
            <w:r>
              <w:rPr>
                <w:rFonts w:ascii="Times New Roman"/>
                <w:sz w:val="18"/>
              </w:rPr>
              <w:t>25</w:t>
            </w:r>
          </w:p>
        </w:tc>
        <w:tc>
          <w:tcPr>
            <w:tcW w:w="779" w:type="dxa"/>
          </w:tcPr>
          <w:p>
            <w:pPr>
              <w:pStyle w:val="14"/>
              <w:spacing w:before="128"/>
              <w:ind w:right="173"/>
              <w:jc w:val="right"/>
              <w:rPr>
                <w:rFonts w:ascii="Times New Roman"/>
                <w:sz w:val="18"/>
              </w:rPr>
            </w:pPr>
            <w:r>
              <w:rPr>
                <w:rFonts w:ascii="Times New Roman"/>
                <w:sz w:val="18"/>
              </w:rPr>
              <w:t>2.173</w:t>
            </w:r>
          </w:p>
        </w:tc>
        <w:tc>
          <w:tcPr>
            <w:tcW w:w="1230" w:type="dxa"/>
            <w:vMerge w:val="continue"/>
            <w:tcBorders>
              <w:top w:val="nil"/>
            </w:tcBorders>
          </w:tcPr>
          <w:p>
            <w:pPr>
              <w:rPr>
                <w:sz w:val="2"/>
                <w:szCs w:val="2"/>
              </w:rPr>
            </w:pPr>
          </w:p>
        </w:tc>
        <w:tc>
          <w:tcPr>
            <w:tcW w:w="577" w:type="dxa"/>
          </w:tcPr>
          <w:p>
            <w:pPr>
              <w:pStyle w:val="14"/>
              <w:spacing w:before="128"/>
              <w:ind w:left="198"/>
              <w:jc w:val="left"/>
              <w:rPr>
                <w:rFonts w:ascii="Times New Roman"/>
                <w:sz w:val="18"/>
              </w:rPr>
            </w:pPr>
            <w:r>
              <w:rPr>
                <w:rFonts w:ascii="Times New Roman"/>
                <w:sz w:val="18"/>
              </w:rPr>
              <w:t>80</w:t>
            </w: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128"/>
              <w:ind w:left="10"/>
              <w:rPr>
                <w:rFonts w:ascii="Times New Roman"/>
                <w:sz w:val="18"/>
              </w:rPr>
            </w:pPr>
            <w:r>
              <w:rPr>
                <w:rFonts w:ascii="Times New Roman"/>
                <w:sz w:val="18"/>
              </w:rPr>
              <w:t>5</w:t>
            </w:r>
          </w:p>
        </w:tc>
        <w:tc>
          <w:tcPr>
            <w:tcW w:w="779" w:type="dxa"/>
          </w:tcPr>
          <w:p>
            <w:pPr>
              <w:pStyle w:val="14"/>
              <w:spacing w:before="128"/>
              <w:ind w:left="6"/>
              <w:rPr>
                <w:rFonts w:ascii="Times New Roman"/>
                <w:sz w:val="18"/>
              </w:rPr>
            </w:pPr>
            <w:r>
              <w:rPr>
                <w:rFonts w:ascii="Times New Roman"/>
                <w:sz w:val="18"/>
              </w:rPr>
              <w:t>0</w:t>
            </w:r>
          </w:p>
        </w:tc>
        <w:tc>
          <w:tcPr>
            <w:tcW w:w="618" w:type="dxa"/>
            <w:vMerge w:val="continue"/>
            <w:tcBorders>
              <w:top w:val="nil"/>
            </w:tcBorders>
          </w:tcPr>
          <w:p>
            <w:pPr>
              <w:rPr>
                <w:sz w:val="2"/>
                <w:szCs w:val="2"/>
              </w:rPr>
            </w:pPr>
          </w:p>
        </w:tc>
      </w:tr>
    </w:tbl>
    <w:p>
      <w:pPr>
        <w:pStyle w:val="6"/>
        <w:tabs>
          <w:tab w:val="left" w:pos="1039"/>
        </w:tabs>
        <w:spacing w:before="176" w:after="37"/>
        <w:ind w:right="17"/>
        <w:jc w:val="center"/>
        <w:rPr>
          <w:rFonts w:hint="eastAsia" w:ascii="黑体" w:eastAsia="黑体"/>
        </w:rPr>
      </w:pPr>
      <w:r>
        <w:rPr>
          <w:rFonts w:hint="eastAsia" w:ascii="黑体" w:eastAsia="黑体"/>
        </w:rPr>
        <w:t>表</w:t>
      </w:r>
      <w:r>
        <w:rPr>
          <w:rFonts w:hint="eastAsia" w:ascii="黑体" w:eastAsia="黑体"/>
          <w:spacing w:val="-61"/>
        </w:rPr>
        <w:t xml:space="preserve"> </w:t>
      </w:r>
      <w:r>
        <w:rPr>
          <w:rFonts w:ascii="Times New Roman" w:eastAsia="Times New Roman"/>
        </w:rPr>
        <w:t>3.4-6</w:t>
      </w:r>
      <w:r>
        <w:rPr>
          <w:rFonts w:ascii="Times New Roman" w:eastAsia="Times New Roman"/>
        </w:rPr>
        <w:tab/>
      </w:r>
      <w:r>
        <w:rPr>
          <w:rFonts w:hint="eastAsia" w:ascii="黑体" w:eastAsia="黑体"/>
        </w:rPr>
        <w:t>非采暖期废水污染源源强核算结果及相关参数一览表</w:t>
      </w:r>
    </w:p>
    <w:tbl>
      <w:tblPr>
        <w:tblStyle w:val="10"/>
        <w:tblW w:w="0" w:type="auto"/>
        <w:tblInd w:w="1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0"/>
        <w:gridCol w:w="717"/>
        <w:gridCol w:w="353"/>
        <w:gridCol w:w="793"/>
        <w:gridCol w:w="837"/>
        <w:gridCol w:w="779"/>
        <w:gridCol w:w="1230"/>
        <w:gridCol w:w="577"/>
        <w:gridCol w:w="353"/>
        <w:gridCol w:w="793"/>
        <w:gridCol w:w="837"/>
        <w:gridCol w:w="779"/>
        <w:gridCol w:w="6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390" w:type="dxa"/>
            <w:vMerge w:val="restart"/>
          </w:tcPr>
          <w:p>
            <w:pPr>
              <w:pStyle w:val="14"/>
              <w:spacing w:before="8"/>
              <w:jc w:val="left"/>
              <w:rPr>
                <w:rFonts w:ascii="黑体"/>
                <w:sz w:val="18"/>
              </w:rPr>
            </w:pPr>
          </w:p>
          <w:p>
            <w:pPr>
              <w:pStyle w:val="14"/>
              <w:spacing w:line="242" w:lineRule="auto"/>
              <w:ind w:left="108" w:right="89"/>
              <w:jc w:val="both"/>
              <w:rPr>
                <w:sz w:val="18"/>
              </w:rPr>
            </w:pPr>
            <w:r>
              <w:rPr>
                <w:sz w:val="18"/>
              </w:rPr>
              <w:t>污染源</w:t>
            </w:r>
          </w:p>
        </w:tc>
        <w:tc>
          <w:tcPr>
            <w:tcW w:w="717" w:type="dxa"/>
            <w:vMerge w:val="restart"/>
          </w:tcPr>
          <w:p>
            <w:pPr>
              <w:pStyle w:val="14"/>
              <w:jc w:val="left"/>
              <w:rPr>
                <w:rFonts w:ascii="黑体"/>
                <w:sz w:val="18"/>
              </w:rPr>
            </w:pPr>
          </w:p>
          <w:p>
            <w:pPr>
              <w:pStyle w:val="14"/>
              <w:spacing w:before="126" w:line="242" w:lineRule="auto"/>
              <w:ind w:left="267" w:right="168" w:hanging="92"/>
              <w:jc w:val="left"/>
              <w:rPr>
                <w:sz w:val="18"/>
              </w:rPr>
            </w:pPr>
            <w:r>
              <w:rPr>
                <w:sz w:val="18"/>
              </w:rPr>
              <w:t>污染物</w:t>
            </w:r>
          </w:p>
        </w:tc>
        <w:tc>
          <w:tcPr>
            <w:tcW w:w="2762" w:type="dxa"/>
            <w:gridSpan w:val="4"/>
          </w:tcPr>
          <w:p>
            <w:pPr>
              <w:pStyle w:val="14"/>
              <w:spacing w:before="2" w:line="212" w:lineRule="exact"/>
              <w:ind w:left="909" w:right="900"/>
              <w:rPr>
                <w:sz w:val="18"/>
              </w:rPr>
            </w:pPr>
            <w:r>
              <w:rPr>
                <w:sz w:val="18"/>
              </w:rPr>
              <w:t>污染物产生</w:t>
            </w:r>
          </w:p>
        </w:tc>
        <w:tc>
          <w:tcPr>
            <w:tcW w:w="1807" w:type="dxa"/>
            <w:gridSpan w:val="2"/>
          </w:tcPr>
          <w:p>
            <w:pPr>
              <w:pStyle w:val="14"/>
              <w:spacing w:before="2" w:line="212" w:lineRule="exact"/>
              <w:ind w:left="542"/>
              <w:jc w:val="left"/>
              <w:rPr>
                <w:sz w:val="18"/>
              </w:rPr>
            </w:pPr>
            <w:r>
              <w:rPr>
                <w:sz w:val="18"/>
              </w:rPr>
              <w:t>治理措施</w:t>
            </w:r>
          </w:p>
        </w:tc>
        <w:tc>
          <w:tcPr>
            <w:tcW w:w="2762" w:type="dxa"/>
            <w:gridSpan w:val="4"/>
          </w:tcPr>
          <w:p>
            <w:pPr>
              <w:pStyle w:val="14"/>
              <w:spacing w:before="2" w:line="212" w:lineRule="exact"/>
              <w:ind w:left="910" w:right="899"/>
              <w:rPr>
                <w:sz w:val="18"/>
              </w:rPr>
            </w:pPr>
            <w:r>
              <w:rPr>
                <w:sz w:val="18"/>
              </w:rPr>
              <w:t>污染物排放</w:t>
            </w:r>
          </w:p>
        </w:tc>
        <w:tc>
          <w:tcPr>
            <w:tcW w:w="618" w:type="dxa"/>
            <w:vMerge w:val="restart"/>
          </w:tcPr>
          <w:p>
            <w:pPr>
              <w:pStyle w:val="14"/>
              <w:spacing w:before="10"/>
              <w:jc w:val="left"/>
              <w:rPr>
                <w:rFonts w:ascii="黑体"/>
                <w:sz w:val="19"/>
              </w:rPr>
            </w:pPr>
          </w:p>
          <w:p>
            <w:pPr>
              <w:pStyle w:val="14"/>
              <w:ind w:left="127" w:right="118"/>
              <w:jc w:val="both"/>
              <w:rPr>
                <w:rFonts w:ascii="Times New Roman" w:eastAsia="Times New Roman"/>
                <w:sz w:val="18"/>
              </w:rPr>
            </w:pPr>
            <w:r>
              <w:rPr>
                <w:sz w:val="18"/>
              </w:rPr>
              <w:t>排放时间</w:t>
            </w:r>
            <w:r>
              <w:rPr>
                <w:rFonts w:ascii="Times New Roman" w:eastAsia="Times New Roman"/>
                <w:sz w:val="18"/>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0" w:hRule="atLeast"/>
        </w:trPr>
        <w:tc>
          <w:tcPr>
            <w:tcW w:w="390" w:type="dxa"/>
            <w:vMerge w:val="continue"/>
            <w:tcBorders>
              <w:top w:val="nil"/>
            </w:tcBorders>
          </w:tcPr>
          <w:p>
            <w:pPr>
              <w:rPr>
                <w:sz w:val="2"/>
                <w:szCs w:val="2"/>
              </w:rPr>
            </w:pPr>
          </w:p>
        </w:tc>
        <w:tc>
          <w:tcPr>
            <w:tcW w:w="717" w:type="dxa"/>
            <w:vMerge w:val="continue"/>
            <w:tcBorders>
              <w:top w:val="nil"/>
            </w:tcBorders>
          </w:tcPr>
          <w:p>
            <w:pPr>
              <w:rPr>
                <w:sz w:val="2"/>
                <w:szCs w:val="2"/>
              </w:rPr>
            </w:pPr>
          </w:p>
        </w:tc>
        <w:tc>
          <w:tcPr>
            <w:tcW w:w="353" w:type="dxa"/>
          </w:tcPr>
          <w:p>
            <w:pPr>
              <w:pStyle w:val="14"/>
              <w:spacing w:line="242" w:lineRule="auto"/>
              <w:ind w:left="107" w:right="53"/>
              <w:jc w:val="both"/>
              <w:rPr>
                <w:sz w:val="18"/>
              </w:rPr>
            </w:pPr>
            <w:r>
              <w:rPr>
                <w:sz w:val="18"/>
              </w:rPr>
              <w:t>核算方</w:t>
            </w:r>
          </w:p>
          <w:p>
            <w:pPr>
              <w:pStyle w:val="14"/>
              <w:spacing w:before="2" w:line="210" w:lineRule="exact"/>
              <w:ind w:left="107"/>
              <w:jc w:val="left"/>
              <w:rPr>
                <w:sz w:val="18"/>
              </w:rPr>
            </w:pPr>
            <w:r>
              <w:rPr>
                <w:sz w:val="18"/>
              </w:rPr>
              <w:t>法</w:t>
            </w:r>
          </w:p>
        </w:tc>
        <w:tc>
          <w:tcPr>
            <w:tcW w:w="793" w:type="dxa"/>
          </w:tcPr>
          <w:p>
            <w:pPr>
              <w:pStyle w:val="14"/>
              <w:spacing w:line="242" w:lineRule="auto"/>
              <w:ind w:left="126" w:right="114" w:hanging="3"/>
              <w:rPr>
                <w:sz w:val="18"/>
              </w:rPr>
            </w:pPr>
            <w:r>
              <w:rPr>
                <w:sz w:val="18"/>
              </w:rPr>
              <w:t xml:space="preserve">产生 </w:t>
            </w:r>
            <w:r>
              <w:rPr>
                <w:spacing w:val="-6"/>
                <w:sz w:val="18"/>
              </w:rPr>
              <w:t>废水量</w:t>
            </w:r>
          </w:p>
          <w:p>
            <w:pPr>
              <w:pStyle w:val="14"/>
              <w:spacing w:before="2"/>
              <w:ind w:left="118" w:right="109"/>
              <w:rPr>
                <w:rFonts w:ascii="Times New Roman" w:eastAsia="Times New Roman"/>
                <w:sz w:val="18"/>
              </w:rPr>
            </w:pPr>
            <w:r>
              <w:rPr>
                <w:sz w:val="18"/>
              </w:rPr>
              <w:t>（</w:t>
            </w:r>
            <w:r>
              <w:rPr>
                <w:rFonts w:ascii="Times New Roman" w:eastAsia="Times New Roman"/>
                <w:sz w:val="18"/>
              </w:rPr>
              <w:t>m</w:t>
            </w:r>
            <w:r>
              <w:rPr>
                <w:rFonts w:ascii="Times New Roman" w:eastAsia="Times New Roman"/>
                <w:position w:val="6"/>
                <w:sz w:val="11"/>
              </w:rPr>
              <w:t>3</w:t>
            </w:r>
            <w:r>
              <w:rPr>
                <w:rFonts w:ascii="Times New Roman" w:eastAsia="Times New Roman"/>
                <w:sz w:val="18"/>
              </w:rPr>
              <w:t>/d</w:t>
            </w:r>
          </w:p>
          <w:p>
            <w:pPr>
              <w:pStyle w:val="14"/>
              <w:spacing w:before="2" w:line="210" w:lineRule="exact"/>
              <w:ind w:left="10"/>
              <w:rPr>
                <w:sz w:val="18"/>
              </w:rPr>
            </w:pPr>
            <w:r>
              <w:rPr>
                <w:sz w:val="18"/>
              </w:rPr>
              <w:t>）</w:t>
            </w:r>
          </w:p>
        </w:tc>
        <w:tc>
          <w:tcPr>
            <w:tcW w:w="837" w:type="dxa"/>
          </w:tcPr>
          <w:p>
            <w:pPr>
              <w:pStyle w:val="14"/>
              <w:spacing w:line="242" w:lineRule="auto"/>
              <w:ind w:left="238" w:right="226"/>
              <w:rPr>
                <w:sz w:val="18"/>
              </w:rPr>
            </w:pPr>
            <w:r>
              <w:rPr>
                <w:sz w:val="18"/>
              </w:rPr>
              <w:t>产生浓度</w:t>
            </w:r>
          </w:p>
          <w:p>
            <w:pPr>
              <w:pStyle w:val="14"/>
              <w:spacing w:before="2"/>
              <w:ind w:left="111" w:right="104"/>
              <w:rPr>
                <w:rFonts w:ascii="Times New Roman" w:eastAsia="Times New Roman"/>
                <w:sz w:val="18"/>
              </w:rPr>
            </w:pPr>
            <w:r>
              <w:rPr>
                <w:sz w:val="18"/>
              </w:rPr>
              <w:t>（</w:t>
            </w:r>
            <w:r>
              <w:rPr>
                <w:rFonts w:ascii="Times New Roman" w:eastAsia="Times New Roman"/>
                <w:sz w:val="18"/>
              </w:rPr>
              <w:t>mg/L</w:t>
            </w:r>
          </w:p>
          <w:p>
            <w:pPr>
              <w:pStyle w:val="14"/>
              <w:spacing w:before="2" w:line="210" w:lineRule="exact"/>
              <w:ind w:left="7"/>
              <w:rPr>
                <w:sz w:val="18"/>
              </w:rPr>
            </w:pPr>
            <w:r>
              <w:rPr>
                <w:sz w:val="18"/>
              </w:rPr>
              <w:t>）</w:t>
            </w:r>
          </w:p>
        </w:tc>
        <w:tc>
          <w:tcPr>
            <w:tcW w:w="779" w:type="dxa"/>
          </w:tcPr>
          <w:p>
            <w:pPr>
              <w:pStyle w:val="14"/>
              <w:spacing w:before="118"/>
              <w:ind w:left="98" w:right="89"/>
              <w:rPr>
                <w:sz w:val="18"/>
              </w:rPr>
            </w:pPr>
            <w:r>
              <w:rPr>
                <w:sz w:val="18"/>
              </w:rPr>
              <w:t>产生量</w:t>
            </w:r>
          </w:p>
          <w:p>
            <w:pPr>
              <w:pStyle w:val="14"/>
              <w:spacing w:before="2"/>
              <w:ind w:left="94" w:right="89"/>
              <w:rPr>
                <w:rFonts w:ascii="Times New Roman" w:eastAsia="Times New Roman"/>
                <w:sz w:val="18"/>
              </w:rPr>
            </w:pPr>
            <w:r>
              <w:rPr>
                <w:sz w:val="18"/>
              </w:rPr>
              <w:t>（</w:t>
            </w:r>
            <w:r>
              <w:rPr>
                <w:rFonts w:ascii="Times New Roman" w:eastAsia="Times New Roman"/>
                <w:sz w:val="18"/>
              </w:rPr>
              <w:t>kg/d</w:t>
            </w:r>
          </w:p>
          <w:p>
            <w:pPr>
              <w:pStyle w:val="14"/>
              <w:spacing w:before="2"/>
              <w:ind w:left="9"/>
              <w:rPr>
                <w:sz w:val="18"/>
              </w:rPr>
            </w:pPr>
            <w:r>
              <w:rPr>
                <w:sz w:val="18"/>
              </w:rPr>
              <w:t>）</w:t>
            </w:r>
          </w:p>
        </w:tc>
        <w:tc>
          <w:tcPr>
            <w:tcW w:w="1230" w:type="dxa"/>
          </w:tcPr>
          <w:p>
            <w:pPr>
              <w:pStyle w:val="14"/>
              <w:jc w:val="left"/>
              <w:rPr>
                <w:rFonts w:ascii="黑体"/>
                <w:sz w:val="18"/>
              </w:rPr>
            </w:pPr>
          </w:p>
          <w:p>
            <w:pPr>
              <w:pStyle w:val="14"/>
              <w:spacing w:before="120"/>
              <w:ind w:left="414" w:right="405"/>
              <w:rPr>
                <w:sz w:val="18"/>
              </w:rPr>
            </w:pPr>
            <w:r>
              <w:rPr>
                <w:sz w:val="18"/>
              </w:rPr>
              <w:t>工艺</w:t>
            </w:r>
          </w:p>
        </w:tc>
        <w:tc>
          <w:tcPr>
            <w:tcW w:w="577" w:type="dxa"/>
          </w:tcPr>
          <w:p>
            <w:pPr>
              <w:pStyle w:val="14"/>
              <w:spacing w:before="118"/>
              <w:ind w:left="106"/>
              <w:jc w:val="left"/>
              <w:rPr>
                <w:sz w:val="18"/>
              </w:rPr>
            </w:pPr>
            <w:r>
              <w:rPr>
                <w:sz w:val="18"/>
              </w:rPr>
              <w:t>效率</w:t>
            </w:r>
          </w:p>
          <w:p>
            <w:pPr>
              <w:pStyle w:val="14"/>
              <w:spacing w:before="2"/>
              <w:ind w:left="123"/>
              <w:jc w:val="left"/>
              <w:rPr>
                <w:rFonts w:ascii="Times New Roman" w:eastAsia="Times New Roman"/>
                <w:sz w:val="18"/>
              </w:rPr>
            </w:pPr>
            <w:r>
              <w:rPr>
                <w:sz w:val="18"/>
              </w:rPr>
              <w:t>（</w:t>
            </w:r>
            <w:r>
              <w:rPr>
                <w:rFonts w:ascii="Times New Roman" w:eastAsia="Times New Roman"/>
                <w:sz w:val="18"/>
              </w:rPr>
              <w:t>%</w:t>
            </w:r>
          </w:p>
          <w:p>
            <w:pPr>
              <w:pStyle w:val="14"/>
              <w:spacing w:before="2"/>
              <w:ind w:left="198"/>
              <w:jc w:val="left"/>
              <w:rPr>
                <w:sz w:val="18"/>
              </w:rPr>
            </w:pPr>
            <w:r>
              <w:rPr>
                <w:sz w:val="18"/>
              </w:rPr>
              <w:t>）</w:t>
            </w:r>
          </w:p>
        </w:tc>
        <w:tc>
          <w:tcPr>
            <w:tcW w:w="353" w:type="dxa"/>
          </w:tcPr>
          <w:p>
            <w:pPr>
              <w:pStyle w:val="14"/>
              <w:spacing w:line="242" w:lineRule="auto"/>
              <w:ind w:left="108" w:right="52"/>
              <w:jc w:val="both"/>
              <w:rPr>
                <w:sz w:val="18"/>
              </w:rPr>
            </w:pPr>
            <w:r>
              <w:rPr>
                <w:sz w:val="18"/>
              </w:rPr>
              <w:t>核算方</w:t>
            </w:r>
          </w:p>
          <w:p>
            <w:pPr>
              <w:pStyle w:val="14"/>
              <w:spacing w:before="2" w:line="210" w:lineRule="exact"/>
              <w:ind w:left="108"/>
              <w:jc w:val="left"/>
              <w:rPr>
                <w:sz w:val="18"/>
              </w:rPr>
            </w:pPr>
            <w:r>
              <w:rPr>
                <w:sz w:val="18"/>
              </w:rPr>
              <w:t>法</w:t>
            </w:r>
          </w:p>
        </w:tc>
        <w:tc>
          <w:tcPr>
            <w:tcW w:w="793" w:type="dxa"/>
          </w:tcPr>
          <w:p>
            <w:pPr>
              <w:pStyle w:val="14"/>
              <w:spacing w:line="242" w:lineRule="auto"/>
              <w:ind w:left="124" w:right="116" w:firstLine="2"/>
              <w:rPr>
                <w:sz w:val="18"/>
              </w:rPr>
            </w:pPr>
            <w:r>
              <w:rPr>
                <w:sz w:val="18"/>
              </w:rPr>
              <w:t xml:space="preserve">排放 </w:t>
            </w:r>
            <w:r>
              <w:rPr>
                <w:spacing w:val="-6"/>
                <w:sz w:val="18"/>
              </w:rPr>
              <w:t>废水量</w:t>
            </w:r>
          </w:p>
          <w:p>
            <w:pPr>
              <w:pStyle w:val="14"/>
              <w:spacing w:before="2"/>
              <w:ind w:left="117" w:right="109"/>
              <w:rPr>
                <w:rFonts w:ascii="Times New Roman" w:eastAsia="Times New Roman"/>
                <w:sz w:val="18"/>
              </w:rPr>
            </w:pPr>
            <w:r>
              <w:rPr>
                <w:sz w:val="18"/>
              </w:rPr>
              <w:t>（</w:t>
            </w:r>
            <w:r>
              <w:rPr>
                <w:rFonts w:ascii="Times New Roman" w:eastAsia="Times New Roman"/>
                <w:sz w:val="18"/>
              </w:rPr>
              <w:t>m</w:t>
            </w:r>
            <w:r>
              <w:rPr>
                <w:rFonts w:ascii="Times New Roman" w:eastAsia="Times New Roman"/>
                <w:position w:val="6"/>
                <w:sz w:val="11"/>
              </w:rPr>
              <w:t>3</w:t>
            </w:r>
            <w:r>
              <w:rPr>
                <w:rFonts w:ascii="Times New Roman" w:eastAsia="Times New Roman"/>
                <w:sz w:val="18"/>
              </w:rPr>
              <w:t>/d</w:t>
            </w:r>
          </w:p>
          <w:p>
            <w:pPr>
              <w:pStyle w:val="14"/>
              <w:spacing w:before="2" w:line="210" w:lineRule="exact"/>
              <w:ind w:left="6"/>
              <w:rPr>
                <w:sz w:val="18"/>
              </w:rPr>
            </w:pPr>
            <w:r>
              <w:rPr>
                <w:sz w:val="18"/>
              </w:rPr>
              <w:t>）</w:t>
            </w:r>
          </w:p>
        </w:tc>
        <w:tc>
          <w:tcPr>
            <w:tcW w:w="837" w:type="dxa"/>
          </w:tcPr>
          <w:p>
            <w:pPr>
              <w:pStyle w:val="14"/>
              <w:spacing w:line="242" w:lineRule="auto"/>
              <w:ind w:left="236" w:right="228"/>
              <w:rPr>
                <w:sz w:val="18"/>
              </w:rPr>
            </w:pPr>
            <w:r>
              <w:rPr>
                <w:sz w:val="18"/>
              </w:rPr>
              <w:t>排放浓度</w:t>
            </w:r>
          </w:p>
          <w:p>
            <w:pPr>
              <w:pStyle w:val="14"/>
              <w:spacing w:before="2"/>
              <w:ind w:left="112" w:right="104"/>
              <w:rPr>
                <w:rFonts w:ascii="Times New Roman" w:eastAsia="Times New Roman"/>
                <w:sz w:val="18"/>
              </w:rPr>
            </w:pPr>
            <w:r>
              <w:rPr>
                <w:sz w:val="18"/>
              </w:rPr>
              <w:t>（</w:t>
            </w:r>
            <w:r>
              <w:rPr>
                <w:rFonts w:ascii="Times New Roman" w:eastAsia="Times New Roman"/>
                <w:sz w:val="18"/>
              </w:rPr>
              <w:t>mg/L</w:t>
            </w:r>
          </w:p>
          <w:p>
            <w:pPr>
              <w:pStyle w:val="14"/>
              <w:spacing w:before="2" w:line="210" w:lineRule="exact"/>
              <w:ind w:left="8"/>
              <w:rPr>
                <w:sz w:val="18"/>
              </w:rPr>
            </w:pPr>
            <w:r>
              <w:rPr>
                <w:sz w:val="18"/>
              </w:rPr>
              <w:t>）</w:t>
            </w:r>
          </w:p>
        </w:tc>
        <w:tc>
          <w:tcPr>
            <w:tcW w:w="779" w:type="dxa"/>
          </w:tcPr>
          <w:p>
            <w:pPr>
              <w:pStyle w:val="14"/>
              <w:spacing w:before="118"/>
              <w:ind w:left="99" w:right="89"/>
              <w:rPr>
                <w:sz w:val="18"/>
              </w:rPr>
            </w:pPr>
            <w:r>
              <w:rPr>
                <w:sz w:val="18"/>
              </w:rPr>
              <w:t>排放量</w:t>
            </w:r>
          </w:p>
          <w:p>
            <w:pPr>
              <w:pStyle w:val="14"/>
              <w:spacing w:before="2"/>
              <w:ind w:left="95" w:right="89"/>
              <w:rPr>
                <w:rFonts w:ascii="Times New Roman" w:eastAsia="Times New Roman"/>
                <w:sz w:val="18"/>
              </w:rPr>
            </w:pPr>
            <w:r>
              <w:rPr>
                <w:sz w:val="18"/>
              </w:rPr>
              <w:t>（</w:t>
            </w:r>
            <w:r>
              <w:rPr>
                <w:rFonts w:ascii="Times New Roman" w:eastAsia="Times New Roman"/>
                <w:sz w:val="18"/>
              </w:rPr>
              <w:t>kg/d</w:t>
            </w:r>
          </w:p>
          <w:p>
            <w:pPr>
              <w:pStyle w:val="14"/>
              <w:spacing w:before="2"/>
              <w:ind w:left="10"/>
              <w:rPr>
                <w:sz w:val="18"/>
              </w:rPr>
            </w:pPr>
            <w:r>
              <w:rPr>
                <w:sz w:val="18"/>
              </w:rPr>
              <w:t>）</w:t>
            </w:r>
          </w:p>
        </w:tc>
        <w:tc>
          <w:tcPr>
            <w:tcW w:w="618" w:type="dxa"/>
            <w:vMerge w:val="continue"/>
            <w:tcBorders>
              <w:top w:val="nil"/>
            </w:tcBorders>
          </w:tcPr>
          <w:p>
            <w:pPr>
              <w:rPr>
                <w:sz w:val="2"/>
                <w:szCs w:val="2"/>
              </w:rPr>
            </w:pPr>
          </w:p>
        </w:tc>
      </w:tr>
    </w:tbl>
    <w:p>
      <w:pPr>
        <w:spacing w:after="0"/>
        <w:rPr>
          <w:sz w:val="2"/>
          <w:szCs w:val="2"/>
        </w:rPr>
        <w:sectPr>
          <w:footerReference r:id="rId11" w:type="default"/>
          <w:pgSz w:w="11910" w:h="16840"/>
          <w:pgMar w:top="1440" w:right="1220" w:bottom="1180" w:left="1240" w:header="0" w:footer="997" w:gutter="0"/>
          <w:pgNumType w:start="61"/>
        </w:sectPr>
      </w:pPr>
    </w:p>
    <w:tbl>
      <w:tblPr>
        <w:tblStyle w:val="10"/>
        <w:tblW w:w="0" w:type="auto"/>
        <w:tblInd w:w="1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0"/>
        <w:gridCol w:w="717"/>
        <w:gridCol w:w="353"/>
        <w:gridCol w:w="793"/>
        <w:gridCol w:w="837"/>
        <w:gridCol w:w="779"/>
        <w:gridCol w:w="1230"/>
        <w:gridCol w:w="577"/>
        <w:gridCol w:w="353"/>
        <w:gridCol w:w="793"/>
        <w:gridCol w:w="837"/>
        <w:gridCol w:w="779"/>
        <w:gridCol w:w="6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390" w:type="dxa"/>
            <w:vMerge w:val="restart"/>
          </w:tcPr>
          <w:p>
            <w:pPr>
              <w:pStyle w:val="14"/>
              <w:jc w:val="left"/>
              <w:rPr>
                <w:rFonts w:ascii="黑体"/>
                <w:sz w:val="18"/>
              </w:rPr>
            </w:pPr>
          </w:p>
          <w:p>
            <w:pPr>
              <w:pStyle w:val="14"/>
              <w:spacing w:before="7"/>
              <w:jc w:val="left"/>
              <w:rPr>
                <w:rFonts w:ascii="黑体"/>
                <w:sz w:val="18"/>
              </w:rPr>
            </w:pPr>
          </w:p>
          <w:p>
            <w:pPr>
              <w:pStyle w:val="14"/>
              <w:spacing w:line="242" w:lineRule="auto"/>
              <w:ind w:left="108" w:right="89"/>
              <w:jc w:val="both"/>
              <w:rPr>
                <w:sz w:val="18"/>
              </w:rPr>
            </w:pPr>
            <w:r>
              <w:rPr>
                <w:sz w:val="18"/>
              </w:rPr>
              <w:t>矿井水</w:t>
            </w:r>
          </w:p>
        </w:tc>
        <w:tc>
          <w:tcPr>
            <w:tcW w:w="717" w:type="dxa"/>
          </w:tcPr>
          <w:p>
            <w:pPr>
              <w:pStyle w:val="14"/>
              <w:spacing w:before="3"/>
              <w:jc w:val="left"/>
              <w:rPr>
                <w:rFonts w:ascii="黑体"/>
                <w:sz w:val="14"/>
              </w:rPr>
            </w:pPr>
          </w:p>
          <w:p>
            <w:pPr>
              <w:pStyle w:val="14"/>
              <w:ind w:left="119" w:right="108"/>
              <w:rPr>
                <w:rFonts w:ascii="Times New Roman"/>
                <w:sz w:val="18"/>
              </w:rPr>
            </w:pPr>
            <w:r>
              <w:rPr>
                <w:rFonts w:ascii="Times New Roman"/>
                <w:sz w:val="18"/>
              </w:rPr>
              <w:t>COD</w:t>
            </w:r>
          </w:p>
        </w:tc>
        <w:tc>
          <w:tcPr>
            <w:tcW w:w="353" w:type="dxa"/>
            <w:vMerge w:val="restart"/>
          </w:tcPr>
          <w:p>
            <w:pPr>
              <w:pStyle w:val="14"/>
              <w:jc w:val="left"/>
              <w:rPr>
                <w:rFonts w:ascii="黑体"/>
                <w:sz w:val="18"/>
              </w:rPr>
            </w:pPr>
          </w:p>
          <w:p>
            <w:pPr>
              <w:pStyle w:val="14"/>
              <w:jc w:val="left"/>
              <w:rPr>
                <w:rFonts w:ascii="黑体"/>
                <w:sz w:val="18"/>
              </w:rPr>
            </w:pPr>
          </w:p>
          <w:p>
            <w:pPr>
              <w:pStyle w:val="14"/>
              <w:jc w:val="left"/>
              <w:rPr>
                <w:rFonts w:ascii="黑体"/>
                <w:sz w:val="18"/>
              </w:rPr>
            </w:pPr>
          </w:p>
          <w:p>
            <w:pPr>
              <w:pStyle w:val="14"/>
              <w:jc w:val="left"/>
              <w:rPr>
                <w:rFonts w:ascii="黑体"/>
                <w:sz w:val="18"/>
              </w:rPr>
            </w:pPr>
          </w:p>
          <w:p>
            <w:pPr>
              <w:pStyle w:val="14"/>
              <w:jc w:val="left"/>
              <w:rPr>
                <w:rFonts w:ascii="黑体"/>
                <w:sz w:val="18"/>
              </w:rPr>
            </w:pPr>
          </w:p>
          <w:p>
            <w:pPr>
              <w:pStyle w:val="14"/>
              <w:jc w:val="left"/>
              <w:rPr>
                <w:rFonts w:ascii="黑体"/>
                <w:sz w:val="18"/>
              </w:rPr>
            </w:pPr>
          </w:p>
          <w:p>
            <w:pPr>
              <w:pStyle w:val="14"/>
              <w:jc w:val="left"/>
              <w:rPr>
                <w:rFonts w:ascii="黑体"/>
                <w:sz w:val="13"/>
              </w:rPr>
            </w:pPr>
          </w:p>
          <w:p>
            <w:pPr>
              <w:pStyle w:val="14"/>
              <w:spacing w:before="1" w:line="242" w:lineRule="auto"/>
              <w:ind w:left="107" w:right="53"/>
              <w:jc w:val="both"/>
              <w:rPr>
                <w:sz w:val="18"/>
              </w:rPr>
            </w:pPr>
            <w:r>
              <w:rPr>
                <w:sz w:val="18"/>
              </w:rPr>
              <w:t>类比法</w:t>
            </w:r>
          </w:p>
        </w:tc>
        <w:tc>
          <w:tcPr>
            <w:tcW w:w="793" w:type="dxa"/>
            <w:vMerge w:val="restart"/>
          </w:tcPr>
          <w:p>
            <w:pPr>
              <w:pStyle w:val="14"/>
              <w:jc w:val="left"/>
              <w:rPr>
                <w:rFonts w:ascii="黑体"/>
                <w:sz w:val="20"/>
              </w:rPr>
            </w:pPr>
          </w:p>
          <w:p>
            <w:pPr>
              <w:pStyle w:val="14"/>
              <w:jc w:val="left"/>
              <w:rPr>
                <w:rFonts w:ascii="黑体"/>
                <w:sz w:val="20"/>
              </w:rPr>
            </w:pPr>
          </w:p>
          <w:p>
            <w:pPr>
              <w:pStyle w:val="14"/>
              <w:spacing w:before="8"/>
              <w:jc w:val="left"/>
              <w:rPr>
                <w:rFonts w:ascii="黑体"/>
                <w:sz w:val="15"/>
              </w:rPr>
            </w:pPr>
          </w:p>
          <w:p>
            <w:pPr>
              <w:pStyle w:val="14"/>
              <w:spacing w:before="1"/>
              <w:ind w:left="215"/>
              <w:jc w:val="left"/>
              <w:rPr>
                <w:rFonts w:ascii="Times New Roman"/>
                <w:sz w:val="18"/>
              </w:rPr>
            </w:pPr>
            <w:r>
              <w:rPr>
                <w:rFonts w:ascii="Times New Roman"/>
                <w:sz w:val="18"/>
              </w:rPr>
              <w:t>1824</w:t>
            </w:r>
          </w:p>
        </w:tc>
        <w:tc>
          <w:tcPr>
            <w:tcW w:w="837" w:type="dxa"/>
          </w:tcPr>
          <w:p>
            <w:pPr>
              <w:pStyle w:val="14"/>
              <w:spacing w:before="3"/>
              <w:jc w:val="left"/>
              <w:rPr>
                <w:rFonts w:ascii="黑体"/>
                <w:sz w:val="14"/>
              </w:rPr>
            </w:pPr>
          </w:p>
          <w:p>
            <w:pPr>
              <w:pStyle w:val="14"/>
              <w:ind w:left="232" w:right="226"/>
              <w:rPr>
                <w:rFonts w:ascii="Times New Roman"/>
                <w:sz w:val="18"/>
              </w:rPr>
            </w:pPr>
            <w:r>
              <w:rPr>
                <w:rFonts w:ascii="Times New Roman"/>
                <w:sz w:val="18"/>
              </w:rPr>
              <w:t>150</w:t>
            </w:r>
          </w:p>
        </w:tc>
        <w:tc>
          <w:tcPr>
            <w:tcW w:w="779" w:type="dxa"/>
          </w:tcPr>
          <w:p>
            <w:pPr>
              <w:pStyle w:val="14"/>
              <w:spacing w:before="3"/>
              <w:jc w:val="left"/>
              <w:rPr>
                <w:rFonts w:ascii="黑体"/>
                <w:sz w:val="14"/>
              </w:rPr>
            </w:pPr>
          </w:p>
          <w:p>
            <w:pPr>
              <w:pStyle w:val="14"/>
              <w:ind w:right="173"/>
              <w:jc w:val="right"/>
              <w:rPr>
                <w:rFonts w:ascii="Times New Roman"/>
                <w:sz w:val="18"/>
              </w:rPr>
            </w:pPr>
            <w:r>
              <w:rPr>
                <w:rFonts w:ascii="Times New Roman"/>
                <w:sz w:val="18"/>
              </w:rPr>
              <w:t>273.6</w:t>
            </w:r>
          </w:p>
        </w:tc>
        <w:tc>
          <w:tcPr>
            <w:tcW w:w="1230" w:type="dxa"/>
            <w:vMerge w:val="restart"/>
          </w:tcPr>
          <w:p>
            <w:pPr>
              <w:pStyle w:val="14"/>
              <w:spacing w:before="3" w:line="242" w:lineRule="auto"/>
              <w:ind w:left="108" w:right="94"/>
              <w:jc w:val="both"/>
              <w:rPr>
                <w:sz w:val="18"/>
              </w:rPr>
            </w:pPr>
            <w:r>
              <w:rPr>
                <w:sz w:val="18"/>
              </w:rPr>
              <w:t>处 理 规 模</w:t>
            </w:r>
            <w:r>
              <w:rPr>
                <w:rFonts w:ascii="Times New Roman" w:eastAsia="Times New Roman"/>
                <w:spacing w:val="1"/>
                <w:sz w:val="18"/>
              </w:rPr>
              <w:t>3</w:t>
            </w:r>
            <w:r>
              <w:rPr>
                <w:rFonts w:ascii="Times New Roman" w:eastAsia="Times New Roman"/>
                <w:spacing w:val="-2"/>
                <w:sz w:val="18"/>
              </w:rPr>
              <w:t>7</w:t>
            </w:r>
            <w:r>
              <w:rPr>
                <w:rFonts w:ascii="Times New Roman" w:eastAsia="Times New Roman"/>
                <w:spacing w:val="1"/>
                <w:sz w:val="18"/>
              </w:rPr>
              <w:t>2</w:t>
            </w:r>
            <w:r>
              <w:rPr>
                <w:rFonts w:ascii="Times New Roman" w:eastAsia="Times New Roman"/>
                <w:spacing w:val="-2"/>
                <w:sz w:val="18"/>
              </w:rPr>
              <w:t>0</w:t>
            </w:r>
            <w:r>
              <w:rPr>
                <w:rFonts w:ascii="Times New Roman" w:eastAsia="Times New Roman"/>
                <w:spacing w:val="-1"/>
                <w:sz w:val="18"/>
              </w:rPr>
              <w:t>m</w:t>
            </w:r>
            <w:r>
              <w:rPr>
                <w:rFonts w:ascii="Times New Roman" w:eastAsia="Times New Roman"/>
                <w:w w:val="104"/>
                <w:position w:val="6"/>
                <w:sz w:val="11"/>
              </w:rPr>
              <w:t>3</w:t>
            </w:r>
            <w:r>
              <w:rPr>
                <w:rFonts w:ascii="Times New Roman" w:eastAsia="Times New Roman"/>
                <w:sz w:val="18"/>
              </w:rPr>
              <w:t>/</w:t>
            </w:r>
            <w:r>
              <w:rPr>
                <w:rFonts w:ascii="Times New Roman" w:eastAsia="Times New Roman"/>
                <w:spacing w:val="1"/>
                <w:sz w:val="18"/>
              </w:rPr>
              <w:t>d</w:t>
            </w:r>
            <w:r>
              <w:rPr>
                <w:spacing w:val="-29"/>
                <w:sz w:val="18"/>
              </w:rPr>
              <w:t>，主</w:t>
            </w:r>
            <w:r>
              <w:rPr>
                <w:spacing w:val="-14"/>
                <w:sz w:val="18"/>
              </w:rPr>
              <w:t>体工艺：调节</w:t>
            </w:r>
          </w:p>
          <w:p>
            <w:pPr>
              <w:pStyle w:val="14"/>
              <w:spacing w:line="230" w:lineRule="exact"/>
              <w:ind w:left="108"/>
              <w:jc w:val="left"/>
              <w:rPr>
                <w:sz w:val="18"/>
              </w:rPr>
            </w:pPr>
            <w:r>
              <w:rPr>
                <w:rFonts w:ascii="Times New Roman" w:eastAsia="Times New Roman"/>
                <w:spacing w:val="-15"/>
                <w:sz w:val="18"/>
              </w:rPr>
              <w:t xml:space="preserve">+ </w:t>
            </w:r>
            <w:r>
              <w:rPr>
                <w:spacing w:val="19"/>
                <w:sz w:val="18"/>
              </w:rPr>
              <w:t>絮凝</w:t>
            </w:r>
            <w:r>
              <w:rPr>
                <w:rFonts w:ascii="Times New Roman" w:eastAsia="Times New Roman"/>
                <w:spacing w:val="-14"/>
                <w:sz w:val="18"/>
              </w:rPr>
              <w:t xml:space="preserve">+ </w:t>
            </w:r>
            <w:r>
              <w:rPr>
                <w:spacing w:val="9"/>
                <w:sz w:val="18"/>
              </w:rPr>
              <w:t>沉淀</w:t>
            </w:r>
          </w:p>
          <w:p>
            <w:pPr>
              <w:pStyle w:val="14"/>
              <w:spacing w:before="2"/>
              <w:ind w:left="108"/>
              <w:jc w:val="left"/>
              <w:rPr>
                <w:sz w:val="18"/>
              </w:rPr>
            </w:pPr>
            <w:r>
              <w:rPr>
                <w:rFonts w:ascii="Times New Roman" w:eastAsia="Times New Roman"/>
                <w:sz w:val="18"/>
              </w:rPr>
              <w:t>+</w:t>
            </w:r>
            <w:r>
              <w:rPr>
                <w:sz w:val="18"/>
              </w:rPr>
              <w:t>过滤</w:t>
            </w:r>
            <w:r>
              <w:rPr>
                <w:rFonts w:ascii="Times New Roman" w:eastAsia="Times New Roman"/>
                <w:sz w:val="18"/>
              </w:rPr>
              <w:t>+</w:t>
            </w:r>
            <w:r>
              <w:rPr>
                <w:sz w:val="18"/>
              </w:rPr>
              <w:t>消毒，</w:t>
            </w:r>
          </w:p>
          <w:p>
            <w:pPr>
              <w:pStyle w:val="14"/>
              <w:spacing w:before="5" w:line="230" w:lineRule="atLeast"/>
              <w:ind w:left="108" w:right="24"/>
              <w:jc w:val="left"/>
              <w:rPr>
                <w:sz w:val="18"/>
              </w:rPr>
            </w:pPr>
            <w:r>
              <w:rPr>
                <w:sz w:val="18"/>
              </w:rPr>
              <w:t>部分回用，部分外排。</w:t>
            </w:r>
          </w:p>
        </w:tc>
        <w:tc>
          <w:tcPr>
            <w:tcW w:w="577" w:type="dxa"/>
          </w:tcPr>
          <w:p>
            <w:pPr>
              <w:pStyle w:val="14"/>
              <w:spacing w:before="3"/>
              <w:jc w:val="left"/>
              <w:rPr>
                <w:rFonts w:ascii="黑体"/>
                <w:sz w:val="14"/>
              </w:rPr>
            </w:pPr>
          </w:p>
          <w:p>
            <w:pPr>
              <w:pStyle w:val="14"/>
              <w:ind w:left="198"/>
              <w:jc w:val="left"/>
              <w:rPr>
                <w:rFonts w:ascii="Times New Roman"/>
                <w:sz w:val="18"/>
              </w:rPr>
            </w:pPr>
            <w:r>
              <w:rPr>
                <w:rFonts w:ascii="Times New Roman"/>
                <w:sz w:val="18"/>
              </w:rPr>
              <w:t>90</w:t>
            </w:r>
          </w:p>
        </w:tc>
        <w:tc>
          <w:tcPr>
            <w:tcW w:w="353" w:type="dxa"/>
            <w:vMerge w:val="restart"/>
          </w:tcPr>
          <w:p>
            <w:pPr>
              <w:pStyle w:val="14"/>
              <w:jc w:val="left"/>
              <w:rPr>
                <w:rFonts w:ascii="黑体"/>
                <w:sz w:val="18"/>
              </w:rPr>
            </w:pPr>
          </w:p>
          <w:p>
            <w:pPr>
              <w:pStyle w:val="14"/>
              <w:jc w:val="left"/>
              <w:rPr>
                <w:rFonts w:ascii="黑体"/>
                <w:sz w:val="18"/>
              </w:rPr>
            </w:pPr>
          </w:p>
          <w:p>
            <w:pPr>
              <w:pStyle w:val="14"/>
              <w:jc w:val="left"/>
              <w:rPr>
                <w:rFonts w:ascii="黑体"/>
                <w:sz w:val="18"/>
              </w:rPr>
            </w:pPr>
          </w:p>
          <w:p>
            <w:pPr>
              <w:pStyle w:val="14"/>
              <w:jc w:val="left"/>
              <w:rPr>
                <w:rFonts w:ascii="黑体"/>
                <w:sz w:val="18"/>
              </w:rPr>
            </w:pPr>
          </w:p>
          <w:p>
            <w:pPr>
              <w:pStyle w:val="14"/>
              <w:jc w:val="left"/>
              <w:rPr>
                <w:rFonts w:ascii="黑体"/>
                <w:sz w:val="18"/>
              </w:rPr>
            </w:pPr>
          </w:p>
          <w:p>
            <w:pPr>
              <w:pStyle w:val="14"/>
              <w:jc w:val="left"/>
              <w:rPr>
                <w:rFonts w:ascii="黑体"/>
                <w:sz w:val="18"/>
              </w:rPr>
            </w:pPr>
          </w:p>
          <w:p>
            <w:pPr>
              <w:pStyle w:val="14"/>
              <w:jc w:val="left"/>
              <w:rPr>
                <w:rFonts w:ascii="黑体"/>
                <w:sz w:val="13"/>
              </w:rPr>
            </w:pPr>
          </w:p>
          <w:p>
            <w:pPr>
              <w:pStyle w:val="14"/>
              <w:spacing w:before="1" w:line="242" w:lineRule="auto"/>
              <w:ind w:left="108" w:right="52"/>
              <w:jc w:val="both"/>
              <w:rPr>
                <w:sz w:val="18"/>
              </w:rPr>
            </w:pPr>
            <w:r>
              <w:rPr>
                <w:sz w:val="18"/>
              </w:rPr>
              <w:t>类比法</w:t>
            </w:r>
          </w:p>
        </w:tc>
        <w:tc>
          <w:tcPr>
            <w:tcW w:w="793" w:type="dxa"/>
            <w:vMerge w:val="restart"/>
          </w:tcPr>
          <w:p>
            <w:pPr>
              <w:pStyle w:val="14"/>
              <w:jc w:val="left"/>
              <w:rPr>
                <w:rFonts w:ascii="黑体"/>
                <w:sz w:val="20"/>
              </w:rPr>
            </w:pPr>
          </w:p>
          <w:p>
            <w:pPr>
              <w:pStyle w:val="14"/>
              <w:spacing w:before="8"/>
              <w:jc w:val="left"/>
              <w:rPr>
                <w:rFonts w:ascii="黑体"/>
                <w:sz w:val="27"/>
              </w:rPr>
            </w:pPr>
          </w:p>
          <w:p>
            <w:pPr>
              <w:pStyle w:val="14"/>
              <w:spacing w:line="207" w:lineRule="exact"/>
              <w:ind w:left="118" w:right="108"/>
              <w:rPr>
                <w:rFonts w:ascii="Times New Roman"/>
                <w:sz w:val="18"/>
              </w:rPr>
            </w:pPr>
            <w:r>
              <w:rPr>
                <w:rFonts w:ascii="Times New Roman"/>
                <w:sz w:val="18"/>
              </w:rPr>
              <w:t>1427.2</w:t>
            </w:r>
          </w:p>
          <w:p>
            <w:pPr>
              <w:pStyle w:val="14"/>
              <w:spacing w:line="207" w:lineRule="exact"/>
              <w:ind w:left="8"/>
              <w:rPr>
                <w:rFonts w:ascii="Times New Roman"/>
                <w:sz w:val="18"/>
              </w:rPr>
            </w:pPr>
            <w:r>
              <w:rPr>
                <w:rFonts w:ascii="Times New Roman"/>
                <w:sz w:val="18"/>
              </w:rPr>
              <w:t>4</w:t>
            </w:r>
          </w:p>
        </w:tc>
        <w:tc>
          <w:tcPr>
            <w:tcW w:w="837" w:type="dxa"/>
          </w:tcPr>
          <w:p>
            <w:pPr>
              <w:pStyle w:val="14"/>
              <w:spacing w:before="3"/>
              <w:jc w:val="left"/>
              <w:rPr>
                <w:rFonts w:ascii="黑体"/>
                <w:sz w:val="14"/>
              </w:rPr>
            </w:pPr>
          </w:p>
          <w:p>
            <w:pPr>
              <w:pStyle w:val="14"/>
              <w:ind w:left="236" w:right="226"/>
              <w:rPr>
                <w:rFonts w:ascii="Times New Roman"/>
                <w:sz w:val="18"/>
              </w:rPr>
            </w:pPr>
            <w:r>
              <w:rPr>
                <w:rFonts w:ascii="Times New Roman"/>
                <w:sz w:val="18"/>
              </w:rPr>
              <w:t>15</w:t>
            </w:r>
          </w:p>
        </w:tc>
        <w:tc>
          <w:tcPr>
            <w:tcW w:w="779" w:type="dxa"/>
          </w:tcPr>
          <w:p>
            <w:pPr>
              <w:pStyle w:val="14"/>
              <w:spacing w:before="3"/>
              <w:jc w:val="left"/>
              <w:rPr>
                <w:rFonts w:ascii="黑体"/>
                <w:sz w:val="14"/>
              </w:rPr>
            </w:pPr>
          </w:p>
          <w:p>
            <w:pPr>
              <w:pStyle w:val="14"/>
              <w:ind w:left="99" w:right="88"/>
              <w:rPr>
                <w:rFonts w:ascii="Times New Roman"/>
                <w:sz w:val="18"/>
              </w:rPr>
            </w:pPr>
            <w:r>
              <w:rPr>
                <w:rFonts w:ascii="Times New Roman"/>
                <w:sz w:val="18"/>
              </w:rPr>
              <w:t>21.41</w:t>
            </w:r>
          </w:p>
        </w:tc>
        <w:tc>
          <w:tcPr>
            <w:tcW w:w="618" w:type="dxa"/>
            <w:vMerge w:val="restart"/>
          </w:tcPr>
          <w:p>
            <w:pPr>
              <w:pStyle w:val="14"/>
              <w:jc w:val="left"/>
              <w:rPr>
                <w:rFonts w:ascii="黑体"/>
                <w:sz w:val="20"/>
              </w:rPr>
            </w:pPr>
          </w:p>
          <w:p>
            <w:pPr>
              <w:pStyle w:val="14"/>
              <w:jc w:val="left"/>
              <w:rPr>
                <w:rFonts w:ascii="黑体"/>
                <w:sz w:val="20"/>
              </w:rPr>
            </w:pPr>
          </w:p>
          <w:p>
            <w:pPr>
              <w:pStyle w:val="14"/>
              <w:jc w:val="left"/>
              <w:rPr>
                <w:rFonts w:ascii="黑体"/>
                <w:sz w:val="20"/>
              </w:rPr>
            </w:pPr>
          </w:p>
          <w:p>
            <w:pPr>
              <w:pStyle w:val="14"/>
              <w:jc w:val="left"/>
              <w:rPr>
                <w:rFonts w:ascii="黑体"/>
                <w:sz w:val="20"/>
              </w:rPr>
            </w:pPr>
          </w:p>
          <w:p>
            <w:pPr>
              <w:pStyle w:val="14"/>
              <w:jc w:val="left"/>
              <w:rPr>
                <w:rFonts w:ascii="黑体"/>
                <w:sz w:val="20"/>
              </w:rPr>
            </w:pPr>
          </w:p>
          <w:p>
            <w:pPr>
              <w:pStyle w:val="14"/>
              <w:jc w:val="left"/>
              <w:rPr>
                <w:rFonts w:ascii="黑体"/>
                <w:sz w:val="20"/>
              </w:rPr>
            </w:pPr>
          </w:p>
          <w:p>
            <w:pPr>
              <w:pStyle w:val="14"/>
              <w:spacing w:before="2"/>
              <w:jc w:val="left"/>
              <w:rPr>
                <w:rFonts w:ascii="黑体"/>
                <w:sz w:val="20"/>
              </w:rPr>
            </w:pPr>
          </w:p>
          <w:p>
            <w:pPr>
              <w:pStyle w:val="14"/>
              <w:ind w:left="173"/>
              <w:jc w:val="left"/>
              <w:rPr>
                <w:rFonts w:ascii="Times New Roman"/>
                <w:sz w:val="18"/>
              </w:rPr>
            </w:pPr>
            <w:r>
              <w:rPr>
                <w:rFonts w:ascii="Times New Roman"/>
                <w:sz w:val="18"/>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390" w:type="dxa"/>
            <w:vMerge w:val="continue"/>
            <w:tcBorders>
              <w:top w:val="nil"/>
            </w:tcBorders>
          </w:tcPr>
          <w:p>
            <w:pPr>
              <w:rPr>
                <w:sz w:val="2"/>
                <w:szCs w:val="2"/>
              </w:rPr>
            </w:pPr>
          </w:p>
        </w:tc>
        <w:tc>
          <w:tcPr>
            <w:tcW w:w="717" w:type="dxa"/>
          </w:tcPr>
          <w:p>
            <w:pPr>
              <w:pStyle w:val="14"/>
              <w:spacing w:before="139"/>
              <w:ind w:left="118" w:right="108"/>
              <w:rPr>
                <w:rFonts w:ascii="Times New Roman"/>
                <w:sz w:val="18"/>
              </w:rPr>
            </w:pPr>
            <w:r>
              <w:rPr>
                <w:rFonts w:ascii="Times New Roman"/>
                <w:sz w:val="18"/>
              </w:rPr>
              <w:t>SS</w:t>
            </w: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139"/>
              <w:ind w:left="234" w:right="226"/>
              <w:rPr>
                <w:rFonts w:ascii="Times New Roman"/>
                <w:sz w:val="18"/>
              </w:rPr>
            </w:pPr>
            <w:r>
              <w:rPr>
                <w:rFonts w:ascii="Times New Roman"/>
                <w:sz w:val="18"/>
              </w:rPr>
              <w:t>400</w:t>
            </w:r>
          </w:p>
        </w:tc>
        <w:tc>
          <w:tcPr>
            <w:tcW w:w="779" w:type="dxa"/>
          </w:tcPr>
          <w:p>
            <w:pPr>
              <w:pStyle w:val="14"/>
              <w:spacing w:before="139"/>
              <w:ind w:right="173"/>
              <w:jc w:val="right"/>
              <w:rPr>
                <w:rFonts w:ascii="Times New Roman"/>
                <w:sz w:val="18"/>
              </w:rPr>
            </w:pPr>
            <w:r>
              <w:rPr>
                <w:rFonts w:ascii="Times New Roman"/>
                <w:sz w:val="18"/>
              </w:rPr>
              <w:t>729.6</w:t>
            </w:r>
          </w:p>
        </w:tc>
        <w:tc>
          <w:tcPr>
            <w:tcW w:w="1230" w:type="dxa"/>
            <w:vMerge w:val="continue"/>
            <w:tcBorders>
              <w:top w:val="nil"/>
            </w:tcBorders>
          </w:tcPr>
          <w:p>
            <w:pPr>
              <w:rPr>
                <w:sz w:val="2"/>
                <w:szCs w:val="2"/>
              </w:rPr>
            </w:pPr>
          </w:p>
        </w:tc>
        <w:tc>
          <w:tcPr>
            <w:tcW w:w="577" w:type="dxa"/>
          </w:tcPr>
          <w:p>
            <w:pPr>
              <w:pStyle w:val="14"/>
              <w:spacing w:before="139"/>
              <w:ind w:left="198"/>
              <w:jc w:val="left"/>
              <w:rPr>
                <w:rFonts w:ascii="Times New Roman"/>
                <w:sz w:val="18"/>
              </w:rPr>
            </w:pPr>
            <w:r>
              <w:rPr>
                <w:rFonts w:ascii="Times New Roman"/>
                <w:sz w:val="18"/>
              </w:rPr>
              <w:t>90</w:t>
            </w: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139"/>
              <w:ind w:left="233" w:right="226"/>
              <w:rPr>
                <w:rFonts w:ascii="Times New Roman"/>
                <w:sz w:val="18"/>
              </w:rPr>
            </w:pPr>
            <w:r>
              <w:rPr>
                <w:rFonts w:ascii="Times New Roman"/>
                <w:sz w:val="18"/>
              </w:rPr>
              <w:t>40</w:t>
            </w:r>
          </w:p>
        </w:tc>
        <w:tc>
          <w:tcPr>
            <w:tcW w:w="779" w:type="dxa"/>
          </w:tcPr>
          <w:p>
            <w:pPr>
              <w:pStyle w:val="14"/>
              <w:spacing w:before="139"/>
              <w:ind w:left="99" w:right="88"/>
              <w:rPr>
                <w:rFonts w:ascii="Times New Roman"/>
                <w:sz w:val="18"/>
              </w:rPr>
            </w:pPr>
            <w:r>
              <w:rPr>
                <w:rFonts w:ascii="Times New Roman"/>
                <w:sz w:val="18"/>
              </w:rPr>
              <w:t>57.09</w:t>
            </w:r>
          </w:p>
        </w:tc>
        <w:tc>
          <w:tcPr>
            <w:tcW w:w="61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390" w:type="dxa"/>
            <w:vMerge w:val="continue"/>
            <w:tcBorders>
              <w:top w:val="nil"/>
            </w:tcBorders>
          </w:tcPr>
          <w:p>
            <w:pPr>
              <w:rPr>
                <w:sz w:val="2"/>
                <w:szCs w:val="2"/>
              </w:rPr>
            </w:pPr>
          </w:p>
        </w:tc>
        <w:tc>
          <w:tcPr>
            <w:tcW w:w="717" w:type="dxa"/>
          </w:tcPr>
          <w:p>
            <w:pPr>
              <w:pStyle w:val="14"/>
              <w:spacing w:before="44" w:line="244" w:lineRule="auto"/>
              <w:ind w:left="267" w:right="168" w:hanging="92"/>
              <w:jc w:val="left"/>
              <w:rPr>
                <w:sz w:val="18"/>
              </w:rPr>
            </w:pPr>
            <w:r>
              <w:rPr>
                <w:sz w:val="18"/>
              </w:rPr>
              <w:t>石油类</w:t>
            </w: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173"/>
              <w:ind w:left="8"/>
              <w:rPr>
                <w:rFonts w:ascii="Times New Roman"/>
                <w:sz w:val="18"/>
              </w:rPr>
            </w:pPr>
            <w:r>
              <w:rPr>
                <w:rFonts w:ascii="Times New Roman"/>
                <w:sz w:val="18"/>
              </w:rPr>
              <w:t>2</w:t>
            </w:r>
          </w:p>
        </w:tc>
        <w:tc>
          <w:tcPr>
            <w:tcW w:w="779" w:type="dxa"/>
          </w:tcPr>
          <w:p>
            <w:pPr>
              <w:pStyle w:val="14"/>
              <w:spacing w:before="173"/>
              <w:ind w:right="173"/>
              <w:jc w:val="right"/>
              <w:rPr>
                <w:rFonts w:ascii="Times New Roman"/>
                <w:sz w:val="18"/>
              </w:rPr>
            </w:pPr>
            <w:r>
              <w:rPr>
                <w:rFonts w:ascii="Times New Roman"/>
                <w:sz w:val="18"/>
              </w:rPr>
              <w:t>3.648</w:t>
            </w:r>
          </w:p>
        </w:tc>
        <w:tc>
          <w:tcPr>
            <w:tcW w:w="1230" w:type="dxa"/>
            <w:vMerge w:val="continue"/>
            <w:tcBorders>
              <w:top w:val="nil"/>
            </w:tcBorders>
          </w:tcPr>
          <w:p>
            <w:pPr>
              <w:rPr>
                <w:sz w:val="2"/>
                <w:szCs w:val="2"/>
              </w:rPr>
            </w:pPr>
          </w:p>
        </w:tc>
        <w:tc>
          <w:tcPr>
            <w:tcW w:w="577" w:type="dxa"/>
          </w:tcPr>
          <w:p>
            <w:pPr>
              <w:pStyle w:val="14"/>
              <w:spacing w:before="173"/>
              <w:ind w:left="198"/>
              <w:jc w:val="left"/>
              <w:rPr>
                <w:rFonts w:ascii="Times New Roman"/>
                <w:sz w:val="18"/>
              </w:rPr>
            </w:pPr>
            <w:r>
              <w:rPr>
                <w:rFonts w:ascii="Times New Roman"/>
                <w:sz w:val="18"/>
              </w:rPr>
              <w:t>99</w:t>
            </w: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173"/>
              <w:ind w:left="236" w:right="226"/>
              <w:rPr>
                <w:rFonts w:ascii="Times New Roman"/>
                <w:sz w:val="18"/>
              </w:rPr>
            </w:pPr>
            <w:r>
              <w:rPr>
                <w:rFonts w:ascii="Times New Roman"/>
                <w:sz w:val="18"/>
              </w:rPr>
              <w:t>0.02</w:t>
            </w:r>
          </w:p>
        </w:tc>
        <w:tc>
          <w:tcPr>
            <w:tcW w:w="779" w:type="dxa"/>
          </w:tcPr>
          <w:p>
            <w:pPr>
              <w:pStyle w:val="14"/>
              <w:spacing w:before="173"/>
              <w:ind w:left="99" w:right="88"/>
              <w:rPr>
                <w:rFonts w:ascii="Times New Roman"/>
                <w:sz w:val="18"/>
              </w:rPr>
            </w:pPr>
            <w:r>
              <w:rPr>
                <w:rFonts w:ascii="Times New Roman"/>
                <w:sz w:val="18"/>
              </w:rPr>
              <w:t>0.03</w:t>
            </w:r>
          </w:p>
        </w:tc>
        <w:tc>
          <w:tcPr>
            <w:tcW w:w="61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390" w:type="dxa"/>
            <w:vMerge w:val="restart"/>
          </w:tcPr>
          <w:p>
            <w:pPr>
              <w:pStyle w:val="14"/>
              <w:jc w:val="left"/>
              <w:rPr>
                <w:rFonts w:ascii="黑体"/>
                <w:sz w:val="18"/>
              </w:rPr>
            </w:pPr>
          </w:p>
          <w:p>
            <w:pPr>
              <w:pStyle w:val="14"/>
              <w:jc w:val="left"/>
              <w:rPr>
                <w:rFonts w:ascii="黑体"/>
                <w:sz w:val="18"/>
              </w:rPr>
            </w:pPr>
          </w:p>
          <w:p>
            <w:pPr>
              <w:pStyle w:val="14"/>
              <w:spacing w:before="151" w:line="242" w:lineRule="auto"/>
              <w:ind w:left="108" w:right="89"/>
              <w:jc w:val="both"/>
              <w:rPr>
                <w:sz w:val="18"/>
              </w:rPr>
            </w:pPr>
            <w:r>
              <w:rPr>
                <w:sz w:val="18"/>
              </w:rPr>
              <w:t>生活污水</w:t>
            </w:r>
          </w:p>
        </w:tc>
        <w:tc>
          <w:tcPr>
            <w:tcW w:w="717" w:type="dxa"/>
          </w:tcPr>
          <w:p>
            <w:pPr>
              <w:pStyle w:val="14"/>
              <w:spacing w:before="128"/>
              <w:ind w:left="119" w:right="108"/>
              <w:rPr>
                <w:rFonts w:ascii="Times New Roman"/>
                <w:sz w:val="18"/>
              </w:rPr>
            </w:pPr>
            <w:r>
              <w:rPr>
                <w:rFonts w:ascii="Times New Roman"/>
                <w:sz w:val="18"/>
              </w:rPr>
              <w:t>COD</w:t>
            </w:r>
          </w:p>
        </w:tc>
        <w:tc>
          <w:tcPr>
            <w:tcW w:w="353" w:type="dxa"/>
            <w:vMerge w:val="continue"/>
            <w:tcBorders>
              <w:top w:val="nil"/>
            </w:tcBorders>
          </w:tcPr>
          <w:p>
            <w:pPr>
              <w:rPr>
                <w:sz w:val="2"/>
                <w:szCs w:val="2"/>
              </w:rPr>
            </w:pPr>
          </w:p>
        </w:tc>
        <w:tc>
          <w:tcPr>
            <w:tcW w:w="793" w:type="dxa"/>
            <w:vMerge w:val="restart"/>
          </w:tcPr>
          <w:p>
            <w:pPr>
              <w:pStyle w:val="14"/>
              <w:jc w:val="left"/>
              <w:rPr>
                <w:rFonts w:ascii="黑体"/>
                <w:sz w:val="20"/>
              </w:rPr>
            </w:pPr>
          </w:p>
          <w:p>
            <w:pPr>
              <w:pStyle w:val="14"/>
              <w:jc w:val="left"/>
              <w:rPr>
                <w:rFonts w:ascii="黑体"/>
                <w:sz w:val="20"/>
              </w:rPr>
            </w:pPr>
          </w:p>
          <w:p>
            <w:pPr>
              <w:pStyle w:val="14"/>
              <w:jc w:val="left"/>
              <w:rPr>
                <w:rFonts w:ascii="黑体"/>
                <w:sz w:val="20"/>
              </w:rPr>
            </w:pPr>
          </w:p>
          <w:p>
            <w:pPr>
              <w:pStyle w:val="14"/>
              <w:spacing w:before="11"/>
              <w:jc w:val="left"/>
              <w:rPr>
                <w:rFonts w:ascii="黑体"/>
                <w:sz w:val="15"/>
              </w:rPr>
            </w:pPr>
          </w:p>
          <w:p>
            <w:pPr>
              <w:pStyle w:val="14"/>
              <w:spacing w:before="1"/>
              <w:ind w:left="193"/>
              <w:jc w:val="left"/>
              <w:rPr>
                <w:rFonts w:ascii="Times New Roman"/>
                <w:sz w:val="18"/>
              </w:rPr>
            </w:pPr>
            <w:r>
              <w:rPr>
                <w:rFonts w:ascii="Times New Roman"/>
                <w:sz w:val="18"/>
              </w:rPr>
              <w:t>86.92</w:t>
            </w:r>
          </w:p>
        </w:tc>
        <w:tc>
          <w:tcPr>
            <w:tcW w:w="837" w:type="dxa"/>
          </w:tcPr>
          <w:p>
            <w:pPr>
              <w:pStyle w:val="14"/>
              <w:spacing w:before="128"/>
              <w:ind w:left="232" w:right="226"/>
              <w:rPr>
                <w:rFonts w:ascii="Times New Roman"/>
                <w:sz w:val="18"/>
              </w:rPr>
            </w:pPr>
            <w:r>
              <w:rPr>
                <w:rFonts w:ascii="Times New Roman"/>
                <w:sz w:val="18"/>
              </w:rPr>
              <w:t>300</w:t>
            </w:r>
          </w:p>
        </w:tc>
        <w:tc>
          <w:tcPr>
            <w:tcW w:w="779" w:type="dxa"/>
          </w:tcPr>
          <w:p>
            <w:pPr>
              <w:pStyle w:val="14"/>
              <w:spacing w:before="128"/>
              <w:ind w:right="173"/>
              <w:jc w:val="right"/>
              <w:rPr>
                <w:rFonts w:ascii="Times New Roman"/>
                <w:sz w:val="18"/>
              </w:rPr>
            </w:pPr>
            <w:r>
              <w:rPr>
                <w:rFonts w:ascii="Times New Roman"/>
                <w:sz w:val="18"/>
              </w:rPr>
              <w:t>26.08</w:t>
            </w:r>
          </w:p>
        </w:tc>
        <w:tc>
          <w:tcPr>
            <w:tcW w:w="1230" w:type="dxa"/>
            <w:vMerge w:val="restart"/>
          </w:tcPr>
          <w:p>
            <w:pPr>
              <w:pStyle w:val="14"/>
              <w:spacing w:before="3"/>
              <w:jc w:val="left"/>
              <w:rPr>
                <w:rFonts w:ascii="黑体"/>
                <w:sz w:val="20"/>
              </w:rPr>
            </w:pPr>
          </w:p>
          <w:p>
            <w:pPr>
              <w:pStyle w:val="14"/>
              <w:spacing w:line="242" w:lineRule="auto"/>
              <w:ind w:left="108" w:right="94"/>
              <w:jc w:val="both"/>
              <w:rPr>
                <w:sz w:val="18"/>
              </w:rPr>
            </w:pPr>
            <w:r>
              <w:rPr>
                <w:sz w:val="18"/>
              </w:rPr>
              <w:t>处 理 规 模</w:t>
            </w:r>
            <w:r>
              <w:rPr>
                <w:rFonts w:ascii="Times New Roman" w:eastAsia="Times New Roman"/>
                <w:sz w:val="18"/>
              </w:rPr>
              <w:t>360m</w:t>
            </w:r>
            <w:r>
              <w:rPr>
                <w:rFonts w:ascii="Times New Roman" w:eastAsia="Times New Roman"/>
                <w:position w:val="6"/>
                <w:sz w:val="11"/>
              </w:rPr>
              <w:t>3</w:t>
            </w:r>
            <w:r>
              <w:rPr>
                <w:rFonts w:ascii="Times New Roman" w:eastAsia="Times New Roman"/>
                <w:sz w:val="18"/>
              </w:rPr>
              <w:t>/d</w:t>
            </w:r>
            <w:r>
              <w:rPr>
                <w:rFonts w:ascii="Times New Roman" w:eastAsia="Times New Roman"/>
                <w:spacing w:val="-23"/>
                <w:sz w:val="18"/>
              </w:rPr>
              <w:t xml:space="preserve"> </w:t>
            </w:r>
            <w:r>
              <w:rPr>
                <w:spacing w:val="-27"/>
                <w:sz w:val="18"/>
              </w:rPr>
              <w:t>， 经</w:t>
            </w:r>
            <w:r>
              <w:rPr>
                <w:spacing w:val="19"/>
                <w:sz w:val="18"/>
              </w:rPr>
              <w:t>二级生物处</w:t>
            </w:r>
            <w:r>
              <w:rPr>
                <w:spacing w:val="-15"/>
                <w:sz w:val="18"/>
              </w:rPr>
              <w:t>理后，回用于生产、工业场</w:t>
            </w:r>
            <w:r>
              <w:rPr>
                <w:spacing w:val="19"/>
                <w:sz w:val="18"/>
              </w:rPr>
              <w:t>地绿化洒水</w:t>
            </w:r>
            <w:r>
              <w:rPr>
                <w:sz w:val="18"/>
              </w:rPr>
              <w:t>用水</w:t>
            </w:r>
          </w:p>
        </w:tc>
        <w:tc>
          <w:tcPr>
            <w:tcW w:w="577" w:type="dxa"/>
          </w:tcPr>
          <w:p>
            <w:pPr>
              <w:pStyle w:val="14"/>
              <w:spacing w:before="128"/>
              <w:ind w:left="198"/>
              <w:jc w:val="left"/>
              <w:rPr>
                <w:rFonts w:ascii="Times New Roman"/>
                <w:sz w:val="18"/>
              </w:rPr>
            </w:pPr>
            <w:r>
              <w:rPr>
                <w:rFonts w:ascii="Times New Roman"/>
                <w:sz w:val="18"/>
              </w:rPr>
              <w:t>90</w:t>
            </w:r>
          </w:p>
        </w:tc>
        <w:tc>
          <w:tcPr>
            <w:tcW w:w="353" w:type="dxa"/>
            <w:vMerge w:val="continue"/>
            <w:tcBorders>
              <w:top w:val="nil"/>
            </w:tcBorders>
          </w:tcPr>
          <w:p>
            <w:pPr>
              <w:rPr>
                <w:sz w:val="2"/>
                <w:szCs w:val="2"/>
              </w:rPr>
            </w:pPr>
          </w:p>
        </w:tc>
        <w:tc>
          <w:tcPr>
            <w:tcW w:w="793" w:type="dxa"/>
            <w:vMerge w:val="restart"/>
          </w:tcPr>
          <w:p>
            <w:pPr>
              <w:pStyle w:val="14"/>
              <w:jc w:val="left"/>
              <w:rPr>
                <w:rFonts w:ascii="黑体"/>
                <w:sz w:val="20"/>
              </w:rPr>
            </w:pPr>
          </w:p>
          <w:p>
            <w:pPr>
              <w:pStyle w:val="14"/>
              <w:jc w:val="left"/>
              <w:rPr>
                <w:rFonts w:ascii="黑体"/>
                <w:sz w:val="20"/>
              </w:rPr>
            </w:pPr>
          </w:p>
          <w:p>
            <w:pPr>
              <w:pStyle w:val="14"/>
              <w:jc w:val="left"/>
              <w:rPr>
                <w:rFonts w:ascii="黑体"/>
                <w:sz w:val="20"/>
              </w:rPr>
            </w:pPr>
          </w:p>
          <w:p>
            <w:pPr>
              <w:pStyle w:val="14"/>
              <w:spacing w:before="11"/>
              <w:jc w:val="left"/>
              <w:rPr>
                <w:rFonts w:ascii="黑体"/>
                <w:sz w:val="15"/>
              </w:rPr>
            </w:pPr>
          </w:p>
          <w:p>
            <w:pPr>
              <w:pStyle w:val="14"/>
              <w:spacing w:before="1"/>
              <w:ind w:left="6"/>
              <w:rPr>
                <w:rFonts w:ascii="Times New Roman"/>
                <w:sz w:val="18"/>
              </w:rPr>
            </w:pPr>
            <w:r>
              <w:rPr>
                <w:rFonts w:ascii="Times New Roman"/>
                <w:sz w:val="18"/>
              </w:rPr>
              <w:t>/</w:t>
            </w:r>
          </w:p>
        </w:tc>
        <w:tc>
          <w:tcPr>
            <w:tcW w:w="837" w:type="dxa"/>
          </w:tcPr>
          <w:p>
            <w:pPr>
              <w:pStyle w:val="14"/>
              <w:spacing w:before="128"/>
              <w:ind w:left="236" w:right="226"/>
              <w:rPr>
                <w:rFonts w:ascii="Times New Roman"/>
                <w:sz w:val="18"/>
              </w:rPr>
            </w:pPr>
            <w:r>
              <w:rPr>
                <w:rFonts w:ascii="Times New Roman"/>
                <w:sz w:val="18"/>
              </w:rPr>
              <w:t>30</w:t>
            </w:r>
          </w:p>
        </w:tc>
        <w:tc>
          <w:tcPr>
            <w:tcW w:w="779" w:type="dxa"/>
          </w:tcPr>
          <w:p>
            <w:pPr>
              <w:pStyle w:val="14"/>
              <w:spacing w:before="128"/>
              <w:ind w:left="6"/>
              <w:rPr>
                <w:rFonts w:ascii="Times New Roman"/>
                <w:sz w:val="18"/>
              </w:rPr>
            </w:pPr>
            <w:r>
              <w:rPr>
                <w:rFonts w:ascii="Times New Roman"/>
                <w:sz w:val="18"/>
              </w:rPr>
              <w:t>0</w:t>
            </w:r>
          </w:p>
        </w:tc>
        <w:tc>
          <w:tcPr>
            <w:tcW w:w="61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390" w:type="dxa"/>
            <w:vMerge w:val="continue"/>
            <w:tcBorders>
              <w:top w:val="nil"/>
            </w:tcBorders>
          </w:tcPr>
          <w:p>
            <w:pPr>
              <w:rPr>
                <w:sz w:val="2"/>
                <w:szCs w:val="2"/>
              </w:rPr>
            </w:pPr>
          </w:p>
        </w:tc>
        <w:tc>
          <w:tcPr>
            <w:tcW w:w="717" w:type="dxa"/>
          </w:tcPr>
          <w:p>
            <w:pPr>
              <w:pStyle w:val="14"/>
              <w:spacing w:before="117"/>
              <w:ind w:left="119" w:right="108"/>
              <w:rPr>
                <w:rFonts w:ascii="Times New Roman"/>
                <w:sz w:val="18"/>
              </w:rPr>
            </w:pPr>
            <w:r>
              <w:rPr>
                <w:rFonts w:ascii="Times New Roman"/>
                <w:position w:val="1"/>
                <w:sz w:val="18"/>
              </w:rPr>
              <w:t>BOD</w:t>
            </w:r>
            <w:r>
              <w:rPr>
                <w:rFonts w:ascii="Times New Roman"/>
                <w:position w:val="1"/>
                <w:sz w:val="18"/>
                <w:vertAlign w:val="subscript"/>
              </w:rPr>
              <w:t>5</w:t>
            </w: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115"/>
              <w:ind w:left="232" w:right="226"/>
              <w:rPr>
                <w:rFonts w:ascii="Times New Roman"/>
                <w:sz w:val="18"/>
              </w:rPr>
            </w:pPr>
            <w:r>
              <w:rPr>
                <w:rFonts w:ascii="Times New Roman"/>
                <w:sz w:val="18"/>
              </w:rPr>
              <w:t>200</w:t>
            </w:r>
          </w:p>
        </w:tc>
        <w:tc>
          <w:tcPr>
            <w:tcW w:w="779" w:type="dxa"/>
          </w:tcPr>
          <w:p>
            <w:pPr>
              <w:pStyle w:val="14"/>
              <w:spacing w:before="115"/>
              <w:ind w:right="173"/>
              <w:jc w:val="right"/>
              <w:rPr>
                <w:rFonts w:ascii="Times New Roman"/>
                <w:sz w:val="18"/>
              </w:rPr>
            </w:pPr>
            <w:r>
              <w:rPr>
                <w:rFonts w:ascii="Times New Roman"/>
                <w:sz w:val="18"/>
              </w:rPr>
              <w:t>17.38</w:t>
            </w:r>
          </w:p>
        </w:tc>
        <w:tc>
          <w:tcPr>
            <w:tcW w:w="1230" w:type="dxa"/>
            <w:vMerge w:val="continue"/>
            <w:tcBorders>
              <w:top w:val="nil"/>
            </w:tcBorders>
          </w:tcPr>
          <w:p>
            <w:pPr>
              <w:rPr>
                <w:sz w:val="2"/>
                <w:szCs w:val="2"/>
              </w:rPr>
            </w:pPr>
          </w:p>
        </w:tc>
        <w:tc>
          <w:tcPr>
            <w:tcW w:w="577" w:type="dxa"/>
          </w:tcPr>
          <w:p>
            <w:pPr>
              <w:pStyle w:val="14"/>
              <w:spacing w:before="115"/>
              <w:ind w:left="198"/>
              <w:jc w:val="left"/>
              <w:rPr>
                <w:rFonts w:ascii="Times New Roman"/>
                <w:sz w:val="18"/>
              </w:rPr>
            </w:pPr>
            <w:r>
              <w:rPr>
                <w:rFonts w:ascii="Times New Roman"/>
                <w:sz w:val="18"/>
              </w:rPr>
              <w:t>95</w:t>
            </w: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115"/>
              <w:ind w:left="236" w:right="226"/>
              <w:rPr>
                <w:rFonts w:ascii="Times New Roman"/>
                <w:sz w:val="18"/>
              </w:rPr>
            </w:pPr>
            <w:r>
              <w:rPr>
                <w:rFonts w:ascii="Times New Roman"/>
                <w:sz w:val="18"/>
              </w:rPr>
              <w:t>10</w:t>
            </w:r>
          </w:p>
        </w:tc>
        <w:tc>
          <w:tcPr>
            <w:tcW w:w="779" w:type="dxa"/>
          </w:tcPr>
          <w:p>
            <w:pPr>
              <w:pStyle w:val="14"/>
              <w:spacing w:before="115"/>
              <w:ind w:left="6"/>
              <w:rPr>
                <w:rFonts w:ascii="Times New Roman"/>
                <w:sz w:val="18"/>
              </w:rPr>
            </w:pPr>
            <w:r>
              <w:rPr>
                <w:rFonts w:ascii="Times New Roman"/>
                <w:sz w:val="18"/>
              </w:rPr>
              <w:t>0</w:t>
            </w:r>
          </w:p>
        </w:tc>
        <w:tc>
          <w:tcPr>
            <w:tcW w:w="61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390" w:type="dxa"/>
            <w:vMerge w:val="continue"/>
            <w:tcBorders>
              <w:top w:val="nil"/>
            </w:tcBorders>
          </w:tcPr>
          <w:p>
            <w:pPr>
              <w:rPr>
                <w:sz w:val="2"/>
                <w:szCs w:val="2"/>
              </w:rPr>
            </w:pPr>
          </w:p>
        </w:tc>
        <w:tc>
          <w:tcPr>
            <w:tcW w:w="717" w:type="dxa"/>
          </w:tcPr>
          <w:p>
            <w:pPr>
              <w:pStyle w:val="14"/>
              <w:spacing w:before="108"/>
              <w:ind w:left="118" w:right="108"/>
              <w:rPr>
                <w:rFonts w:ascii="Times New Roman"/>
                <w:sz w:val="18"/>
              </w:rPr>
            </w:pPr>
            <w:r>
              <w:rPr>
                <w:rFonts w:ascii="Times New Roman"/>
                <w:sz w:val="18"/>
              </w:rPr>
              <w:t>SS</w:t>
            </w: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108"/>
              <w:ind w:left="232" w:right="226"/>
              <w:rPr>
                <w:rFonts w:ascii="Times New Roman"/>
                <w:sz w:val="18"/>
              </w:rPr>
            </w:pPr>
            <w:r>
              <w:rPr>
                <w:rFonts w:ascii="Times New Roman"/>
                <w:sz w:val="18"/>
              </w:rPr>
              <w:t>200</w:t>
            </w:r>
          </w:p>
        </w:tc>
        <w:tc>
          <w:tcPr>
            <w:tcW w:w="779" w:type="dxa"/>
          </w:tcPr>
          <w:p>
            <w:pPr>
              <w:pStyle w:val="14"/>
              <w:spacing w:before="108"/>
              <w:ind w:right="173"/>
              <w:jc w:val="right"/>
              <w:rPr>
                <w:rFonts w:ascii="Times New Roman"/>
                <w:sz w:val="18"/>
              </w:rPr>
            </w:pPr>
            <w:r>
              <w:rPr>
                <w:rFonts w:ascii="Times New Roman"/>
                <w:sz w:val="18"/>
              </w:rPr>
              <w:t>17.38</w:t>
            </w:r>
          </w:p>
        </w:tc>
        <w:tc>
          <w:tcPr>
            <w:tcW w:w="1230" w:type="dxa"/>
            <w:vMerge w:val="continue"/>
            <w:tcBorders>
              <w:top w:val="nil"/>
            </w:tcBorders>
          </w:tcPr>
          <w:p>
            <w:pPr>
              <w:rPr>
                <w:sz w:val="2"/>
                <w:szCs w:val="2"/>
              </w:rPr>
            </w:pPr>
          </w:p>
        </w:tc>
        <w:tc>
          <w:tcPr>
            <w:tcW w:w="577" w:type="dxa"/>
          </w:tcPr>
          <w:p>
            <w:pPr>
              <w:pStyle w:val="14"/>
              <w:spacing w:before="108"/>
              <w:ind w:left="198"/>
              <w:jc w:val="left"/>
              <w:rPr>
                <w:rFonts w:ascii="Times New Roman"/>
                <w:sz w:val="18"/>
              </w:rPr>
            </w:pPr>
            <w:r>
              <w:rPr>
                <w:rFonts w:ascii="Times New Roman"/>
                <w:sz w:val="18"/>
              </w:rPr>
              <w:t>95</w:t>
            </w: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108"/>
              <w:ind w:left="236" w:right="226"/>
              <w:rPr>
                <w:rFonts w:ascii="Times New Roman"/>
                <w:sz w:val="18"/>
              </w:rPr>
            </w:pPr>
            <w:r>
              <w:rPr>
                <w:rFonts w:ascii="Times New Roman"/>
                <w:sz w:val="18"/>
              </w:rPr>
              <w:t>10</w:t>
            </w:r>
          </w:p>
        </w:tc>
        <w:tc>
          <w:tcPr>
            <w:tcW w:w="779" w:type="dxa"/>
          </w:tcPr>
          <w:p>
            <w:pPr>
              <w:pStyle w:val="14"/>
              <w:spacing w:before="108"/>
              <w:ind w:left="6"/>
              <w:rPr>
                <w:rFonts w:ascii="Times New Roman"/>
                <w:sz w:val="18"/>
              </w:rPr>
            </w:pPr>
            <w:r>
              <w:rPr>
                <w:rFonts w:ascii="Times New Roman"/>
                <w:sz w:val="18"/>
              </w:rPr>
              <w:t>0</w:t>
            </w:r>
          </w:p>
        </w:tc>
        <w:tc>
          <w:tcPr>
            <w:tcW w:w="61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390" w:type="dxa"/>
            <w:vMerge w:val="continue"/>
            <w:tcBorders>
              <w:top w:val="nil"/>
            </w:tcBorders>
          </w:tcPr>
          <w:p>
            <w:pPr>
              <w:rPr>
                <w:sz w:val="2"/>
                <w:szCs w:val="2"/>
              </w:rPr>
            </w:pPr>
          </w:p>
        </w:tc>
        <w:tc>
          <w:tcPr>
            <w:tcW w:w="717" w:type="dxa"/>
          </w:tcPr>
          <w:p>
            <w:pPr>
              <w:pStyle w:val="14"/>
              <w:spacing w:before="80"/>
              <w:ind w:left="114" w:right="108"/>
              <w:rPr>
                <w:sz w:val="18"/>
              </w:rPr>
            </w:pPr>
            <w:r>
              <w:rPr>
                <w:sz w:val="18"/>
              </w:rPr>
              <w:t>氨氮</w:t>
            </w: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92"/>
              <w:ind w:left="234" w:right="226"/>
              <w:rPr>
                <w:rFonts w:ascii="Times New Roman"/>
                <w:sz w:val="18"/>
              </w:rPr>
            </w:pPr>
            <w:r>
              <w:rPr>
                <w:rFonts w:ascii="Times New Roman"/>
                <w:sz w:val="18"/>
              </w:rPr>
              <w:t>25</w:t>
            </w:r>
          </w:p>
        </w:tc>
        <w:tc>
          <w:tcPr>
            <w:tcW w:w="779" w:type="dxa"/>
          </w:tcPr>
          <w:p>
            <w:pPr>
              <w:pStyle w:val="14"/>
              <w:spacing w:before="92"/>
              <w:ind w:right="173"/>
              <w:jc w:val="right"/>
              <w:rPr>
                <w:rFonts w:ascii="Times New Roman"/>
                <w:sz w:val="18"/>
              </w:rPr>
            </w:pPr>
            <w:r>
              <w:rPr>
                <w:rFonts w:ascii="Times New Roman"/>
                <w:sz w:val="18"/>
              </w:rPr>
              <w:t>2.173</w:t>
            </w:r>
          </w:p>
        </w:tc>
        <w:tc>
          <w:tcPr>
            <w:tcW w:w="1230" w:type="dxa"/>
            <w:vMerge w:val="continue"/>
            <w:tcBorders>
              <w:top w:val="nil"/>
            </w:tcBorders>
          </w:tcPr>
          <w:p>
            <w:pPr>
              <w:rPr>
                <w:sz w:val="2"/>
                <w:szCs w:val="2"/>
              </w:rPr>
            </w:pPr>
          </w:p>
        </w:tc>
        <w:tc>
          <w:tcPr>
            <w:tcW w:w="577" w:type="dxa"/>
          </w:tcPr>
          <w:p>
            <w:pPr>
              <w:pStyle w:val="14"/>
              <w:spacing w:before="92"/>
              <w:ind w:left="198"/>
              <w:jc w:val="left"/>
              <w:rPr>
                <w:rFonts w:ascii="Times New Roman"/>
                <w:sz w:val="18"/>
              </w:rPr>
            </w:pPr>
            <w:r>
              <w:rPr>
                <w:rFonts w:ascii="Times New Roman"/>
                <w:sz w:val="18"/>
              </w:rPr>
              <w:t>75</w:t>
            </w: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92"/>
              <w:ind w:left="10"/>
              <w:rPr>
                <w:rFonts w:ascii="Times New Roman"/>
                <w:sz w:val="18"/>
              </w:rPr>
            </w:pPr>
            <w:r>
              <w:rPr>
                <w:rFonts w:ascii="Times New Roman"/>
                <w:sz w:val="18"/>
              </w:rPr>
              <w:t>5</w:t>
            </w:r>
          </w:p>
        </w:tc>
        <w:tc>
          <w:tcPr>
            <w:tcW w:w="779" w:type="dxa"/>
          </w:tcPr>
          <w:p>
            <w:pPr>
              <w:pStyle w:val="14"/>
              <w:spacing w:before="92"/>
              <w:ind w:left="6"/>
              <w:rPr>
                <w:rFonts w:ascii="Times New Roman"/>
                <w:sz w:val="18"/>
              </w:rPr>
            </w:pPr>
            <w:r>
              <w:rPr>
                <w:rFonts w:ascii="Times New Roman"/>
                <w:sz w:val="18"/>
              </w:rPr>
              <w:t>0</w:t>
            </w:r>
          </w:p>
        </w:tc>
        <w:tc>
          <w:tcPr>
            <w:tcW w:w="61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390" w:type="dxa"/>
            <w:vMerge w:val="continue"/>
            <w:tcBorders>
              <w:top w:val="nil"/>
            </w:tcBorders>
          </w:tcPr>
          <w:p>
            <w:pPr>
              <w:rPr>
                <w:sz w:val="2"/>
                <w:szCs w:val="2"/>
              </w:rPr>
            </w:pPr>
          </w:p>
        </w:tc>
        <w:tc>
          <w:tcPr>
            <w:tcW w:w="717" w:type="dxa"/>
          </w:tcPr>
          <w:p>
            <w:pPr>
              <w:pStyle w:val="14"/>
              <w:jc w:val="left"/>
              <w:rPr>
                <w:rFonts w:ascii="Times New Roman"/>
                <w:sz w:val="20"/>
              </w:rPr>
            </w:pP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92"/>
              <w:ind w:left="234" w:right="226"/>
              <w:rPr>
                <w:rFonts w:ascii="Times New Roman"/>
                <w:sz w:val="18"/>
              </w:rPr>
            </w:pPr>
            <w:r>
              <w:rPr>
                <w:rFonts w:ascii="Times New Roman"/>
                <w:sz w:val="18"/>
              </w:rPr>
              <w:t>25</w:t>
            </w:r>
          </w:p>
        </w:tc>
        <w:tc>
          <w:tcPr>
            <w:tcW w:w="779" w:type="dxa"/>
          </w:tcPr>
          <w:p>
            <w:pPr>
              <w:pStyle w:val="14"/>
              <w:spacing w:before="92"/>
              <w:ind w:right="173"/>
              <w:jc w:val="right"/>
              <w:rPr>
                <w:rFonts w:ascii="Times New Roman"/>
                <w:sz w:val="18"/>
              </w:rPr>
            </w:pPr>
            <w:r>
              <w:rPr>
                <w:rFonts w:ascii="Times New Roman"/>
                <w:sz w:val="18"/>
              </w:rPr>
              <w:t>2.173</w:t>
            </w:r>
          </w:p>
        </w:tc>
        <w:tc>
          <w:tcPr>
            <w:tcW w:w="1230" w:type="dxa"/>
            <w:vMerge w:val="continue"/>
            <w:tcBorders>
              <w:top w:val="nil"/>
            </w:tcBorders>
          </w:tcPr>
          <w:p>
            <w:pPr>
              <w:rPr>
                <w:sz w:val="2"/>
                <w:szCs w:val="2"/>
              </w:rPr>
            </w:pPr>
          </w:p>
        </w:tc>
        <w:tc>
          <w:tcPr>
            <w:tcW w:w="577" w:type="dxa"/>
          </w:tcPr>
          <w:p>
            <w:pPr>
              <w:pStyle w:val="14"/>
              <w:spacing w:before="92"/>
              <w:ind w:left="198"/>
              <w:jc w:val="left"/>
              <w:rPr>
                <w:rFonts w:ascii="Times New Roman"/>
                <w:sz w:val="18"/>
              </w:rPr>
            </w:pPr>
            <w:r>
              <w:rPr>
                <w:rFonts w:ascii="Times New Roman"/>
                <w:sz w:val="18"/>
              </w:rPr>
              <w:t>80</w:t>
            </w: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92"/>
              <w:ind w:left="10"/>
              <w:rPr>
                <w:rFonts w:ascii="Times New Roman"/>
                <w:sz w:val="18"/>
              </w:rPr>
            </w:pPr>
            <w:r>
              <w:rPr>
                <w:rFonts w:ascii="Times New Roman"/>
                <w:sz w:val="18"/>
              </w:rPr>
              <w:t>5</w:t>
            </w:r>
          </w:p>
        </w:tc>
        <w:tc>
          <w:tcPr>
            <w:tcW w:w="779" w:type="dxa"/>
          </w:tcPr>
          <w:p>
            <w:pPr>
              <w:pStyle w:val="14"/>
              <w:spacing w:before="92"/>
              <w:ind w:left="6"/>
              <w:rPr>
                <w:rFonts w:ascii="Times New Roman"/>
                <w:sz w:val="18"/>
              </w:rPr>
            </w:pPr>
            <w:r>
              <w:rPr>
                <w:rFonts w:ascii="Times New Roman"/>
                <w:sz w:val="18"/>
              </w:rPr>
              <w:t>0</w:t>
            </w:r>
          </w:p>
        </w:tc>
        <w:tc>
          <w:tcPr>
            <w:tcW w:w="618" w:type="dxa"/>
            <w:vMerge w:val="continue"/>
            <w:tcBorders>
              <w:top w:val="nil"/>
            </w:tcBorders>
          </w:tcPr>
          <w:p>
            <w:pPr>
              <w:rPr>
                <w:sz w:val="2"/>
                <w:szCs w:val="2"/>
              </w:rPr>
            </w:pPr>
          </w:p>
        </w:tc>
      </w:tr>
    </w:tbl>
    <w:p>
      <w:pPr>
        <w:pStyle w:val="6"/>
        <w:spacing w:before="4"/>
        <w:rPr>
          <w:rFonts w:ascii="黑体"/>
          <w:sz w:val="13"/>
        </w:rPr>
      </w:pPr>
    </w:p>
    <w:p>
      <w:pPr>
        <w:pStyle w:val="6"/>
        <w:spacing w:before="66" w:line="364" w:lineRule="auto"/>
        <w:ind w:left="511" w:right="407" w:firstLine="480"/>
      </w:pPr>
      <w:r>
        <w:t>通过以上对本工程水污染源排放情况的分析，确定本评价水环境评价因子为</w:t>
      </w:r>
      <w:r>
        <w:rPr>
          <w:spacing w:val="-14"/>
        </w:rPr>
        <w:t>氨氮、</w:t>
      </w:r>
      <w:r>
        <w:rPr>
          <w:rFonts w:ascii="Times New Roman" w:eastAsia="Times New Roman"/>
          <w:spacing w:val="-11"/>
        </w:rPr>
        <w:t>COD</w:t>
      </w:r>
      <w:r>
        <w:rPr>
          <w:spacing w:val="-11"/>
        </w:rPr>
        <w:t>，污染物排放浓度满足《煤炭工业污染物排放标准》</w:t>
      </w:r>
      <w:r>
        <w:t>（</w:t>
      </w:r>
      <w:r>
        <w:rPr>
          <w:rFonts w:ascii="Times New Roman" w:eastAsia="Times New Roman"/>
        </w:rPr>
        <w:t>GB20426-2006</w:t>
      </w:r>
      <w:r>
        <w:t xml:space="preserve">） </w:t>
      </w:r>
      <w:r>
        <w:rPr>
          <w:spacing w:val="-30"/>
        </w:rPr>
        <w:t xml:space="preserve">表 </w:t>
      </w:r>
      <w:r>
        <w:rPr>
          <w:rFonts w:ascii="Times New Roman" w:eastAsia="Times New Roman"/>
        </w:rPr>
        <w:t>1</w:t>
      </w:r>
      <w:r>
        <w:t>、</w:t>
      </w:r>
      <w:r>
        <w:rPr>
          <w:rFonts w:ascii="Times New Roman" w:eastAsia="Times New Roman"/>
        </w:rPr>
        <w:t xml:space="preserve">2 </w:t>
      </w:r>
      <w:r>
        <w:t>标准限值要求。</w:t>
      </w:r>
    </w:p>
    <w:p>
      <w:pPr>
        <w:pStyle w:val="13"/>
        <w:numPr>
          <w:ilvl w:val="0"/>
          <w:numId w:val="32"/>
        </w:numPr>
        <w:tabs>
          <w:tab w:val="left" w:pos="1593"/>
        </w:tabs>
        <w:spacing w:before="158" w:after="0" w:line="240" w:lineRule="auto"/>
        <w:ind w:left="1593" w:right="0" w:hanging="602"/>
        <w:jc w:val="left"/>
        <w:rPr>
          <w:sz w:val="24"/>
        </w:rPr>
      </w:pPr>
      <w:r>
        <w:rPr>
          <w:sz w:val="24"/>
        </w:rPr>
        <w:t>固体废物的源强分析</w:t>
      </w:r>
    </w:p>
    <w:p>
      <w:pPr>
        <w:pStyle w:val="6"/>
        <w:spacing w:before="9"/>
      </w:pPr>
    </w:p>
    <w:p>
      <w:pPr>
        <w:pStyle w:val="6"/>
        <w:spacing w:line="364" w:lineRule="auto"/>
        <w:ind w:left="511" w:right="533" w:firstLine="480"/>
      </w:pPr>
      <w:r>
        <w:t xml:space="preserve">本项目生产运营期主要固体废物为矸石、灰渣、生活垃圾、污泥、废润滑油和废机油。固体废物的最终产排量详见表 </w:t>
      </w:r>
      <w:r>
        <w:rPr>
          <w:rFonts w:ascii="Times New Roman" w:eastAsia="Times New Roman"/>
        </w:rPr>
        <w:t>3.4-7</w:t>
      </w:r>
      <w:r>
        <w:t>。</w:t>
      </w:r>
    </w:p>
    <w:p>
      <w:pPr>
        <w:pStyle w:val="6"/>
        <w:tabs>
          <w:tab w:val="left" w:pos="1039"/>
        </w:tabs>
        <w:spacing w:before="97" w:after="36"/>
        <w:ind w:right="17"/>
        <w:jc w:val="center"/>
        <w:rPr>
          <w:rFonts w:hint="eastAsia" w:ascii="黑体" w:eastAsia="黑体"/>
        </w:rPr>
      </w:pPr>
      <w:r>
        <w:rPr>
          <w:rFonts w:hint="eastAsia" w:ascii="黑体" w:eastAsia="黑体"/>
        </w:rPr>
        <w:t>表</w:t>
      </w:r>
      <w:r>
        <w:rPr>
          <w:rFonts w:hint="eastAsia" w:ascii="黑体" w:eastAsia="黑体"/>
          <w:spacing w:val="-61"/>
        </w:rPr>
        <w:t xml:space="preserve"> </w:t>
      </w:r>
      <w:r>
        <w:rPr>
          <w:rFonts w:ascii="Times New Roman" w:eastAsia="Times New Roman"/>
        </w:rPr>
        <w:t>3.4-7</w:t>
      </w:r>
      <w:r>
        <w:rPr>
          <w:rFonts w:ascii="Times New Roman" w:eastAsia="Times New Roman"/>
        </w:rPr>
        <w:tab/>
      </w:r>
      <w:r>
        <w:rPr>
          <w:rFonts w:hint="eastAsia" w:ascii="黑体" w:eastAsia="黑体"/>
        </w:rPr>
        <w:t>本项目固体废物污染源源强核算结果</w:t>
      </w:r>
    </w:p>
    <w:tbl>
      <w:tblPr>
        <w:tblStyle w:val="10"/>
        <w:tblW w:w="0" w:type="auto"/>
        <w:tblInd w:w="3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22"/>
        <w:gridCol w:w="1532"/>
        <w:gridCol w:w="1255"/>
        <w:gridCol w:w="1311"/>
        <w:gridCol w:w="26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922" w:type="dxa"/>
          </w:tcPr>
          <w:p>
            <w:pPr>
              <w:pStyle w:val="14"/>
              <w:spacing w:line="251" w:lineRule="exact"/>
              <w:ind w:left="108"/>
              <w:jc w:val="left"/>
              <w:rPr>
                <w:sz w:val="21"/>
              </w:rPr>
            </w:pPr>
            <w:r>
              <w:rPr>
                <w:sz w:val="21"/>
              </w:rPr>
              <w:t>装置</w:t>
            </w:r>
            <w:r>
              <w:rPr>
                <w:rFonts w:ascii="Times New Roman" w:eastAsia="Times New Roman"/>
                <w:sz w:val="21"/>
              </w:rPr>
              <w:t>/</w:t>
            </w:r>
            <w:r>
              <w:rPr>
                <w:sz w:val="21"/>
              </w:rPr>
              <w:t>生产环节</w:t>
            </w:r>
          </w:p>
        </w:tc>
        <w:tc>
          <w:tcPr>
            <w:tcW w:w="1532" w:type="dxa"/>
          </w:tcPr>
          <w:p>
            <w:pPr>
              <w:pStyle w:val="14"/>
              <w:spacing w:line="251" w:lineRule="exact"/>
              <w:ind w:left="108"/>
              <w:jc w:val="left"/>
              <w:rPr>
                <w:sz w:val="21"/>
              </w:rPr>
            </w:pPr>
            <w:r>
              <w:rPr>
                <w:sz w:val="21"/>
              </w:rPr>
              <w:t>固体废物名称</w:t>
            </w:r>
          </w:p>
        </w:tc>
        <w:tc>
          <w:tcPr>
            <w:tcW w:w="1255" w:type="dxa"/>
          </w:tcPr>
          <w:p>
            <w:pPr>
              <w:pStyle w:val="14"/>
              <w:spacing w:line="251" w:lineRule="exact"/>
              <w:ind w:left="107"/>
              <w:jc w:val="left"/>
              <w:rPr>
                <w:sz w:val="21"/>
              </w:rPr>
            </w:pPr>
            <w:r>
              <w:rPr>
                <w:sz w:val="21"/>
              </w:rPr>
              <w:t>固废属性</w:t>
            </w:r>
          </w:p>
        </w:tc>
        <w:tc>
          <w:tcPr>
            <w:tcW w:w="1311" w:type="dxa"/>
          </w:tcPr>
          <w:p>
            <w:pPr>
              <w:pStyle w:val="14"/>
              <w:spacing w:line="251" w:lineRule="exact"/>
              <w:ind w:left="108" w:right="-15"/>
              <w:jc w:val="left"/>
              <w:rPr>
                <w:sz w:val="21"/>
              </w:rPr>
            </w:pPr>
            <w:r>
              <w:rPr>
                <w:spacing w:val="-20"/>
                <w:sz w:val="21"/>
              </w:rPr>
              <w:t>产生量</w:t>
            </w:r>
            <w:r>
              <w:rPr>
                <w:sz w:val="21"/>
              </w:rPr>
              <w:t>（</w:t>
            </w:r>
            <w:r>
              <w:rPr>
                <w:rFonts w:ascii="Times New Roman" w:eastAsia="Times New Roman"/>
                <w:sz w:val="21"/>
              </w:rPr>
              <w:t>t/a</w:t>
            </w:r>
            <w:r>
              <w:rPr>
                <w:sz w:val="21"/>
              </w:rPr>
              <w:t>）</w:t>
            </w:r>
          </w:p>
        </w:tc>
        <w:tc>
          <w:tcPr>
            <w:tcW w:w="2699" w:type="dxa"/>
          </w:tcPr>
          <w:p>
            <w:pPr>
              <w:pStyle w:val="14"/>
              <w:spacing w:line="251" w:lineRule="exact"/>
              <w:ind w:left="107"/>
              <w:jc w:val="left"/>
              <w:rPr>
                <w:sz w:val="21"/>
              </w:rPr>
            </w:pPr>
            <w:r>
              <w:rPr>
                <w:sz w:val="21"/>
              </w:rPr>
              <w:t>最终去向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 w:hRule="atLeast"/>
        </w:trPr>
        <w:tc>
          <w:tcPr>
            <w:tcW w:w="1922" w:type="dxa"/>
          </w:tcPr>
          <w:p>
            <w:pPr>
              <w:pStyle w:val="14"/>
              <w:spacing w:before="4"/>
              <w:jc w:val="left"/>
              <w:rPr>
                <w:rFonts w:ascii="黑体"/>
                <w:sz w:val="21"/>
              </w:rPr>
            </w:pPr>
          </w:p>
          <w:p>
            <w:pPr>
              <w:pStyle w:val="14"/>
              <w:ind w:left="108"/>
              <w:jc w:val="left"/>
              <w:rPr>
                <w:sz w:val="21"/>
              </w:rPr>
            </w:pPr>
            <w:r>
              <w:rPr>
                <w:sz w:val="21"/>
              </w:rPr>
              <w:t>煤炭开采</w:t>
            </w:r>
          </w:p>
        </w:tc>
        <w:tc>
          <w:tcPr>
            <w:tcW w:w="1532" w:type="dxa"/>
          </w:tcPr>
          <w:p>
            <w:pPr>
              <w:pStyle w:val="14"/>
              <w:spacing w:before="4"/>
              <w:jc w:val="left"/>
              <w:rPr>
                <w:rFonts w:ascii="黑体"/>
                <w:sz w:val="21"/>
              </w:rPr>
            </w:pPr>
          </w:p>
          <w:p>
            <w:pPr>
              <w:pStyle w:val="14"/>
              <w:ind w:left="108"/>
              <w:jc w:val="left"/>
              <w:rPr>
                <w:sz w:val="21"/>
              </w:rPr>
            </w:pPr>
            <w:r>
              <w:rPr>
                <w:sz w:val="21"/>
              </w:rPr>
              <w:t>矸石</w:t>
            </w:r>
          </w:p>
        </w:tc>
        <w:tc>
          <w:tcPr>
            <w:tcW w:w="1255" w:type="dxa"/>
            <w:vMerge w:val="restart"/>
          </w:tcPr>
          <w:p>
            <w:pPr>
              <w:pStyle w:val="14"/>
              <w:jc w:val="left"/>
              <w:rPr>
                <w:rFonts w:ascii="黑体"/>
                <w:sz w:val="20"/>
              </w:rPr>
            </w:pPr>
          </w:p>
          <w:p>
            <w:pPr>
              <w:pStyle w:val="14"/>
              <w:jc w:val="left"/>
              <w:rPr>
                <w:rFonts w:ascii="黑体"/>
                <w:sz w:val="20"/>
              </w:rPr>
            </w:pPr>
          </w:p>
          <w:p>
            <w:pPr>
              <w:pStyle w:val="14"/>
              <w:spacing w:before="3"/>
              <w:jc w:val="left"/>
              <w:rPr>
                <w:rFonts w:ascii="黑体"/>
                <w:sz w:val="14"/>
              </w:rPr>
            </w:pPr>
          </w:p>
          <w:p>
            <w:pPr>
              <w:pStyle w:val="14"/>
              <w:spacing w:line="244" w:lineRule="auto"/>
              <w:ind w:left="107" w:right="297"/>
              <w:jc w:val="left"/>
              <w:rPr>
                <w:sz w:val="21"/>
              </w:rPr>
            </w:pPr>
            <w:r>
              <w:rPr>
                <w:sz w:val="21"/>
              </w:rPr>
              <w:t>一般固体废物</w:t>
            </w:r>
          </w:p>
        </w:tc>
        <w:tc>
          <w:tcPr>
            <w:tcW w:w="1311" w:type="dxa"/>
          </w:tcPr>
          <w:p>
            <w:pPr>
              <w:pStyle w:val="14"/>
              <w:spacing w:before="5"/>
              <w:jc w:val="left"/>
              <w:rPr>
                <w:rFonts w:ascii="黑体"/>
                <w:sz w:val="22"/>
              </w:rPr>
            </w:pPr>
          </w:p>
          <w:p>
            <w:pPr>
              <w:pStyle w:val="14"/>
              <w:ind w:left="108"/>
              <w:jc w:val="left"/>
              <w:rPr>
                <w:rFonts w:ascii="Times New Roman"/>
                <w:sz w:val="21"/>
              </w:rPr>
            </w:pPr>
            <w:r>
              <w:rPr>
                <w:rFonts w:ascii="Times New Roman"/>
                <w:sz w:val="21"/>
              </w:rPr>
              <w:t>30000</w:t>
            </w:r>
          </w:p>
        </w:tc>
        <w:tc>
          <w:tcPr>
            <w:tcW w:w="2699" w:type="dxa"/>
          </w:tcPr>
          <w:p>
            <w:pPr>
              <w:pStyle w:val="14"/>
              <w:spacing w:before="1" w:line="270" w:lineRule="atLeast"/>
              <w:ind w:left="107" w:right="97"/>
              <w:jc w:val="both"/>
              <w:rPr>
                <w:sz w:val="21"/>
              </w:rPr>
            </w:pPr>
            <w:r>
              <w:rPr>
                <w:spacing w:val="-6"/>
                <w:sz w:val="21"/>
              </w:rPr>
              <w:t>用来平整工业场地；用作公</w:t>
            </w:r>
            <w:r>
              <w:rPr>
                <w:spacing w:val="-7"/>
                <w:sz w:val="21"/>
              </w:rPr>
              <w:t>路的路基石料；用于填沟造</w:t>
            </w:r>
            <w:r>
              <w:rPr>
                <w:sz w:val="21"/>
              </w:rPr>
              <w:t>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922" w:type="dxa"/>
          </w:tcPr>
          <w:p>
            <w:pPr>
              <w:pStyle w:val="14"/>
              <w:spacing w:line="252" w:lineRule="exact"/>
              <w:ind w:left="108"/>
              <w:jc w:val="left"/>
              <w:rPr>
                <w:sz w:val="21"/>
              </w:rPr>
            </w:pPr>
            <w:r>
              <w:rPr>
                <w:sz w:val="21"/>
              </w:rPr>
              <w:t>热风炉和热水锅炉</w:t>
            </w:r>
          </w:p>
        </w:tc>
        <w:tc>
          <w:tcPr>
            <w:tcW w:w="1532" w:type="dxa"/>
          </w:tcPr>
          <w:p>
            <w:pPr>
              <w:pStyle w:val="14"/>
              <w:spacing w:line="252" w:lineRule="exact"/>
              <w:ind w:left="108"/>
              <w:jc w:val="left"/>
              <w:rPr>
                <w:sz w:val="21"/>
              </w:rPr>
            </w:pPr>
            <w:r>
              <w:rPr>
                <w:sz w:val="21"/>
              </w:rPr>
              <w:t>灰渣</w:t>
            </w:r>
          </w:p>
        </w:tc>
        <w:tc>
          <w:tcPr>
            <w:tcW w:w="1255" w:type="dxa"/>
            <w:vMerge w:val="continue"/>
            <w:tcBorders>
              <w:top w:val="nil"/>
            </w:tcBorders>
          </w:tcPr>
          <w:p>
            <w:pPr>
              <w:rPr>
                <w:sz w:val="2"/>
                <w:szCs w:val="2"/>
              </w:rPr>
            </w:pPr>
          </w:p>
        </w:tc>
        <w:tc>
          <w:tcPr>
            <w:tcW w:w="1311" w:type="dxa"/>
          </w:tcPr>
          <w:p>
            <w:pPr>
              <w:pStyle w:val="14"/>
              <w:spacing w:before="14" w:line="238" w:lineRule="exact"/>
              <w:ind w:left="108"/>
              <w:jc w:val="left"/>
              <w:rPr>
                <w:rFonts w:ascii="Times New Roman"/>
                <w:sz w:val="21"/>
              </w:rPr>
            </w:pPr>
            <w:r>
              <w:rPr>
                <w:rFonts w:ascii="Times New Roman"/>
                <w:sz w:val="21"/>
              </w:rPr>
              <w:t>1340</w:t>
            </w:r>
          </w:p>
        </w:tc>
        <w:tc>
          <w:tcPr>
            <w:tcW w:w="2699" w:type="dxa"/>
          </w:tcPr>
          <w:p>
            <w:pPr>
              <w:pStyle w:val="14"/>
              <w:spacing w:line="252" w:lineRule="exact"/>
              <w:ind w:left="107"/>
              <w:jc w:val="left"/>
              <w:rPr>
                <w:sz w:val="21"/>
              </w:rPr>
            </w:pPr>
            <w:r>
              <w:rPr>
                <w:sz w:val="21"/>
              </w:rPr>
              <w:t>外售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922" w:type="dxa"/>
          </w:tcPr>
          <w:p>
            <w:pPr>
              <w:pStyle w:val="14"/>
              <w:spacing w:line="251" w:lineRule="exact"/>
              <w:ind w:left="108"/>
              <w:jc w:val="left"/>
              <w:rPr>
                <w:sz w:val="21"/>
              </w:rPr>
            </w:pPr>
            <w:r>
              <w:rPr>
                <w:sz w:val="21"/>
              </w:rPr>
              <w:t>工作人员</w:t>
            </w:r>
          </w:p>
        </w:tc>
        <w:tc>
          <w:tcPr>
            <w:tcW w:w="1532" w:type="dxa"/>
          </w:tcPr>
          <w:p>
            <w:pPr>
              <w:pStyle w:val="14"/>
              <w:spacing w:line="251" w:lineRule="exact"/>
              <w:ind w:left="108"/>
              <w:jc w:val="left"/>
              <w:rPr>
                <w:sz w:val="21"/>
              </w:rPr>
            </w:pPr>
            <w:r>
              <w:rPr>
                <w:sz w:val="21"/>
              </w:rPr>
              <w:t>生活垃圾</w:t>
            </w:r>
          </w:p>
        </w:tc>
        <w:tc>
          <w:tcPr>
            <w:tcW w:w="1255" w:type="dxa"/>
            <w:vMerge w:val="continue"/>
            <w:tcBorders>
              <w:top w:val="nil"/>
            </w:tcBorders>
          </w:tcPr>
          <w:p>
            <w:pPr>
              <w:rPr>
                <w:sz w:val="2"/>
                <w:szCs w:val="2"/>
              </w:rPr>
            </w:pPr>
          </w:p>
        </w:tc>
        <w:tc>
          <w:tcPr>
            <w:tcW w:w="1311" w:type="dxa"/>
          </w:tcPr>
          <w:p>
            <w:pPr>
              <w:pStyle w:val="14"/>
              <w:spacing w:before="14" w:line="237" w:lineRule="exact"/>
              <w:ind w:left="108"/>
              <w:jc w:val="left"/>
              <w:rPr>
                <w:rFonts w:ascii="Times New Roman"/>
                <w:sz w:val="21"/>
              </w:rPr>
            </w:pPr>
            <w:r>
              <w:rPr>
                <w:rFonts w:ascii="Times New Roman"/>
                <w:sz w:val="21"/>
              </w:rPr>
              <w:t>110</w:t>
            </w:r>
          </w:p>
        </w:tc>
        <w:tc>
          <w:tcPr>
            <w:tcW w:w="2699" w:type="dxa"/>
          </w:tcPr>
          <w:p>
            <w:pPr>
              <w:pStyle w:val="14"/>
              <w:spacing w:line="251" w:lineRule="exact"/>
              <w:ind w:left="107"/>
              <w:jc w:val="left"/>
              <w:rPr>
                <w:sz w:val="21"/>
              </w:rPr>
            </w:pPr>
            <w:r>
              <w:rPr>
                <w:sz w:val="21"/>
              </w:rPr>
              <w:t>委托环卫部门统一清运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922" w:type="dxa"/>
          </w:tcPr>
          <w:p>
            <w:pPr>
              <w:pStyle w:val="14"/>
              <w:spacing w:before="1" w:line="270" w:lineRule="atLeast"/>
              <w:ind w:left="108" w:right="123"/>
              <w:jc w:val="left"/>
              <w:rPr>
                <w:sz w:val="21"/>
              </w:rPr>
            </w:pPr>
            <w:r>
              <w:rPr>
                <w:sz w:val="21"/>
              </w:rPr>
              <w:t xml:space="preserve">矿井水处理站和 </w:t>
            </w:r>
            <w:r>
              <w:rPr>
                <w:spacing w:val="-2"/>
                <w:sz w:val="21"/>
              </w:rPr>
              <w:t>生活污水处理设施</w:t>
            </w:r>
          </w:p>
        </w:tc>
        <w:tc>
          <w:tcPr>
            <w:tcW w:w="1532" w:type="dxa"/>
          </w:tcPr>
          <w:p>
            <w:pPr>
              <w:pStyle w:val="14"/>
              <w:spacing w:before="136"/>
              <w:ind w:left="108"/>
              <w:jc w:val="left"/>
              <w:rPr>
                <w:sz w:val="21"/>
              </w:rPr>
            </w:pPr>
            <w:r>
              <w:rPr>
                <w:sz w:val="21"/>
              </w:rPr>
              <w:t>污泥</w:t>
            </w:r>
          </w:p>
        </w:tc>
        <w:tc>
          <w:tcPr>
            <w:tcW w:w="1255" w:type="dxa"/>
            <w:vMerge w:val="continue"/>
            <w:tcBorders>
              <w:top w:val="nil"/>
            </w:tcBorders>
          </w:tcPr>
          <w:p>
            <w:pPr>
              <w:rPr>
                <w:sz w:val="2"/>
                <w:szCs w:val="2"/>
              </w:rPr>
            </w:pPr>
          </w:p>
        </w:tc>
        <w:tc>
          <w:tcPr>
            <w:tcW w:w="1311" w:type="dxa"/>
          </w:tcPr>
          <w:p>
            <w:pPr>
              <w:pStyle w:val="14"/>
              <w:spacing w:before="150"/>
              <w:ind w:left="108"/>
              <w:jc w:val="left"/>
              <w:rPr>
                <w:rFonts w:ascii="Times New Roman"/>
                <w:sz w:val="21"/>
              </w:rPr>
            </w:pPr>
            <w:r>
              <w:rPr>
                <w:rFonts w:ascii="Times New Roman"/>
                <w:sz w:val="21"/>
              </w:rPr>
              <w:t>1600</w:t>
            </w:r>
          </w:p>
        </w:tc>
        <w:tc>
          <w:tcPr>
            <w:tcW w:w="2699" w:type="dxa"/>
          </w:tcPr>
          <w:p>
            <w:pPr>
              <w:pStyle w:val="14"/>
              <w:spacing w:before="1" w:line="270" w:lineRule="atLeast"/>
              <w:ind w:left="107" w:right="270"/>
              <w:jc w:val="left"/>
              <w:rPr>
                <w:sz w:val="21"/>
              </w:rPr>
            </w:pPr>
            <w:r>
              <w:rPr>
                <w:sz w:val="21"/>
              </w:rPr>
              <w:t>脱水后委托环卫部门统一清运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1922" w:type="dxa"/>
          </w:tcPr>
          <w:p>
            <w:pPr>
              <w:pStyle w:val="14"/>
              <w:spacing w:before="3"/>
              <w:jc w:val="left"/>
              <w:rPr>
                <w:rFonts w:ascii="黑体"/>
                <w:sz w:val="21"/>
              </w:rPr>
            </w:pPr>
          </w:p>
          <w:p>
            <w:pPr>
              <w:pStyle w:val="14"/>
              <w:ind w:left="108"/>
              <w:jc w:val="left"/>
              <w:rPr>
                <w:sz w:val="21"/>
              </w:rPr>
            </w:pPr>
            <w:r>
              <w:rPr>
                <w:sz w:val="21"/>
              </w:rPr>
              <w:t>设备维修</w:t>
            </w:r>
          </w:p>
        </w:tc>
        <w:tc>
          <w:tcPr>
            <w:tcW w:w="1532" w:type="dxa"/>
          </w:tcPr>
          <w:p>
            <w:pPr>
              <w:pStyle w:val="14"/>
              <w:spacing w:before="3"/>
              <w:jc w:val="left"/>
              <w:rPr>
                <w:rFonts w:ascii="黑体"/>
                <w:sz w:val="21"/>
              </w:rPr>
            </w:pPr>
          </w:p>
          <w:p>
            <w:pPr>
              <w:pStyle w:val="14"/>
              <w:ind w:left="108"/>
              <w:jc w:val="left"/>
              <w:rPr>
                <w:sz w:val="21"/>
              </w:rPr>
            </w:pPr>
            <w:r>
              <w:rPr>
                <w:sz w:val="21"/>
              </w:rPr>
              <w:t>废机油</w:t>
            </w:r>
          </w:p>
        </w:tc>
        <w:tc>
          <w:tcPr>
            <w:tcW w:w="1255" w:type="dxa"/>
          </w:tcPr>
          <w:p>
            <w:pPr>
              <w:pStyle w:val="14"/>
              <w:spacing w:before="3"/>
              <w:jc w:val="left"/>
              <w:rPr>
                <w:rFonts w:ascii="黑体"/>
                <w:sz w:val="21"/>
              </w:rPr>
            </w:pPr>
          </w:p>
          <w:p>
            <w:pPr>
              <w:pStyle w:val="14"/>
              <w:ind w:left="107"/>
              <w:jc w:val="left"/>
              <w:rPr>
                <w:sz w:val="21"/>
              </w:rPr>
            </w:pPr>
            <w:r>
              <w:rPr>
                <w:sz w:val="21"/>
              </w:rPr>
              <w:t>危险废物</w:t>
            </w:r>
          </w:p>
        </w:tc>
        <w:tc>
          <w:tcPr>
            <w:tcW w:w="1311" w:type="dxa"/>
          </w:tcPr>
          <w:p>
            <w:pPr>
              <w:pStyle w:val="14"/>
              <w:spacing w:before="4"/>
              <w:jc w:val="left"/>
              <w:rPr>
                <w:rFonts w:ascii="黑体"/>
                <w:sz w:val="22"/>
              </w:rPr>
            </w:pPr>
          </w:p>
          <w:p>
            <w:pPr>
              <w:pStyle w:val="14"/>
              <w:ind w:left="108"/>
              <w:jc w:val="left"/>
              <w:rPr>
                <w:rFonts w:ascii="Times New Roman"/>
                <w:sz w:val="21"/>
              </w:rPr>
            </w:pPr>
            <w:r>
              <w:rPr>
                <w:rFonts w:ascii="Times New Roman"/>
                <w:sz w:val="21"/>
              </w:rPr>
              <w:t>0.02</w:t>
            </w:r>
          </w:p>
        </w:tc>
        <w:tc>
          <w:tcPr>
            <w:tcW w:w="2699" w:type="dxa"/>
          </w:tcPr>
          <w:p>
            <w:pPr>
              <w:pStyle w:val="14"/>
              <w:spacing w:line="268" w:lineRule="exact"/>
              <w:ind w:left="107"/>
              <w:jc w:val="left"/>
              <w:rPr>
                <w:sz w:val="21"/>
              </w:rPr>
            </w:pPr>
            <w:r>
              <w:rPr>
                <w:sz w:val="21"/>
              </w:rPr>
              <w:t>在危险废物暂存间内暂存，</w:t>
            </w:r>
          </w:p>
          <w:p>
            <w:pPr>
              <w:pStyle w:val="14"/>
              <w:spacing w:before="3" w:line="270" w:lineRule="atLeast"/>
              <w:ind w:left="107" w:right="270"/>
              <w:jc w:val="left"/>
              <w:rPr>
                <w:sz w:val="21"/>
              </w:rPr>
            </w:pPr>
            <w:r>
              <w:rPr>
                <w:sz w:val="21"/>
              </w:rPr>
              <w:t>定期委托有资质单位收集或处置</w:t>
            </w:r>
          </w:p>
        </w:tc>
      </w:tr>
    </w:tbl>
    <w:p>
      <w:pPr>
        <w:pStyle w:val="6"/>
        <w:tabs>
          <w:tab w:val="left" w:pos="1039"/>
        </w:tabs>
        <w:spacing w:before="1" w:after="3"/>
        <w:ind w:right="17"/>
        <w:jc w:val="center"/>
        <w:rPr>
          <w:rFonts w:hint="eastAsia" w:ascii="黑体" w:eastAsia="黑体"/>
        </w:rPr>
      </w:pPr>
      <w:r>
        <w:rPr>
          <w:rFonts w:hint="eastAsia" w:ascii="黑体" w:eastAsia="黑体"/>
        </w:rPr>
        <w:t>表</w:t>
      </w:r>
      <w:r>
        <w:rPr>
          <w:rFonts w:hint="eastAsia" w:ascii="黑体" w:eastAsia="黑体"/>
          <w:spacing w:val="-61"/>
        </w:rPr>
        <w:t xml:space="preserve"> </w:t>
      </w:r>
      <w:r>
        <w:rPr>
          <w:rFonts w:ascii="Times New Roman" w:eastAsia="Times New Roman"/>
        </w:rPr>
        <w:t>3.4-8</w:t>
      </w:r>
      <w:r>
        <w:rPr>
          <w:rFonts w:ascii="Times New Roman" w:eastAsia="Times New Roman"/>
        </w:rPr>
        <w:tab/>
      </w:r>
      <w:r>
        <w:rPr>
          <w:rFonts w:hint="eastAsia" w:ascii="黑体" w:eastAsia="黑体"/>
        </w:rPr>
        <w:t>本项目危险废物汇总表</w:t>
      </w:r>
    </w:p>
    <w:tbl>
      <w:tblPr>
        <w:tblStyle w:val="10"/>
        <w:tblW w:w="0" w:type="auto"/>
        <w:tblInd w:w="1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4"/>
        <w:gridCol w:w="1357"/>
        <w:gridCol w:w="912"/>
        <w:gridCol w:w="1067"/>
        <w:gridCol w:w="879"/>
        <w:gridCol w:w="1445"/>
        <w:gridCol w:w="439"/>
        <w:gridCol w:w="729"/>
        <w:gridCol w:w="19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444" w:type="dxa"/>
          </w:tcPr>
          <w:p>
            <w:pPr>
              <w:pStyle w:val="14"/>
              <w:ind w:left="106"/>
              <w:jc w:val="left"/>
              <w:rPr>
                <w:sz w:val="21"/>
              </w:rPr>
            </w:pPr>
            <w:r>
              <w:rPr>
                <w:w w:val="99"/>
                <w:sz w:val="21"/>
              </w:rPr>
              <w:t>序</w:t>
            </w:r>
          </w:p>
          <w:p>
            <w:pPr>
              <w:pStyle w:val="14"/>
              <w:spacing w:before="5" w:line="251" w:lineRule="exact"/>
              <w:ind w:left="106"/>
              <w:jc w:val="left"/>
              <w:rPr>
                <w:sz w:val="21"/>
              </w:rPr>
            </w:pPr>
            <w:r>
              <w:rPr>
                <w:w w:val="99"/>
                <w:sz w:val="21"/>
              </w:rPr>
              <w:t>号</w:t>
            </w:r>
          </w:p>
        </w:tc>
        <w:tc>
          <w:tcPr>
            <w:tcW w:w="1357" w:type="dxa"/>
          </w:tcPr>
          <w:p>
            <w:pPr>
              <w:pStyle w:val="14"/>
              <w:ind w:left="106"/>
              <w:jc w:val="left"/>
              <w:rPr>
                <w:sz w:val="21"/>
              </w:rPr>
            </w:pPr>
            <w:r>
              <w:rPr>
                <w:sz w:val="21"/>
              </w:rPr>
              <w:t>危险废物</w:t>
            </w:r>
          </w:p>
          <w:p>
            <w:pPr>
              <w:pStyle w:val="14"/>
              <w:spacing w:before="5" w:line="251" w:lineRule="exact"/>
              <w:ind w:left="106"/>
              <w:jc w:val="left"/>
              <w:rPr>
                <w:sz w:val="21"/>
              </w:rPr>
            </w:pPr>
            <w:r>
              <w:rPr>
                <w:sz w:val="21"/>
              </w:rPr>
              <w:t>名称</w:t>
            </w:r>
          </w:p>
        </w:tc>
        <w:tc>
          <w:tcPr>
            <w:tcW w:w="912" w:type="dxa"/>
          </w:tcPr>
          <w:p>
            <w:pPr>
              <w:pStyle w:val="14"/>
              <w:ind w:left="107"/>
              <w:jc w:val="left"/>
              <w:rPr>
                <w:sz w:val="21"/>
              </w:rPr>
            </w:pPr>
            <w:r>
              <w:rPr>
                <w:w w:val="95"/>
                <w:sz w:val="21"/>
              </w:rPr>
              <w:t>危险废</w:t>
            </w:r>
          </w:p>
          <w:p>
            <w:pPr>
              <w:pStyle w:val="14"/>
              <w:spacing w:before="5" w:line="251" w:lineRule="exact"/>
              <w:ind w:left="107"/>
              <w:jc w:val="left"/>
              <w:rPr>
                <w:sz w:val="21"/>
              </w:rPr>
            </w:pPr>
            <w:r>
              <w:rPr>
                <w:w w:val="95"/>
                <w:sz w:val="21"/>
              </w:rPr>
              <w:t>物类别</w:t>
            </w:r>
          </w:p>
        </w:tc>
        <w:tc>
          <w:tcPr>
            <w:tcW w:w="1067" w:type="dxa"/>
          </w:tcPr>
          <w:p>
            <w:pPr>
              <w:pStyle w:val="14"/>
              <w:ind w:left="107"/>
              <w:jc w:val="left"/>
              <w:rPr>
                <w:sz w:val="21"/>
              </w:rPr>
            </w:pPr>
            <w:r>
              <w:rPr>
                <w:sz w:val="21"/>
              </w:rPr>
              <w:t>危险废物</w:t>
            </w:r>
          </w:p>
          <w:p>
            <w:pPr>
              <w:pStyle w:val="14"/>
              <w:spacing w:before="5" w:line="251" w:lineRule="exact"/>
              <w:ind w:left="107"/>
              <w:jc w:val="left"/>
              <w:rPr>
                <w:sz w:val="21"/>
              </w:rPr>
            </w:pPr>
            <w:r>
              <w:rPr>
                <w:sz w:val="21"/>
              </w:rPr>
              <w:t>代码</w:t>
            </w:r>
          </w:p>
        </w:tc>
        <w:tc>
          <w:tcPr>
            <w:tcW w:w="879" w:type="dxa"/>
          </w:tcPr>
          <w:p>
            <w:pPr>
              <w:pStyle w:val="14"/>
              <w:spacing w:before="15"/>
              <w:ind w:left="106"/>
              <w:jc w:val="left"/>
              <w:rPr>
                <w:sz w:val="21"/>
              </w:rPr>
            </w:pPr>
            <w:r>
              <w:rPr>
                <w:sz w:val="21"/>
              </w:rPr>
              <w:t>产生量</w:t>
            </w:r>
          </w:p>
          <w:p>
            <w:pPr>
              <w:pStyle w:val="14"/>
              <w:spacing w:before="4" w:line="237" w:lineRule="exact"/>
              <w:ind w:left="106"/>
              <w:jc w:val="left"/>
              <w:rPr>
                <w:rFonts w:ascii="Times New Roman"/>
                <w:sz w:val="21"/>
              </w:rPr>
            </w:pPr>
            <w:r>
              <w:rPr>
                <w:rFonts w:ascii="Times New Roman"/>
                <w:sz w:val="21"/>
              </w:rPr>
              <w:t>(t/a)</w:t>
            </w:r>
          </w:p>
        </w:tc>
        <w:tc>
          <w:tcPr>
            <w:tcW w:w="1445" w:type="dxa"/>
          </w:tcPr>
          <w:p>
            <w:pPr>
              <w:pStyle w:val="14"/>
              <w:ind w:left="108"/>
              <w:jc w:val="left"/>
              <w:rPr>
                <w:sz w:val="21"/>
              </w:rPr>
            </w:pPr>
            <w:r>
              <w:rPr>
                <w:sz w:val="21"/>
              </w:rPr>
              <w:t>产生工序及</w:t>
            </w:r>
          </w:p>
          <w:p>
            <w:pPr>
              <w:pStyle w:val="14"/>
              <w:spacing w:before="5" w:line="251" w:lineRule="exact"/>
              <w:ind w:left="108"/>
              <w:jc w:val="left"/>
              <w:rPr>
                <w:sz w:val="21"/>
              </w:rPr>
            </w:pPr>
            <w:r>
              <w:rPr>
                <w:sz w:val="21"/>
              </w:rPr>
              <w:t>装置</w:t>
            </w:r>
          </w:p>
        </w:tc>
        <w:tc>
          <w:tcPr>
            <w:tcW w:w="439" w:type="dxa"/>
          </w:tcPr>
          <w:p>
            <w:pPr>
              <w:pStyle w:val="14"/>
              <w:ind w:left="108"/>
              <w:jc w:val="left"/>
              <w:rPr>
                <w:sz w:val="21"/>
              </w:rPr>
            </w:pPr>
            <w:r>
              <w:rPr>
                <w:w w:val="99"/>
                <w:sz w:val="21"/>
              </w:rPr>
              <w:t>形</w:t>
            </w:r>
          </w:p>
          <w:p>
            <w:pPr>
              <w:pStyle w:val="14"/>
              <w:spacing w:before="5" w:line="251" w:lineRule="exact"/>
              <w:ind w:left="108"/>
              <w:jc w:val="left"/>
              <w:rPr>
                <w:sz w:val="21"/>
              </w:rPr>
            </w:pPr>
            <w:r>
              <w:rPr>
                <w:w w:val="99"/>
                <w:sz w:val="21"/>
              </w:rPr>
              <w:t>态</w:t>
            </w:r>
          </w:p>
        </w:tc>
        <w:tc>
          <w:tcPr>
            <w:tcW w:w="729" w:type="dxa"/>
          </w:tcPr>
          <w:p>
            <w:pPr>
              <w:pStyle w:val="14"/>
              <w:ind w:left="108"/>
              <w:jc w:val="left"/>
              <w:rPr>
                <w:sz w:val="21"/>
              </w:rPr>
            </w:pPr>
            <w:r>
              <w:rPr>
                <w:spacing w:val="-1"/>
                <w:w w:val="95"/>
                <w:sz w:val="21"/>
              </w:rPr>
              <w:t>危险</w:t>
            </w:r>
          </w:p>
          <w:p>
            <w:pPr>
              <w:pStyle w:val="14"/>
              <w:spacing w:before="5" w:line="251" w:lineRule="exact"/>
              <w:ind w:left="108"/>
              <w:jc w:val="left"/>
              <w:rPr>
                <w:sz w:val="21"/>
              </w:rPr>
            </w:pPr>
            <w:r>
              <w:rPr>
                <w:spacing w:val="-1"/>
                <w:w w:val="95"/>
                <w:sz w:val="21"/>
              </w:rPr>
              <w:t>特性</w:t>
            </w:r>
          </w:p>
        </w:tc>
        <w:tc>
          <w:tcPr>
            <w:tcW w:w="1910" w:type="dxa"/>
          </w:tcPr>
          <w:p>
            <w:pPr>
              <w:pStyle w:val="14"/>
              <w:spacing w:before="135"/>
              <w:ind w:left="106"/>
              <w:jc w:val="left"/>
              <w:rPr>
                <w:sz w:val="21"/>
              </w:rPr>
            </w:pPr>
            <w:r>
              <w:rPr>
                <w:sz w:val="21"/>
              </w:rPr>
              <w:t>污染防治措施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9" w:hRule="atLeast"/>
        </w:trPr>
        <w:tc>
          <w:tcPr>
            <w:tcW w:w="444" w:type="dxa"/>
          </w:tcPr>
          <w:p>
            <w:pPr>
              <w:pStyle w:val="14"/>
              <w:spacing w:before="11"/>
              <w:jc w:val="left"/>
              <w:rPr>
                <w:rFonts w:ascii="黑体"/>
                <w:sz w:val="32"/>
              </w:rPr>
            </w:pPr>
          </w:p>
          <w:p>
            <w:pPr>
              <w:pStyle w:val="14"/>
              <w:spacing w:before="1"/>
              <w:ind w:left="106"/>
              <w:jc w:val="left"/>
              <w:rPr>
                <w:rFonts w:ascii="Times New Roman"/>
                <w:sz w:val="21"/>
              </w:rPr>
            </w:pPr>
            <w:r>
              <w:rPr>
                <w:rFonts w:ascii="Times New Roman"/>
                <w:w w:val="99"/>
                <w:sz w:val="21"/>
              </w:rPr>
              <w:t>1</w:t>
            </w:r>
          </w:p>
        </w:tc>
        <w:tc>
          <w:tcPr>
            <w:tcW w:w="1357" w:type="dxa"/>
          </w:tcPr>
          <w:p>
            <w:pPr>
              <w:pStyle w:val="14"/>
              <w:jc w:val="left"/>
              <w:rPr>
                <w:rFonts w:ascii="黑体"/>
                <w:sz w:val="20"/>
              </w:rPr>
            </w:pPr>
          </w:p>
          <w:p>
            <w:pPr>
              <w:pStyle w:val="14"/>
              <w:spacing w:before="151"/>
              <w:ind w:left="106"/>
              <w:jc w:val="left"/>
              <w:rPr>
                <w:sz w:val="21"/>
              </w:rPr>
            </w:pPr>
            <w:r>
              <w:rPr>
                <w:sz w:val="21"/>
              </w:rPr>
              <w:t>废机油</w:t>
            </w:r>
          </w:p>
        </w:tc>
        <w:tc>
          <w:tcPr>
            <w:tcW w:w="912" w:type="dxa"/>
          </w:tcPr>
          <w:p>
            <w:pPr>
              <w:pStyle w:val="14"/>
              <w:spacing w:before="11"/>
              <w:jc w:val="left"/>
              <w:rPr>
                <w:rFonts w:ascii="黑体"/>
                <w:sz w:val="32"/>
              </w:rPr>
            </w:pPr>
          </w:p>
          <w:p>
            <w:pPr>
              <w:pStyle w:val="14"/>
              <w:spacing w:before="1"/>
              <w:ind w:left="107"/>
              <w:jc w:val="left"/>
              <w:rPr>
                <w:rFonts w:ascii="Times New Roman"/>
                <w:sz w:val="21"/>
              </w:rPr>
            </w:pPr>
            <w:r>
              <w:rPr>
                <w:rFonts w:ascii="Times New Roman"/>
                <w:sz w:val="21"/>
              </w:rPr>
              <w:t>HW08</w:t>
            </w:r>
          </w:p>
        </w:tc>
        <w:tc>
          <w:tcPr>
            <w:tcW w:w="1067" w:type="dxa"/>
          </w:tcPr>
          <w:p>
            <w:pPr>
              <w:pStyle w:val="14"/>
              <w:spacing w:before="7"/>
              <w:jc w:val="left"/>
              <w:rPr>
                <w:rFonts w:ascii="黑体"/>
                <w:sz w:val="23"/>
              </w:rPr>
            </w:pPr>
          </w:p>
          <w:p>
            <w:pPr>
              <w:pStyle w:val="14"/>
              <w:spacing w:line="241" w:lineRule="exact"/>
              <w:ind w:left="107"/>
              <w:jc w:val="left"/>
              <w:rPr>
                <w:rFonts w:ascii="Times New Roman"/>
                <w:sz w:val="21"/>
              </w:rPr>
            </w:pPr>
            <w:r>
              <w:rPr>
                <w:rFonts w:ascii="Times New Roman"/>
                <w:sz w:val="21"/>
              </w:rPr>
              <w:t>900-217-</w:t>
            </w:r>
          </w:p>
          <w:p>
            <w:pPr>
              <w:pStyle w:val="14"/>
              <w:spacing w:line="241" w:lineRule="exact"/>
              <w:ind w:left="107"/>
              <w:jc w:val="left"/>
              <w:rPr>
                <w:rFonts w:ascii="Times New Roman"/>
                <w:sz w:val="21"/>
              </w:rPr>
            </w:pPr>
            <w:r>
              <w:rPr>
                <w:rFonts w:ascii="Times New Roman"/>
                <w:sz w:val="21"/>
              </w:rPr>
              <w:t>08</w:t>
            </w:r>
          </w:p>
        </w:tc>
        <w:tc>
          <w:tcPr>
            <w:tcW w:w="879" w:type="dxa"/>
          </w:tcPr>
          <w:p>
            <w:pPr>
              <w:pStyle w:val="14"/>
              <w:spacing w:before="11"/>
              <w:jc w:val="left"/>
              <w:rPr>
                <w:rFonts w:ascii="黑体"/>
                <w:sz w:val="32"/>
              </w:rPr>
            </w:pPr>
          </w:p>
          <w:p>
            <w:pPr>
              <w:pStyle w:val="14"/>
              <w:spacing w:before="1"/>
              <w:ind w:left="106"/>
              <w:jc w:val="left"/>
              <w:rPr>
                <w:rFonts w:ascii="Times New Roman"/>
                <w:sz w:val="21"/>
              </w:rPr>
            </w:pPr>
            <w:r>
              <w:rPr>
                <w:rFonts w:ascii="Times New Roman"/>
                <w:sz w:val="21"/>
              </w:rPr>
              <w:t>0.02</w:t>
            </w:r>
          </w:p>
        </w:tc>
        <w:tc>
          <w:tcPr>
            <w:tcW w:w="1445" w:type="dxa"/>
          </w:tcPr>
          <w:p>
            <w:pPr>
              <w:pStyle w:val="14"/>
              <w:jc w:val="left"/>
              <w:rPr>
                <w:rFonts w:ascii="黑体"/>
                <w:sz w:val="20"/>
              </w:rPr>
            </w:pPr>
          </w:p>
          <w:p>
            <w:pPr>
              <w:pStyle w:val="14"/>
              <w:spacing w:before="151"/>
              <w:ind w:left="108"/>
              <w:jc w:val="left"/>
              <w:rPr>
                <w:sz w:val="21"/>
              </w:rPr>
            </w:pPr>
            <w:r>
              <w:rPr>
                <w:sz w:val="21"/>
              </w:rPr>
              <w:t>设备维修</w:t>
            </w:r>
          </w:p>
        </w:tc>
        <w:tc>
          <w:tcPr>
            <w:tcW w:w="439" w:type="dxa"/>
          </w:tcPr>
          <w:p>
            <w:pPr>
              <w:pStyle w:val="14"/>
              <w:spacing w:before="2"/>
              <w:jc w:val="left"/>
              <w:rPr>
                <w:rFonts w:ascii="黑体"/>
                <w:sz w:val="21"/>
              </w:rPr>
            </w:pPr>
          </w:p>
          <w:p>
            <w:pPr>
              <w:pStyle w:val="14"/>
              <w:spacing w:line="244" w:lineRule="auto"/>
              <w:ind w:left="108" w:right="109"/>
              <w:jc w:val="left"/>
              <w:rPr>
                <w:sz w:val="21"/>
              </w:rPr>
            </w:pPr>
            <w:r>
              <w:rPr>
                <w:sz w:val="21"/>
              </w:rPr>
              <w:t>液体</w:t>
            </w:r>
          </w:p>
        </w:tc>
        <w:tc>
          <w:tcPr>
            <w:tcW w:w="729" w:type="dxa"/>
          </w:tcPr>
          <w:p>
            <w:pPr>
              <w:pStyle w:val="14"/>
              <w:spacing w:before="11"/>
              <w:jc w:val="left"/>
              <w:rPr>
                <w:rFonts w:ascii="黑体"/>
                <w:sz w:val="32"/>
              </w:rPr>
            </w:pPr>
          </w:p>
          <w:p>
            <w:pPr>
              <w:pStyle w:val="14"/>
              <w:spacing w:before="1"/>
              <w:ind w:left="108"/>
              <w:jc w:val="left"/>
              <w:rPr>
                <w:rFonts w:ascii="Times New Roman"/>
                <w:sz w:val="21"/>
              </w:rPr>
            </w:pPr>
            <w:r>
              <w:rPr>
                <w:rFonts w:ascii="Times New Roman"/>
                <w:sz w:val="21"/>
              </w:rPr>
              <w:t>T/In</w:t>
            </w:r>
          </w:p>
        </w:tc>
        <w:tc>
          <w:tcPr>
            <w:tcW w:w="1910" w:type="dxa"/>
          </w:tcPr>
          <w:p>
            <w:pPr>
              <w:pStyle w:val="14"/>
              <w:spacing w:line="242" w:lineRule="auto"/>
              <w:ind w:left="106" w:right="113"/>
              <w:jc w:val="both"/>
              <w:rPr>
                <w:sz w:val="21"/>
              </w:rPr>
            </w:pPr>
            <w:r>
              <w:rPr>
                <w:sz w:val="21"/>
              </w:rPr>
              <w:t>在危险废物暂存间内暂存，定期委托有资质单位收集或</w:t>
            </w:r>
          </w:p>
          <w:p>
            <w:pPr>
              <w:pStyle w:val="14"/>
              <w:spacing w:line="253" w:lineRule="exact"/>
              <w:ind w:left="106"/>
              <w:jc w:val="left"/>
              <w:rPr>
                <w:sz w:val="21"/>
              </w:rPr>
            </w:pPr>
            <w:r>
              <w:rPr>
                <w:sz w:val="21"/>
              </w:rPr>
              <w:t>处置</w:t>
            </w:r>
          </w:p>
        </w:tc>
      </w:tr>
    </w:tbl>
    <w:p>
      <w:pPr>
        <w:pStyle w:val="6"/>
        <w:spacing w:before="1" w:line="364" w:lineRule="auto"/>
        <w:ind w:left="511" w:right="524" w:firstLine="420"/>
      </w:pPr>
      <w:r>
        <w:rPr>
          <w:spacing w:val="-5"/>
        </w:rPr>
        <w:t xml:space="preserve">矸石量按照煤炭开采能力 </w:t>
      </w:r>
      <w:r>
        <w:rPr>
          <w:rFonts w:ascii="Times New Roman" w:hAnsi="Times New Roman" w:eastAsia="Times New Roman"/>
        </w:rPr>
        <w:t>10%</w:t>
      </w:r>
      <w:r>
        <w:rPr>
          <w:spacing w:val="-11"/>
        </w:rPr>
        <w:t xml:space="preserve">估算，生活垃圾按照 </w:t>
      </w:r>
      <w:r>
        <w:rPr>
          <w:rFonts w:ascii="Times New Roman" w:hAnsi="Times New Roman" w:eastAsia="Times New Roman"/>
          <w:spacing w:val="-4"/>
        </w:rPr>
        <w:t>0.5kg/</w:t>
      </w:r>
      <w:r>
        <w:rPr>
          <w:spacing w:val="-4"/>
        </w:rPr>
        <w:t>（</w:t>
      </w:r>
      <w:r>
        <w:t>人</w:t>
      </w:r>
      <w:r>
        <w:rPr>
          <w:rFonts w:ascii="Times New Roman" w:hAnsi="Times New Roman" w:eastAsia="Times New Roman"/>
          <w:spacing w:val="-9"/>
        </w:rPr>
        <w:t>·d</w:t>
      </w:r>
      <w:r>
        <w:rPr>
          <w:spacing w:val="-9"/>
        </w:rPr>
        <w:t>）</w:t>
      </w:r>
      <w:r>
        <w:rPr>
          <w:spacing w:val="-8"/>
        </w:rPr>
        <w:t>估算，灰渣</w:t>
      </w:r>
      <w:r>
        <w:t>量按照下面公式核算。</w:t>
      </w:r>
    </w:p>
    <w:p>
      <w:pPr>
        <w:pStyle w:val="6"/>
        <w:spacing w:line="306" w:lineRule="exact"/>
        <w:ind w:left="931"/>
      </w:pPr>
      <w:r>
        <w:t>燃生物质锅炉灰渣：</w:t>
      </w:r>
    </w:p>
    <w:p>
      <w:pPr>
        <w:spacing w:after="0" w:line="306" w:lineRule="exact"/>
        <w:sectPr>
          <w:pgSz w:w="11910" w:h="16840"/>
          <w:pgMar w:top="1420" w:right="1220" w:bottom="1180" w:left="1240" w:header="0" w:footer="997" w:gutter="0"/>
        </w:sectPr>
      </w:pPr>
    </w:p>
    <w:p>
      <w:pPr>
        <w:pStyle w:val="6"/>
        <w:ind w:left="3072"/>
        <w:rPr>
          <w:sz w:val="20"/>
        </w:rPr>
      </w:pPr>
      <w:r>
        <w:rPr>
          <w:sz w:val="20"/>
        </w:rPr>
        <w:drawing>
          <wp:inline distT="0" distB="0" distL="0" distR="0">
            <wp:extent cx="1971675" cy="517525"/>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47" cstate="print"/>
                    <a:stretch>
                      <a:fillRect/>
                    </a:stretch>
                  </pic:blipFill>
                  <pic:spPr>
                    <a:xfrm>
                      <a:off x="0" y="0"/>
                      <a:ext cx="1972187" cy="518159"/>
                    </a:xfrm>
                    <a:prstGeom prst="rect">
                      <a:avLst/>
                    </a:prstGeom>
                  </pic:spPr>
                </pic:pic>
              </a:graphicData>
            </a:graphic>
          </wp:inline>
        </w:drawing>
      </w:r>
    </w:p>
    <w:p>
      <w:pPr>
        <w:pStyle w:val="6"/>
        <w:spacing w:before="10"/>
        <w:rPr>
          <w:sz w:val="7"/>
        </w:rPr>
      </w:pPr>
    </w:p>
    <w:p>
      <w:pPr>
        <w:pStyle w:val="6"/>
        <w:spacing w:before="74"/>
        <w:ind w:left="931"/>
      </w:pPr>
      <w:r>
        <w:t xml:space="preserve">经计算，本项目锅炉灰渣量约为 </w:t>
      </w:r>
      <w:r>
        <w:rPr>
          <w:rFonts w:ascii="Times New Roman" w:eastAsia="Times New Roman"/>
        </w:rPr>
        <w:t>1340t/a</w:t>
      </w:r>
      <w:r>
        <w:t>。</w:t>
      </w:r>
    </w:p>
    <w:p>
      <w:pPr>
        <w:pStyle w:val="13"/>
        <w:numPr>
          <w:ilvl w:val="0"/>
          <w:numId w:val="32"/>
        </w:numPr>
        <w:tabs>
          <w:tab w:val="left" w:pos="1533"/>
        </w:tabs>
        <w:spacing w:before="160" w:after="0" w:line="240" w:lineRule="auto"/>
        <w:ind w:left="1533" w:right="0" w:hanging="602"/>
        <w:jc w:val="left"/>
        <w:rPr>
          <w:sz w:val="24"/>
        </w:rPr>
      </w:pPr>
      <w:r>
        <w:rPr>
          <w:sz w:val="24"/>
        </w:rPr>
        <w:t>主要噪声污染源及源强</w:t>
      </w:r>
    </w:p>
    <w:p>
      <w:pPr>
        <w:pStyle w:val="6"/>
        <w:spacing w:before="158" w:line="364" w:lineRule="auto"/>
        <w:ind w:left="511" w:right="527" w:firstLine="420"/>
        <w:jc w:val="both"/>
      </w:pPr>
      <w:r>
        <w:t>工业场地的主要噪声源有主副井绞车系统的提升机，回风井通风机房的通风</w:t>
      </w:r>
      <w:r>
        <w:rPr>
          <w:spacing w:val="-1"/>
        </w:rPr>
        <w:t>机及电机，锅炉房内的鼓风机和引风机，压风机房的空气压缩机等。噪声的主要</w:t>
      </w:r>
      <w:r>
        <w:rPr>
          <w:spacing w:val="-8"/>
        </w:rPr>
        <w:t xml:space="preserve">类型为空气动力性噪声、机械性噪声，噪声声级一般在 </w:t>
      </w:r>
      <w:r>
        <w:rPr>
          <w:rFonts w:ascii="Times New Roman" w:eastAsia="Times New Roman"/>
        </w:rPr>
        <w:t>85</w:t>
      </w:r>
      <w:r>
        <w:t>～</w:t>
      </w:r>
      <w:r>
        <w:rPr>
          <w:rFonts w:ascii="Times New Roman" w:eastAsia="Times New Roman"/>
        </w:rPr>
        <w:t>105dB(A)</w:t>
      </w:r>
      <w:r>
        <w:rPr>
          <w:spacing w:val="-8"/>
        </w:rPr>
        <w:t>左右。主要</w:t>
      </w:r>
      <w:r>
        <w:rPr>
          <w:spacing w:val="-7"/>
        </w:rPr>
        <w:t xml:space="preserve">噪声源及源强见表 </w:t>
      </w:r>
      <w:r>
        <w:rPr>
          <w:rFonts w:ascii="Times New Roman" w:eastAsia="Times New Roman"/>
        </w:rPr>
        <w:t>3.4-9</w:t>
      </w:r>
      <w:r>
        <w:t>。</w:t>
      </w:r>
    </w:p>
    <w:p>
      <w:pPr>
        <w:pStyle w:val="6"/>
        <w:tabs>
          <w:tab w:val="left" w:pos="1331"/>
        </w:tabs>
        <w:ind w:left="294"/>
        <w:jc w:val="center"/>
        <w:rPr>
          <w:rFonts w:hint="eastAsia" w:ascii="黑体" w:eastAsia="黑体"/>
        </w:rPr>
      </w:pPr>
      <w:r>
        <w:rPr>
          <w:rFonts w:hint="eastAsia" w:ascii="黑体" w:eastAsia="黑体"/>
        </w:rPr>
        <w:t>表</w:t>
      </w:r>
      <w:r>
        <w:rPr>
          <w:rFonts w:hint="eastAsia" w:ascii="黑体" w:eastAsia="黑体"/>
          <w:spacing w:val="-61"/>
        </w:rPr>
        <w:t xml:space="preserve"> </w:t>
      </w:r>
      <w:r>
        <w:rPr>
          <w:rFonts w:ascii="Times New Roman" w:eastAsia="Times New Roman"/>
        </w:rPr>
        <w:t>3.4-9</w:t>
      </w:r>
      <w:r>
        <w:rPr>
          <w:rFonts w:ascii="Times New Roman" w:eastAsia="Times New Roman"/>
        </w:rPr>
        <w:tab/>
      </w:r>
      <w:r>
        <w:rPr>
          <w:rFonts w:hint="eastAsia" w:ascii="黑体" w:eastAsia="黑体"/>
        </w:rPr>
        <w:t>矿井主要噪声源及源强</w:t>
      </w:r>
    </w:p>
    <w:tbl>
      <w:tblPr>
        <w:tblStyle w:val="10"/>
        <w:tblW w:w="0" w:type="auto"/>
        <w:tblInd w:w="4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6"/>
        <w:gridCol w:w="848"/>
        <w:gridCol w:w="940"/>
        <w:gridCol w:w="766"/>
        <w:gridCol w:w="652"/>
        <w:gridCol w:w="2347"/>
        <w:gridCol w:w="683"/>
        <w:gridCol w:w="877"/>
        <w:gridCol w:w="8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496" w:type="dxa"/>
          </w:tcPr>
          <w:p>
            <w:pPr>
              <w:pStyle w:val="14"/>
              <w:spacing w:before="178" w:line="278" w:lineRule="auto"/>
              <w:ind w:left="142" w:right="132"/>
              <w:jc w:val="left"/>
              <w:rPr>
                <w:sz w:val="21"/>
              </w:rPr>
            </w:pPr>
            <w:r>
              <w:rPr>
                <w:sz w:val="21"/>
              </w:rPr>
              <w:t>序号</w:t>
            </w:r>
          </w:p>
        </w:tc>
        <w:tc>
          <w:tcPr>
            <w:tcW w:w="848" w:type="dxa"/>
          </w:tcPr>
          <w:p>
            <w:pPr>
              <w:pStyle w:val="14"/>
              <w:jc w:val="left"/>
              <w:rPr>
                <w:rFonts w:ascii="黑体"/>
                <w:sz w:val="26"/>
              </w:rPr>
            </w:pPr>
          </w:p>
          <w:p>
            <w:pPr>
              <w:pStyle w:val="14"/>
              <w:ind w:left="87" w:right="81"/>
              <w:rPr>
                <w:sz w:val="21"/>
              </w:rPr>
            </w:pPr>
            <w:r>
              <w:rPr>
                <w:sz w:val="21"/>
              </w:rPr>
              <w:t>噪声源</w:t>
            </w:r>
          </w:p>
        </w:tc>
        <w:tc>
          <w:tcPr>
            <w:tcW w:w="940" w:type="dxa"/>
          </w:tcPr>
          <w:p>
            <w:pPr>
              <w:pStyle w:val="14"/>
              <w:spacing w:before="178" w:line="278" w:lineRule="auto"/>
              <w:ind w:left="363" w:right="144" w:hanging="209"/>
              <w:jc w:val="left"/>
              <w:rPr>
                <w:sz w:val="21"/>
              </w:rPr>
            </w:pPr>
            <w:r>
              <w:rPr>
                <w:sz w:val="21"/>
              </w:rPr>
              <w:t>发声建筑</w:t>
            </w:r>
          </w:p>
        </w:tc>
        <w:tc>
          <w:tcPr>
            <w:tcW w:w="766" w:type="dxa"/>
          </w:tcPr>
          <w:p>
            <w:pPr>
              <w:pStyle w:val="14"/>
              <w:spacing w:before="178" w:line="278" w:lineRule="auto"/>
              <w:ind w:left="66" w:right="58"/>
              <w:jc w:val="left"/>
              <w:rPr>
                <w:sz w:val="21"/>
              </w:rPr>
            </w:pPr>
            <w:r>
              <w:rPr>
                <w:sz w:val="21"/>
              </w:rPr>
              <w:t>同时启用台数</w:t>
            </w:r>
          </w:p>
        </w:tc>
        <w:tc>
          <w:tcPr>
            <w:tcW w:w="652" w:type="dxa"/>
          </w:tcPr>
          <w:p>
            <w:pPr>
              <w:pStyle w:val="14"/>
              <w:spacing w:before="178"/>
              <w:ind w:left="114"/>
              <w:jc w:val="left"/>
              <w:rPr>
                <w:sz w:val="21"/>
              </w:rPr>
            </w:pPr>
            <w:r>
              <w:rPr>
                <w:sz w:val="21"/>
              </w:rPr>
              <w:t>源强</w:t>
            </w:r>
          </w:p>
          <w:p>
            <w:pPr>
              <w:pStyle w:val="14"/>
              <w:spacing w:before="56"/>
              <w:ind w:left="59"/>
              <w:jc w:val="left"/>
              <w:rPr>
                <w:rFonts w:ascii="Times New Roman"/>
                <w:sz w:val="21"/>
              </w:rPr>
            </w:pPr>
            <w:r>
              <w:rPr>
                <w:rFonts w:ascii="Times New Roman"/>
                <w:sz w:val="21"/>
              </w:rPr>
              <w:t>dB(A)</w:t>
            </w:r>
          </w:p>
        </w:tc>
        <w:tc>
          <w:tcPr>
            <w:tcW w:w="2347" w:type="dxa"/>
          </w:tcPr>
          <w:p>
            <w:pPr>
              <w:pStyle w:val="14"/>
              <w:jc w:val="left"/>
              <w:rPr>
                <w:rFonts w:ascii="黑体"/>
                <w:sz w:val="26"/>
              </w:rPr>
            </w:pPr>
          </w:p>
          <w:p>
            <w:pPr>
              <w:pStyle w:val="14"/>
              <w:ind w:left="8"/>
              <w:rPr>
                <w:sz w:val="21"/>
              </w:rPr>
            </w:pPr>
            <w:r>
              <w:rPr>
                <w:sz w:val="21"/>
              </w:rPr>
              <w:t>治理措施</w:t>
            </w:r>
          </w:p>
        </w:tc>
        <w:tc>
          <w:tcPr>
            <w:tcW w:w="683" w:type="dxa"/>
          </w:tcPr>
          <w:p>
            <w:pPr>
              <w:pStyle w:val="14"/>
              <w:spacing w:before="21" w:line="278" w:lineRule="auto"/>
              <w:ind w:left="129" w:right="123"/>
              <w:jc w:val="left"/>
              <w:rPr>
                <w:sz w:val="21"/>
              </w:rPr>
            </w:pPr>
            <w:r>
              <w:rPr>
                <w:spacing w:val="-8"/>
                <w:sz w:val="21"/>
              </w:rPr>
              <w:t>降噪</w:t>
            </w:r>
            <w:r>
              <w:rPr>
                <w:spacing w:val="-9"/>
                <w:w w:val="95"/>
                <w:sz w:val="21"/>
              </w:rPr>
              <w:t>效果</w:t>
            </w:r>
          </w:p>
          <w:p>
            <w:pPr>
              <w:pStyle w:val="14"/>
              <w:spacing w:before="14"/>
              <w:ind w:left="74"/>
              <w:jc w:val="left"/>
              <w:rPr>
                <w:rFonts w:ascii="Times New Roman"/>
                <w:sz w:val="21"/>
              </w:rPr>
            </w:pPr>
            <w:r>
              <w:rPr>
                <w:rFonts w:ascii="Times New Roman"/>
                <w:sz w:val="21"/>
              </w:rPr>
              <w:t>dB(A)</w:t>
            </w:r>
          </w:p>
        </w:tc>
        <w:tc>
          <w:tcPr>
            <w:tcW w:w="877" w:type="dxa"/>
          </w:tcPr>
          <w:p>
            <w:pPr>
              <w:pStyle w:val="14"/>
              <w:spacing w:before="21" w:line="278" w:lineRule="auto"/>
              <w:ind w:left="226" w:right="112" w:hanging="104"/>
              <w:jc w:val="left"/>
              <w:rPr>
                <w:sz w:val="21"/>
              </w:rPr>
            </w:pPr>
            <w:r>
              <w:rPr>
                <w:sz w:val="21"/>
              </w:rPr>
              <w:t>噪声排放量</w:t>
            </w:r>
          </w:p>
          <w:p>
            <w:pPr>
              <w:pStyle w:val="14"/>
              <w:spacing w:before="14"/>
              <w:ind w:left="171"/>
              <w:jc w:val="left"/>
              <w:rPr>
                <w:rFonts w:ascii="Times New Roman"/>
                <w:sz w:val="21"/>
              </w:rPr>
            </w:pPr>
            <w:r>
              <w:rPr>
                <w:rFonts w:ascii="Times New Roman"/>
                <w:sz w:val="21"/>
              </w:rPr>
              <w:t>dB(A)</w:t>
            </w:r>
          </w:p>
        </w:tc>
        <w:tc>
          <w:tcPr>
            <w:tcW w:w="897" w:type="dxa"/>
          </w:tcPr>
          <w:p>
            <w:pPr>
              <w:pStyle w:val="14"/>
              <w:spacing w:before="178" w:line="278" w:lineRule="auto"/>
              <w:ind w:left="237" w:right="229"/>
              <w:jc w:val="left"/>
              <w:rPr>
                <w:sz w:val="21"/>
              </w:rPr>
            </w:pPr>
            <w:r>
              <w:rPr>
                <w:sz w:val="21"/>
              </w:rPr>
              <w:t>预期效果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496" w:type="dxa"/>
          </w:tcPr>
          <w:p>
            <w:pPr>
              <w:pStyle w:val="14"/>
              <w:spacing w:before="1"/>
              <w:jc w:val="left"/>
              <w:rPr>
                <w:rFonts w:ascii="黑体"/>
                <w:sz w:val="27"/>
              </w:rPr>
            </w:pPr>
          </w:p>
          <w:p>
            <w:pPr>
              <w:pStyle w:val="14"/>
              <w:ind w:right="183"/>
              <w:jc w:val="right"/>
              <w:rPr>
                <w:rFonts w:ascii="Times New Roman"/>
                <w:sz w:val="21"/>
              </w:rPr>
            </w:pPr>
            <w:r>
              <w:rPr>
                <w:rFonts w:ascii="Times New Roman"/>
                <w:w w:val="99"/>
                <w:sz w:val="21"/>
              </w:rPr>
              <w:t>1</w:t>
            </w:r>
          </w:p>
        </w:tc>
        <w:tc>
          <w:tcPr>
            <w:tcW w:w="848" w:type="dxa"/>
          </w:tcPr>
          <w:p>
            <w:pPr>
              <w:pStyle w:val="14"/>
              <w:spacing w:before="5"/>
              <w:jc w:val="left"/>
              <w:rPr>
                <w:rFonts w:ascii="黑体"/>
                <w:sz w:val="14"/>
              </w:rPr>
            </w:pPr>
          </w:p>
          <w:p>
            <w:pPr>
              <w:pStyle w:val="14"/>
              <w:spacing w:line="292" w:lineRule="auto"/>
              <w:ind w:left="222" w:right="111" w:hanging="99"/>
              <w:jc w:val="left"/>
              <w:rPr>
                <w:sz w:val="20"/>
              </w:rPr>
            </w:pPr>
            <w:r>
              <w:rPr>
                <w:sz w:val="20"/>
              </w:rPr>
              <w:t>带式输送机</w:t>
            </w:r>
          </w:p>
        </w:tc>
        <w:tc>
          <w:tcPr>
            <w:tcW w:w="940" w:type="dxa"/>
          </w:tcPr>
          <w:p>
            <w:pPr>
              <w:pStyle w:val="14"/>
              <w:spacing w:before="21" w:line="278" w:lineRule="auto"/>
              <w:ind w:left="154" w:right="144"/>
              <w:jc w:val="left"/>
              <w:rPr>
                <w:sz w:val="21"/>
              </w:rPr>
            </w:pPr>
            <w:r>
              <w:rPr>
                <w:spacing w:val="-6"/>
                <w:sz w:val="21"/>
              </w:rPr>
              <w:t>主井带</w:t>
            </w:r>
            <w:r>
              <w:rPr>
                <w:spacing w:val="-6"/>
                <w:w w:val="95"/>
                <w:sz w:val="21"/>
              </w:rPr>
              <w:t>式输送</w:t>
            </w:r>
          </w:p>
          <w:p>
            <w:pPr>
              <w:pStyle w:val="14"/>
              <w:spacing w:line="269" w:lineRule="exact"/>
              <w:ind w:left="154"/>
              <w:jc w:val="left"/>
              <w:rPr>
                <w:sz w:val="21"/>
              </w:rPr>
            </w:pPr>
            <w:r>
              <w:rPr>
                <w:w w:val="95"/>
                <w:sz w:val="21"/>
              </w:rPr>
              <w:t>机栈桥</w:t>
            </w:r>
          </w:p>
        </w:tc>
        <w:tc>
          <w:tcPr>
            <w:tcW w:w="766" w:type="dxa"/>
          </w:tcPr>
          <w:p>
            <w:pPr>
              <w:pStyle w:val="14"/>
              <w:spacing w:before="1"/>
              <w:jc w:val="left"/>
              <w:rPr>
                <w:rFonts w:ascii="黑体"/>
                <w:sz w:val="27"/>
              </w:rPr>
            </w:pPr>
          </w:p>
          <w:p>
            <w:pPr>
              <w:pStyle w:val="14"/>
              <w:ind w:left="5"/>
              <w:rPr>
                <w:rFonts w:ascii="Times New Roman"/>
                <w:sz w:val="21"/>
              </w:rPr>
            </w:pPr>
            <w:r>
              <w:rPr>
                <w:rFonts w:ascii="Times New Roman"/>
                <w:w w:val="99"/>
                <w:sz w:val="21"/>
              </w:rPr>
              <w:t>1</w:t>
            </w:r>
          </w:p>
        </w:tc>
        <w:tc>
          <w:tcPr>
            <w:tcW w:w="652" w:type="dxa"/>
          </w:tcPr>
          <w:p>
            <w:pPr>
              <w:pStyle w:val="14"/>
              <w:spacing w:before="1"/>
              <w:jc w:val="left"/>
              <w:rPr>
                <w:rFonts w:ascii="黑体"/>
                <w:sz w:val="27"/>
              </w:rPr>
            </w:pPr>
          </w:p>
          <w:p>
            <w:pPr>
              <w:pStyle w:val="14"/>
              <w:ind w:left="200" w:right="192"/>
              <w:rPr>
                <w:rFonts w:ascii="Times New Roman"/>
                <w:sz w:val="21"/>
              </w:rPr>
            </w:pPr>
            <w:r>
              <w:rPr>
                <w:rFonts w:ascii="Times New Roman"/>
                <w:sz w:val="21"/>
              </w:rPr>
              <w:t>92</w:t>
            </w:r>
          </w:p>
        </w:tc>
        <w:tc>
          <w:tcPr>
            <w:tcW w:w="2347" w:type="dxa"/>
          </w:tcPr>
          <w:p>
            <w:pPr>
              <w:pStyle w:val="14"/>
              <w:spacing w:before="177" w:line="278" w:lineRule="auto"/>
              <w:ind w:left="436" w:right="47" w:hanging="380"/>
              <w:jc w:val="left"/>
              <w:rPr>
                <w:sz w:val="21"/>
              </w:rPr>
            </w:pPr>
            <w:r>
              <w:rPr>
                <w:spacing w:val="-10"/>
                <w:sz w:val="21"/>
              </w:rPr>
              <w:t>封闭栈桥；电机设减震基</w:t>
            </w:r>
            <w:r>
              <w:rPr>
                <w:sz w:val="21"/>
              </w:rPr>
              <w:t>础并加装隔声罩</w:t>
            </w:r>
          </w:p>
        </w:tc>
        <w:tc>
          <w:tcPr>
            <w:tcW w:w="683" w:type="dxa"/>
          </w:tcPr>
          <w:p>
            <w:pPr>
              <w:pStyle w:val="14"/>
              <w:spacing w:before="1"/>
              <w:jc w:val="left"/>
              <w:rPr>
                <w:rFonts w:ascii="黑体"/>
                <w:sz w:val="27"/>
              </w:rPr>
            </w:pPr>
          </w:p>
          <w:p>
            <w:pPr>
              <w:pStyle w:val="14"/>
              <w:ind w:left="215" w:right="207"/>
              <w:rPr>
                <w:rFonts w:ascii="Times New Roman"/>
                <w:sz w:val="21"/>
              </w:rPr>
            </w:pPr>
            <w:r>
              <w:rPr>
                <w:rFonts w:ascii="Times New Roman"/>
                <w:sz w:val="21"/>
              </w:rPr>
              <w:t>20</w:t>
            </w:r>
          </w:p>
        </w:tc>
        <w:tc>
          <w:tcPr>
            <w:tcW w:w="877" w:type="dxa"/>
          </w:tcPr>
          <w:p>
            <w:pPr>
              <w:pStyle w:val="14"/>
              <w:spacing w:before="1"/>
              <w:jc w:val="left"/>
              <w:rPr>
                <w:rFonts w:ascii="黑体"/>
                <w:sz w:val="27"/>
              </w:rPr>
            </w:pPr>
          </w:p>
          <w:p>
            <w:pPr>
              <w:pStyle w:val="14"/>
              <w:ind w:right="322"/>
              <w:jc w:val="right"/>
              <w:rPr>
                <w:rFonts w:ascii="Times New Roman"/>
                <w:sz w:val="21"/>
              </w:rPr>
            </w:pPr>
            <w:r>
              <w:rPr>
                <w:rFonts w:ascii="Times New Roman"/>
                <w:sz w:val="21"/>
              </w:rPr>
              <w:t>72</w:t>
            </w:r>
          </w:p>
        </w:tc>
        <w:tc>
          <w:tcPr>
            <w:tcW w:w="897" w:type="dxa"/>
            <w:tcBorders>
              <w:bottom w:val="nil"/>
            </w:tcBorders>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496" w:type="dxa"/>
          </w:tcPr>
          <w:p>
            <w:pPr>
              <w:pStyle w:val="14"/>
              <w:spacing w:before="1"/>
              <w:jc w:val="left"/>
              <w:rPr>
                <w:rFonts w:ascii="黑体"/>
                <w:sz w:val="27"/>
              </w:rPr>
            </w:pPr>
          </w:p>
          <w:p>
            <w:pPr>
              <w:pStyle w:val="14"/>
              <w:ind w:right="183"/>
              <w:jc w:val="right"/>
              <w:rPr>
                <w:rFonts w:ascii="Times New Roman"/>
                <w:sz w:val="21"/>
              </w:rPr>
            </w:pPr>
            <w:r>
              <w:rPr>
                <w:rFonts w:ascii="Times New Roman"/>
                <w:w w:val="99"/>
                <w:sz w:val="21"/>
              </w:rPr>
              <w:t>2</w:t>
            </w:r>
          </w:p>
        </w:tc>
        <w:tc>
          <w:tcPr>
            <w:tcW w:w="848" w:type="dxa"/>
          </w:tcPr>
          <w:p>
            <w:pPr>
              <w:pStyle w:val="14"/>
              <w:spacing w:before="5"/>
              <w:jc w:val="left"/>
              <w:rPr>
                <w:rFonts w:ascii="黑体"/>
                <w:sz w:val="14"/>
              </w:rPr>
            </w:pPr>
          </w:p>
          <w:p>
            <w:pPr>
              <w:pStyle w:val="14"/>
              <w:spacing w:line="292" w:lineRule="auto"/>
              <w:ind w:left="222" w:right="111" w:hanging="99"/>
              <w:jc w:val="left"/>
              <w:rPr>
                <w:sz w:val="20"/>
              </w:rPr>
            </w:pPr>
            <w:r>
              <w:rPr>
                <w:sz w:val="20"/>
              </w:rPr>
              <w:t>带式输送机</w:t>
            </w:r>
          </w:p>
        </w:tc>
        <w:tc>
          <w:tcPr>
            <w:tcW w:w="940" w:type="dxa"/>
          </w:tcPr>
          <w:p>
            <w:pPr>
              <w:pStyle w:val="14"/>
              <w:spacing w:before="21"/>
              <w:ind w:left="154"/>
              <w:jc w:val="left"/>
              <w:rPr>
                <w:sz w:val="21"/>
              </w:rPr>
            </w:pPr>
            <w:r>
              <w:rPr>
                <w:w w:val="95"/>
                <w:sz w:val="21"/>
              </w:rPr>
              <w:t>转载带</w:t>
            </w:r>
          </w:p>
          <w:p>
            <w:pPr>
              <w:pStyle w:val="14"/>
              <w:spacing w:before="2" w:line="310" w:lineRule="atLeast"/>
              <w:ind w:left="154" w:right="144"/>
              <w:jc w:val="left"/>
              <w:rPr>
                <w:sz w:val="21"/>
              </w:rPr>
            </w:pPr>
            <w:r>
              <w:rPr>
                <w:spacing w:val="-6"/>
                <w:sz w:val="21"/>
              </w:rPr>
              <w:t>式输送</w:t>
            </w:r>
            <w:r>
              <w:rPr>
                <w:spacing w:val="-6"/>
                <w:w w:val="95"/>
                <w:sz w:val="21"/>
              </w:rPr>
              <w:t>机栈桥</w:t>
            </w:r>
          </w:p>
        </w:tc>
        <w:tc>
          <w:tcPr>
            <w:tcW w:w="766" w:type="dxa"/>
          </w:tcPr>
          <w:p>
            <w:pPr>
              <w:pStyle w:val="14"/>
              <w:spacing w:before="1"/>
              <w:jc w:val="left"/>
              <w:rPr>
                <w:rFonts w:ascii="黑体"/>
                <w:sz w:val="27"/>
              </w:rPr>
            </w:pPr>
          </w:p>
          <w:p>
            <w:pPr>
              <w:pStyle w:val="14"/>
              <w:ind w:left="5"/>
              <w:rPr>
                <w:rFonts w:ascii="Times New Roman"/>
                <w:sz w:val="21"/>
              </w:rPr>
            </w:pPr>
            <w:r>
              <w:rPr>
                <w:rFonts w:ascii="Times New Roman"/>
                <w:w w:val="99"/>
                <w:sz w:val="21"/>
              </w:rPr>
              <w:t>3</w:t>
            </w:r>
          </w:p>
        </w:tc>
        <w:tc>
          <w:tcPr>
            <w:tcW w:w="652" w:type="dxa"/>
          </w:tcPr>
          <w:p>
            <w:pPr>
              <w:pStyle w:val="14"/>
              <w:spacing w:before="1"/>
              <w:jc w:val="left"/>
              <w:rPr>
                <w:rFonts w:ascii="黑体"/>
                <w:sz w:val="27"/>
              </w:rPr>
            </w:pPr>
          </w:p>
          <w:p>
            <w:pPr>
              <w:pStyle w:val="14"/>
              <w:ind w:left="200" w:right="192"/>
              <w:rPr>
                <w:rFonts w:ascii="Times New Roman"/>
                <w:sz w:val="21"/>
              </w:rPr>
            </w:pPr>
            <w:r>
              <w:rPr>
                <w:rFonts w:ascii="Times New Roman"/>
                <w:sz w:val="21"/>
              </w:rPr>
              <w:t>92</w:t>
            </w:r>
          </w:p>
        </w:tc>
        <w:tc>
          <w:tcPr>
            <w:tcW w:w="2347" w:type="dxa"/>
          </w:tcPr>
          <w:p>
            <w:pPr>
              <w:pStyle w:val="14"/>
              <w:spacing w:before="177" w:line="278" w:lineRule="auto"/>
              <w:ind w:left="436" w:right="47" w:hanging="380"/>
              <w:jc w:val="left"/>
              <w:rPr>
                <w:sz w:val="21"/>
              </w:rPr>
            </w:pPr>
            <w:r>
              <w:rPr>
                <w:spacing w:val="-10"/>
                <w:sz w:val="21"/>
              </w:rPr>
              <w:t>封闭栈桥；电机设减震基</w:t>
            </w:r>
            <w:r>
              <w:rPr>
                <w:sz w:val="21"/>
              </w:rPr>
              <w:t>础并加装隔声罩</w:t>
            </w:r>
          </w:p>
        </w:tc>
        <w:tc>
          <w:tcPr>
            <w:tcW w:w="683" w:type="dxa"/>
          </w:tcPr>
          <w:p>
            <w:pPr>
              <w:pStyle w:val="14"/>
              <w:spacing w:before="1"/>
              <w:jc w:val="left"/>
              <w:rPr>
                <w:rFonts w:ascii="黑体"/>
                <w:sz w:val="27"/>
              </w:rPr>
            </w:pPr>
          </w:p>
          <w:p>
            <w:pPr>
              <w:pStyle w:val="14"/>
              <w:ind w:left="215" w:right="207"/>
              <w:rPr>
                <w:rFonts w:ascii="Times New Roman"/>
                <w:sz w:val="21"/>
              </w:rPr>
            </w:pPr>
            <w:r>
              <w:rPr>
                <w:rFonts w:ascii="Times New Roman"/>
                <w:sz w:val="21"/>
              </w:rPr>
              <w:t>20</w:t>
            </w:r>
          </w:p>
        </w:tc>
        <w:tc>
          <w:tcPr>
            <w:tcW w:w="877" w:type="dxa"/>
          </w:tcPr>
          <w:p>
            <w:pPr>
              <w:pStyle w:val="14"/>
              <w:spacing w:before="1"/>
              <w:jc w:val="left"/>
              <w:rPr>
                <w:rFonts w:ascii="黑体"/>
                <w:sz w:val="27"/>
              </w:rPr>
            </w:pPr>
          </w:p>
          <w:p>
            <w:pPr>
              <w:pStyle w:val="14"/>
              <w:ind w:right="322"/>
              <w:jc w:val="right"/>
              <w:rPr>
                <w:rFonts w:ascii="Times New Roman"/>
                <w:sz w:val="21"/>
              </w:rPr>
            </w:pPr>
            <w:r>
              <w:rPr>
                <w:rFonts w:ascii="Times New Roman"/>
                <w:sz w:val="21"/>
              </w:rPr>
              <w:t>72</w:t>
            </w:r>
          </w:p>
        </w:tc>
        <w:tc>
          <w:tcPr>
            <w:tcW w:w="897" w:type="dxa"/>
            <w:tcBorders>
              <w:top w:val="nil"/>
              <w:bottom w:val="nil"/>
            </w:tcBorders>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96" w:type="dxa"/>
          </w:tcPr>
          <w:p>
            <w:pPr>
              <w:pStyle w:val="14"/>
              <w:spacing w:before="190"/>
              <w:ind w:right="183"/>
              <w:jc w:val="right"/>
              <w:rPr>
                <w:rFonts w:ascii="Times New Roman"/>
                <w:sz w:val="21"/>
              </w:rPr>
            </w:pPr>
            <w:r>
              <w:rPr>
                <w:rFonts w:ascii="Times New Roman"/>
                <w:w w:val="99"/>
                <w:sz w:val="21"/>
              </w:rPr>
              <w:t>3</w:t>
            </w:r>
          </w:p>
        </w:tc>
        <w:tc>
          <w:tcPr>
            <w:tcW w:w="848" w:type="dxa"/>
          </w:tcPr>
          <w:p>
            <w:pPr>
              <w:pStyle w:val="14"/>
              <w:spacing w:before="176"/>
              <w:ind w:left="87" w:right="81"/>
              <w:rPr>
                <w:sz w:val="21"/>
              </w:rPr>
            </w:pPr>
            <w:r>
              <w:rPr>
                <w:sz w:val="21"/>
              </w:rPr>
              <w:t>通风机</w:t>
            </w:r>
          </w:p>
        </w:tc>
        <w:tc>
          <w:tcPr>
            <w:tcW w:w="940" w:type="dxa"/>
          </w:tcPr>
          <w:p>
            <w:pPr>
              <w:pStyle w:val="14"/>
              <w:spacing w:before="20"/>
              <w:ind w:left="134" w:right="126"/>
              <w:rPr>
                <w:sz w:val="21"/>
              </w:rPr>
            </w:pPr>
            <w:r>
              <w:rPr>
                <w:sz w:val="21"/>
              </w:rPr>
              <w:t>通风机</w:t>
            </w:r>
          </w:p>
          <w:p>
            <w:pPr>
              <w:pStyle w:val="14"/>
              <w:spacing w:before="43"/>
              <w:ind w:left="6"/>
              <w:rPr>
                <w:sz w:val="21"/>
              </w:rPr>
            </w:pPr>
            <w:r>
              <w:rPr>
                <w:w w:val="99"/>
                <w:sz w:val="21"/>
              </w:rPr>
              <w:t>房</w:t>
            </w:r>
          </w:p>
        </w:tc>
        <w:tc>
          <w:tcPr>
            <w:tcW w:w="766" w:type="dxa"/>
          </w:tcPr>
          <w:p>
            <w:pPr>
              <w:pStyle w:val="14"/>
              <w:spacing w:before="190"/>
              <w:ind w:left="5"/>
              <w:rPr>
                <w:rFonts w:ascii="Times New Roman"/>
                <w:sz w:val="21"/>
              </w:rPr>
            </w:pPr>
            <w:r>
              <w:rPr>
                <w:rFonts w:ascii="Times New Roman"/>
                <w:w w:val="99"/>
                <w:sz w:val="21"/>
              </w:rPr>
              <w:t>1</w:t>
            </w:r>
          </w:p>
        </w:tc>
        <w:tc>
          <w:tcPr>
            <w:tcW w:w="652" w:type="dxa"/>
          </w:tcPr>
          <w:p>
            <w:pPr>
              <w:pStyle w:val="14"/>
              <w:spacing w:before="190"/>
              <w:ind w:left="200" w:right="192"/>
              <w:rPr>
                <w:rFonts w:ascii="Times New Roman"/>
                <w:sz w:val="21"/>
              </w:rPr>
            </w:pPr>
            <w:r>
              <w:rPr>
                <w:rFonts w:ascii="Times New Roman"/>
                <w:sz w:val="21"/>
              </w:rPr>
              <w:t>88</w:t>
            </w:r>
          </w:p>
        </w:tc>
        <w:tc>
          <w:tcPr>
            <w:tcW w:w="2347" w:type="dxa"/>
          </w:tcPr>
          <w:p>
            <w:pPr>
              <w:pStyle w:val="14"/>
              <w:spacing w:before="176"/>
              <w:ind w:left="8"/>
              <w:rPr>
                <w:sz w:val="21"/>
              </w:rPr>
            </w:pPr>
            <w:r>
              <w:rPr>
                <w:sz w:val="21"/>
              </w:rPr>
              <w:t>隔声减振</w:t>
            </w:r>
          </w:p>
        </w:tc>
        <w:tc>
          <w:tcPr>
            <w:tcW w:w="683" w:type="dxa"/>
          </w:tcPr>
          <w:p>
            <w:pPr>
              <w:pStyle w:val="14"/>
              <w:spacing w:before="190"/>
              <w:ind w:left="215" w:right="207"/>
              <w:rPr>
                <w:rFonts w:ascii="Times New Roman"/>
                <w:sz w:val="21"/>
              </w:rPr>
            </w:pPr>
            <w:r>
              <w:rPr>
                <w:rFonts w:ascii="Times New Roman"/>
                <w:sz w:val="21"/>
              </w:rPr>
              <w:t>20</w:t>
            </w:r>
          </w:p>
        </w:tc>
        <w:tc>
          <w:tcPr>
            <w:tcW w:w="877" w:type="dxa"/>
          </w:tcPr>
          <w:p>
            <w:pPr>
              <w:pStyle w:val="14"/>
              <w:spacing w:before="190"/>
              <w:ind w:right="322"/>
              <w:jc w:val="right"/>
              <w:rPr>
                <w:rFonts w:ascii="Times New Roman"/>
                <w:sz w:val="21"/>
              </w:rPr>
            </w:pPr>
            <w:r>
              <w:rPr>
                <w:rFonts w:ascii="Times New Roman"/>
                <w:sz w:val="21"/>
              </w:rPr>
              <w:t>68</w:t>
            </w:r>
          </w:p>
        </w:tc>
        <w:tc>
          <w:tcPr>
            <w:tcW w:w="897" w:type="dxa"/>
            <w:tcBorders>
              <w:top w:val="nil"/>
              <w:bottom w:val="nil"/>
            </w:tcBorders>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96" w:type="dxa"/>
            <w:tcBorders>
              <w:bottom w:val="nil"/>
            </w:tcBorders>
          </w:tcPr>
          <w:p>
            <w:pPr>
              <w:pStyle w:val="14"/>
              <w:jc w:val="left"/>
              <w:rPr>
                <w:rFonts w:ascii="Times New Roman"/>
                <w:sz w:val="20"/>
              </w:rPr>
            </w:pPr>
          </w:p>
        </w:tc>
        <w:tc>
          <w:tcPr>
            <w:tcW w:w="848" w:type="dxa"/>
            <w:tcBorders>
              <w:bottom w:val="nil"/>
            </w:tcBorders>
          </w:tcPr>
          <w:p>
            <w:pPr>
              <w:pStyle w:val="14"/>
              <w:jc w:val="left"/>
              <w:rPr>
                <w:rFonts w:ascii="Times New Roman"/>
                <w:sz w:val="20"/>
              </w:rPr>
            </w:pPr>
          </w:p>
        </w:tc>
        <w:tc>
          <w:tcPr>
            <w:tcW w:w="940" w:type="dxa"/>
            <w:tcBorders>
              <w:bottom w:val="nil"/>
            </w:tcBorders>
          </w:tcPr>
          <w:p>
            <w:pPr>
              <w:pStyle w:val="14"/>
              <w:jc w:val="left"/>
              <w:rPr>
                <w:rFonts w:ascii="Times New Roman"/>
                <w:sz w:val="20"/>
              </w:rPr>
            </w:pPr>
          </w:p>
        </w:tc>
        <w:tc>
          <w:tcPr>
            <w:tcW w:w="766" w:type="dxa"/>
            <w:tcBorders>
              <w:bottom w:val="nil"/>
            </w:tcBorders>
          </w:tcPr>
          <w:p>
            <w:pPr>
              <w:pStyle w:val="14"/>
              <w:jc w:val="left"/>
              <w:rPr>
                <w:rFonts w:ascii="Times New Roman"/>
                <w:sz w:val="20"/>
              </w:rPr>
            </w:pPr>
          </w:p>
        </w:tc>
        <w:tc>
          <w:tcPr>
            <w:tcW w:w="652" w:type="dxa"/>
            <w:tcBorders>
              <w:bottom w:val="nil"/>
            </w:tcBorders>
          </w:tcPr>
          <w:p>
            <w:pPr>
              <w:pStyle w:val="14"/>
              <w:jc w:val="left"/>
              <w:rPr>
                <w:rFonts w:ascii="Times New Roman"/>
                <w:sz w:val="20"/>
              </w:rPr>
            </w:pPr>
          </w:p>
        </w:tc>
        <w:tc>
          <w:tcPr>
            <w:tcW w:w="2347" w:type="dxa"/>
            <w:tcBorders>
              <w:bottom w:val="nil"/>
            </w:tcBorders>
          </w:tcPr>
          <w:p>
            <w:pPr>
              <w:pStyle w:val="14"/>
              <w:spacing w:before="20"/>
              <w:ind w:left="57" w:right="-44"/>
              <w:rPr>
                <w:sz w:val="21"/>
              </w:rPr>
            </w:pPr>
            <w:r>
              <w:rPr>
                <w:sz w:val="21"/>
              </w:rPr>
              <w:t>对空压机采用隔振机座，</w:t>
            </w:r>
          </w:p>
        </w:tc>
        <w:tc>
          <w:tcPr>
            <w:tcW w:w="683" w:type="dxa"/>
            <w:tcBorders>
              <w:bottom w:val="nil"/>
            </w:tcBorders>
          </w:tcPr>
          <w:p>
            <w:pPr>
              <w:pStyle w:val="14"/>
              <w:jc w:val="left"/>
              <w:rPr>
                <w:rFonts w:ascii="Times New Roman"/>
                <w:sz w:val="20"/>
              </w:rPr>
            </w:pPr>
          </w:p>
        </w:tc>
        <w:tc>
          <w:tcPr>
            <w:tcW w:w="877" w:type="dxa"/>
            <w:tcBorders>
              <w:bottom w:val="nil"/>
            </w:tcBorders>
          </w:tcPr>
          <w:p>
            <w:pPr>
              <w:pStyle w:val="14"/>
              <w:jc w:val="left"/>
              <w:rPr>
                <w:rFonts w:ascii="Times New Roman"/>
                <w:sz w:val="20"/>
              </w:rPr>
            </w:pPr>
          </w:p>
        </w:tc>
        <w:tc>
          <w:tcPr>
            <w:tcW w:w="897" w:type="dxa"/>
            <w:tcBorders>
              <w:top w:val="nil"/>
              <w:bottom w:val="nil"/>
            </w:tcBorders>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trPr>
        <w:tc>
          <w:tcPr>
            <w:tcW w:w="496" w:type="dxa"/>
            <w:tcBorders>
              <w:top w:val="nil"/>
              <w:bottom w:val="nil"/>
            </w:tcBorders>
          </w:tcPr>
          <w:p>
            <w:pPr>
              <w:pStyle w:val="14"/>
              <w:spacing w:before="191"/>
              <w:ind w:right="183"/>
              <w:jc w:val="right"/>
              <w:rPr>
                <w:rFonts w:ascii="Times New Roman"/>
                <w:sz w:val="21"/>
              </w:rPr>
            </w:pPr>
            <w:r>
              <w:rPr>
                <w:rFonts w:ascii="Times New Roman"/>
                <w:w w:val="99"/>
                <w:sz w:val="21"/>
              </w:rPr>
              <w:t>4</w:t>
            </w:r>
          </w:p>
        </w:tc>
        <w:tc>
          <w:tcPr>
            <w:tcW w:w="848" w:type="dxa"/>
            <w:tcBorders>
              <w:top w:val="nil"/>
              <w:bottom w:val="nil"/>
            </w:tcBorders>
          </w:tcPr>
          <w:p>
            <w:pPr>
              <w:pStyle w:val="14"/>
              <w:spacing w:before="21"/>
              <w:ind w:left="87" w:right="81"/>
              <w:rPr>
                <w:sz w:val="21"/>
              </w:rPr>
            </w:pPr>
            <w:r>
              <w:rPr>
                <w:sz w:val="21"/>
              </w:rPr>
              <w:t>空气压</w:t>
            </w:r>
          </w:p>
          <w:p>
            <w:pPr>
              <w:pStyle w:val="14"/>
              <w:spacing w:before="43" w:line="230" w:lineRule="exact"/>
              <w:ind w:left="87" w:right="81"/>
              <w:rPr>
                <w:sz w:val="21"/>
              </w:rPr>
            </w:pPr>
            <w:r>
              <w:rPr>
                <w:sz w:val="21"/>
              </w:rPr>
              <w:t>缩机</w:t>
            </w:r>
          </w:p>
        </w:tc>
        <w:tc>
          <w:tcPr>
            <w:tcW w:w="940" w:type="dxa"/>
            <w:tcBorders>
              <w:top w:val="nil"/>
              <w:bottom w:val="nil"/>
            </w:tcBorders>
          </w:tcPr>
          <w:p>
            <w:pPr>
              <w:pStyle w:val="14"/>
              <w:spacing w:before="21"/>
              <w:ind w:left="134" w:right="126"/>
              <w:rPr>
                <w:sz w:val="21"/>
              </w:rPr>
            </w:pPr>
            <w:r>
              <w:rPr>
                <w:sz w:val="21"/>
              </w:rPr>
              <w:t>压风机</w:t>
            </w:r>
          </w:p>
          <w:p>
            <w:pPr>
              <w:pStyle w:val="14"/>
              <w:spacing w:before="43" w:line="230" w:lineRule="exact"/>
              <w:ind w:left="6"/>
              <w:rPr>
                <w:sz w:val="21"/>
              </w:rPr>
            </w:pPr>
            <w:r>
              <w:rPr>
                <w:w w:val="99"/>
                <w:sz w:val="21"/>
              </w:rPr>
              <w:t>站</w:t>
            </w:r>
          </w:p>
        </w:tc>
        <w:tc>
          <w:tcPr>
            <w:tcW w:w="766" w:type="dxa"/>
            <w:tcBorders>
              <w:top w:val="nil"/>
              <w:bottom w:val="nil"/>
            </w:tcBorders>
          </w:tcPr>
          <w:p>
            <w:pPr>
              <w:pStyle w:val="14"/>
              <w:spacing w:before="191"/>
              <w:ind w:left="5"/>
              <w:rPr>
                <w:rFonts w:ascii="Times New Roman"/>
                <w:sz w:val="21"/>
              </w:rPr>
            </w:pPr>
            <w:r>
              <w:rPr>
                <w:rFonts w:ascii="Times New Roman"/>
                <w:w w:val="99"/>
                <w:sz w:val="21"/>
              </w:rPr>
              <w:t>1</w:t>
            </w:r>
          </w:p>
        </w:tc>
        <w:tc>
          <w:tcPr>
            <w:tcW w:w="652" w:type="dxa"/>
            <w:tcBorders>
              <w:top w:val="nil"/>
              <w:bottom w:val="nil"/>
            </w:tcBorders>
          </w:tcPr>
          <w:p>
            <w:pPr>
              <w:pStyle w:val="14"/>
              <w:spacing w:before="191"/>
              <w:ind w:left="200" w:right="192"/>
              <w:rPr>
                <w:rFonts w:ascii="Times New Roman"/>
                <w:sz w:val="21"/>
              </w:rPr>
            </w:pPr>
            <w:r>
              <w:rPr>
                <w:rFonts w:ascii="Times New Roman"/>
                <w:sz w:val="21"/>
              </w:rPr>
              <w:t>95</w:t>
            </w:r>
          </w:p>
        </w:tc>
        <w:tc>
          <w:tcPr>
            <w:tcW w:w="2347" w:type="dxa"/>
            <w:tcBorders>
              <w:top w:val="nil"/>
              <w:bottom w:val="nil"/>
            </w:tcBorders>
          </w:tcPr>
          <w:p>
            <w:pPr>
              <w:pStyle w:val="14"/>
              <w:spacing w:before="21"/>
              <w:ind w:left="57"/>
              <w:jc w:val="left"/>
              <w:rPr>
                <w:sz w:val="21"/>
              </w:rPr>
            </w:pPr>
            <w:r>
              <w:rPr>
                <w:spacing w:val="-8"/>
                <w:w w:val="95"/>
                <w:sz w:val="21"/>
              </w:rPr>
              <w:t>进排气口安装消声器，对</w:t>
            </w:r>
          </w:p>
          <w:p>
            <w:pPr>
              <w:pStyle w:val="14"/>
              <w:spacing w:before="43" w:line="230" w:lineRule="exact"/>
              <w:ind w:left="57"/>
              <w:jc w:val="left"/>
              <w:rPr>
                <w:sz w:val="21"/>
              </w:rPr>
            </w:pPr>
            <w:r>
              <w:rPr>
                <w:spacing w:val="-9"/>
                <w:w w:val="95"/>
                <w:sz w:val="21"/>
              </w:rPr>
              <w:t>机房墙壁、顶棚进行吸声</w:t>
            </w:r>
          </w:p>
        </w:tc>
        <w:tc>
          <w:tcPr>
            <w:tcW w:w="683" w:type="dxa"/>
            <w:tcBorders>
              <w:top w:val="nil"/>
              <w:bottom w:val="nil"/>
            </w:tcBorders>
          </w:tcPr>
          <w:p>
            <w:pPr>
              <w:pStyle w:val="14"/>
              <w:spacing w:before="191"/>
              <w:ind w:left="215" w:right="207"/>
              <w:rPr>
                <w:rFonts w:ascii="Times New Roman"/>
                <w:sz w:val="21"/>
              </w:rPr>
            </w:pPr>
            <w:r>
              <w:rPr>
                <w:rFonts w:ascii="Times New Roman"/>
                <w:sz w:val="21"/>
              </w:rPr>
              <w:t>25</w:t>
            </w:r>
          </w:p>
        </w:tc>
        <w:tc>
          <w:tcPr>
            <w:tcW w:w="877" w:type="dxa"/>
            <w:tcBorders>
              <w:top w:val="nil"/>
              <w:bottom w:val="nil"/>
            </w:tcBorders>
          </w:tcPr>
          <w:p>
            <w:pPr>
              <w:pStyle w:val="14"/>
              <w:spacing w:before="191"/>
              <w:ind w:right="322"/>
              <w:jc w:val="right"/>
              <w:rPr>
                <w:rFonts w:ascii="Times New Roman"/>
                <w:sz w:val="21"/>
              </w:rPr>
            </w:pPr>
            <w:r>
              <w:rPr>
                <w:rFonts w:ascii="Times New Roman"/>
                <w:sz w:val="21"/>
              </w:rPr>
              <w:t>70</w:t>
            </w:r>
          </w:p>
        </w:tc>
        <w:tc>
          <w:tcPr>
            <w:tcW w:w="897" w:type="dxa"/>
            <w:tcBorders>
              <w:top w:val="nil"/>
              <w:bottom w:val="nil"/>
            </w:tcBorders>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496" w:type="dxa"/>
            <w:tcBorders>
              <w:top w:val="nil"/>
              <w:bottom w:val="nil"/>
            </w:tcBorders>
          </w:tcPr>
          <w:p>
            <w:pPr>
              <w:pStyle w:val="14"/>
              <w:jc w:val="left"/>
              <w:rPr>
                <w:rFonts w:ascii="Times New Roman"/>
                <w:sz w:val="20"/>
              </w:rPr>
            </w:pPr>
          </w:p>
        </w:tc>
        <w:tc>
          <w:tcPr>
            <w:tcW w:w="848" w:type="dxa"/>
            <w:tcBorders>
              <w:top w:val="nil"/>
              <w:bottom w:val="nil"/>
            </w:tcBorders>
          </w:tcPr>
          <w:p>
            <w:pPr>
              <w:pStyle w:val="14"/>
              <w:jc w:val="left"/>
              <w:rPr>
                <w:rFonts w:ascii="Times New Roman"/>
                <w:sz w:val="20"/>
              </w:rPr>
            </w:pPr>
          </w:p>
        </w:tc>
        <w:tc>
          <w:tcPr>
            <w:tcW w:w="940" w:type="dxa"/>
            <w:tcBorders>
              <w:top w:val="nil"/>
              <w:bottom w:val="nil"/>
            </w:tcBorders>
          </w:tcPr>
          <w:p>
            <w:pPr>
              <w:pStyle w:val="14"/>
              <w:jc w:val="left"/>
              <w:rPr>
                <w:rFonts w:ascii="Times New Roman"/>
                <w:sz w:val="20"/>
              </w:rPr>
            </w:pPr>
          </w:p>
        </w:tc>
        <w:tc>
          <w:tcPr>
            <w:tcW w:w="766" w:type="dxa"/>
            <w:tcBorders>
              <w:top w:val="nil"/>
              <w:bottom w:val="nil"/>
            </w:tcBorders>
          </w:tcPr>
          <w:p>
            <w:pPr>
              <w:pStyle w:val="14"/>
              <w:jc w:val="left"/>
              <w:rPr>
                <w:rFonts w:ascii="Times New Roman"/>
                <w:sz w:val="20"/>
              </w:rPr>
            </w:pPr>
          </w:p>
        </w:tc>
        <w:tc>
          <w:tcPr>
            <w:tcW w:w="652" w:type="dxa"/>
            <w:tcBorders>
              <w:top w:val="nil"/>
              <w:bottom w:val="nil"/>
            </w:tcBorders>
          </w:tcPr>
          <w:p>
            <w:pPr>
              <w:pStyle w:val="14"/>
              <w:jc w:val="left"/>
              <w:rPr>
                <w:rFonts w:ascii="Times New Roman"/>
                <w:sz w:val="20"/>
              </w:rPr>
            </w:pPr>
          </w:p>
        </w:tc>
        <w:tc>
          <w:tcPr>
            <w:tcW w:w="2347" w:type="dxa"/>
            <w:tcBorders>
              <w:top w:val="nil"/>
              <w:bottom w:val="nil"/>
            </w:tcBorders>
          </w:tcPr>
          <w:p>
            <w:pPr>
              <w:pStyle w:val="14"/>
              <w:spacing w:before="62" w:line="227" w:lineRule="exact"/>
              <w:ind w:left="8"/>
              <w:rPr>
                <w:sz w:val="21"/>
              </w:rPr>
            </w:pPr>
            <w:r>
              <w:rPr>
                <w:sz w:val="21"/>
              </w:rPr>
              <w:t>处理，门窗采用隔声门窗</w:t>
            </w:r>
          </w:p>
        </w:tc>
        <w:tc>
          <w:tcPr>
            <w:tcW w:w="683" w:type="dxa"/>
            <w:tcBorders>
              <w:top w:val="nil"/>
              <w:bottom w:val="nil"/>
            </w:tcBorders>
          </w:tcPr>
          <w:p>
            <w:pPr>
              <w:pStyle w:val="14"/>
              <w:jc w:val="left"/>
              <w:rPr>
                <w:rFonts w:ascii="Times New Roman"/>
                <w:sz w:val="20"/>
              </w:rPr>
            </w:pPr>
          </w:p>
        </w:tc>
        <w:tc>
          <w:tcPr>
            <w:tcW w:w="877" w:type="dxa"/>
            <w:tcBorders>
              <w:top w:val="nil"/>
              <w:bottom w:val="nil"/>
            </w:tcBorders>
          </w:tcPr>
          <w:p>
            <w:pPr>
              <w:pStyle w:val="14"/>
              <w:jc w:val="left"/>
              <w:rPr>
                <w:rFonts w:ascii="Times New Roman"/>
                <w:sz w:val="20"/>
              </w:rPr>
            </w:pPr>
          </w:p>
        </w:tc>
        <w:tc>
          <w:tcPr>
            <w:tcW w:w="897" w:type="dxa"/>
            <w:tcBorders>
              <w:top w:val="nil"/>
              <w:bottom w:val="nil"/>
            </w:tcBorders>
          </w:tcPr>
          <w:p>
            <w:pPr>
              <w:pStyle w:val="14"/>
              <w:spacing w:line="249" w:lineRule="exact"/>
              <w:ind w:left="139" w:right="133"/>
              <w:rPr>
                <w:sz w:val="21"/>
              </w:rPr>
            </w:pPr>
            <w:r>
              <w:rPr>
                <w:sz w:val="21"/>
              </w:rPr>
              <w:t>昼间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 w:hRule="atLeast"/>
        </w:trPr>
        <w:tc>
          <w:tcPr>
            <w:tcW w:w="496" w:type="dxa"/>
            <w:tcBorders>
              <w:top w:val="nil"/>
            </w:tcBorders>
          </w:tcPr>
          <w:p>
            <w:pPr>
              <w:pStyle w:val="14"/>
              <w:jc w:val="left"/>
              <w:rPr>
                <w:rFonts w:ascii="Times New Roman"/>
                <w:sz w:val="2"/>
              </w:rPr>
            </w:pPr>
          </w:p>
        </w:tc>
        <w:tc>
          <w:tcPr>
            <w:tcW w:w="848" w:type="dxa"/>
            <w:tcBorders>
              <w:top w:val="nil"/>
            </w:tcBorders>
          </w:tcPr>
          <w:p>
            <w:pPr>
              <w:pStyle w:val="14"/>
              <w:jc w:val="left"/>
              <w:rPr>
                <w:rFonts w:ascii="Times New Roman"/>
                <w:sz w:val="2"/>
              </w:rPr>
            </w:pPr>
          </w:p>
        </w:tc>
        <w:tc>
          <w:tcPr>
            <w:tcW w:w="940" w:type="dxa"/>
            <w:tcBorders>
              <w:top w:val="nil"/>
            </w:tcBorders>
          </w:tcPr>
          <w:p>
            <w:pPr>
              <w:pStyle w:val="14"/>
              <w:jc w:val="left"/>
              <w:rPr>
                <w:rFonts w:ascii="Times New Roman"/>
                <w:sz w:val="2"/>
              </w:rPr>
            </w:pPr>
          </w:p>
        </w:tc>
        <w:tc>
          <w:tcPr>
            <w:tcW w:w="766" w:type="dxa"/>
            <w:tcBorders>
              <w:top w:val="nil"/>
            </w:tcBorders>
          </w:tcPr>
          <w:p>
            <w:pPr>
              <w:pStyle w:val="14"/>
              <w:jc w:val="left"/>
              <w:rPr>
                <w:rFonts w:ascii="Times New Roman"/>
                <w:sz w:val="2"/>
              </w:rPr>
            </w:pPr>
          </w:p>
        </w:tc>
        <w:tc>
          <w:tcPr>
            <w:tcW w:w="652" w:type="dxa"/>
            <w:tcBorders>
              <w:top w:val="nil"/>
            </w:tcBorders>
          </w:tcPr>
          <w:p>
            <w:pPr>
              <w:pStyle w:val="14"/>
              <w:jc w:val="left"/>
              <w:rPr>
                <w:rFonts w:ascii="Times New Roman"/>
                <w:sz w:val="2"/>
              </w:rPr>
            </w:pPr>
          </w:p>
        </w:tc>
        <w:tc>
          <w:tcPr>
            <w:tcW w:w="2347" w:type="dxa"/>
            <w:tcBorders>
              <w:top w:val="nil"/>
            </w:tcBorders>
          </w:tcPr>
          <w:p>
            <w:pPr>
              <w:pStyle w:val="14"/>
              <w:jc w:val="left"/>
              <w:rPr>
                <w:rFonts w:ascii="Times New Roman"/>
                <w:sz w:val="2"/>
              </w:rPr>
            </w:pPr>
          </w:p>
        </w:tc>
        <w:tc>
          <w:tcPr>
            <w:tcW w:w="683" w:type="dxa"/>
            <w:tcBorders>
              <w:top w:val="nil"/>
            </w:tcBorders>
          </w:tcPr>
          <w:p>
            <w:pPr>
              <w:pStyle w:val="14"/>
              <w:jc w:val="left"/>
              <w:rPr>
                <w:rFonts w:ascii="Times New Roman"/>
                <w:sz w:val="2"/>
              </w:rPr>
            </w:pPr>
          </w:p>
        </w:tc>
        <w:tc>
          <w:tcPr>
            <w:tcW w:w="877" w:type="dxa"/>
            <w:tcBorders>
              <w:top w:val="nil"/>
            </w:tcBorders>
          </w:tcPr>
          <w:p>
            <w:pPr>
              <w:pStyle w:val="14"/>
              <w:jc w:val="left"/>
              <w:rPr>
                <w:rFonts w:ascii="Times New Roman"/>
                <w:sz w:val="2"/>
              </w:rPr>
            </w:pPr>
          </w:p>
        </w:tc>
        <w:tc>
          <w:tcPr>
            <w:tcW w:w="897" w:type="dxa"/>
            <w:vMerge w:val="restart"/>
            <w:tcBorders>
              <w:top w:val="nil"/>
              <w:bottom w:val="nil"/>
            </w:tcBorders>
          </w:tcPr>
          <w:p>
            <w:pPr>
              <w:pStyle w:val="14"/>
              <w:spacing w:line="239" w:lineRule="exact"/>
              <w:ind w:left="163"/>
              <w:jc w:val="left"/>
              <w:rPr>
                <w:rFonts w:ascii="Times New Roman" w:hAnsi="Times New Roman"/>
                <w:sz w:val="21"/>
              </w:rPr>
            </w:pPr>
            <w:r>
              <w:rPr>
                <w:rFonts w:ascii="Times New Roman" w:hAnsi="Times New Roman"/>
                <w:sz w:val="21"/>
              </w:rPr>
              <w:t>≤60dB</w:t>
            </w:r>
          </w:p>
          <w:p>
            <w:pPr>
              <w:pStyle w:val="14"/>
              <w:spacing w:before="56"/>
              <w:ind w:left="163"/>
              <w:jc w:val="left"/>
              <w:rPr>
                <w:sz w:val="21"/>
              </w:rPr>
            </w:pPr>
            <w:r>
              <w:rPr>
                <w:sz w:val="21"/>
              </w:rPr>
              <w:t>（</w:t>
            </w:r>
            <w:r>
              <w:rPr>
                <w:rFonts w:ascii="Times New Roman" w:eastAsia="Times New Roman"/>
                <w:sz w:val="21"/>
              </w:rPr>
              <w:t>A</w:t>
            </w:r>
            <w:r>
              <w:rPr>
                <w:sz w:val="21"/>
              </w:rPr>
              <w:t>）</w:t>
            </w:r>
          </w:p>
          <w:p>
            <w:pPr>
              <w:pStyle w:val="14"/>
              <w:spacing w:before="43" w:line="230" w:lineRule="exact"/>
              <w:ind w:left="132"/>
              <w:jc w:val="left"/>
              <w:rPr>
                <w:sz w:val="21"/>
              </w:rPr>
            </w:pPr>
            <w:r>
              <w:rPr>
                <w:w w:val="95"/>
                <w:sz w:val="21"/>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496" w:type="dxa"/>
            <w:vMerge w:val="restart"/>
          </w:tcPr>
          <w:p>
            <w:pPr>
              <w:pStyle w:val="14"/>
              <w:spacing w:before="11"/>
              <w:jc w:val="left"/>
              <w:rPr>
                <w:rFonts w:ascii="黑体"/>
                <w:sz w:val="19"/>
              </w:rPr>
            </w:pPr>
          </w:p>
          <w:p>
            <w:pPr>
              <w:pStyle w:val="14"/>
              <w:ind w:left="10"/>
              <w:rPr>
                <w:rFonts w:ascii="Times New Roman"/>
                <w:sz w:val="21"/>
              </w:rPr>
            </w:pPr>
            <w:r>
              <w:rPr>
                <w:rFonts w:ascii="Times New Roman"/>
                <w:w w:val="99"/>
                <w:sz w:val="21"/>
              </w:rPr>
              <w:t>5</w:t>
            </w:r>
          </w:p>
        </w:tc>
        <w:tc>
          <w:tcPr>
            <w:tcW w:w="848" w:type="dxa"/>
          </w:tcPr>
          <w:p>
            <w:pPr>
              <w:pStyle w:val="14"/>
              <w:spacing w:before="51"/>
              <w:ind w:left="87" w:right="81"/>
              <w:rPr>
                <w:sz w:val="21"/>
              </w:rPr>
            </w:pPr>
            <w:r>
              <w:rPr>
                <w:sz w:val="21"/>
              </w:rPr>
              <w:t>鼓风机</w:t>
            </w:r>
          </w:p>
        </w:tc>
        <w:tc>
          <w:tcPr>
            <w:tcW w:w="940" w:type="dxa"/>
            <w:vMerge w:val="restart"/>
          </w:tcPr>
          <w:p>
            <w:pPr>
              <w:pStyle w:val="14"/>
              <w:spacing w:before="9"/>
              <w:jc w:val="left"/>
              <w:rPr>
                <w:rFonts w:ascii="黑体"/>
                <w:sz w:val="18"/>
              </w:rPr>
            </w:pPr>
          </w:p>
          <w:p>
            <w:pPr>
              <w:pStyle w:val="14"/>
              <w:spacing w:before="1"/>
              <w:ind w:left="154"/>
              <w:jc w:val="left"/>
              <w:rPr>
                <w:sz w:val="21"/>
              </w:rPr>
            </w:pPr>
            <w:r>
              <w:rPr>
                <w:sz w:val="21"/>
              </w:rPr>
              <w:t>锅炉房</w:t>
            </w:r>
          </w:p>
        </w:tc>
        <w:tc>
          <w:tcPr>
            <w:tcW w:w="766" w:type="dxa"/>
          </w:tcPr>
          <w:p>
            <w:pPr>
              <w:pStyle w:val="14"/>
              <w:spacing w:before="65"/>
              <w:ind w:left="5"/>
              <w:rPr>
                <w:rFonts w:ascii="Times New Roman"/>
                <w:sz w:val="21"/>
              </w:rPr>
            </w:pPr>
            <w:r>
              <w:rPr>
                <w:rFonts w:ascii="Times New Roman"/>
                <w:w w:val="99"/>
                <w:sz w:val="21"/>
              </w:rPr>
              <w:t>1</w:t>
            </w:r>
          </w:p>
        </w:tc>
        <w:tc>
          <w:tcPr>
            <w:tcW w:w="652" w:type="dxa"/>
          </w:tcPr>
          <w:p>
            <w:pPr>
              <w:pStyle w:val="14"/>
              <w:spacing w:before="65"/>
              <w:ind w:left="200" w:right="192"/>
              <w:rPr>
                <w:rFonts w:ascii="Times New Roman"/>
                <w:sz w:val="21"/>
              </w:rPr>
            </w:pPr>
            <w:r>
              <w:rPr>
                <w:rFonts w:ascii="Times New Roman"/>
                <w:sz w:val="21"/>
              </w:rPr>
              <w:t>85</w:t>
            </w:r>
          </w:p>
        </w:tc>
        <w:tc>
          <w:tcPr>
            <w:tcW w:w="2347" w:type="dxa"/>
            <w:vMerge w:val="restart"/>
          </w:tcPr>
          <w:p>
            <w:pPr>
              <w:pStyle w:val="14"/>
              <w:spacing w:before="84" w:line="278" w:lineRule="auto"/>
              <w:ind w:left="753" w:right="47" w:hanging="696"/>
              <w:jc w:val="left"/>
              <w:rPr>
                <w:sz w:val="21"/>
              </w:rPr>
            </w:pPr>
            <w:r>
              <w:rPr>
                <w:spacing w:val="-10"/>
                <w:sz w:val="21"/>
              </w:rPr>
              <w:t>设置单独隔声间，并设置</w:t>
            </w:r>
            <w:r>
              <w:rPr>
                <w:sz w:val="21"/>
              </w:rPr>
              <w:t>减振基础</w:t>
            </w:r>
          </w:p>
        </w:tc>
        <w:tc>
          <w:tcPr>
            <w:tcW w:w="683" w:type="dxa"/>
          </w:tcPr>
          <w:p>
            <w:pPr>
              <w:pStyle w:val="14"/>
              <w:spacing w:before="65"/>
              <w:ind w:left="215" w:right="207"/>
              <w:rPr>
                <w:rFonts w:ascii="Times New Roman"/>
                <w:sz w:val="21"/>
              </w:rPr>
            </w:pPr>
            <w:r>
              <w:rPr>
                <w:rFonts w:ascii="Times New Roman"/>
                <w:sz w:val="21"/>
              </w:rPr>
              <w:t>20</w:t>
            </w:r>
          </w:p>
        </w:tc>
        <w:tc>
          <w:tcPr>
            <w:tcW w:w="877" w:type="dxa"/>
          </w:tcPr>
          <w:p>
            <w:pPr>
              <w:pStyle w:val="14"/>
              <w:spacing w:before="65"/>
              <w:ind w:right="322"/>
              <w:jc w:val="right"/>
              <w:rPr>
                <w:rFonts w:ascii="Times New Roman"/>
                <w:sz w:val="21"/>
              </w:rPr>
            </w:pPr>
            <w:r>
              <w:rPr>
                <w:rFonts w:ascii="Times New Roman"/>
                <w:sz w:val="21"/>
              </w:rPr>
              <w:t>60</w:t>
            </w:r>
          </w:p>
        </w:tc>
        <w:tc>
          <w:tcPr>
            <w:tcW w:w="897"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496" w:type="dxa"/>
            <w:vMerge w:val="continue"/>
            <w:tcBorders>
              <w:top w:val="nil"/>
            </w:tcBorders>
          </w:tcPr>
          <w:p>
            <w:pPr>
              <w:rPr>
                <w:sz w:val="2"/>
                <w:szCs w:val="2"/>
              </w:rPr>
            </w:pPr>
          </w:p>
        </w:tc>
        <w:tc>
          <w:tcPr>
            <w:tcW w:w="848" w:type="dxa"/>
          </w:tcPr>
          <w:p>
            <w:pPr>
              <w:pStyle w:val="14"/>
              <w:spacing w:before="49"/>
              <w:ind w:left="87" w:right="81"/>
              <w:rPr>
                <w:sz w:val="21"/>
              </w:rPr>
            </w:pPr>
            <w:r>
              <w:rPr>
                <w:sz w:val="21"/>
              </w:rPr>
              <w:t>引风机</w:t>
            </w:r>
          </w:p>
        </w:tc>
        <w:tc>
          <w:tcPr>
            <w:tcW w:w="940" w:type="dxa"/>
            <w:vMerge w:val="continue"/>
            <w:tcBorders>
              <w:top w:val="nil"/>
            </w:tcBorders>
          </w:tcPr>
          <w:p>
            <w:pPr>
              <w:rPr>
                <w:sz w:val="2"/>
                <w:szCs w:val="2"/>
              </w:rPr>
            </w:pPr>
          </w:p>
        </w:tc>
        <w:tc>
          <w:tcPr>
            <w:tcW w:w="766" w:type="dxa"/>
          </w:tcPr>
          <w:p>
            <w:pPr>
              <w:pStyle w:val="14"/>
              <w:spacing w:before="63"/>
              <w:ind w:left="5"/>
              <w:rPr>
                <w:rFonts w:ascii="Times New Roman"/>
                <w:sz w:val="21"/>
              </w:rPr>
            </w:pPr>
            <w:r>
              <w:rPr>
                <w:rFonts w:ascii="Times New Roman"/>
                <w:w w:val="99"/>
                <w:sz w:val="21"/>
              </w:rPr>
              <w:t>1</w:t>
            </w:r>
          </w:p>
        </w:tc>
        <w:tc>
          <w:tcPr>
            <w:tcW w:w="652" w:type="dxa"/>
          </w:tcPr>
          <w:p>
            <w:pPr>
              <w:pStyle w:val="14"/>
              <w:spacing w:before="63"/>
              <w:ind w:left="200" w:right="192"/>
              <w:rPr>
                <w:rFonts w:ascii="Times New Roman"/>
                <w:sz w:val="21"/>
              </w:rPr>
            </w:pPr>
            <w:r>
              <w:rPr>
                <w:rFonts w:ascii="Times New Roman"/>
                <w:sz w:val="21"/>
              </w:rPr>
              <w:t>85</w:t>
            </w:r>
          </w:p>
        </w:tc>
        <w:tc>
          <w:tcPr>
            <w:tcW w:w="2347" w:type="dxa"/>
            <w:vMerge w:val="continue"/>
            <w:tcBorders>
              <w:top w:val="nil"/>
            </w:tcBorders>
          </w:tcPr>
          <w:p>
            <w:pPr>
              <w:rPr>
                <w:sz w:val="2"/>
                <w:szCs w:val="2"/>
              </w:rPr>
            </w:pPr>
          </w:p>
        </w:tc>
        <w:tc>
          <w:tcPr>
            <w:tcW w:w="683" w:type="dxa"/>
          </w:tcPr>
          <w:p>
            <w:pPr>
              <w:pStyle w:val="14"/>
              <w:spacing w:before="63"/>
              <w:ind w:left="215" w:right="207"/>
              <w:rPr>
                <w:rFonts w:ascii="Times New Roman"/>
                <w:sz w:val="21"/>
              </w:rPr>
            </w:pPr>
            <w:r>
              <w:rPr>
                <w:rFonts w:ascii="Times New Roman"/>
                <w:sz w:val="21"/>
              </w:rPr>
              <w:t>20</w:t>
            </w:r>
          </w:p>
        </w:tc>
        <w:tc>
          <w:tcPr>
            <w:tcW w:w="877" w:type="dxa"/>
          </w:tcPr>
          <w:p>
            <w:pPr>
              <w:pStyle w:val="14"/>
              <w:spacing w:before="63"/>
              <w:ind w:right="322"/>
              <w:jc w:val="right"/>
              <w:rPr>
                <w:rFonts w:ascii="Times New Roman"/>
                <w:sz w:val="21"/>
              </w:rPr>
            </w:pPr>
            <w:r>
              <w:rPr>
                <w:rFonts w:ascii="Times New Roman"/>
                <w:sz w:val="21"/>
              </w:rPr>
              <w:t>60</w:t>
            </w:r>
          </w:p>
        </w:tc>
        <w:tc>
          <w:tcPr>
            <w:tcW w:w="897"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 w:hRule="atLeast"/>
        </w:trPr>
        <w:tc>
          <w:tcPr>
            <w:tcW w:w="496" w:type="dxa"/>
            <w:tcBorders>
              <w:bottom w:val="nil"/>
            </w:tcBorders>
          </w:tcPr>
          <w:p>
            <w:pPr>
              <w:pStyle w:val="14"/>
              <w:jc w:val="left"/>
              <w:rPr>
                <w:rFonts w:ascii="Times New Roman"/>
                <w:sz w:val="2"/>
              </w:rPr>
            </w:pPr>
          </w:p>
        </w:tc>
        <w:tc>
          <w:tcPr>
            <w:tcW w:w="848" w:type="dxa"/>
            <w:tcBorders>
              <w:bottom w:val="nil"/>
            </w:tcBorders>
          </w:tcPr>
          <w:p>
            <w:pPr>
              <w:pStyle w:val="14"/>
              <w:jc w:val="left"/>
              <w:rPr>
                <w:rFonts w:ascii="Times New Roman"/>
                <w:sz w:val="2"/>
              </w:rPr>
            </w:pPr>
          </w:p>
        </w:tc>
        <w:tc>
          <w:tcPr>
            <w:tcW w:w="940" w:type="dxa"/>
            <w:tcBorders>
              <w:bottom w:val="nil"/>
            </w:tcBorders>
          </w:tcPr>
          <w:p>
            <w:pPr>
              <w:pStyle w:val="14"/>
              <w:jc w:val="left"/>
              <w:rPr>
                <w:rFonts w:ascii="Times New Roman"/>
                <w:sz w:val="2"/>
              </w:rPr>
            </w:pPr>
          </w:p>
        </w:tc>
        <w:tc>
          <w:tcPr>
            <w:tcW w:w="766" w:type="dxa"/>
            <w:tcBorders>
              <w:bottom w:val="nil"/>
            </w:tcBorders>
          </w:tcPr>
          <w:p>
            <w:pPr>
              <w:pStyle w:val="14"/>
              <w:jc w:val="left"/>
              <w:rPr>
                <w:rFonts w:ascii="Times New Roman"/>
                <w:sz w:val="2"/>
              </w:rPr>
            </w:pPr>
          </w:p>
        </w:tc>
        <w:tc>
          <w:tcPr>
            <w:tcW w:w="652" w:type="dxa"/>
            <w:tcBorders>
              <w:bottom w:val="nil"/>
            </w:tcBorders>
          </w:tcPr>
          <w:p>
            <w:pPr>
              <w:pStyle w:val="14"/>
              <w:jc w:val="left"/>
              <w:rPr>
                <w:rFonts w:ascii="Times New Roman"/>
                <w:sz w:val="2"/>
              </w:rPr>
            </w:pPr>
          </w:p>
        </w:tc>
        <w:tc>
          <w:tcPr>
            <w:tcW w:w="2347" w:type="dxa"/>
            <w:tcBorders>
              <w:bottom w:val="nil"/>
            </w:tcBorders>
          </w:tcPr>
          <w:p>
            <w:pPr>
              <w:pStyle w:val="14"/>
              <w:jc w:val="left"/>
              <w:rPr>
                <w:rFonts w:ascii="Times New Roman"/>
                <w:sz w:val="2"/>
              </w:rPr>
            </w:pPr>
          </w:p>
        </w:tc>
        <w:tc>
          <w:tcPr>
            <w:tcW w:w="683" w:type="dxa"/>
            <w:tcBorders>
              <w:bottom w:val="nil"/>
            </w:tcBorders>
          </w:tcPr>
          <w:p>
            <w:pPr>
              <w:pStyle w:val="14"/>
              <w:jc w:val="left"/>
              <w:rPr>
                <w:rFonts w:ascii="Times New Roman"/>
                <w:sz w:val="2"/>
              </w:rPr>
            </w:pPr>
          </w:p>
        </w:tc>
        <w:tc>
          <w:tcPr>
            <w:tcW w:w="877" w:type="dxa"/>
            <w:tcBorders>
              <w:bottom w:val="nil"/>
            </w:tcBorders>
          </w:tcPr>
          <w:p>
            <w:pPr>
              <w:pStyle w:val="14"/>
              <w:jc w:val="left"/>
              <w:rPr>
                <w:rFonts w:ascii="Times New Roman"/>
                <w:sz w:val="2"/>
              </w:rPr>
            </w:pPr>
          </w:p>
        </w:tc>
        <w:tc>
          <w:tcPr>
            <w:tcW w:w="897"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496" w:type="dxa"/>
            <w:tcBorders>
              <w:top w:val="nil"/>
              <w:bottom w:val="nil"/>
            </w:tcBorders>
          </w:tcPr>
          <w:p>
            <w:pPr>
              <w:pStyle w:val="14"/>
              <w:jc w:val="left"/>
              <w:rPr>
                <w:rFonts w:ascii="Times New Roman"/>
                <w:sz w:val="20"/>
              </w:rPr>
            </w:pPr>
          </w:p>
        </w:tc>
        <w:tc>
          <w:tcPr>
            <w:tcW w:w="848" w:type="dxa"/>
            <w:tcBorders>
              <w:top w:val="nil"/>
              <w:bottom w:val="nil"/>
            </w:tcBorders>
          </w:tcPr>
          <w:p>
            <w:pPr>
              <w:pStyle w:val="14"/>
              <w:jc w:val="left"/>
              <w:rPr>
                <w:rFonts w:ascii="Times New Roman"/>
                <w:sz w:val="20"/>
              </w:rPr>
            </w:pPr>
          </w:p>
        </w:tc>
        <w:tc>
          <w:tcPr>
            <w:tcW w:w="940" w:type="dxa"/>
            <w:tcBorders>
              <w:top w:val="nil"/>
              <w:bottom w:val="nil"/>
            </w:tcBorders>
          </w:tcPr>
          <w:p>
            <w:pPr>
              <w:pStyle w:val="14"/>
              <w:jc w:val="left"/>
              <w:rPr>
                <w:rFonts w:ascii="Times New Roman"/>
                <w:sz w:val="20"/>
              </w:rPr>
            </w:pPr>
          </w:p>
        </w:tc>
        <w:tc>
          <w:tcPr>
            <w:tcW w:w="766" w:type="dxa"/>
            <w:tcBorders>
              <w:top w:val="nil"/>
              <w:bottom w:val="nil"/>
            </w:tcBorders>
          </w:tcPr>
          <w:p>
            <w:pPr>
              <w:pStyle w:val="14"/>
              <w:jc w:val="left"/>
              <w:rPr>
                <w:rFonts w:ascii="Times New Roman"/>
                <w:sz w:val="20"/>
              </w:rPr>
            </w:pPr>
          </w:p>
        </w:tc>
        <w:tc>
          <w:tcPr>
            <w:tcW w:w="652" w:type="dxa"/>
            <w:tcBorders>
              <w:top w:val="nil"/>
              <w:bottom w:val="nil"/>
            </w:tcBorders>
          </w:tcPr>
          <w:p>
            <w:pPr>
              <w:pStyle w:val="14"/>
              <w:jc w:val="left"/>
              <w:rPr>
                <w:rFonts w:ascii="Times New Roman"/>
                <w:sz w:val="20"/>
              </w:rPr>
            </w:pPr>
          </w:p>
        </w:tc>
        <w:tc>
          <w:tcPr>
            <w:tcW w:w="2347" w:type="dxa"/>
            <w:tcBorders>
              <w:top w:val="nil"/>
              <w:bottom w:val="nil"/>
            </w:tcBorders>
          </w:tcPr>
          <w:p>
            <w:pPr>
              <w:pStyle w:val="14"/>
              <w:spacing w:line="249" w:lineRule="exact"/>
              <w:ind w:left="57" w:right="-44"/>
              <w:rPr>
                <w:sz w:val="21"/>
              </w:rPr>
            </w:pPr>
            <w:r>
              <w:rPr>
                <w:sz w:val="21"/>
              </w:rPr>
              <w:t>车间内各设备基座减振；</w:t>
            </w:r>
          </w:p>
        </w:tc>
        <w:tc>
          <w:tcPr>
            <w:tcW w:w="683" w:type="dxa"/>
            <w:tcBorders>
              <w:top w:val="nil"/>
              <w:bottom w:val="nil"/>
            </w:tcBorders>
          </w:tcPr>
          <w:p>
            <w:pPr>
              <w:pStyle w:val="14"/>
              <w:jc w:val="left"/>
              <w:rPr>
                <w:rFonts w:ascii="Times New Roman"/>
                <w:sz w:val="20"/>
              </w:rPr>
            </w:pPr>
          </w:p>
        </w:tc>
        <w:tc>
          <w:tcPr>
            <w:tcW w:w="877" w:type="dxa"/>
            <w:tcBorders>
              <w:top w:val="nil"/>
              <w:bottom w:val="nil"/>
            </w:tcBorders>
          </w:tcPr>
          <w:p>
            <w:pPr>
              <w:pStyle w:val="14"/>
              <w:jc w:val="left"/>
              <w:rPr>
                <w:rFonts w:ascii="Times New Roman"/>
                <w:sz w:val="20"/>
              </w:rPr>
            </w:pPr>
          </w:p>
        </w:tc>
        <w:tc>
          <w:tcPr>
            <w:tcW w:w="897" w:type="dxa"/>
            <w:tcBorders>
              <w:top w:val="nil"/>
              <w:bottom w:val="nil"/>
            </w:tcBorders>
          </w:tcPr>
          <w:p>
            <w:pPr>
              <w:pStyle w:val="14"/>
              <w:spacing w:before="76" w:line="224" w:lineRule="exact"/>
              <w:ind w:left="142" w:right="133"/>
              <w:rPr>
                <w:rFonts w:ascii="Times New Roman" w:hAnsi="Times New Roman"/>
                <w:sz w:val="21"/>
              </w:rPr>
            </w:pPr>
            <w:r>
              <w:rPr>
                <w:rFonts w:ascii="Times New Roman" w:hAnsi="Times New Roman"/>
                <w:sz w:val="21"/>
              </w:rPr>
              <w:t>≤50dB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96" w:type="dxa"/>
            <w:tcBorders>
              <w:top w:val="nil"/>
              <w:bottom w:val="nil"/>
            </w:tcBorders>
          </w:tcPr>
          <w:p>
            <w:pPr>
              <w:pStyle w:val="14"/>
              <w:jc w:val="left"/>
              <w:rPr>
                <w:rFonts w:ascii="Times New Roman"/>
                <w:sz w:val="20"/>
              </w:rPr>
            </w:pPr>
          </w:p>
        </w:tc>
        <w:tc>
          <w:tcPr>
            <w:tcW w:w="848" w:type="dxa"/>
            <w:tcBorders>
              <w:top w:val="nil"/>
              <w:bottom w:val="nil"/>
            </w:tcBorders>
          </w:tcPr>
          <w:p>
            <w:pPr>
              <w:pStyle w:val="14"/>
              <w:jc w:val="left"/>
              <w:rPr>
                <w:rFonts w:ascii="Times New Roman"/>
                <w:sz w:val="20"/>
              </w:rPr>
            </w:pPr>
          </w:p>
        </w:tc>
        <w:tc>
          <w:tcPr>
            <w:tcW w:w="940" w:type="dxa"/>
            <w:tcBorders>
              <w:top w:val="nil"/>
              <w:bottom w:val="nil"/>
            </w:tcBorders>
          </w:tcPr>
          <w:p>
            <w:pPr>
              <w:pStyle w:val="14"/>
              <w:jc w:val="left"/>
              <w:rPr>
                <w:rFonts w:ascii="Times New Roman"/>
                <w:sz w:val="20"/>
              </w:rPr>
            </w:pPr>
          </w:p>
        </w:tc>
        <w:tc>
          <w:tcPr>
            <w:tcW w:w="766" w:type="dxa"/>
            <w:tcBorders>
              <w:top w:val="nil"/>
              <w:bottom w:val="nil"/>
            </w:tcBorders>
          </w:tcPr>
          <w:p>
            <w:pPr>
              <w:pStyle w:val="14"/>
              <w:jc w:val="left"/>
              <w:rPr>
                <w:rFonts w:ascii="Times New Roman"/>
                <w:sz w:val="20"/>
              </w:rPr>
            </w:pPr>
          </w:p>
        </w:tc>
        <w:tc>
          <w:tcPr>
            <w:tcW w:w="652" w:type="dxa"/>
            <w:tcBorders>
              <w:top w:val="nil"/>
              <w:bottom w:val="nil"/>
            </w:tcBorders>
          </w:tcPr>
          <w:p>
            <w:pPr>
              <w:pStyle w:val="14"/>
              <w:jc w:val="left"/>
              <w:rPr>
                <w:rFonts w:ascii="Times New Roman"/>
                <w:sz w:val="20"/>
              </w:rPr>
            </w:pPr>
          </w:p>
        </w:tc>
        <w:tc>
          <w:tcPr>
            <w:tcW w:w="2347" w:type="dxa"/>
            <w:tcBorders>
              <w:top w:val="nil"/>
              <w:bottom w:val="nil"/>
            </w:tcBorders>
          </w:tcPr>
          <w:p>
            <w:pPr>
              <w:pStyle w:val="14"/>
              <w:spacing w:line="241" w:lineRule="exact"/>
              <w:ind w:left="8"/>
              <w:rPr>
                <w:sz w:val="21"/>
              </w:rPr>
            </w:pPr>
            <w:r>
              <w:rPr>
                <w:sz w:val="21"/>
              </w:rPr>
              <w:t>减小各种溜槽的落差，并</w:t>
            </w:r>
          </w:p>
        </w:tc>
        <w:tc>
          <w:tcPr>
            <w:tcW w:w="683" w:type="dxa"/>
            <w:tcBorders>
              <w:top w:val="nil"/>
              <w:bottom w:val="nil"/>
            </w:tcBorders>
          </w:tcPr>
          <w:p>
            <w:pPr>
              <w:pStyle w:val="14"/>
              <w:jc w:val="left"/>
              <w:rPr>
                <w:rFonts w:ascii="Times New Roman"/>
                <w:sz w:val="20"/>
              </w:rPr>
            </w:pPr>
          </w:p>
        </w:tc>
        <w:tc>
          <w:tcPr>
            <w:tcW w:w="877" w:type="dxa"/>
            <w:tcBorders>
              <w:top w:val="nil"/>
              <w:bottom w:val="nil"/>
            </w:tcBorders>
          </w:tcPr>
          <w:p>
            <w:pPr>
              <w:pStyle w:val="14"/>
              <w:jc w:val="left"/>
              <w:rPr>
                <w:rFonts w:ascii="Times New Roman"/>
                <w:sz w:val="20"/>
              </w:rPr>
            </w:pPr>
          </w:p>
        </w:tc>
        <w:tc>
          <w:tcPr>
            <w:tcW w:w="897" w:type="dxa"/>
            <w:tcBorders>
              <w:top w:val="nil"/>
              <w:bottom w:val="nil"/>
            </w:tcBorders>
          </w:tcPr>
          <w:p>
            <w:pPr>
              <w:pStyle w:val="14"/>
              <w:spacing w:before="54" w:line="238" w:lineRule="exact"/>
              <w:ind w:left="142" w:right="133"/>
              <w:rPr>
                <w:sz w:val="21"/>
              </w:rPr>
            </w:pPr>
            <w:r>
              <w:rPr>
                <w:sz w:val="21"/>
              </w:rPr>
              <w:t>（</w:t>
            </w:r>
            <w:r>
              <w:rPr>
                <w:rFonts w:ascii="Times New Roman" w:eastAsia="Times New Roman"/>
                <w:sz w:val="21"/>
              </w:rPr>
              <w:t>A</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496" w:type="dxa"/>
            <w:tcBorders>
              <w:top w:val="nil"/>
              <w:bottom w:val="nil"/>
            </w:tcBorders>
          </w:tcPr>
          <w:p>
            <w:pPr>
              <w:pStyle w:val="14"/>
              <w:jc w:val="left"/>
              <w:rPr>
                <w:rFonts w:ascii="Times New Roman"/>
                <w:sz w:val="18"/>
              </w:rPr>
            </w:pPr>
          </w:p>
        </w:tc>
        <w:tc>
          <w:tcPr>
            <w:tcW w:w="848" w:type="dxa"/>
            <w:tcBorders>
              <w:top w:val="nil"/>
              <w:bottom w:val="nil"/>
            </w:tcBorders>
          </w:tcPr>
          <w:p>
            <w:pPr>
              <w:pStyle w:val="14"/>
              <w:jc w:val="left"/>
              <w:rPr>
                <w:rFonts w:ascii="Times New Roman"/>
                <w:sz w:val="18"/>
              </w:rPr>
            </w:pPr>
          </w:p>
        </w:tc>
        <w:tc>
          <w:tcPr>
            <w:tcW w:w="940" w:type="dxa"/>
            <w:tcBorders>
              <w:top w:val="nil"/>
              <w:bottom w:val="nil"/>
            </w:tcBorders>
          </w:tcPr>
          <w:p>
            <w:pPr>
              <w:pStyle w:val="14"/>
              <w:jc w:val="left"/>
              <w:rPr>
                <w:rFonts w:ascii="Times New Roman"/>
                <w:sz w:val="18"/>
              </w:rPr>
            </w:pPr>
          </w:p>
        </w:tc>
        <w:tc>
          <w:tcPr>
            <w:tcW w:w="766" w:type="dxa"/>
            <w:tcBorders>
              <w:top w:val="nil"/>
              <w:bottom w:val="nil"/>
            </w:tcBorders>
          </w:tcPr>
          <w:p>
            <w:pPr>
              <w:pStyle w:val="14"/>
              <w:jc w:val="left"/>
              <w:rPr>
                <w:rFonts w:ascii="Times New Roman"/>
                <w:sz w:val="18"/>
              </w:rPr>
            </w:pPr>
          </w:p>
        </w:tc>
        <w:tc>
          <w:tcPr>
            <w:tcW w:w="652" w:type="dxa"/>
            <w:tcBorders>
              <w:top w:val="nil"/>
              <w:bottom w:val="nil"/>
            </w:tcBorders>
          </w:tcPr>
          <w:p>
            <w:pPr>
              <w:pStyle w:val="14"/>
              <w:jc w:val="left"/>
              <w:rPr>
                <w:rFonts w:ascii="Times New Roman"/>
                <w:sz w:val="18"/>
              </w:rPr>
            </w:pPr>
          </w:p>
        </w:tc>
        <w:tc>
          <w:tcPr>
            <w:tcW w:w="2347" w:type="dxa"/>
            <w:tcBorders>
              <w:top w:val="nil"/>
              <w:bottom w:val="nil"/>
            </w:tcBorders>
          </w:tcPr>
          <w:p>
            <w:pPr>
              <w:pStyle w:val="14"/>
              <w:spacing w:line="240" w:lineRule="exact"/>
              <w:ind w:left="8"/>
              <w:rPr>
                <w:sz w:val="21"/>
              </w:rPr>
            </w:pPr>
            <w:r>
              <w:rPr>
                <w:sz w:val="21"/>
              </w:rPr>
              <w:t>在溜槽底部铺设耐磨、降</w:t>
            </w:r>
          </w:p>
        </w:tc>
        <w:tc>
          <w:tcPr>
            <w:tcW w:w="683" w:type="dxa"/>
            <w:tcBorders>
              <w:top w:val="nil"/>
              <w:bottom w:val="nil"/>
            </w:tcBorders>
          </w:tcPr>
          <w:p>
            <w:pPr>
              <w:pStyle w:val="14"/>
              <w:jc w:val="left"/>
              <w:rPr>
                <w:rFonts w:ascii="Times New Roman"/>
                <w:sz w:val="18"/>
              </w:rPr>
            </w:pPr>
          </w:p>
        </w:tc>
        <w:tc>
          <w:tcPr>
            <w:tcW w:w="877" w:type="dxa"/>
            <w:tcBorders>
              <w:top w:val="nil"/>
              <w:bottom w:val="nil"/>
            </w:tcBorders>
          </w:tcPr>
          <w:p>
            <w:pPr>
              <w:pStyle w:val="14"/>
              <w:jc w:val="left"/>
              <w:rPr>
                <w:rFonts w:ascii="Times New Roman"/>
                <w:sz w:val="18"/>
              </w:rPr>
            </w:pPr>
          </w:p>
        </w:tc>
        <w:tc>
          <w:tcPr>
            <w:tcW w:w="897" w:type="dxa"/>
            <w:tcBorders>
              <w:top w:val="nil"/>
              <w:bottom w:val="nil"/>
            </w:tcBorders>
          </w:tcPr>
          <w:p>
            <w:pPr>
              <w:pStyle w:val="14"/>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496" w:type="dxa"/>
            <w:tcBorders>
              <w:top w:val="nil"/>
              <w:bottom w:val="nil"/>
            </w:tcBorders>
          </w:tcPr>
          <w:p>
            <w:pPr>
              <w:pStyle w:val="14"/>
              <w:spacing w:before="38"/>
              <w:ind w:right="183"/>
              <w:jc w:val="right"/>
              <w:rPr>
                <w:rFonts w:ascii="Times New Roman"/>
                <w:sz w:val="21"/>
              </w:rPr>
            </w:pPr>
            <w:r>
              <w:rPr>
                <w:rFonts w:ascii="Times New Roman"/>
                <w:w w:val="99"/>
                <w:sz w:val="21"/>
              </w:rPr>
              <w:t>6</w:t>
            </w:r>
          </w:p>
        </w:tc>
        <w:tc>
          <w:tcPr>
            <w:tcW w:w="848" w:type="dxa"/>
            <w:tcBorders>
              <w:top w:val="nil"/>
              <w:bottom w:val="nil"/>
            </w:tcBorders>
          </w:tcPr>
          <w:p>
            <w:pPr>
              <w:pStyle w:val="14"/>
              <w:spacing w:before="24"/>
              <w:ind w:left="87" w:right="81"/>
              <w:rPr>
                <w:sz w:val="21"/>
              </w:rPr>
            </w:pPr>
            <w:r>
              <w:rPr>
                <w:sz w:val="21"/>
              </w:rPr>
              <w:t>振动筛</w:t>
            </w:r>
          </w:p>
        </w:tc>
        <w:tc>
          <w:tcPr>
            <w:tcW w:w="940" w:type="dxa"/>
            <w:tcBorders>
              <w:top w:val="nil"/>
              <w:bottom w:val="nil"/>
            </w:tcBorders>
          </w:tcPr>
          <w:p>
            <w:pPr>
              <w:pStyle w:val="14"/>
              <w:spacing w:before="24"/>
              <w:ind w:left="134" w:right="126"/>
              <w:rPr>
                <w:sz w:val="21"/>
              </w:rPr>
            </w:pPr>
            <w:r>
              <w:rPr>
                <w:sz w:val="21"/>
              </w:rPr>
              <w:t>筛分间</w:t>
            </w:r>
          </w:p>
        </w:tc>
        <w:tc>
          <w:tcPr>
            <w:tcW w:w="766" w:type="dxa"/>
            <w:tcBorders>
              <w:top w:val="nil"/>
              <w:bottom w:val="nil"/>
            </w:tcBorders>
          </w:tcPr>
          <w:p>
            <w:pPr>
              <w:pStyle w:val="14"/>
              <w:spacing w:before="38"/>
              <w:ind w:left="5"/>
              <w:rPr>
                <w:rFonts w:ascii="Times New Roman"/>
                <w:sz w:val="21"/>
              </w:rPr>
            </w:pPr>
            <w:r>
              <w:rPr>
                <w:rFonts w:ascii="Times New Roman"/>
                <w:w w:val="99"/>
                <w:sz w:val="21"/>
              </w:rPr>
              <w:t>1</w:t>
            </w:r>
          </w:p>
        </w:tc>
        <w:tc>
          <w:tcPr>
            <w:tcW w:w="652" w:type="dxa"/>
            <w:tcBorders>
              <w:top w:val="nil"/>
              <w:bottom w:val="nil"/>
            </w:tcBorders>
          </w:tcPr>
          <w:p>
            <w:pPr>
              <w:pStyle w:val="14"/>
              <w:spacing w:before="38"/>
              <w:ind w:left="200" w:right="192"/>
              <w:rPr>
                <w:rFonts w:ascii="Times New Roman"/>
                <w:sz w:val="21"/>
              </w:rPr>
            </w:pPr>
            <w:r>
              <w:rPr>
                <w:rFonts w:ascii="Times New Roman"/>
                <w:sz w:val="21"/>
              </w:rPr>
              <w:t>93</w:t>
            </w:r>
          </w:p>
        </w:tc>
        <w:tc>
          <w:tcPr>
            <w:tcW w:w="2347" w:type="dxa"/>
            <w:tcBorders>
              <w:top w:val="nil"/>
              <w:bottom w:val="nil"/>
            </w:tcBorders>
          </w:tcPr>
          <w:p>
            <w:pPr>
              <w:pStyle w:val="14"/>
              <w:spacing w:before="24"/>
              <w:ind w:left="8"/>
              <w:rPr>
                <w:sz w:val="21"/>
              </w:rPr>
            </w:pPr>
            <w:r>
              <w:rPr>
                <w:sz w:val="21"/>
              </w:rPr>
              <w:t>噪衬板，以降低物料在运</w:t>
            </w:r>
          </w:p>
        </w:tc>
        <w:tc>
          <w:tcPr>
            <w:tcW w:w="683" w:type="dxa"/>
            <w:tcBorders>
              <w:top w:val="nil"/>
              <w:bottom w:val="nil"/>
            </w:tcBorders>
          </w:tcPr>
          <w:p>
            <w:pPr>
              <w:pStyle w:val="14"/>
              <w:spacing w:before="38"/>
              <w:ind w:left="215" w:right="207"/>
              <w:rPr>
                <w:rFonts w:ascii="Times New Roman"/>
                <w:sz w:val="21"/>
              </w:rPr>
            </w:pPr>
            <w:r>
              <w:rPr>
                <w:rFonts w:ascii="Times New Roman"/>
                <w:sz w:val="21"/>
              </w:rPr>
              <w:t>15</w:t>
            </w:r>
          </w:p>
        </w:tc>
        <w:tc>
          <w:tcPr>
            <w:tcW w:w="877" w:type="dxa"/>
            <w:tcBorders>
              <w:top w:val="nil"/>
              <w:bottom w:val="nil"/>
            </w:tcBorders>
          </w:tcPr>
          <w:p>
            <w:pPr>
              <w:pStyle w:val="14"/>
              <w:spacing w:before="38"/>
              <w:ind w:right="322"/>
              <w:jc w:val="right"/>
              <w:rPr>
                <w:rFonts w:ascii="Times New Roman"/>
                <w:sz w:val="21"/>
              </w:rPr>
            </w:pPr>
            <w:r>
              <w:rPr>
                <w:rFonts w:ascii="Times New Roman"/>
                <w:sz w:val="21"/>
              </w:rPr>
              <w:t>78</w:t>
            </w:r>
          </w:p>
        </w:tc>
        <w:tc>
          <w:tcPr>
            <w:tcW w:w="897" w:type="dxa"/>
            <w:tcBorders>
              <w:top w:val="nil"/>
              <w:bottom w:val="nil"/>
            </w:tcBorders>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496" w:type="dxa"/>
            <w:tcBorders>
              <w:top w:val="nil"/>
              <w:bottom w:val="nil"/>
            </w:tcBorders>
          </w:tcPr>
          <w:p>
            <w:pPr>
              <w:pStyle w:val="14"/>
              <w:jc w:val="left"/>
              <w:rPr>
                <w:rFonts w:ascii="Times New Roman"/>
                <w:sz w:val="20"/>
              </w:rPr>
            </w:pPr>
          </w:p>
        </w:tc>
        <w:tc>
          <w:tcPr>
            <w:tcW w:w="848" w:type="dxa"/>
            <w:tcBorders>
              <w:top w:val="nil"/>
              <w:bottom w:val="nil"/>
            </w:tcBorders>
          </w:tcPr>
          <w:p>
            <w:pPr>
              <w:pStyle w:val="14"/>
              <w:jc w:val="left"/>
              <w:rPr>
                <w:rFonts w:ascii="Times New Roman"/>
                <w:sz w:val="20"/>
              </w:rPr>
            </w:pPr>
          </w:p>
        </w:tc>
        <w:tc>
          <w:tcPr>
            <w:tcW w:w="940" w:type="dxa"/>
            <w:tcBorders>
              <w:top w:val="nil"/>
              <w:bottom w:val="nil"/>
            </w:tcBorders>
          </w:tcPr>
          <w:p>
            <w:pPr>
              <w:pStyle w:val="14"/>
              <w:jc w:val="left"/>
              <w:rPr>
                <w:rFonts w:ascii="Times New Roman"/>
                <w:sz w:val="20"/>
              </w:rPr>
            </w:pPr>
          </w:p>
        </w:tc>
        <w:tc>
          <w:tcPr>
            <w:tcW w:w="766" w:type="dxa"/>
            <w:tcBorders>
              <w:top w:val="nil"/>
              <w:bottom w:val="nil"/>
            </w:tcBorders>
          </w:tcPr>
          <w:p>
            <w:pPr>
              <w:pStyle w:val="14"/>
              <w:jc w:val="left"/>
              <w:rPr>
                <w:rFonts w:ascii="Times New Roman"/>
                <w:sz w:val="20"/>
              </w:rPr>
            </w:pPr>
          </w:p>
        </w:tc>
        <w:tc>
          <w:tcPr>
            <w:tcW w:w="652" w:type="dxa"/>
            <w:tcBorders>
              <w:top w:val="nil"/>
              <w:bottom w:val="nil"/>
            </w:tcBorders>
          </w:tcPr>
          <w:p>
            <w:pPr>
              <w:pStyle w:val="14"/>
              <w:jc w:val="left"/>
              <w:rPr>
                <w:rFonts w:ascii="Times New Roman"/>
                <w:sz w:val="20"/>
              </w:rPr>
            </w:pPr>
          </w:p>
        </w:tc>
        <w:tc>
          <w:tcPr>
            <w:tcW w:w="2347" w:type="dxa"/>
            <w:tcBorders>
              <w:top w:val="nil"/>
              <w:bottom w:val="nil"/>
            </w:tcBorders>
          </w:tcPr>
          <w:p>
            <w:pPr>
              <w:pStyle w:val="14"/>
              <w:spacing w:before="13"/>
              <w:ind w:left="8"/>
              <w:rPr>
                <w:sz w:val="21"/>
              </w:rPr>
            </w:pPr>
            <w:r>
              <w:rPr>
                <w:sz w:val="21"/>
              </w:rPr>
              <w:t>输过程中的噪声；对建筑</w:t>
            </w:r>
          </w:p>
        </w:tc>
        <w:tc>
          <w:tcPr>
            <w:tcW w:w="683" w:type="dxa"/>
            <w:tcBorders>
              <w:top w:val="nil"/>
              <w:bottom w:val="nil"/>
            </w:tcBorders>
          </w:tcPr>
          <w:p>
            <w:pPr>
              <w:pStyle w:val="14"/>
              <w:jc w:val="left"/>
              <w:rPr>
                <w:rFonts w:ascii="Times New Roman"/>
                <w:sz w:val="20"/>
              </w:rPr>
            </w:pPr>
          </w:p>
        </w:tc>
        <w:tc>
          <w:tcPr>
            <w:tcW w:w="877" w:type="dxa"/>
            <w:tcBorders>
              <w:top w:val="nil"/>
              <w:bottom w:val="nil"/>
            </w:tcBorders>
          </w:tcPr>
          <w:p>
            <w:pPr>
              <w:pStyle w:val="14"/>
              <w:jc w:val="left"/>
              <w:rPr>
                <w:rFonts w:ascii="Times New Roman"/>
                <w:sz w:val="20"/>
              </w:rPr>
            </w:pPr>
          </w:p>
        </w:tc>
        <w:tc>
          <w:tcPr>
            <w:tcW w:w="897" w:type="dxa"/>
            <w:tcBorders>
              <w:top w:val="nil"/>
              <w:bottom w:val="nil"/>
            </w:tcBorders>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96" w:type="dxa"/>
            <w:tcBorders>
              <w:top w:val="nil"/>
              <w:bottom w:val="nil"/>
            </w:tcBorders>
          </w:tcPr>
          <w:p>
            <w:pPr>
              <w:pStyle w:val="14"/>
              <w:jc w:val="left"/>
              <w:rPr>
                <w:rFonts w:ascii="Times New Roman"/>
                <w:sz w:val="20"/>
              </w:rPr>
            </w:pPr>
          </w:p>
        </w:tc>
        <w:tc>
          <w:tcPr>
            <w:tcW w:w="848" w:type="dxa"/>
            <w:tcBorders>
              <w:top w:val="nil"/>
              <w:bottom w:val="nil"/>
            </w:tcBorders>
          </w:tcPr>
          <w:p>
            <w:pPr>
              <w:pStyle w:val="14"/>
              <w:jc w:val="left"/>
              <w:rPr>
                <w:rFonts w:ascii="Times New Roman"/>
                <w:sz w:val="20"/>
              </w:rPr>
            </w:pPr>
          </w:p>
        </w:tc>
        <w:tc>
          <w:tcPr>
            <w:tcW w:w="940" w:type="dxa"/>
            <w:tcBorders>
              <w:top w:val="nil"/>
              <w:bottom w:val="nil"/>
            </w:tcBorders>
          </w:tcPr>
          <w:p>
            <w:pPr>
              <w:pStyle w:val="14"/>
              <w:jc w:val="left"/>
              <w:rPr>
                <w:rFonts w:ascii="Times New Roman"/>
                <w:sz w:val="20"/>
              </w:rPr>
            </w:pPr>
          </w:p>
        </w:tc>
        <w:tc>
          <w:tcPr>
            <w:tcW w:w="766" w:type="dxa"/>
            <w:tcBorders>
              <w:top w:val="nil"/>
              <w:bottom w:val="nil"/>
            </w:tcBorders>
          </w:tcPr>
          <w:p>
            <w:pPr>
              <w:pStyle w:val="14"/>
              <w:jc w:val="left"/>
              <w:rPr>
                <w:rFonts w:ascii="Times New Roman"/>
                <w:sz w:val="20"/>
              </w:rPr>
            </w:pPr>
          </w:p>
        </w:tc>
        <w:tc>
          <w:tcPr>
            <w:tcW w:w="652" w:type="dxa"/>
            <w:tcBorders>
              <w:top w:val="nil"/>
              <w:bottom w:val="nil"/>
            </w:tcBorders>
          </w:tcPr>
          <w:p>
            <w:pPr>
              <w:pStyle w:val="14"/>
              <w:jc w:val="left"/>
              <w:rPr>
                <w:rFonts w:ascii="Times New Roman"/>
                <w:sz w:val="20"/>
              </w:rPr>
            </w:pPr>
          </w:p>
        </w:tc>
        <w:tc>
          <w:tcPr>
            <w:tcW w:w="2347" w:type="dxa"/>
            <w:tcBorders>
              <w:top w:val="nil"/>
              <w:bottom w:val="nil"/>
            </w:tcBorders>
          </w:tcPr>
          <w:p>
            <w:pPr>
              <w:pStyle w:val="14"/>
              <w:spacing w:before="21"/>
              <w:ind w:left="8"/>
              <w:rPr>
                <w:sz w:val="21"/>
              </w:rPr>
            </w:pPr>
            <w:r>
              <w:rPr>
                <w:sz w:val="21"/>
              </w:rPr>
              <w:t>物的外门、外窗要求采用</w:t>
            </w:r>
          </w:p>
        </w:tc>
        <w:tc>
          <w:tcPr>
            <w:tcW w:w="683" w:type="dxa"/>
            <w:tcBorders>
              <w:top w:val="nil"/>
              <w:bottom w:val="nil"/>
            </w:tcBorders>
          </w:tcPr>
          <w:p>
            <w:pPr>
              <w:pStyle w:val="14"/>
              <w:jc w:val="left"/>
              <w:rPr>
                <w:rFonts w:ascii="Times New Roman"/>
                <w:sz w:val="20"/>
              </w:rPr>
            </w:pPr>
          </w:p>
        </w:tc>
        <w:tc>
          <w:tcPr>
            <w:tcW w:w="877" w:type="dxa"/>
            <w:tcBorders>
              <w:top w:val="nil"/>
              <w:bottom w:val="nil"/>
            </w:tcBorders>
          </w:tcPr>
          <w:p>
            <w:pPr>
              <w:pStyle w:val="14"/>
              <w:jc w:val="left"/>
              <w:rPr>
                <w:rFonts w:ascii="Times New Roman"/>
                <w:sz w:val="20"/>
              </w:rPr>
            </w:pPr>
          </w:p>
        </w:tc>
        <w:tc>
          <w:tcPr>
            <w:tcW w:w="897" w:type="dxa"/>
            <w:tcBorders>
              <w:top w:val="nil"/>
              <w:bottom w:val="nil"/>
            </w:tcBorders>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96" w:type="dxa"/>
            <w:tcBorders>
              <w:top w:val="nil"/>
            </w:tcBorders>
          </w:tcPr>
          <w:p>
            <w:pPr>
              <w:pStyle w:val="14"/>
              <w:jc w:val="left"/>
              <w:rPr>
                <w:rFonts w:ascii="Times New Roman"/>
                <w:sz w:val="20"/>
              </w:rPr>
            </w:pPr>
          </w:p>
        </w:tc>
        <w:tc>
          <w:tcPr>
            <w:tcW w:w="848" w:type="dxa"/>
            <w:tcBorders>
              <w:top w:val="nil"/>
            </w:tcBorders>
          </w:tcPr>
          <w:p>
            <w:pPr>
              <w:pStyle w:val="14"/>
              <w:jc w:val="left"/>
              <w:rPr>
                <w:rFonts w:ascii="Times New Roman"/>
                <w:sz w:val="20"/>
              </w:rPr>
            </w:pPr>
          </w:p>
        </w:tc>
        <w:tc>
          <w:tcPr>
            <w:tcW w:w="940" w:type="dxa"/>
            <w:tcBorders>
              <w:top w:val="nil"/>
            </w:tcBorders>
          </w:tcPr>
          <w:p>
            <w:pPr>
              <w:pStyle w:val="14"/>
              <w:jc w:val="left"/>
              <w:rPr>
                <w:rFonts w:ascii="Times New Roman"/>
                <w:sz w:val="20"/>
              </w:rPr>
            </w:pPr>
          </w:p>
        </w:tc>
        <w:tc>
          <w:tcPr>
            <w:tcW w:w="766" w:type="dxa"/>
            <w:tcBorders>
              <w:top w:val="nil"/>
            </w:tcBorders>
          </w:tcPr>
          <w:p>
            <w:pPr>
              <w:pStyle w:val="14"/>
              <w:jc w:val="left"/>
              <w:rPr>
                <w:rFonts w:ascii="Times New Roman"/>
                <w:sz w:val="20"/>
              </w:rPr>
            </w:pPr>
          </w:p>
        </w:tc>
        <w:tc>
          <w:tcPr>
            <w:tcW w:w="652" w:type="dxa"/>
            <w:tcBorders>
              <w:top w:val="nil"/>
            </w:tcBorders>
          </w:tcPr>
          <w:p>
            <w:pPr>
              <w:pStyle w:val="14"/>
              <w:jc w:val="left"/>
              <w:rPr>
                <w:rFonts w:ascii="Times New Roman"/>
                <w:sz w:val="20"/>
              </w:rPr>
            </w:pPr>
          </w:p>
        </w:tc>
        <w:tc>
          <w:tcPr>
            <w:tcW w:w="2347" w:type="dxa"/>
            <w:tcBorders>
              <w:top w:val="nil"/>
            </w:tcBorders>
          </w:tcPr>
          <w:p>
            <w:pPr>
              <w:pStyle w:val="14"/>
              <w:spacing w:before="21"/>
              <w:ind w:left="8"/>
              <w:rPr>
                <w:sz w:val="21"/>
              </w:rPr>
            </w:pPr>
            <w:r>
              <w:rPr>
                <w:sz w:val="21"/>
              </w:rPr>
              <w:t>隔声门窗</w:t>
            </w:r>
          </w:p>
        </w:tc>
        <w:tc>
          <w:tcPr>
            <w:tcW w:w="683" w:type="dxa"/>
            <w:tcBorders>
              <w:top w:val="nil"/>
            </w:tcBorders>
          </w:tcPr>
          <w:p>
            <w:pPr>
              <w:pStyle w:val="14"/>
              <w:jc w:val="left"/>
              <w:rPr>
                <w:rFonts w:ascii="Times New Roman"/>
                <w:sz w:val="20"/>
              </w:rPr>
            </w:pPr>
          </w:p>
        </w:tc>
        <w:tc>
          <w:tcPr>
            <w:tcW w:w="877" w:type="dxa"/>
            <w:tcBorders>
              <w:top w:val="nil"/>
            </w:tcBorders>
          </w:tcPr>
          <w:p>
            <w:pPr>
              <w:pStyle w:val="14"/>
              <w:jc w:val="left"/>
              <w:rPr>
                <w:rFonts w:ascii="Times New Roman"/>
                <w:sz w:val="20"/>
              </w:rPr>
            </w:pPr>
          </w:p>
        </w:tc>
        <w:tc>
          <w:tcPr>
            <w:tcW w:w="897" w:type="dxa"/>
            <w:tcBorders>
              <w:top w:val="nil"/>
              <w:bottom w:val="nil"/>
            </w:tcBorders>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496" w:type="dxa"/>
            <w:vMerge w:val="restart"/>
          </w:tcPr>
          <w:p>
            <w:pPr>
              <w:pStyle w:val="14"/>
              <w:spacing w:before="190"/>
              <w:ind w:left="10"/>
              <w:rPr>
                <w:rFonts w:ascii="Times New Roman"/>
                <w:sz w:val="21"/>
              </w:rPr>
            </w:pPr>
            <w:r>
              <w:rPr>
                <w:rFonts w:ascii="Times New Roman"/>
                <w:w w:val="99"/>
                <w:sz w:val="21"/>
              </w:rPr>
              <w:t>7</w:t>
            </w:r>
          </w:p>
        </w:tc>
        <w:tc>
          <w:tcPr>
            <w:tcW w:w="848" w:type="dxa"/>
            <w:tcBorders>
              <w:bottom w:val="nil"/>
            </w:tcBorders>
          </w:tcPr>
          <w:p>
            <w:pPr>
              <w:pStyle w:val="14"/>
              <w:spacing w:before="20" w:line="266" w:lineRule="exact"/>
              <w:ind w:left="87" w:right="81"/>
              <w:rPr>
                <w:sz w:val="21"/>
              </w:rPr>
            </w:pPr>
            <w:r>
              <w:rPr>
                <w:sz w:val="21"/>
              </w:rPr>
              <w:t>木材加</w:t>
            </w:r>
          </w:p>
        </w:tc>
        <w:tc>
          <w:tcPr>
            <w:tcW w:w="940" w:type="dxa"/>
            <w:tcBorders>
              <w:bottom w:val="nil"/>
            </w:tcBorders>
          </w:tcPr>
          <w:p>
            <w:pPr>
              <w:pStyle w:val="14"/>
              <w:spacing w:before="20" w:line="266" w:lineRule="exact"/>
              <w:ind w:left="134" w:right="126"/>
              <w:rPr>
                <w:sz w:val="21"/>
              </w:rPr>
            </w:pPr>
            <w:r>
              <w:rPr>
                <w:sz w:val="21"/>
              </w:rPr>
              <w:t>坑木加</w:t>
            </w:r>
          </w:p>
        </w:tc>
        <w:tc>
          <w:tcPr>
            <w:tcW w:w="766" w:type="dxa"/>
            <w:vMerge w:val="restart"/>
          </w:tcPr>
          <w:p>
            <w:pPr>
              <w:pStyle w:val="14"/>
              <w:spacing w:before="190"/>
              <w:ind w:left="5"/>
              <w:rPr>
                <w:rFonts w:ascii="Times New Roman"/>
                <w:sz w:val="21"/>
              </w:rPr>
            </w:pPr>
            <w:r>
              <w:rPr>
                <w:rFonts w:ascii="Times New Roman"/>
                <w:w w:val="99"/>
                <w:sz w:val="21"/>
              </w:rPr>
              <w:t>2</w:t>
            </w:r>
          </w:p>
        </w:tc>
        <w:tc>
          <w:tcPr>
            <w:tcW w:w="652" w:type="dxa"/>
            <w:vMerge w:val="restart"/>
          </w:tcPr>
          <w:p>
            <w:pPr>
              <w:pStyle w:val="14"/>
              <w:spacing w:before="190"/>
              <w:ind w:left="220"/>
              <w:jc w:val="left"/>
              <w:rPr>
                <w:rFonts w:ascii="Times New Roman"/>
                <w:sz w:val="21"/>
              </w:rPr>
            </w:pPr>
            <w:r>
              <w:rPr>
                <w:rFonts w:ascii="Times New Roman"/>
                <w:sz w:val="21"/>
              </w:rPr>
              <w:t>90</w:t>
            </w:r>
          </w:p>
        </w:tc>
        <w:tc>
          <w:tcPr>
            <w:tcW w:w="2347" w:type="dxa"/>
            <w:tcBorders>
              <w:bottom w:val="nil"/>
            </w:tcBorders>
          </w:tcPr>
          <w:p>
            <w:pPr>
              <w:pStyle w:val="14"/>
              <w:spacing w:before="20" w:line="266" w:lineRule="exact"/>
              <w:ind w:left="5"/>
              <w:rPr>
                <w:sz w:val="21"/>
              </w:rPr>
            </w:pPr>
            <w:r>
              <w:rPr>
                <w:sz w:val="21"/>
              </w:rPr>
              <w:t>四周墙体和顶部设计为</w:t>
            </w:r>
          </w:p>
        </w:tc>
        <w:tc>
          <w:tcPr>
            <w:tcW w:w="683" w:type="dxa"/>
            <w:vMerge w:val="restart"/>
          </w:tcPr>
          <w:p>
            <w:pPr>
              <w:pStyle w:val="14"/>
              <w:spacing w:before="190"/>
              <w:ind w:left="215" w:right="207"/>
              <w:rPr>
                <w:rFonts w:ascii="Times New Roman"/>
                <w:sz w:val="21"/>
              </w:rPr>
            </w:pPr>
            <w:r>
              <w:rPr>
                <w:rFonts w:ascii="Times New Roman"/>
                <w:sz w:val="21"/>
              </w:rPr>
              <w:t>25</w:t>
            </w:r>
          </w:p>
        </w:tc>
        <w:tc>
          <w:tcPr>
            <w:tcW w:w="877" w:type="dxa"/>
            <w:vMerge w:val="restart"/>
          </w:tcPr>
          <w:p>
            <w:pPr>
              <w:pStyle w:val="14"/>
              <w:spacing w:before="190"/>
              <w:ind w:left="205" w:right="197"/>
              <w:rPr>
                <w:rFonts w:ascii="Times New Roman"/>
                <w:sz w:val="21"/>
              </w:rPr>
            </w:pPr>
            <w:r>
              <w:rPr>
                <w:rFonts w:ascii="Times New Roman"/>
                <w:sz w:val="21"/>
              </w:rPr>
              <w:t>65</w:t>
            </w:r>
          </w:p>
        </w:tc>
        <w:tc>
          <w:tcPr>
            <w:tcW w:w="897" w:type="dxa"/>
            <w:tcBorders>
              <w:top w:val="nil"/>
              <w:bottom w:val="nil"/>
            </w:tcBorders>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496" w:type="dxa"/>
            <w:vMerge w:val="continue"/>
            <w:tcBorders>
              <w:top w:val="nil"/>
            </w:tcBorders>
          </w:tcPr>
          <w:p>
            <w:pPr>
              <w:rPr>
                <w:sz w:val="2"/>
                <w:szCs w:val="2"/>
              </w:rPr>
            </w:pPr>
          </w:p>
        </w:tc>
        <w:tc>
          <w:tcPr>
            <w:tcW w:w="848" w:type="dxa"/>
            <w:tcBorders>
              <w:top w:val="nil"/>
            </w:tcBorders>
          </w:tcPr>
          <w:p>
            <w:pPr>
              <w:pStyle w:val="14"/>
              <w:spacing w:before="16"/>
              <w:ind w:left="87" w:right="81"/>
              <w:rPr>
                <w:sz w:val="21"/>
              </w:rPr>
            </w:pPr>
            <w:r>
              <w:rPr>
                <w:sz w:val="21"/>
              </w:rPr>
              <w:t>工床</w:t>
            </w:r>
          </w:p>
        </w:tc>
        <w:tc>
          <w:tcPr>
            <w:tcW w:w="940" w:type="dxa"/>
            <w:tcBorders>
              <w:top w:val="nil"/>
            </w:tcBorders>
          </w:tcPr>
          <w:p>
            <w:pPr>
              <w:pStyle w:val="14"/>
              <w:spacing w:before="16"/>
              <w:ind w:left="134" w:right="126"/>
              <w:rPr>
                <w:sz w:val="21"/>
              </w:rPr>
            </w:pPr>
            <w:r>
              <w:rPr>
                <w:sz w:val="21"/>
              </w:rPr>
              <w:t>工房</w:t>
            </w:r>
          </w:p>
        </w:tc>
        <w:tc>
          <w:tcPr>
            <w:tcW w:w="766" w:type="dxa"/>
            <w:vMerge w:val="continue"/>
            <w:tcBorders>
              <w:top w:val="nil"/>
            </w:tcBorders>
          </w:tcPr>
          <w:p>
            <w:pPr>
              <w:rPr>
                <w:sz w:val="2"/>
                <w:szCs w:val="2"/>
              </w:rPr>
            </w:pPr>
          </w:p>
        </w:tc>
        <w:tc>
          <w:tcPr>
            <w:tcW w:w="652" w:type="dxa"/>
            <w:vMerge w:val="continue"/>
            <w:tcBorders>
              <w:top w:val="nil"/>
            </w:tcBorders>
          </w:tcPr>
          <w:p>
            <w:pPr>
              <w:rPr>
                <w:sz w:val="2"/>
                <w:szCs w:val="2"/>
              </w:rPr>
            </w:pPr>
          </w:p>
        </w:tc>
        <w:tc>
          <w:tcPr>
            <w:tcW w:w="2347" w:type="dxa"/>
            <w:tcBorders>
              <w:top w:val="nil"/>
            </w:tcBorders>
          </w:tcPr>
          <w:p>
            <w:pPr>
              <w:pStyle w:val="14"/>
              <w:spacing w:before="16"/>
              <w:ind w:left="5"/>
              <w:rPr>
                <w:sz w:val="21"/>
              </w:rPr>
            </w:pPr>
            <w:r>
              <w:rPr>
                <w:sz w:val="21"/>
              </w:rPr>
              <w:t>混凝土墙体，隔声门窗</w:t>
            </w:r>
          </w:p>
        </w:tc>
        <w:tc>
          <w:tcPr>
            <w:tcW w:w="683" w:type="dxa"/>
            <w:vMerge w:val="continue"/>
            <w:tcBorders>
              <w:top w:val="nil"/>
            </w:tcBorders>
          </w:tcPr>
          <w:p>
            <w:pPr>
              <w:rPr>
                <w:sz w:val="2"/>
                <w:szCs w:val="2"/>
              </w:rPr>
            </w:pPr>
          </w:p>
        </w:tc>
        <w:tc>
          <w:tcPr>
            <w:tcW w:w="877" w:type="dxa"/>
            <w:vMerge w:val="continue"/>
            <w:tcBorders>
              <w:top w:val="nil"/>
            </w:tcBorders>
          </w:tcPr>
          <w:p>
            <w:pPr>
              <w:rPr>
                <w:sz w:val="2"/>
                <w:szCs w:val="2"/>
              </w:rPr>
            </w:pPr>
          </w:p>
        </w:tc>
        <w:tc>
          <w:tcPr>
            <w:tcW w:w="897" w:type="dxa"/>
            <w:tcBorders>
              <w:top w:val="nil"/>
              <w:bottom w:val="nil"/>
            </w:tcBorders>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96" w:type="dxa"/>
          </w:tcPr>
          <w:p>
            <w:pPr>
              <w:pStyle w:val="14"/>
              <w:spacing w:before="190"/>
              <w:ind w:right="183"/>
              <w:jc w:val="right"/>
              <w:rPr>
                <w:rFonts w:ascii="Times New Roman"/>
                <w:sz w:val="21"/>
              </w:rPr>
            </w:pPr>
            <w:r>
              <w:rPr>
                <w:rFonts w:ascii="Times New Roman"/>
                <w:w w:val="99"/>
                <w:sz w:val="21"/>
              </w:rPr>
              <w:t>8</w:t>
            </w:r>
          </w:p>
        </w:tc>
        <w:tc>
          <w:tcPr>
            <w:tcW w:w="848" w:type="dxa"/>
          </w:tcPr>
          <w:p>
            <w:pPr>
              <w:pStyle w:val="14"/>
              <w:spacing w:before="20"/>
              <w:ind w:left="87" w:right="81"/>
              <w:rPr>
                <w:sz w:val="21"/>
              </w:rPr>
            </w:pPr>
            <w:r>
              <w:rPr>
                <w:sz w:val="21"/>
              </w:rPr>
              <w:t>提升绞</w:t>
            </w:r>
          </w:p>
          <w:p>
            <w:pPr>
              <w:pStyle w:val="14"/>
              <w:spacing w:before="43"/>
              <w:ind w:left="8"/>
              <w:rPr>
                <w:sz w:val="21"/>
              </w:rPr>
            </w:pPr>
            <w:r>
              <w:rPr>
                <w:w w:val="99"/>
                <w:sz w:val="21"/>
              </w:rPr>
              <w:t>车</w:t>
            </w:r>
          </w:p>
        </w:tc>
        <w:tc>
          <w:tcPr>
            <w:tcW w:w="940" w:type="dxa"/>
          </w:tcPr>
          <w:p>
            <w:pPr>
              <w:pStyle w:val="14"/>
              <w:spacing w:before="176"/>
              <w:ind w:left="134" w:right="126"/>
              <w:rPr>
                <w:sz w:val="21"/>
              </w:rPr>
            </w:pPr>
            <w:r>
              <w:rPr>
                <w:sz w:val="21"/>
              </w:rPr>
              <w:t>绞车房</w:t>
            </w:r>
          </w:p>
        </w:tc>
        <w:tc>
          <w:tcPr>
            <w:tcW w:w="766" w:type="dxa"/>
          </w:tcPr>
          <w:p>
            <w:pPr>
              <w:pStyle w:val="14"/>
              <w:spacing w:before="190"/>
              <w:ind w:left="5"/>
              <w:rPr>
                <w:rFonts w:ascii="Times New Roman"/>
                <w:sz w:val="21"/>
              </w:rPr>
            </w:pPr>
            <w:r>
              <w:rPr>
                <w:rFonts w:ascii="Times New Roman"/>
                <w:w w:val="99"/>
                <w:sz w:val="21"/>
              </w:rPr>
              <w:t>1</w:t>
            </w:r>
          </w:p>
        </w:tc>
        <w:tc>
          <w:tcPr>
            <w:tcW w:w="652" w:type="dxa"/>
          </w:tcPr>
          <w:p>
            <w:pPr>
              <w:pStyle w:val="14"/>
              <w:spacing w:before="190"/>
              <w:ind w:left="200" w:right="192"/>
              <w:rPr>
                <w:rFonts w:ascii="Times New Roman"/>
                <w:sz w:val="21"/>
              </w:rPr>
            </w:pPr>
            <w:r>
              <w:rPr>
                <w:rFonts w:ascii="Times New Roman"/>
                <w:sz w:val="21"/>
              </w:rPr>
              <w:t>90</w:t>
            </w:r>
          </w:p>
        </w:tc>
        <w:tc>
          <w:tcPr>
            <w:tcW w:w="2347" w:type="dxa"/>
            <w:tcBorders>
              <w:bottom w:val="nil"/>
            </w:tcBorders>
          </w:tcPr>
          <w:p>
            <w:pPr>
              <w:pStyle w:val="14"/>
              <w:spacing w:before="25"/>
              <w:ind w:left="122"/>
              <w:jc w:val="left"/>
              <w:rPr>
                <w:sz w:val="21"/>
              </w:rPr>
            </w:pPr>
            <w:r>
              <w:rPr>
                <w:w w:val="95"/>
                <w:sz w:val="21"/>
              </w:rPr>
              <w:t>机房内电机设置减振基</w:t>
            </w:r>
          </w:p>
          <w:p>
            <w:pPr>
              <w:pStyle w:val="14"/>
              <w:spacing w:before="43" w:line="267" w:lineRule="exact"/>
              <w:ind w:left="122"/>
              <w:jc w:val="left"/>
              <w:rPr>
                <w:sz w:val="21"/>
              </w:rPr>
            </w:pPr>
            <w:r>
              <w:rPr>
                <w:w w:val="95"/>
                <w:sz w:val="21"/>
              </w:rPr>
              <w:t>础，机房内进行吸声处</w:t>
            </w:r>
          </w:p>
        </w:tc>
        <w:tc>
          <w:tcPr>
            <w:tcW w:w="683" w:type="dxa"/>
          </w:tcPr>
          <w:p>
            <w:pPr>
              <w:pStyle w:val="14"/>
              <w:spacing w:before="190"/>
              <w:ind w:left="215" w:right="207"/>
              <w:rPr>
                <w:rFonts w:ascii="Times New Roman"/>
                <w:sz w:val="21"/>
              </w:rPr>
            </w:pPr>
            <w:r>
              <w:rPr>
                <w:rFonts w:ascii="Times New Roman"/>
                <w:sz w:val="21"/>
              </w:rPr>
              <w:t>25</w:t>
            </w:r>
          </w:p>
        </w:tc>
        <w:tc>
          <w:tcPr>
            <w:tcW w:w="877" w:type="dxa"/>
          </w:tcPr>
          <w:p>
            <w:pPr>
              <w:pStyle w:val="14"/>
              <w:spacing w:before="190"/>
              <w:ind w:right="322"/>
              <w:jc w:val="right"/>
              <w:rPr>
                <w:rFonts w:ascii="Times New Roman"/>
                <w:sz w:val="21"/>
              </w:rPr>
            </w:pPr>
            <w:r>
              <w:rPr>
                <w:rFonts w:ascii="Times New Roman"/>
                <w:sz w:val="21"/>
              </w:rPr>
              <w:t>65</w:t>
            </w:r>
          </w:p>
        </w:tc>
        <w:tc>
          <w:tcPr>
            <w:tcW w:w="897" w:type="dxa"/>
            <w:tcBorders>
              <w:top w:val="nil"/>
              <w:bottom w:val="nil"/>
            </w:tcBorders>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496" w:type="dxa"/>
            <w:vMerge w:val="restart"/>
          </w:tcPr>
          <w:p>
            <w:pPr>
              <w:pStyle w:val="14"/>
              <w:spacing w:before="192"/>
              <w:ind w:left="10"/>
              <w:rPr>
                <w:rFonts w:ascii="Times New Roman"/>
                <w:sz w:val="21"/>
              </w:rPr>
            </w:pPr>
            <w:r>
              <w:rPr>
                <w:rFonts w:ascii="Times New Roman"/>
                <w:w w:val="99"/>
                <w:sz w:val="21"/>
              </w:rPr>
              <w:t>9</w:t>
            </w:r>
          </w:p>
        </w:tc>
        <w:tc>
          <w:tcPr>
            <w:tcW w:w="848" w:type="dxa"/>
            <w:tcBorders>
              <w:bottom w:val="nil"/>
            </w:tcBorders>
          </w:tcPr>
          <w:p>
            <w:pPr>
              <w:pStyle w:val="14"/>
              <w:spacing w:before="22" w:line="262" w:lineRule="exact"/>
              <w:ind w:left="87" w:right="81"/>
              <w:rPr>
                <w:sz w:val="21"/>
              </w:rPr>
            </w:pPr>
            <w:r>
              <w:rPr>
                <w:sz w:val="21"/>
              </w:rPr>
              <w:t>提升绞</w:t>
            </w:r>
          </w:p>
        </w:tc>
        <w:tc>
          <w:tcPr>
            <w:tcW w:w="940" w:type="dxa"/>
            <w:tcBorders>
              <w:bottom w:val="nil"/>
            </w:tcBorders>
          </w:tcPr>
          <w:p>
            <w:pPr>
              <w:pStyle w:val="14"/>
              <w:spacing w:before="22" w:line="262" w:lineRule="exact"/>
              <w:ind w:left="134" w:right="126"/>
              <w:rPr>
                <w:sz w:val="21"/>
              </w:rPr>
            </w:pPr>
            <w:r>
              <w:rPr>
                <w:sz w:val="21"/>
              </w:rPr>
              <w:t>矸石绞</w:t>
            </w:r>
          </w:p>
        </w:tc>
        <w:tc>
          <w:tcPr>
            <w:tcW w:w="766" w:type="dxa"/>
            <w:vMerge w:val="restart"/>
          </w:tcPr>
          <w:p>
            <w:pPr>
              <w:pStyle w:val="14"/>
              <w:spacing w:before="192"/>
              <w:ind w:left="5"/>
              <w:rPr>
                <w:rFonts w:ascii="Times New Roman"/>
                <w:sz w:val="21"/>
              </w:rPr>
            </w:pPr>
            <w:r>
              <w:rPr>
                <w:rFonts w:ascii="Times New Roman"/>
                <w:w w:val="99"/>
                <w:sz w:val="21"/>
              </w:rPr>
              <w:t>1</w:t>
            </w:r>
          </w:p>
        </w:tc>
        <w:tc>
          <w:tcPr>
            <w:tcW w:w="652" w:type="dxa"/>
            <w:vMerge w:val="restart"/>
          </w:tcPr>
          <w:p>
            <w:pPr>
              <w:pStyle w:val="14"/>
              <w:spacing w:before="192"/>
              <w:ind w:left="220"/>
              <w:jc w:val="left"/>
              <w:rPr>
                <w:rFonts w:ascii="Times New Roman"/>
                <w:sz w:val="21"/>
              </w:rPr>
            </w:pPr>
            <w:r>
              <w:rPr>
                <w:rFonts w:ascii="Times New Roman"/>
                <w:sz w:val="21"/>
              </w:rPr>
              <w:t>90</w:t>
            </w:r>
          </w:p>
        </w:tc>
        <w:tc>
          <w:tcPr>
            <w:tcW w:w="2347" w:type="dxa"/>
            <w:tcBorders>
              <w:top w:val="nil"/>
              <w:bottom w:val="nil"/>
            </w:tcBorders>
          </w:tcPr>
          <w:p>
            <w:pPr>
              <w:pStyle w:val="14"/>
              <w:spacing w:before="15"/>
              <w:ind w:left="8"/>
              <w:rPr>
                <w:sz w:val="21"/>
              </w:rPr>
            </w:pPr>
            <w:r>
              <w:rPr>
                <w:sz w:val="21"/>
              </w:rPr>
              <w:t>理，并加装隔声罩，机房</w:t>
            </w:r>
          </w:p>
        </w:tc>
        <w:tc>
          <w:tcPr>
            <w:tcW w:w="683" w:type="dxa"/>
            <w:vMerge w:val="restart"/>
          </w:tcPr>
          <w:p>
            <w:pPr>
              <w:pStyle w:val="14"/>
              <w:spacing w:before="192"/>
              <w:ind w:left="215" w:right="207"/>
              <w:rPr>
                <w:rFonts w:ascii="Times New Roman"/>
                <w:sz w:val="21"/>
              </w:rPr>
            </w:pPr>
            <w:r>
              <w:rPr>
                <w:rFonts w:ascii="Times New Roman"/>
                <w:sz w:val="21"/>
              </w:rPr>
              <w:t>25</w:t>
            </w:r>
          </w:p>
        </w:tc>
        <w:tc>
          <w:tcPr>
            <w:tcW w:w="877" w:type="dxa"/>
            <w:vMerge w:val="restart"/>
          </w:tcPr>
          <w:p>
            <w:pPr>
              <w:pStyle w:val="14"/>
              <w:spacing w:before="192"/>
              <w:ind w:left="205" w:right="197"/>
              <w:rPr>
                <w:rFonts w:ascii="Times New Roman"/>
                <w:sz w:val="21"/>
              </w:rPr>
            </w:pPr>
            <w:r>
              <w:rPr>
                <w:rFonts w:ascii="Times New Roman"/>
                <w:sz w:val="21"/>
              </w:rPr>
              <w:t>65</w:t>
            </w:r>
          </w:p>
        </w:tc>
        <w:tc>
          <w:tcPr>
            <w:tcW w:w="897" w:type="dxa"/>
            <w:tcBorders>
              <w:top w:val="nil"/>
              <w:bottom w:val="nil"/>
            </w:tcBorders>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496" w:type="dxa"/>
            <w:vMerge w:val="continue"/>
            <w:tcBorders>
              <w:top w:val="nil"/>
            </w:tcBorders>
          </w:tcPr>
          <w:p>
            <w:pPr>
              <w:rPr>
                <w:sz w:val="2"/>
                <w:szCs w:val="2"/>
              </w:rPr>
            </w:pPr>
          </w:p>
        </w:tc>
        <w:tc>
          <w:tcPr>
            <w:tcW w:w="848" w:type="dxa"/>
            <w:tcBorders>
              <w:top w:val="nil"/>
            </w:tcBorders>
          </w:tcPr>
          <w:p>
            <w:pPr>
              <w:pStyle w:val="14"/>
              <w:spacing w:before="19" w:line="268" w:lineRule="exact"/>
              <w:ind w:left="8"/>
              <w:rPr>
                <w:sz w:val="21"/>
              </w:rPr>
            </w:pPr>
            <w:r>
              <w:rPr>
                <w:w w:val="99"/>
                <w:sz w:val="21"/>
              </w:rPr>
              <w:t>车</w:t>
            </w:r>
          </w:p>
        </w:tc>
        <w:tc>
          <w:tcPr>
            <w:tcW w:w="940" w:type="dxa"/>
            <w:tcBorders>
              <w:top w:val="nil"/>
            </w:tcBorders>
          </w:tcPr>
          <w:p>
            <w:pPr>
              <w:pStyle w:val="14"/>
              <w:spacing w:before="19" w:line="268" w:lineRule="exact"/>
              <w:ind w:left="134" w:right="126"/>
              <w:rPr>
                <w:sz w:val="21"/>
              </w:rPr>
            </w:pPr>
            <w:r>
              <w:rPr>
                <w:sz w:val="21"/>
              </w:rPr>
              <w:t>车房</w:t>
            </w:r>
          </w:p>
        </w:tc>
        <w:tc>
          <w:tcPr>
            <w:tcW w:w="766" w:type="dxa"/>
            <w:vMerge w:val="continue"/>
            <w:tcBorders>
              <w:top w:val="nil"/>
            </w:tcBorders>
          </w:tcPr>
          <w:p>
            <w:pPr>
              <w:rPr>
                <w:sz w:val="2"/>
                <w:szCs w:val="2"/>
              </w:rPr>
            </w:pPr>
          </w:p>
        </w:tc>
        <w:tc>
          <w:tcPr>
            <w:tcW w:w="652" w:type="dxa"/>
            <w:vMerge w:val="continue"/>
            <w:tcBorders>
              <w:top w:val="nil"/>
            </w:tcBorders>
          </w:tcPr>
          <w:p>
            <w:pPr>
              <w:rPr>
                <w:sz w:val="2"/>
                <w:szCs w:val="2"/>
              </w:rPr>
            </w:pPr>
          </w:p>
        </w:tc>
        <w:tc>
          <w:tcPr>
            <w:tcW w:w="2347" w:type="dxa"/>
            <w:tcBorders>
              <w:top w:val="nil"/>
            </w:tcBorders>
          </w:tcPr>
          <w:p>
            <w:pPr>
              <w:pStyle w:val="14"/>
              <w:spacing w:before="12"/>
              <w:ind w:left="8"/>
              <w:rPr>
                <w:sz w:val="21"/>
              </w:rPr>
            </w:pPr>
            <w:r>
              <w:rPr>
                <w:sz w:val="21"/>
              </w:rPr>
              <w:t>门窗设置为隔声门窗</w:t>
            </w:r>
          </w:p>
        </w:tc>
        <w:tc>
          <w:tcPr>
            <w:tcW w:w="683" w:type="dxa"/>
            <w:vMerge w:val="continue"/>
            <w:tcBorders>
              <w:top w:val="nil"/>
            </w:tcBorders>
          </w:tcPr>
          <w:p>
            <w:pPr>
              <w:rPr>
                <w:sz w:val="2"/>
                <w:szCs w:val="2"/>
              </w:rPr>
            </w:pPr>
          </w:p>
        </w:tc>
        <w:tc>
          <w:tcPr>
            <w:tcW w:w="877" w:type="dxa"/>
            <w:vMerge w:val="continue"/>
            <w:tcBorders>
              <w:top w:val="nil"/>
            </w:tcBorders>
          </w:tcPr>
          <w:p>
            <w:pPr>
              <w:rPr>
                <w:sz w:val="2"/>
                <w:szCs w:val="2"/>
              </w:rPr>
            </w:pPr>
          </w:p>
        </w:tc>
        <w:tc>
          <w:tcPr>
            <w:tcW w:w="897" w:type="dxa"/>
            <w:tcBorders>
              <w:top w:val="nil"/>
            </w:tcBorders>
          </w:tcPr>
          <w:p>
            <w:pPr>
              <w:pStyle w:val="14"/>
              <w:jc w:val="left"/>
              <w:rPr>
                <w:rFonts w:ascii="Times New Roman"/>
                <w:sz w:val="20"/>
              </w:rPr>
            </w:pPr>
          </w:p>
        </w:tc>
      </w:tr>
    </w:tbl>
    <w:p>
      <w:pPr>
        <w:spacing w:after="0"/>
        <w:jc w:val="left"/>
        <w:rPr>
          <w:rFonts w:ascii="Times New Roman"/>
          <w:sz w:val="20"/>
        </w:rPr>
        <w:sectPr>
          <w:pgSz w:w="11910" w:h="16840"/>
          <w:pgMar w:top="1420" w:right="1220" w:bottom="1180" w:left="1240" w:header="0" w:footer="997" w:gutter="0"/>
        </w:sectPr>
      </w:pPr>
    </w:p>
    <w:tbl>
      <w:tblPr>
        <w:tblStyle w:val="10"/>
        <w:tblW w:w="0" w:type="auto"/>
        <w:tblInd w:w="4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6"/>
        <w:gridCol w:w="848"/>
        <w:gridCol w:w="940"/>
        <w:gridCol w:w="766"/>
        <w:gridCol w:w="652"/>
        <w:gridCol w:w="2347"/>
        <w:gridCol w:w="683"/>
        <w:gridCol w:w="877"/>
        <w:gridCol w:w="8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96" w:type="dxa"/>
          </w:tcPr>
          <w:p>
            <w:pPr>
              <w:pStyle w:val="14"/>
              <w:spacing w:before="191"/>
              <w:ind w:right="130"/>
              <w:jc w:val="right"/>
              <w:rPr>
                <w:rFonts w:ascii="Times New Roman"/>
                <w:sz w:val="21"/>
              </w:rPr>
            </w:pPr>
            <w:r>
              <w:rPr>
                <w:rFonts w:ascii="Times New Roman"/>
                <w:sz w:val="21"/>
              </w:rPr>
              <w:t>10</w:t>
            </w:r>
          </w:p>
        </w:tc>
        <w:tc>
          <w:tcPr>
            <w:tcW w:w="848" w:type="dxa"/>
          </w:tcPr>
          <w:p>
            <w:pPr>
              <w:pStyle w:val="14"/>
              <w:spacing w:before="177"/>
              <w:ind w:left="107"/>
              <w:jc w:val="left"/>
              <w:rPr>
                <w:sz w:val="21"/>
              </w:rPr>
            </w:pPr>
            <w:r>
              <w:rPr>
                <w:sz w:val="21"/>
              </w:rPr>
              <w:t>翻车机</w:t>
            </w:r>
          </w:p>
        </w:tc>
        <w:tc>
          <w:tcPr>
            <w:tcW w:w="940" w:type="dxa"/>
          </w:tcPr>
          <w:p>
            <w:pPr>
              <w:pStyle w:val="14"/>
              <w:spacing w:before="21"/>
              <w:ind w:left="134" w:right="126"/>
              <w:rPr>
                <w:sz w:val="21"/>
              </w:rPr>
            </w:pPr>
            <w:r>
              <w:rPr>
                <w:sz w:val="21"/>
              </w:rPr>
              <w:t>翻车机</w:t>
            </w:r>
          </w:p>
          <w:p>
            <w:pPr>
              <w:pStyle w:val="14"/>
              <w:spacing w:before="43"/>
              <w:ind w:left="6"/>
              <w:rPr>
                <w:sz w:val="21"/>
              </w:rPr>
            </w:pPr>
            <w:r>
              <w:rPr>
                <w:w w:val="99"/>
                <w:sz w:val="21"/>
              </w:rPr>
              <w:t>房</w:t>
            </w:r>
          </w:p>
        </w:tc>
        <w:tc>
          <w:tcPr>
            <w:tcW w:w="766" w:type="dxa"/>
          </w:tcPr>
          <w:p>
            <w:pPr>
              <w:pStyle w:val="14"/>
              <w:spacing w:before="191"/>
              <w:ind w:left="5"/>
              <w:rPr>
                <w:rFonts w:ascii="Times New Roman"/>
                <w:sz w:val="21"/>
              </w:rPr>
            </w:pPr>
            <w:r>
              <w:rPr>
                <w:rFonts w:ascii="Times New Roman"/>
                <w:w w:val="99"/>
                <w:sz w:val="21"/>
              </w:rPr>
              <w:t>1</w:t>
            </w:r>
          </w:p>
        </w:tc>
        <w:tc>
          <w:tcPr>
            <w:tcW w:w="652" w:type="dxa"/>
          </w:tcPr>
          <w:p>
            <w:pPr>
              <w:pStyle w:val="14"/>
              <w:spacing w:before="191"/>
              <w:ind w:left="200" w:right="192"/>
              <w:rPr>
                <w:rFonts w:ascii="Times New Roman"/>
                <w:sz w:val="21"/>
              </w:rPr>
            </w:pPr>
            <w:r>
              <w:rPr>
                <w:rFonts w:ascii="Times New Roman"/>
                <w:sz w:val="21"/>
              </w:rPr>
              <w:t>90</w:t>
            </w:r>
          </w:p>
        </w:tc>
        <w:tc>
          <w:tcPr>
            <w:tcW w:w="2347" w:type="dxa"/>
          </w:tcPr>
          <w:p>
            <w:pPr>
              <w:pStyle w:val="14"/>
              <w:jc w:val="left"/>
              <w:rPr>
                <w:rFonts w:ascii="Times New Roman"/>
                <w:sz w:val="24"/>
              </w:rPr>
            </w:pPr>
          </w:p>
        </w:tc>
        <w:tc>
          <w:tcPr>
            <w:tcW w:w="683" w:type="dxa"/>
          </w:tcPr>
          <w:p>
            <w:pPr>
              <w:pStyle w:val="14"/>
              <w:spacing w:before="191"/>
              <w:ind w:left="215" w:right="207"/>
              <w:rPr>
                <w:rFonts w:ascii="Times New Roman"/>
                <w:sz w:val="21"/>
              </w:rPr>
            </w:pPr>
            <w:r>
              <w:rPr>
                <w:rFonts w:ascii="Times New Roman"/>
                <w:sz w:val="21"/>
              </w:rPr>
              <w:t>25</w:t>
            </w:r>
          </w:p>
        </w:tc>
        <w:tc>
          <w:tcPr>
            <w:tcW w:w="877" w:type="dxa"/>
          </w:tcPr>
          <w:p>
            <w:pPr>
              <w:pStyle w:val="14"/>
              <w:spacing w:before="191"/>
              <w:ind w:right="322"/>
              <w:jc w:val="right"/>
              <w:rPr>
                <w:rFonts w:ascii="Times New Roman"/>
                <w:sz w:val="21"/>
              </w:rPr>
            </w:pPr>
            <w:r>
              <w:rPr>
                <w:rFonts w:ascii="Times New Roman"/>
                <w:sz w:val="21"/>
              </w:rPr>
              <w:t>65</w:t>
            </w:r>
          </w:p>
        </w:tc>
        <w:tc>
          <w:tcPr>
            <w:tcW w:w="897" w:type="dxa"/>
            <w:vMerge w:val="restart"/>
          </w:tcPr>
          <w:p>
            <w:pPr>
              <w:pStyle w:val="14"/>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96" w:type="dxa"/>
          </w:tcPr>
          <w:p>
            <w:pPr>
              <w:pStyle w:val="14"/>
              <w:spacing w:before="190"/>
              <w:ind w:right="130"/>
              <w:jc w:val="right"/>
              <w:rPr>
                <w:rFonts w:ascii="Times New Roman"/>
                <w:sz w:val="21"/>
              </w:rPr>
            </w:pPr>
            <w:r>
              <w:rPr>
                <w:rFonts w:ascii="Times New Roman"/>
                <w:sz w:val="21"/>
              </w:rPr>
              <w:t>11</w:t>
            </w:r>
          </w:p>
        </w:tc>
        <w:tc>
          <w:tcPr>
            <w:tcW w:w="848" w:type="dxa"/>
          </w:tcPr>
          <w:p>
            <w:pPr>
              <w:pStyle w:val="14"/>
              <w:spacing w:before="21"/>
              <w:ind w:left="87" w:right="81"/>
              <w:rPr>
                <w:sz w:val="21"/>
              </w:rPr>
            </w:pPr>
            <w:r>
              <w:rPr>
                <w:sz w:val="21"/>
              </w:rPr>
              <w:t>维修设</w:t>
            </w:r>
          </w:p>
          <w:p>
            <w:pPr>
              <w:pStyle w:val="14"/>
              <w:spacing w:before="42"/>
              <w:ind w:left="8"/>
              <w:rPr>
                <w:sz w:val="21"/>
              </w:rPr>
            </w:pPr>
            <w:r>
              <w:rPr>
                <w:w w:val="99"/>
                <w:sz w:val="21"/>
              </w:rPr>
              <w:t>备</w:t>
            </w:r>
          </w:p>
        </w:tc>
        <w:tc>
          <w:tcPr>
            <w:tcW w:w="940" w:type="dxa"/>
          </w:tcPr>
          <w:p>
            <w:pPr>
              <w:pStyle w:val="14"/>
              <w:spacing w:before="21"/>
              <w:ind w:left="154"/>
              <w:jc w:val="left"/>
              <w:rPr>
                <w:sz w:val="21"/>
              </w:rPr>
            </w:pPr>
            <w:r>
              <w:rPr>
                <w:w w:val="95"/>
                <w:sz w:val="21"/>
              </w:rPr>
              <w:t>机电维</w:t>
            </w:r>
          </w:p>
          <w:p>
            <w:pPr>
              <w:pStyle w:val="14"/>
              <w:spacing w:before="42"/>
              <w:ind w:left="154"/>
              <w:jc w:val="left"/>
              <w:rPr>
                <w:sz w:val="21"/>
              </w:rPr>
            </w:pPr>
            <w:r>
              <w:rPr>
                <w:w w:val="95"/>
                <w:sz w:val="21"/>
              </w:rPr>
              <w:t>修车间</w:t>
            </w:r>
          </w:p>
        </w:tc>
        <w:tc>
          <w:tcPr>
            <w:tcW w:w="766" w:type="dxa"/>
          </w:tcPr>
          <w:p>
            <w:pPr>
              <w:pStyle w:val="14"/>
              <w:spacing w:before="190"/>
              <w:ind w:left="5"/>
              <w:rPr>
                <w:rFonts w:ascii="Times New Roman"/>
                <w:sz w:val="21"/>
              </w:rPr>
            </w:pPr>
            <w:r>
              <w:rPr>
                <w:rFonts w:ascii="Times New Roman"/>
                <w:w w:val="99"/>
                <w:sz w:val="21"/>
              </w:rPr>
              <w:t>1</w:t>
            </w:r>
          </w:p>
        </w:tc>
        <w:tc>
          <w:tcPr>
            <w:tcW w:w="652" w:type="dxa"/>
          </w:tcPr>
          <w:p>
            <w:pPr>
              <w:pStyle w:val="14"/>
              <w:spacing w:before="190"/>
              <w:ind w:left="200" w:right="192"/>
              <w:rPr>
                <w:rFonts w:ascii="Times New Roman"/>
                <w:sz w:val="21"/>
              </w:rPr>
            </w:pPr>
            <w:r>
              <w:rPr>
                <w:rFonts w:ascii="Times New Roman"/>
                <w:sz w:val="21"/>
              </w:rPr>
              <w:t>85</w:t>
            </w:r>
          </w:p>
        </w:tc>
        <w:tc>
          <w:tcPr>
            <w:tcW w:w="2347" w:type="dxa"/>
          </w:tcPr>
          <w:p>
            <w:pPr>
              <w:pStyle w:val="14"/>
              <w:spacing w:before="177"/>
              <w:ind w:left="753"/>
              <w:jc w:val="left"/>
              <w:rPr>
                <w:sz w:val="21"/>
              </w:rPr>
            </w:pPr>
            <w:r>
              <w:rPr>
                <w:sz w:val="21"/>
              </w:rPr>
              <w:t>隔声减振</w:t>
            </w:r>
          </w:p>
        </w:tc>
        <w:tc>
          <w:tcPr>
            <w:tcW w:w="683" w:type="dxa"/>
          </w:tcPr>
          <w:p>
            <w:pPr>
              <w:pStyle w:val="14"/>
              <w:spacing w:before="190"/>
              <w:ind w:left="215" w:right="207"/>
              <w:rPr>
                <w:rFonts w:ascii="Times New Roman"/>
                <w:sz w:val="21"/>
              </w:rPr>
            </w:pPr>
            <w:r>
              <w:rPr>
                <w:rFonts w:ascii="Times New Roman"/>
                <w:sz w:val="21"/>
              </w:rPr>
              <w:t>20</w:t>
            </w:r>
          </w:p>
        </w:tc>
        <w:tc>
          <w:tcPr>
            <w:tcW w:w="877" w:type="dxa"/>
          </w:tcPr>
          <w:p>
            <w:pPr>
              <w:pStyle w:val="14"/>
              <w:spacing w:before="190"/>
              <w:ind w:right="322"/>
              <w:jc w:val="right"/>
              <w:rPr>
                <w:rFonts w:ascii="Times New Roman"/>
                <w:sz w:val="21"/>
              </w:rPr>
            </w:pPr>
            <w:r>
              <w:rPr>
                <w:rFonts w:ascii="Times New Roman"/>
                <w:sz w:val="21"/>
              </w:rPr>
              <w:t>65</w:t>
            </w:r>
          </w:p>
        </w:tc>
        <w:tc>
          <w:tcPr>
            <w:tcW w:w="897" w:type="dxa"/>
            <w:vMerge w:val="continue"/>
            <w:tcBorders>
              <w:top w:val="nil"/>
            </w:tcBorders>
          </w:tcPr>
          <w:p>
            <w:pPr>
              <w:rPr>
                <w:sz w:val="2"/>
                <w:szCs w:val="2"/>
              </w:rPr>
            </w:pPr>
          </w:p>
        </w:tc>
      </w:tr>
    </w:tbl>
    <w:p>
      <w:pPr>
        <w:pStyle w:val="6"/>
        <w:spacing w:before="8"/>
        <w:rPr>
          <w:rFonts w:ascii="黑体"/>
          <w:sz w:val="26"/>
        </w:rPr>
      </w:pPr>
    </w:p>
    <w:p>
      <w:pPr>
        <w:pStyle w:val="13"/>
        <w:numPr>
          <w:ilvl w:val="0"/>
          <w:numId w:val="32"/>
        </w:numPr>
        <w:tabs>
          <w:tab w:val="left" w:pos="1533"/>
        </w:tabs>
        <w:spacing w:before="74" w:after="0" w:line="240" w:lineRule="auto"/>
        <w:ind w:left="1533" w:right="0" w:hanging="602"/>
        <w:jc w:val="left"/>
        <w:rPr>
          <w:sz w:val="24"/>
        </w:rPr>
      </w:pPr>
      <w:r>
        <w:rPr>
          <w:sz w:val="24"/>
        </w:rPr>
        <w:t>生态影响因素分析</w:t>
      </w:r>
    </w:p>
    <w:p>
      <w:pPr>
        <w:pStyle w:val="6"/>
        <w:spacing w:before="160"/>
        <w:ind w:left="931"/>
      </w:pPr>
      <w:r>
        <w:t>①地表沉陷与预防</w:t>
      </w:r>
    </w:p>
    <w:p>
      <w:pPr>
        <w:pStyle w:val="6"/>
        <w:spacing w:before="159"/>
        <w:ind w:left="931"/>
        <w:jc w:val="both"/>
      </w:pPr>
      <w:r>
        <w:rPr>
          <w:rFonts w:ascii="Times New Roman" w:eastAsia="Times New Roman"/>
        </w:rPr>
        <w:t xml:space="preserve">a </w:t>
      </w:r>
      <w:r>
        <w:t>地表沉陷影响分析</w:t>
      </w:r>
    </w:p>
    <w:p>
      <w:pPr>
        <w:pStyle w:val="6"/>
        <w:spacing w:before="160" w:line="364" w:lineRule="auto"/>
        <w:ind w:left="511" w:right="529" w:firstLine="420"/>
        <w:jc w:val="both"/>
      </w:pPr>
      <w:r>
        <w:t>煤炭开采会造成一定程度的地表沉陷区和积水区，对井田内的地形、地貌、景观、建筑物、交通设施、供电系统、地表水系等产生一定程度的影响。对地表植被、生态系统等生态环境产生影响。</w:t>
      </w:r>
    </w:p>
    <w:p>
      <w:pPr>
        <w:pStyle w:val="6"/>
        <w:spacing w:line="304" w:lineRule="exact"/>
        <w:ind w:left="931"/>
        <w:jc w:val="both"/>
      </w:pPr>
      <w:r>
        <w:rPr>
          <w:rFonts w:ascii="Times New Roman" w:eastAsia="Times New Roman"/>
        </w:rPr>
        <w:t xml:space="preserve">b </w:t>
      </w:r>
      <w:r>
        <w:t>地表沉陷预防与生态保护</w:t>
      </w:r>
    </w:p>
    <w:p>
      <w:pPr>
        <w:pStyle w:val="6"/>
        <w:spacing w:before="161" w:line="362" w:lineRule="auto"/>
        <w:ind w:left="511" w:right="529" w:firstLine="420"/>
      </w:pPr>
      <w:r>
        <w:t>矿井生态保护是以沉陷区治理为主。本项目井田范围内主要是林地、工矿用地。</w:t>
      </w:r>
    </w:p>
    <w:p>
      <w:pPr>
        <w:pStyle w:val="6"/>
        <w:spacing w:before="5"/>
        <w:ind w:left="931"/>
      </w:pPr>
      <w:r>
        <w:t>②地表沉陷预防</w:t>
      </w:r>
    </w:p>
    <w:p>
      <w:pPr>
        <w:pStyle w:val="6"/>
        <w:spacing w:before="6"/>
        <w:rPr>
          <w:sz w:val="18"/>
        </w:rPr>
      </w:pPr>
    </w:p>
    <w:p>
      <w:pPr>
        <w:pStyle w:val="6"/>
        <w:spacing w:line="364" w:lineRule="auto"/>
        <w:ind w:left="511" w:right="533" w:firstLine="482"/>
      </w:pPr>
      <w:r>
        <w:rPr>
          <w:spacing w:val="-2"/>
        </w:rPr>
        <w:t>设计对开采影响范围内的矿井工业场地和附属构筑物，采用留设永久保护煤</w:t>
      </w:r>
      <w:r>
        <w:t>柱的方法加以保护。</w:t>
      </w:r>
    </w:p>
    <w:p>
      <w:pPr>
        <w:pStyle w:val="6"/>
        <w:spacing w:before="1" w:line="364" w:lineRule="auto"/>
        <w:ind w:left="511" w:right="533" w:firstLine="482"/>
      </w:pPr>
      <w:r>
        <w:t>根据本井的地质、采矿条件，在最大限度满足开采范围内建筑允许移动和变形值的前提下，通过合理选择条带开采的采留尺寸。</w:t>
      </w:r>
    </w:p>
    <w:p>
      <w:pPr>
        <w:pStyle w:val="6"/>
        <w:spacing w:line="230" w:lineRule="exact"/>
        <w:ind w:left="931"/>
      </w:pPr>
      <w:r>
        <w:t>③地表陷整治覆土</w:t>
      </w:r>
    </w:p>
    <w:p>
      <w:pPr>
        <w:pStyle w:val="6"/>
        <w:spacing w:before="161" w:line="364" w:lineRule="auto"/>
        <w:ind w:left="511" w:right="529" w:firstLine="480"/>
        <w:jc w:val="both"/>
      </w:pPr>
      <w:r>
        <w:t>对非积水塌陷区的治理主要应从恢复土地功能出发，采用土地平整、倒运等办法恢复林地质量。塌陷前期地表尚未稳定，塌陷盆地边界亦在不断发展，此时宜着重输灌排涝、挖设沟渠，维持土地的功能，待塌陷稳定后再全面整治。</w:t>
      </w:r>
    </w:p>
    <w:p>
      <w:pPr>
        <w:pStyle w:val="4"/>
        <w:ind w:left="511" w:firstLine="0"/>
      </w:pPr>
      <w:bookmarkStart w:id="115" w:name="3.4.3本工程退役期排污分析"/>
      <w:bookmarkEnd w:id="115"/>
      <w:r>
        <w:rPr>
          <w:rFonts w:ascii="Times New Roman" w:eastAsia="Times New Roman"/>
        </w:rPr>
        <w:t xml:space="preserve">3.4.3 </w:t>
      </w:r>
      <w:r>
        <w:t>本工程退役期排污分析</w:t>
      </w:r>
    </w:p>
    <w:p>
      <w:pPr>
        <w:pStyle w:val="6"/>
        <w:spacing w:before="262" w:line="364" w:lineRule="auto"/>
        <w:ind w:left="511" w:right="533" w:firstLine="480"/>
        <w:jc w:val="both"/>
      </w:pPr>
      <w:r>
        <w:t>本矿服务期满后工业场地将改做它用，本工程工业场地在生产期间产生的空气、地表水、噪声污染将结束，但在设备拆移和运输过程中将产生暂短的粉尘和噪声污染。</w:t>
      </w:r>
    </w:p>
    <w:p>
      <w:pPr>
        <w:pStyle w:val="3"/>
        <w:numPr>
          <w:ilvl w:val="1"/>
          <w:numId w:val="33"/>
        </w:numPr>
        <w:tabs>
          <w:tab w:val="left" w:pos="961"/>
        </w:tabs>
        <w:spacing w:before="43" w:after="0" w:line="240" w:lineRule="auto"/>
        <w:ind w:left="960" w:right="0" w:hanging="450"/>
        <w:jc w:val="left"/>
      </w:pPr>
      <w:bookmarkStart w:id="116" w:name="3.5本工程“以新带老”环境保护措施"/>
      <w:bookmarkEnd w:id="116"/>
      <w:bookmarkStart w:id="117" w:name="_bookmark19"/>
      <w:bookmarkEnd w:id="117"/>
      <w:bookmarkStart w:id="118" w:name="_bookmark19"/>
      <w:bookmarkEnd w:id="118"/>
      <w:r>
        <w:t>本工程</w:t>
      </w:r>
      <w:r>
        <w:rPr>
          <w:rFonts w:ascii="Times New Roman" w:hAnsi="Times New Roman" w:eastAsia="Times New Roman"/>
        </w:rPr>
        <w:t>“</w:t>
      </w:r>
      <w:r>
        <w:t>以新带老</w:t>
      </w:r>
      <w:r>
        <w:rPr>
          <w:rFonts w:ascii="Times New Roman" w:hAnsi="Times New Roman" w:eastAsia="Times New Roman"/>
        </w:rPr>
        <w:t>”</w:t>
      </w:r>
      <w:r>
        <w:t>环境保护措施</w:t>
      </w:r>
    </w:p>
    <w:p>
      <w:pPr>
        <w:pStyle w:val="6"/>
        <w:spacing w:before="119"/>
        <w:ind w:left="991"/>
      </w:pPr>
      <w:r>
        <w:t>本项目为生态类项目，性质属于改扩建，</w:t>
      </w:r>
      <w:r>
        <w:rPr>
          <w:rFonts w:ascii="Times New Roman" w:hAnsi="Times New Roman" w:eastAsia="Times New Roman"/>
        </w:rPr>
        <w:t>“</w:t>
      </w:r>
      <w:r>
        <w:t>以新带老</w:t>
      </w:r>
      <w:r>
        <w:rPr>
          <w:rFonts w:ascii="Times New Roman" w:hAnsi="Times New Roman" w:eastAsia="Times New Roman"/>
        </w:rPr>
        <w:t>”</w:t>
      </w:r>
      <w:r>
        <w:t>具体内容如下：</w:t>
      </w:r>
    </w:p>
    <w:p>
      <w:pPr>
        <w:pStyle w:val="6"/>
        <w:spacing w:before="161"/>
        <w:ind w:left="991"/>
      </w:pPr>
      <w:r>
        <w:rPr>
          <w:rFonts w:ascii="Times New Roman" w:eastAsia="Times New Roman"/>
        </w:rPr>
        <w:t>1</w:t>
      </w:r>
      <w:r>
        <w:t>、污废水资源化</w:t>
      </w:r>
    </w:p>
    <w:p>
      <w:pPr>
        <w:pStyle w:val="6"/>
        <w:spacing w:before="160"/>
        <w:ind w:left="991"/>
        <w:jc w:val="both"/>
      </w:pPr>
      <w:r>
        <w:t xml:space="preserve">新建处理能力为 </w:t>
      </w:r>
      <w:r>
        <w:rPr>
          <w:rFonts w:ascii="Times New Roman" w:eastAsia="Times New Roman"/>
        </w:rPr>
        <w:t>3720m</w:t>
      </w:r>
      <w:r>
        <w:rPr>
          <w:rFonts w:ascii="Times New Roman" w:eastAsia="Times New Roman"/>
          <w:position w:val="8"/>
          <w:sz w:val="15"/>
        </w:rPr>
        <w:t>3</w:t>
      </w:r>
      <w:r>
        <w:rPr>
          <w:rFonts w:ascii="Times New Roman" w:eastAsia="Times New Roman"/>
        </w:rPr>
        <w:t xml:space="preserve">/d </w:t>
      </w:r>
      <w:r>
        <w:t>的矿井水处理站，处理后的矿井涌水部分回用，剩</w:t>
      </w:r>
    </w:p>
    <w:p>
      <w:pPr>
        <w:spacing w:after="0"/>
        <w:jc w:val="both"/>
        <w:sectPr>
          <w:pgSz w:w="11910" w:h="16840"/>
          <w:pgMar w:top="1420" w:right="1220" w:bottom="1180" w:left="1240" w:header="0" w:footer="997" w:gutter="0"/>
        </w:sectPr>
      </w:pPr>
    </w:p>
    <w:p>
      <w:pPr>
        <w:pStyle w:val="6"/>
        <w:spacing w:before="63" w:line="364" w:lineRule="auto"/>
        <w:ind w:left="511" w:right="407"/>
      </w:pPr>
      <w:r>
        <w:rPr>
          <w:spacing w:val="-9"/>
        </w:rPr>
        <w:t xml:space="preserve">余部分外排至扁石河；新建处理能力为 </w:t>
      </w:r>
      <w:r>
        <w:rPr>
          <w:rFonts w:ascii="Times New Roman" w:eastAsia="Times New Roman"/>
        </w:rPr>
        <w:t>360m</w:t>
      </w:r>
      <w:r>
        <w:rPr>
          <w:rFonts w:ascii="Times New Roman" w:eastAsia="Times New Roman"/>
          <w:position w:val="8"/>
          <w:sz w:val="15"/>
        </w:rPr>
        <w:t>3</w:t>
      </w:r>
      <w:r>
        <w:rPr>
          <w:rFonts w:ascii="Times New Roman" w:eastAsia="Times New Roman"/>
        </w:rPr>
        <w:t xml:space="preserve">/d </w:t>
      </w:r>
      <w:r>
        <w:rPr>
          <w:spacing w:val="-6"/>
        </w:rPr>
        <w:t>的生活污水处理站，处理后的污、</w:t>
      </w:r>
      <w:r>
        <w:t>废水作为矿井工业场地绿化洒水用水。排放的矿井涌水与生活污水满足《煤炭工业污染物排放标准》（</w:t>
      </w:r>
      <w:r>
        <w:rPr>
          <w:rFonts w:ascii="Times New Roman" w:eastAsia="Times New Roman"/>
        </w:rPr>
        <w:t>GB20426-2006</w:t>
      </w:r>
      <w:r>
        <w:t>）</w:t>
      </w:r>
      <w:r>
        <w:rPr>
          <w:spacing w:val="-31"/>
        </w:rPr>
        <w:t xml:space="preserve">表 </w:t>
      </w:r>
      <w:r>
        <w:rPr>
          <w:rFonts w:ascii="Times New Roman" w:eastAsia="Times New Roman"/>
        </w:rPr>
        <w:t>1</w:t>
      </w:r>
      <w:r>
        <w:t>、</w:t>
      </w:r>
      <w:r>
        <w:rPr>
          <w:rFonts w:ascii="Times New Roman" w:eastAsia="Times New Roman"/>
        </w:rPr>
        <w:t xml:space="preserve">2 </w:t>
      </w:r>
      <w:r>
        <w:t>标准限值要求。</w:t>
      </w:r>
    </w:p>
    <w:p>
      <w:pPr>
        <w:pStyle w:val="6"/>
        <w:spacing w:line="307" w:lineRule="exact"/>
        <w:ind w:left="991"/>
      </w:pPr>
      <w:r>
        <w:rPr>
          <w:rFonts w:ascii="Times New Roman" w:eastAsia="Times New Roman"/>
        </w:rPr>
        <w:t>2</w:t>
      </w:r>
      <w:r>
        <w:t>、降尘</w:t>
      </w:r>
    </w:p>
    <w:p>
      <w:pPr>
        <w:pStyle w:val="13"/>
        <w:numPr>
          <w:ilvl w:val="2"/>
          <w:numId w:val="33"/>
        </w:numPr>
        <w:tabs>
          <w:tab w:val="left" w:pos="1593"/>
        </w:tabs>
        <w:spacing w:before="158" w:after="0" w:line="364" w:lineRule="auto"/>
        <w:ind w:left="511" w:right="529" w:firstLine="480"/>
        <w:jc w:val="left"/>
        <w:rPr>
          <w:sz w:val="24"/>
        </w:rPr>
      </w:pPr>
      <w:r>
        <w:rPr>
          <w:spacing w:val="-8"/>
          <w:sz w:val="24"/>
        </w:rPr>
        <w:t>全封闭煤仓；拆除原有燃煤锅炉，新建两套生物质锅炉，配套布袋除</w:t>
      </w:r>
      <w:r>
        <w:rPr>
          <w:spacing w:val="-11"/>
          <w:sz w:val="24"/>
        </w:rPr>
        <w:t xml:space="preserve">尘器，除尘效率为 </w:t>
      </w:r>
      <w:r>
        <w:rPr>
          <w:rFonts w:ascii="Times New Roman" w:eastAsia="Times New Roman"/>
          <w:sz w:val="24"/>
        </w:rPr>
        <w:t>99.9%</w:t>
      </w:r>
      <w:r>
        <w:rPr>
          <w:sz w:val="24"/>
        </w:rPr>
        <w:t>；</w:t>
      </w:r>
    </w:p>
    <w:p>
      <w:pPr>
        <w:pStyle w:val="13"/>
        <w:numPr>
          <w:ilvl w:val="2"/>
          <w:numId w:val="33"/>
        </w:numPr>
        <w:tabs>
          <w:tab w:val="left" w:pos="1593"/>
        </w:tabs>
        <w:spacing w:before="0" w:after="0" w:line="306" w:lineRule="exact"/>
        <w:ind w:left="1593" w:right="0" w:hanging="602"/>
        <w:jc w:val="left"/>
        <w:rPr>
          <w:sz w:val="24"/>
        </w:rPr>
      </w:pPr>
      <w:r>
        <w:rPr>
          <w:sz w:val="24"/>
        </w:rPr>
        <w:t>运输道路定期清扫和洒水降尘；</w:t>
      </w:r>
    </w:p>
    <w:p>
      <w:pPr>
        <w:pStyle w:val="13"/>
        <w:numPr>
          <w:ilvl w:val="2"/>
          <w:numId w:val="33"/>
        </w:numPr>
        <w:tabs>
          <w:tab w:val="left" w:pos="1593"/>
        </w:tabs>
        <w:spacing w:before="160" w:after="0" w:line="240" w:lineRule="auto"/>
        <w:ind w:left="1593" w:right="0" w:hanging="602"/>
        <w:jc w:val="left"/>
        <w:rPr>
          <w:sz w:val="24"/>
        </w:rPr>
      </w:pPr>
      <w:r>
        <w:rPr>
          <w:sz w:val="24"/>
        </w:rPr>
        <w:t>食堂安装油烟净化器；</w:t>
      </w:r>
    </w:p>
    <w:p>
      <w:pPr>
        <w:pStyle w:val="6"/>
        <w:spacing w:before="161"/>
        <w:ind w:left="991"/>
      </w:pPr>
      <w:r>
        <w:rPr>
          <w:rFonts w:ascii="Times New Roman" w:eastAsia="Times New Roman"/>
        </w:rPr>
        <w:t>3</w:t>
      </w:r>
      <w:r>
        <w:t>、固体废物</w:t>
      </w:r>
    </w:p>
    <w:p>
      <w:pPr>
        <w:pStyle w:val="6"/>
        <w:spacing w:before="6"/>
        <w:rPr>
          <w:sz w:val="18"/>
        </w:rPr>
      </w:pPr>
    </w:p>
    <w:p>
      <w:pPr>
        <w:pStyle w:val="13"/>
        <w:numPr>
          <w:ilvl w:val="0"/>
          <w:numId w:val="34"/>
        </w:numPr>
        <w:tabs>
          <w:tab w:val="left" w:pos="1593"/>
        </w:tabs>
        <w:spacing w:before="0" w:after="0" w:line="240" w:lineRule="auto"/>
        <w:ind w:left="1593" w:right="0" w:hanging="602"/>
        <w:jc w:val="left"/>
        <w:rPr>
          <w:sz w:val="24"/>
        </w:rPr>
      </w:pPr>
      <w:r>
        <w:rPr>
          <w:sz w:val="24"/>
        </w:rPr>
        <w:t>本项目矸石用来平整工业场地；用作公路的路基石料；用于填沟造地。</w:t>
      </w:r>
    </w:p>
    <w:p>
      <w:pPr>
        <w:pStyle w:val="13"/>
        <w:numPr>
          <w:ilvl w:val="0"/>
          <w:numId w:val="34"/>
        </w:numPr>
        <w:tabs>
          <w:tab w:val="left" w:pos="1593"/>
        </w:tabs>
        <w:spacing w:before="161" w:after="0" w:line="240" w:lineRule="auto"/>
        <w:ind w:left="1593" w:right="0" w:hanging="602"/>
        <w:jc w:val="left"/>
        <w:rPr>
          <w:sz w:val="24"/>
        </w:rPr>
      </w:pPr>
      <w:r>
        <w:rPr>
          <w:sz w:val="24"/>
        </w:rPr>
        <w:t>锅炉灰渣外售综合利用。</w:t>
      </w:r>
    </w:p>
    <w:p>
      <w:pPr>
        <w:pStyle w:val="13"/>
        <w:numPr>
          <w:ilvl w:val="0"/>
          <w:numId w:val="34"/>
        </w:numPr>
        <w:tabs>
          <w:tab w:val="left" w:pos="1593"/>
        </w:tabs>
        <w:spacing w:before="160" w:after="0" w:line="240" w:lineRule="auto"/>
        <w:ind w:left="1593" w:right="0" w:hanging="602"/>
        <w:jc w:val="left"/>
        <w:rPr>
          <w:sz w:val="24"/>
        </w:rPr>
      </w:pPr>
      <w:r>
        <w:rPr>
          <w:sz w:val="24"/>
        </w:rPr>
        <w:t>生活垃圾、污水处理站产生的污泥定期委托环卫部门处理。</w:t>
      </w:r>
    </w:p>
    <w:p>
      <w:pPr>
        <w:pStyle w:val="6"/>
        <w:spacing w:before="82"/>
        <w:ind w:left="991"/>
      </w:pPr>
      <w:r>
        <w:rPr>
          <w:rFonts w:ascii="Times New Roman" w:eastAsia="Times New Roman"/>
        </w:rPr>
        <w:t>4</w:t>
      </w:r>
      <w:r>
        <w:t>、噪声</w:t>
      </w:r>
    </w:p>
    <w:p>
      <w:pPr>
        <w:pStyle w:val="6"/>
        <w:spacing w:before="6"/>
        <w:rPr>
          <w:sz w:val="18"/>
        </w:rPr>
      </w:pPr>
    </w:p>
    <w:p>
      <w:pPr>
        <w:pStyle w:val="13"/>
        <w:numPr>
          <w:ilvl w:val="0"/>
          <w:numId w:val="35"/>
        </w:numPr>
        <w:tabs>
          <w:tab w:val="left" w:pos="1593"/>
        </w:tabs>
        <w:spacing w:before="0" w:after="0" w:line="364" w:lineRule="auto"/>
        <w:ind w:left="511" w:right="533" w:firstLine="480"/>
        <w:jc w:val="both"/>
        <w:rPr>
          <w:sz w:val="24"/>
        </w:rPr>
      </w:pPr>
      <w:r>
        <w:rPr>
          <w:spacing w:val="-6"/>
          <w:sz w:val="24"/>
        </w:rPr>
        <w:t>在满足工艺设计的前提下，尽量选用低噪声型号的产品。设备定货时</w:t>
      </w:r>
      <w:r>
        <w:rPr>
          <w:spacing w:val="-4"/>
          <w:sz w:val="24"/>
        </w:rPr>
        <w:t>可向厂家提出要求，或者根据厂家提供的设备噪声值进行选择使用。选型还必须</w:t>
      </w:r>
      <w:r>
        <w:rPr>
          <w:spacing w:val="-5"/>
          <w:sz w:val="24"/>
        </w:rPr>
        <w:t>考虑产品具备良好的声学特性</w:t>
      </w:r>
      <w:r>
        <w:rPr>
          <w:sz w:val="24"/>
        </w:rPr>
        <w:t>（高效低噪），向供货制造设备厂方提出限制噪声</w:t>
      </w:r>
      <w:r>
        <w:rPr>
          <w:spacing w:val="-5"/>
          <w:sz w:val="24"/>
        </w:rPr>
        <w:t>要求。对于噪声较高的设备应与厂方协商提供相配套的降噪设施。</w:t>
      </w:r>
    </w:p>
    <w:p>
      <w:pPr>
        <w:pStyle w:val="13"/>
        <w:numPr>
          <w:ilvl w:val="0"/>
          <w:numId w:val="35"/>
        </w:numPr>
        <w:tabs>
          <w:tab w:val="left" w:pos="1593"/>
        </w:tabs>
        <w:spacing w:before="3" w:after="0" w:line="364" w:lineRule="auto"/>
        <w:ind w:left="511" w:right="533" w:firstLine="480"/>
        <w:jc w:val="left"/>
        <w:rPr>
          <w:sz w:val="24"/>
        </w:rPr>
      </w:pPr>
      <w:r>
        <w:rPr>
          <w:spacing w:val="-5"/>
          <w:sz w:val="24"/>
        </w:rPr>
        <w:t>锅炉房鼓风机进出风口处均安装消音器。风机与其它设备隔绝，墙体</w:t>
      </w:r>
      <w:r>
        <w:rPr>
          <w:spacing w:val="-4"/>
          <w:sz w:val="24"/>
        </w:rPr>
        <w:t>采用吸音隔音材料。</w:t>
      </w:r>
    </w:p>
    <w:p>
      <w:pPr>
        <w:pStyle w:val="13"/>
        <w:numPr>
          <w:ilvl w:val="0"/>
          <w:numId w:val="35"/>
        </w:numPr>
        <w:tabs>
          <w:tab w:val="left" w:pos="1593"/>
        </w:tabs>
        <w:spacing w:before="1" w:after="0" w:line="240" w:lineRule="auto"/>
        <w:ind w:left="1593" w:right="0" w:hanging="602"/>
        <w:jc w:val="left"/>
        <w:rPr>
          <w:sz w:val="24"/>
        </w:rPr>
      </w:pPr>
      <w:r>
        <w:rPr>
          <w:sz w:val="24"/>
        </w:rPr>
        <w:t>提高设备安装精度，并在基础设隔振垫。对各种泵必要时加装隔音罩。</w:t>
      </w:r>
    </w:p>
    <w:p>
      <w:pPr>
        <w:pStyle w:val="13"/>
        <w:numPr>
          <w:ilvl w:val="0"/>
          <w:numId w:val="35"/>
        </w:numPr>
        <w:tabs>
          <w:tab w:val="left" w:pos="1593"/>
        </w:tabs>
        <w:spacing w:before="161" w:after="0" w:line="364" w:lineRule="auto"/>
        <w:ind w:left="511" w:right="413" w:firstLine="480"/>
        <w:jc w:val="left"/>
        <w:rPr>
          <w:sz w:val="24"/>
        </w:rPr>
      </w:pPr>
      <w:r>
        <w:rPr>
          <w:spacing w:val="-8"/>
          <w:sz w:val="24"/>
        </w:rPr>
        <w:t>风机及泵类设置单独基础或减震措施，强振设备与管道间采取柔性连接</w:t>
      </w:r>
      <w:r>
        <w:rPr>
          <w:spacing w:val="-5"/>
          <w:sz w:val="24"/>
        </w:rPr>
        <w:t>，防止振动造成的危害。</w:t>
      </w:r>
    </w:p>
    <w:p>
      <w:pPr>
        <w:pStyle w:val="13"/>
        <w:numPr>
          <w:ilvl w:val="0"/>
          <w:numId w:val="35"/>
        </w:numPr>
        <w:tabs>
          <w:tab w:val="left" w:pos="1593"/>
        </w:tabs>
        <w:spacing w:before="1" w:after="0" w:line="364" w:lineRule="auto"/>
        <w:ind w:left="511" w:right="413" w:firstLine="480"/>
        <w:jc w:val="left"/>
        <w:rPr>
          <w:sz w:val="24"/>
        </w:rPr>
      </w:pPr>
      <w:r>
        <w:rPr>
          <w:spacing w:val="-9"/>
          <w:sz w:val="24"/>
        </w:rPr>
        <w:t>设计将噪声较大的设备置于室内隔声，并采用隔声、吸声材料制作门窗</w:t>
      </w:r>
      <w:r>
        <w:rPr>
          <w:spacing w:val="-4"/>
          <w:sz w:val="24"/>
        </w:rPr>
        <w:t>、砌体等，降低噪声的影响，防止噪声的扩散和传播。</w:t>
      </w:r>
    </w:p>
    <w:p>
      <w:pPr>
        <w:pStyle w:val="13"/>
        <w:numPr>
          <w:ilvl w:val="0"/>
          <w:numId w:val="35"/>
        </w:numPr>
        <w:tabs>
          <w:tab w:val="left" w:pos="1593"/>
        </w:tabs>
        <w:spacing w:before="1" w:after="0" w:line="364" w:lineRule="auto"/>
        <w:ind w:left="511" w:right="413" w:firstLine="480"/>
        <w:jc w:val="left"/>
        <w:rPr>
          <w:sz w:val="24"/>
        </w:rPr>
      </w:pPr>
      <w:r>
        <w:rPr>
          <w:spacing w:val="-5"/>
          <w:sz w:val="24"/>
        </w:rPr>
        <w:t>从工业场地总平面布置着手，在总体布置及建设过程时已考虑工业场地内厂房产生高噪声源的特点，工业场地总平面尽量按功能区布置，将产生高噪声</w:t>
      </w:r>
      <w:r>
        <w:rPr>
          <w:spacing w:val="-14"/>
          <w:sz w:val="24"/>
        </w:rPr>
        <w:t>的设施相对集中布置，布置在远离生活区、办公楼、宿舍等环境要求较高的区域。</w:t>
      </w:r>
      <w:r>
        <w:rPr>
          <w:sz w:val="24"/>
        </w:rPr>
        <w:t>同时充分利用地形地物和增设辅助车间、厂界围墙等对噪声传播起到遮挡作用。</w:t>
      </w:r>
    </w:p>
    <w:p>
      <w:pPr>
        <w:pStyle w:val="13"/>
        <w:numPr>
          <w:ilvl w:val="0"/>
          <w:numId w:val="35"/>
        </w:numPr>
        <w:tabs>
          <w:tab w:val="left" w:pos="1593"/>
        </w:tabs>
        <w:spacing w:before="2" w:after="0" w:line="364" w:lineRule="auto"/>
        <w:ind w:left="511" w:right="533" w:firstLine="480"/>
        <w:jc w:val="left"/>
        <w:rPr>
          <w:sz w:val="24"/>
        </w:rPr>
      </w:pPr>
      <w:r>
        <w:rPr>
          <w:spacing w:val="-3"/>
          <w:sz w:val="24"/>
        </w:rPr>
        <w:t>本工程运煤车辆进出工业场地的交通线路临近环境敏感点，评价要求</w:t>
      </w:r>
      <w:r>
        <w:rPr>
          <w:spacing w:val="-5"/>
          <w:sz w:val="24"/>
        </w:rPr>
        <w:t>对运输道路要经常维护，保证路面完好，并在道路两侧加强绿化，降低车辆通过</w:t>
      </w:r>
      <w:r>
        <w:rPr>
          <w:spacing w:val="-18"/>
          <w:sz w:val="24"/>
        </w:rPr>
        <w:t>时</w:t>
      </w:r>
    </w:p>
    <w:p>
      <w:pPr>
        <w:spacing w:after="0" w:line="364" w:lineRule="auto"/>
        <w:jc w:val="left"/>
        <w:rPr>
          <w:sz w:val="24"/>
        </w:rPr>
        <w:sectPr>
          <w:pgSz w:w="11910" w:h="16840"/>
          <w:pgMar w:top="1360" w:right="1220" w:bottom="1180" w:left="1240" w:header="0" w:footer="997" w:gutter="0"/>
        </w:sectPr>
      </w:pPr>
    </w:p>
    <w:p>
      <w:pPr>
        <w:pStyle w:val="6"/>
        <w:spacing w:before="42" w:line="364" w:lineRule="auto"/>
        <w:ind w:left="511" w:right="533"/>
      </w:pPr>
      <w:r>
        <w:t>的噪声；同时要求运输车辆经过矿山村时禁止鸣笛、降低车速；车辆进出应尽量安排在白天进行。</w:t>
      </w:r>
    </w:p>
    <w:p>
      <w:pPr>
        <w:pStyle w:val="13"/>
        <w:numPr>
          <w:ilvl w:val="0"/>
          <w:numId w:val="35"/>
        </w:numPr>
        <w:tabs>
          <w:tab w:val="left" w:pos="1593"/>
        </w:tabs>
        <w:spacing w:before="1" w:after="0" w:line="240" w:lineRule="auto"/>
        <w:ind w:left="1593" w:right="0" w:hanging="602"/>
        <w:jc w:val="left"/>
        <w:rPr>
          <w:sz w:val="24"/>
        </w:rPr>
      </w:pPr>
      <w:r>
        <w:rPr>
          <w:spacing w:val="-3"/>
          <w:sz w:val="24"/>
        </w:rPr>
        <w:t xml:space="preserve">推土机要求加强车辆维护和管理，严禁在夜间 </w:t>
      </w:r>
      <w:r>
        <w:rPr>
          <w:rFonts w:ascii="Times New Roman" w:eastAsia="Times New Roman"/>
          <w:sz w:val="24"/>
        </w:rPr>
        <w:t>22</w:t>
      </w:r>
      <w:r>
        <w:rPr>
          <w:sz w:val="24"/>
        </w:rPr>
        <w:t>：</w:t>
      </w:r>
      <w:r>
        <w:rPr>
          <w:rFonts w:ascii="Times New Roman" w:eastAsia="Times New Roman"/>
          <w:sz w:val="24"/>
        </w:rPr>
        <w:t xml:space="preserve">00 </w:t>
      </w:r>
      <w:r>
        <w:rPr>
          <w:sz w:val="24"/>
        </w:rPr>
        <w:t>以后工作。</w:t>
      </w:r>
    </w:p>
    <w:p>
      <w:pPr>
        <w:pStyle w:val="13"/>
        <w:numPr>
          <w:ilvl w:val="0"/>
          <w:numId w:val="35"/>
        </w:numPr>
        <w:tabs>
          <w:tab w:val="left" w:pos="1593"/>
        </w:tabs>
        <w:spacing w:before="161" w:after="0" w:line="240" w:lineRule="auto"/>
        <w:ind w:left="1593" w:right="0" w:hanging="602"/>
        <w:jc w:val="left"/>
        <w:rPr>
          <w:sz w:val="24"/>
        </w:rPr>
      </w:pPr>
      <w:r>
        <w:rPr>
          <w:sz w:val="24"/>
        </w:rPr>
        <w:t>在厂区周围种植树木，在厂区空地种植绿草，降低噪声。</w:t>
      </w:r>
    </w:p>
    <w:p>
      <w:pPr>
        <w:spacing w:after="0" w:line="240" w:lineRule="auto"/>
        <w:jc w:val="left"/>
        <w:rPr>
          <w:sz w:val="24"/>
        </w:rPr>
        <w:sectPr>
          <w:pgSz w:w="11910" w:h="16840"/>
          <w:pgMar w:top="1460" w:right="1220" w:bottom="1180" w:left="1240" w:header="0" w:footer="997" w:gutter="0"/>
        </w:sectPr>
      </w:pPr>
    </w:p>
    <w:p>
      <w:pPr>
        <w:pStyle w:val="2"/>
        <w:numPr>
          <w:ilvl w:val="1"/>
          <w:numId w:val="18"/>
        </w:numPr>
        <w:tabs>
          <w:tab w:val="left" w:pos="3044"/>
        </w:tabs>
        <w:spacing w:before="43" w:after="0" w:line="240" w:lineRule="auto"/>
        <w:ind w:left="3044" w:right="15" w:hanging="3044"/>
        <w:jc w:val="left"/>
      </w:pPr>
      <w:bookmarkStart w:id="119" w:name="_bookmark20"/>
      <w:bookmarkEnd w:id="119"/>
      <w:bookmarkStart w:id="120" w:name="4.项目所在区域环境概况"/>
      <w:bookmarkEnd w:id="120"/>
      <w:bookmarkStart w:id="121" w:name="_bookmark20"/>
      <w:bookmarkEnd w:id="121"/>
      <w:r>
        <w:t>项目所在区域环境概况</w:t>
      </w:r>
    </w:p>
    <w:p>
      <w:pPr>
        <w:pStyle w:val="3"/>
        <w:numPr>
          <w:ilvl w:val="1"/>
          <w:numId w:val="36"/>
        </w:numPr>
        <w:tabs>
          <w:tab w:val="left" w:pos="961"/>
        </w:tabs>
        <w:spacing w:before="357" w:after="0" w:line="240" w:lineRule="auto"/>
        <w:ind w:left="960" w:right="0" w:hanging="450"/>
        <w:jc w:val="left"/>
      </w:pPr>
      <w:bookmarkStart w:id="122" w:name="4.1自然环境概况"/>
      <w:bookmarkEnd w:id="122"/>
      <w:bookmarkStart w:id="123" w:name="_bookmark21"/>
      <w:bookmarkEnd w:id="123"/>
      <w:bookmarkStart w:id="124" w:name="_bookmark21"/>
      <w:bookmarkEnd w:id="124"/>
      <w:r>
        <w:t>自然环境概况</w:t>
      </w:r>
    </w:p>
    <w:p>
      <w:pPr>
        <w:pStyle w:val="4"/>
        <w:numPr>
          <w:ilvl w:val="2"/>
          <w:numId w:val="36"/>
        </w:numPr>
        <w:tabs>
          <w:tab w:val="left" w:pos="1141"/>
        </w:tabs>
        <w:spacing w:before="123" w:after="0" w:line="240" w:lineRule="auto"/>
        <w:ind w:left="1140" w:right="0" w:hanging="630"/>
        <w:jc w:val="left"/>
      </w:pPr>
      <w:bookmarkStart w:id="125" w:name="4.1.1地理位置"/>
      <w:bookmarkEnd w:id="125"/>
      <w:bookmarkStart w:id="126" w:name="4.1.1地理位置"/>
      <w:bookmarkEnd w:id="126"/>
      <w:r>
        <w:t>地理位置</w:t>
      </w:r>
    </w:p>
    <w:p>
      <w:pPr>
        <w:pStyle w:val="6"/>
        <w:spacing w:before="185" w:after="14" w:line="364" w:lineRule="auto"/>
        <w:ind w:left="511" w:right="464" w:firstLine="480"/>
        <w:jc w:val="both"/>
      </w:pPr>
      <w:r>
        <w:t>双鸭山市位于黑龙江省东北部，完达山北麓三江平原，地理位置在东经</w:t>
      </w:r>
      <w:r>
        <w:rPr>
          <w:rFonts w:ascii="Times New Roman" w:hAnsi="Times New Roman" w:eastAsia="Times New Roman"/>
        </w:rPr>
        <w:t>130°39′</w:t>
      </w:r>
      <w:r>
        <w:t>～</w:t>
      </w:r>
      <w:r>
        <w:rPr>
          <w:rFonts w:ascii="Times New Roman" w:hAnsi="Times New Roman" w:eastAsia="Times New Roman"/>
        </w:rPr>
        <w:t>134°20′</w:t>
      </w:r>
      <w:r>
        <w:t xml:space="preserve">，北纬 </w:t>
      </w:r>
      <w:r>
        <w:rPr>
          <w:rFonts w:ascii="Times New Roman" w:hAnsi="Times New Roman" w:eastAsia="Times New Roman"/>
        </w:rPr>
        <w:t>45°39′</w:t>
      </w:r>
      <w:r>
        <w:t>～</w:t>
      </w:r>
      <w:r>
        <w:rPr>
          <w:rFonts w:ascii="Times New Roman" w:hAnsi="Times New Roman" w:eastAsia="Times New Roman"/>
        </w:rPr>
        <w:t>47°34′</w:t>
      </w:r>
      <w:r>
        <w:t xml:space="preserve">之间。双鸭山市距省会哈尔滨市 </w:t>
      </w:r>
      <w:r>
        <w:rPr>
          <w:rFonts w:ascii="Times New Roman" w:hAnsi="Times New Roman" w:eastAsia="Times New Roman"/>
        </w:rPr>
        <w:t>430km</w:t>
      </w:r>
      <w:r>
        <w:t xml:space="preserve">， 东隔乌苏里江与俄罗斯比金市相望，南与虎林市、密山市、桦南县毗邻，西与佳木斯市相连，北与富锦市、同江市、扶远县、桦川县接壤。本项目位于双鸭山市岭东区，本项目地理位置图见图 </w:t>
      </w:r>
      <w:r>
        <w:rPr>
          <w:rFonts w:ascii="Times New Roman" w:hAnsi="Times New Roman" w:eastAsia="Times New Roman"/>
        </w:rPr>
        <w:t>4.1-1</w:t>
      </w:r>
      <w:r>
        <w:t>。</w:t>
      </w:r>
    </w:p>
    <w:p>
      <w:pPr>
        <w:pStyle w:val="6"/>
        <w:ind w:left="932"/>
        <w:rPr>
          <w:sz w:val="20"/>
        </w:rPr>
      </w:pPr>
      <w:r>
        <w:rPr>
          <w:sz w:val="20"/>
        </w:rPr>
        <w:drawing>
          <wp:inline distT="0" distB="0" distL="0" distR="0">
            <wp:extent cx="5332095" cy="3740150"/>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48" cstate="print"/>
                    <a:stretch>
                      <a:fillRect/>
                    </a:stretch>
                  </pic:blipFill>
                  <pic:spPr>
                    <a:xfrm>
                      <a:off x="0" y="0"/>
                      <a:ext cx="5332642" cy="3740467"/>
                    </a:xfrm>
                    <a:prstGeom prst="rect">
                      <a:avLst/>
                    </a:prstGeom>
                  </pic:spPr>
                </pic:pic>
              </a:graphicData>
            </a:graphic>
          </wp:inline>
        </w:drawing>
      </w:r>
    </w:p>
    <w:p>
      <w:pPr>
        <w:spacing w:after="0"/>
        <w:rPr>
          <w:sz w:val="20"/>
        </w:rPr>
        <w:sectPr>
          <w:pgSz w:w="11910" w:h="16840"/>
          <w:pgMar w:top="1380" w:right="1220" w:bottom="1180" w:left="1240" w:header="0" w:footer="997" w:gutter="0"/>
        </w:sectPr>
      </w:pPr>
    </w:p>
    <w:p>
      <w:pPr>
        <w:pStyle w:val="6"/>
        <w:rPr>
          <w:sz w:val="26"/>
        </w:rPr>
      </w:pPr>
    </w:p>
    <w:p>
      <w:pPr>
        <w:pStyle w:val="4"/>
        <w:numPr>
          <w:ilvl w:val="2"/>
          <w:numId w:val="36"/>
        </w:numPr>
        <w:tabs>
          <w:tab w:val="left" w:pos="1141"/>
        </w:tabs>
        <w:spacing w:before="1" w:after="0" w:line="240" w:lineRule="auto"/>
        <w:ind w:left="1140" w:right="0" w:hanging="630"/>
        <w:jc w:val="left"/>
      </w:pPr>
      <w:bookmarkStart w:id="127" w:name="4.1.2地形地貌"/>
      <w:bookmarkEnd w:id="127"/>
      <w:bookmarkStart w:id="128" w:name="4.1.2地形地貌"/>
      <w:bookmarkEnd w:id="128"/>
      <w:r>
        <w:t>地形地貌</w:t>
      </w:r>
    </w:p>
    <w:p>
      <w:pPr>
        <w:pStyle w:val="5"/>
        <w:spacing w:before="21"/>
        <w:ind w:left="511"/>
      </w:pPr>
      <w:r>
        <w:rPr>
          <w:b w:val="0"/>
        </w:rPr>
        <w:br w:type="column"/>
      </w:r>
      <w:r>
        <w:t xml:space="preserve">图 </w:t>
      </w:r>
      <w:r>
        <w:rPr>
          <w:rFonts w:ascii="Times New Roman" w:eastAsia="Times New Roman"/>
        </w:rPr>
        <w:t xml:space="preserve">4.1-1 </w:t>
      </w:r>
      <w:r>
        <w:t>项目地理位置图</w:t>
      </w:r>
    </w:p>
    <w:p>
      <w:pPr>
        <w:spacing w:after="0"/>
        <w:sectPr>
          <w:type w:val="continuous"/>
          <w:pgSz w:w="11910" w:h="16840"/>
          <w:pgMar w:top="1580" w:right="1220" w:bottom="280" w:left="1240" w:header="720" w:footer="720" w:gutter="0"/>
          <w:cols w:equalWidth="0" w:num="2">
            <w:col w:w="2305" w:space="626"/>
            <w:col w:w="6519"/>
          </w:cols>
        </w:sectPr>
      </w:pPr>
    </w:p>
    <w:p>
      <w:pPr>
        <w:pStyle w:val="6"/>
        <w:spacing w:before="3"/>
        <w:rPr>
          <w:b/>
          <w:sz w:val="9"/>
        </w:rPr>
      </w:pPr>
    </w:p>
    <w:p>
      <w:pPr>
        <w:pStyle w:val="6"/>
        <w:spacing w:before="67" w:line="364" w:lineRule="auto"/>
        <w:ind w:left="511" w:right="413" w:firstLine="480"/>
      </w:pPr>
      <w:r>
        <w:t>双鸭山市地处黑龙江省的东部，属低山丘陵区，其东北部为三江平原，南部为丘陵区。区域内水系较发育，主要有安邦河、七星河及其支流。安邦河向北注</w:t>
      </w:r>
      <w:r>
        <w:rPr>
          <w:spacing w:val="-11"/>
        </w:rPr>
        <w:t xml:space="preserve">入松花江，属松花江水系。丘陵区地势相对较高，地形起伏较大，山间沟谷发育； </w:t>
      </w:r>
      <w:r>
        <w:t>台地区，地势相对低平，地形呈垄岗状展布；河谷平原区沿安邦河谷分布，地势低洼。</w:t>
      </w:r>
    </w:p>
    <w:p>
      <w:pPr>
        <w:spacing w:after="0" w:line="364" w:lineRule="auto"/>
        <w:sectPr>
          <w:type w:val="continuous"/>
          <w:pgSz w:w="11910" w:h="16840"/>
          <w:pgMar w:top="1580" w:right="1220" w:bottom="280" w:left="1240" w:header="720" w:footer="720" w:gutter="0"/>
        </w:sectPr>
      </w:pPr>
    </w:p>
    <w:p>
      <w:pPr>
        <w:pStyle w:val="4"/>
        <w:numPr>
          <w:ilvl w:val="2"/>
          <w:numId w:val="36"/>
        </w:numPr>
        <w:tabs>
          <w:tab w:val="left" w:pos="1141"/>
        </w:tabs>
        <w:spacing w:before="44" w:after="0" w:line="240" w:lineRule="auto"/>
        <w:ind w:left="1140" w:right="0" w:hanging="630"/>
        <w:jc w:val="left"/>
      </w:pPr>
      <w:bookmarkStart w:id="129" w:name="4.1.3气候气象"/>
      <w:bookmarkEnd w:id="129"/>
      <w:bookmarkStart w:id="130" w:name="4.1.3气候气象"/>
      <w:bookmarkEnd w:id="130"/>
      <w:r>
        <w:t>气候气象</w:t>
      </w:r>
    </w:p>
    <w:p>
      <w:pPr>
        <w:pStyle w:val="6"/>
        <w:spacing w:before="185" w:line="364" w:lineRule="auto"/>
        <w:ind w:left="511" w:right="407" w:firstLine="480"/>
      </w:pPr>
      <w:r>
        <w:t>双鸭山市地处北半球中高纬度地区，属湿润寒温带大陆性季风气候，冬季漫长而寒冷，常受西伯利亚寒流影响，夏季短促而温暖，春秋两季气候多变，且昼夜温差较大，春季回暖快而多风、干旱，秋季时有暴雨霜冻。双鸭山市属中温带大陆季风气候。受极地大陆气团和季风的影响，四季分明，冬季寒冷干燥，夏短温热多雨。由于季风交替，春秋两季短暂，气候变化急剧，年温差较大。年平均</w:t>
      </w:r>
      <w:r>
        <w:rPr>
          <w:spacing w:val="-16"/>
        </w:rPr>
        <w:t xml:space="preserve">气温 </w:t>
      </w:r>
      <w:r>
        <w:rPr>
          <w:rFonts w:ascii="Times New Roman" w:hAnsi="Times New Roman" w:eastAsia="Times New Roman"/>
        </w:rPr>
        <w:t>3.3</w:t>
      </w:r>
      <w:r>
        <w:rPr>
          <w:spacing w:val="-6"/>
        </w:rPr>
        <w:t xml:space="preserve">℃，最高气温为 </w:t>
      </w:r>
      <w:r>
        <w:rPr>
          <w:rFonts w:ascii="Times New Roman" w:hAnsi="Times New Roman" w:eastAsia="Times New Roman"/>
        </w:rPr>
        <w:t>35.4</w:t>
      </w:r>
      <w:r>
        <w:t>℃，最低气温为</w:t>
      </w:r>
      <w:r>
        <w:rPr>
          <w:rFonts w:ascii="Times New Roman" w:hAnsi="Times New Roman" w:eastAsia="Times New Roman"/>
        </w:rPr>
        <w:t>-35.6</w:t>
      </w:r>
      <w:r>
        <w:rPr>
          <w:spacing w:val="-6"/>
        </w:rPr>
        <w:t xml:space="preserve">℃；极端最高气温 </w:t>
      </w:r>
      <w:r>
        <w:rPr>
          <w:rFonts w:ascii="Times New Roman" w:hAnsi="Times New Roman" w:eastAsia="Times New Roman"/>
        </w:rPr>
        <w:t>38.5</w:t>
      </w:r>
      <w:r>
        <w:t>℃，出</w:t>
      </w:r>
      <w:r>
        <w:rPr>
          <w:spacing w:val="-20"/>
        </w:rPr>
        <w:t xml:space="preserve">现在 </w:t>
      </w:r>
      <w:r>
        <w:rPr>
          <w:rFonts w:ascii="Times New Roman" w:hAnsi="Times New Roman" w:eastAsia="Times New Roman"/>
        </w:rPr>
        <w:t xml:space="preserve">6 </w:t>
      </w:r>
      <w:r>
        <w:rPr>
          <w:spacing w:val="-5"/>
        </w:rPr>
        <w:t>月份；极端最低气温</w:t>
      </w:r>
      <w:r>
        <w:rPr>
          <w:rFonts w:ascii="Times New Roman" w:hAnsi="Times New Roman" w:eastAsia="Times New Roman"/>
          <w:spacing w:val="-4"/>
        </w:rPr>
        <w:t>-37.1</w:t>
      </w:r>
      <w:r>
        <w:rPr>
          <w:spacing w:val="-13"/>
        </w:rPr>
        <w:t xml:space="preserve">℃，出现在 </w:t>
      </w:r>
      <w:r>
        <w:rPr>
          <w:rFonts w:ascii="Times New Roman" w:hAnsi="Times New Roman" w:eastAsia="Times New Roman"/>
        </w:rPr>
        <w:t xml:space="preserve">1 </w:t>
      </w:r>
      <w:r>
        <w:rPr>
          <w:spacing w:val="-10"/>
        </w:rPr>
        <w:t xml:space="preserve">月份。年平均降雨量为 </w:t>
      </w:r>
      <w:r>
        <w:rPr>
          <w:rFonts w:ascii="Times New Roman" w:hAnsi="Times New Roman" w:eastAsia="Times New Roman"/>
          <w:spacing w:val="-4"/>
        </w:rPr>
        <w:t>540mm</w:t>
      </w:r>
      <w:r>
        <w:rPr>
          <w:spacing w:val="-2"/>
        </w:rPr>
        <w:t>，降</w:t>
      </w:r>
      <w:r>
        <w:rPr>
          <w:spacing w:val="-12"/>
        </w:rPr>
        <w:t xml:space="preserve">雨期集中在 </w:t>
      </w:r>
      <w:r>
        <w:rPr>
          <w:rFonts w:ascii="Times New Roman" w:hAnsi="Times New Roman" w:eastAsia="Times New Roman"/>
        </w:rPr>
        <w:t xml:space="preserve">7-8 </w:t>
      </w:r>
      <w:r>
        <w:rPr>
          <w:spacing w:val="-7"/>
        </w:rPr>
        <w:t xml:space="preserve">月份；多年平均风速 </w:t>
      </w:r>
      <w:r>
        <w:rPr>
          <w:rFonts w:ascii="Times New Roman" w:hAnsi="Times New Roman" w:eastAsia="Times New Roman"/>
        </w:rPr>
        <w:t>4.3m/s</w:t>
      </w:r>
      <w:r>
        <w:t xml:space="preserve">，最大风速 </w:t>
      </w:r>
      <w:r>
        <w:rPr>
          <w:rFonts w:ascii="Times New Roman" w:hAnsi="Times New Roman" w:eastAsia="Times New Roman"/>
        </w:rPr>
        <w:t>34m/s</w:t>
      </w:r>
      <w:r>
        <w:rPr>
          <w:spacing w:val="-9"/>
        </w:rPr>
        <w:t xml:space="preserve">，主导风向为 </w:t>
      </w:r>
      <w:r>
        <w:rPr>
          <w:rFonts w:ascii="Times New Roman" w:hAnsi="Times New Roman" w:eastAsia="Times New Roman"/>
        </w:rPr>
        <w:t>SW</w:t>
      </w:r>
      <w:r>
        <w:t xml:space="preserve">； </w:t>
      </w:r>
      <w:r>
        <w:rPr>
          <w:spacing w:val="-6"/>
        </w:rPr>
        <w:t xml:space="preserve">多年平均降水量为 </w:t>
      </w:r>
      <w:r>
        <w:rPr>
          <w:rFonts w:ascii="Times New Roman" w:hAnsi="Times New Roman" w:eastAsia="Times New Roman"/>
        </w:rPr>
        <w:t>523.4mm</w:t>
      </w:r>
      <w:r>
        <w:rPr>
          <w:spacing w:val="-8"/>
        </w:rPr>
        <w:t xml:space="preserve">，主要集中在 </w:t>
      </w:r>
      <w:r>
        <w:rPr>
          <w:rFonts w:ascii="Times New Roman" w:hAnsi="Times New Roman" w:eastAsia="Times New Roman"/>
        </w:rPr>
        <w:t>7</w:t>
      </w:r>
      <w:r>
        <w:rPr>
          <w:spacing w:val="4"/>
        </w:rPr>
        <w:t>、</w:t>
      </w:r>
      <w:r>
        <w:rPr>
          <w:rFonts w:ascii="Times New Roman" w:hAnsi="Times New Roman" w:eastAsia="Times New Roman"/>
        </w:rPr>
        <w:t xml:space="preserve">8 </w:t>
      </w:r>
      <w:r>
        <w:rPr>
          <w:spacing w:val="-6"/>
        </w:rPr>
        <w:t xml:space="preserve">月份，约占全年的 </w:t>
      </w:r>
      <w:r>
        <w:rPr>
          <w:rFonts w:ascii="Times New Roman" w:hAnsi="Times New Roman" w:eastAsia="Times New Roman"/>
        </w:rPr>
        <w:t>44%</w:t>
      </w:r>
      <w:r>
        <w:t>，最大降</w:t>
      </w:r>
      <w:r>
        <w:rPr>
          <w:spacing w:val="-12"/>
        </w:rPr>
        <w:t xml:space="preserve">水量为 </w:t>
      </w:r>
      <w:r>
        <w:rPr>
          <w:rFonts w:ascii="Times New Roman" w:hAnsi="Times New Roman" w:eastAsia="Times New Roman"/>
        </w:rPr>
        <w:t>873mm</w:t>
      </w:r>
      <w:r>
        <w:rPr>
          <w:spacing w:val="-11"/>
        </w:rPr>
        <w:t xml:space="preserve">，最小为 </w:t>
      </w:r>
      <w:r>
        <w:rPr>
          <w:rFonts w:ascii="Times New Roman" w:hAnsi="Times New Roman" w:eastAsia="Times New Roman"/>
        </w:rPr>
        <w:t>336mm</w:t>
      </w:r>
      <w:r>
        <w:rPr>
          <w:spacing w:val="-7"/>
        </w:rPr>
        <w:t xml:space="preserve">。年平均日照在 </w:t>
      </w:r>
      <w:r>
        <w:rPr>
          <w:rFonts w:ascii="Times New Roman" w:hAnsi="Times New Roman" w:eastAsia="Times New Roman"/>
        </w:rPr>
        <w:t>2500h</w:t>
      </w:r>
      <w:r>
        <w:rPr>
          <w:spacing w:val="-8"/>
        </w:rPr>
        <w:t xml:space="preserve">，无霜期平均 </w:t>
      </w:r>
      <w:r>
        <w:rPr>
          <w:rFonts w:ascii="Times New Roman" w:hAnsi="Times New Roman" w:eastAsia="Times New Roman"/>
        </w:rPr>
        <w:t>147d</w:t>
      </w:r>
      <w:r>
        <w:t xml:space="preserve">，最大冻深 </w:t>
      </w:r>
      <w:r>
        <w:rPr>
          <w:rFonts w:ascii="Times New Roman" w:hAnsi="Times New Roman" w:eastAsia="Times New Roman"/>
        </w:rPr>
        <w:t>228cm</w:t>
      </w:r>
      <w:r>
        <w:rPr>
          <w:spacing w:val="-16"/>
        </w:rPr>
        <w:t xml:space="preserve">。年积温 </w:t>
      </w:r>
      <w:r>
        <w:rPr>
          <w:rFonts w:ascii="Times New Roman" w:hAnsi="Times New Roman" w:eastAsia="Times New Roman"/>
          <w:spacing w:val="-3"/>
        </w:rPr>
        <w:t>2718</w:t>
      </w:r>
      <w:r>
        <w:rPr>
          <w:spacing w:val="-11"/>
        </w:rPr>
        <w:t xml:space="preserve">℃，年日照约 </w:t>
      </w:r>
      <w:r>
        <w:rPr>
          <w:rFonts w:ascii="Times New Roman" w:hAnsi="Times New Roman" w:eastAsia="Times New Roman"/>
        </w:rPr>
        <w:t>2617h</w:t>
      </w:r>
      <w:r>
        <w:rPr>
          <w:spacing w:val="-10"/>
        </w:rPr>
        <w:t xml:space="preserve">。最大冻土深度为 </w:t>
      </w:r>
      <w:r>
        <w:rPr>
          <w:rFonts w:ascii="Times New Roman" w:hAnsi="Times New Roman" w:eastAsia="Times New Roman"/>
        </w:rPr>
        <w:t>2m</w:t>
      </w:r>
      <w:r>
        <w:rPr>
          <w:rFonts w:ascii="Times New Roman" w:hAnsi="Times New Roman" w:eastAsia="Times New Roman"/>
          <w:spacing w:val="58"/>
        </w:rPr>
        <w:t xml:space="preserve"> </w:t>
      </w:r>
      <w:r>
        <w:rPr>
          <w:spacing w:val="-4"/>
        </w:rPr>
        <w:t>左右。多年</w:t>
      </w:r>
      <w:r>
        <w:rPr>
          <w:spacing w:val="-14"/>
        </w:rPr>
        <w:t xml:space="preserve">平均蒸发量 </w:t>
      </w:r>
      <w:r>
        <w:rPr>
          <w:rFonts w:ascii="Times New Roman" w:hAnsi="Times New Roman" w:eastAsia="Times New Roman"/>
        </w:rPr>
        <w:t>1290m</w:t>
      </w:r>
      <w:r>
        <w:rPr>
          <w:rFonts w:ascii="Times New Roman" w:hAnsi="Times New Roman" w:eastAsia="Times New Roman"/>
          <w:spacing w:val="-118"/>
        </w:rPr>
        <w:t>m</w:t>
      </w:r>
      <w:r>
        <w:rPr>
          <w:spacing w:val="-3"/>
        </w:rPr>
        <w:t>（</w:t>
      </w:r>
      <w:r>
        <w:rPr>
          <w:rFonts w:ascii="Times New Roman" w:hAnsi="Times New Roman" w:eastAsia="Times New Roman"/>
        </w:rPr>
        <w:t>20</w:t>
      </w:r>
      <w:r>
        <w:rPr>
          <w:rFonts w:ascii="Times New Roman" w:hAnsi="Times New Roman" w:eastAsia="Times New Roman"/>
          <w:spacing w:val="-1"/>
        </w:rPr>
        <w:t>c</w:t>
      </w:r>
      <w:r>
        <w:rPr>
          <w:rFonts w:ascii="Times New Roman" w:hAnsi="Times New Roman" w:eastAsia="Times New Roman"/>
        </w:rPr>
        <w:t xml:space="preserve">m  </w:t>
      </w:r>
      <w:r>
        <w:t>蒸发皿</w:t>
      </w:r>
      <w:r>
        <w:rPr>
          <w:spacing w:val="-120"/>
        </w:rPr>
        <w:t>）</w:t>
      </w:r>
      <w:r>
        <w:rPr>
          <w:spacing w:val="-16"/>
        </w:rPr>
        <w:t xml:space="preserve">。日照平均时数 </w:t>
      </w:r>
      <w:r>
        <w:rPr>
          <w:rFonts w:ascii="Times New Roman" w:hAnsi="Times New Roman" w:eastAsia="Times New Roman"/>
        </w:rPr>
        <w:t>2605h</w:t>
      </w:r>
      <w:r>
        <w:rPr>
          <w:spacing w:val="-27"/>
        </w:rPr>
        <w:t xml:space="preserve">，年平均气压 </w:t>
      </w:r>
      <w:r>
        <w:rPr>
          <w:rFonts w:ascii="Times New Roman" w:hAnsi="Times New Roman" w:eastAsia="Times New Roman"/>
          <w:spacing w:val="-2"/>
        </w:rPr>
        <w:t>1001.9P</w:t>
      </w:r>
      <w:r>
        <w:rPr>
          <w:rFonts w:ascii="Times New Roman" w:hAnsi="Times New Roman" w:eastAsia="Times New Roman"/>
          <w:spacing w:val="-3"/>
        </w:rPr>
        <w:t>a</w:t>
      </w:r>
      <w:r>
        <w:rPr>
          <w:spacing w:val="-2"/>
        </w:rPr>
        <w:t>，</w:t>
      </w:r>
      <w:r>
        <w:rPr>
          <w:spacing w:val="-6"/>
        </w:rPr>
        <w:t xml:space="preserve">冬季高，夏季低，无霜期 </w:t>
      </w:r>
      <w:r>
        <w:rPr>
          <w:rFonts w:ascii="Times New Roman" w:hAnsi="Times New Roman" w:eastAsia="Times New Roman"/>
        </w:rPr>
        <w:t>147d</w:t>
      </w:r>
      <w:r>
        <w:rPr>
          <w:spacing w:val="-4"/>
        </w:rPr>
        <w:t xml:space="preserve">。双鸭山市各季风向玫瑰图情况见图 </w:t>
      </w:r>
      <w:r>
        <w:rPr>
          <w:rFonts w:ascii="Times New Roman" w:hAnsi="Times New Roman" w:eastAsia="Times New Roman"/>
        </w:rPr>
        <w:t>4.1-2</w:t>
      </w:r>
      <w:r>
        <w:t>。</w:t>
      </w:r>
    </w:p>
    <w:p>
      <w:pPr>
        <w:pStyle w:val="6"/>
        <w:ind w:left="932"/>
        <w:rPr>
          <w:sz w:val="20"/>
        </w:rPr>
      </w:pPr>
      <w:r>
        <w:rPr>
          <w:sz w:val="20"/>
        </w:rPr>
        <w:drawing>
          <wp:inline distT="0" distB="0" distL="0" distR="0">
            <wp:extent cx="5301615" cy="3593465"/>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a:picLocks noChangeAspect="1"/>
                    </pic:cNvPicPr>
                  </pic:nvPicPr>
                  <pic:blipFill>
                    <a:blip r:embed="rId49" cstate="print"/>
                    <a:stretch>
                      <a:fillRect/>
                    </a:stretch>
                  </pic:blipFill>
                  <pic:spPr>
                    <a:xfrm>
                      <a:off x="0" y="0"/>
                      <a:ext cx="5301824" cy="3593782"/>
                    </a:xfrm>
                    <a:prstGeom prst="rect">
                      <a:avLst/>
                    </a:prstGeom>
                  </pic:spPr>
                </pic:pic>
              </a:graphicData>
            </a:graphic>
          </wp:inline>
        </w:drawing>
      </w:r>
    </w:p>
    <w:p>
      <w:pPr>
        <w:pStyle w:val="5"/>
        <w:spacing w:before="84"/>
        <w:ind w:left="426" w:right="17"/>
        <w:jc w:val="center"/>
      </w:pPr>
      <w:r>
        <w:t xml:space="preserve">图 </w:t>
      </w:r>
      <w:r>
        <w:rPr>
          <w:rFonts w:ascii="Times New Roman" w:eastAsia="Times New Roman"/>
        </w:rPr>
        <w:t xml:space="preserve">4.1-2 </w:t>
      </w:r>
      <w:r>
        <w:t>双鸭山市各季风向玫瑰图</w:t>
      </w:r>
    </w:p>
    <w:p>
      <w:pPr>
        <w:pStyle w:val="13"/>
        <w:numPr>
          <w:ilvl w:val="2"/>
          <w:numId w:val="36"/>
        </w:numPr>
        <w:tabs>
          <w:tab w:val="left" w:pos="1141"/>
        </w:tabs>
        <w:spacing w:before="5" w:after="0" w:line="240" w:lineRule="auto"/>
        <w:ind w:left="1140" w:right="0" w:hanging="630"/>
        <w:jc w:val="left"/>
        <w:rPr>
          <w:b/>
          <w:sz w:val="28"/>
        </w:rPr>
      </w:pPr>
      <w:bookmarkStart w:id="131" w:name="4.1.4水文地质"/>
      <w:bookmarkEnd w:id="131"/>
      <w:bookmarkStart w:id="132" w:name="4.1.4水文地质"/>
      <w:bookmarkEnd w:id="132"/>
      <w:r>
        <w:rPr>
          <w:b/>
          <w:sz w:val="28"/>
        </w:rPr>
        <w:t>水文地质</w:t>
      </w:r>
    </w:p>
    <w:p>
      <w:pPr>
        <w:pStyle w:val="6"/>
        <w:spacing w:before="185"/>
        <w:ind w:left="991"/>
      </w:pPr>
      <w:r>
        <w:rPr>
          <w:rFonts w:ascii="Times New Roman" w:eastAsia="Times New Roman"/>
        </w:rPr>
        <w:t>1</w:t>
      </w:r>
      <w:r>
        <w:t>、地表水</w:t>
      </w:r>
    </w:p>
    <w:p>
      <w:pPr>
        <w:spacing w:after="0"/>
        <w:sectPr>
          <w:pgSz w:w="11910" w:h="16840"/>
          <w:pgMar w:top="1380" w:right="1220" w:bottom="1180" w:left="1240" w:header="0" w:footer="997" w:gutter="0"/>
        </w:sectPr>
      </w:pPr>
    </w:p>
    <w:p>
      <w:pPr>
        <w:pStyle w:val="6"/>
        <w:spacing w:before="43" w:line="364" w:lineRule="auto"/>
        <w:ind w:left="511" w:right="533" w:firstLine="480"/>
      </w:pPr>
      <w:r>
        <w:t>双鸭山市的主要河流有东部的七星河及其支流扁石河、西部的安邦河及其支流小安邦河、马蹄河、小清河、哈达密河等。</w:t>
      </w:r>
    </w:p>
    <w:p>
      <w:pPr>
        <w:pStyle w:val="6"/>
        <w:spacing w:line="306" w:lineRule="exact"/>
        <w:ind w:left="991"/>
      </w:pPr>
      <w:r>
        <w:rPr>
          <w:spacing w:val="-3"/>
        </w:rPr>
        <w:t xml:space="preserve">七星河发源于完达山脉北侧之七星砬子山，全长 </w:t>
      </w:r>
      <w:r>
        <w:rPr>
          <w:rFonts w:ascii="Times New Roman" w:eastAsia="Times New Roman"/>
        </w:rPr>
        <w:t xml:space="preserve">241 </w:t>
      </w:r>
      <w:r>
        <w:t>公里。流经场内长度为</w:t>
      </w:r>
    </w:p>
    <w:p>
      <w:pPr>
        <w:pStyle w:val="6"/>
        <w:spacing w:before="160"/>
        <w:ind w:left="511"/>
        <w:jc w:val="both"/>
      </w:pPr>
      <w:r>
        <w:rPr>
          <w:rFonts w:ascii="Times New Roman" w:eastAsia="Times New Roman"/>
        </w:rPr>
        <w:t xml:space="preserve">50 </w:t>
      </w:r>
      <w:r>
        <w:rPr>
          <w:spacing w:val="-7"/>
        </w:rPr>
        <w:t>公里。</w:t>
      </w:r>
      <w:r>
        <w:fldChar w:fldCharType="begin"/>
      </w:r>
      <w:r>
        <w:instrText xml:space="preserve"> HYPERLINK "https://baike.so.com/doc/252417-267202.html" \h </w:instrText>
      </w:r>
      <w:r>
        <w:fldChar w:fldCharType="separate"/>
      </w:r>
      <w:r>
        <w:t>七星河是乌苏里江</w:t>
      </w:r>
      <w:r>
        <w:fldChar w:fldCharType="end"/>
      </w:r>
      <w:r>
        <w:rPr>
          <w:spacing w:val="-5"/>
        </w:rPr>
        <w:t>左岸二级支流。位于黑龙江省东部。发源于岚棒山南</w:t>
      </w:r>
    </w:p>
    <w:p>
      <w:pPr>
        <w:pStyle w:val="6"/>
        <w:spacing w:before="158"/>
        <w:ind w:left="511"/>
        <w:jc w:val="both"/>
      </w:pPr>
      <w:r>
        <w:fldChar w:fldCharType="begin"/>
      </w:r>
      <w:r>
        <w:instrText xml:space="preserve"> HYPERLINK "https://baike.so.com/doc/2741976-2893962.html" \h </w:instrText>
      </w:r>
      <w:r>
        <w:fldChar w:fldCharType="separate"/>
      </w:r>
      <w:r>
        <w:t>侧，流经宝清、双鸭山</w:t>
      </w:r>
      <w:r>
        <w:fldChar w:fldCharType="end"/>
      </w:r>
      <w:r>
        <w:t>、友谊、</w:t>
      </w:r>
      <w:r>
        <w:fldChar w:fldCharType="begin"/>
      </w:r>
      <w:r>
        <w:instrText xml:space="preserve"> HYPERLINK "https://baike.so.com/doc/6294106-6507622.html" \h </w:instrText>
      </w:r>
      <w:r>
        <w:fldChar w:fldCharType="separate"/>
      </w:r>
      <w:r>
        <w:rPr>
          <w:spacing w:val="-20"/>
        </w:rPr>
        <w:t xml:space="preserve">富锦 </w:t>
      </w:r>
      <w:r>
        <w:rPr>
          <w:spacing w:val="-20"/>
        </w:rPr>
        <w:fldChar w:fldCharType="end"/>
      </w:r>
      <w:r>
        <w:rPr>
          <w:rFonts w:ascii="Times New Roman" w:eastAsia="Times New Roman"/>
        </w:rPr>
        <w:t xml:space="preserve">4 </w:t>
      </w:r>
      <w:r>
        <w:t>市县交界，在</w:t>
      </w:r>
      <w:r>
        <w:fldChar w:fldCharType="begin"/>
      </w:r>
      <w:r>
        <w:instrText xml:space="preserve"> HYPERLINK "https://baike.so.com/doc/8465639-8785710.html" \h </w:instrText>
      </w:r>
      <w:r>
        <w:fldChar w:fldCharType="separate"/>
      </w:r>
      <w:r>
        <w:t>大王家</w:t>
      </w:r>
      <w:r>
        <w:fldChar w:fldCharType="end"/>
      </w:r>
      <w:r>
        <w:t>附近注入</w:t>
      </w:r>
      <w:r>
        <w:fldChar w:fldCharType="begin"/>
      </w:r>
      <w:r>
        <w:instrText xml:space="preserve"> HYPERLINK "https://baike.so.com/doc/2571886-2715957.html" \h </w:instrText>
      </w:r>
      <w:r>
        <w:fldChar w:fldCharType="separate"/>
      </w:r>
      <w:r>
        <w:t>挠力河</w:t>
      </w:r>
      <w:r>
        <w:fldChar w:fldCharType="end"/>
      </w:r>
      <w:r>
        <w:t>。全</w:t>
      </w:r>
    </w:p>
    <w:p>
      <w:pPr>
        <w:pStyle w:val="6"/>
        <w:spacing w:before="161" w:line="364" w:lineRule="auto"/>
        <w:ind w:left="511" w:right="529"/>
        <w:jc w:val="both"/>
      </w:pPr>
      <w:r>
        <w:rPr>
          <w:spacing w:val="-28"/>
        </w:rPr>
        <w:t xml:space="preserve">长 </w:t>
      </w:r>
      <w:r>
        <w:rPr>
          <w:rFonts w:ascii="Times New Roman" w:eastAsia="Times New Roman"/>
        </w:rPr>
        <w:t xml:space="preserve">189 </w:t>
      </w:r>
      <w:r>
        <w:rPr>
          <w:spacing w:val="-9"/>
        </w:rPr>
        <w:t xml:space="preserve">公里，河宽 </w:t>
      </w:r>
      <w:r>
        <w:rPr>
          <w:rFonts w:ascii="Times New Roman" w:eastAsia="Times New Roman"/>
        </w:rPr>
        <w:t xml:space="preserve">10-50 </w:t>
      </w:r>
      <w:r>
        <w:rPr>
          <w:spacing w:val="-11"/>
        </w:rPr>
        <w:t xml:space="preserve">米，水深 </w:t>
      </w:r>
      <w:r>
        <w:rPr>
          <w:rFonts w:ascii="Times New Roman" w:eastAsia="Times New Roman"/>
        </w:rPr>
        <w:t xml:space="preserve">1.2-2.0 </w:t>
      </w:r>
      <w:r>
        <w:rPr>
          <w:spacing w:val="-11"/>
        </w:rPr>
        <w:t xml:space="preserve">米。每年 </w:t>
      </w:r>
      <w:r>
        <w:rPr>
          <w:rFonts w:ascii="Times New Roman" w:eastAsia="Times New Roman"/>
          <w:spacing w:val="-4"/>
        </w:rPr>
        <w:t xml:space="preserve">11 </w:t>
      </w:r>
      <w:r>
        <w:rPr>
          <w:spacing w:val="-8"/>
        </w:rPr>
        <w:t xml:space="preserve">月中旬至次年 </w:t>
      </w:r>
      <w:r>
        <w:rPr>
          <w:rFonts w:ascii="Times New Roman" w:eastAsia="Times New Roman"/>
        </w:rPr>
        <w:t xml:space="preserve">4 </w:t>
      </w:r>
      <w:r>
        <w:rPr>
          <w:spacing w:val="1"/>
        </w:rPr>
        <w:t>月上旬</w:t>
      </w:r>
      <w:r>
        <w:fldChar w:fldCharType="begin"/>
      </w:r>
      <w:r>
        <w:instrText xml:space="preserve"> HYPERLINK "https://baike.so.com/doc/5006465-5231347.html" \h </w:instrText>
      </w:r>
      <w:r>
        <w:fldChar w:fldCharType="separate"/>
      </w:r>
      <w:r>
        <w:t>为结冰期</w:t>
      </w:r>
      <w:r>
        <w:fldChar w:fldCharType="end"/>
      </w:r>
      <w:r>
        <w:t>。两岸地势平坦低洼，多</w:t>
      </w:r>
      <w:r>
        <w:fldChar w:fldCharType="begin"/>
      </w:r>
      <w:r>
        <w:instrText xml:space="preserve"> HYPERLINK "https://baike.so.com/doc/1403650-1483847.html" \h </w:instrText>
      </w:r>
      <w:r>
        <w:fldChar w:fldCharType="separate"/>
      </w:r>
      <w:r>
        <w:t>沼泽</w:t>
      </w:r>
      <w:r>
        <w:fldChar w:fldCharType="end"/>
      </w:r>
      <w:r>
        <w:rPr>
          <w:spacing w:val="-1"/>
        </w:rPr>
        <w:t>，河道排泄能力较低，遇多雨年易形成洪涝</w:t>
      </w:r>
      <w:r>
        <w:rPr>
          <w:spacing w:val="-7"/>
        </w:rPr>
        <w:t xml:space="preserve">灾害。流域总面积 </w:t>
      </w:r>
      <w:r>
        <w:rPr>
          <w:rFonts w:ascii="Times New Roman" w:eastAsia="Times New Roman"/>
        </w:rPr>
        <w:t xml:space="preserve">3985 </w:t>
      </w:r>
      <w:r>
        <w:t>平方公里。中下游为</w:t>
      </w:r>
      <w:r>
        <w:fldChar w:fldCharType="begin"/>
      </w:r>
      <w:r>
        <w:instrText xml:space="preserve"> HYPERLINK "https://baike.so.com/doc/1278856-1352265.html" \h </w:instrText>
      </w:r>
      <w:r>
        <w:fldChar w:fldCharType="separate"/>
      </w:r>
      <w:r>
        <w:t>三江平原</w:t>
      </w:r>
      <w:r>
        <w:fldChar w:fldCharType="end"/>
      </w:r>
      <w:r>
        <w:t>腹地，多沼泽湿地。</w:t>
      </w:r>
    </w:p>
    <w:p>
      <w:pPr>
        <w:pStyle w:val="6"/>
        <w:spacing w:line="362" w:lineRule="auto"/>
        <w:ind w:left="511" w:right="529" w:firstLine="480"/>
        <w:jc w:val="both"/>
      </w:pPr>
      <w:r>
        <w:fldChar w:fldCharType="begin"/>
      </w:r>
      <w:r>
        <w:instrText xml:space="preserve"> HYPERLINK "https://baike.so.com/doc/6705081-6919058.html" \h </w:instrText>
      </w:r>
      <w:r>
        <w:fldChar w:fldCharType="separate"/>
      </w:r>
      <w:r>
        <w:t>此河从七星农场</w:t>
      </w:r>
      <w:r>
        <w:fldChar w:fldCharType="end"/>
      </w:r>
      <w:r>
        <w:rPr>
          <w:spacing w:val="-5"/>
        </w:rPr>
        <w:t>东部流向东北，经十二连、十一</w:t>
      </w:r>
      <w:r>
        <w:fldChar w:fldCharType="begin"/>
      </w:r>
      <w:r>
        <w:instrText xml:space="preserve"> HYPERLINK "https://baike.so.com/doc/4297302-4501007.html" \h </w:instrText>
      </w:r>
      <w:r>
        <w:fldChar w:fldCharType="separate"/>
      </w:r>
      <w:r>
        <w:t>连</w:t>
      </w:r>
      <w:r>
        <w:fldChar w:fldCharType="end"/>
      </w:r>
      <w:r>
        <w:rPr>
          <w:spacing w:val="-7"/>
        </w:rPr>
        <w:t>、九连、十三连出场区</w:t>
      </w:r>
      <w:r>
        <w:rPr>
          <w:rFonts w:ascii="Times New Roman" w:eastAsia="Times New Roman"/>
        </w:rPr>
        <w:t>(</w:t>
      </w:r>
      <w:r>
        <w:rPr>
          <w:spacing w:val="-13"/>
        </w:rPr>
        <w:t>连</w:t>
      </w:r>
      <w:r>
        <w:rPr>
          <w:spacing w:val="6"/>
        </w:rPr>
        <w:t>队称呼为国家农垦农场人们口头表述，因之前为军垦地以及生产建设兵团师团连</w:t>
      </w:r>
      <w:r>
        <w:rPr>
          <w:rFonts w:ascii="Times New Roman" w:eastAsia="Times New Roman"/>
          <w:spacing w:val="6"/>
        </w:rPr>
        <w:t>)</w:t>
      </w:r>
      <w:r>
        <w:rPr>
          <w:spacing w:val="6"/>
        </w:rPr>
        <w:t>，在宝清县境内汇入挠力河。</w:t>
      </w:r>
    </w:p>
    <w:p>
      <w:pPr>
        <w:pStyle w:val="6"/>
        <w:spacing w:before="5"/>
        <w:ind w:left="991"/>
        <w:jc w:val="both"/>
      </w:pPr>
      <w:r>
        <w:t xml:space="preserve">双鸭山市境内共有水库 </w:t>
      </w:r>
      <w:r>
        <w:rPr>
          <w:rFonts w:ascii="Times New Roman" w:eastAsia="Times New Roman"/>
        </w:rPr>
        <w:t xml:space="preserve">8 </w:t>
      </w:r>
      <w:r>
        <w:t xml:space="preserve">座，均是 </w:t>
      </w:r>
      <w:r>
        <w:rPr>
          <w:rFonts w:ascii="Times New Roman" w:eastAsia="Times New Roman"/>
        </w:rPr>
        <w:t xml:space="preserve">1958 </w:t>
      </w:r>
      <w:r>
        <w:t>年以后人工修建的，库容总蓄水量为</w:t>
      </w:r>
    </w:p>
    <w:p>
      <w:pPr>
        <w:pStyle w:val="6"/>
        <w:spacing w:before="161"/>
        <w:ind w:left="511"/>
        <w:jc w:val="both"/>
      </w:pPr>
      <w:r>
        <w:rPr>
          <w:rFonts w:ascii="Times New Roman" w:eastAsia="Times New Roman"/>
        </w:rPr>
        <w:t xml:space="preserve">1503 </w:t>
      </w:r>
      <w:r>
        <w:t xml:space="preserve">万 </w:t>
      </w:r>
      <w:r>
        <w:rPr>
          <w:rFonts w:ascii="Times New Roman" w:eastAsia="Times New Roman"/>
        </w:rPr>
        <w:t>m</w:t>
      </w:r>
      <w:r>
        <w:rPr>
          <w:rFonts w:ascii="Times New Roman" w:eastAsia="Times New Roman"/>
          <w:position w:val="8"/>
          <w:sz w:val="15"/>
        </w:rPr>
        <w:t>3</w:t>
      </w:r>
      <w:r>
        <w:t xml:space="preserve">，灌溉能力达 </w:t>
      </w:r>
      <w:r>
        <w:rPr>
          <w:rFonts w:ascii="Times New Roman" w:eastAsia="Times New Roman"/>
        </w:rPr>
        <w:t xml:space="preserve">5 </w:t>
      </w:r>
      <w:r>
        <w:t>万亩。</w:t>
      </w:r>
    </w:p>
    <w:p>
      <w:pPr>
        <w:pStyle w:val="6"/>
        <w:spacing w:before="158"/>
        <w:ind w:left="991"/>
      </w:pPr>
      <w:r>
        <w:rPr>
          <w:rFonts w:ascii="Times New Roman" w:eastAsia="Times New Roman"/>
        </w:rPr>
        <w:t>2</w:t>
      </w:r>
      <w:r>
        <w:t>、评价区区域地层</w:t>
      </w:r>
    </w:p>
    <w:p>
      <w:pPr>
        <w:pStyle w:val="6"/>
        <w:spacing w:before="161"/>
        <w:ind w:left="991"/>
      </w:pPr>
      <w:r>
        <w:t>地层层序由老至新分述如下：</w:t>
      </w:r>
    </w:p>
    <w:p>
      <w:pPr>
        <w:pStyle w:val="13"/>
        <w:numPr>
          <w:ilvl w:val="0"/>
          <w:numId w:val="37"/>
        </w:numPr>
        <w:tabs>
          <w:tab w:val="left" w:pos="1593"/>
        </w:tabs>
        <w:spacing w:before="158" w:after="0" w:line="240" w:lineRule="auto"/>
        <w:ind w:left="1593" w:right="0" w:hanging="602"/>
        <w:jc w:val="left"/>
        <w:rPr>
          <w:sz w:val="24"/>
        </w:rPr>
      </w:pPr>
      <w:r>
        <w:rPr>
          <w:sz w:val="24"/>
        </w:rPr>
        <w:t>元古界麻山群</w:t>
      </w:r>
    </w:p>
    <w:p>
      <w:pPr>
        <w:pStyle w:val="6"/>
        <w:spacing w:before="160" w:line="362" w:lineRule="auto"/>
        <w:ind w:left="511" w:right="533" w:firstLine="480"/>
      </w:pPr>
      <w:r>
        <w:rPr>
          <w:spacing w:val="-1"/>
        </w:rPr>
        <w:t xml:space="preserve">广泛出露于矿区的南部，构成煤系地层基底，主要岩性为花岗岩、片麻岩， </w:t>
      </w:r>
      <w:r>
        <w:t>其次为黑云母片岩，绿泥石片岩等变质岩类。</w:t>
      </w:r>
    </w:p>
    <w:p>
      <w:pPr>
        <w:pStyle w:val="13"/>
        <w:numPr>
          <w:ilvl w:val="0"/>
          <w:numId w:val="37"/>
        </w:numPr>
        <w:tabs>
          <w:tab w:val="left" w:pos="1593"/>
        </w:tabs>
        <w:spacing w:before="5" w:after="0" w:line="240" w:lineRule="auto"/>
        <w:ind w:left="1593" w:right="0" w:hanging="602"/>
        <w:jc w:val="left"/>
        <w:rPr>
          <w:sz w:val="24"/>
        </w:rPr>
      </w:pPr>
      <w:r>
        <w:rPr>
          <w:sz w:val="24"/>
        </w:rPr>
        <w:t>中生界白垩系鸡西群</w:t>
      </w:r>
    </w:p>
    <w:p>
      <w:pPr>
        <w:pStyle w:val="6"/>
        <w:spacing w:before="158"/>
        <w:ind w:left="991"/>
      </w:pPr>
      <w:r>
        <w:t>为一套陆相含煤碎屑岩系，不整合于元古界麻山群花岗岩之上，总厚度达</w:t>
      </w:r>
    </w:p>
    <w:p>
      <w:pPr>
        <w:pStyle w:val="6"/>
        <w:spacing w:before="161"/>
        <w:ind w:left="511"/>
      </w:pPr>
      <w:r>
        <w:rPr>
          <w:rFonts w:ascii="Times New Roman" w:eastAsia="Times New Roman"/>
        </w:rPr>
        <w:t xml:space="preserve">1000 </w:t>
      </w:r>
      <w:r>
        <w:t>米。划分为城子河组和穆棱组。</w:t>
      </w:r>
    </w:p>
    <w:p>
      <w:pPr>
        <w:pStyle w:val="6"/>
        <w:spacing w:before="158" w:line="364" w:lineRule="auto"/>
        <w:ind w:left="511" w:right="413" w:firstLine="480"/>
      </w:pPr>
      <w:r>
        <w:rPr>
          <w:spacing w:val="-3"/>
        </w:rPr>
        <w:t xml:space="preserve">①城子河组：全区发育，从钻孔控制来看，厚度 </w:t>
      </w:r>
      <w:r>
        <w:rPr>
          <w:rFonts w:ascii="Times New Roman" w:hAnsi="Times New Roman" w:eastAsia="Times New Roman"/>
        </w:rPr>
        <w:t xml:space="preserve">300-450 </w:t>
      </w:r>
      <w:r>
        <w:t>米，其岩性大部分</w:t>
      </w:r>
      <w:r>
        <w:rPr>
          <w:spacing w:val="-9"/>
        </w:rPr>
        <w:t>为灰白色中粒砂岩，灰色粉砂岩及少量泥岩，煤页岩及煤组成。依据岩性、岩相、</w:t>
      </w:r>
      <w:r>
        <w:t>含煤特征，把城子河组分为二段。</w:t>
      </w:r>
    </w:p>
    <w:p>
      <w:pPr>
        <w:pStyle w:val="6"/>
        <w:spacing w:line="364" w:lineRule="auto"/>
        <w:ind w:left="511" w:right="346" w:firstLine="480"/>
      </w:pPr>
      <w:r>
        <w:t xml:space="preserve">下段：顶部以 </w:t>
      </w:r>
      <w:r>
        <w:rPr>
          <w:rFonts w:ascii="Times New Roman" w:eastAsia="Times New Roman"/>
        </w:rPr>
        <w:t xml:space="preserve">40 </w:t>
      </w:r>
      <w:r>
        <w:t>煤层下粗砂岩到城子河组底部砾岩，以粗粒的河床相为主， 含有凝灰质，含煤性较差，几乎无可采层，岩性、岩相均较上段变化大，沉积旋回不完整，反应本段沉积环境相当不稳定。</w:t>
      </w:r>
    </w:p>
    <w:p>
      <w:pPr>
        <w:pStyle w:val="6"/>
        <w:spacing w:line="364" w:lineRule="auto"/>
        <w:ind w:left="511" w:right="529" w:firstLine="480"/>
        <w:jc w:val="both"/>
      </w:pPr>
      <w:r>
        <w:rPr>
          <w:spacing w:val="-11"/>
        </w:rPr>
        <w:t xml:space="preserve">上段：顶部以穆棱组底部砂砾岩底界至 </w:t>
      </w:r>
      <w:r>
        <w:rPr>
          <w:rFonts w:ascii="Times New Roman" w:eastAsia="Times New Roman"/>
        </w:rPr>
        <w:t xml:space="preserve">40 </w:t>
      </w:r>
      <w:r>
        <w:rPr>
          <w:spacing w:val="-9"/>
        </w:rPr>
        <w:t>煤层下部粗砂岩。以中粗与细粒相</w:t>
      </w:r>
      <w:r>
        <w:t>间的河床相</w:t>
      </w:r>
      <w:r>
        <w:rPr>
          <w:rFonts w:ascii="Times New Roman" w:eastAsia="Times New Roman"/>
        </w:rPr>
        <w:t>-</w:t>
      </w:r>
      <w:r>
        <w:rPr>
          <w:spacing w:val="-9"/>
        </w:rPr>
        <w:t>河漫相，沼泽相互更替为特点，是煤层主要的赋存部位，亦是勘探的</w:t>
      </w:r>
      <w:r>
        <w:t>主要对象。</w:t>
      </w:r>
    </w:p>
    <w:p>
      <w:pPr>
        <w:spacing w:after="0" w:line="364" w:lineRule="auto"/>
        <w:jc w:val="both"/>
        <w:sectPr>
          <w:pgSz w:w="11910" w:h="16840"/>
          <w:pgMar w:top="1380" w:right="1220" w:bottom="1180" w:left="1240" w:header="0" w:footer="997" w:gutter="0"/>
        </w:sectPr>
      </w:pPr>
    </w:p>
    <w:p>
      <w:pPr>
        <w:pStyle w:val="6"/>
        <w:spacing w:before="63" w:line="364" w:lineRule="auto"/>
        <w:ind w:left="511" w:right="452" w:firstLine="480"/>
      </w:pPr>
      <w:r>
        <w:t>②穆棱组：以灰白色中粒砂岩和灰</w:t>
      </w:r>
      <w:r>
        <w:rPr>
          <w:rFonts w:ascii="Times New Roman" w:hAnsi="Times New Roman" w:eastAsia="Times New Roman"/>
        </w:rPr>
        <w:t>-</w:t>
      </w:r>
      <w:r>
        <w:t xml:space="preserve">深灰色砂岩相间，沉积韵律较频为特色。夹凝灰质岩石、炭页和煤层，是一静水相为主，河床相几乎不见、湖泊相、泥炭沼泽相常见，含不可采煤层 </w:t>
      </w:r>
      <w:r>
        <w:rPr>
          <w:rFonts w:ascii="Times New Roman" w:hAnsi="Times New Roman" w:eastAsia="Times New Roman"/>
        </w:rPr>
        <w:t xml:space="preserve">6 </w:t>
      </w:r>
      <w:r>
        <w:t xml:space="preserve">层，厚度大于 </w:t>
      </w:r>
      <w:r>
        <w:rPr>
          <w:rFonts w:ascii="Times New Roman" w:hAnsi="Times New Roman" w:eastAsia="Times New Roman"/>
        </w:rPr>
        <w:t xml:space="preserve">600 </w:t>
      </w:r>
      <w:r>
        <w:t>米。</w:t>
      </w:r>
    </w:p>
    <w:p>
      <w:pPr>
        <w:pStyle w:val="13"/>
        <w:numPr>
          <w:ilvl w:val="0"/>
          <w:numId w:val="37"/>
        </w:numPr>
        <w:tabs>
          <w:tab w:val="left" w:pos="1593"/>
        </w:tabs>
        <w:spacing w:before="0" w:after="0" w:line="307" w:lineRule="exact"/>
        <w:ind w:left="1593" w:right="0" w:hanging="602"/>
        <w:jc w:val="left"/>
        <w:rPr>
          <w:sz w:val="24"/>
        </w:rPr>
      </w:pPr>
      <w:r>
        <w:rPr>
          <w:sz w:val="24"/>
        </w:rPr>
        <w:t>第三系</w:t>
      </w:r>
    </w:p>
    <w:p>
      <w:pPr>
        <w:pStyle w:val="6"/>
        <w:spacing w:before="158"/>
        <w:ind w:left="991"/>
      </w:pPr>
      <w:r>
        <w:t>主要岩性为玄武岩，不整合覆盖于煤系地层之上，黑色致密，隐晶质结构。</w:t>
      </w:r>
    </w:p>
    <w:p>
      <w:pPr>
        <w:pStyle w:val="13"/>
        <w:numPr>
          <w:ilvl w:val="0"/>
          <w:numId w:val="37"/>
        </w:numPr>
        <w:tabs>
          <w:tab w:val="left" w:pos="1593"/>
        </w:tabs>
        <w:spacing w:before="160" w:after="0" w:line="240" w:lineRule="auto"/>
        <w:ind w:left="1593" w:right="0" w:hanging="602"/>
        <w:jc w:val="left"/>
        <w:rPr>
          <w:sz w:val="24"/>
        </w:rPr>
      </w:pPr>
      <w:r>
        <w:rPr>
          <w:sz w:val="24"/>
        </w:rPr>
        <w:t>第四系</w:t>
      </w:r>
    </w:p>
    <w:p>
      <w:pPr>
        <w:pStyle w:val="6"/>
        <w:spacing w:before="158" w:line="364" w:lineRule="auto"/>
        <w:ind w:left="511" w:right="533" w:firstLine="480"/>
      </w:pPr>
      <w:r>
        <w:t xml:space="preserve">位于山谷至山麓一带，谷底为冲积层，向上渐变为坡积层，成分多为黏土和风化玄武岩、砂岩碎块，两极厚度为 </w:t>
      </w:r>
      <w:r>
        <w:rPr>
          <w:rFonts w:ascii="Times New Roman" w:eastAsia="Times New Roman"/>
        </w:rPr>
        <w:t xml:space="preserve">2-17 </w:t>
      </w:r>
      <w:r>
        <w:t xml:space="preserve">米，一般厚度 </w:t>
      </w:r>
      <w:r>
        <w:rPr>
          <w:rFonts w:ascii="Times New Roman" w:eastAsia="Times New Roman"/>
        </w:rPr>
        <w:t xml:space="preserve">5 </w:t>
      </w:r>
      <w:r>
        <w:t>米。</w:t>
      </w:r>
    </w:p>
    <w:p>
      <w:pPr>
        <w:pStyle w:val="6"/>
        <w:spacing w:before="2"/>
        <w:ind w:left="991"/>
      </w:pPr>
      <w:r>
        <w:rPr>
          <w:rFonts w:ascii="Times New Roman" w:eastAsia="Times New Roman"/>
        </w:rPr>
        <w:t>3</w:t>
      </w:r>
      <w:r>
        <w:t>、评价区区域构造</w:t>
      </w:r>
    </w:p>
    <w:p>
      <w:pPr>
        <w:pStyle w:val="6"/>
        <w:spacing w:before="158" w:line="364" w:lineRule="auto"/>
        <w:ind w:left="511" w:right="533" w:firstLine="480"/>
        <w:jc w:val="both"/>
      </w:pPr>
      <w:r>
        <w:t>双鸭山煤田它处于三江</w:t>
      </w:r>
      <w:r>
        <w:rPr>
          <w:rFonts w:ascii="Times New Roman" w:hAnsi="Times New Roman" w:eastAsia="Times New Roman"/>
        </w:rPr>
        <w:t>——</w:t>
      </w:r>
      <w:r>
        <w:t>穆棱河聚煤区的西南边缘地带，它在双桦</w:t>
      </w:r>
      <w:r>
        <w:rPr>
          <w:rFonts w:ascii="Times New Roman" w:hAnsi="Times New Roman" w:eastAsia="Times New Roman"/>
        </w:rPr>
        <w:t>—</w:t>
      </w:r>
      <w:r>
        <w:t>双鸭山</w:t>
      </w:r>
      <w:r>
        <w:rPr>
          <w:rFonts w:ascii="Times New Roman" w:hAnsi="Times New Roman" w:eastAsia="Times New Roman"/>
        </w:rPr>
        <w:t>—</w:t>
      </w:r>
      <w:r>
        <w:t>集贤</w:t>
      </w:r>
      <w:r>
        <w:rPr>
          <w:rFonts w:ascii="Times New Roman" w:hAnsi="Times New Roman" w:eastAsia="Times New Roman"/>
        </w:rPr>
        <w:t>—</w:t>
      </w:r>
      <w:r>
        <w:t>绥滨凹陷的南端，处在安邦河</w:t>
      </w:r>
      <w:r>
        <w:rPr>
          <w:rFonts w:ascii="Times New Roman" w:hAnsi="Times New Roman" w:eastAsia="Times New Roman"/>
        </w:rPr>
        <w:t>—</w:t>
      </w:r>
      <w:r>
        <w:t>七星河复式向斜的南部。煤田的中部有一轴向北西西且向东倾伏的背斜构造，其背南、北两侧分别为向斜构造。</w:t>
      </w:r>
    </w:p>
    <w:p>
      <w:pPr>
        <w:pStyle w:val="6"/>
        <w:spacing w:line="364" w:lineRule="auto"/>
        <w:ind w:left="511" w:right="404" w:firstLine="480"/>
      </w:pPr>
      <w:r>
        <w:t>该矿处于双鸭山煤田西部，紧靠双鸭山煤田南部逆冲断层北侧。井区内被近</w:t>
      </w:r>
      <w:r>
        <w:rPr>
          <w:spacing w:val="-12"/>
        </w:rPr>
        <w:t xml:space="preserve">东西向的 </w:t>
      </w:r>
      <w:r>
        <w:rPr>
          <w:rFonts w:ascii="Times New Roman" w:hAnsi="Times New Roman" w:eastAsia="Times New Roman"/>
        </w:rPr>
        <w:t xml:space="preserve">F12 </w:t>
      </w:r>
      <w:r>
        <w:rPr>
          <w:spacing w:val="-2"/>
        </w:rPr>
        <w:t>断层分为南北两部分。其中南部为呈一向南东倾伏的向斜构造，轴</w:t>
      </w:r>
      <w:r>
        <w:rPr>
          <w:spacing w:val="-29"/>
        </w:rPr>
        <w:t xml:space="preserve">向 </w:t>
      </w:r>
      <w:r>
        <w:rPr>
          <w:rFonts w:ascii="Times New Roman" w:hAnsi="Times New Roman" w:eastAsia="Times New Roman"/>
          <w:spacing w:val="-6"/>
        </w:rPr>
        <w:t>N65°W</w:t>
      </w:r>
      <w:r>
        <w:rPr>
          <w:spacing w:val="-8"/>
        </w:rPr>
        <w:t xml:space="preserve">；向斜北翼地层走向 </w:t>
      </w:r>
      <w:r>
        <w:rPr>
          <w:rFonts w:ascii="Times New Roman" w:hAnsi="Times New Roman" w:eastAsia="Times New Roman"/>
          <w:spacing w:val="-4"/>
        </w:rPr>
        <w:t>N450</w:t>
      </w:r>
      <w:r>
        <w:rPr>
          <w:spacing w:val="-4"/>
        </w:rPr>
        <w:t>－</w:t>
      </w:r>
      <w:r>
        <w:rPr>
          <w:rFonts w:ascii="Times New Roman" w:hAnsi="Times New Roman" w:eastAsia="Times New Roman"/>
          <w:spacing w:val="-4"/>
        </w:rPr>
        <w:t>800E</w:t>
      </w:r>
      <w:r>
        <w:rPr>
          <w:spacing w:val="-16"/>
        </w:rPr>
        <w:t xml:space="preserve">，倾角 </w:t>
      </w:r>
      <w:r>
        <w:rPr>
          <w:rFonts w:ascii="Times New Roman" w:hAnsi="Times New Roman" w:eastAsia="Times New Roman"/>
        </w:rPr>
        <w:t>30-45°</w:t>
      </w:r>
      <w:r>
        <w:rPr>
          <w:spacing w:val="-6"/>
        </w:rPr>
        <w:t xml:space="preserve">左右；南翼走向近东西， </w:t>
      </w:r>
      <w:r>
        <w:rPr>
          <w:spacing w:val="-7"/>
        </w:rPr>
        <w:t xml:space="preserve">地层走向 </w:t>
      </w:r>
      <w:r>
        <w:rPr>
          <w:rFonts w:ascii="Times New Roman" w:hAnsi="Times New Roman" w:eastAsia="Times New Roman"/>
        </w:rPr>
        <w:t>70°-80°</w:t>
      </w:r>
      <w:r>
        <w:rPr>
          <w:spacing w:val="-11"/>
        </w:rPr>
        <w:t xml:space="preserve">，倾角 </w:t>
      </w:r>
      <w:r>
        <w:rPr>
          <w:rFonts w:ascii="Times New Roman" w:hAnsi="Times New Roman" w:eastAsia="Times New Roman"/>
        </w:rPr>
        <w:t>55</w:t>
      </w:r>
      <w:r>
        <w:rPr>
          <w:rFonts w:ascii="Times New Roman" w:hAnsi="Times New Roman" w:eastAsia="Times New Roman"/>
          <w:position w:val="8"/>
          <w:sz w:val="15"/>
        </w:rPr>
        <w:t xml:space="preserve">o </w:t>
      </w:r>
      <w:r>
        <w:rPr>
          <w:spacing w:val="6"/>
        </w:rPr>
        <w:t>左右。</w:t>
      </w:r>
      <w:r>
        <w:rPr>
          <w:rFonts w:ascii="Times New Roman" w:hAnsi="Times New Roman" w:eastAsia="Times New Roman"/>
        </w:rPr>
        <w:t xml:space="preserve">F12 </w:t>
      </w:r>
      <w:r>
        <w:t xml:space="preserve">断层以北为单斜构造，地层走向 </w:t>
      </w:r>
      <w:r>
        <w:rPr>
          <w:rFonts w:ascii="Times New Roman" w:hAnsi="Times New Roman" w:eastAsia="Times New Roman"/>
        </w:rPr>
        <w:t>S800</w:t>
      </w:r>
      <w:r>
        <w:t xml:space="preserve">－ </w:t>
      </w:r>
      <w:r>
        <w:rPr>
          <w:rFonts w:ascii="Times New Roman" w:hAnsi="Times New Roman" w:eastAsia="Times New Roman"/>
        </w:rPr>
        <w:t>880W</w:t>
      </w:r>
      <w:r>
        <w:rPr>
          <w:spacing w:val="-15"/>
        </w:rPr>
        <w:t xml:space="preserve">，倾角 </w:t>
      </w:r>
      <w:r>
        <w:rPr>
          <w:rFonts w:ascii="Times New Roman" w:hAnsi="Times New Roman" w:eastAsia="Times New Roman"/>
        </w:rPr>
        <w:t>18°</w:t>
      </w:r>
      <w:r>
        <w:t>左右。</w:t>
      </w:r>
    </w:p>
    <w:p>
      <w:pPr>
        <w:pStyle w:val="6"/>
        <w:spacing w:line="364" w:lineRule="auto"/>
        <w:ind w:left="511" w:right="533" w:firstLine="480"/>
      </w:pPr>
      <w:r>
        <w:t>井区内断层以正断层为主，逆断层次之；断层走向分为北东、北西和近东西向三组，其中以北东向为主，北西向较少，近东西向都是大断层。</w:t>
      </w:r>
    </w:p>
    <w:p>
      <w:pPr>
        <w:pStyle w:val="6"/>
        <w:spacing w:line="306" w:lineRule="exact"/>
        <w:ind w:left="991"/>
      </w:pPr>
      <w:r>
        <w:rPr>
          <w:rFonts w:ascii="Times New Roman" w:eastAsia="Times New Roman"/>
        </w:rPr>
        <w:t>4</w:t>
      </w:r>
      <w:r>
        <w:t>、评价区水文地质特征</w:t>
      </w:r>
    </w:p>
    <w:p>
      <w:pPr>
        <w:pStyle w:val="6"/>
        <w:spacing w:before="155" w:line="364" w:lineRule="auto"/>
        <w:ind w:left="511" w:right="533" w:firstLine="480"/>
        <w:jc w:val="both"/>
      </w:pPr>
      <w:r>
        <w:t xml:space="preserve">该区的西部和北部地表均处于高山地带，地形坡度较大，降水、排泄良好， 不利于地下水的补给，为降水排泄区；南部地形相对较低洼，并有扁石河流过， 加之扁石河流经 </w:t>
      </w:r>
      <w:r>
        <w:rPr>
          <w:rFonts w:ascii="Times New Roman" w:eastAsia="Times New Roman"/>
        </w:rPr>
        <w:t>F1</w:t>
      </w:r>
      <w:r>
        <w:t>、</w:t>
      </w:r>
      <w:r>
        <w:rPr>
          <w:rFonts w:ascii="Times New Roman" w:eastAsia="Times New Roman"/>
        </w:rPr>
        <w:t xml:space="preserve">F2 </w:t>
      </w:r>
      <w:r>
        <w:t>断层，有利于地下水的补给。</w:t>
      </w:r>
    </w:p>
    <w:p>
      <w:pPr>
        <w:pStyle w:val="6"/>
        <w:spacing w:line="362" w:lineRule="auto"/>
        <w:ind w:left="511" w:right="533" w:firstLine="480"/>
        <w:jc w:val="both"/>
      </w:pPr>
      <w:r>
        <w:t xml:space="preserve">本区地表无河流等大的水体，地下水主要靠雨水补给，雨量多集中在每年的六、七和八月份，平均年降雨量 </w:t>
      </w:r>
      <w:r>
        <w:rPr>
          <w:rFonts w:ascii="Times New Roman" w:eastAsia="Times New Roman"/>
        </w:rPr>
        <w:t xml:space="preserve">626.4 </w:t>
      </w:r>
      <w:r>
        <w:t>毫米。</w:t>
      </w:r>
    </w:p>
    <w:p>
      <w:pPr>
        <w:pStyle w:val="6"/>
        <w:spacing w:before="2"/>
        <w:ind w:left="991"/>
        <w:jc w:val="both"/>
      </w:pPr>
      <w:r>
        <w:t xml:space="preserve">本区地势海拔高度 </w:t>
      </w:r>
      <w:r>
        <w:rPr>
          <w:rFonts w:ascii="Times New Roman" w:eastAsia="Times New Roman"/>
        </w:rPr>
        <w:t xml:space="preserve">240-470 </w:t>
      </w:r>
      <w:r>
        <w:t xml:space="preserve">米，相对高差 </w:t>
      </w:r>
      <w:r>
        <w:rPr>
          <w:rFonts w:ascii="Times New Roman" w:eastAsia="Times New Roman"/>
        </w:rPr>
        <w:t xml:space="preserve">230 </w:t>
      </w:r>
      <w:r>
        <w:t>米，为低山丘陵区。最高洪水</w:t>
      </w:r>
    </w:p>
    <w:p>
      <w:pPr>
        <w:pStyle w:val="6"/>
        <w:spacing w:before="161"/>
        <w:ind w:left="511"/>
      </w:pPr>
      <w:r>
        <w:t xml:space="preserve">位线为 </w:t>
      </w:r>
      <w:r>
        <w:rPr>
          <w:rFonts w:ascii="Times New Roman" w:eastAsia="Times New Roman"/>
        </w:rPr>
        <w:t xml:space="preserve">230 </w:t>
      </w:r>
      <w:r>
        <w:t>米，井区都处于最高洪水位线以上。</w:t>
      </w:r>
    </w:p>
    <w:p>
      <w:pPr>
        <w:pStyle w:val="6"/>
        <w:spacing w:before="158"/>
        <w:ind w:left="991"/>
      </w:pPr>
      <w:r>
        <w:t>区内含水层主要为煤系地层风化裂隙含水带和第四系冲积含水层。</w:t>
      </w:r>
    </w:p>
    <w:p>
      <w:pPr>
        <w:pStyle w:val="6"/>
        <w:spacing w:before="160" w:line="364" w:lineRule="auto"/>
        <w:ind w:left="511" w:right="533" w:firstLine="480"/>
      </w:pPr>
      <w:r>
        <w:t>煤系地层风化裂隙含水带，岩性主要为白色细砂岩、中砂岩和灰色粉砂岩， 并夹有少量凝灰质砂岩、页岩、炭页岩和煤，其间没有明显隔水层和含水层。本</w:t>
      </w:r>
    </w:p>
    <w:p>
      <w:pPr>
        <w:spacing w:after="0" w:line="364" w:lineRule="auto"/>
        <w:sectPr>
          <w:footerReference r:id="rId12" w:type="default"/>
          <w:pgSz w:w="11910" w:h="16840"/>
          <w:pgMar w:top="1360" w:right="1220" w:bottom="1180" w:left="1240" w:header="0" w:footer="997" w:gutter="0"/>
          <w:pgNumType w:start="70"/>
        </w:sectPr>
      </w:pPr>
    </w:p>
    <w:p>
      <w:pPr>
        <w:pStyle w:val="6"/>
        <w:spacing w:before="63" w:line="364" w:lineRule="auto"/>
        <w:ind w:left="511" w:right="529"/>
        <w:jc w:val="both"/>
        <w:rPr>
          <w:rFonts w:ascii="Times New Roman" w:eastAsia="Times New Roman"/>
        </w:rPr>
      </w:pPr>
      <w:r>
        <w:rPr>
          <w:spacing w:val="-12"/>
        </w:rPr>
        <w:t xml:space="preserve">带深度 </w:t>
      </w:r>
      <w:r>
        <w:rPr>
          <w:rFonts w:ascii="Times New Roman" w:eastAsia="Times New Roman"/>
        </w:rPr>
        <w:t xml:space="preserve">60-70 </w:t>
      </w:r>
      <w:r>
        <w:t>米，浅部发育，深部逐渐减弱，地下水主要赋存于岩层裂隙中。此</w:t>
      </w:r>
      <w:r>
        <w:rPr>
          <w:spacing w:val="-1"/>
        </w:rPr>
        <w:t>带受地形影响，高处风化裂隙含水带含水性差，透水性良好；在地形低洼处，风化裂隙含水带厚，含水性强。根据《东煤公司双鸭山矿务局岭东六井长山扩大区</w:t>
      </w:r>
      <w:r>
        <w:rPr>
          <w:spacing w:val="-12"/>
        </w:rPr>
        <w:t xml:space="preserve">地质勘探报告》抽水试验，抽水深度 </w:t>
      </w:r>
      <w:r>
        <w:rPr>
          <w:rFonts w:ascii="Times New Roman" w:eastAsia="Times New Roman"/>
        </w:rPr>
        <w:t xml:space="preserve">45.75-135.45 </w:t>
      </w:r>
      <w:r>
        <w:rPr>
          <w:spacing w:val="-13"/>
        </w:rPr>
        <w:t xml:space="preserve">米，单位涌水量 </w:t>
      </w:r>
      <w:r>
        <w:rPr>
          <w:rFonts w:ascii="Times New Roman" w:eastAsia="Times New Roman"/>
        </w:rPr>
        <w:t>0.0675-0.10956</w:t>
      </w:r>
    </w:p>
    <w:p>
      <w:pPr>
        <w:pStyle w:val="6"/>
        <w:spacing w:line="305" w:lineRule="exact"/>
        <w:ind w:left="511"/>
        <w:jc w:val="both"/>
      </w:pPr>
      <w:r>
        <w:t>升</w:t>
      </w:r>
      <w:r>
        <w:rPr>
          <w:rFonts w:ascii="Times New Roman" w:eastAsia="Times New Roman"/>
        </w:rPr>
        <w:t>/</w:t>
      </w:r>
      <w:r>
        <w:t>秒</w:t>
      </w:r>
      <w:r>
        <w:rPr>
          <w:rFonts w:ascii="Times New Roman" w:eastAsia="Times New Roman"/>
        </w:rPr>
        <w:t>.</w:t>
      </w:r>
      <w:r>
        <w:t xml:space="preserve">米，渗透系数 </w:t>
      </w:r>
      <w:r>
        <w:rPr>
          <w:rFonts w:ascii="Times New Roman" w:eastAsia="Times New Roman"/>
        </w:rPr>
        <w:t xml:space="preserve">0.0869-0.1056 </w:t>
      </w:r>
      <w:r>
        <w:t>米</w:t>
      </w:r>
      <w:r>
        <w:rPr>
          <w:rFonts w:ascii="Times New Roman" w:eastAsia="Times New Roman"/>
        </w:rPr>
        <w:t>/</w:t>
      </w:r>
      <w:r>
        <w:t>日。</w:t>
      </w:r>
    </w:p>
    <w:p>
      <w:pPr>
        <w:pStyle w:val="6"/>
        <w:spacing w:before="160" w:line="364" w:lineRule="auto"/>
        <w:ind w:left="511" w:right="385" w:firstLine="480"/>
      </w:pPr>
      <w:r>
        <w:t xml:space="preserve">第四系冲积含水层分布于南部扁石河流域，厚度 </w:t>
      </w:r>
      <w:r>
        <w:rPr>
          <w:rFonts w:ascii="Times New Roman" w:eastAsia="Times New Roman"/>
        </w:rPr>
        <w:t xml:space="preserve">2-10 </w:t>
      </w:r>
      <w:r>
        <w:t xml:space="preserve">米，由砂、砾砂组成， 其中夹薄黏土及亚黏土。根据《东煤公司双鸭山矿务局岭东六井长山扩大区地质勘探报告》，单位涌水量 </w:t>
      </w:r>
      <w:r>
        <w:rPr>
          <w:rFonts w:ascii="Times New Roman" w:eastAsia="Times New Roman"/>
        </w:rPr>
        <w:t xml:space="preserve">0.44-2.44 </w:t>
      </w:r>
      <w:r>
        <w:t>升</w:t>
      </w:r>
      <w:r>
        <w:rPr>
          <w:rFonts w:ascii="Times New Roman" w:eastAsia="Times New Roman"/>
        </w:rPr>
        <w:t>/</w:t>
      </w:r>
      <w:r>
        <w:t>秒</w:t>
      </w:r>
      <w:r>
        <w:rPr>
          <w:rFonts w:ascii="Times New Roman" w:eastAsia="Times New Roman"/>
        </w:rPr>
        <w:t>.</w:t>
      </w:r>
      <w:r>
        <w:t xml:space="preserve">米，渗透系数 </w:t>
      </w:r>
      <w:r>
        <w:rPr>
          <w:rFonts w:ascii="Times New Roman" w:eastAsia="Times New Roman"/>
        </w:rPr>
        <w:t xml:space="preserve">3.5-11.3 </w:t>
      </w:r>
      <w:r>
        <w:t>米</w:t>
      </w:r>
      <w:r>
        <w:rPr>
          <w:rFonts w:ascii="Times New Roman" w:eastAsia="Times New Roman"/>
        </w:rPr>
        <w:t>/</w:t>
      </w:r>
      <w:r>
        <w:t>日。</w:t>
      </w:r>
    </w:p>
    <w:p>
      <w:pPr>
        <w:pStyle w:val="4"/>
        <w:numPr>
          <w:ilvl w:val="2"/>
          <w:numId w:val="36"/>
        </w:numPr>
        <w:tabs>
          <w:tab w:val="left" w:pos="1141"/>
        </w:tabs>
        <w:spacing w:before="0" w:after="0" w:line="240" w:lineRule="auto"/>
        <w:ind w:left="1140" w:right="0" w:hanging="630"/>
        <w:jc w:val="left"/>
      </w:pPr>
      <w:bookmarkStart w:id="133" w:name="4.1.5土壤"/>
      <w:bookmarkEnd w:id="133"/>
      <w:bookmarkStart w:id="134" w:name="4.1.5土壤"/>
      <w:bookmarkEnd w:id="134"/>
      <w:r>
        <w:t>土壤</w:t>
      </w:r>
    </w:p>
    <w:p>
      <w:pPr>
        <w:pStyle w:val="6"/>
        <w:spacing w:before="183" w:line="364" w:lineRule="auto"/>
        <w:ind w:left="511" w:right="409" w:firstLine="480"/>
      </w:pPr>
      <w:r>
        <w:rPr>
          <w:spacing w:val="-9"/>
        </w:rPr>
        <w:t xml:space="preserve">双鸭山市有 </w:t>
      </w:r>
      <w:r>
        <w:rPr>
          <w:rFonts w:ascii="Times New Roman" w:eastAsia="Times New Roman"/>
        </w:rPr>
        <w:t>8</w:t>
      </w:r>
      <w:r>
        <w:rPr>
          <w:rFonts w:ascii="Times New Roman" w:eastAsia="Times New Roman"/>
          <w:spacing w:val="8"/>
        </w:rPr>
        <w:t xml:space="preserve"> </w:t>
      </w:r>
      <w:r>
        <w:t>种土类、</w:t>
      </w:r>
      <w:r>
        <w:rPr>
          <w:rFonts w:ascii="Times New Roman" w:eastAsia="Times New Roman"/>
        </w:rPr>
        <w:t>19</w:t>
      </w:r>
      <w:r>
        <w:rPr>
          <w:rFonts w:ascii="Times New Roman" w:eastAsia="Times New Roman"/>
          <w:spacing w:val="7"/>
        </w:rPr>
        <w:t xml:space="preserve"> </w:t>
      </w:r>
      <w:r>
        <w:t>个亚类、</w:t>
      </w:r>
      <w:r>
        <w:rPr>
          <w:rFonts w:ascii="Times New Roman" w:eastAsia="Times New Roman"/>
        </w:rPr>
        <w:t>15</w:t>
      </w:r>
      <w:r>
        <w:rPr>
          <w:rFonts w:ascii="Times New Roman" w:eastAsia="Times New Roman"/>
          <w:spacing w:val="8"/>
        </w:rPr>
        <w:t xml:space="preserve"> </w:t>
      </w:r>
      <w:r>
        <w:t>个土属、</w:t>
      </w:r>
      <w:r>
        <w:rPr>
          <w:rFonts w:ascii="Times New Roman" w:eastAsia="Times New Roman"/>
        </w:rPr>
        <w:t>44</w:t>
      </w:r>
      <w:r>
        <w:rPr>
          <w:rFonts w:ascii="Times New Roman" w:eastAsia="Times New Roman"/>
          <w:spacing w:val="7"/>
        </w:rPr>
        <w:t xml:space="preserve"> </w:t>
      </w:r>
      <w:r>
        <w:t>个土种。按面积大小排次</w:t>
      </w:r>
      <w:r>
        <w:rPr>
          <w:spacing w:val="-13"/>
        </w:rPr>
        <w:t xml:space="preserve">为：草甸土，分布在北部和南部的平原区，占全区土地面积的 </w:t>
      </w:r>
      <w:r>
        <w:rPr>
          <w:rFonts w:ascii="Times New Roman" w:eastAsia="Times New Roman"/>
          <w:spacing w:val="-7"/>
        </w:rPr>
        <w:t>43.2%</w:t>
      </w:r>
      <w:r>
        <w:rPr>
          <w:spacing w:val="-18"/>
        </w:rPr>
        <w:t xml:space="preserve">，其中 </w:t>
      </w:r>
      <w:r>
        <w:rPr>
          <w:rFonts w:ascii="Times New Roman" w:eastAsia="Times New Roman"/>
        </w:rPr>
        <w:t xml:space="preserve">78.8% </w:t>
      </w:r>
      <w:r>
        <w:rPr>
          <w:spacing w:val="-11"/>
        </w:rPr>
        <w:t xml:space="preserve">开垦成耕地；黑土，分布在中和中南部缓坡漫岗地带，占全区土地面积的 </w:t>
      </w:r>
      <w:r>
        <w:rPr>
          <w:rFonts w:ascii="Times New Roman" w:eastAsia="Times New Roman"/>
          <w:spacing w:val="-4"/>
        </w:rPr>
        <w:t>32.6%</w:t>
      </w:r>
      <w:r>
        <w:rPr>
          <w:spacing w:val="-4"/>
        </w:rPr>
        <w:t xml:space="preserve">， </w:t>
      </w:r>
      <w:r>
        <w:rPr>
          <w:spacing w:val="-17"/>
        </w:rPr>
        <w:t xml:space="preserve">其中 </w:t>
      </w:r>
      <w:r>
        <w:rPr>
          <w:rFonts w:ascii="Times New Roman" w:eastAsia="Times New Roman"/>
        </w:rPr>
        <w:t>78.8%</w:t>
      </w:r>
      <w:r>
        <w:t>开垦成耕地；暗棕土壤，分布在西和西南部低山丘区，占全区土地面</w:t>
      </w:r>
      <w:r>
        <w:rPr>
          <w:spacing w:val="-21"/>
        </w:rPr>
        <w:t xml:space="preserve">积的 </w:t>
      </w:r>
      <w:r>
        <w:rPr>
          <w:rFonts w:ascii="Times New Roman" w:eastAsia="Times New Roman"/>
        </w:rPr>
        <w:t>18.8%</w:t>
      </w:r>
      <w:r>
        <w:rPr>
          <w:spacing w:val="-16"/>
        </w:rPr>
        <w:t xml:space="preserve">，其中 </w:t>
      </w:r>
      <w:r>
        <w:rPr>
          <w:rFonts w:ascii="Times New Roman" w:eastAsia="Times New Roman"/>
        </w:rPr>
        <w:t>4.4%</w:t>
      </w:r>
      <w:r>
        <w:rPr>
          <w:spacing w:val="-4"/>
        </w:rPr>
        <w:t>开垦成耕地；白浆土，分布在山下缓坡漫岗地带，占全区</w:t>
      </w:r>
      <w:r>
        <w:rPr>
          <w:spacing w:val="-14"/>
        </w:rPr>
        <w:t xml:space="preserve">土地面积的 </w:t>
      </w:r>
      <w:r>
        <w:rPr>
          <w:rFonts w:ascii="Times New Roman" w:eastAsia="Times New Roman"/>
          <w:spacing w:val="-3"/>
        </w:rPr>
        <w:t>1.0%</w:t>
      </w:r>
      <w:r>
        <w:rPr>
          <w:spacing w:val="-16"/>
        </w:rPr>
        <w:t xml:space="preserve">，其中 </w:t>
      </w:r>
      <w:r>
        <w:rPr>
          <w:rFonts w:ascii="Times New Roman" w:eastAsia="Times New Roman"/>
        </w:rPr>
        <w:t>50.0%</w:t>
      </w:r>
      <w:r>
        <w:rPr>
          <w:spacing w:val="-4"/>
        </w:rPr>
        <w:t>开垦成耕地；沼泽地，分布在低湿沼泽地，占全区</w:t>
      </w:r>
      <w:r>
        <w:rPr>
          <w:spacing w:val="-15"/>
        </w:rPr>
        <w:t xml:space="preserve">土地面积的 </w:t>
      </w:r>
      <w:r>
        <w:rPr>
          <w:rFonts w:ascii="Times New Roman" w:eastAsia="Times New Roman"/>
        </w:rPr>
        <w:t>0.31%</w:t>
      </w:r>
      <w:r>
        <w:rPr>
          <w:spacing w:val="-7"/>
        </w:rPr>
        <w:t xml:space="preserve">；泥炭土，分布在沼泽地，占全区土地面积的 </w:t>
      </w:r>
      <w:r>
        <w:rPr>
          <w:rFonts w:ascii="Times New Roman" w:eastAsia="Times New Roman"/>
        </w:rPr>
        <w:t>0.30%</w:t>
      </w:r>
      <w:r>
        <w:rPr>
          <w:spacing w:val="-3"/>
        </w:rPr>
        <w:t xml:space="preserve">；水稻土， </w:t>
      </w:r>
      <w:r>
        <w:rPr>
          <w:spacing w:val="-7"/>
        </w:rPr>
        <w:t xml:space="preserve">占全区土地面积的 </w:t>
      </w:r>
      <w:r>
        <w:rPr>
          <w:rFonts w:ascii="Times New Roman" w:eastAsia="Times New Roman"/>
        </w:rPr>
        <w:t>1.0%</w:t>
      </w:r>
      <w:r>
        <w:t>。</w:t>
      </w:r>
    </w:p>
    <w:p>
      <w:pPr>
        <w:pStyle w:val="6"/>
        <w:spacing w:line="364" w:lineRule="auto"/>
        <w:ind w:left="511" w:right="533" w:firstLine="480"/>
        <w:jc w:val="both"/>
      </w:pPr>
      <w:r>
        <w:t xml:space="preserve">根据黑龙江省土壤分布图同时结合项目区实际情况。判定项目区土壤为暗棕壤及黑土，土壤肥力较高，质地比较粘重，大多为壤质粘土或粘壤土，部分为砂质粘土，个别含砾石，持水性较好。项目区耕层较厚，肥力较好，养分丰富，有机质含量 </w:t>
      </w:r>
      <w:r>
        <w:rPr>
          <w:rFonts w:ascii="Times New Roman" w:eastAsia="Times New Roman"/>
        </w:rPr>
        <w:t>265g/kg</w:t>
      </w:r>
      <w:r>
        <w:t xml:space="preserve">，全氮 </w:t>
      </w:r>
      <w:r>
        <w:rPr>
          <w:rFonts w:ascii="Times New Roman" w:eastAsia="Times New Roman"/>
        </w:rPr>
        <w:t>10.2g/kg</w:t>
      </w:r>
      <w:r>
        <w:t xml:space="preserve">，全磷 </w:t>
      </w:r>
      <w:r>
        <w:rPr>
          <w:rFonts w:ascii="Times New Roman" w:eastAsia="Times New Roman"/>
        </w:rPr>
        <w:t>0.6g/kg</w:t>
      </w:r>
      <w:r>
        <w:t xml:space="preserve">，全钾 </w:t>
      </w:r>
      <w:r>
        <w:rPr>
          <w:rFonts w:ascii="Times New Roman" w:eastAsia="Times New Roman"/>
        </w:rPr>
        <w:t>28.0g/kg</w:t>
      </w:r>
      <w:r>
        <w:t>。</w:t>
      </w:r>
    </w:p>
    <w:p>
      <w:pPr>
        <w:pStyle w:val="6"/>
        <w:spacing w:line="362" w:lineRule="auto"/>
        <w:ind w:left="511" w:right="529" w:firstLine="480"/>
        <w:jc w:val="both"/>
      </w:pPr>
      <w:r>
        <w:rPr>
          <w:spacing w:val="-3"/>
        </w:rPr>
        <w:t xml:space="preserve">项目区内以有林地为主，土壤一般厚 </w:t>
      </w:r>
      <w:r>
        <w:rPr>
          <w:rFonts w:ascii="Times New Roman" w:eastAsia="Times New Roman"/>
        </w:rPr>
        <w:t>0.5-1.0m</w:t>
      </w:r>
      <w:r>
        <w:t>，上部为黑色腐殖土，其下部位黄色亚粘土。</w:t>
      </w:r>
    </w:p>
    <w:p>
      <w:pPr>
        <w:pStyle w:val="4"/>
        <w:numPr>
          <w:ilvl w:val="2"/>
          <w:numId w:val="36"/>
        </w:numPr>
        <w:tabs>
          <w:tab w:val="left" w:pos="1141"/>
        </w:tabs>
        <w:spacing w:before="1" w:after="0" w:line="240" w:lineRule="auto"/>
        <w:ind w:left="1140" w:right="0" w:hanging="630"/>
        <w:jc w:val="left"/>
      </w:pPr>
      <w:bookmarkStart w:id="135" w:name="4.1.6植物植被"/>
      <w:bookmarkEnd w:id="135"/>
      <w:bookmarkStart w:id="136" w:name="4.1.6植物植被"/>
      <w:bookmarkEnd w:id="136"/>
      <w:r>
        <w:t>植物植被</w:t>
      </w:r>
    </w:p>
    <w:p>
      <w:pPr>
        <w:pStyle w:val="6"/>
        <w:spacing w:before="185" w:line="362" w:lineRule="auto"/>
        <w:ind w:left="511" w:right="529" w:firstLine="480"/>
        <w:jc w:val="both"/>
      </w:pPr>
      <w:r>
        <w:rPr>
          <w:spacing w:val="-1"/>
        </w:rPr>
        <w:t>双鸭山市属长白植物区系，为低湿平原区以低山丘陵区，分布有森林植被。</w:t>
      </w:r>
      <w:r>
        <w:rPr>
          <w:spacing w:val="-7"/>
        </w:rPr>
        <w:t xml:space="preserve">双鸭山市森林覆盖率 </w:t>
      </w:r>
      <w:r>
        <w:rPr>
          <w:rFonts w:ascii="Times New Roman" w:eastAsia="Times New Roman"/>
        </w:rPr>
        <w:t>40%</w:t>
      </w:r>
      <w:r>
        <w:rPr>
          <w:spacing w:val="-13"/>
        </w:rPr>
        <w:t xml:space="preserve">。地方林业系统共有 </w:t>
      </w:r>
      <w:r>
        <w:rPr>
          <w:rFonts w:ascii="Times New Roman" w:eastAsia="Times New Roman"/>
        </w:rPr>
        <w:t xml:space="preserve">23 </w:t>
      </w:r>
      <w:r>
        <w:rPr>
          <w:spacing w:val="-11"/>
        </w:rPr>
        <w:t xml:space="preserve">个国有林场，森林面积 </w:t>
      </w:r>
      <w:r>
        <w:rPr>
          <w:rFonts w:ascii="Times New Roman" w:eastAsia="Times New Roman"/>
        </w:rPr>
        <w:t xml:space="preserve">26.37 </w:t>
      </w:r>
      <w:r>
        <w:rPr>
          <w:spacing w:val="-15"/>
        </w:rPr>
        <w:t>万</w:t>
      </w:r>
    </w:p>
    <w:p>
      <w:pPr>
        <w:pStyle w:val="6"/>
        <w:spacing w:before="5" w:line="364" w:lineRule="auto"/>
        <w:ind w:left="511" w:right="533"/>
        <w:jc w:val="both"/>
      </w:pPr>
      <w:r>
        <w:rPr>
          <w:spacing w:val="-4"/>
        </w:rPr>
        <w:t xml:space="preserve">公顷，活立木总蓄积量 </w:t>
      </w:r>
      <w:r>
        <w:rPr>
          <w:rFonts w:ascii="Times New Roman" w:eastAsia="Times New Roman"/>
        </w:rPr>
        <w:t>1761.53</w:t>
      </w:r>
      <w:r>
        <w:rPr>
          <w:rFonts w:ascii="Times New Roman" w:eastAsia="Times New Roman"/>
          <w:spacing w:val="22"/>
        </w:rPr>
        <w:t xml:space="preserve"> </w:t>
      </w:r>
      <w:r>
        <w:t>万立方米。植被类型为温带针阔叶混交林，主要</w:t>
      </w:r>
      <w:r>
        <w:rPr>
          <w:spacing w:val="-1"/>
        </w:rPr>
        <w:t>树种有落叶松、樟子松、红松、云杉、槭树、色树、椴树、榆树、桦树、杨树、胡桃楸、水曲柳、黄菠萝等。食用的真菌类有黑木耳，猴头蘑、元蘑、榛蘑等；</w:t>
      </w:r>
    </w:p>
    <w:p>
      <w:pPr>
        <w:spacing w:after="0" w:line="364" w:lineRule="auto"/>
        <w:jc w:val="both"/>
        <w:sectPr>
          <w:pgSz w:w="11910" w:h="16840"/>
          <w:pgMar w:top="1360" w:right="1220" w:bottom="1180" w:left="1240" w:header="0" w:footer="997" w:gutter="0"/>
        </w:sectPr>
      </w:pPr>
    </w:p>
    <w:p>
      <w:pPr>
        <w:pStyle w:val="6"/>
        <w:spacing w:before="43" w:line="364" w:lineRule="auto"/>
        <w:ind w:left="511" w:right="413"/>
      </w:pPr>
      <w:r>
        <w:t>山野菜类有蕨菜、黄花菜、黄瓜香、剌嫩芽；山产品有榛子、橡子、松树籽、山葡萄、猕猴桃、黑加伦、山核桃。野生药用植物主要有五味子、山花、龙胆草、</w:t>
      </w:r>
      <w:r>
        <w:rPr>
          <w:spacing w:val="-13"/>
        </w:rPr>
        <w:t>人参、平贝、剌五加、满山红、黄柏、赤芍、升麻、桔梗、白鲜皮、苍术、贯仲、</w:t>
      </w:r>
      <w:r>
        <w:rPr>
          <w:spacing w:val="-15"/>
        </w:rPr>
        <w:t xml:space="preserve">木贼等 </w:t>
      </w:r>
      <w:r>
        <w:rPr>
          <w:rFonts w:ascii="Times New Roman" w:eastAsia="Times New Roman"/>
        </w:rPr>
        <w:t xml:space="preserve">150 </w:t>
      </w:r>
      <w:r>
        <w:rPr>
          <w:spacing w:val="-8"/>
        </w:rPr>
        <w:t xml:space="preserve">余种，常用的有 </w:t>
      </w:r>
      <w:r>
        <w:rPr>
          <w:rFonts w:ascii="Times New Roman" w:eastAsia="Times New Roman"/>
        </w:rPr>
        <w:t xml:space="preserve">60 </w:t>
      </w:r>
      <w:r>
        <w:t>余种。</w:t>
      </w:r>
    </w:p>
    <w:p>
      <w:pPr>
        <w:pStyle w:val="6"/>
        <w:spacing w:before="76" w:line="364" w:lineRule="auto"/>
        <w:ind w:left="511" w:right="533" w:firstLine="600"/>
        <w:jc w:val="both"/>
      </w:pPr>
      <w:r>
        <w:t>项目区属小兴安岭</w:t>
      </w:r>
      <w:r>
        <w:rPr>
          <w:rFonts w:ascii="Times New Roman" w:hAnsi="Times New Roman" w:eastAsia="Times New Roman"/>
        </w:rPr>
        <w:t>-</w:t>
      </w:r>
      <w:r>
        <w:t>老爷岭植物区、穆棱</w:t>
      </w:r>
      <w:r>
        <w:rPr>
          <w:rFonts w:ascii="Times New Roman" w:hAnsi="Times New Roman" w:eastAsia="Times New Roman"/>
        </w:rPr>
        <w:t>—</w:t>
      </w:r>
      <w:r>
        <w:t>三江平原亚区，生长着丰富的针叶和阔叶林。林中主要树种有蒙古栎、紫椴、糠椴、黄菠萝、水曲柳、色木槭、胡桃楸、白桦、山杨、春榆、黄榆等，下木有毛榛子、胡枝子、杜鹃。主要草本植物有：小叶樟、广布野碗豆、小白花地榆、黄花菜、银莲花、啮叶凤毛菊、蚊子草、紫苑、走马芹等；局部低洼地段有水毛莨、小叶樟、芦苇、沼柳等。项目区范围有部份耕地，以旱地农作物为主，主要种植大豆、玉米等农作物。</w:t>
      </w:r>
    </w:p>
    <w:p>
      <w:pPr>
        <w:pStyle w:val="3"/>
        <w:numPr>
          <w:ilvl w:val="1"/>
          <w:numId w:val="36"/>
        </w:numPr>
        <w:tabs>
          <w:tab w:val="left" w:pos="961"/>
        </w:tabs>
        <w:spacing w:before="42" w:after="0" w:line="240" w:lineRule="auto"/>
        <w:ind w:left="960" w:right="0" w:hanging="450"/>
        <w:jc w:val="left"/>
      </w:pPr>
      <w:bookmarkStart w:id="137" w:name="_bookmark22"/>
      <w:bookmarkEnd w:id="137"/>
      <w:bookmarkStart w:id="138" w:name="4.2敏感目标调查"/>
      <w:bookmarkEnd w:id="138"/>
      <w:bookmarkStart w:id="139" w:name="_bookmark22"/>
      <w:bookmarkEnd w:id="139"/>
      <w:r>
        <w:t>敏感目标调查</w:t>
      </w:r>
    </w:p>
    <w:p>
      <w:pPr>
        <w:pStyle w:val="6"/>
        <w:spacing w:before="123" w:line="364" w:lineRule="auto"/>
        <w:ind w:left="511" w:right="529" w:firstLine="480"/>
        <w:jc w:val="right"/>
      </w:pPr>
      <w:r>
        <w:t>调查过程：根据《建设项目环境影响评价技术导则总纲》（</w:t>
      </w:r>
      <w:r>
        <w:rPr>
          <w:rFonts w:ascii="Times New Roman" w:eastAsia="Times New Roman"/>
        </w:rPr>
        <w:t>HJ2.1-2016</w:t>
      </w:r>
      <w:r>
        <w:t>）， 环境保护目标调查应调查评价范围内的环境功能区划和主要的环境敏感区，详细了解环境保护目标的地理位置、服务功能、四至范围、保护对象和保护要求等。本评价区内无国家、省、市级自然保护区，但为了保护本项目所在区域环境</w:t>
      </w:r>
    </w:p>
    <w:p>
      <w:pPr>
        <w:pStyle w:val="6"/>
        <w:spacing w:line="362" w:lineRule="auto"/>
        <w:ind w:left="511" w:right="404"/>
      </w:pPr>
      <w:r>
        <w:rPr>
          <w:spacing w:val="-17"/>
        </w:rPr>
        <w:t>空气、生态、地下水质量及地表水体，应贯彻污染源治理</w:t>
      </w:r>
      <w:r>
        <w:rPr>
          <w:rFonts w:ascii="Times New Roman" w:hAnsi="Times New Roman" w:eastAsia="Times New Roman"/>
        </w:rPr>
        <w:t>“</w:t>
      </w:r>
      <w:r>
        <w:t>达标排放</w:t>
      </w:r>
      <w:r>
        <w:rPr>
          <w:rFonts w:ascii="Times New Roman" w:hAnsi="Times New Roman" w:eastAsia="Times New Roman"/>
        </w:rPr>
        <w:t>”</w:t>
      </w:r>
      <w:r>
        <w:rPr>
          <w:spacing w:val="-75"/>
        </w:rPr>
        <w:t>、</w:t>
      </w:r>
      <w:r>
        <w:rPr>
          <w:rFonts w:ascii="Times New Roman" w:hAnsi="Times New Roman" w:eastAsia="Times New Roman"/>
        </w:rPr>
        <w:t>“</w:t>
      </w:r>
      <w:r>
        <w:t>总量控制</w:t>
      </w:r>
      <w:r>
        <w:rPr>
          <w:rFonts w:ascii="Times New Roman" w:hAnsi="Times New Roman" w:eastAsia="Times New Roman"/>
        </w:rPr>
        <w:t>”</w:t>
      </w:r>
      <w:r>
        <w:rPr>
          <w:spacing w:val="-13"/>
        </w:rPr>
        <w:t>、</w:t>
      </w:r>
      <w:r>
        <w:rPr>
          <w:rFonts w:ascii="Times New Roman" w:hAnsi="Times New Roman" w:eastAsia="Times New Roman"/>
        </w:rPr>
        <w:t>“</w:t>
      </w:r>
      <w:r>
        <w:t>清洁生产</w:t>
      </w:r>
      <w:r>
        <w:rPr>
          <w:rFonts w:ascii="Times New Roman" w:hAnsi="Times New Roman" w:eastAsia="Times New Roman"/>
        </w:rPr>
        <w:t>”</w:t>
      </w:r>
      <w:r>
        <w:t>的原则，提出切实可行的污染防治方案，以减少对纳污环境的污染负荷。</w:t>
      </w:r>
    </w:p>
    <w:p>
      <w:pPr>
        <w:spacing w:after="0" w:line="362" w:lineRule="auto"/>
        <w:sectPr>
          <w:pgSz w:w="11910" w:h="16840"/>
          <w:pgMar w:top="1380" w:right="1220" w:bottom="1180" w:left="1240" w:header="0" w:footer="997" w:gutter="0"/>
        </w:sectPr>
      </w:pPr>
    </w:p>
    <w:p>
      <w:pPr>
        <w:pStyle w:val="2"/>
        <w:numPr>
          <w:ilvl w:val="1"/>
          <w:numId w:val="18"/>
        </w:numPr>
        <w:tabs>
          <w:tab w:val="left" w:pos="2142"/>
        </w:tabs>
        <w:spacing w:before="43" w:after="0" w:line="240" w:lineRule="auto"/>
        <w:ind w:left="2141" w:right="15" w:hanging="2142"/>
        <w:jc w:val="left"/>
      </w:pPr>
      <w:bookmarkStart w:id="140" w:name="_bookmark23"/>
      <w:bookmarkEnd w:id="140"/>
      <w:bookmarkStart w:id="141" w:name="_bookmark23"/>
      <w:bookmarkEnd w:id="141"/>
      <w:bookmarkStart w:id="142" w:name="5.地表沉陷预测及生态环境影响评价"/>
      <w:bookmarkEnd w:id="142"/>
      <w:r>
        <w:t>地表沉陷预测及生态环境影响评价</w:t>
      </w:r>
    </w:p>
    <w:p>
      <w:pPr>
        <w:pStyle w:val="3"/>
        <w:numPr>
          <w:ilvl w:val="1"/>
          <w:numId w:val="38"/>
        </w:numPr>
        <w:tabs>
          <w:tab w:val="left" w:pos="961"/>
        </w:tabs>
        <w:spacing w:before="357" w:after="0" w:line="240" w:lineRule="auto"/>
        <w:ind w:left="960" w:right="0" w:hanging="450"/>
        <w:jc w:val="left"/>
      </w:pPr>
      <w:bookmarkStart w:id="143" w:name="_bookmark24"/>
      <w:bookmarkEnd w:id="143"/>
      <w:bookmarkStart w:id="144" w:name="5.1生态环境现状调查与评价"/>
      <w:bookmarkEnd w:id="144"/>
      <w:bookmarkStart w:id="145" w:name="_bookmark24"/>
      <w:bookmarkEnd w:id="145"/>
      <w:r>
        <w:t>生态环境现状调查与评价</w:t>
      </w:r>
    </w:p>
    <w:p>
      <w:pPr>
        <w:pStyle w:val="6"/>
        <w:spacing w:before="184" w:line="340" w:lineRule="auto"/>
        <w:ind w:left="511" w:right="529" w:firstLine="482"/>
      </w:pPr>
      <w:r>
        <w:t>根据实地调查，矿区内以有林地为主，其次为旱地、采矿用地和农村道路， 还有少量的其他园地、河流、坑塘水面、村庄和裸地。</w:t>
      </w:r>
    </w:p>
    <w:p>
      <w:pPr>
        <w:pStyle w:val="6"/>
        <w:spacing w:before="1"/>
        <w:ind w:left="994"/>
      </w:pPr>
      <w:r>
        <w:t xml:space="preserve">大顺煤矿属井工煤矿，项目矿区土地总面积为 </w:t>
      </w:r>
      <w:r>
        <w:rPr>
          <w:rFonts w:ascii="Times New Roman" w:eastAsia="Times New Roman"/>
        </w:rPr>
        <w:t xml:space="preserve">330.8979 </w:t>
      </w:r>
      <w:r>
        <w:t>公顷。其中：旱地面</w:t>
      </w:r>
    </w:p>
    <w:p>
      <w:pPr>
        <w:pStyle w:val="6"/>
        <w:spacing w:before="129" w:line="340" w:lineRule="auto"/>
        <w:ind w:left="511" w:right="407"/>
      </w:pPr>
      <w:r>
        <w:rPr>
          <w:spacing w:val="-21"/>
        </w:rPr>
        <w:t xml:space="preserve">积为 </w:t>
      </w:r>
      <w:r>
        <w:rPr>
          <w:rFonts w:ascii="Times New Roman" w:eastAsia="Times New Roman"/>
        </w:rPr>
        <w:t xml:space="preserve">55.9479 </w:t>
      </w:r>
      <w:r>
        <w:rPr>
          <w:spacing w:val="-15"/>
        </w:rPr>
        <w:t xml:space="preserve">公顷，占项目区内土地总面积的 </w:t>
      </w:r>
      <w:r>
        <w:rPr>
          <w:rFonts w:ascii="Times New Roman" w:eastAsia="Times New Roman"/>
          <w:spacing w:val="-14"/>
        </w:rPr>
        <w:t>16.91%</w:t>
      </w:r>
      <w:r>
        <w:rPr>
          <w:spacing w:val="-12"/>
        </w:rPr>
        <w:t xml:space="preserve">；其他果园面积 </w:t>
      </w:r>
      <w:r>
        <w:rPr>
          <w:rFonts w:ascii="Times New Roman" w:eastAsia="Times New Roman"/>
        </w:rPr>
        <w:t xml:space="preserve">1.1141 </w:t>
      </w:r>
      <w:r>
        <w:rPr>
          <w:spacing w:val="-4"/>
        </w:rPr>
        <w:t xml:space="preserve">公顷， </w:t>
      </w:r>
      <w:r>
        <w:rPr>
          <w:spacing w:val="-6"/>
        </w:rPr>
        <w:t xml:space="preserve">占项目区内土地总面积的 </w:t>
      </w:r>
      <w:r>
        <w:rPr>
          <w:rFonts w:ascii="Times New Roman" w:eastAsia="Times New Roman"/>
        </w:rPr>
        <w:t>0.34%</w:t>
      </w:r>
      <w:r>
        <w:rPr>
          <w:spacing w:val="-8"/>
        </w:rPr>
        <w:t xml:space="preserve">；有林地面积为 </w:t>
      </w:r>
      <w:r>
        <w:rPr>
          <w:rFonts w:ascii="Times New Roman" w:eastAsia="Times New Roman"/>
        </w:rPr>
        <w:t xml:space="preserve">226.7994 </w:t>
      </w:r>
      <w:r>
        <w:rPr>
          <w:spacing w:val="-3"/>
        </w:rPr>
        <w:t>公顷，占项目区内土地</w:t>
      </w:r>
      <w:r>
        <w:rPr>
          <w:spacing w:val="6"/>
        </w:rPr>
        <w:t>总面积的</w:t>
      </w:r>
      <w:r>
        <w:rPr>
          <w:rFonts w:ascii="Times New Roman" w:eastAsia="Times New Roman"/>
        </w:rPr>
        <w:t>68.54</w:t>
      </w:r>
      <w:r>
        <w:rPr>
          <w:rFonts w:ascii="Times New Roman" w:eastAsia="Times New Roman"/>
          <w:spacing w:val="-1"/>
        </w:rPr>
        <w:t>%</w:t>
      </w:r>
      <w:r>
        <w:rPr>
          <w:spacing w:val="-12"/>
        </w:rPr>
        <w:t>；农村道路面积为</w:t>
      </w:r>
      <w:r>
        <w:rPr>
          <w:rFonts w:ascii="Times New Roman" w:eastAsia="Times New Roman"/>
        </w:rPr>
        <w:t xml:space="preserve">10.9999 </w:t>
      </w:r>
      <w:r>
        <w:rPr>
          <w:spacing w:val="-9"/>
        </w:rPr>
        <w:t>公顷，占项目区内土地总面积的</w:t>
      </w:r>
      <w:r>
        <w:rPr>
          <w:rFonts w:ascii="Times New Roman" w:eastAsia="Times New Roman"/>
          <w:spacing w:val="-3"/>
        </w:rPr>
        <w:t>3.32</w:t>
      </w:r>
      <w:r>
        <w:rPr>
          <w:rFonts w:ascii="Times New Roman" w:eastAsia="Times New Roman"/>
          <w:spacing w:val="-2"/>
        </w:rPr>
        <w:t>%</w:t>
      </w:r>
      <w:r>
        <w:rPr>
          <w:spacing w:val="-3"/>
        </w:rPr>
        <w:t>；</w:t>
      </w:r>
      <w:r>
        <w:rPr>
          <w:spacing w:val="-11"/>
        </w:rPr>
        <w:t xml:space="preserve">河流面积为 </w:t>
      </w:r>
      <w:r>
        <w:rPr>
          <w:rFonts w:ascii="Times New Roman" w:eastAsia="Times New Roman"/>
        </w:rPr>
        <w:t xml:space="preserve">0.6426 </w:t>
      </w:r>
      <w:r>
        <w:rPr>
          <w:spacing w:val="-16"/>
        </w:rPr>
        <w:t xml:space="preserve">公顷，占项目区内土地总面积的 </w:t>
      </w:r>
      <w:r>
        <w:rPr>
          <w:rFonts w:ascii="Times New Roman" w:eastAsia="Times New Roman"/>
        </w:rPr>
        <w:t>0.19</w:t>
      </w:r>
      <w:r>
        <w:rPr>
          <w:rFonts w:ascii="Times New Roman" w:eastAsia="Times New Roman"/>
          <w:spacing w:val="-1"/>
        </w:rPr>
        <w:t>%</w:t>
      </w:r>
      <w:r>
        <w:rPr>
          <w:spacing w:val="-22"/>
        </w:rPr>
        <w:t xml:space="preserve">；坑塘水面面积为 </w:t>
      </w:r>
      <w:r>
        <w:rPr>
          <w:rFonts w:ascii="Times New Roman" w:eastAsia="Times New Roman"/>
        </w:rPr>
        <w:t>7.4426</w:t>
      </w:r>
      <w:r>
        <w:rPr>
          <w:spacing w:val="-7"/>
        </w:rPr>
        <w:t xml:space="preserve">公顷，占项目区内土地总面积的 </w:t>
      </w:r>
      <w:r>
        <w:rPr>
          <w:rFonts w:ascii="Times New Roman" w:eastAsia="Times New Roman"/>
        </w:rPr>
        <w:t>2.25%</w:t>
      </w:r>
      <w:r>
        <w:rPr>
          <w:spacing w:val="-9"/>
        </w:rPr>
        <w:t xml:space="preserve">；裸地面积为 </w:t>
      </w:r>
      <w:r>
        <w:rPr>
          <w:rFonts w:ascii="Times New Roman" w:eastAsia="Times New Roman"/>
        </w:rPr>
        <w:t xml:space="preserve">1.6841 </w:t>
      </w:r>
      <w:r>
        <w:rPr>
          <w:spacing w:val="-3"/>
        </w:rPr>
        <w:t>公顷，占项目区内土</w:t>
      </w:r>
      <w:r>
        <w:rPr>
          <w:spacing w:val="4"/>
        </w:rPr>
        <w:t>地总面积的</w:t>
      </w:r>
      <w:r>
        <w:rPr>
          <w:rFonts w:ascii="Times New Roman" w:eastAsia="Times New Roman"/>
        </w:rPr>
        <w:t>0.51</w:t>
      </w:r>
      <w:r>
        <w:rPr>
          <w:rFonts w:ascii="Times New Roman" w:eastAsia="Times New Roman"/>
          <w:spacing w:val="-1"/>
        </w:rPr>
        <w:t>%</w:t>
      </w:r>
      <w:r>
        <w:rPr>
          <w:spacing w:val="-12"/>
        </w:rPr>
        <w:t>；村庄用地面积为</w:t>
      </w:r>
      <w:r>
        <w:rPr>
          <w:rFonts w:ascii="Times New Roman" w:eastAsia="Times New Roman"/>
        </w:rPr>
        <w:t xml:space="preserve">4.1245 </w:t>
      </w:r>
      <w:r>
        <w:rPr>
          <w:spacing w:val="-9"/>
        </w:rPr>
        <w:t>公顷，占项目区内土地总面积的</w:t>
      </w:r>
      <w:r>
        <w:rPr>
          <w:rFonts w:ascii="Times New Roman" w:eastAsia="Times New Roman"/>
          <w:spacing w:val="-3"/>
        </w:rPr>
        <w:t>1.25</w:t>
      </w:r>
      <w:r>
        <w:rPr>
          <w:rFonts w:ascii="Times New Roman" w:eastAsia="Times New Roman"/>
          <w:spacing w:val="-2"/>
        </w:rPr>
        <w:t>%</w:t>
      </w:r>
      <w:r>
        <w:rPr>
          <w:spacing w:val="-3"/>
        </w:rPr>
        <w:t>；</w:t>
      </w:r>
      <w:r>
        <w:rPr>
          <w:spacing w:val="-8"/>
        </w:rPr>
        <w:t xml:space="preserve">采矿用地面积为 </w:t>
      </w:r>
      <w:r>
        <w:rPr>
          <w:rFonts w:ascii="Times New Roman" w:eastAsia="Times New Roman"/>
        </w:rPr>
        <w:t xml:space="preserve">22.1427 </w:t>
      </w:r>
      <w:r>
        <w:rPr>
          <w:spacing w:val="-4"/>
        </w:rPr>
        <w:t xml:space="preserve">公顷，占项目区内土地总面积的 </w:t>
      </w:r>
      <w:r>
        <w:rPr>
          <w:rFonts w:ascii="Times New Roman" w:eastAsia="Times New Roman"/>
        </w:rPr>
        <w:t>6.69%</w:t>
      </w:r>
      <w:r>
        <w:t>。</w:t>
      </w:r>
    </w:p>
    <w:p>
      <w:pPr>
        <w:pStyle w:val="4"/>
        <w:numPr>
          <w:ilvl w:val="2"/>
          <w:numId w:val="38"/>
        </w:numPr>
        <w:tabs>
          <w:tab w:val="left" w:pos="1141"/>
        </w:tabs>
        <w:spacing w:before="0" w:after="0" w:line="298" w:lineRule="exact"/>
        <w:ind w:left="1140" w:right="0" w:hanging="630"/>
        <w:jc w:val="left"/>
      </w:pPr>
      <w:bookmarkStart w:id="146" w:name="5.1.1植被现状"/>
      <w:bookmarkEnd w:id="146"/>
      <w:bookmarkStart w:id="147" w:name="5.1.1植被现状"/>
      <w:bookmarkEnd w:id="147"/>
      <w:r>
        <w:t>植被现状</w:t>
      </w:r>
    </w:p>
    <w:p>
      <w:pPr>
        <w:pStyle w:val="5"/>
        <w:numPr>
          <w:ilvl w:val="3"/>
          <w:numId w:val="38"/>
        </w:numPr>
        <w:tabs>
          <w:tab w:val="left" w:pos="1292"/>
        </w:tabs>
        <w:spacing w:before="264" w:after="0" w:line="240" w:lineRule="auto"/>
        <w:ind w:left="1292" w:right="0" w:hanging="781"/>
        <w:jc w:val="left"/>
      </w:pPr>
      <w:r>
        <w:t>植被类型与分布</w:t>
      </w:r>
    </w:p>
    <w:p>
      <w:pPr>
        <w:pStyle w:val="6"/>
        <w:spacing w:before="223" w:line="374" w:lineRule="auto"/>
        <w:ind w:left="511" w:right="529" w:firstLine="480"/>
        <w:jc w:val="both"/>
      </w:pPr>
      <w:r>
        <w:drawing>
          <wp:anchor distT="0" distB="0" distL="0" distR="0" simplePos="0" relativeHeight="214306816" behindDoc="1" locked="0" layoutInCell="1" allowOverlap="1">
            <wp:simplePos x="0" y="0"/>
            <wp:positionH relativeFrom="page">
              <wp:posOffset>1263015</wp:posOffset>
            </wp:positionH>
            <wp:positionV relativeFrom="paragraph">
              <wp:posOffset>1924050</wp:posOffset>
            </wp:positionV>
            <wp:extent cx="5033645" cy="1892935"/>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png"/>
                    <pic:cNvPicPr>
                      <a:picLocks noChangeAspect="1"/>
                    </pic:cNvPicPr>
                  </pic:nvPicPr>
                  <pic:blipFill>
                    <a:blip r:embed="rId50" cstate="print"/>
                    <a:stretch>
                      <a:fillRect/>
                    </a:stretch>
                  </pic:blipFill>
                  <pic:spPr>
                    <a:xfrm>
                      <a:off x="0" y="0"/>
                      <a:ext cx="5033771" cy="1892807"/>
                    </a:xfrm>
                    <a:prstGeom prst="rect">
                      <a:avLst/>
                    </a:prstGeom>
                  </pic:spPr>
                </pic:pic>
              </a:graphicData>
            </a:graphic>
          </wp:anchor>
        </w:drawing>
      </w:r>
      <w:r>
        <w:rPr>
          <w:spacing w:val="-8"/>
        </w:rPr>
        <w:t>项目区属小兴安岭-老爷岭植物区、穆棱—三江平原亚区，生长着丰富的针叶</w:t>
      </w:r>
      <w:r>
        <w:rPr>
          <w:spacing w:val="-1"/>
        </w:rPr>
        <w:t>和阔叶林。林中主要树种有蒙古栎、紫椴、糠椴、黄菠萝、水曲柳、色木槭、胡桃楸、白桦、山杨、春榆、黄榆等，下木有毛榛子、胡枝子、杜鹃。主要草本植物有：小叶樟、广布野碗豆、小白花地榆、黄花菜、银莲花、啮叶凤毛菊、蚊子草、紫苑、走马芹等；局部低洼地段有水毛莨、小叶樟、芦苇、沼柳等。项目区</w:t>
      </w:r>
      <w:r>
        <w:t>范围有部分耕地，以旱地农作物为主，主要种植大豆、玉米等农作物。</w:t>
      </w:r>
    </w:p>
    <w:p>
      <w:pPr>
        <w:spacing w:after="0" w:line="374" w:lineRule="auto"/>
        <w:jc w:val="both"/>
        <w:sectPr>
          <w:pgSz w:w="11910" w:h="16840"/>
          <w:pgMar w:top="1380" w:right="1220" w:bottom="1180" w:left="1240" w:header="0" w:footer="997" w:gutter="0"/>
        </w:sectPr>
      </w:pPr>
    </w:p>
    <w:p>
      <w:pPr>
        <w:pStyle w:val="6"/>
        <w:ind w:left="1256"/>
        <w:rPr>
          <w:sz w:val="20"/>
        </w:rPr>
      </w:pPr>
      <w:r>
        <w:rPr>
          <w:sz w:val="20"/>
        </w:rPr>
        <w:drawing>
          <wp:inline distT="0" distB="0" distL="0" distR="0">
            <wp:extent cx="4389120" cy="1645920"/>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png"/>
                    <pic:cNvPicPr>
                      <a:picLocks noChangeAspect="1"/>
                    </pic:cNvPicPr>
                  </pic:nvPicPr>
                  <pic:blipFill>
                    <a:blip r:embed="rId51" cstate="print"/>
                    <a:stretch>
                      <a:fillRect/>
                    </a:stretch>
                  </pic:blipFill>
                  <pic:spPr>
                    <a:xfrm>
                      <a:off x="0" y="0"/>
                      <a:ext cx="4389120" cy="1645920"/>
                    </a:xfrm>
                    <a:prstGeom prst="rect">
                      <a:avLst/>
                    </a:prstGeom>
                  </pic:spPr>
                </pic:pic>
              </a:graphicData>
            </a:graphic>
          </wp:inline>
        </w:drawing>
      </w:r>
    </w:p>
    <w:p>
      <w:pPr>
        <w:pStyle w:val="5"/>
        <w:spacing w:before="121"/>
        <w:ind w:right="10"/>
        <w:jc w:val="center"/>
      </w:pPr>
      <w:r>
        <w:t xml:space="preserve">图 </w:t>
      </w:r>
      <w:r>
        <w:rPr>
          <w:rFonts w:ascii="Times New Roman" w:eastAsia="Times New Roman"/>
        </w:rPr>
        <w:t xml:space="preserve">5.1-1 </w:t>
      </w:r>
      <w:r>
        <w:t>项目区内典型植被图</w:t>
      </w:r>
    </w:p>
    <w:p>
      <w:pPr>
        <w:pStyle w:val="13"/>
        <w:numPr>
          <w:ilvl w:val="3"/>
          <w:numId w:val="38"/>
        </w:numPr>
        <w:tabs>
          <w:tab w:val="left" w:pos="1292"/>
        </w:tabs>
        <w:spacing w:before="81" w:after="0" w:line="240" w:lineRule="auto"/>
        <w:ind w:left="1292" w:right="0" w:hanging="781"/>
        <w:jc w:val="left"/>
        <w:rPr>
          <w:b/>
          <w:sz w:val="24"/>
        </w:rPr>
      </w:pPr>
      <w:r>
        <w:rPr>
          <w:b/>
          <w:sz w:val="24"/>
        </w:rPr>
        <w:t>植被资源</w:t>
      </w:r>
    </w:p>
    <w:p>
      <w:pPr>
        <w:pStyle w:val="6"/>
        <w:spacing w:before="82" w:line="364" w:lineRule="auto"/>
        <w:ind w:left="511" w:right="529" w:firstLine="480"/>
      </w:pPr>
      <w:r>
        <w:rPr>
          <w:spacing w:val="-1"/>
        </w:rPr>
        <w:t>双鸭山市属长白植物区系，为低湿平原区以低山丘陵区，分布有森林植被。</w:t>
      </w:r>
      <w:r>
        <w:rPr>
          <w:spacing w:val="-7"/>
        </w:rPr>
        <w:t xml:space="preserve">双鸭山市森林覆盖率 </w:t>
      </w:r>
      <w:r>
        <w:rPr>
          <w:rFonts w:ascii="Times New Roman" w:eastAsia="Times New Roman"/>
        </w:rPr>
        <w:t>40%</w:t>
      </w:r>
      <w:r>
        <w:rPr>
          <w:spacing w:val="-13"/>
        </w:rPr>
        <w:t xml:space="preserve">。地方林业系统共有 </w:t>
      </w:r>
      <w:r>
        <w:rPr>
          <w:rFonts w:ascii="Times New Roman" w:eastAsia="Times New Roman"/>
        </w:rPr>
        <w:t xml:space="preserve">23 </w:t>
      </w:r>
      <w:r>
        <w:rPr>
          <w:spacing w:val="-11"/>
        </w:rPr>
        <w:t xml:space="preserve">个国有林场，森林面积 </w:t>
      </w:r>
      <w:r>
        <w:rPr>
          <w:rFonts w:ascii="Times New Roman" w:eastAsia="Times New Roman"/>
        </w:rPr>
        <w:t xml:space="preserve">26.37 </w:t>
      </w:r>
      <w:r>
        <w:rPr>
          <w:spacing w:val="-15"/>
        </w:rPr>
        <w:t>万</w:t>
      </w:r>
    </w:p>
    <w:p>
      <w:pPr>
        <w:pStyle w:val="6"/>
        <w:spacing w:line="364" w:lineRule="auto"/>
        <w:ind w:left="511" w:right="413"/>
      </w:pPr>
      <w:r>
        <w:rPr>
          <w:spacing w:val="-5"/>
        </w:rPr>
        <w:t xml:space="preserve">公顷，活立木总蓄积量 </w:t>
      </w:r>
      <w:r>
        <w:rPr>
          <w:rFonts w:ascii="Times New Roman" w:eastAsia="Times New Roman"/>
        </w:rPr>
        <w:t xml:space="preserve">1761.53 </w:t>
      </w:r>
      <w:r>
        <w:t>万立方米。植被类型为温带针阔叶混交林，主要树种有落叶松、樟子松、红松、云杉、槭树、色树、椴树、榆树、桦树、杨树、胡桃楸、水曲柳、黄菠萝等。食用的真菌类有黑木耳，猴头蘑、元蘑、榛蘑等； 山野菜类有蕨菜、黄花菜、黄瓜香、剌嫩芽；山产品有榛子、橡子、松树籽、山葡萄、猕猴桃、黑加伦、山核桃。野生药用植物主要有五味子、山花、龙胆草、</w:t>
      </w:r>
      <w:r>
        <w:rPr>
          <w:spacing w:val="-13"/>
        </w:rPr>
        <w:t>人参、平贝、剌五加、满山红、黄柏、赤芍、升麻、桔梗、白鲜皮、苍术、贯仲、</w:t>
      </w:r>
      <w:r>
        <w:rPr>
          <w:spacing w:val="-15"/>
        </w:rPr>
        <w:t xml:space="preserve">木贼等 </w:t>
      </w:r>
      <w:r>
        <w:rPr>
          <w:rFonts w:ascii="Times New Roman" w:eastAsia="Times New Roman"/>
        </w:rPr>
        <w:t xml:space="preserve">150 </w:t>
      </w:r>
      <w:r>
        <w:rPr>
          <w:spacing w:val="-8"/>
        </w:rPr>
        <w:t xml:space="preserve">余种，常用的有 </w:t>
      </w:r>
      <w:r>
        <w:rPr>
          <w:rFonts w:ascii="Times New Roman" w:eastAsia="Times New Roman"/>
        </w:rPr>
        <w:t xml:space="preserve">60 </w:t>
      </w:r>
      <w:r>
        <w:t>余种。</w:t>
      </w:r>
    </w:p>
    <w:p>
      <w:pPr>
        <w:pStyle w:val="4"/>
        <w:numPr>
          <w:ilvl w:val="2"/>
          <w:numId w:val="38"/>
        </w:numPr>
        <w:tabs>
          <w:tab w:val="left" w:pos="1213"/>
        </w:tabs>
        <w:spacing w:before="0" w:after="0" w:line="357" w:lineRule="exact"/>
        <w:ind w:left="1212" w:right="0" w:hanging="702"/>
        <w:jc w:val="left"/>
      </w:pPr>
      <w:bookmarkStart w:id="148" w:name="5.1.2 野生动物资源"/>
      <w:bookmarkEnd w:id="148"/>
      <w:bookmarkStart w:id="149" w:name="5.1.2 野生动物资源"/>
      <w:bookmarkEnd w:id="149"/>
      <w:r>
        <w:t>野生动物资源</w:t>
      </w:r>
    </w:p>
    <w:p>
      <w:pPr>
        <w:pStyle w:val="6"/>
        <w:rPr>
          <w:b/>
          <w:sz w:val="28"/>
        </w:rPr>
      </w:pPr>
    </w:p>
    <w:p>
      <w:pPr>
        <w:pStyle w:val="6"/>
        <w:spacing w:line="405" w:lineRule="auto"/>
        <w:ind w:left="511" w:right="533" w:firstLine="480"/>
        <w:jc w:val="both"/>
      </w:pPr>
      <w:r>
        <w:t>区域受人类活动干扰，适宜野生动物栖的环境有限，动物区系结构组成较简单，在此生态境域中，动物种类比较贫乏。因此，本次调查主要采取资料查阅、并与现场调查访问相结合的方式进行调查。</w:t>
      </w:r>
    </w:p>
    <w:p>
      <w:pPr>
        <w:pStyle w:val="6"/>
        <w:spacing w:before="1"/>
        <w:ind w:left="991"/>
      </w:pPr>
      <w:r>
        <w:t>根据现场调查，并参照现行《中华人民共和国野生动物保护法（</w:t>
      </w:r>
      <w:r>
        <w:rPr>
          <w:rFonts w:ascii="Times New Roman" w:eastAsia="Times New Roman"/>
        </w:rPr>
        <w:t>2004</w:t>
      </w:r>
      <w:r>
        <w:t>）》、</w:t>
      </w:r>
    </w:p>
    <w:p>
      <w:pPr>
        <w:pStyle w:val="6"/>
        <w:spacing w:before="35" w:line="520" w:lineRule="exact"/>
        <w:ind w:left="511" w:right="533"/>
      </w:pPr>
      <w:r>
        <w:t>《国家重点保护野生动物名录（</w:t>
      </w:r>
      <w:r>
        <w:rPr>
          <w:rFonts w:ascii="Times New Roman" w:eastAsia="Times New Roman"/>
        </w:rPr>
        <w:t>1998</w:t>
      </w:r>
      <w:r>
        <w:t>）》，评价区内未发现国家级、省、市级珍稀濒危和重点保护野生动物分布，也未发现有其栖息地和繁衍地。</w:t>
      </w:r>
    </w:p>
    <w:p>
      <w:pPr>
        <w:pStyle w:val="4"/>
        <w:numPr>
          <w:ilvl w:val="2"/>
          <w:numId w:val="38"/>
        </w:numPr>
        <w:tabs>
          <w:tab w:val="left" w:pos="1213"/>
        </w:tabs>
        <w:spacing w:before="3" w:after="0" w:line="240" w:lineRule="auto"/>
        <w:ind w:left="1212" w:right="0" w:hanging="702"/>
        <w:jc w:val="left"/>
      </w:pPr>
      <w:bookmarkStart w:id="150" w:name="5.1.3 土壤状况"/>
      <w:bookmarkEnd w:id="150"/>
      <w:bookmarkStart w:id="151" w:name="5.1.3 土壤状况"/>
      <w:bookmarkEnd w:id="151"/>
      <w:r>
        <w:t>土壤状况</w:t>
      </w:r>
    </w:p>
    <w:p>
      <w:pPr>
        <w:pStyle w:val="6"/>
        <w:spacing w:before="186" w:line="364" w:lineRule="auto"/>
        <w:ind w:left="511" w:right="409" w:firstLine="480"/>
      </w:pPr>
      <w:r>
        <w:rPr>
          <w:spacing w:val="-9"/>
        </w:rPr>
        <w:t xml:space="preserve">双鸭山市有 </w:t>
      </w:r>
      <w:r>
        <w:rPr>
          <w:rFonts w:ascii="Times New Roman" w:eastAsia="Times New Roman"/>
        </w:rPr>
        <w:t xml:space="preserve">8 </w:t>
      </w:r>
      <w:r>
        <w:t>种土类、</w:t>
      </w:r>
      <w:r>
        <w:rPr>
          <w:rFonts w:ascii="Times New Roman" w:eastAsia="Times New Roman"/>
        </w:rPr>
        <w:t xml:space="preserve">19 </w:t>
      </w:r>
      <w:r>
        <w:t>个亚类、</w:t>
      </w:r>
      <w:r>
        <w:rPr>
          <w:rFonts w:ascii="Times New Roman" w:eastAsia="Times New Roman"/>
        </w:rPr>
        <w:t xml:space="preserve">15 </w:t>
      </w:r>
      <w:r>
        <w:t>个土属、</w:t>
      </w:r>
      <w:r>
        <w:rPr>
          <w:rFonts w:ascii="Times New Roman" w:eastAsia="Times New Roman"/>
        </w:rPr>
        <w:t xml:space="preserve">44 </w:t>
      </w:r>
      <w:r>
        <w:t>个土种。按面积大小排次</w:t>
      </w:r>
      <w:r>
        <w:rPr>
          <w:spacing w:val="-13"/>
        </w:rPr>
        <w:t xml:space="preserve">为：草甸土，分布在北部和南部的平原区，占全区土地面积的 </w:t>
      </w:r>
      <w:r>
        <w:rPr>
          <w:rFonts w:ascii="Times New Roman" w:eastAsia="Times New Roman"/>
          <w:spacing w:val="-7"/>
        </w:rPr>
        <w:t>43.2%</w:t>
      </w:r>
      <w:r>
        <w:rPr>
          <w:spacing w:val="-18"/>
        </w:rPr>
        <w:t xml:space="preserve">，其中 </w:t>
      </w:r>
      <w:r>
        <w:rPr>
          <w:rFonts w:ascii="Times New Roman" w:eastAsia="Times New Roman"/>
        </w:rPr>
        <w:t xml:space="preserve">78.8% </w:t>
      </w:r>
      <w:r>
        <w:rPr>
          <w:spacing w:val="-11"/>
        </w:rPr>
        <w:t xml:space="preserve">开垦成耕地；黑土，分布在中和中南部缓坡漫岗地带，占全区土地面积的 </w:t>
      </w:r>
      <w:r>
        <w:rPr>
          <w:rFonts w:ascii="Times New Roman" w:eastAsia="Times New Roman"/>
          <w:spacing w:val="-4"/>
        </w:rPr>
        <w:t>32.6%</w:t>
      </w:r>
      <w:r>
        <w:rPr>
          <w:spacing w:val="-4"/>
        </w:rPr>
        <w:t xml:space="preserve">， </w:t>
      </w:r>
      <w:r>
        <w:rPr>
          <w:spacing w:val="-17"/>
        </w:rPr>
        <w:t xml:space="preserve">其中 </w:t>
      </w:r>
      <w:r>
        <w:rPr>
          <w:rFonts w:ascii="Times New Roman" w:eastAsia="Times New Roman"/>
        </w:rPr>
        <w:t>78.8%</w:t>
      </w:r>
      <w:r>
        <w:t>开垦成耕地；暗棕土壤，分布在西和西南部低山丘区，占全区土地面</w:t>
      </w:r>
    </w:p>
    <w:p>
      <w:pPr>
        <w:spacing w:after="0" w:line="364" w:lineRule="auto"/>
        <w:sectPr>
          <w:pgSz w:w="11910" w:h="16840"/>
          <w:pgMar w:top="1520" w:right="1220" w:bottom="1180" w:left="1240" w:header="0" w:footer="997" w:gutter="0"/>
        </w:sectPr>
      </w:pPr>
    </w:p>
    <w:p>
      <w:pPr>
        <w:pStyle w:val="6"/>
        <w:spacing w:before="63" w:line="364" w:lineRule="auto"/>
        <w:ind w:left="511" w:right="409"/>
      </w:pPr>
      <w:r>
        <w:rPr>
          <w:spacing w:val="-21"/>
        </w:rPr>
        <w:t xml:space="preserve">积的 </w:t>
      </w:r>
      <w:r>
        <w:rPr>
          <w:rFonts w:ascii="Times New Roman" w:eastAsia="Times New Roman"/>
        </w:rPr>
        <w:t>18.8%</w:t>
      </w:r>
      <w:r>
        <w:rPr>
          <w:spacing w:val="-16"/>
        </w:rPr>
        <w:t xml:space="preserve">，其中 </w:t>
      </w:r>
      <w:r>
        <w:rPr>
          <w:rFonts w:ascii="Times New Roman" w:eastAsia="Times New Roman"/>
        </w:rPr>
        <w:t>4.4%</w:t>
      </w:r>
      <w:r>
        <w:rPr>
          <w:spacing w:val="-4"/>
        </w:rPr>
        <w:t>开垦成耕地；白浆土，分布在山下缓坡漫岗地带，占全区</w:t>
      </w:r>
      <w:r>
        <w:rPr>
          <w:spacing w:val="-14"/>
        </w:rPr>
        <w:t xml:space="preserve">土地面积的 </w:t>
      </w:r>
      <w:r>
        <w:rPr>
          <w:rFonts w:ascii="Times New Roman" w:eastAsia="Times New Roman"/>
          <w:spacing w:val="-3"/>
        </w:rPr>
        <w:t>1.0%</w:t>
      </w:r>
      <w:r>
        <w:rPr>
          <w:spacing w:val="-16"/>
        </w:rPr>
        <w:t xml:space="preserve">，其中 </w:t>
      </w:r>
      <w:r>
        <w:rPr>
          <w:rFonts w:ascii="Times New Roman" w:eastAsia="Times New Roman"/>
        </w:rPr>
        <w:t>50.0%</w:t>
      </w:r>
      <w:r>
        <w:rPr>
          <w:spacing w:val="-4"/>
        </w:rPr>
        <w:t>开垦成耕地；沼泽地，分布在低湿沼泽地，占全区</w:t>
      </w:r>
      <w:r>
        <w:rPr>
          <w:spacing w:val="-15"/>
        </w:rPr>
        <w:t xml:space="preserve">土地面积的 </w:t>
      </w:r>
      <w:r>
        <w:rPr>
          <w:rFonts w:ascii="Times New Roman" w:eastAsia="Times New Roman"/>
        </w:rPr>
        <w:t>0.31%</w:t>
      </w:r>
      <w:r>
        <w:rPr>
          <w:spacing w:val="-7"/>
        </w:rPr>
        <w:t xml:space="preserve">；泥炭土，分布在沼泽地，占全区土地面积的 </w:t>
      </w:r>
      <w:r>
        <w:rPr>
          <w:rFonts w:ascii="Times New Roman" w:eastAsia="Times New Roman"/>
        </w:rPr>
        <w:t>0.30%</w:t>
      </w:r>
      <w:r>
        <w:rPr>
          <w:spacing w:val="-3"/>
        </w:rPr>
        <w:t xml:space="preserve">；水稻土， </w:t>
      </w:r>
      <w:r>
        <w:rPr>
          <w:spacing w:val="-7"/>
        </w:rPr>
        <w:t xml:space="preserve">占全区土地面积的 </w:t>
      </w:r>
      <w:r>
        <w:rPr>
          <w:rFonts w:ascii="Times New Roman" w:eastAsia="Times New Roman"/>
        </w:rPr>
        <w:t>1.0%</w:t>
      </w:r>
      <w:r>
        <w:t>。</w:t>
      </w:r>
    </w:p>
    <w:p>
      <w:pPr>
        <w:pStyle w:val="6"/>
        <w:spacing w:line="364" w:lineRule="auto"/>
        <w:ind w:left="511" w:right="533" w:firstLine="480"/>
        <w:jc w:val="both"/>
      </w:pPr>
      <w:r>
        <w:t xml:space="preserve">根据黑龙江省土壤分布图同时结合项目区实际情况。判定项目区土壤为暗棕壤及黑土，土壤肥力较高，质地比较粘重，大多为壤质粘土或粘壤土，部分为砂质粘土，个别含砾石，持水性较好。项目区耕层较厚，肥力较好，养分丰富，有机质含量 </w:t>
      </w:r>
      <w:r>
        <w:rPr>
          <w:rFonts w:ascii="Times New Roman" w:eastAsia="Times New Roman"/>
        </w:rPr>
        <w:t>265g/kg</w:t>
      </w:r>
      <w:r>
        <w:t xml:space="preserve">，全氮 </w:t>
      </w:r>
      <w:r>
        <w:rPr>
          <w:rFonts w:ascii="Times New Roman" w:eastAsia="Times New Roman"/>
        </w:rPr>
        <w:t>10.2g/kg</w:t>
      </w:r>
      <w:r>
        <w:t xml:space="preserve">，全磷 </w:t>
      </w:r>
      <w:r>
        <w:rPr>
          <w:rFonts w:ascii="Times New Roman" w:eastAsia="Times New Roman"/>
        </w:rPr>
        <w:t>0.6g/kg</w:t>
      </w:r>
      <w:r>
        <w:t xml:space="preserve">，全钾 </w:t>
      </w:r>
      <w:r>
        <w:rPr>
          <w:rFonts w:ascii="Times New Roman" w:eastAsia="Times New Roman"/>
        </w:rPr>
        <w:t>28.0g/kg</w:t>
      </w:r>
      <w:r>
        <w:t>。</w:t>
      </w:r>
    </w:p>
    <w:p>
      <w:pPr>
        <w:pStyle w:val="6"/>
        <w:spacing w:line="362" w:lineRule="auto"/>
        <w:ind w:left="511" w:right="529" w:firstLine="480"/>
        <w:jc w:val="both"/>
      </w:pPr>
      <w:r>
        <w:rPr>
          <w:spacing w:val="-3"/>
        </w:rPr>
        <w:t xml:space="preserve">项目区内以有林地为主，土壤一般厚 </w:t>
      </w:r>
      <w:r>
        <w:rPr>
          <w:rFonts w:ascii="Times New Roman" w:eastAsia="Times New Roman"/>
        </w:rPr>
        <w:t>0.5-1.0m</w:t>
      </w:r>
      <w:r>
        <w:t>，上部为黑色腐殖土，其下部</w:t>
      </w:r>
      <w:r>
        <w:rPr>
          <w:spacing w:val="-7"/>
        </w:rPr>
        <w:t xml:space="preserve">位黄色亚粘土。见图 </w:t>
      </w:r>
      <w:r>
        <w:rPr>
          <w:rFonts w:ascii="Times New Roman" w:eastAsia="Times New Roman"/>
        </w:rPr>
        <w:t>5.1-2</w:t>
      </w:r>
      <w:r>
        <w:t>。</w:t>
      </w:r>
    </w:p>
    <w:p>
      <w:pPr>
        <w:pStyle w:val="6"/>
        <w:rPr>
          <w:sz w:val="10"/>
        </w:rPr>
      </w:pPr>
      <w:r>
        <w:drawing>
          <wp:anchor distT="0" distB="0" distL="0" distR="0" simplePos="0" relativeHeight="1024" behindDoc="0" locked="0" layoutInCell="1" allowOverlap="1">
            <wp:simplePos x="0" y="0"/>
            <wp:positionH relativeFrom="page">
              <wp:posOffset>2293620</wp:posOffset>
            </wp:positionH>
            <wp:positionV relativeFrom="paragraph">
              <wp:posOffset>106045</wp:posOffset>
            </wp:positionV>
            <wp:extent cx="2390140" cy="1612265"/>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pic:cNvPicPr>
                      <a:picLocks noChangeAspect="1"/>
                    </pic:cNvPicPr>
                  </pic:nvPicPr>
                  <pic:blipFill>
                    <a:blip r:embed="rId52" cstate="print"/>
                    <a:stretch>
                      <a:fillRect/>
                    </a:stretch>
                  </pic:blipFill>
                  <pic:spPr>
                    <a:xfrm>
                      <a:off x="0" y="0"/>
                      <a:ext cx="2390150" cy="1612391"/>
                    </a:xfrm>
                    <a:prstGeom prst="rect">
                      <a:avLst/>
                    </a:prstGeom>
                  </pic:spPr>
                </pic:pic>
              </a:graphicData>
            </a:graphic>
          </wp:anchor>
        </w:drawing>
      </w:r>
    </w:p>
    <w:p>
      <w:pPr>
        <w:pStyle w:val="6"/>
        <w:spacing w:before="6"/>
        <w:rPr>
          <w:sz w:val="6"/>
        </w:rPr>
      </w:pPr>
    </w:p>
    <w:p>
      <w:pPr>
        <w:spacing w:after="0"/>
        <w:rPr>
          <w:sz w:val="6"/>
        </w:rPr>
        <w:sectPr>
          <w:pgSz w:w="11910" w:h="16840"/>
          <w:pgMar w:top="1360" w:right="1220" w:bottom="1180" w:left="1240" w:header="0" w:footer="997" w:gutter="0"/>
        </w:sectPr>
      </w:pPr>
    </w:p>
    <w:p>
      <w:pPr>
        <w:pStyle w:val="6"/>
        <w:spacing w:before="2"/>
        <w:rPr>
          <w:sz w:val="30"/>
        </w:rPr>
      </w:pPr>
    </w:p>
    <w:p>
      <w:pPr>
        <w:pStyle w:val="4"/>
        <w:numPr>
          <w:ilvl w:val="2"/>
          <w:numId w:val="38"/>
        </w:numPr>
        <w:tabs>
          <w:tab w:val="left" w:pos="1213"/>
        </w:tabs>
        <w:spacing w:before="0" w:after="0" w:line="240" w:lineRule="auto"/>
        <w:ind w:left="1212" w:right="0" w:hanging="702"/>
        <w:jc w:val="left"/>
      </w:pPr>
      <w:bookmarkStart w:id="152" w:name="5.1.4 土地利用现状"/>
      <w:bookmarkEnd w:id="152"/>
      <w:bookmarkStart w:id="153" w:name="5.1.4 土地利用现状"/>
      <w:bookmarkEnd w:id="153"/>
      <w:r>
        <w:rPr>
          <w:spacing w:val="-3"/>
        </w:rPr>
        <w:t>土地利用现状</w:t>
      </w:r>
    </w:p>
    <w:p>
      <w:pPr>
        <w:pStyle w:val="5"/>
        <w:spacing w:before="74"/>
        <w:ind w:left="502"/>
      </w:pPr>
      <w:r>
        <w:rPr>
          <w:b w:val="0"/>
        </w:rPr>
        <w:br w:type="column"/>
      </w:r>
      <w:r>
        <w:t xml:space="preserve">图 </w:t>
      </w:r>
      <w:r>
        <w:rPr>
          <w:rFonts w:ascii="Times New Roman" w:eastAsia="Times New Roman"/>
        </w:rPr>
        <w:t xml:space="preserve">5.1-2 </w:t>
      </w:r>
      <w:r>
        <w:t>项目区土壤剖面</w:t>
      </w:r>
    </w:p>
    <w:p>
      <w:pPr>
        <w:spacing w:after="0"/>
        <w:sectPr>
          <w:type w:val="continuous"/>
          <w:pgSz w:w="11910" w:h="16840"/>
          <w:pgMar w:top="1580" w:right="1220" w:bottom="280" w:left="1240" w:header="720" w:footer="720" w:gutter="0"/>
          <w:cols w:equalWidth="0" w:num="2">
            <w:col w:w="2901" w:space="40"/>
            <w:col w:w="6509"/>
          </w:cols>
        </w:sectPr>
      </w:pPr>
    </w:p>
    <w:p>
      <w:pPr>
        <w:pStyle w:val="6"/>
        <w:spacing w:before="9"/>
        <w:rPr>
          <w:b/>
          <w:sz w:val="14"/>
        </w:rPr>
      </w:pPr>
    </w:p>
    <w:p>
      <w:pPr>
        <w:pStyle w:val="6"/>
        <w:spacing w:before="74" w:line="364" w:lineRule="auto"/>
        <w:ind w:left="511" w:right="527" w:firstLine="482"/>
        <w:jc w:val="right"/>
      </w:pPr>
      <w:r>
        <w:rPr>
          <w:spacing w:val="21"/>
        </w:rPr>
        <w:t>参照全国土地利用现状调查技术规程、《土地利用现状分类》</w:t>
      </w:r>
      <w:r>
        <w:t>（</w:t>
      </w:r>
      <w:r>
        <w:rPr>
          <w:spacing w:val="-95"/>
        </w:rPr>
        <w:t xml:space="preserve"> </w:t>
      </w:r>
      <w:r>
        <w:rPr>
          <w:rFonts w:ascii="Times New Roman" w:eastAsia="Times New Roman"/>
          <w:spacing w:val="-4"/>
        </w:rPr>
        <w:t>GB/T</w:t>
      </w:r>
      <w:r>
        <w:rPr>
          <w:rFonts w:ascii="Times New Roman" w:eastAsia="Times New Roman"/>
        </w:rPr>
        <w:t xml:space="preserve"> 21010-2007</w:t>
      </w:r>
      <w:r>
        <w:t>）及双鸭山市自然资源局提供的土地利用现状图件以及矿区范围拐点</w:t>
      </w:r>
      <w:r>
        <w:rPr>
          <w:spacing w:val="-1"/>
        </w:rPr>
        <w:t>坐标，结合损毁土地分析结果，本部分内容对项目区内土地利用类型进行统计。</w:t>
      </w:r>
      <w:r>
        <w:t>矿区内土地利用现状以有林地为主，其次为旱地、采矿用地和农村道路，还</w:t>
      </w:r>
    </w:p>
    <w:p>
      <w:pPr>
        <w:pStyle w:val="6"/>
        <w:spacing w:before="2"/>
        <w:ind w:left="511"/>
      </w:pPr>
      <w:r>
        <w:t>有少量的其他园地、河流、坑塘水面、村庄和裸地。</w:t>
      </w:r>
    </w:p>
    <w:p>
      <w:pPr>
        <w:pStyle w:val="6"/>
        <w:spacing w:before="161" w:line="364" w:lineRule="auto"/>
        <w:ind w:left="511" w:right="527" w:firstLine="482"/>
        <w:jc w:val="both"/>
      </w:pPr>
      <w:r>
        <w:t>目前项目区包括矿区范围（</w:t>
      </w:r>
      <w:r>
        <w:rPr>
          <w:rFonts w:ascii="Times New Roman" w:eastAsia="Times New Roman"/>
        </w:rPr>
        <w:t xml:space="preserve">330.8979 </w:t>
      </w:r>
      <w:r>
        <w:t>公顷）和工业广场（</w:t>
      </w:r>
      <w:r>
        <w:rPr>
          <w:rFonts w:ascii="Times New Roman" w:eastAsia="Times New Roman"/>
        </w:rPr>
        <w:t xml:space="preserve">2.9767 </w:t>
      </w:r>
      <w:r>
        <w:t>公顷），其中：工业广场处于矿区范围之内，因此双鸭山大顺矿业有限公司项目区面积为</w:t>
      </w:r>
      <w:r>
        <w:rPr>
          <w:rFonts w:ascii="Times New Roman" w:eastAsia="Times New Roman"/>
        </w:rPr>
        <w:t xml:space="preserve">330.8979 </w:t>
      </w:r>
      <w:r>
        <w:t>公顷。</w:t>
      </w:r>
    </w:p>
    <w:p>
      <w:pPr>
        <w:pStyle w:val="6"/>
        <w:spacing w:before="1"/>
        <w:ind w:left="994"/>
      </w:pPr>
      <w:r>
        <w:t xml:space="preserve">大顺煤矿属井工煤矿，项目矿区土地总面积为 </w:t>
      </w:r>
      <w:r>
        <w:rPr>
          <w:rFonts w:ascii="Times New Roman" w:eastAsia="Times New Roman"/>
        </w:rPr>
        <w:t xml:space="preserve">330.8979 </w:t>
      </w:r>
      <w:r>
        <w:t>公顷。其中：旱地面</w:t>
      </w:r>
    </w:p>
    <w:p>
      <w:pPr>
        <w:pStyle w:val="6"/>
        <w:spacing w:before="161" w:line="364" w:lineRule="auto"/>
        <w:ind w:left="511" w:right="407"/>
      </w:pPr>
      <w:r>
        <w:rPr>
          <w:spacing w:val="-21"/>
        </w:rPr>
        <w:t xml:space="preserve">积为 </w:t>
      </w:r>
      <w:r>
        <w:rPr>
          <w:rFonts w:ascii="Times New Roman" w:eastAsia="Times New Roman"/>
        </w:rPr>
        <w:t xml:space="preserve">55.9479 </w:t>
      </w:r>
      <w:r>
        <w:rPr>
          <w:spacing w:val="-15"/>
        </w:rPr>
        <w:t xml:space="preserve">公顷，占项目区内土地总面积的 </w:t>
      </w:r>
      <w:r>
        <w:rPr>
          <w:rFonts w:ascii="Times New Roman" w:eastAsia="Times New Roman"/>
          <w:spacing w:val="-14"/>
        </w:rPr>
        <w:t>16.91%</w:t>
      </w:r>
      <w:r>
        <w:rPr>
          <w:spacing w:val="-12"/>
        </w:rPr>
        <w:t xml:space="preserve">；其他果园面积 </w:t>
      </w:r>
      <w:r>
        <w:rPr>
          <w:rFonts w:ascii="Times New Roman" w:eastAsia="Times New Roman"/>
        </w:rPr>
        <w:t xml:space="preserve">1.1141 </w:t>
      </w:r>
      <w:r>
        <w:rPr>
          <w:spacing w:val="-4"/>
        </w:rPr>
        <w:t xml:space="preserve">公顷， </w:t>
      </w:r>
      <w:r>
        <w:rPr>
          <w:spacing w:val="-6"/>
        </w:rPr>
        <w:t xml:space="preserve">占项目区内土地总面积的 </w:t>
      </w:r>
      <w:r>
        <w:rPr>
          <w:rFonts w:ascii="Times New Roman" w:eastAsia="Times New Roman"/>
        </w:rPr>
        <w:t>0.34%</w:t>
      </w:r>
      <w:r>
        <w:rPr>
          <w:spacing w:val="-8"/>
        </w:rPr>
        <w:t xml:space="preserve">；有林地面积为 </w:t>
      </w:r>
      <w:r>
        <w:rPr>
          <w:rFonts w:ascii="Times New Roman" w:eastAsia="Times New Roman"/>
        </w:rPr>
        <w:t xml:space="preserve">226.7994 </w:t>
      </w:r>
      <w:r>
        <w:rPr>
          <w:spacing w:val="-3"/>
        </w:rPr>
        <w:t>公顷，占项目区内土地</w:t>
      </w:r>
      <w:r>
        <w:rPr>
          <w:spacing w:val="6"/>
        </w:rPr>
        <w:t>总面积的</w:t>
      </w:r>
      <w:r>
        <w:rPr>
          <w:rFonts w:ascii="Times New Roman" w:eastAsia="Times New Roman"/>
        </w:rPr>
        <w:t>68.54</w:t>
      </w:r>
      <w:r>
        <w:rPr>
          <w:rFonts w:ascii="Times New Roman" w:eastAsia="Times New Roman"/>
          <w:spacing w:val="-1"/>
        </w:rPr>
        <w:t>%</w:t>
      </w:r>
      <w:r>
        <w:rPr>
          <w:spacing w:val="-12"/>
        </w:rPr>
        <w:t>；农村道路面积为</w:t>
      </w:r>
      <w:r>
        <w:rPr>
          <w:rFonts w:ascii="Times New Roman" w:eastAsia="Times New Roman"/>
        </w:rPr>
        <w:t xml:space="preserve">10.9999 </w:t>
      </w:r>
      <w:r>
        <w:rPr>
          <w:spacing w:val="-9"/>
        </w:rPr>
        <w:t>公顷，占项目区内土地总面积的</w:t>
      </w:r>
      <w:r>
        <w:rPr>
          <w:rFonts w:ascii="Times New Roman" w:eastAsia="Times New Roman"/>
          <w:spacing w:val="-3"/>
        </w:rPr>
        <w:t>3.32</w:t>
      </w:r>
      <w:r>
        <w:rPr>
          <w:rFonts w:ascii="Times New Roman" w:eastAsia="Times New Roman"/>
          <w:spacing w:val="-2"/>
        </w:rPr>
        <w:t>%</w:t>
      </w:r>
      <w:r>
        <w:rPr>
          <w:spacing w:val="-3"/>
        </w:rPr>
        <w:t>；</w:t>
      </w:r>
    </w:p>
    <w:p>
      <w:pPr>
        <w:spacing w:after="0" w:line="364" w:lineRule="auto"/>
        <w:sectPr>
          <w:type w:val="continuous"/>
          <w:pgSz w:w="11910" w:h="16840"/>
          <w:pgMar w:top="1580" w:right="1220" w:bottom="280" w:left="1240" w:header="720" w:footer="720" w:gutter="0"/>
        </w:sectPr>
      </w:pPr>
    </w:p>
    <w:p>
      <w:pPr>
        <w:pStyle w:val="6"/>
        <w:spacing w:before="62" w:line="364" w:lineRule="auto"/>
        <w:ind w:left="511" w:right="407"/>
      </w:pPr>
      <w:r>
        <w:rPr>
          <w:spacing w:val="-11"/>
        </w:rPr>
        <w:t xml:space="preserve">河流面积为 </w:t>
      </w:r>
      <w:r>
        <w:rPr>
          <w:rFonts w:ascii="Times New Roman" w:eastAsia="Times New Roman"/>
        </w:rPr>
        <w:t xml:space="preserve">0.6426 </w:t>
      </w:r>
      <w:r>
        <w:rPr>
          <w:spacing w:val="-16"/>
        </w:rPr>
        <w:t xml:space="preserve">公顷，占项目区内土地总面积的 </w:t>
      </w:r>
      <w:r>
        <w:rPr>
          <w:rFonts w:ascii="Times New Roman" w:eastAsia="Times New Roman"/>
        </w:rPr>
        <w:t>0.19</w:t>
      </w:r>
      <w:r>
        <w:rPr>
          <w:rFonts w:ascii="Times New Roman" w:eastAsia="Times New Roman"/>
          <w:spacing w:val="-1"/>
        </w:rPr>
        <w:t>%</w:t>
      </w:r>
      <w:r>
        <w:rPr>
          <w:spacing w:val="-22"/>
        </w:rPr>
        <w:t xml:space="preserve">；坑塘水面面积为 </w:t>
      </w:r>
      <w:r>
        <w:rPr>
          <w:rFonts w:ascii="Times New Roman" w:eastAsia="Times New Roman"/>
        </w:rPr>
        <w:t>7.4426</w:t>
      </w:r>
      <w:r>
        <w:rPr>
          <w:spacing w:val="-7"/>
        </w:rPr>
        <w:t xml:space="preserve">公顷，占项目区内土地总面积的 </w:t>
      </w:r>
      <w:r>
        <w:rPr>
          <w:rFonts w:ascii="Times New Roman" w:eastAsia="Times New Roman"/>
        </w:rPr>
        <w:t>2.25%</w:t>
      </w:r>
      <w:r>
        <w:rPr>
          <w:spacing w:val="-9"/>
        </w:rPr>
        <w:t xml:space="preserve">；裸地面积为 </w:t>
      </w:r>
      <w:r>
        <w:rPr>
          <w:rFonts w:ascii="Times New Roman" w:eastAsia="Times New Roman"/>
        </w:rPr>
        <w:t xml:space="preserve">1.6841 </w:t>
      </w:r>
      <w:r>
        <w:rPr>
          <w:spacing w:val="-3"/>
        </w:rPr>
        <w:t>公顷，占项目区内土</w:t>
      </w:r>
      <w:r>
        <w:rPr>
          <w:spacing w:val="4"/>
        </w:rPr>
        <w:t>地总面积的</w:t>
      </w:r>
      <w:r>
        <w:rPr>
          <w:rFonts w:ascii="Times New Roman" w:eastAsia="Times New Roman"/>
        </w:rPr>
        <w:t>0.51</w:t>
      </w:r>
      <w:r>
        <w:rPr>
          <w:rFonts w:ascii="Times New Roman" w:eastAsia="Times New Roman"/>
          <w:spacing w:val="-1"/>
        </w:rPr>
        <w:t>%</w:t>
      </w:r>
      <w:r>
        <w:rPr>
          <w:spacing w:val="-12"/>
        </w:rPr>
        <w:t>；村庄用地面积为</w:t>
      </w:r>
      <w:r>
        <w:rPr>
          <w:rFonts w:ascii="Times New Roman" w:eastAsia="Times New Roman"/>
        </w:rPr>
        <w:t xml:space="preserve">4.1245 </w:t>
      </w:r>
      <w:r>
        <w:rPr>
          <w:spacing w:val="-9"/>
        </w:rPr>
        <w:t>公顷，占项目区内土地总面积的</w:t>
      </w:r>
      <w:r>
        <w:rPr>
          <w:rFonts w:ascii="Times New Roman" w:eastAsia="Times New Roman"/>
          <w:spacing w:val="-3"/>
        </w:rPr>
        <w:t>1.25</w:t>
      </w:r>
      <w:r>
        <w:rPr>
          <w:rFonts w:ascii="Times New Roman" w:eastAsia="Times New Roman"/>
          <w:spacing w:val="-2"/>
        </w:rPr>
        <w:t>%</w:t>
      </w:r>
      <w:r>
        <w:rPr>
          <w:spacing w:val="-3"/>
        </w:rPr>
        <w:t>；</w:t>
      </w:r>
      <w:r>
        <w:rPr>
          <w:spacing w:val="-7"/>
        </w:rPr>
        <w:t xml:space="preserve">采矿用地面积为 </w:t>
      </w:r>
      <w:r>
        <w:rPr>
          <w:rFonts w:ascii="Times New Roman" w:eastAsia="Times New Roman"/>
        </w:rPr>
        <w:t xml:space="preserve">22.1427 </w:t>
      </w:r>
      <w:r>
        <w:rPr>
          <w:spacing w:val="-4"/>
        </w:rPr>
        <w:t xml:space="preserve">公顷，占项目区内土地总面积的 </w:t>
      </w:r>
      <w:r>
        <w:rPr>
          <w:rFonts w:ascii="Times New Roman" w:eastAsia="Times New Roman"/>
        </w:rPr>
        <w:t>6.69%</w:t>
      </w:r>
      <w:r>
        <w:t>。项目用地结构详见下表：</w:t>
      </w:r>
    </w:p>
    <w:p>
      <w:pPr>
        <w:spacing w:before="0" w:after="22" w:line="213" w:lineRule="exact"/>
        <w:ind w:left="0" w:right="10" w:firstLine="0"/>
        <w:jc w:val="center"/>
        <w:rPr>
          <w:b/>
          <w:sz w:val="21"/>
        </w:rPr>
      </w:pPr>
      <w:r>
        <w:rPr>
          <w:b/>
          <w:sz w:val="21"/>
        </w:rPr>
        <w:t xml:space="preserve">表 </w:t>
      </w:r>
      <w:r>
        <w:rPr>
          <w:rFonts w:ascii="Times New Roman" w:eastAsia="Times New Roman"/>
          <w:b/>
          <w:sz w:val="21"/>
        </w:rPr>
        <w:t xml:space="preserve">5.1-1 </w:t>
      </w:r>
      <w:r>
        <w:rPr>
          <w:b/>
          <w:sz w:val="21"/>
        </w:rPr>
        <w:t>项目区土地利用现状</w:t>
      </w:r>
    </w:p>
    <w:tbl>
      <w:tblPr>
        <w:tblStyle w:val="10"/>
        <w:tblW w:w="0" w:type="auto"/>
        <w:tblInd w:w="5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1"/>
        <w:gridCol w:w="992"/>
        <w:gridCol w:w="425"/>
        <w:gridCol w:w="567"/>
        <w:gridCol w:w="579"/>
        <w:gridCol w:w="579"/>
        <w:gridCol w:w="579"/>
        <w:gridCol w:w="531"/>
        <w:gridCol w:w="627"/>
        <w:gridCol w:w="579"/>
        <w:gridCol w:w="637"/>
        <w:gridCol w:w="521"/>
        <w:gridCol w:w="579"/>
        <w:gridCol w:w="7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 w:hRule="atLeast"/>
        </w:trPr>
        <w:tc>
          <w:tcPr>
            <w:tcW w:w="1433" w:type="dxa"/>
            <w:gridSpan w:val="2"/>
          </w:tcPr>
          <w:p>
            <w:pPr>
              <w:pStyle w:val="14"/>
              <w:spacing w:line="140" w:lineRule="exact"/>
              <w:ind w:left="456"/>
              <w:jc w:val="left"/>
              <w:rPr>
                <w:sz w:val="13"/>
              </w:rPr>
            </w:pPr>
            <w:r>
              <w:rPr>
                <w:sz w:val="13"/>
              </w:rPr>
              <w:t>一级地类</w:t>
            </w:r>
          </w:p>
        </w:tc>
        <w:tc>
          <w:tcPr>
            <w:tcW w:w="992" w:type="dxa"/>
            <w:gridSpan w:val="2"/>
          </w:tcPr>
          <w:p>
            <w:pPr>
              <w:pStyle w:val="14"/>
              <w:spacing w:line="140" w:lineRule="exact"/>
              <w:ind w:left="235"/>
              <w:jc w:val="left"/>
              <w:rPr>
                <w:sz w:val="13"/>
              </w:rPr>
            </w:pPr>
            <w:r>
              <w:rPr>
                <w:sz w:val="13"/>
              </w:rPr>
              <w:t>二级地类</w:t>
            </w:r>
          </w:p>
        </w:tc>
        <w:tc>
          <w:tcPr>
            <w:tcW w:w="5211" w:type="dxa"/>
            <w:gridSpan w:val="9"/>
          </w:tcPr>
          <w:p>
            <w:pPr>
              <w:pStyle w:val="14"/>
              <w:spacing w:line="140" w:lineRule="exact"/>
              <w:ind w:left="2194" w:right="2186"/>
              <w:rPr>
                <w:sz w:val="13"/>
              </w:rPr>
            </w:pPr>
            <w:r>
              <w:rPr>
                <w:sz w:val="13"/>
              </w:rPr>
              <w:t>面积（公顷）</w:t>
            </w:r>
          </w:p>
        </w:tc>
        <w:tc>
          <w:tcPr>
            <w:tcW w:w="760" w:type="dxa"/>
            <w:vMerge w:val="restart"/>
          </w:tcPr>
          <w:p>
            <w:pPr>
              <w:pStyle w:val="14"/>
              <w:jc w:val="left"/>
              <w:rPr>
                <w:b/>
                <w:sz w:val="12"/>
              </w:rPr>
            </w:pPr>
          </w:p>
          <w:p>
            <w:pPr>
              <w:pStyle w:val="14"/>
              <w:jc w:val="left"/>
              <w:rPr>
                <w:b/>
                <w:sz w:val="12"/>
              </w:rPr>
            </w:pPr>
          </w:p>
          <w:p>
            <w:pPr>
              <w:pStyle w:val="14"/>
              <w:spacing w:before="101"/>
              <w:ind w:left="250"/>
              <w:jc w:val="left"/>
              <w:rPr>
                <w:sz w:val="13"/>
              </w:rPr>
            </w:pPr>
            <w:r>
              <w:rPr>
                <w:sz w:val="13"/>
              </w:rPr>
              <w:t>占比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41" w:type="dxa"/>
            <w:vMerge w:val="restart"/>
          </w:tcPr>
          <w:p>
            <w:pPr>
              <w:pStyle w:val="14"/>
              <w:jc w:val="left"/>
              <w:rPr>
                <w:b/>
                <w:sz w:val="12"/>
              </w:rPr>
            </w:pPr>
          </w:p>
          <w:p>
            <w:pPr>
              <w:pStyle w:val="14"/>
              <w:spacing w:before="93" w:line="232" w:lineRule="auto"/>
              <w:ind w:left="153" w:right="145"/>
              <w:rPr>
                <w:sz w:val="13"/>
              </w:rPr>
            </w:pPr>
            <w:r>
              <w:rPr>
                <w:sz w:val="13"/>
              </w:rPr>
              <w:t>编码</w:t>
            </w:r>
          </w:p>
        </w:tc>
        <w:tc>
          <w:tcPr>
            <w:tcW w:w="992" w:type="dxa"/>
            <w:vMerge w:val="restart"/>
          </w:tcPr>
          <w:p>
            <w:pPr>
              <w:pStyle w:val="14"/>
              <w:jc w:val="left"/>
              <w:rPr>
                <w:b/>
                <w:sz w:val="12"/>
              </w:rPr>
            </w:pPr>
          </w:p>
          <w:p>
            <w:pPr>
              <w:pStyle w:val="14"/>
              <w:spacing w:before="2"/>
              <w:jc w:val="left"/>
              <w:rPr>
                <w:b/>
                <w:sz w:val="13"/>
              </w:rPr>
            </w:pPr>
          </w:p>
          <w:p>
            <w:pPr>
              <w:pStyle w:val="14"/>
              <w:ind w:left="55" w:right="46"/>
              <w:rPr>
                <w:sz w:val="13"/>
              </w:rPr>
            </w:pPr>
            <w:r>
              <w:rPr>
                <w:sz w:val="13"/>
              </w:rPr>
              <w:t>名称</w:t>
            </w:r>
          </w:p>
        </w:tc>
        <w:tc>
          <w:tcPr>
            <w:tcW w:w="425" w:type="dxa"/>
            <w:vMerge w:val="restart"/>
          </w:tcPr>
          <w:p>
            <w:pPr>
              <w:pStyle w:val="14"/>
              <w:jc w:val="left"/>
              <w:rPr>
                <w:b/>
                <w:sz w:val="12"/>
              </w:rPr>
            </w:pPr>
          </w:p>
          <w:p>
            <w:pPr>
              <w:pStyle w:val="14"/>
              <w:spacing w:before="93" w:line="232" w:lineRule="auto"/>
              <w:ind w:left="146" w:right="136"/>
              <w:rPr>
                <w:sz w:val="13"/>
              </w:rPr>
            </w:pPr>
            <w:r>
              <w:rPr>
                <w:sz w:val="13"/>
              </w:rPr>
              <w:t>编码</w:t>
            </w:r>
          </w:p>
        </w:tc>
        <w:tc>
          <w:tcPr>
            <w:tcW w:w="567" w:type="dxa"/>
            <w:vMerge w:val="restart"/>
          </w:tcPr>
          <w:p>
            <w:pPr>
              <w:pStyle w:val="14"/>
              <w:jc w:val="left"/>
              <w:rPr>
                <w:b/>
                <w:sz w:val="12"/>
              </w:rPr>
            </w:pPr>
          </w:p>
          <w:p>
            <w:pPr>
              <w:pStyle w:val="14"/>
              <w:spacing w:before="2"/>
              <w:jc w:val="left"/>
              <w:rPr>
                <w:b/>
                <w:sz w:val="13"/>
              </w:rPr>
            </w:pPr>
          </w:p>
          <w:p>
            <w:pPr>
              <w:pStyle w:val="14"/>
              <w:ind w:left="153"/>
              <w:jc w:val="left"/>
              <w:rPr>
                <w:sz w:val="13"/>
              </w:rPr>
            </w:pPr>
            <w:r>
              <w:rPr>
                <w:sz w:val="13"/>
              </w:rPr>
              <w:t>名称</w:t>
            </w:r>
          </w:p>
        </w:tc>
        <w:tc>
          <w:tcPr>
            <w:tcW w:w="579" w:type="dxa"/>
          </w:tcPr>
          <w:p>
            <w:pPr>
              <w:pStyle w:val="14"/>
              <w:spacing w:line="162" w:lineRule="exact"/>
              <w:ind w:left="152"/>
              <w:jc w:val="left"/>
              <w:rPr>
                <w:sz w:val="13"/>
              </w:rPr>
            </w:pPr>
            <w:r>
              <w:rPr>
                <w:spacing w:val="-1"/>
                <w:sz w:val="13"/>
              </w:rPr>
              <w:t>权属</w:t>
            </w:r>
          </w:p>
          <w:p>
            <w:pPr>
              <w:pStyle w:val="14"/>
              <w:spacing w:line="138" w:lineRule="exact"/>
              <w:ind w:left="152"/>
              <w:jc w:val="left"/>
              <w:rPr>
                <w:sz w:val="13"/>
              </w:rPr>
            </w:pPr>
            <w:r>
              <w:rPr>
                <w:spacing w:val="-1"/>
                <w:sz w:val="13"/>
              </w:rPr>
              <w:t>单位</w:t>
            </w:r>
          </w:p>
        </w:tc>
        <w:tc>
          <w:tcPr>
            <w:tcW w:w="1158" w:type="dxa"/>
            <w:gridSpan w:val="2"/>
          </w:tcPr>
          <w:p>
            <w:pPr>
              <w:pStyle w:val="14"/>
              <w:spacing w:before="77"/>
              <w:ind w:left="313"/>
              <w:jc w:val="left"/>
              <w:rPr>
                <w:sz w:val="13"/>
              </w:rPr>
            </w:pPr>
            <w:r>
              <w:rPr>
                <w:sz w:val="13"/>
              </w:rPr>
              <w:t>权属性质</w:t>
            </w:r>
          </w:p>
        </w:tc>
        <w:tc>
          <w:tcPr>
            <w:tcW w:w="531" w:type="dxa"/>
          </w:tcPr>
          <w:p>
            <w:pPr>
              <w:pStyle w:val="14"/>
              <w:spacing w:line="162" w:lineRule="exact"/>
              <w:ind w:left="134"/>
              <w:jc w:val="left"/>
              <w:rPr>
                <w:sz w:val="13"/>
              </w:rPr>
            </w:pPr>
            <w:r>
              <w:rPr>
                <w:spacing w:val="-1"/>
                <w:sz w:val="13"/>
              </w:rPr>
              <w:t>权属</w:t>
            </w:r>
          </w:p>
          <w:p>
            <w:pPr>
              <w:pStyle w:val="14"/>
              <w:spacing w:line="138" w:lineRule="exact"/>
              <w:ind w:left="134"/>
              <w:jc w:val="left"/>
              <w:rPr>
                <w:sz w:val="13"/>
              </w:rPr>
            </w:pPr>
            <w:r>
              <w:rPr>
                <w:spacing w:val="-1"/>
                <w:sz w:val="13"/>
              </w:rPr>
              <w:t>单位</w:t>
            </w:r>
          </w:p>
        </w:tc>
        <w:tc>
          <w:tcPr>
            <w:tcW w:w="1206" w:type="dxa"/>
            <w:gridSpan w:val="2"/>
          </w:tcPr>
          <w:p>
            <w:pPr>
              <w:pStyle w:val="14"/>
              <w:spacing w:before="77"/>
              <w:ind w:left="342"/>
              <w:jc w:val="left"/>
              <w:rPr>
                <w:sz w:val="13"/>
              </w:rPr>
            </w:pPr>
            <w:r>
              <w:rPr>
                <w:sz w:val="13"/>
              </w:rPr>
              <w:t>权属性质</w:t>
            </w:r>
          </w:p>
        </w:tc>
        <w:tc>
          <w:tcPr>
            <w:tcW w:w="637" w:type="dxa"/>
            <w:vMerge w:val="restart"/>
          </w:tcPr>
          <w:p>
            <w:pPr>
              <w:pStyle w:val="14"/>
              <w:jc w:val="left"/>
              <w:rPr>
                <w:b/>
                <w:sz w:val="12"/>
              </w:rPr>
            </w:pPr>
          </w:p>
          <w:p>
            <w:pPr>
              <w:pStyle w:val="14"/>
              <w:spacing w:before="2"/>
              <w:jc w:val="left"/>
              <w:rPr>
                <w:b/>
                <w:sz w:val="13"/>
              </w:rPr>
            </w:pPr>
          </w:p>
          <w:p>
            <w:pPr>
              <w:pStyle w:val="14"/>
              <w:ind w:left="187"/>
              <w:jc w:val="left"/>
              <w:rPr>
                <w:sz w:val="13"/>
              </w:rPr>
            </w:pPr>
            <w:r>
              <w:rPr>
                <w:sz w:val="13"/>
              </w:rPr>
              <w:t>小计</w:t>
            </w:r>
          </w:p>
        </w:tc>
        <w:tc>
          <w:tcPr>
            <w:tcW w:w="1100" w:type="dxa"/>
            <w:gridSpan w:val="2"/>
          </w:tcPr>
          <w:p>
            <w:pPr>
              <w:pStyle w:val="14"/>
              <w:spacing w:before="77"/>
              <w:ind w:left="289"/>
              <w:jc w:val="left"/>
              <w:rPr>
                <w:sz w:val="13"/>
              </w:rPr>
            </w:pPr>
            <w:r>
              <w:rPr>
                <w:sz w:val="13"/>
              </w:rPr>
              <w:t>权属性质</w:t>
            </w:r>
          </w:p>
        </w:tc>
        <w:tc>
          <w:tcPr>
            <w:tcW w:w="76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441" w:type="dxa"/>
            <w:vMerge w:val="continue"/>
            <w:tcBorders>
              <w:top w:val="nil"/>
            </w:tcBorders>
          </w:tcPr>
          <w:p>
            <w:pPr>
              <w:rPr>
                <w:sz w:val="2"/>
                <w:szCs w:val="2"/>
              </w:rPr>
            </w:pPr>
          </w:p>
        </w:tc>
        <w:tc>
          <w:tcPr>
            <w:tcW w:w="992" w:type="dxa"/>
            <w:vMerge w:val="continue"/>
            <w:tcBorders>
              <w:top w:val="nil"/>
            </w:tcBorders>
          </w:tcPr>
          <w:p>
            <w:pPr>
              <w:rPr>
                <w:sz w:val="2"/>
                <w:szCs w:val="2"/>
              </w:rPr>
            </w:pPr>
          </w:p>
        </w:tc>
        <w:tc>
          <w:tcPr>
            <w:tcW w:w="425" w:type="dxa"/>
            <w:vMerge w:val="continue"/>
            <w:tcBorders>
              <w:top w:val="nil"/>
            </w:tcBorders>
          </w:tcPr>
          <w:p>
            <w:pPr>
              <w:rPr>
                <w:sz w:val="2"/>
                <w:szCs w:val="2"/>
              </w:rPr>
            </w:pPr>
          </w:p>
        </w:tc>
        <w:tc>
          <w:tcPr>
            <w:tcW w:w="567" w:type="dxa"/>
            <w:vMerge w:val="continue"/>
            <w:tcBorders>
              <w:top w:val="nil"/>
            </w:tcBorders>
          </w:tcPr>
          <w:p>
            <w:pPr>
              <w:rPr>
                <w:sz w:val="2"/>
                <w:szCs w:val="2"/>
              </w:rPr>
            </w:pPr>
          </w:p>
        </w:tc>
        <w:tc>
          <w:tcPr>
            <w:tcW w:w="579" w:type="dxa"/>
          </w:tcPr>
          <w:p>
            <w:pPr>
              <w:pStyle w:val="14"/>
              <w:spacing w:before="1" w:line="232" w:lineRule="auto"/>
              <w:ind w:left="157" w:right="149"/>
              <w:jc w:val="left"/>
              <w:rPr>
                <w:sz w:val="13"/>
              </w:rPr>
            </w:pPr>
            <w:r>
              <w:rPr>
                <w:spacing w:val="-8"/>
                <w:sz w:val="13"/>
              </w:rPr>
              <w:t>双鸭</w:t>
            </w:r>
            <w:r>
              <w:rPr>
                <w:spacing w:val="-9"/>
                <w:sz w:val="13"/>
              </w:rPr>
              <w:t>山林</w:t>
            </w:r>
          </w:p>
          <w:p>
            <w:pPr>
              <w:pStyle w:val="14"/>
              <w:spacing w:line="136" w:lineRule="exact"/>
              <w:ind w:left="157"/>
              <w:jc w:val="left"/>
              <w:rPr>
                <w:sz w:val="13"/>
              </w:rPr>
            </w:pPr>
            <w:r>
              <w:rPr>
                <w:spacing w:val="-1"/>
                <w:sz w:val="13"/>
              </w:rPr>
              <w:t>业局</w:t>
            </w:r>
          </w:p>
        </w:tc>
        <w:tc>
          <w:tcPr>
            <w:tcW w:w="579" w:type="dxa"/>
          </w:tcPr>
          <w:p>
            <w:pPr>
              <w:pStyle w:val="14"/>
              <w:spacing w:before="4"/>
              <w:jc w:val="left"/>
              <w:rPr>
                <w:b/>
                <w:sz w:val="12"/>
              </w:rPr>
            </w:pPr>
          </w:p>
          <w:p>
            <w:pPr>
              <w:pStyle w:val="14"/>
              <w:ind w:left="84" w:right="75"/>
              <w:rPr>
                <w:sz w:val="13"/>
              </w:rPr>
            </w:pPr>
            <w:r>
              <w:rPr>
                <w:sz w:val="13"/>
              </w:rPr>
              <w:t>国有</w:t>
            </w:r>
          </w:p>
        </w:tc>
        <w:tc>
          <w:tcPr>
            <w:tcW w:w="579" w:type="dxa"/>
          </w:tcPr>
          <w:p>
            <w:pPr>
              <w:pStyle w:val="14"/>
              <w:spacing w:before="4"/>
              <w:jc w:val="left"/>
              <w:rPr>
                <w:b/>
                <w:sz w:val="12"/>
              </w:rPr>
            </w:pPr>
          </w:p>
          <w:p>
            <w:pPr>
              <w:pStyle w:val="14"/>
              <w:ind w:left="158"/>
              <w:jc w:val="left"/>
              <w:rPr>
                <w:sz w:val="13"/>
              </w:rPr>
            </w:pPr>
            <w:r>
              <w:rPr>
                <w:sz w:val="13"/>
              </w:rPr>
              <w:t>集体</w:t>
            </w:r>
          </w:p>
        </w:tc>
        <w:tc>
          <w:tcPr>
            <w:tcW w:w="531" w:type="dxa"/>
          </w:tcPr>
          <w:p>
            <w:pPr>
              <w:pStyle w:val="14"/>
              <w:spacing w:before="1" w:line="232" w:lineRule="auto"/>
              <w:ind w:left="134" w:right="125"/>
              <w:rPr>
                <w:sz w:val="13"/>
              </w:rPr>
            </w:pPr>
            <w:r>
              <w:rPr>
                <w:sz w:val="13"/>
              </w:rPr>
              <w:t>青山旅游</w:t>
            </w:r>
          </w:p>
          <w:p>
            <w:pPr>
              <w:pStyle w:val="14"/>
              <w:spacing w:line="136" w:lineRule="exact"/>
              <w:ind w:left="7"/>
              <w:rPr>
                <w:sz w:val="13"/>
              </w:rPr>
            </w:pPr>
            <w:r>
              <w:rPr>
                <w:sz w:val="13"/>
              </w:rPr>
              <w:t>区</w:t>
            </w:r>
          </w:p>
        </w:tc>
        <w:tc>
          <w:tcPr>
            <w:tcW w:w="627" w:type="dxa"/>
          </w:tcPr>
          <w:p>
            <w:pPr>
              <w:pStyle w:val="14"/>
              <w:spacing w:before="4"/>
              <w:jc w:val="left"/>
              <w:rPr>
                <w:b/>
                <w:sz w:val="12"/>
              </w:rPr>
            </w:pPr>
          </w:p>
          <w:p>
            <w:pPr>
              <w:pStyle w:val="14"/>
              <w:ind w:left="181"/>
              <w:jc w:val="left"/>
              <w:rPr>
                <w:sz w:val="13"/>
              </w:rPr>
            </w:pPr>
            <w:r>
              <w:rPr>
                <w:sz w:val="13"/>
              </w:rPr>
              <w:t>国有</w:t>
            </w:r>
          </w:p>
        </w:tc>
        <w:tc>
          <w:tcPr>
            <w:tcW w:w="579" w:type="dxa"/>
          </w:tcPr>
          <w:p>
            <w:pPr>
              <w:pStyle w:val="14"/>
              <w:spacing w:before="4"/>
              <w:jc w:val="left"/>
              <w:rPr>
                <w:b/>
                <w:sz w:val="12"/>
              </w:rPr>
            </w:pPr>
          </w:p>
          <w:p>
            <w:pPr>
              <w:pStyle w:val="14"/>
              <w:ind w:left="159"/>
              <w:jc w:val="left"/>
              <w:rPr>
                <w:sz w:val="13"/>
              </w:rPr>
            </w:pPr>
            <w:r>
              <w:rPr>
                <w:sz w:val="13"/>
              </w:rPr>
              <w:t>集体</w:t>
            </w:r>
          </w:p>
        </w:tc>
        <w:tc>
          <w:tcPr>
            <w:tcW w:w="637" w:type="dxa"/>
            <w:vMerge w:val="continue"/>
            <w:tcBorders>
              <w:top w:val="nil"/>
            </w:tcBorders>
          </w:tcPr>
          <w:p>
            <w:pPr>
              <w:rPr>
                <w:sz w:val="2"/>
                <w:szCs w:val="2"/>
              </w:rPr>
            </w:pPr>
          </w:p>
        </w:tc>
        <w:tc>
          <w:tcPr>
            <w:tcW w:w="521" w:type="dxa"/>
          </w:tcPr>
          <w:p>
            <w:pPr>
              <w:pStyle w:val="14"/>
              <w:spacing w:before="4"/>
              <w:jc w:val="left"/>
              <w:rPr>
                <w:b/>
                <w:sz w:val="12"/>
              </w:rPr>
            </w:pPr>
          </w:p>
          <w:p>
            <w:pPr>
              <w:pStyle w:val="14"/>
              <w:ind w:left="129"/>
              <w:jc w:val="left"/>
              <w:rPr>
                <w:sz w:val="13"/>
              </w:rPr>
            </w:pPr>
            <w:r>
              <w:rPr>
                <w:sz w:val="13"/>
              </w:rPr>
              <w:t>国有</w:t>
            </w:r>
          </w:p>
        </w:tc>
        <w:tc>
          <w:tcPr>
            <w:tcW w:w="579" w:type="dxa"/>
          </w:tcPr>
          <w:p>
            <w:pPr>
              <w:pStyle w:val="14"/>
              <w:spacing w:before="4"/>
              <w:jc w:val="left"/>
              <w:rPr>
                <w:b/>
                <w:sz w:val="12"/>
              </w:rPr>
            </w:pPr>
          </w:p>
          <w:p>
            <w:pPr>
              <w:pStyle w:val="14"/>
              <w:ind w:left="157"/>
              <w:jc w:val="left"/>
              <w:rPr>
                <w:sz w:val="13"/>
              </w:rPr>
            </w:pPr>
            <w:r>
              <w:rPr>
                <w:sz w:val="13"/>
              </w:rPr>
              <w:t>集体</w:t>
            </w:r>
          </w:p>
        </w:tc>
        <w:tc>
          <w:tcPr>
            <w:tcW w:w="76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41" w:type="dxa"/>
          </w:tcPr>
          <w:p>
            <w:pPr>
              <w:pStyle w:val="14"/>
              <w:spacing w:before="84"/>
              <w:ind w:left="133" w:right="126"/>
              <w:rPr>
                <w:rFonts w:ascii="Calibri"/>
                <w:sz w:val="13"/>
              </w:rPr>
            </w:pPr>
            <w:r>
              <w:rPr>
                <w:rFonts w:ascii="Calibri"/>
                <w:sz w:val="13"/>
              </w:rPr>
              <w:t>01</w:t>
            </w:r>
          </w:p>
        </w:tc>
        <w:tc>
          <w:tcPr>
            <w:tcW w:w="992" w:type="dxa"/>
          </w:tcPr>
          <w:p>
            <w:pPr>
              <w:pStyle w:val="14"/>
              <w:spacing w:before="78"/>
              <w:ind w:left="55" w:right="46"/>
              <w:rPr>
                <w:sz w:val="13"/>
              </w:rPr>
            </w:pPr>
            <w:r>
              <w:rPr>
                <w:sz w:val="13"/>
              </w:rPr>
              <w:t>耕地</w:t>
            </w:r>
          </w:p>
        </w:tc>
        <w:tc>
          <w:tcPr>
            <w:tcW w:w="425" w:type="dxa"/>
          </w:tcPr>
          <w:p>
            <w:pPr>
              <w:pStyle w:val="14"/>
              <w:spacing w:before="84"/>
              <w:ind w:left="94" w:right="83"/>
              <w:rPr>
                <w:rFonts w:ascii="Calibri"/>
                <w:sz w:val="13"/>
              </w:rPr>
            </w:pPr>
            <w:r>
              <w:rPr>
                <w:rFonts w:ascii="Calibri"/>
                <w:sz w:val="13"/>
              </w:rPr>
              <w:t>013</w:t>
            </w:r>
          </w:p>
        </w:tc>
        <w:tc>
          <w:tcPr>
            <w:tcW w:w="567" w:type="dxa"/>
          </w:tcPr>
          <w:p>
            <w:pPr>
              <w:pStyle w:val="14"/>
              <w:spacing w:before="78"/>
              <w:ind w:left="50" w:right="41"/>
              <w:rPr>
                <w:sz w:val="13"/>
              </w:rPr>
            </w:pPr>
            <w:r>
              <w:rPr>
                <w:sz w:val="13"/>
              </w:rPr>
              <w:t>旱地</w:t>
            </w:r>
          </w:p>
        </w:tc>
        <w:tc>
          <w:tcPr>
            <w:tcW w:w="579" w:type="dxa"/>
          </w:tcPr>
          <w:p>
            <w:pPr>
              <w:pStyle w:val="14"/>
              <w:spacing w:before="84"/>
              <w:ind w:left="86" w:right="75"/>
              <w:rPr>
                <w:rFonts w:ascii="Calibri"/>
                <w:sz w:val="13"/>
              </w:rPr>
            </w:pPr>
            <w:r>
              <w:rPr>
                <w:rFonts w:ascii="Calibri"/>
                <w:sz w:val="13"/>
              </w:rPr>
              <w:t>0.2365</w:t>
            </w:r>
          </w:p>
        </w:tc>
        <w:tc>
          <w:tcPr>
            <w:tcW w:w="579" w:type="dxa"/>
          </w:tcPr>
          <w:p>
            <w:pPr>
              <w:pStyle w:val="14"/>
              <w:spacing w:before="84"/>
              <w:ind w:left="88" w:right="73"/>
              <w:rPr>
                <w:rFonts w:ascii="Calibri"/>
                <w:sz w:val="13"/>
              </w:rPr>
            </w:pPr>
            <w:r>
              <w:rPr>
                <w:rFonts w:ascii="Calibri"/>
                <w:sz w:val="13"/>
              </w:rPr>
              <w:t>0.2365</w:t>
            </w:r>
          </w:p>
        </w:tc>
        <w:tc>
          <w:tcPr>
            <w:tcW w:w="579" w:type="dxa"/>
          </w:tcPr>
          <w:p>
            <w:pPr>
              <w:pStyle w:val="14"/>
              <w:jc w:val="left"/>
              <w:rPr>
                <w:rFonts w:ascii="Times New Roman"/>
                <w:sz w:val="14"/>
              </w:rPr>
            </w:pPr>
          </w:p>
        </w:tc>
        <w:tc>
          <w:tcPr>
            <w:tcW w:w="531" w:type="dxa"/>
          </w:tcPr>
          <w:p>
            <w:pPr>
              <w:pStyle w:val="14"/>
              <w:spacing w:before="5"/>
              <w:ind w:left="97" w:right="87"/>
              <w:rPr>
                <w:rFonts w:ascii="Calibri"/>
                <w:sz w:val="13"/>
              </w:rPr>
            </w:pPr>
            <w:r>
              <w:rPr>
                <w:rFonts w:ascii="Calibri"/>
                <w:sz w:val="13"/>
              </w:rPr>
              <w:t>55.71</w:t>
            </w:r>
          </w:p>
          <w:p>
            <w:pPr>
              <w:pStyle w:val="14"/>
              <w:spacing w:before="2" w:line="134" w:lineRule="exact"/>
              <w:ind w:left="133" w:right="125"/>
              <w:rPr>
                <w:rFonts w:ascii="Calibri"/>
                <w:sz w:val="13"/>
              </w:rPr>
            </w:pPr>
            <w:r>
              <w:rPr>
                <w:rFonts w:ascii="Calibri"/>
                <w:sz w:val="13"/>
              </w:rPr>
              <w:t>14</w:t>
            </w:r>
          </w:p>
        </w:tc>
        <w:tc>
          <w:tcPr>
            <w:tcW w:w="627" w:type="dxa"/>
          </w:tcPr>
          <w:p>
            <w:pPr>
              <w:pStyle w:val="14"/>
              <w:spacing w:before="5"/>
              <w:ind w:left="112" w:right="101"/>
              <w:rPr>
                <w:rFonts w:ascii="Calibri"/>
                <w:sz w:val="13"/>
              </w:rPr>
            </w:pPr>
            <w:r>
              <w:rPr>
                <w:rFonts w:ascii="Calibri"/>
                <w:sz w:val="13"/>
              </w:rPr>
              <w:t>55.711</w:t>
            </w:r>
          </w:p>
          <w:p>
            <w:pPr>
              <w:pStyle w:val="14"/>
              <w:spacing w:before="2" w:line="134" w:lineRule="exact"/>
              <w:ind w:left="9"/>
              <w:rPr>
                <w:rFonts w:ascii="Calibri"/>
                <w:sz w:val="13"/>
              </w:rPr>
            </w:pPr>
            <w:r>
              <w:rPr>
                <w:rFonts w:ascii="Calibri"/>
                <w:sz w:val="13"/>
              </w:rPr>
              <w:t>4</w:t>
            </w:r>
          </w:p>
        </w:tc>
        <w:tc>
          <w:tcPr>
            <w:tcW w:w="579" w:type="dxa"/>
          </w:tcPr>
          <w:p>
            <w:pPr>
              <w:pStyle w:val="14"/>
              <w:jc w:val="left"/>
              <w:rPr>
                <w:rFonts w:ascii="Times New Roman"/>
                <w:sz w:val="14"/>
              </w:rPr>
            </w:pPr>
          </w:p>
        </w:tc>
        <w:tc>
          <w:tcPr>
            <w:tcW w:w="637" w:type="dxa"/>
          </w:tcPr>
          <w:p>
            <w:pPr>
              <w:pStyle w:val="14"/>
              <w:spacing w:before="5"/>
              <w:ind w:left="118" w:right="105"/>
              <w:rPr>
                <w:rFonts w:ascii="Calibri"/>
                <w:sz w:val="13"/>
              </w:rPr>
            </w:pPr>
            <w:r>
              <w:rPr>
                <w:rFonts w:ascii="Calibri"/>
                <w:sz w:val="13"/>
              </w:rPr>
              <w:t>55.947</w:t>
            </w:r>
          </w:p>
          <w:p>
            <w:pPr>
              <w:pStyle w:val="14"/>
              <w:spacing w:before="2" w:line="134" w:lineRule="exact"/>
              <w:ind w:left="11"/>
              <w:rPr>
                <w:rFonts w:ascii="Calibri"/>
                <w:sz w:val="13"/>
              </w:rPr>
            </w:pPr>
            <w:r>
              <w:rPr>
                <w:rFonts w:ascii="Calibri"/>
                <w:sz w:val="13"/>
              </w:rPr>
              <w:t>9</w:t>
            </w:r>
          </w:p>
        </w:tc>
        <w:tc>
          <w:tcPr>
            <w:tcW w:w="521" w:type="dxa"/>
          </w:tcPr>
          <w:p>
            <w:pPr>
              <w:pStyle w:val="14"/>
              <w:spacing w:before="5"/>
              <w:ind w:left="93" w:right="81"/>
              <w:rPr>
                <w:rFonts w:ascii="Calibri"/>
                <w:sz w:val="13"/>
              </w:rPr>
            </w:pPr>
            <w:r>
              <w:rPr>
                <w:rFonts w:ascii="Calibri"/>
                <w:sz w:val="13"/>
              </w:rPr>
              <w:t>55.94</w:t>
            </w:r>
          </w:p>
          <w:p>
            <w:pPr>
              <w:pStyle w:val="14"/>
              <w:spacing w:before="2" w:line="134" w:lineRule="exact"/>
              <w:ind w:left="88" w:right="81"/>
              <w:rPr>
                <w:rFonts w:ascii="Calibri"/>
                <w:sz w:val="13"/>
              </w:rPr>
            </w:pPr>
            <w:r>
              <w:rPr>
                <w:rFonts w:ascii="Calibri"/>
                <w:sz w:val="13"/>
              </w:rPr>
              <w:t>79</w:t>
            </w:r>
          </w:p>
        </w:tc>
        <w:tc>
          <w:tcPr>
            <w:tcW w:w="579" w:type="dxa"/>
          </w:tcPr>
          <w:p>
            <w:pPr>
              <w:pStyle w:val="14"/>
              <w:jc w:val="left"/>
              <w:rPr>
                <w:rFonts w:ascii="Times New Roman"/>
                <w:sz w:val="14"/>
              </w:rPr>
            </w:pPr>
          </w:p>
        </w:tc>
        <w:tc>
          <w:tcPr>
            <w:tcW w:w="760" w:type="dxa"/>
          </w:tcPr>
          <w:p>
            <w:pPr>
              <w:pStyle w:val="14"/>
              <w:spacing w:before="84"/>
              <w:ind w:left="179" w:right="168"/>
              <w:rPr>
                <w:rFonts w:ascii="Calibri"/>
                <w:sz w:val="13"/>
              </w:rPr>
            </w:pPr>
            <w:r>
              <w:rPr>
                <w:rFonts w:ascii="Calibri"/>
                <w:sz w:val="13"/>
              </w:rPr>
              <w:t>16.91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41" w:type="dxa"/>
          </w:tcPr>
          <w:p>
            <w:pPr>
              <w:pStyle w:val="14"/>
              <w:spacing w:before="86"/>
              <w:ind w:left="133" w:right="126"/>
              <w:rPr>
                <w:rFonts w:ascii="Calibri"/>
                <w:sz w:val="13"/>
              </w:rPr>
            </w:pPr>
            <w:r>
              <w:rPr>
                <w:rFonts w:ascii="Calibri"/>
                <w:sz w:val="13"/>
              </w:rPr>
              <w:t>02</w:t>
            </w:r>
          </w:p>
        </w:tc>
        <w:tc>
          <w:tcPr>
            <w:tcW w:w="992" w:type="dxa"/>
          </w:tcPr>
          <w:p>
            <w:pPr>
              <w:pStyle w:val="14"/>
              <w:spacing w:before="77"/>
              <w:ind w:left="55" w:right="46"/>
              <w:rPr>
                <w:sz w:val="13"/>
              </w:rPr>
            </w:pPr>
            <w:r>
              <w:rPr>
                <w:sz w:val="13"/>
              </w:rPr>
              <w:t>园地</w:t>
            </w:r>
          </w:p>
        </w:tc>
        <w:tc>
          <w:tcPr>
            <w:tcW w:w="425" w:type="dxa"/>
          </w:tcPr>
          <w:p>
            <w:pPr>
              <w:pStyle w:val="14"/>
              <w:spacing w:before="86"/>
              <w:ind w:left="94" w:right="83"/>
              <w:rPr>
                <w:rFonts w:ascii="Calibri"/>
                <w:sz w:val="13"/>
              </w:rPr>
            </w:pPr>
            <w:r>
              <w:rPr>
                <w:rFonts w:ascii="Calibri"/>
                <w:sz w:val="13"/>
              </w:rPr>
              <w:t>023</w:t>
            </w:r>
          </w:p>
        </w:tc>
        <w:tc>
          <w:tcPr>
            <w:tcW w:w="567" w:type="dxa"/>
          </w:tcPr>
          <w:p>
            <w:pPr>
              <w:pStyle w:val="14"/>
              <w:spacing w:line="162" w:lineRule="exact"/>
              <w:ind w:left="153"/>
              <w:jc w:val="left"/>
              <w:rPr>
                <w:sz w:val="13"/>
              </w:rPr>
            </w:pPr>
            <w:r>
              <w:rPr>
                <w:spacing w:val="-1"/>
                <w:sz w:val="13"/>
              </w:rPr>
              <w:t>其他</w:t>
            </w:r>
          </w:p>
          <w:p>
            <w:pPr>
              <w:pStyle w:val="14"/>
              <w:spacing w:line="138" w:lineRule="exact"/>
              <w:ind w:left="153"/>
              <w:jc w:val="left"/>
              <w:rPr>
                <w:sz w:val="13"/>
              </w:rPr>
            </w:pPr>
            <w:r>
              <w:rPr>
                <w:spacing w:val="-1"/>
                <w:sz w:val="13"/>
              </w:rPr>
              <w:t>园地</w:t>
            </w:r>
          </w:p>
        </w:tc>
        <w:tc>
          <w:tcPr>
            <w:tcW w:w="579" w:type="dxa"/>
          </w:tcPr>
          <w:p>
            <w:pPr>
              <w:pStyle w:val="14"/>
              <w:jc w:val="left"/>
              <w:rPr>
                <w:rFonts w:ascii="Times New Roman"/>
                <w:sz w:val="14"/>
              </w:rPr>
            </w:pPr>
          </w:p>
        </w:tc>
        <w:tc>
          <w:tcPr>
            <w:tcW w:w="579" w:type="dxa"/>
          </w:tcPr>
          <w:p>
            <w:pPr>
              <w:pStyle w:val="14"/>
              <w:jc w:val="left"/>
              <w:rPr>
                <w:rFonts w:ascii="Times New Roman"/>
                <w:sz w:val="14"/>
              </w:rPr>
            </w:pPr>
          </w:p>
        </w:tc>
        <w:tc>
          <w:tcPr>
            <w:tcW w:w="579" w:type="dxa"/>
          </w:tcPr>
          <w:p>
            <w:pPr>
              <w:pStyle w:val="14"/>
              <w:jc w:val="left"/>
              <w:rPr>
                <w:rFonts w:ascii="Times New Roman"/>
                <w:sz w:val="14"/>
              </w:rPr>
            </w:pPr>
          </w:p>
        </w:tc>
        <w:tc>
          <w:tcPr>
            <w:tcW w:w="531" w:type="dxa"/>
          </w:tcPr>
          <w:p>
            <w:pPr>
              <w:pStyle w:val="14"/>
              <w:spacing w:before="4"/>
              <w:ind w:left="97" w:right="87"/>
              <w:rPr>
                <w:rFonts w:ascii="Calibri"/>
                <w:sz w:val="13"/>
              </w:rPr>
            </w:pPr>
            <w:r>
              <w:rPr>
                <w:rFonts w:ascii="Calibri"/>
                <w:sz w:val="13"/>
              </w:rPr>
              <w:t>1.114</w:t>
            </w:r>
          </w:p>
          <w:p>
            <w:pPr>
              <w:pStyle w:val="14"/>
              <w:spacing w:before="2" w:line="135" w:lineRule="exact"/>
              <w:ind w:left="10"/>
              <w:rPr>
                <w:rFonts w:ascii="Calibri"/>
                <w:sz w:val="13"/>
              </w:rPr>
            </w:pPr>
            <w:r>
              <w:rPr>
                <w:rFonts w:ascii="Calibri"/>
                <w:sz w:val="13"/>
              </w:rPr>
              <w:t>1</w:t>
            </w:r>
          </w:p>
        </w:tc>
        <w:tc>
          <w:tcPr>
            <w:tcW w:w="627" w:type="dxa"/>
          </w:tcPr>
          <w:p>
            <w:pPr>
              <w:pStyle w:val="14"/>
              <w:spacing w:before="86"/>
              <w:ind w:left="133"/>
              <w:jc w:val="left"/>
              <w:rPr>
                <w:rFonts w:ascii="Calibri"/>
                <w:sz w:val="13"/>
              </w:rPr>
            </w:pPr>
            <w:r>
              <w:rPr>
                <w:rFonts w:ascii="Calibri"/>
                <w:sz w:val="13"/>
              </w:rPr>
              <w:t>1.1141</w:t>
            </w:r>
          </w:p>
        </w:tc>
        <w:tc>
          <w:tcPr>
            <w:tcW w:w="579" w:type="dxa"/>
          </w:tcPr>
          <w:p>
            <w:pPr>
              <w:pStyle w:val="14"/>
              <w:jc w:val="left"/>
              <w:rPr>
                <w:rFonts w:ascii="Times New Roman"/>
                <w:sz w:val="14"/>
              </w:rPr>
            </w:pPr>
          </w:p>
        </w:tc>
        <w:tc>
          <w:tcPr>
            <w:tcW w:w="637" w:type="dxa"/>
          </w:tcPr>
          <w:p>
            <w:pPr>
              <w:pStyle w:val="14"/>
              <w:spacing w:before="86"/>
              <w:ind w:right="124"/>
              <w:jc w:val="right"/>
              <w:rPr>
                <w:rFonts w:ascii="Calibri"/>
                <w:sz w:val="13"/>
              </w:rPr>
            </w:pPr>
            <w:r>
              <w:rPr>
                <w:rFonts w:ascii="Calibri"/>
                <w:sz w:val="13"/>
              </w:rPr>
              <w:t>1.1141</w:t>
            </w:r>
          </w:p>
        </w:tc>
        <w:tc>
          <w:tcPr>
            <w:tcW w:w="521" w:type="dxa"/>
          </w:tcPr>
          <w:p>
            <w:pPr>
              <w:pStyle w:val="14"/>
              <w:spacing w:before="4"/>
              <w:ind w:left="93" w:right="81"/>
              <w:rPr>
                <w:rFonts w:ascii="Calibri"/>
                <w:sz w:val="13"/>
              </w:rPr>
            </w:pPr>
            <w:r>
              <w:rPr>
                <w:rFonts w:ascii="Calibri"/>
                <w:sz w:val="13"/>
              </w:rPr>
              <w:t>1.114</w:t>
            </w:r>
          </w:p>
          <w:p>
            <w:pPr>
              <w:pStyle w:val="14"/>
              <w:spacing w:before="2" w:line="135" w:lineRule="exact"/>
              <w:ind w:left="10"/>
              <w:rPr>
                <w:rFonts w:ascii="Calibri"/>
                <w:sz w:val="13"/>
              </w:rPr>
            </w:pPr>
            <w:r>
              <w:rPr>
                <w:rFonts w:ascii="Calibri"/>
                <w:sz w:val="13"/>
              </w:rPr>
              <w:t>1</w:t>
            </w:r>
          </w:p>
        </w:tc>
        <w:tc>
          <w:tcPr>
            <w:tcW w:w="579" w:type="dxa"/>
          </w:tcPr>
          <w:p>
            <w:pPr>
              <w:pStyle w:val="14"/>
              <w:jc w:val="left"/>
              <w:rPr>
                <w:rFonts w:ascii="Times New Roman"/>
                <w:sz w:val="14"/>
              </w:rPr>
            </w:pPr>
          </w:p>
        </w:tc>
        <w:tc>
          <w:tcPr>
            <w:tcW w:w="760" w:type="dxa"/>
          </w:tcPr>
          <w:p>
            <w:pPr>
              <w:pStyle w:val="14"/>
              <w:spacing w:before="86"/>
              <w:ind w:left="177" w:right="168"/>
              <w:rPr>
                <w:rFonts w:ascii="Calibri"/>
                <w:sz w:val="13"/>
              </w:rPr>
            </w:pPr>
            <w:r>
              <w:rPr>
                <w:rFonts w:ascii="Calibri"/>
                <w:sz w:val="13"/>
              </w:rPr>
              <w:t>0.34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41" w:type="dxa"/>
          </w:tcPr>
          <w:p>
            <w:pPr>
              <w:pStyle w:val="14"/>
              <w:spacing w:before="84"/>
              <w:ind w:left="133" w:right="126"/>
              <w:rPr>
                <w:rFonts w:ascii="Calibri"/>
                <w:sz w:val="13"/>
              </w:rPr>
            </w:pPr>
            <w:r>
              <w:rPr>
                <w:rFonts w:ascii="Calibri"/>
                <w:sz w:val="13"/>
              </w:rPr>
              <w:t>03</w:t>
            </w:r>
          </w:p>
        </w:tc>
        <w:tc>
          <w:tcPr>
            <w:tcW w:w="992" w:type="dxa"/>
          </w:tcPr>
          <w:p>
            <w:pPr>
              <w:pStyle w:val="14"/>
              <w:spacing w:before="78"/>
              <w:ind w:left="55" w:right="46"/>
              <w:rPr>
                <w:sz w:val="13"/>
              </w:rPr>
            </w:pPr>
            <w:r>
              <w:rPr>
                <w:sz w:val="13"/>
              </w:rPr>
              <w:t>林地</w:t>
            </w:r>
          </w:p>
        </w:tc>
        <w:tc>
          <w:tcPr>
            <w:tcW w:w="425" w:type="dxa"/>
          </w:tcPr>
          <w:p>
            <w:pPr>
              <w:pStyle w:val="14"/>
              <w:spacing w:before="84"/>
              <w:ind w:left="94" w:right="83"/>
              <w:rPr>
                <w:rFonts w:ascii="Calibri"/>
                <w:sz w:val="13"/>
              </w:rPr>
            </w:pPr>
            <w:r>
              <w:rPr>
                <w:rFonts w:ascii="Calibri"/>
                <w:sz w:val="13"/>
              </w:rPr>
              <w:t>031</w:t>
            </w:r>
          </w:p>
        </w:tc>
        <w:tc>
          <w:tcPr>
            <w:tcW w:w="567" w:type="dxa"/>
          </w:tcPr>
          <w:p>
            <w:pPr>
              <w:pStyle w:val="14"/>
              <w:spacing w:before="3" w:line="158" w:lineRule="exact"/>
              <w:ind w:left="218" w:right="141" w:hanging="65"/>
              <w:jc w:val="left"/>
              <w:rPr>
                <w:sz w:val="13"/>
              </w:rPr>
            </w:pPr>
            <w:r>
              <w:rPr>
                <w:sz w:val="13"/>
              </w:rPr>
              <w:t>有林地</w:t>
            </w:r>
          </w:p>
        </w:tc>
        <w:tc>
          <w:tcPr>
            <w:tcW w:w="579" w:type="dxa"/>
          </w:tcPr>
          <w:p>
            <w:pPr>
              <w:pStyle w:val="14"/>
              <w:spacing w:before="5"/>
              <w:ind w:left="86" w:right="75"/>
              <w:rPr>
                <w:rFonts w:ascii="Calibri"/>
                <w:sz w:val="13"/>
              </w:rPr>
            </w:pPr>
            <w:r>
              <w:rPr>
                <w:rFonts w:ascii="Calibri"/>
                <w:sz w:val="13"/>
              </w:rPr>
              <w:t>48.584</w:t>
            </w:r>
          </w:p>
          <w:p>
            <w:pPr>
              <w:pStyle w:val="14"/>
              <w:spacing w:before="2" w:line="134" w:lineRule="exact"/>
              <w:ind w:left="9"/>
              <w:rPr>
                <w:rFonts w:ascii="Calibri"/>
                <w:sz w:val="13"/>
              </w:rPr>
            </w:pPr>
            <w:r>
              <w:rPr>
                <w:rFonts w:ascii="Calibri"/>
                <w:sz w:val="13"/>
              </w:rPr>
              <w:t>3</w:t>
            </w:r>
          </w:p>
        </w:tc>
        <w:tc>
          <w:tcPr>
            <w:tcW w:w="579" w:type="dxa"/>
          </w:tcPr>
          <w:p>
            <w:pPr>
              <w:pStyle w:val="14"/>
              <w:spacing w:before="5"/>
              <w:ind w:left="88" w:right="73"/>
              <w:rPr>
                <w:rFonts w:ascii="Calibri"/>
                <w:sz w:val="13"/>
              </w:rPr>
            </w:pPr>
            <w:r>
              <w:rPr>
                <w:rFonts w:ascii="Calibri"/>
                <w:sz w:val="13"/>
              </w:rPr>
              <w:t>48.584</w:t>
            </w:r>
          </w:p>
          <w:p>
            <w:pPr>
              <w:pStyle w:val="14"/>
              <w:spacing w:before="2" w:line="134" w:lineRule="exact"/>
              <w:ind w:left="8"/>
              <w:rPr>
                <w:rFonts w:ascii="Calibri"/>
                <w:sz w:val="13"/>
              </w:rPr>
            </w:pPr>
            <w:r>
              <w:rPr>
                <w:rFonts w:ascii="Calibri"/>
                <w:sz w:val="13"/>
              </w:rPr>
              <w:t>3</w:t>
            </w:r>
          </w:p>
        </w:tc>
        <w:tc>
          <w:tcPr>
            <w:tcW w:w="579" w:type="dxa"/>
          </w:tcPr>
          <w:p>
            <w:pPr>
              <w:pStyle w:val="14"/>
              <w:jc w:val="left"/>
              <w:rPr>
                <w:rFonts w:ascii="Times New Roman"/>
                <w:sz w:val="14"/>
              </w:rPr>
            </w:pPr>
          </w:p>
        </w:tc>
        <w:tc>
          <w:tcPr>
            <w:tcW w:w="531" w:type="dxa"/>
          </w:tcPr>
          <w:p>
            <w:pPr>
              <w:pStyle w:val="14"/>
              <w:spacing w:before="5"/>
              <w:ind w:left="117"/>
              <w:jc w:val="left"/>
              <w:rPr>
                <w:rFonts w:ascii="Calibri"/>
                <w:sz w:val="13"/>
              </w:rPr>
            </w:pPr>
            <w:r>
              <w:rPr>
                <w:rFonts w:ascii="Calibri"/>
                <w:sz w:val="13"/>
              </w:rPr>
              <w:t>178.2</w:t>
            </w:r>
          </w:p>
          <w:p>
            <w:pPr>
              <w:pStyle w:val="14"/>
              <w:spacing w:before="2" w:line="134" w:lineRule="exact"/>
              <w:ind w:left="167"/>
              <w:jc w:val="left"/>
              <w:rPr>
                <w:rFonts w:ascii="Calibri"/>
                <w:sz w:val="13"/>
              </w:rPr>
            </w:pPr>
            <w:r>
              <w:rPr>
                <w:rFonts w:ascii="Calibri"/>
                <w:sz w:val="13"/>
              </w:rPr>
              <w:t>151</w:t>
            </w:r>
          </w:p>
        </w:tc>
        <w:tc>
          <w:tcPr>
            <w:tcW w:w="627" w:type="dxa"/>
          </w:tcPr>
          <w:p>
            <w:pPr>
              <w:pStyle w:val="14"/>
              <w:spacing w:before="5"/>
              <w:ind w:left="112" w:right="101"/>
              <w:rPr>
                <w:rFonts w:ascii="Calibri"/>
                <w:sz w:val="13"/>
              </w:rPr>
            </w:pPr>
            <w:r>
              <w:rPr>
                <w:rFonts w:ascii="Calibri"/>
                <w:sz w:val="13"/>
              </w:rPr>
              <w:t>178.21</w:t>
            </w:r>
          </w:p>
          <w:p>
            <w:pPr>
              <w:pStyle w:val="14"/>
              <w:spacing w:before="2" w:line="134" w:lineRule="exact"/>
              <w:ind w:left="107" w:right="101"/>
              <w:rPr>
                <w:rFonts w:ascii="Calibri"/>
                <w:sz w:val="13"/>
              </w:rPr>
            </w:pPr>
            <w:r>
              <w:rPr>
                <w:rFonts w:ascii="Calibri"/>
                <w:sz w:val="13"/>
              </w:rPr>
              <w:t>51</w:t>
            </w:r>
          </w:p>
        </w:tc>
        <w:tc>
          <w:tcPr>
            <w:tcW w:w="579" w:type="dxa"/>
          </w:tcPr>
          <w:p>
            <w:pPr>
              <w:pStyle w:val="14"/>
              <w:jc w:val="left"/>
              <w:rPr>
                <w:rFonts w:ascii="Times New Roman"/>
                <w:sz w:val="14"/>
              </w:rPr>
            </w:pPr>
          </w:p>
        </w:tc>
        <w:tc>
          <w:tcPr>
            <w:tcW w:w="637" w:type="dxa"/>
          </w:tcPr>
          <w:p>
            <w:pPr>
              <w:pStyle w:val="14"/>
              <w:spacing w:before="5"/>
              <w:ind w:left="118" w:right="105"/>
              <w:rPr>
                <w:rFonts w:ascii="Calibri"/>
                <w:sz w:val="13"/>
              </w:rPr>
            </w:pPr>
            <w:r>
              <w:rPr>
                <w:rFonts w:ascii="Calibri"/>
                <w:sz w:val="13"/>
              </w:rPr>
              <w:t>226.79</w:t>
            </w:r>
          </w:p>
          <w:p>
            <w:pPr>
              <w:pStyle w:val="14"/>
              <w:spacing w:before="2" w:line="134" w:lineRule="exact"/>
              <w:ind w:left="113" w:right="105"/>
              <w:rPr>
                <w:rFonts w:ascii="Calibri"/>
                <w:sz w:val="13"/>
              </w:rPr>
            </w:pPr>
            <w:r>
              <w:rPr>
                <w:rFonts w:ascii="Calibri"/>
                <w:sz w:val="13"/>
              </w:rPr>
              <w:t>94</w:t>
            </w:r>
          </w:p>
        </w:tc>
        <w:tc>
          <w:tcPr>
            <w:tcW w:w="521" w:type="dxa"/>
          </w:tcPr>
          <w:p>
            <w:pPr>
              <w:pStyle w:val="14"/>
              <w:spacing w:before="5"/>
              <w:ind w:left="114"/>
              <w:jc w:val="left"/>
              <w:rPr>
                <w:rFonts w:ascii="Calibri"/>
                <w:sz w:val="13"/>
              </w:rPr>
            </w:pPr>
            <w:r>
              <w:rPr>
                <w:rFonts w:ascii="Calibri"/>
                <w:sz w:val="13"/>
              </w:rPr>
              <w:t>226.7</w:t>
            </w:r>
          </w:p>
          <w:p>
            <w:pPr>
              <w:pStyle w:val="14"/>
              <w:spacing w:before="2" w:line="134" w:lineRule="exact"/>
              <w:ind w:left="162"/>
              <w:jc w:val="left"/>
              <w:rPr>
                <w:rFonts w:ascii="Calibri"/>
                <w:sz w:val="13"/>
              </w:rPr>
            </w:pPr>
            <w:r>
              <w:rPr>
                <w:rFonts w:ascii="Calibri"/>
                <w:sz w:val="13"/>
              </w:rPr>
              <w:t>994</w:t>
            </w:r>
          </w:p>
        </w:tc>
        <w:tc>
          <w:tcPr>
            <w:tcW w:w="579" w:type="dxa"/>
          </w:tcPr>
          <w:p>
            <w:pPr>
              <w:pStyle w:val="14"/>
              <w:jc w:val="left"/>
              <w:rPr>
                <w:rFonts w:ascii="Times New Roman"/>
                <w:sz w:val="14"/>
              </w:rPr>
            </w:pPr>
          </w:p>
        </w:tc>
        <w:tc>
          <w:tcPr>
            <w:tcW w:w="760" w:type="dxa"/>
          </w:tcPr>
          <w:p>
            <w:pPr>
              <w:pStyle w:val="14"/>
              <w:spacing w:before="84"/>
              <w:ind w:left="179" w:right="168"/>
              <w:rPr>
                <w:rFonts w:ascii="Calibri"/>
                <w:sz w:val="13"/>
              </w:rPr>
            </w:pPr>
            <w:r>
              <w:rPr>
                <w:rFonts w:ascii="Calibri"/>
                <w:sz w:val="13"/>
              </w:rPr>
              <w:t>68.54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41" w:type="dxa"/>
          </w:tcPr>
          <w:p>
            <w:pPr>
              <w:pStyle w:val="14"/>
              <w:spacing w:before="86"/>
              <w:ind w:left="133" w:right="126"/>
              <w:rPr>
                <w:rFonts w:ascii="Calibri"/>
                <w:sz w:val="13"/>
              </w:rPr>
            </w:pPr>
            <w:r>
              <w:rPr>
                <w:rFonts w:ascii="Calibri"/>
                <w:sz w:val="13"/>
              </w:rPr>
              <w:t>10</w:t>
            </w:r>
          </w:p>
        </w:tc>
        <w:tc>
          <w:tcPr>
            <w:tcW w:w="992" w:type="dxa"/>
          </w:tcPr>
          <w:p>
            <w:pPr>
              <w:pStyle w:val="14"/>
              <w:spacing w:line="162" w:lineRule="exact"/>
              <w:ind w:left="56" w:right="45"/>
              <w:rPr>
                <w:sz w:val="13"/>
              </w:rPr>
            </w:pPr>
            <w:r>
              <w:rPr>
                <w:sz w:val="13"/>
              </w:rPr>
              <w:t>交通设施用</w:t>
            </w:r>
          </w:p>
          <w:p>
            <w:pPr>
              <w:pStyle w:val="14"/>
              <w:spacing w:line="138" w:lineRule="exact"/>
              <w:ind w:left="9"/>
              <w:rPr>
                <w:sz w:val="13"/>
              </w:rPr>
            </w:pPr>
            <w:r>
              <w:rPr>
                <w:sz w:val="13"/>
              </w:rPr>
              <w:t>地</w:t>
            </w:r>
          </w:p>
        </w:tc>
        <w:tc>
          <w:tcPr>
            <w:tcW w:w="425" w:type="dxa"/>
          </w:tcPr>
          <w:p>
            <w:pPr>
              <w:pStyle w:val="14"/>
              <w:spacing w:before="86"/>
              <w:ind w:left="94" w:right="83"/>
              <w:rPr>
                <w:rFonts w:ascii="Calibri"/>
                <w:sz w:val="13"/>
              </w:rPr>
            </w:pPr>
            <w:r>
              <w:rPr>
                <w:rFonts w:ascii="Calibri"/>
                <w:sz w:val="13"/>
              </w:rPr>
              <w:t>104</w:t>
            </w:r>
          </w:p>
        </w:tc>
        <w:tc>
          <w:tcPr>
            <w:tcW w:w="567" w:type="dxa"/>
          </w:tcPr>
          <w:p>
            <w:pPr>
              <w:pStyle w:val="14"/>
              <w:spacing w:line="162" w:lineRule="exact"/>
              <w:ind w:left="153"/>
              <w:jc w:val="left"/>
              <w:rPr>
                <w:sz w:val="13"/>
              </w:rPr>
            </w:pPr>
            <w:r>
              <w:rPr>
                <w:spacing w:val="-1"/>
                <w:sz w:val="13"/>
              </w:rPr>
              <w:t>农村</w:t>
            </w:r>
          </w:p>
          <w:p>
            <w:pPr>
              <w:pStyle w:val="14"/>
              <w:spacing w:line="138" w:lineRule="exact"/>
              <w:ind w:left="153"/>
              <w:jc w:val="left"/>
              <w:rPr>
                <w:sz w:val="13"/>
              </w:rPr>
            </w:pPr>
            <w:r>
              <w:rPr>
                <w:spacing w:val="-1"/>
                <w:sz w:val="13"/>
              </w:rPr>
              <w:t>道路</w:t>
            </w:r>
          </w:p>
        </w:tc>
        <w:tc>
          <w:tcPr>
            <w:tcW w:w="579" w:type="dxa"/>
          </w:tcPr>
          <w:p>
            <w:pPr>
              <w:pStyle w:val="14"/>
              <w:spacing w:before="86"/>
              <w:ind w:left="86" w:right="75"/>
              <w:rPr>
                <w:rFonts w:ascii="Calibri"/>
                <w:sz w:val="13"/>
              </w:rPr>
            </w:pPr>
            <w:r>
              <w:rPr>
                <w:rFonts w:ascii="Calibri"/>
                <w:sz w:val="13"/>
              </w:rPr>
              <w:t>0.8305</w:t>
            </w:r>
          </w:p>
        </w:tc>
        <w:tc>
          <w:tcPr>
            <w:tcW w:w="579" w:type="dxa"/>
          </w:tcPr>
          <w:p>
            <w:pPr>
              <w:pStyle w:val="14"/>
              <w:spacing w:before="86"/>
              <w:ind w:left="88" w:right="73"/>
              <w:rPr>
                <w:rFonts w:ascii="Calibri"/>
                <w:sz w:val="13"/>
              </w:rPr>
            </w:pPr>
            <w:r>
              <w:rPr>
                <w:rFonts w:ascii="Calibri"/>
                <w:sz w:val="13"/>
              </w:rPr>
              <w:t>0.8305</w:t>
            </w:r>
          </w:p>
        </w:tc>
        <w:tc>
          <w:tcPr>
            <w:tcW w:w="579" w:type="dxa"/>
          </w:tcPr>
          <w:p>
            <w:pPr>
              <w:pStyle w:val="14"/>
              <w:jc w:val="left"/>
              <w:rPr>
                <w:rFonts w:ascii="Times New Roman"/>
                <w:sz w:val="14"/>
              </w:rPr>
            </w:pPr>
          </w:p>
        </w:tc>
        <w:tc>
          <w:tcPr>
            <w:tcW w:w="531" w:type="dxa"/>
          </w:tcPr>
          <w:p>
            <w:pPr>
              <w:pStyle w:val="14"/>
              <w:spacing w:before="4"/>
              <w:ind w:left="97" w:right="87"/>
              <w:rPr>
                <w:rFonts w:ascii="Calibri"/>
                <w:sz w:val="13"/>
              </w:rPr>
            </w:pPr>
            <w:r>
              <w:rPr>
                <w:rFonts w:ascii="Calibri"/>
                <w:sz w:val="13"/>
              </w:rPr>
              <w:t>10.16</w:t>
            </w:r>
          </w:p>
          <w:p>
            <w:pPr>
              <w:pStyle w:val="14"/>
              <w:spacing w:before="2" w:line="135" w:lineRule="exact"/>
              <w:ind w:left="133" w:right="125"/>
              <w:rPr>
                <w:rFonts w:ascii="Calibri"/>
                <w:sz w:val="13"/>
              </w:rPr>
            </w:pPr>
            <w:r>
              <w:rPr>
                <w:rFonts w:ascii="Calibri"/>
                <w:sz w:val="13"/>
              </w:rPr>
              <w:t>94</w:t>
            </w:r>
          </w:p>
        </w:tc>
        <w:tc>
          <w:tcPr>
            <w:tcW w:w="627" w:type="dxa"/>
          </w:tcPr>
          <w:p>
            <w:pPr>
              <w:pStyle w:val="14"/>
              <w:spacing w:before="4"/>
              <w:ind w:left="112" w:right="101"/>
              <w:rPr>
                <w:rFonts w:ascii="Calibri"/>
                <w:sz w:val="13"/>
              </w:rPr>
            </w:pPr>
            <w:r>
              <w:rPr>
                <w:rFonts w:ascii="Calibri"/>
                <w:sz w:val="13"/>
              </w:rPr>
              <w:t>10.169</w:t>
            </w:r>
          </w:p>
          <w:p>
            <w:pPr>
              <w:pStyle w:val="14"/>
              <w:spacing w:before="2" w:line="135" w:lineRule="exact"/>
              <w:ind w:left="9"/>
              <w:rPr>
                <w:rFonts w:ascii="Calibri"/>
                <w:sz w:val="13"/>
              </w:rPr>
            </w:pPr>
            <w:r>
              <w:rPr>
                <w:rFonts w:ascii="Calibri"/>
                <w:sz w:val="13"/>
              </w:rPr>
              <w:t>4</w:t>
            </w:r>
          </w:p>
        </w:tc>
        <w:tc>
          <w:tcPr>
            <w:tcW w:w="579" w:type="dxa"/>
          </w:tcPr>
          <w:p>
            <w:pPr>
              <w:pStyle w:val="14"/>
              <w:jc w:val="left"/>
              <w:rPr>
                <w:rFonts w:ascii="Times New Roman"/>
                <w:sz w:val="14"/>
              </w:rPr>
            </w:pPr>
          </w:p>
        </w:tc>
        <w:tc>
          <w:tcPr>
            <w:tcW w:w="637" w:type="dxa"/>
          </w:tcPr>
          <w:p>
            <w:pPr>
              <w:pStyle w:val="14"/>
              <w:spacing w:before="4"/>
              <w:ind w:left="118" w:right="105"/>
              <w:rPr>
                <w:rFonts w:ascii="Calibri"/>
                <w:sz w:val="13"/>
              </w:rPr>
            </w:pPr>
            <w:r>
              <w:rPr>
                <w:rFonts w:ascii="Calibri"/>
                <w:sz w:val="13"/>
              </w:rPr>
              <w:t>10.999</w:t>
            </w:r>
          </w:p>
          <w:p>
            <w:pPr>
              <w:pStyle w:val="14"/>
              <w:spacing w:before="2" w:line="135" w:lineRule="exact"/>
              <w:ind w:left="11"/>
              <w:rPr>
                <w:rFonts w:ascii="Calibri"/>
                <w:sz w:val="13"/>
              </w:rPr>
            </w:pPr>
            <w:r>
              <w:rPr>
                <w:rFonts w:ascii="Calibri"/>
                <w:sz w:val="13"/>
              </w:rPr>
              <w:t>9</w:t>
            </w:r>
          </w:p>
        </w:tc>
        <w:tc>
          <w:tcPr>
            <w:tcW w:w="521" w:type="dxa"/>
          </w:tcPr>
          <w:p>
            <w:pPr>
              <w:pStyle w:val="14"/>
              <w:spacing w:before="4"/>
              <w:ind w:left="93" w:right="81"/>
              <w:rPr>
                <w:rFonts w:ascii="Calibri"/>
                <w:sz w:val="13"/>
              </w:rPr>
            </w:pPr>
            <w:r>
              <w:rPr>
                <w:rFonts w:ascii="Calibri"/>
                <w:sz w:val="13"/>
              </w:rPr>
              <w:t>10.99</w:t>
            </w:r>
          </w:p>
          <w:p>
            <w:pPr>
              <w:pStyle w:val="14"/>
              <w:spacing w:before="2" w:line="135" w:lineRule="exact"/>
              <w:ind w:left="88" w:right="81"/>
              <w:rPr>
                <w:rFonts w:ascii="Calibri"/>
                <w:sz w:val="13"/>
              </w:rPr>
            </w:pPr>
            <w:r>
              <w:rPr>
                <w:rFonts w:ascii="Calibri"/>
                <w:sz w:val="13"/>
              </w:rPr>
              <w:t>99</w:t>
            </w:r>
          </w:p>
        </w:tc>
        <w:tc>
          <w:tcPr>
            <w:tcW w:w="579" w:type="dxa"/>
          </w:tcPr>
          <w:p>
            <w:pPr>
              <w:pStyle w:val="14"/>
              <w:jc w:val="left"/>
              <w:rPr>
                <w:rFonts w:ascii="Times New Roman"/>
                <w:sz w:val="14"/>
              </w:rPr>
            </w:pPr>
          </w:p>
        </w:tc>
        <w:tc>
          <w:tcPr>
            <w:tcW w:w="760" w:type="dxa"/>
          </w:tcPr>
          <w:p>
            <w:pPr>
              <w:pStyle w:val="14"/>
              <w:spacing w:before="86"/>
              <w:ind w:left="177" w:right="168"/>
              <w:rPr>
                <w:rFonts w:ascii="Calibri"/>
                <w:sz w:val="13"/>
              </w:rPr>
            </w:pPr>
            <w:r>
              <w:rPr>
                <w:rFonts w:ascii="Calibri"/>
                <w:sz w:val="13"/>
              </w:rPr>
              <w:t>3.32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441" w:type="dxa"/>
          </w:tcPr>
          <w:p>
            <w:pPr>
              <w:pStyle w:val="14"/>
              <w:spacing w:before="84"/>
              <w:ind w:left="133" w:right="126"/>
              <w:rPr>
                <w:rFonts w:ascii="Calibri"/>
                <w:sz w:val="13"/>
              </w:rPr>
            </w:pPr>
            <w:r>
              <w:rPr>
                <w:rFonts w:ascii="Calibri"/>
                <w:sz w:val="13"/>
              </w:rPr>
              <w:t>11</w:t>
            </w:r>
          </w:p>
        </w:tc>
        <w:tc>
          <w:tcPr>
            <w:tcW w:w="992" w:type="dxa"/>
          </w:tcPr>
          <w:p>
            <w:pPr>
              <w:pStyle w:val="14"/>
              <w:spacing w:before="3" w:line="158" w:lineRule="exact"/>
              <w:ind w:left="236" w:right="157" w:hanging="65"/>
              <w:jc w:val="left"/>
              <w:rPr>
                <w:sz w:val="13"/>
              </w:rPr>
            </w:pPr>
            <w:r>
              <w:rPr>
                <w:sz w:val="13"/>
              </w:rPr>
              <w:t>水域及水利设施用地</w:t>
            </w:r>
          </w:p>
        </w:tc>
        <w:tc>
          <w:tcPr>
            <w:tcW w:w="425" w:type="dxa"/>
          </w:tcPr>
          <w:p>
            <w:pPr>
              <w:pStyle w:val="14"/>
              <w:spacing w:before="84"/>
              <w:ind w:left="94" w:right="83"/>
              <w:rPr>
                <w:rFonts w:ascii="Calibri"/>
                <w:sz w:val="13"/>
              </w:rPr>
            </w:pPr>
            <w:r>
              <w:rPr>
                <w:rFonts w:ascii="Calibri"/>
                <w:sz w:val="13"/>
              </w:rPr>
              <w:t>111</w:t>
            </w:r>
          </w:p>
        </w:tc>
        <w:tc>
          <w:tcPr>
            <w:tcW w:w="567" w:type="dxa"/>
          </w:tcPr>
          <w:p>
            <w:pPr>
              <w:pStyle w:val="14"/>
              <w:spacing w:before="78"/>
              <w:ind w:left="50" w:right="41"/>
              <w:rPr>
                <w:sz w:val="13"/>
              </w:rPr>
            </w:pPr>
            <w:r>
              <w:rPr>
                <w:sz w:val="13"/>
              </w:rPr>
              <w:t>河流</w:t>
            </w:r>
          </w:p>
        </w:tc>
        <w:tc>
          <w:tcPr>
            <w:tcW w:w="579" w:type="dxa"/>
          </w:tcPr>
          <w:p>
            <w:pPr>
              <w:pStyle w:val="14"/>
              <w:jc w:val="left"/>
              <w:rPr>
                <w:rFonts w:ascii="Times New Roman"/>
                <w:sz w:val="14"/>
              </w:rPr>
            </w:pPr>
          </w:p>
        </w:tc>
        <w:tc>
          <w:tcPr>
            <w:tcW w:w="579" w:type="dxa"/>
          </w:tcPr>
          <w:p>
            <w:pPr>
              <w:pStyle w:val="14"/>
              <w:jc w:val="left"/>
              <w:rPr>
                <w:rFonts w:ascii="Times New Roman"/>
                <w:sz w:val="14"/>
              </w:rPr>
            </w:pPr>
          </w:p>
        </w:tc>
        <w:tc>
          <w:tcPr>
            <w:tcW w:w="579" w:type="dxa"/>
          </w:tcPr>
          <w:p>
            <w:pPr>
              <w:pStyle w:val="14"/>
              <w:jc w:val="left"/>
              <w:rPr>
                <w:rFonts w:ascii="Times New Roman"/>
                <w:sz w:val="14"/>
              </w:rPr>
            </w:pPr>
          </w:p>
        </w:tc>
        <w:tc>
          <w:tcPr>
            <w:tcW w:w="531" w:type="dxa"/>
          </w:tcPr>
          <w:p>
            <w:pPr>
              <w:pStyle w:val="14"/>
              <w:spacing w:before="5"/>
              <w:ind w:left="97" w:right="87"/>
              <w:rPr>
                <w:rFonts w:ascii="Calibri"/>
                <w:sz w:val="13"/>
              </w:rPr>
            </w:pPr>
            <w:r>
              <w:rPr>
                <w:rFonts w:ascii="Calibri"/>
                <w:sz w:val="13"/>
              </w:rPr>
              <w:t>0.642</w:t>
            </w:r>
          </w:p>
          <w:p>
            <w:pPr>
              <w:pStyle w:val="14"/>
              <w:spacing w:before="2" w:line="134" w:lineRule="exact"/>
              <w:ind w:left="10"/>
              <w:rPr>
                <w:rFonts w:ascii="Calibri"/>
                <w:sz w:val="13"/>
              </w:rPr>
            </w:pPr>
            <w:r>
              <w:rPr>
                <w:rFonts w:ascii="Calibri"/>
                <w:sz w:val="13"/>
              </w:rPr>
              <w:t>6</w:t>
            </w:r>
          </w:p>
        </w:tc>
        <w:tc>
          <w:tcPr>
            <w:tcW w:w="627" w:type="dxa"/>
          </w:tcPr>
          <w:p>
            <w:pPr>
              <w:pStyle w:val="14"/>
              <w:spacing w:before="84"/>
              <w:ind w:left="133"/>
              <w:jc w:val="left"/>
              <w:rPr>
                <w:rFonts w:ascii="Calibri"/>
                <w:sz w:val="13"/>
              </w:rPr>
            </w:pPr>
            <w:r>
              <w:rPr>
                <w:rFonts w:ascii="Calibri"/>
                <w:sz w:val="13"/>
              </w:rPr>
              <w:t>0.6426</w:t>
            </w:r>
          </w:p>
        </w:tc>
        <w:tc>
          <w:tcPr>
            <w:tcW w:w="579" w:type="dxa"/>
          </w:tcPr>
          <w:p>
            <w:pPr>
              <w:pStyle w:val="14"/>
              <w:jc w:val="left"/>
              <w:rPr>
                <w:rFonts w:ascii="Times New Roman"/>
                <w:sz w:val="14"/>
              </w:rPr>
            </w:pPr>
          </w:p>
        </w:tc>
        <w:tc>
          <w:tcPr>
            <w:tcW w:w="637" w:type="dxa"/>
          </w:tcPr>
          <w:p>
            <w:pPr>
              <w:pStyle w:val="14"/>
              <w:spacing w:before="84"/>
              <w:ind w:right="124"/>
              <w:jc w:val="right"/>
              <w:rPr>
                <w:rFonts w:ascii="Calibri"/>
                <w:sz w:val="13"/>
              </w:rPr>
            </w:pPr>
            <w:r>
              <w:rPr>
                <w:rFonts w:ascii="Calibri"/>
                <w:sz w:val="13"/>
              </w:rPr>
              <w:t>0.6426</w:t>
            </w:r>
          </w:p>
        </w:tc>
        <w:tc>
          <w:tcPr>
            <w:tcW w:w="521" w:type="dxa"/>
          </w:tcPr>
          <w:p>
            <w:pPr>
              <w:pStyle w:val="14"/>
              <w:spacing w:before="5"/>
              <w:ind w:left="93" w:right="81"/>
              <w:rPr>
                <w:rFonts w:ascii="Calibri"/>
                <w:sz w:val="13"/>
              </w:rPr>
            </w:pPr>
            <w:r>
              <w:rPr>
                <w:rFonts w:ascii="Calibri"/>
                <w:sz w:val="13"/>
              </w:rPr>
              <w:t>0.642</w:t>
            </w:r>
          </w:p>
          <w:p>
            <w:pPr>
              <w:pStyle w:val="14"/>
              <w:spacing w:before="2" w:line="134" w:lineRule="exact"/>
              <w:ind w:left="10"/>
              <w:rPr>
                <w:rFonts w:ascii="Calibri"/>
                <w:sz w:val="13"/>
              </w:rPr>
            </w:pPr>
            <w:r>
              <w:rPr>
                <w:rFonts w:ascii="Calibri"/>
                <w:sz w:val="13"/>
              </w:rPr>
              <w:t>6</w:t>
            </w:r>
          </w:p>
        </w:tc>
        <w:tc>
          <w:tcPr>
            <w:tcW w:w="579" w:type="dxa"/>
          </w:tcPr>
          <w:p>
            <w:pPr>
              <w:pStyle w:val="14"/>
              <w:jc w:val="left"/>
              <w:rPr>
                <w:rFonts w:ascii="Times New Roman"/>
                <w:sz w:val="14"/>
              </w:rPr>
            </w:pPr>
          </w:p>
        </w:tc>
        <w:tc>
          <w:tcPr>
            <w:tcW w:w="760" w:type="dxa"/>
          </w:tcPr>
          <w:p>
            <w:pPr>
              <w:pStyle w:val="14"/>
              <w:spacing w:before="84"/>
              <w:ind w:left="177" w:right="168"/>
              <w:rPr>
                <w:rFonts w:ascii="Calibri"/>
                <w:sz w:val="13"/>
              </w:rPr>
            </w:pPr>
            <w:r>
              <w:rPr>
                <w:rFonts w:ascii="Calibri"/>
                <w:sz w:val="13"/>
              </w:rPr>
              <w:t>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41" w:type="dxa"/>
          </w:tcPr>
          <w:p>
            <w:pPr>
              <w:pStyle w:val="14"/>
              <w:spacing w:before="86"/>
              <w:ind w:left="133" w:right="126"/>
              <w:rPr>
                <w:rFonts w:ascii="Calibri"/>
                <w:sz w:val="13"/>
              </w:rPr>
            </w:pPr>
            <w:r>
              <w:rPr>
                <w:rFonts w:ascii="Calibri"/>
                <w:sz w:val="13"/>
              </w:rPr>
              <w:t>11</w:t>
            </w:r>
          </w:p>
        </w:tc>
        <w:tc>
          <w:tcPr>
            <w:tcW w:w="992" w:type="dxa"/>
          </w:tcPr>
          <w:p>
            <w:pPr>
              <w:pStyle w:val="14"/>
              <w:spacing w:line="162" w:lineRule="exact"/>
              <w:ind w:left="171"/>
              <w:jc w:val="left"/>
              <w:rPr>
                <w:sz w:val="13"/>
              </w:rPr>
            </w:pPr>
            <w:r>
              <w:rPr>
                <w:sz w:val="13"/>
              </w:rPr>
              <w:t>水域及水利</w:t>
            </w:r>
          </w:p>
          <w:p>
            <w:pPr>
              <w:pStyle w:val="14"/>
              <w:spacing w:line="138" w:lineRule="exact"/>
              <w:ind w:left="236"/>
              <w:jc w:val="left"/>
              <w:rPr>
                <w:sz w:val="13"/>
              </w:rPr>
            </w:pPr>
            <w:r>
              <w:rPr>
                <w:sz w:val="13"/>
              </w:rPr>
              <w:t>设施用地</w:t>
            </w:r>
          </w:p>
        </w:tc>
        <w:tc>
          <w:tcPr>
            <w:tcW w:w="425" w:type="dxa"/>
          </w:tcPr>
          <w:p>
            <w:pPr>
              <w:pStyle w:val="14"/>
              <w:spacing w:before="86"/>
              <w:ind w:left="94" w:right="83"/>
              <w:rPr>
                <w:rFonts w:ascii="Calibri"/>
                <w:sz w:val="13"/>
              </w:rPr>
            </w:pPr>
            <w:r>
              <w:rPr>
                <w:rFonts w:ascii="Calibri"/>
                <w:sz w:val="13"/>
              </w:rPr>
              <w:t>114</w:t>
            </w:r>
          </w:p>
        </w:tc>
        <w:tc>
          <w:tcPr>
            <w:tcW w:w="567" w:type="dxa"/>
          </w:tcPr>
          <w:p>
            <w:pPr>
              <w:pStyle w:val="14"/>
              <w:spacing w:line="162" w:lineRule="exact"/>
              <w:ind w:left="153"/>
              <w:jc w:val="left"/>
              <w:rPr>
                <w:sz w:val="13"/>
              </w:rPr>
            </w:pPr>
            <w:r>
              <w:rPr>
                <w:spacing w:val="-1"/>
                <w:sz w:val="13"/>
              </w:rPr>
              <w:t>坑塘</w:t>
            </w:r>
          </w:p>
          <w:p>
            <w:pPr>
              <w:pStyle w:val="14"/>
              <w:spacing w:line="138" w:lineRule="exact"/>
              <w:ind w:left="153"/>
              <w:jc w:val="left"/>
              <w:rPr>
                <w:sz w:val="13"/>
              </w:rPr>
            </w:pPr>
            <w:r>
              <w:rPr>
                <w:spacing w:val="-1"/>
                <w:sz w:val="13"/>
              </w:rPr>
              <w:t>水面</w:t>
            </w:r>
          </w:p>
        </w:tc>
        <w:tc>
          <w:tcPr>
            <w:tcW w:w="579" w:type="dxa"/>
          </w:tcPr>
          <w:p>
            <w:pPr>
              <w:pStyle w:val="14"/>
              <w:jc w:val="left"/>
              <w:rPr>
                <w:rFonts w:ascii="Times New Roman"/>
                <w:sz w:val="14"/>
              </w:rPr>
            </w:pPr>
          </w:p>
        </w:tc>
        <w:tc>
          <w:tcPr>
            <w:tcW w:w="579" w:type="dxa"/>
          </w:tcPr>
          <w:p>
            <w:pPr>
              <w:pStyle w:val="14"/>
              <w:jc w:val="left"/>
              <w:rPr>
                <w:rFonts w:ascii="Times New Roman"/>
                <w:sz w:val="14"/>
              </w:rPr>
            </w:pPr>
          </w:p>
        </w:tc>
        <w:tc>
          <w:tcPr>
            <w:tcW w:w="579" w:type="dxa"/>
          </w:tcPr>
          <w:p>
            <w:pPr>
              <w:pStyle w:val="14"/>
              <w:jc w:val="left"/>
              <w:rPr>
                <w:rFonts w:ascii="Times New Roman"/>
                <w:sz w:val="14"/>
              </w:rPr>
            </w:pPr>
          </w:p>
        </w:tc>
        <w:tc>
          <w:tcPr>
            <w:tcW w:w="531" w:type="dxa"/>
          </w:tcPr>
          <w:p>
            <w:pPr>
              <w:pStyle w:val="14"/>
              <w:spacing w:before="4"/>
              <w:ind w:left="97" w:right="87"/>
              <w:rPr>
                <w:rFonts w:ascii="Calibri"/>
                <w:sz w:val="13"/>
              </w:rPr>
            </w:pPr>
            <w:r>
              <w:rPr>
                <w:rFonts w:ascii="Calibri"/>
                <w:sz w:val="13"/>
              </w:rPr>
              <w:t>7.442</w:t>
            </w:r>
          </w:p>
          <w:p>
            <w:pPr>
              <w:pStyle w:val="14"/>
              <w:spacing w:before="2" w:line="135" w:lineRule="exact"/>
              <w:ind w:left="10"/>
              <w:rPr>
                <w:rFonts w:ascii="Calibri"/>
                <w:sz w:val="13"/>
              </w:rPr>
            </w:pPr>
            <w:r>
              <w:rPr>
                <w:rFonts w:ascii="Calibri"/>
                <w:sz w:val="13"/>
              </w:rPr>
              <w:t>6</w:t>
            </w:r>
          </w:p>
        </w:tc>
        <w:tc>
          <w:tcPr>
            <w:tcW w:w="627" w:type="dxa"/>
          </w:tcPr>
          <w:p>
            <w:pPr>
              <w:pStyle w:val="14"/>
              <w:spacing w:before="86"/>
              <w:ind w:left="133"/>
              <w:jc w:val="left"/>
              <w:rPr>
                <w:rFonts w:ascii="Calibri"/>
                <w:sz w:val="13"/>
              </w:rPr>
            </w:pPr>
            <w:r>
              <w:rPr>
                <w:rFonts w:ascii="Calibri"/>
                <w:sz w:val="13"/>
              </w:rPr>
              <w:t>7.4426</w:t>
            </w:r>
          </w:p>
        </w:tc>
        <w:tc>
          <w:tcPr>
            <w:tcW w:w="579" w:type="dxa"/>
          </w:tcPr>
          <w:p>
            <w:pPr>
              <w:pStyle w:val="14"/>
              <w:jc w:val="left"/>
              <w:rPr>
                <w:rFonts w:ascii="Times New Roman"/>
                <w:sz w:val="14"/>
              </w:rPr>
            </w:pPr>
          </w:p>
        </w:tc>
        <w:tc>
          <w:tcPr>
            <w:tcW w:w="637" w:type="dxa"/>
          </w:tcPr>
          <w:p>
            <w:pPr>
              <w:pStyle w:val="14"/>
              <w:spacing w:before="86"/>
              <w:ind w:right="124"/>
              <w:jc w:val="right"/>
              <w:rPr>
                <w:rFonts w:ascii="Calibri"/>
                <w:sz w:val="13"/>
              </w:rPr>
            </w:pPr>
            <w:r>
              <w:rPr>
                <w:rFonts w:ascii="Calibri"/>
                <w:sz w:val="13"/>
              </w:rPr>
              <w:t>7.4426</w:t>
            </w:r>
          </w:p>
        </w:tc>
        <w:tc>
          <w:tcPr>
            <w:tcW w:w="521" w:type="dxa"/>
          </w:tcPr>
          <w:p>
            <w:pPr>
              <w:pStyle w:val="14"/>
              <w:spacing w:before="4"/>
              <w:ind w:left="93" w:right="81"/>
              <w:rPr>
                <w:rFonts w:ascii="Calibri"/>
                <w:sz w:val="13"/>
              </w:rPr>
            </w:pPr>
            <w:r>
              <w:rPr>
                <w:rFonts w:ascii="Calibri"/>
                <w:sz w:val="13"/>
              </w:rPr>
              <w:t>7.442</w:t>
            </w:r>
          </w:p>
          <w:p>
            <w:pPr>
              <w:pStyle w:val="14"/>
              <w:spacing w:before="2" w:line="135" w:lineRule="exact"/>
              <w:ind w:left="10"/>
              <w:rPr>
                <w:rFonts w:ascii="Calibri"/>
                <w:sz w:val="13"/>
              </w:rPr>
            </w:pPr>
            <w:r>
              <w:rPr>
                <w:rFonts w:ascii="Calibri"/>
                <w:sz w:val="13"/>
              </w:rPr>
              <w:t>6</w:t>
            </w:r>
          </w:p>
        </w:tc>
        <w:tc>
          <w:tcPr>
            <w:tcW w:w="579" w:type="dxa"/>
          </w:tcPr>
          <w:p>
            <w:pPr>
              <w:pStyle w:val="14"/>
              <w:jc w:val="left"/>
              <w:rPr>
                <w:rFonts w:ascii="Times New Roman"/>
                <w:sz w:val="14"/>
              </w:rPr>
            </w:pPr>
          </w:p>
        </w:tc>
        <w:tc>
          <w:tcPr>
            <w:tcW w:w="760" w:type="dxa"/>
          </w:tcPr>
          <w:p>
            <w:pPr>
              <w:pStyle w:val="14"/>
              <w:spacing w:before="86"/>
              <w:ind w:left="177" w:right="168"/>
              <w:rPr>
                <w:rFonts w:ascii="Calibri"/>
                <w:sz w:val="13"/>
              </w:rPr>
            </w:pPr>
            <w:r>
              <w:rPr>
                <w:rFonts w:ascii="Calibri"/>
                <w:sz w:val="13"/>
              </w:rPr>
              <w:t>2.25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41" w:type="dxa"/>
          </w:tcPr>
          <w:p>
            <w:pPr>
              <w:pStyle w:val="14"/>
              <w:spacing w:before="84"/>
              <w:ind w:left="133" w:right="126"/>
              <w:rPr>
                <w:rFonts w:ascii="Calibri"/>
                <w:sz w:val="13"/>
              </w:rPr>
            </w:pPr>
            <w:r>
              <w:rPr>
                <w:rFonts w:ascii="Calibri"/>
                <w:sz w:val="13"/>
              </w:rPr>
              <w:t>12</w:t>
            </w:r>
          </w:p>
        </w:tc>
        <w:tc>
          <w:tcPr>
            <w:tcW w:w="992" w:type="dxa"/>
          </w:tcPr>
          <w:p>
            <w:pPr>
              <w:pStyle w:val="14"/>
              <w:spacing w:before="78"/>
              <w:ind w:left="55" w:right="46"/>
              <w:rPr>
                <w:sz w:val="13"/>
              </w:rPr>
            </w:pPr>
            <w:r>
              <w:rPr>
                <w:sz w:val="13"/>
              </w:rPr>
              <w:t>其他土地</w:t>
            </w:r>
          </w:p>
        </w:tc>
        <w:tc>
          <w:tcPr>
            <w:tcW w:w="425" w:type="dxa"/>
          </w:tcPr>
          <w:p>
            <w:pPr>
              <w:pStyle w:val="14"/>
              <w:spacing w:before="84"/>
              <w:ind w:left="94" w:right="83"/>
              <w:rPr>
                <w:rFonts w:ascii="Calibri"/>
                <w:sz w:val="13"/>
              </w:rPr>
            </w:pPr>
            <w:r>
              <w:rPr>
                <w:rFonts w:ascii="Calibri"/>
                <w:sz w:val="13"/>
              </w:rPr>
              <w:t>127</w:t>
            </w:r>
          </w:p>
        </w:tc>
        <w:tc>
          <w:tcPr>
            <w:tcW w:w="567" w:type="dxa"/>
          </w:tcPr>
          <w:p>
            <w:pPr>
              <w:pStyle w:val="14"/>
              <w:spacing w:before="78"/>
              <w:ind w:left="50" w:right="41"/>
              <w:rPr>
                <w:sz w:val="13"/>
              </w:rPr>
            </w:pPr>
            <w:r>
              <w:rPr>
                <w:sz w:val="13"/>
              </w:rPr>
              <w:t>裸地</w:t>
            </w:r>
          </w:p>
        </w:tc>
        <w:tc>
          <w:tcPr>
            <w:tcW w:w="579" w:type="dxa"/>
          </w:tcPr>
          <w:p>
            <w:pPr>
              <w:pStyle w:val="14"/>
              <w:jc w:val="left"/>
              <w:rPr>
                <w:rFonts w:ascii="Times New Roman"/>
                <w:sz w:val="14"/>
              </w:rPr>
            </w:pPr>
          </w:p>
        </w:tc>
        <w:tc>
          <w:tcPr>
            <w:tcW w:w="579" w:type="dxa"/>
          </w:tcPr>
          <w:p>
            <w:pPr>
              <w:pStyle w:val="14"/>
              <w:jc w:val="left"/>
              <w:rPr>
                <w:rFonts w:ascii="Times New Roman"/>
                <w:sz w:val="14"/>
              </w:rPr>
            </w:pPr>
          </w:p>
        </w:tc>
        <w:tc>
          <w:tcPr>
            <w:tcW w:w="579" w:type="dxa"/>
          </w:tcPr>
          <w:p>
            <w:pPr>
              <w:pStyle w:val="14"/>
              <w:jc w:val="left"/>
              <w:rPr>
                <w:rFonts w:ascii="Times New Roman"/>
                <w:sz w:val="14"/>
              </w:rPr>
            </w:pPr>
          </w:p>
        </w:tc>
        <w:tc>
          <w:tcPr>
            <w:tcW w:w="531" w:type="dxa"/>
          </w:tcPr>
          <w:p>
            <w:pPr>
              <w:pStyle w:val="14"/>
              <w:spacing w:before="5"/>
              <w:ind w:left="97" w:right="87"/>
              <w:rPr>
                <w:rFonts w:ascii="Calibri"/>
                <w:sz w:val="13"/>
              </w:rPr>
            </w:pPr>
            <w:r>
              <w:rPr>
                <w:rFonts w:ascii="Calibri"/>
                <w:sz w:val="13"/>
              </w:rPr>
              <w:t>1.684</w:t>
            </w:r>
          </w:p>
          <w:p>
            <w:pPr>
              <w:pStyle w:val="14"/>
              <w:spacing w:before="2" w:line="134" w:lineRule="exact"/>
              <w:ind w:left="10"/>
              <w:rPr>
                <w:rFonts w:ascii="Calibri"/>
                <w:sz w:val="13"/>
              </w:rPr>
            </w:pPr>
            <w:r>
              <w:rPr>
                <w:rFonts w:ascii="Calibri"/>
                <w:sz w:val="13"/>
              </w:rPr>
              <w:t>1</w:t>
            </w:r>
          </w:p>
        </w:tc>
        <w:tc>
          <w:tcPr>
            <w:tcW w:w="627" w:type="dxa"/>
          </w:tcPr>
          <w:p>
            <w:pPr>
              <w:pStyle w:val="14"/>
              <w:spacing w:before="84"/>
              <w:ind w:left="133"/>
              <w:jc w:val="left"/>
              <w:rPr>
                <w:rFonts w:ascii="Calibri"/>
                <w:sz w:val="13"/>
              </w:rPr>
            </w:pPr>
            <w:r>
              <w:rPr>
                <w:rFonts w:ascii="Calibri"/>
                <w:sz w:val="13"/>
              </w:rPr>
              <w:t>1.6841</w:t>
            </w:r>
          </w:p>
        </w:tc>
        <w:tc>
          <w:tcPr>
            <w:tcW w:w="579" w:type="dxa"/>
          </w:tcPr>
          <w:p>
            <w:pPr>
              <w:pStyle w:val="14"/>
              <w:jc w:val="left"/>
              <w:rPr>
                <w:rFonts w:ascii="Times New Roman"/>
                <w:sz w:val="14"/>
              </w:rPr>
            </w:pPr>
          </w:p>
        </w:tc>
        <w:tc>
          <w:tcPr>
            <w:tcW w:w="637" w:type="dxa"/>
          </w:tcPr>
          <w:p>
            <w:pPr>
              <w:pStyle w:val="14"/>
              <w:spacing w:before="84"/>
              <w:ind w:right="124"/>
              <w:jc w:val="right"/>
              <w:rPr>
                <w:rFonts w:ascii="Calibri"/>
                <w:sz w:val="13"/>
              </w:rPr>
            </w:pPr>
            <w:r>
              <w:rPr>
                <w:rFonts w:ascii="Calibri"/>
                <w:sz w:val="13"/>
              </w:rPr>
              <w:t>1.6841</w:t>
            </w:r>
          </w:p>
        </w:tc>
        <w:tc>
          <w:tcPr>
            <w:tcW w:w="521" w:type="dxa"/>
          </w:tcPr>
          <w:p>
            <w:pPr>
              <w:pStyle w:val="14"/>
              <w:spacing w:before="5"/>
              <w:ind w:left="93" w:right="81"/>
              <w:rPr>
                <w:rFonts w:ascii="Calibri"/>
                <w:sz w:val="13"/>
              </w:rPr>
            </w:pPr>
            <w:r>
              <w:rPr>
                <w:rFonts w:ascii="Calibri"/>
                <w:sz w:val="13"/>
              </w:rPr>
              <w:t>1.684</w:t>
            </w:r>
          </w:p>
          <w:p>
            <w:pPr>
              <w:pStyle w:val="14"/>
              <w:spacing w:before="2" w:line="134" w:lineRule="exact"/>
              <w:ind w:left="10"/>
              <w:rPr>
                <w:rFonts w:ascii="Calibri"/>
                <w:sz w:val="13"/>
              </w:rPr>
            </w:pPr>
            <w:r>
              <w:rPr>
                <w:rFonts w:ascii="Calibri"/>
                <w:sz w:val="13"/>
              </w:rPr>
              <w:t>1</w:t>
            </w:r>
          </w:p>
        </w:tc>
        <w:tc>
          <w:tcPr>
            <w:tcW w:w="579" w:type="dxa"/>
          </w:tcPr>
          <w:p>
            <w:pPr>
              <w:pStyle w:val="14"/>
              <w:jc w:val="left"/>
              <w:rPr>
                <w:rFonts w:ascii="Times New Roman"/>
                <w:sz w:val="14"/>
              </w:rPr>
            </w:pPr>
          </w:p>
        </w:tc>
        <w:tc>
          <w:tcPr>
            <w:tcW w:w="760" w:type="dxa"/>
          </w:tcPr>
          <w:p>
            <w:pPr>
              <w:pStyle w:val="14"/>
              <w:spacing w:before="84"/>
              <w:ind w:left="177" w:right="168"/>
              <w:rPr>
                <w:rFonts w:ascii="Calibri"/>
                <w:sz w:val="13"/>
              </w:rPr>
            </w:pPr>
            <w:r>
              <w:rPr>
                <w:rFonts w:ascii="Calibri"/>
                <w:sz w:val="13"/>
              </w:rPr>
              <w:t>0.51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41" w:type="dxa"/>
          </w:tcPr>
          <w:p>
            <w:pPr>
              <w:pStyle w:val="14"/>
              <w:spacing w:before="86"/>
              <w:ind w:left="133" w:right="126"/>
              <w:rPr>
                <w:rFonts w:ascii="Calibri"/>
                <w:sz w:val="13"/>
              </w:rPr>
            </w:pPr>
            <w:r>
              <w:rPr>
                <w:rFonts w:ascii="Calibri"/>
                <w:sz w:val="13"/>
              </w:rPr>
              <w:t>20</w:t>
            </w:r>
          </w:p>
        </w:tc>
        <w:tc>
          <w:tcPr>
            <w:tcW w:w="992" w:type="dxa"/>
          </w:tcPr>
          <w:p>
            <w:pPr>
              <w:pStyle w:val="14"/>
              <w:spacing w:line="162" w:lineRule="exact"/>
              <w:ind w:left="56" w:right="45"/>
              <w:rPr>
                <w:sz w:val="13"/>
              </w:rPr>
            </w:pPr>
            <w:r>
              <w:rPr>
                <w:sz w:val="13"/>
              </w:rPr>
              <w:t>城镇村及工</w:t>
            </w:r>
          </w:p>
          <w:p>
            <w:pPr>
              <w:pStyle w:val="14"/>
              <w:spacing w:line="138" w:lineRule="exact"/>
              <w:ind w:left="55" w:right="46"/>
              <w:rPr>
                <w:sz w:val="13"/>
              </w:rPr>
            </w:pPr>
            <w:r>
              <w:rPr>
                <w:sz w:val="13"/>
              </w:rPr>
              <w:t>矿用地</w:t>
            </w:r>
          </w:p>
        </w:tc>
        <w:tc>
          <w:tcPr>
            <w:tcW w:w="425" w:type="dxa"/>
          </w:tcPr>
          <w:p>
            <w:pPr>
              <w:pStyle w:val="14"/>
              <w:spacing w:before="86"/>
              <w:ind w:left="94" w:right="83"/>
              <w:rPr>
                <w:rFonts w:ascii="Calibri"/>
                <w:sz w:val="13"/>
              </w:rPr>
            </w:pPr>
            <w:r>
              <w:rPr>
                <w:rFonts w:ascii="Calibri"/>
                <w:sz w:val="13"/>
              </w:rPr>
              <w:t>203</w:t>
            </w:r>
          </w:p>
        </w:tc>
        <w:tc>
          <w:tcPr>
            <w:tcW w:w="567" w:type="dxa"/>
          </w:tcPr>
          <w:p>
            <w:pPr>
              <w:pStyle w:val="14"/>
              <w:spacing w:before="77"/>
              <w:ind w:left="50" w:right="41"/>
              <w:rPr>
                <w:sz w:val="13"/>
              </w:rPr>
            </w:pPr>
            <w:r>
              <w:rPr>
                <w:sz w:val="13"/>
              </w:rPr>
              <w:t>村庄</w:t>
            </w:r>
          </w:p>
        </w:tc>
        <w:tc>
          <w:tcPr>
            <w:tcW w:w="579" w:type="dxa"/>
          </w:tcPr>
          <w:p>
            <w:pPr>
              <w:pStyle w:val="14"/>
              <w:spacing w:before="86"/>
              <w:ind w:left="86" w:right="75"/>
              <w:rPr>
                <w:rFonts w:ascii="Calibri"/>
                <w:sz w:val="13"/>
              </w:rPr>
            </w:pPr>
            <w:r>
              <w:rPr>
                <w:rFonts w:ascii="Calibri"/>
                <w:sz w:val="13"/>
              </w:rPr>
              <w:t>0.5550</w:t>
            </w:r>
          </w:p>
        </w:tc>
        <w:tc>
          <w:tcPr>
            <w:tcW w:w="579" w:type="dxa"/>
          </w:tcPr>
          <w:p>
            <w:pPr>
              <w:pStyle w:val="14"/>
              <w:spacing w:before="86"/>
              <w:ind w:left="88" w:right="73"/>
              <w:rPr>
                <w:rFonts w:ascii="Calibri"/>
                <w:sz w:val="13"/>
              </w:rPr>
            </w:pPr>
            <w:r>
              <w:rPr>
                <w:rFonts w:ascii="Calibri"/>
                <w:sz w:val="13"/>
              </w:rPr>
              <w:t>0.5550</w:t>
            </w:r>
          </w:p>
        </w:tc>
        <w:tc>
          <w:tcPr>
            <w:tcW w:w="579" w:type="dxa"/>
          </w:tcPr>
          <w:p>
            <w:pPr>
              <w:pStyle w:val="14"/>
              <w:jc w:val="left"/>
              <w:rPr>
                <w:rFonts w:ascii="Times New Roman"/>
                <w:sz w:val="14"/>
              </w:rPr>
            </w:pPr>
          </w:p>
        </w:tc>
        <w:tc>
          <w:tcPr>
            <w:tcW w:w="531" w:type="dxa"/>
          </w:tcPr>
          <w:p>
            <w:pPr>
              <w:pStyle w:val="14"/>
              <w:spacing w:before="4"/>
              <w:ind w:left="97" w:right="87"/>
              <w:rPr>
                <w:rFonts w:ascii="Calibri"/>
                <w:sz w:val="13"/>
              </w:rPr>
            </w:pPr>
            <w:r>
              <w:rPr>
                <w:rFonts w:ascii="Calibri"/>
                <w:sz w:val="13"/>
              </w:rPr>
              <w:t>3.569</w:t>
            </w:r>
          </w:p>
          <w:p>
            <w:pPr>
              <w:pStyle w:val="14"/>
              <w:spacing w:before="2" w:line="135" w:lineRule="exact"/>
              <w:ind w:left="10"/>
              <w:rPr>
                <w:rFonts w:ascii="Calibri"/>
                <w:sz w:val="13"/>
              </w:rPr>
            </w:pPr>
            <w:r>
              <w:rPr>
                <w:rFonts w:ascii="Calibri"/>
                <w:sz w:val="13"/>
              </w:rPr>
              <w:t>5</w:t>
            </w:r>
          </w:p>
        </w:tc>
        <w:tc>
          <w:tcPr>
            <w:tcW w:w="627" w:type="dxa"/>
          </w:tcPr>
          <w:p>
            <w:pPr>
              <w:pStyle w:val="14"/>
              <w:spacing w:before="86"/>
              <w:ind w:left="133"/>
              <w:jc w:val="left"/>
              <w:rPr>
                <w:rFonts w:ascii="Calibri"/>
                <w:sz w:val="13"/>
              </w:rPr>
            </w:pPr>
            <w:r>
              <w:rPr>
                <w:rFonts w:ascii="Calibri"/>
                <w:sz w:val="13"/>
              </w:rPr>
              <w:t>3.5695</w:t>
            </w:r>
          </w:p>
        </w:tc>
        <w:tc>
          <w:tcPr>
            <w:tcW w:w="579" w:type="dxa"/>
          </w:tcPr>
          <w:p>
            <w:pPr>
              <w:pStyle w:val="14"/>
              <w:jc w:val="left"/>
              <w:rPr>
                <w:rFonts w:ascii="Times New Roman"/>
                <w:sz w:val="14"/>
              </w:rPr>
            </w:pPr>
          </w:p>
        </w:tc>
        <w:tc>
          <w:tcPr>
            <w:tcW w:w="637" w:type="dxa"/>
          </w:tcPr>
          <w:p>
            <w:pPr>
              <w:pStyle w:val="14"/>
              <w:spacing w:before="86"/>
              <w:ind w:right="124"/>
              <w:jc w:val="right"/>
              <w:rPr>
                <w:rFonts w:ascii="Calibri"/>
                <w:sz w:val="13"/>
              </w:rPr>
            </w:pPr>
            <w:r>
              <w:rPr>
                <w:rFonts w:ascii="Calibri"/>
                <w:sz w:val="13"/>
              </w:rPr>
              <w:t>4.1245</w:t>
            </w:r>
          </w:p>
        </w:tc>
        <w:tc>
          <w:tcPr>
            <w:tcW w:w="521" w:type="dxa"/>
          </w:tcPr>
          <w:p>
            <w:pPr>
              <w:pStyle w:val="14"/>
              <w:spacing w:before="4"/>
              <w:ind w:left="93" w:right="81"/>
              <w:rPr>
                <w:rFonts w:ascii="Calibri"/>
                <w:sz w:val="13"/>
              </w:rPr>
            </w:pPr>
            <w:r>
              <w:rPr>
                <w:rFonts w:ascii="Calibri"/>
                <w:sz w:val="13"/>
              </w:rPr>
              <w:t>4.124</w:t>
            </w:r>
          </w:p>
          <w:p>
            <w:pPr>
              <w:pStyle w:val="14"/>
              <w:spacing w:before="2" w:line="135" w:lineRule="exact"/>
              <w:ind w:left="10"/>
              <w:rPr>
                <w:rFonts w:ascii="Calibri"/>
                <w:sz w:val="13"/>
              </w:rPr>
            </w:pPr>
            <w:r>
              <w:rPr>
                <w:rFonts w:ascii="Calibri"/>
                <w:sz w:val="13"/>
              </w:rPr>
              <w:t>5</w:t>
            </w:r>
          </w:p>
        </w:tc>
        <w:tc>
          <w:tcPr>
            <w:tcW w:w="579" w:type="dxa"/>
          </w:tcPr>
          <w:p>
            <w:pPr>
              <w:pStyle w:val="14"/>
              <w:jc w:val="left"/>
              <w:rPr>
                <w:rFonts w:ascii="Times New Roman"/>
                <w:sz w:val="14"/>
              </w:rPr>
            </w:pPr>
          </w:p>
        </w:tc>
        <w:tc>
          <w:tcPr>
            <w:tcW w:w="760" w:type="dxa"/>
          </w:tcPr>
          <w:p>
            <w:pPr>
              <w:pStyle w:val="14"/>
              <w:spacing w:before="86"/>
              <w:ind w:left="177" w:right="168"/>
              <w:rPr>
                <w:rFonts w:ascii="Calibri"/>
                <w:sz w:val="13"/>
              </w:rPr>
            </w:pPr>
            <w:r>
              <w:rPr>
                <w:rFonts w:ascii="Calibri"/>
                <w:sz w:val="13"/>
              </w:rPr>
              <w:t>1.25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41" w:type="dxa"/>
          </w:tcPr>
          <w:p>
            <w:pPr>
              <w:pStyle w:val="14"/>
              <w:spacing w:before="84"/>
              <w:ind w:left="133" w:right="126"/>
              <w:rPr>
                <w:rFonts w:ascii="Calibri"/>
                <w:sz w:val="13"/>
              </w:rPr>
            </w:pPr>
            <w:r>
              <w:rPr>
                <w:rFonts w:ascii="Calibri"/>
                <w:sz w:val="13"/>
              </w:rPr>
              <w:t>20</w:t>
            </w:r>
          </w:p>
        </w:tc>
        <w:tc>
          <w:tcPr>
            <w:tcW w:w="992" w:type="dxa"/>
          </w:tcPr>
          <w:p>
            <w:pPr>
              <w:pStyle w:val="14"/>
              <w:spacing w:before="2" w:line="158" w:lineRule="exact"/>
              <w:ind w:left="300" w:right="157" w:hanging="130"/>
              <w:jc w:val="left"/>
              <w:rPr>
                <w:sz w:val="13"/>
              </w:rPr>
            </w:pPr>
            <w:r>
              <w:rPr>
                <w:sz w:val="13"/>
              </w:rPr>
              <w:t>城镇村及工矿用地</w:t>
            </w:r>
          </w:p>
        </w:tc>
        <w:tc>
          <w:tcPr>
            <w:tcW w:w="425" w:type="dxa"/>
          </w:tcPr>
          <w:p>
            <w:pPr>
              <w:pStyle w:val="14"/>
              <w:spacing w:before="84"/>
              <w:ind w:left="94" w:right="83"/>
              <w:rPr>
                <w:rFonts w:ascii="Calibri"/>
                <w:sz w:val="13"/>
              </w:rPr>
            </w:pPr>
            <w:r>
              <w:rPr>
                <w:rFonts w:ascii="Calibri"/>
                <w:sz w:val="13"/>
              </w:rPr>
              <w:t>204</w:t>
            </w:r>
          </w:p>
        </w:tc>
        <w:tc>
          <w:tcPr>
            <w:tcW w:w="567" w:type="dxa"/>
          </w:tcPr>
          <w:p>
            <w:pPr>
              <w:pStyle w:val="14"/>
              <w:spacing w:before="2" w:line="158" w:lineRule="exact"/>
              <w:ind w:left="153" w:right="141"/>
              <w:jc w:val="left"/>
              <w:rPr>
                <w:sz w:val="13"/>
              </w:rPr>
            </w:pPr>
            <w:r>
              <w:rPr>
                <w:sz w:val="13"/>
              </w:rPr>
              <w:t>采矿用地</w:t>
            </w:r>
          </w:p>
        </w:tc>
        <w:tc>
          <w:tcPr>
            <w:tcW w:w="579" w:type="dxa"/>
          </w:tcPr>
          <w:p>
            <w:pPr>
              <w:pStyle w:val="14"/>
              <w:jc w:val="left"/>
              <w:rPr>
                <w:rFonts w:ascii="Times New Roman"/>
                <w:sz w:val="14"/>
              </w:rPr>
            </w:pPr>
          </w:p>
        </w:tc>
        <w:tc>
          <w:tcPr>
            <w:tcW w:w="579" w:type="dxa"/>
          </w:tcPr>
          <w:p>
            <w:pPr>
              <w:pStyle w:val="14"/>
              <w:jc w:val="left"/>
              <w:rPr>
                <w:rFonts w:ascii="Times New Roman"/>
                <w:sz w:val="14"/>
              </w:rPr>
            </w:pPr>
          </w:p>
        </w:tc>
        <w:tc>
          <w:tcPr>
            <w:tcW w:w="579" w:type="dxa"/>
          </w:tcPr>
          <w:p>
            <w:pPr>
              <w:pStyle w:val="14"/>
              <w:jc w:val="left"/>
              <w:rPr>
                <w:rFonts w:ascii="Times New Roman"/>
                <w:sz w:val="14"/>
              </w:rPr>
            </w:pPr>
          </w:p>
        </w:tc>
        <w:tc>
          <w:tcPr>
            <w:tcW w:w="531" w:type="dxa"/>
          </w:tcPr>
          <w:p>
            <w:pPr>
              <w:pStyle w:val="14"/>
              <w:spacing w:before="5"/>
              <w:ind w:left="97" w:right="87"/>
              <w:rPr>
                <w:rFonts w:ascii="Calibri"/>
                <w:sz w:val="13"/>
              </w:rPr>
            </w:pPr>
            <w:r>
              <w:rPr>
                <w:rFonts w:ascii="Calibri"/>
                <w:sz w:val="13"/>
              </w:rPr>
              <w:t>22.14</w:t>
            </w:r>
          </w:p>
          <w:p>
            <w:pPr>
              <w:pStyle w:val="14"/>
              <w:spacing w:before="2" w:line="134" w:lineRule="exact"/>
              <w:ind w:left="133" w:right="125"/>
              <w:rPr>
                <w:rFonts w:ascii="Calibri"/>
                <w:sz w:val="13"/>
              </w:rPr>
            </w:pPr>
            <w:r>
              <w:rPr>
                <w:rFonts w:ascii="Calibri"/>
                <w:sz w:val="13"/>
              </w:rPr>
              <w:t>27</w:t>
            </w:r>
          </w:p>
        </w:tc>
        <w:tc>
          <w:tcPr>
            <w:tcW w:w="627" w:type="dxa"/>
          </w:tcPr>
          <w:p>
            <w:pPr>
              <w:pStyle w:val="14"/>
              <w:spacing w:before="5"/>
              <w:ind w:left="112" w:right="101"/>
              <w:rPr>
                <w:rFonts w:ascii="Calibri"/>
                <w:sz w:val="13"/>
              </w:rPr>
            </w:pPr>
            <w:r>
              <w:rPr>
                <w:rFonts w:ascii="Calibri"/>
                <w:sz w:val="13"/>
              </w:rPr>
              <w:t>22.142</w:t>
            </w:r>
          </w:p>
          <w:p>
            <w:pPr>
              <w:pStyle w:val="14"/>
              <w:spacing w:before="2" w:line="134" w:lineRule="exact"/>
              <w:ind w:left="9"/>
              <w:rPr>
                <w:rFonts w:ascii="Calibri"/>
                <w:sz w:val="13"/>
              </w:rPr>
            </w:pPr>
            <w:r>
              <w:rPr>
                <w:rFonts w:ascii="Calibri"/>
                <w:sz w:val="13"/>
              </w:rPr>
              <w:t>7</w:t>
            </w:r>
          </w:p>
        </w:tc>
        <w:tc>
          <w:tcPr>
            <w:tcW w:w="579" w:type="dxa"/>
          </w:tcPr>
          <w:p>
            <w:pPr>
              <w:pStyle w:val="14"/>
              <w:jc w:val="left"/>
              <w:rPr>
                <w:rFonts w:ascii="Times New Roman"/>
                <w:sz w:val="14"/>
              </w:rPr>
            </w:pPr>
          </w:p>
        </w:tc>
        <w:tc>
          <w:tcPr>
            <w:tcW w:w="637" w:type="dxa"/>
          </w:tcPr>
          <w:p>
            <w:pPr>
              <w:pStyle w:val="14"/>
              <w:spacing w:before="5"/>
              <w:ind w:left="118" w:right="105"/>
              <w:rPr>
                <w:rFonts w:ascii="Calibri"/>
                <w:sz w:val="13"/>
              </w:rPr>
            </w:pPr>
            <w:r>
              <w:rPr>
                <w:rFonts w:ascii="Calibri"/>
                <w:sz w:val="13"/>
              </w:rPr>
              <w:t>22.142</w:t>
            </w:r>
          </w:p>
          <w:p>
            <w:pPr>
              <w:pStyle w:val="14"/>
              <w:spacing w:before="2" w:line="134" w:lineRule="exact"/>
              <w:ind w:left="11"/>
              <w:rPr>
                <w:rFonts w:ascii="Calibri"/>
                <w:sz w:val="13"/>
              </w:rPr>
            </w:pPr>
            <w:r>
              <w:rPr>
                <w:rFonts w:ascii="Calibri"/>
                <w:sz w:val="13"/>
              </w:rPr>
              <w:t>7</w:t>
            </w:r>
          </w:p>
        </w:tc>
        <w:tc>
          <w:tcPr>
            <w:tcW w:w="521" w:type="dxa"/>
          </w:tcPr>
          <w:p>
            <w:pPr>
              <w:pStyle w:val="14"/>
              <w:spacing w:before="5"/>
              <w:ind w:left="93" w:right="81"/>
              <w:rPr>
                <w:rFonts w:ascii="Calibri"/>
                <w:sz w:val="13"/>
              </w:rPr>
            </w:pPr>
            <w:r>
              <w:rPr>
                <w:rFonts w:ascii="Calibri"/>
                <w:sz w:val="13"/>
              </w:rPr>
              <w:t>22.14</w:t>
            </w:r>
          </w:p>
          <w:p>
            <w:pPr>
              <w:pStyle w:val="14"/>
              <w:spacing w:before="2" w:line="134" w:lineRule="exact"/>
              <w:ind w:left="88" w:right="81"/>
              <w:rPr>
                <w:rFonts w:ascii="Calibri"/>
                <w:sz w:val="13"/>
              </w:rPr>
            </w:pPr>
            <w:r>
              <w:rPr>
                <w:rFonts w:ascii="Calibri"/>
                <w:sz w:val="13"/>
              </w:rPr>
              <w:t>27</w:t>
            </w:r>
          </w:p>
        </w:tc>
        <w:tc>
          <w:tcPr>
            <w:tcW w:w="579" w:type="dxa"/>
          </w:tcPr>
          <w:p>
            <w:pPr>
              <w:pStyle w:val="14"/>
              <w:jc w:val="left"/>
              <w:rPr>
                <w:rFonts w:ascii="Times New Roman"/>
                <w:sz w:val="14"/>
              </w:rPr>
            </w:pPr>
          </w:p>
        </w:tc>
        <w:tc>
          <w:tcPr>
            <w:tcW w:w="760" w:type="dxa"/>
          </w:tcPr>
          <w:p>
            <w:pPr>
              <w:pStyle w:val="14"/>
              <w:spacing w:before="84"/>
              <w:ind w:left="177" w:right="168"/>
              <w:rPr>
                <w:rFonts w:ascii="Calibri"/>
                <w:sz w:val="13"/>
              </w:rPr>
            </w:pPr>
            <w:r>
              <w:rPr>
                <w:rFonts w:ascii="Calibri"/>
                <w:sz w:val="13"/>
              </w:rPr>
              <w:t>6.69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41" w:type="dxa"/>
          </w:tcPr>
          <w:p>
            <w:pPr>
              <w:pStyle w:val="14"/>
              <w:spacing w:line="162" w:lineRule="exact"/>
              <w:ind w:left="6"/>
              <w:rPr>
                <w:sz w:val="13"/>
              </w:rPr>
            </w:pPr>
            <w:r>
              <w:rPr>
                <w:sz w:val="13"/>
              </w:rPr>
              <w:t>合</w:t>
            </w:r>
          </w:p>
          <w:p>
            <w:pPr>
              <w:pStyle w:val="14"/>
              <w:spacing w:line="138" w:lineRule="exact"/>
              <w:ind w:left="6"/>
              <w:rPr>
                <w:sz w:val="13"/>
              </w:rPr>
            </w:pPr>
            <w:r>
              <w:rPr>
                <w:sz w:val="13"/>
              </w:rPr>
              <w:t>计</w:t>
            </w:r>
          </w:p>
        </w:tc>
        <w:tc>
          <w:tcPr>
            <w:tcW w:w="992" w:type="dxa"/>
          </w:tcPr>
          <w:p>
            <w:pPr>
              <w:pStyle w:val="14"/>
              <w:spacing w:before="86"/>
              <w:ind w:left="10"/>
              <w:rPr>
                <w:rFonts w:ascii="Calibri"/>
                <w:sz w:val="13"/>
              </w:rPr>
            </w:pPr>
            <w:r>
              <w:rPr>
                <w:rFonts w:ascii="Calibri"/>
                <w:sz w:val="13"/>
              </w:rPr>
              <w:t>-</w:t>
            </w:r>
          </w:p>
        </w:tc>
        <w:tc>
          <w:tcPr>
            <w:tcW w:w="425" w:type="dxa"/>
          </w:tcPr>
          <w:p>
            <w:pPr>
              <w:pStyle w:val="14"/>
              <w:spacing w:before="86"/>
              <w:ind w:left="9"/>
              <w:rPr>
                <w:rFonts w:ascii="Calibri"/>
                <w:sz w:val="13"/>
              </w:rPr>
            </w:pPr>
            <w:r>
              <w:rPr>
                <w:rFonts w:ascii="Calibri"/>
                <w:sz w:val="13"/>
              </w:rPr>
              <w:t>-</w:t>
            </w:r>
          </w:p>
        </w:tc>
        <w:tc>
          <w:tcPr>
            <w:tcW w:w="567" w:type="dxa"/>
          </w:tcPr>
          <w:p>
            <w:pPr>
              <w:pStyle w:val="14"/>
              <w:spacing w:before="86"/>
              <w:ind w:left="10"/>
              <w:rPr>
                <w:rFonts w:ascii="Calibri"/>
                <w:sz w:val="13"/>
              </w:rPr>
            </w:pPr>
            <w:r>
              <w:rPr>
                <w:rFonts w:ascii="Calibri"/>
                <w:sz w:val="13"/>
              </w:rPr>
              <w:t>-</w:t>
            </w:r>
          </w:p>
        </w:tc>
        <w:tc>
          <w:tcPr>
            <w:tcW w:w="579" w:type="dxa"/>
          </w:tcPr>
          <w:p>
            <w:pPr>
              <w:pStyle w:val="14"/>
              <w:spacing w:before="4"/>
              <w:ind w:left="86" w:right="75"/>
              <w:rPr>
                <w:rFonts w:ascii="Calibri"/>
                <w:sz w:val="13"/>
              </w:rPr>
            </w:pPr>
            <w:r>
              <w:rPr>
                <w:rFonts w:ascii="Calibri"/>
                <w:sz w:val="13"/>
              </w:rPr>
              <w:t>50.206</w:t>
            </w:r>
          </w:p>
          <w:p>
            <w:pPr>
              <w:pStyle w:val="14"/>
              <w:spacing w:before="2" w:line="135" w:lineRule="exact"/>
              <w:ind w:left="9"/>
              <w:rPr>
                <w:rFonts w:ascii="Calibri"/>
                <w:sz w:val="13"/>
              </w:rPr>
            </w:pPr>
            <w:r>
              <w:rPr>
                <w:rFonts w:ascii="Calibri"/>
                <w:sz w:val="13"/>
              </w:rPr>
              <w:t>3</w:t>
            </w:r>
          </w:p>
        </w:tc>
        <w:tc>
          <w:tcPr>
            <w:tcW w:w="579" w:type="dxa"/>
          </w:tcPr>
          <w:p>
            <w:pPr>
              <w:pStyle w:val="14"/>
              <w:spacing w:before="4"/>
              <w:ind w:left="88" w:right="73"/>
              <w:rPr>
                <w:rFonts w:ascii="Calibri"/>
                <w:sz w:val="13"/>
              </w:rPr>
            </w:pPr>
            <w:r>
              <w:rPr>
                <w:rFonts w:ascii="Calibri"/>
                <w:sz w:val="13"/>
              </w:rPr>
              <w:t>50.206</w:t>
            </w:r>
          </w:p>
          <w:p>
            <w:pPr>
              <w:pStyle w:val="14"/>
              <w:spacing w:before="2" w:line="135" w:lineRule="exact"/>
              <w:ind w:left="8"/>
              <w:rPr>
                <w:rFonts w:ascii="Calibri"/>
                <w:sz w:val="13"/>
              </w:rPr>
            </w:pPr>
            <w:r>
              <w:rPr>
                <w:rFonts w:ascii="Calibri"/>
                <w:sz w:val="13"/>
              </w:rPr>
              <w:t>3</w:t>
            </w:r>
          </w:p>
        </w:tc>
        <w:tc>
          <w:tcPr>
            <w:tcW w:w="579" w:type="dxa"/>
          </w:tcPr>
          <w:p>
            <w:pPr>
              <w:pStyle w:val="14"/>
              <w:jc w:val="left"/>
              <w:rPr>
                <w:rFonts w:ascii="Times New Roman"/>
                <w:sz w:val="14"/>
              </w:rPr>
            </w:pPr>
          </w:p>
        </w:tc>
        <w:tc>
          <w:tcPr>
            <w:tcW w:w="531" w:type="dxa"/>
          </w:tcPr>
          <w:p>
            <w:pPr>
              <w:pStyle w:val="14"/>
              <w:spacing w:before="4"/>
              <w:ind w:left="117"/>
              <w:jc w:val="left"/>
              <w:rPr>
                <w:rFonts w:ascii="Calibri"/>
                <w:sz w:val="13"/>
              </w:rPr>
            </w:pPr>
            <w:r>
              <w:rPr>
                <w:rFonts w:ascii="Calibri"/>
                <w:sz w:val="13"/>
              </w:rPr>
              <w:t>280.6</w:t>
            </w:r>
          </w:p>
          <w:p>
            <w:pPr>
              <w:pStyle w:val="14"/>
              <w:spacing w:before="2" w:line="135" w:lineRule="exact"/>
              <w:ind w:left="167"/>
              <w:jc w:val="left"/>
              <w:rPr>
                <w:rFonts w:ascii="Calibri"/>
                <w:sz w:val="13"/>
              </w:rPr>
            </w:pPr>
            <w:r>
              <w:rPr>
                <w:rFonts w:ascii="Calibri"/>
                <w:sz w:val="13"/>
              </w:rPr>
              <w:t>915</w:t>
            </w:r>
          </w:p>
        </w:tc>
        <w:tc>
          <w:tcPr>
            <w:tcW w:w="627" w:type="dxa"/>
          </w:tcPr>
          <w:p>
            <w:pPr>
              <w:pStyle w:val="14"/>
              <w:spacing w:before="4"/>
              <w:ind w:left="112" w:right="101"/>
              <w:rPr>
                <w:rFonts w:ascii="Calibri"/>
                <w:sz w:val="13"/>
              </w:rPr>
            </w:pPr>
            <w:r>
              <w:rPr>
                <w:rFonts w:ascii="Calibri"/>
                <w:sz w:val="13"/>
              </w:rPr>
              <w:t>280.69</w:t>
            </w:r>
          </w:p>
          <w:p>
            <w:pPr>
              <w:pStyle w:val="14"/>
              <w:spacing w:before="2" w:line="135" w:lineRule="exact"/>
              <w:ind w:left="107" w:right="101"/>
              <w:rPr>
                <w:rFonts w:ascii="Calibri"/>
                <w:sz w:val="13"/>
              </w:rPr>
            </w:pPr>
            <w:r>
              <w:rPr>
                <w:rFonts w:ascii="Calibri"/>
                <w:sz w:val="13"/>
              </w:rPr>
              <w:t>15</w:t>
            </w:r>
          </w:p>
        </w:tc>
        <w:tc>
          <w:tcPr>
            <w:tcW w:w="579" w:type="dxa"/>
          </w:tcPr>
          <w:p>
            <w:pPr>
              <w:pStyle w:val="14"/>
              <w:jc w:val="left"/>
              <w:rPr>
                <w:rFonts w:ascii="Times New Roman"/>
                <w:sz w:val="14"/>
              </w:rPr>
            </w:pPr>
          </w:p>
        </w:tc>
        <w:tc>
          <w:tcPr>
            <w:tcW w:w="637" w:type="dxa"/>
          </w:tcPr>
          <w:p>
            <w:pPr>
              <w:pStyle w:val="14"/>
              <w:spacing w:before="4"/>
              <w:ind w:left="118" w:right="105"/>
              <w:rPr>
                <w:rFonts w:ascii="Calibri"/>
                <w:sz w:val="13"/>
              </w:rPr>
            </w:pPr>
            <w:r>
              <w:rPr>
                <w:rFonts w:ascii="Calibri"/>
                <w:sz w:val="13"/>
              </w:rPr>
              <w:t>330.89</w:t>
            </w:r>
          </w:p>
          <w:p>
            <w:pPr>
              <w:pStyle w:val="14"/>
              <w:spacing w:before="2" w:line="135" w:lineRule="exact"/>
              <w:ind w:left="113" w:right="105"/>
              <w:rPr>
                <w:rFonts w:ascii="Calibri"/>
                <w:sz w:val="13"/>
              </w:rPr>
            </w:pPr>
            <w:r>
              <w:rPr>
                <w:rFonts w:ascii="Calibri"/>
                <w:sz w:val="13"/>
              </w:rPr>
              <w:t>78</w:t>
            </w:r>
          </w:p>
        </w:tc>
        <w:tc>
          <w:tcPr>
            <w:tcW w:w="521" w:type="dxa"/>
          </w:tcPr>
          <w:p>
            <w:pPr>
              <w:pStyle w:val="14"/>
              <w:spacing w:before="4"/>
              <w:ind w:left="114"/>
              <w:jc w:val="left"/>
              <w:rPr>
                <w:rFonts w:ascii="Calibri"/>
                <w:sz w:val="13"/>
              </w:rPr>
            </w:pPr>
            <w:r>
              <w:rPr>
                <w:rFonts w:ascii="Calibri"/>
                <w:sz w:val="13"/>
              </w:rPr>
              <w:t>330.8</w:t>
            </w:r>
          </w:p>
          <w:p>
            <w:pPr>
              <w:pStyle w:val="14"/>
              <w:spacing w:before="2" w:line="135" w:lineRule="exact"/>
              <w:ind w:left="162"/>
              <w:jc w:val="left"/>
              <w:rPr>
                <w:rFonts w:ascii="Calibri"/>
                <w:sz w:val="13"/>
              </w:rPr>
            </w:pPr>
            <w:r>
              <w:rPr>
                <w:rFonts w:ascii="Calibri"/>
                <w:sz w:val="13"/>
              </w:rPr>
              <w:t>978</w:t>
            </w:r>
          </w:p>
        </w:tc>
        <w:tc>
          <w:tcPr>
            <w:tcW w:w="579" w:type="dxa"/>
          </w:tcPr>
          <w:p>
            <w:pPr>
              <w:pStyle w:val="14"/>
              <w:jc w:val="left"/>
              <w:rPr>
                <w:rFonts w:ascii="Times New Roman"/>
                <w:sz w:val="14"/>
              </w:rPr>
            </w:pPr>
          </w:p>
        </w:tc>
        <w:tc>
          <w:tcPr>
            <w:tcW w:w="760" w:type="dxa"/>
          </w:tcPr>
          <w:p>
            <w:pPr>
              <w:pStyle w:val="14"/>
              <w:spacing w:before="86"/>
              <w:ind w:left="179" w:right="168"/>
              <w:rPr>
                <w:rFonts w:ascii="Calibri"/>
                <w:sz w:val="13"/>
              </w:rPr>
            </w:pPr>
            <w:r>
              <w:rPr>
                <w:rFonts w:ascii="Calibri"/>
                <w:sz w:val="13"/>
              </w:rPr>
              <w:t>100.00</w:t>
            </w:r>
          </w:p>
        </w:tc>
      </w:tr>
    </w:tbl>
    <w:p>
      <w:pPr>
        <w:spacing w:after="0"/>
        <w:rPr>
          <w:rFonts w:ascii="Calibri"/>
          <w:sz w:val="13"/>
        </w:rPr>
        <w:sectPr>
          <w:pgSz w:w="11910" w:h="16840"/>
          <w:pgMar w:top="1440" w:right="1220" w:bottom="1180" w:left="1240" w:header="0" w:footer="997" w:gutter="0"/>
        </w:sect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spacing w:before="10"/>
        <w:rPr>
          <w:b/>
          <w:sz w:val="16"/>
        </w:rPr>
      </w:pPr>
    </w:p>
    <w:p>
      <w:pPr>
        <w:pStyle w:val="6"/>
        <w:ind w:left="103" w:right="-72"/>
        <w:rPr>
          <w:sz w:val="20"/>
        </w:rPr>
      </w:pPr>
      <w:r>
        <w:rPr>
          <w:sz w:val="20"/>
        </w:rPr>
        <w:drawing>
          <wp:inline distT="0" distB="0" distL="0" distR="0">
            <wp:extent cx="7925435" cy="4699635"/>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jpeg"/>
                    <pic:cNvPicPr>
                      <a:picLocks noChangeAspect="1"/>
                    </pic:cNvPicPr>
                  </pic:nvPicPr>
                  <pic:blipFill>
                    <a:blip r:embed="rId53" cstate="print"/>
                    <a:stretch>
                      <a:fillRect/>
                    </a:stretch>
                  </pic:blipFill>
                  <pic:spPr>
                    <a:xfrm>
                      <a:off x="0" y="0"/>
                      <a:ext cx="7926012" cy="4700016"/>
                    </a:xfrm>
                    <a:prstGeom prst="rect">
                      <a:avLst/>
                    </a:prstGeom>
                  </pic:spPr>
                </pic:pic>
              </a:graphicData>
            </a:graphic>
          </wp:inline>
        </w:drawing>
      </w:r>
    </w:p>
    <w:p>
      <w:pPr>
        <w:pStyle w:val="6"/>
        <w:spacing w:before="6"/>
        <w:rPr>
          <w:b/>
          <w:sz w:val="2"/>
        </w:rPr>
      </w:pPr>
    </w:p>
    <w:p>
      <w:pPr>
        <w:pStyle w:val="6"/>
        <w:ind w:left="3652"/>
        <w:rPr>
          <w:sz w:val="20"/>
        </w:rPr>
      </w:pPr>
      <w:r>
        <w:rPr>
          <w:sz w:val="20"/>
        </w:rPr>
        <mc:AlternateContent>
          <mc:Choice Requires="wpg">
            <w:drawing>
              <wp:inline distT="0" distB="0" distL="114300" distR="114300">
                <wp:extent cx="3232785" cy="274320"/>
                <wp:effectExtent l="0" t="0" r="5715" b="11430"/>
                <wp:docPr id="143" name="组合 87"/>
                <wp:cNvGraphicFramePr/>
                <a:graphic xmlns:a="http://schemas.openxmlformats.org/drawingml/2006/main">
                  <a:graphicData uri="http://schemas.microsoft.com/office/word/2010/wordprocessingGroup">
                    <wpg:wgp>
                      <wpg:cNvGrpSpPr/>
                      <wpg:grpSpPr>
                        <a:xfrm>
                          <a:off x="0" y="0"/>
                          <a:ext cx="3232785" cy="274320"/>
                          <a:chOff x="0" y="0"/>
                          <a:chExt cx="5091" cy="432"/>
                        </a:xfrm>
                      </wpg:grpSpPr>
                      <pic:pic xmlns:pic="http://schemas.openxmlformats.org/drawingml/2006/picture">
                        <pic:nvPicPr>
                          <pic:cNvPr id="141" name="图片 88"/>
                          <pic:cNvPicPr>
                            <a:picLocks noChangeAspect="1"/>
                          </pic:cNvPicPr>
                        </pic:nvPicPr>
                        <pic:blipFill>
                          <a:blip r:embed="rId54"/>
                          <a:stretch>
                            <a:fillRect/>
                          </a:stretch>
                        </pic:blipFill>
                        <pic:spPr>
                          <a:xfrm>
                            <a:off x="0" y="0"/>
                            <a:ext cx="5091" cy="432"/>
                          </a:xfrm>
                          <a:prstGeom prst="rect">
                            <a:avLst/>
                          </a:prstGeom>
                          <a:noFill/>
                          <a:ln>
                            <a:noFill/>
                          </a:ln>
                        </pic:spPr>
                      </pic:pic>
                      <wps:wsp>
                        <wps:cNvPr id="142" name="文本框 89"/>
                        <wps:cNvSpPr txBox="1"/>
                        <wps:spPr>
                          <a:xfrm>
                            <a:off x="0" y="0"/>
                            <a:ext cx="5091" cy="432"/>
                          </a:xfrm>
                          <a:prstGeom prst="rect">
                            <a:avLst/>
                          </a:prstGeom>
                          <a:noFill/>
                          <a:ln>
                            <a:noFill/>
                          </a:ln>
                        </wps:spPr>
                        <wps:txbx>
                          <w:txbxContent>
                            <w:p>
                              <w:pPr>
                                <w:spacing w:before="75"/>
                                <w:ind w:left="674" w:right="0" w:firstLine="0"/>
                                <w:jc w:val="left"/>
                                <w:rPr>
                                  <w:b/>
                                  <w:sz w:val="24"/>
                                </w:rPr>
                              </w:pPr>
                              <w:r>
                                <w:rPr>
                                  <w:b/>
                                  <w:sz w:val="24"/>
                                </w:rPr>
                                <w:t xml:space="preserve">图 </w:t>
                              </w:r>
                              <w:r>
                                <w:rPr>
                                  <w:rFonts w:ascii="Times New Roman" w:eastAsia="Times New Roman"/>
                                  <w:b/>
                                  <w:sz w:val="24"/>
                                </w:rPr>
                                <w:t xml:space="preserve">5.1-3 </w:t>
                              </w:r>
                              <w:r>
                                <w:rPr>
                                  <w:b/>
                                  <w:sz w:val="24"/>
                                </w:rPr>
                                <w:t>项目区土地利用现状示意图</w:t>
                              </w:r>
                            </w:p>
                          </w:txbxContent>
                        </wps:txbx>
                        <wps:bodyPr lIns="0" tIns="0" rIns="0" bIns="0" upright="1"/>
                      </wps:wsp>
                    </wpg:wgp>
                  </a:graphicData>
                </a:graphic>
              </wp:inline>
            </w:drawing>
          </mc:Choice>
          <mc:Fallback>
            <w:pict>
              <v:group id="组合 87" o:spid="_x0000_s1026" o:spt="203" style="height:21.6pt;width:254.55pt;" coordsize="5091,432" o:gfxdata="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">
                <o:lock v:ext="edit" aspectratio="f"/>
                <v:shape id="图片 88" o:spid="_x0000_s1026" o:spt="75" alt="" type="#_x0000_t75" style="position:absolute;left:0;top:0;height:432;width:5091;" filled="f" o:preferrelative="t" stroked="f" coordsize="21600,21600" o:gfxdata="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2ra8AAAA&#10;3AAAAA8AAAAAAAAAAQAgAAAAIgAAAGRycy9kb3ducmV2LnhtbFBLAQIUABQAAAAIAIdO4kAzLwWe&#10;OwAAADkAAAAQAAAAAAAAAAEAIAAAAAsBAABkcnMvc2hhcGV4bWwueG1sUEsFBgAAAAAGAAYAWwEA&#10;ALUDAAAAAA==&#10;">
                  <v:fill on="f" focussize="0,0"/>
                  <v:stroke on="f"/>
                  <v:imagedata r:id="rId54" o:title=""/>
                  <o:lock v:ext="edit" aspectratio="t"/>
                </v:shape>
                <v:shape id="文本框 89" o:spid="_x0000_s1026" o:spt="202" type="#_x0000_t202" style="position:absolute;left:0;top:0;height:432;width:5091;" filled="f" stroked="f" coordsize="21600,21600" o:gfxdata="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dNRO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75"/>
                          <w:ind w:left="674" w:right="0" w:firstLine="0"/>
                          <w:jc w:val="left"/>
                          <w:rPr>
                            <w:b/>
                            <w:sz w:val="24"/>
                          </w:rPr>
                        </w:pPr>
                        <w:r>
                          <w:rPr>
                            <w:b/>
                            <w:sz w:val="24"/>
                          </w:rPr>
                          <w:t xml:space="preserve">图 </w:t>
                        </w:r>
                        <w:r>
                          <w:rPr>
                            <w:rFonts w:ascii="Times New Roman" w:eastAsia="Times New Roman"/>
                            <w:b/>
                            <w:sz w:val="24"/>
                          </w:rPr>
                          <w:t xml:space="preserve">5.1-3 </w:t>
                        </w:r>
                        <w:r>
                          <w:rPr>
                            <w:b/>
                            <w:sz w:val="24"/>
                          </w:rPr>
                          <w:t>项目区土地利用现状示意图</w:t>
                        </w:r>
                      </w:p>
                    </w:txbxContent>
                  </v:textbox>
                </v:shape>
                <w10:wrap type="none"/>
                <w10:anchorlock/>
              </v:group>
            </w:pict>
          </mc:Fallback>
        </mc:AlternateContent>
      </w:r>
    </w:p>
    <w:p>
      <w:pPr>
        <w:pStyle w:val="6"/>
        <w:spacing w:before="2"/>
        <w:rPr>
          <w:b/>
          <w:sz w:val="10"/>
        </w:rPr>
      </w:pPr>
    </w:p>
    <w:p>
      <w:pPr>
        <w:spacing w:before="64"/>
        <w:ind w:left="6208" w:right="6128" w:firstLine="0"/>
        <w:jc w:val="center"/>
        <w:rPr>
          <w:rFonts w:ascii="Calibri"/>
          <w:sz w:val="18"/>
        </w:rPr>
      </w:pPr>
      <w:r>
        <w:rPr>
          <w:rFonts w:ascii="Calibri"/>
          <w:sz w:val="18"/>
        </w:rPr>
        <w:t>77</w:t>
      </w:r>
    </w:p>
    <w:p>
      <w:pPr>
        <w:spacing w:after="0"/>
        <w:jc w:val="center"/>
        <w:rPr>
          <w:rFonts w:ascii="Calibri"/>
          <w:sz w:val="18"/>
        </w:rPr>
        <w:sectPr>
          <w:footerReference r:id="rId13" w:type="default"/>
          <w:pgSz w:w="16840" w:h="11910" w:orient="landscape"/>
          <w:pgMar w:top="1100" w:right="2180" w:bottom="280" w:left="2100" w:header="0" w:footer="0" w:gutter="0"/>
        </w:sectPr>
      </w:pPr>
    </w:p>
    <w:p>
      <w:pPr>
        <w:pStyle w:val="4"/>
        <w:numPr>
          <w:ilvl w:val="2"/>
          <w:numId w:val="38"/>
        </w:numPr>
        <w:tabs>
          <w:tab w:val="left" w:pos="1081"/>
        </w:tabs>
        <w:spacing w:before="44" w:after="0" w:line="240" w:lineRule="auto"/>
        <w:ind w:left="1080" w:right="0" w:hanging="630"/>
        <w:jc w:val="both"/>
      </w:pPr>
      <w:bookmarkStart w:id="154" w:name="5.1.5生态保护目标"/>
      <w:bookmarkEnd w:id="154"/>
      <w:bookmarkStart w:id="155" w:name="5.1.5生态保护目标"/>
      <w:bookmarkEnd w:id="155"/>
      <w:r>
        <w:t>生态保护目标</w:t>
      </w:r>
    </w:p>
    <w:p>
      <w:pPr>
        <w:pStyle w:val="6"/>
        <w:spacing w:before="264" w:line="364" w:lineRule="auto"/>
        <w:ind w:left="451" w:right="453" w:firstLine="480"/>
      </w:pPr>
      <w:r>
        <w:t>根据本矿区的实际情况，确定本项目的生态保护目标为广泛分布于井田范围内的林地。</w:t>
      </w:r>
    </w:p>
    <w:p>
      <w:pPr>
        <w:pStyle w:val="4"/>
        <w:numPr>
          <w:ilvl w:val="2"/>
          <w:numId w:val="38"/>
        </w:numPr>
        <w:tabs>
          <w:tab w:val="left" w:pos="1081"/>
        </w:tabs>
        <w:spacing w:before="0" w:after="0" w:line="282" w:lineRule="exact"/>
        <w:ind w:left="1080" w:right="0" w:hanging="630"/>
        <w:jc w:val="both"/>
      </w:pPr>
      <w:bookmarkStart w:id="156" w:name="5.1.6评价区生态环境现状综合评价"/>
      <w:bookmarkEnd w:id="156"/>
      <w:bookmarkStart w:id="157" w:name="5.1.6评价区生态环境现状综合评价"/>
      <w:bookmarkEnd w:id="157"/>
      <w:r>
        <w:t>评价区生态环境现状综合评价</w:t>
      </w:r>
    </w:p>
    <w:p>
      <w:pPr>
        <w:pStyle w:val="6"/>
        <w:spacing w:before="185" w:line="364" w:lineRule="auto"/>
        <w:ind w:left="451" w:right="449" w:firstLine="480"/>
        <w:jc w:val="both"/>
      </w:pPr>
      <w:r>
        <w:rPr>
          <w:spacing w:val="-5"/>
        </w:rPr>
        <w:t xml:space="preserve">综合上述分析，评价区共有 </w:t>
      </w:r>
      <w:r>
        <w:rPr>
          <w:rFonts w:ascii="Times New Roman" w:eastAsia="Times New Roman"/>
        </w:rPr>
        <w:t xml:space="preserve">3 </w:t>
      </w:r>
      <w:r>
        <w:rPr>
          <w:spacing w:val="-1"/>
        </w:rPr>
        <w:t>种生态系统类型。林地生态系统以广泛分布于</w:t>
      </w:r>
      <w:r>
        <w:rPr>
          <w:spacing w:val="-5"/>
        </w:rPr>
        <w:t xml:space="preserve">评价区，占评价区的 </w:t>
      </w:r>
      <w:r>
        <w:rPr>
          <w:rFonts w:ascii="Times New Roman" w:eastAsia="Times New Roman"/>
        </w:rPr>
        <w:t>68.54%</w:t>
      </w:r>
      <w:r>
        <w:rPr>
          <w:spacing w:val="-3"/>
        </w:rPr>
        <w:t xml:space="preserve">；农田生态系统占评价区总面积的 </w:t>
      </w:r>
      <w:r>
        <w:rPr>
          <w:rFonts w:ascii="Times New Roman" w:eastAsia="Times New Roman"/>
        </w:rPr>
        <w:t>16.91</w:t>
      </w:r>
      <w:r>
        <w:t>％；工矿用</w:t>
      </w:r>
      <w:r>
        <w:rPr>
          <w:spacing w:val="-4"/>
        </w:rPr>
        <w:t xml:space="preserve">地生态系统，占评价区总面积的 </w:t>
      </w:r>
      <w:r>
        <w:rPr>
          <w:rFonts w:ascii="Times New Roman" w:eastAsia="Times New Roman"/>
        </w:rPr>
        <w:t>6.69</w:t>
      </w:r>
      <w:r>
        <w:t>％。</w:t>
      </w:r>
    </w:p>
    <w:p>
      <w:pPr>
        <w:pStyle w:val="6"/>
        <w:spacing w:line="362" w:lineRule="auto"/>
        <w:ind w:left="451" w:right="453" w:firstLine="480"/>
      </w:pPr>
      <w:r>
        <w:rPr>
          <w:spacing w:val="-1"/>
        </w:rPr>
        <w:t>在林地生态系统中，主要为有林地，如果减少区域的人为干扰，评价区域内</w:t>
      </w:r>
      <w:r>
        <w:t>的林地生态系统将会向更稳定、高产的良性方向发展。</w:t>
      </w:r>
    </w:p>
    <w:p>
      <w:pPr>
        <w:pStyle w:val="3"/>
        <w:numPr>
          <w:ilvl w:val="1"/>
          <w:numId w:val="38"/>
        </w:numPr>
        <w:tabs>
          <w:tab w:val="left" w:pos="978"/>
        </w:tabs>
        <w:spacing w:before="122" w:after="0" w:line="240" w:lineRule="auto"/>
        <w:ind w:left="977" w:right="0" w:hanging="527"/>
        <w:jc w:val="left"/>
      </w:pPr>
      <w:bookmarkStart w:id="158" w:name="5.2 建设期生态影响分析与保护措施"/>
      <w:bookmarkEnd w:id="158"/>
      <w:bookmarkStart w:id="159" w:name="_bookmark25"/>
      <w:bookmarkEnd w:id="159"/>
      <w:bookmarkStart w:id="160" w:name="_bookmark25"/>
      <w:bookmarkEnd w:id="160"/>
      <w:r>
        <w:rPr>
          <w:w w:val="95"/>
        </w:rPr>
        <w:t>建设期生态影响分析与保护措施</w:t>
      </w:r>
    </w:p>
    <w:p>
      <w:pPr>
        <w:pStyle w:val="6"/>
        <w:spacing w:before="122" w:line="364" w:lineRule="auto"/>
        <w:ind w:left="451" w:right="329" w:firstLine="480"/>
      </w:pPr>
      <w:r>
        <w:rPr>
          <w:spacing w:val="-10"/>
        </w:rPr>
        <w:t>项目的工业场地建设、道路建设、辅助系统建设等工程施工中，要平整场地、</w:t>
      </w:r>
      <w:r>
        <w:t xml:space="preserve">开挖地表，造成直接施工区域内地表植被的完全破坏和施工区域一定范围内植被不同程度的破坏堆放、施工人员践踏、临时占地、弃土、弃渣的堆放等，将破坏一定区域内的植被并造成水土流失。但由于项目用地占整个评价区域总面积的比例很小，且施工在一定范围内进行，建设期的影响持续时间较短，只要在施工各个阶段内做好各种防护措施，并且在施工完成时，及时做好恢复和补偿工作，加强绿化，在采取了的生态保护和水土保持措施后，对生态系统的影响是有限的； </w:t>
      </w:r>
      <w:r>
        <w:rPr>
          <w:spacing w:val="-6"/>
        </w:rPr>
        <w:t xml:space="preserve">矿井在生产过程中的排污由于采取相对完善的治理措施，对生态体系的影响较小， </w:t>
      </w:r>
      <w:r>
        <w:t>而且是局部的。但项目在建设施工过程中必须高度重视对周围生态环境的保护， 要在施工各个阶段内做好各种防护措施，并且在施工完成及，及时做好恢复和补偿工作，加强绿化，在采取了的生态保护和水土保持措施后，可将施工期的生态环境影响降至最小程度。</w:t>
      </w:r>
    </w:p>
    <w:p>
      <w:pPr>
        <w:pStyle w:val="13"/>
        <w:numPr>
          <w:ilvl w:val="0"/>
          <w:numId w:val="39"/>
        </w:numPr>
        <w:tabs>
          <w:tab w:val="left" w:pos="1533"/>
        </w:tabs>
        <w:spacing w:before="0" w:after="0" w:line="364" w:lineRule="auto"/>
        <w:ind w:left="451" w:right="449" w:firstLine="480"/>
        <w:jc w:val="left"/>
        <w:rPr>
          <w:sz w:val="24"/>
        </w:rPr>
      </w:pPr>
      <w:r>
        <w:rPr>
          <w:spacing w:val="-6"/>
          <w:sz w:val="24"/>
        </w:rPr>
        <w:t xml:space="preserve">本项目施工挖方、弃方材料堆放场都将占用土地，破坏土壤、植被， </w:t>
      </w:r>
      <w:r>
        <w:rPr>
          <w:spacing w:val="-4"/>
          <w:sz w:val="24"/>
        </w:rPr>
        <w:t>因此施工期间应严格划定施工范围，要尽可能保护施工区内、外的林地。</w:t>
      </w:r>
    </w:p>
    <w:p>
      <w:pPr>
        <w:pStyle w:val="13"/>
        <w:numPr>
          <w:ilvl w:val="0"/>
          <w:numId w:val="39"/>
        </w:numPr>
        <w:tabs>
          <w:tab w:val="left" w:pos="1533"/>
        </w:tabs>
        <w:spacing w:before="0" w:after="0" w:line="364" w:lineRule="auto"/>
        <w:ind w:left="451" w:right="449" w:firstLine="480"/>
        <w:jc w:val="left"/>
        <w:rPr>
          <w:sz w:val="24"/>
        </w:rPr>
      </w:pPr>
      <w:r>
        <w:rPr>
          <w:spacing w:val="-2"/>
          <w:sz w:val="24"/>
        </w:rPr>
        <w:t>施工单位应向施工人员宣传环保知识及国家对动植物的保护法规，严</w:t>
      </w:r>
      <w:r>
        <w:rPr>
          <w:spacing w:val="-4"/>
          <w:sz w:val="24"/>
        </w:rPr>
        <w:t>禁施工人员毁坏林木及捕杀野生动物。</w:t>
      </w:r>
    </w:p>
    <w:p>
      <w:pPr>
        <w:pStyle w:val="13"/>
        <w:numPr>
          <w:ilvl w:val="0"/>
          <w:numId w:val="39"/>
        </w:numPr>
        <w:tabs>
          <w:tab w:val="left" w:pos="1533"/>
        </w:tabs>
        <w:spacing w:before="0" w:after="0" w:line="364" w:lineRule="auto"/>
        <w:ind w:left="451" w:right="333" w:firstLine="480"/>
        <w:jc w:val="left"/>
        <w:rPr>
          <w:sz w:val="24"/>
        </w:rPr>
      </w:pPr>
      <w:r>
        <w:rPr>
          <w:spacing w:val="-1"/>
          <w:sz w:val="24"/>
        </w:rPr>
        <w:t>严禁施工人员及施工机械超范围活动，避免在大范围内发生人为践踏、</w:t>
      </w:r>
      <w:r>
        <w:rPr>
          <w:sz w:val="24"/>
        </w:rPr>
        <w:t>机械碾压植被的现象，尽量减轻对生态环境的不利影响。</w:t>
      </w:r>
    </w:p>
    <w:p>
      <w:pPr>
        <w:pStyle w:val="13"/>
        <w:numPr>
          <w:ilvl w:val="0"/>
          <w:numId w:val="39"/>
        </w:numPr>
        <w:tabs>
          <w:tab w:val="left" w:pos="1533"/>
        </w:tabs>
        <w:spacing w:before="0" w:after="0" w:line="306" w:lineRule="exact"/>
        <w:ind w:left="1533" w:right="0" w:hanging="602"/>
        <w:jc w:val="left"/>
        <w:rPr>
          <w:sz w:val="24"/>
        </w:rPr>
      </w:pPr>
      <w:r>
        <w:rPr>
          <w:spacing w:val="-3"/>
          <w:sz w:val="24"/>
        </w:rPr>
        <w:t>大型施工机械的噪声对林地内的动物也会产生较大的影响，所以施工期</w:t>
      </w:r>
    </w:p>
    <w:p>
      <w:pPr>
        <w:spacing w:after="0" w:line="306" w:lineRule="exact"/>
        <w:jc w:val="left"/>
        <w:rPr>
          <w:sz w:val="24"/>
        </w:rPr>
        <w:sectPr>
          <w:footerReference r:id="rId14" w:type="default"/>
          <w:pgSz w:w="11910" w:h="16840"/>
          <w:pgMar w:top="1380" w:right="1300" w:bottom="1180" w:left="1300" w:header="0" w:footer="997" w:gutter="0"/>
          <w:pgNumType w:start="78"/>
        </w:sectPr>
      </w:pPr>
    </w:p>
    <w:p>
      <w:pPr>
        <w:pStyle w:val="6"/>
        <w:spacing w:before="43"/>
        <w:ind w:left="451"/>
      </w:pPr>
      <w:r>
        <w:t>大型机械应减少使用次数，缩短工期，减少影响。</w:t>
      </w:r>
    </w:p>
    <w:p>
      <w:pPr>
        <w:pStyle w:val="13"/>
        <w:numPr>
          <w:ilvl w:val="0"/>
          <w:numId w:val="39"/>
        </w:numPr>
        <w:tabs>
          <w:tab w:val="left" w:pos="1533"/>
        </w:tabs>
        <w:spacing w:before="160" w:after="0" w:line="364" w:lineRule="auto"/>
        <w:ind w:left="451" w:right="449" w:firstLine="480"/>
        <w:jc w:val="both"/>
        <w:rPr>
          <w:sz w:val="24"/>
        </w:rPr>
      </w:pPr>
      <w:r>
        <w:rPr>
          <w:spacing w:val="-5"/>
          <w:sz w:val="24"/>
        </w:rPr>
        <w:t>做好施工期的水土保持工作，对有坡度及容易发生水土流失的地方应</w:t>
      </w:r>
      <w:r>
        <w:rPr>
          <w:spacing w:val="-4"/>
          <w:sz w:val="24"/>
        </w:rPr>
        <w:t>采取网格护坡、条石护坡、草皮护坡等方法，来减少水土流失，降低对生态环境</w:t>
      </w:r>
      <w:r>
        <w:rPr>
          <w:spacing w:val="-5"/>
          <w:sz w:val="24"/>
        </w:rPr>
        <w:t>的影响。</w:t>
      </w:r>
    </w:p>
    <w:p>
      <w:pPr>
        <w:pStyle w:val="3"/>
        <w:numPr>
          <w:ilvl w:val="1"/>
          <w:numId w:val="38"/>
        </w:numPr>
        <w:tabs>
          <w:tab w:val="left" w:pos="978"/>
        </w:tabs>
        <w:spacing w:before="115" w:after="0" w:line="240" w:lineRule="auto"/>
        <w:ind w:left="977" w:right="0" w:hanging="527"/>
        <w:jc w:val="both"/>
      </w:pPr>
      <w:bookmarkStart w:id="161" w:name="5.3 地表沉陷预测与影响分析"/>
      <w:bookmarkEnd w:id="161"/>
      <w:bookmarkStart w:id="162" w:name="_bookmark26"/>
      <w:bookmarkEnd w:id="162"/>
      <w:bookmarkStart w:id="163" w:name="_bookmark26"/>
      <w:bookmarkEnd w:id="163"/>
      <w:r>
        <w:t>地表沉陷预测与影响分析</w:t>
      </w:r>
    </w:p>
    <w:p>
      <w:pPr>
        <w:pStyle w:val="4"/>
        <w:numPr>
          <w:ilvl w:val="2"/>
          <w:numId w:val="38"/>
        </w:numPr>
        <w:tabs>
          <w:tab w:val="left" w:pos="1153"/>
        </w:tabs>
        <w:spacing w:before="123" w:after="0" w:line="240" w:lineRule="auto"/>
        <w:ind w:left="1152" w:right="0" w:hanging="702"/>
        <w:jc w:val="both"/>
      </w:pPr>
      <w:bookmarkStart w:id="164" w:name="5.3.1 井田开拓与开采"/>
      <w:bookmarkEnd w:id="164"/>
      <w:bookmarkStart w:id="165" w:name="5.3.1 井田开拓与开采"/>
      <w:bookmarkEnd w:id="165"/>
      <w:r>
        <w:t>井田开拓与开采</w:t>
      </w:r>
    </w:p>
    <w:p>
      <w:pPr>
        <w:pStyle w:val="6"/>
        <w:spacing w:before="264" w:line="364" w:lineRule="auto"/>
        <w:ind w:left="451" w:right="453" w:firstLine="480"/>
        <w:jc w:val="both"/>
      </w:pPr>
      <w:r>
        <w:t>关于双鸭山大顺矿业有限公司的开拓开采方式、开采水平、盘区划分、煤炭开采顺序以及开采工艺等内容在前面第三章中已进行了十分详细的论述，此处不再赘述。</w:t>
      </w:r>
    </w:p>
    <w:p>
      <w:pPr>
        <w:pStyle w:val="4"/>
        <w:numPr>
          <w:ilvl w:val="2"/>
          <w:numId w:val="38"/>
        </w:numPr>
        <w:tabs>
          <w:tab w:val="left" w:pos="1153"/>
        </w:tabs>
        <w:spacing w:before="0" w:after="0" w:line="282" w:lineRule="exact"/>
        <w:ind w:left="1152" w:right="0" w:hanging="702"/>
        <w:jc w:val="both"/>
      </w:pPr>
      <w:bookmarkStart w:id="166" w:name="5.3.2 地表沉陷预测模式及参数选取"/>
      <w:bookmarkEnd w:id="166"/>
      <w:bookmarkStart w:id="167" w:name="5.3.2 地表沉陷预测模式及参数选取"/>
      <w:bookmarkEnd w:id="167"/>
      <w:r>
        <w:t>地表沉陷预测模式及参数选取</w:t>
      </w:r>
    </w:p>
    <w:p>
      <w:pPr>
        <w:pStyle w:val="5"/>
        <w:numPr>
          <w:ilvl w:val="3"/>
          <w:numId w:val="38"/>
        </w:numPr>
        <w:tabs>
          <w:tab w:val="left" w:pos="1232"/>
        </w:tabs>
        <w:spacing w:before="265" w:after="0" w:line="240" w:lineRule="auto"/>
        <w:ind w:left="1232" w:right="0" w:hanging="781"/>
        <w:jc w:val="both"/>
      </w:pPr>
      <w:r>
        <w:t>地表沉陷预测模型</w:t>
      </w:r>
    </w:p>
    <w:p>
      <w:pPr>
        <w:pStyle w:val="6"/>
        <w:spacing w:before="160" w:line="364" w:lineRule="auto"/>
        <w:ind w:left="451" w:right="453" w:firstLine="480"/>
        <w:jc w:val="both"/>
      </w:pPr>
      <w:r>
        <w:t>地下煤层开采引起的地表破坏范围和破坏程度可用地表沉陷产生的移动和变形值的大小来圈定和评价。平坦地区地表移动变形值的计算，可按其开采条件选用《建筑物、水体、铁路及主要井巷煤柱留设与压煤开采规程》中推荐的概率积分法。</w:t>
      </w:r>
    </w:p>
    <w:p>
      <w:pPr>
        <w:pStyle w:val="6"/>
        <w:spacing w:before="2" w:line="364" w:lineRule="auto"/>
        <w:ind w:left="451" w:right="453" w:firstLine="480"/>
      </w:pPr>
      <w:r>
        <w:t>概率积分法是以正态分布函数为影响函数，用积分式表示地表下沉盆地的方法，适用于常规的地表移动与变形计算。</w:t>
      </w:r>
    </w:p>
    <w:p>
      <w:pPr>
        <w:pStyle w:val="13"/>
        <w:numPr>
          <w:ilvl w:val="4"/>
          <w:numId w:val="38"/>
        </w:numPr>
        <w:tabs>
          <w:tab w:val="left" w:pos="1533"/>
        </w:tabs>
        <w:spacing w:before="2" w:after="0" w:line="240" w:lineRule="auto"/>
        <w:ind w:left="1533" w:right="0" w:hanging="602"/>
        <w:jc w:val="left"/>
        <w:rPr>
          <w:sz w:val="24"/>
        </w:rPr>
      </w:pPr>
      <w:r>
        <w:rPr>
          <w:sz w:val="24"/>
        </w:rPr>
        <w:t>地表移动变形最大值计算公式如下：</w:t>
      </w:r>
    </w:p>
    <w:p>
      <w:pPr>
        <w:spacing w:before="173" w:line="372" w:lineRule="auto"/>
        <w:ind w:left="931" w:right="6454" w:firstLine="0"/>
        <w:jc w:val="left"/>
        <w:rPr>
          <w:rFonts w:ascii="Times New Roman" w:hAnsi="Times New Roman" w:eastAsia="Times New Roman"/>
          <w:sz w:val="15"/>
        </w:rPr>
      </w:pPr>
      <w:r>
        <w:rPr>
          <w:rFonts w:ascii="Times New Roman" w:hAnsi="Times New Roman" w:eastAsia="Times New Roman"/>
          <w:spacing w:val="-1"/>
          <w:position w:val="2"/>
          <w:sz w:val="24"/>
        </w:rPr>
        <w:t>W</w:t>
      </w:r>
      <w:r>
        <w:rPr>
          <w:rFonts w:ascii="Times New Roman" w:hAnsi="Times New Roman" w:eastAsia="Times New Roman"/>
          <w:spacing w:val="-2"/>
          <w:w w:val="103"/>
          <w:position w:val="2"/>
          <w:sz w:val="24"/>
          <w:vertAlign w:val="subscript"/>
        </w:rPr>
        <w:t>m</w:t>
      </w:r>
      <w:r>
        <w:rPr>
          <w:rFonts w:ascii="Times New Roman" w:hAnsi="Times New Roman" w:eastAsia="Times New Roman"/>
          <w:w w:val="103"/>
          <w:position w:val="2"/>
          <w:sz w:val="24"/>
          <w:vertAlign w:val="subscript"/>
        </w:rPr>
        <w:t>a</w:t>
      </w:r>
      <w:r>
        <w:rPr>
          <w:rFonts w:ascii="Times New Roman" w:hAnsi="Times New Roman" w:eastAsia="Times New Roman"/>
          <w:spacing w:val="-2"/>
          <w:w w:val="103"/>
          <w:position w:val="2"/>
          <w:sz w:val="24"/>
          <w:vertAlign w:val="subscript"/>
        </w:rPr>
        <w:t>x</w:t>
      </w:r>
      <w:r>
        <w:rPr>
          <w:rFonts w:ascii="Times New Roman" w:hAnsi="Times New Roman" w:eastAsia="Times New Roman"/>
          <w:spacing w:val="-1"/>
          <w:position w:val="2"/>
          <w:sz w:val="24"/>
          <w:vertAlign w:val="baseline"/>
        </w:rPr>
        <w:t>=</w:t>
      </w:r>
      <w:r>
        <w:rPr>
          <w:rFonts w:ascii="Times New Roman" w:hAnsi="Times New Roman" w:eastAsia="Times New Roman"/>
          <w:position w:val="2"/>
          <w:sz w:val="24"/>
          <w:vertAlign w:val="baseline"/>
        </w:rPr>
        <w:t>qm</w:t>
      </w:r>
      <w:r>
        <w:rPr>
          <w:rFonts w:ascii="Times New Roman" w:hAnsi="Times New Roman" w:eastAsia="Times New Roman"/>
          <w:spacing w:val="-1"/>
          <w:position w:val="2"/>
          <w:sz w:val="24"/>
          <w:vertAlign w:val="baseline"/>
        </w:rPr>
        <w:t>c</w:t>
      </w:r>
      <w:r>
        <w:rPr>
          <w:rFonts w:ascii="Times New Roman" w:hAnsi="Times New Roman" w:eastAsia="Times New Roman"/>
          <w:position w:val="2"/>
          <w:sz w:val="24"/>
          <w:vertAlign w:val="baseline"/>
        </w:rPr>
        <w:t>o</w:t>
      </w:r>
      <w:r>
        <w:rPr>
          <w:rFonts w:ascii="Times New Roman" w:hAnsi="Times New Roman" w:eastAsia="Times New Roman"/>
          <w:spacing w:val="2"/>
          <w:position w:val="2"/>
          <w:sz w:val="24"/>
          <w:vertAlign w:val="baseline"/>
        </w:rPr>
        <w:t>s</w:t>
      </w:r>
      <w:r>
        <w:rPr>
          <w:rFonts w:ascii="Times New Roman" w:hAnsi="Times New Roman" w:eastAsia="Times New Roman"/>
          <w:position w:val="2"/>
          <w:sz w:val="24"/>
          <w:vertAlign w:val="baseline"/>
        </w:rPr>
        <w:t xml:space="preserve">α </w:t>
      </w:r>
      <w:r>
        <w:rPr>
          <w:rFonts w:ascii="Times New Roman" w:hAnsi="Times New Roman" w:eastAsia="Times New Roman"/>
          <w:spacing w:val="-2"/>
          <w:position w:val="2"/>
          <w:sz w:val="24"/>
          <w:vertAlign w:val="baseline"/>
        </w:rPr>
        <w:t>i</w:t>
      </w:r>
      <w:r>
        <w:rPr>
          <w:rFonts w:ascii="Times New Roman" w:hAnsi="Times New Roman" w:eastAsia="Times New Roman"/>
          <w:spacing w:val="-2"/>
          <w:w w:val="104"/>
          <w:sz w:val="15"/>
          <w:vertAlign w:val="baseline"/>
        </w:rPr>
        <w:t>m</w:t>
      </w:r>
      <w:r>
        <w:rPr>
          <w:rFonts w:ascii="Times New Roman" w:hAnsi="Times New Roman" w:eastAsia="Times New Roman"/>
          <w:w w:val="104"/>
          <w:sz w:val="15"/>
          <w:vertAlign w:val="baseline"/>
        </w:rPr>
        <w:t>a</w:t>
      </w:r>
      <w:r>
        <w:rPr>
          <w:rFonts w:ascii="Times New Roman" w:hAnsi="Times New Roman" w:eastAsia="Times New Roman"/>
          <w:spacing w:val="1"/>
          <w:w w:val="104"/>
          <w:sz w:val="15"/>
          <w:vertAlign w:val="baseline"/>
        </w:rPr>
        <w:t>x</w:t>
      </w:r>
      <w:r>
        <w:rPr>
          <w:rFonts w:ascii="Times New Roman" w:hAnsi="Times New Roman" w:eastAsia="Times New Roman"/>
          <w:spacing w:val="-1"/>
          <w:position w:val="2"/>
          <w:sz w:val="24"/>
          <w:vertAlign w:val="baseline"/>
        </w:rPr>
        <w:t>=</w:t>
      </w:r>
      <w:r>
        <w:rPr>
          <w:rFonts w:ascii="Times New Roman" w:hAnsi="Times New Roman" w:eastAsia="Times New Roman"/>
          <w:spacing w:val="1"/>
          <w:position w:val="2"/>
          <w:sz w:val="24"/>
          <w:vertAlign w:val="baseline"/>
        </w:rPr>
        <w:t>W</w:t>
      </w:r>
      <w:r>
        <w:rPr>
          <w:rFonts w:ascii="Times New Roman" w:hAnsi="Times New Roman" w:eastAsia="Times New Roman"/>
          <w:spacing w:val="-4"/>
          <w:w w:val="104"/>
          <w:sz w:val="15"/>
          <w:vertAlign w:val="baseline"/>
        </w:rPr>
        <w:t>m</w:t>
      </w:r>
      <w:r>
        <w:rPr>
          <w:rFonts w:ascii="Times New Roman" w:hAnsi="Times New Roman" w:eastAsia="Times New Roman"/>
          <w:w w:val="104"/>
          <w:sz w:val="15"/>
          <w:vertAlign w:val="baseline"/>
        </w:rPr>
        <w:t>a</w:t>
      </w:r>
      <w:r>
        <w:rPr>
          <w:rFonts w:ascii="Times New Roman" w:hAnsi="Times New Roman" w:eastAsia="Times New Roman"/>
          <w:spacing w:val="1"/>
          <w:w w:val="104"/>
          <w:sz w:val="15"/>
          <w:vertAlign w:val="baseline"/>
        </w:rPr>
        <w:t>x</w:t>
      </w:r>
      <w:r>
        <w:rPr>
          <w:position w:val="2"/>
          <w:sz w:val="24"/>
          <w:vertAlign w:val="baseline"/>
        </w:rPr>
        <w:t>／</w:t>
      </w:r>
      <w:r>
        <w:rPr>
          <w:rFonts w:ascii="Times New Roman" w:hAnsi="Times New Roman" w:eastAsia="Times New Roman"/>
          <w:position w:val="2"/>
          <w:sz w:val="24"/>
          <w:vertAlign w:val="baseline"/>
        </w:rPr>
        <w:t xml:space="preserve">r </w:t>
      </w:r>
      <w:r>
        <w:rPr>
          <w:rFonts w:ascii="Times New Roman" w:hAnsi="Times New Roman" w:eastAsia="Times New Roman"/>
          <w:spacing w:val="-1"/>
          <w:position w:val="2"/>
          <w:sz w:val="24"/>
          <w:vertAlign w:val="baseline"/>
        </w:rPr>
        <w:t>K</w:t>
      </w:r>
      <w:r>
        <w:rPr>
          <w:rFonts w:ascii="Times New Roman" w:hAnsi="Times New Roman" w:eastAsia="Times New Roman"/>
          <w:spacing w:val="-2"/>
          <w:w w:val="103"/>
          <w:position w:val="2"/>
          <w:sz w:val="24"/>
          <w:vertAlign w:val="subscript"/>
        </w:rPr>
        <w:t>m</w:t>
      </w:r>
      <w:r>
        <w:rPr>
          <w:rFonts w:ascii="Times New Roman" w:hAnsi="Times New Roman" w:eastAsia="Times New Roman"/>
          <w:w w:val="103"/>
          <w:position w:val="2"/>
          <w:sz w:val="24"/>
          <w:vertAlign w:val="subscript"/>
        </w:rPr>
        <w:t>a</w:t>
      </w:r>
      <w:r>
        <w:rPr>
          <w:rFonts w:ascii="Times New Roman" w:hAnsi="Times New Roman" w:eastAsia="Times New Roman"/>
          <w:spacing w:val="-2"/>
          <w:w w:val="103"/>
          <w:position w:val="2"/>
          <w:sz w:val="24"/>
          <w:vertAlign w:val="subscript"/>
        </w:rPr>
        <w:t>x</w:t>
      </w:r>
      <w:r>
        <w:rPr>
          <w:rFonts w:ascii="Times New Roman" w:hAnsi="Times New Roman" w:eastAsia="Times New Roman"/>
          <w:spacing w:val="-1"/>
          <w:position w:val="2"/>
          <w:sz w:val="24"/>
          <w:vertAlign w:val="baseline"/>
        </w:rPr>
        <w:t>=</w:t>
      </w:r>
      <w:r>
        <w:rPr>
          <w:rFonts w:ascii="Times New Roman" w:hAnsi="Times New Roman" w:eastAsia="Times New Roman"/>
          <w:position w:val="2"/>
          <w:sz w:val="24"/>
          <w:vertAlign w:val="baseline"/>
        </w:rPr>
        <w:t>1.52</w:t>
      </w:r>
      <w:r>
        <w:rPr>
          <w:rFonts w:ascii="Times New Roman" w:hAnsi="Times New Roman" w:eastAsia="Times New Roman"/>
          <w:spacing w:val="1"/>
          <w:position w:val="2"/>
          <w:sz w:val="24"/>
          <w:vertAlign w:val="baseline"/>
        </w:rPr>
        <w:t>W</w:t>
      </w:r>
      <w:r>
        <w:rPr>
          <w:rFonts w:ascii="Times New Roman" w:hAnsi="Times New Roman" w:eastAsia="Times New Roman"/>
          <w:spacing w:val="-2"/>
          <w:w w:val="103"/>
          <w:position w:val="2"/>
          <w:sz w:val="24"/>
          <w:vertAlign w:val="subscript"/>
        </w:rPr>
        <w:t>m</w:t>
      </w:r>
      <w:r>
        <w:rPr>
          <w:rFonts w:ascii="Times New Roman" w:hAnsi="Times New Roman" w:eastAsia="Times New Roman"/>
          <w:w w:val="103"/>
          <w:position w:val="2"/>
          <w:sz w:val="24"/>
          <w:vertAlign w:val="subscript"/>
        </w:rPr>
        <w:t>a</w:t>
      </w:r>
      <w:r>
        <w:rPr>
          <w:rFonts w:ascii="Times New Roman" w:hAnsi="Times New Roman" w:eastAsia="Times New Roman"/>
          <w:spacing w:val="-2"/>
          <w:w w:val="103"/>
          <w:position w:val="2"/>
          <w:sz w:val="24"/>
          <w:vertAlign w:val="subscript"/>
        </w:rPr>
        <w:t>x</w:t>
      </w:r>
      <w:r>
        <w:rPr>
          <w:position w:val="2"/>
          <w:sz w:val="24"/>
          <w:vertAlign w:val="baseline"/>
        </w:rPr>
        <w:t>／</w:t>
      </w:r>
      <w:r>
        <w:rPr>
          <w:rFonts w:ascii="Times New Roman" w:hAnsi="Times New Roman" w:eastAsia="Times New Roman"/>
          <w:spacing w:val="-1"/>
          <w:position w:val="2"/>
          <w:sz w:val="24"/>
          <w:vertAlign w:val="baseline"/>
        </w:rPr>
        <w:t>r</w:t>
      </w:r>
      <w:r>
        <w:rPr>
          <w:rFonts w:ascii="Times New Roman" w:hAnsi="Times New Roman" w:eastAsia="Times New Roman"/>
          <w:w w:val="103"/>
          <w:position w:val="2"/>
          <w:sz w:val="24"/>
          <w:vertAlign w:val="superscript"/>
        </w:rPr>
        <w:t>2</w:t>
      </w:r>
      <w:r>
        <w:rPr>
          <w:rFonts w:ascii="Times New Roman" w:hAnsi="Times New Roman" w:eastAsia="Times New Roman"/>
          <w:w w:val="103"/>
          <w:position w:val="2"/>
          <w:sz w:val="24"/>
          <w:vertAlign w:val="baseline"/>
        </w:rPr>
        <w:t xml:space="preserve"> </w:t>
      </w:r>
      <w:r>
        <w:rPr>
          <w:rFonts w:ascii="Times New Roman" w:hAnsi="Times New Roman" w:eastAsia="Times New Roman"/>
          <w:spacing w:val="-1"/>
          <w:position w:val="2"/>
          <w:sz w:val="24"/>
          <w:vertAlign w:val="baseline"/>
        </w:rPr>
        <w:t>U</w:t>
      </w:r>
      <w:r>
        <w:rPr>
          <w:rFonts w:ascii="Times New Roman" w:hAnsi="Times New Roman" w:eastAsia="Times New Roman"/>
          <w:spacing w:val="-2"/>
          <w:w w:val="104"/>
          <w:sz w:val="15"/>
          <w:vertAlign w:val="baseline"/>
        </w:rPr>
        <w:t>m</w:t>
      </w:r>
      <w:r>
        <w:rPr>
          <w:rFonts w:ascii="Times New Roman" w:hAnsi="Times New Roman" w:eastAsia="Times New Roman"/>
          <w:w w:val="104"/>
          <w:sz w:val="15"/>
          <w:vertAlign w:val="baseline"/>
        </w:rPr>
        <w:t>a</w:t>
      </w:r>
      <w:r>
        <w:rPr>
          <w:rFonts w:ascii="Times New Roman" w:hAnsi="Times New Roman" w:eastAsia="Times New Roman"/>
          <w:spacing w:val="-2"/>
          <w:w w:val="104"/>
          <w:sz w:val="15"/>
          <w:vertAlign w:val="baseline"/>
        </w:rPr>
        <w:t>x</w:t>
      </w:r>
      <w:r>
        <w:rPr>
          <w:rFonts w:ascii="Times New Roman" w:hAnsi="Times New Roman" w:eastAsia="Times New Roman"/>
          <w:spacing w:val="-1"/>
          <w:position w:val="2"/>
          <w:sz w:val="24"/>
          <w:vertAlign w:val="baseline"/>
        </w:rPr>
        <w:t>=</w:t>
      </w:r>
      <w:r>
        <w:rPr>
          <w:rFonts w:ascii="Times New Roman" w:hAnsi="Times New Roman" w:eastAsia="Times New Roman"/>
          <w:spacing w:val="2"/>
          <w:position w:val="2"/>
          <w:sz w:val="24"/>
          <w:vertAlign w:val="baseline"/>
        </w:rPr>
        <w:t>b</w:t>
      </w:r>
      <w:r>
        <w:rPr>
          <w:rFonts w:ascii="Times New Roman" w:hAnsi="Times New Roman" w:eastAsia="Times New Roman"/>
          <w:spacing w:val="-1"/>
          <w:position w:val="2"/>
          <w:sz w:val="24"/>
          <w:vertAlign w:val="baseline"/>
        </w:rPr>
        <w:t>×W</w:t>
      </w:r>
      <w:r>
        <w:rPr>
          <w:rFonts w:ascii="Times New Roman" w:hAnsi="Times New Roman" w:eastAsia="Times New Roman"/>
          <w:spacing w:val="-2"/>
          <w:w w:val="104"/>
          <w:sz w:val="15"/>
          <w:vertAlign w:val="baseline"/>
        </w:rPr>
        <w:t>m</w:t>
      </w:r>
      <w:r>
        <w:rPr>
          <w:rFonts w:ascii="Times New Roman" w:hAnsi="Times New Roman" w:eastAsia="Times New Roman"/>
          <w:w w:val="104"/>
          <w:sz w:val="15"/>
          <w:vertAlign w:val="baseline"/>
        </w:rPr>
        <w:t>ax</w:t>
      </w:r>
    </w:p>
    <w:p>
      <w:pPr>
        <w:spacing w:before="0" w:line="334" w:lineRule="exact"/>
        <w:ind w:left="940" w:right="0" w:firstLine="0"/>
        <w:jc w:val="left"/>
        <w:rPr>
          <w:rFonts w:ascii="Times New Roman" w:hAnsi="Times New Roman" w:eastAsia="Times New Roman"/>
          <w:sz w:val="24"/>
        </w:rPr>
      </w:pPr>
      <w:r>
        <w:rPr>
          <w:rFonts w:ascii="Symbol" w:hAnsi="Symbol" w:eastAsia="Symbol"/>
          <w:i/>
          <w:position w:val="8"/>
          <w:sz w:val="25"/>
        </w:rPr>
        <w:t></w:t>
      </w:r>
      <w:r>
        <w:rPr>
          <w:rFonts w:ascii="Times New Roman" w:hAnsi="Times New Roman" w:eastAsia="Times New Roman"/>
          <w:sz w:val="15"/>
        </w:rPr>
        <w:t>max</w:t>
      </w:r>
      <w:r>
        <w:rPr>
          <w:rFonts w:ascii="Times New Roman" w:hAnsi="Times New Roman" w:eastAsia="Times New Roman"/>
          <w:position w:val="2"/>
          <w:sz w:val="24"/>
        </w:rPr>
        <w:t>=1.52b×W</w:t>
      </w:r>
      <w:r>
        <w:rPr>
          <w:rFonts w:ascii="Times New Roman" w:hAnsi="Times New Roman" w:eastAsia="Times New Roman"/>
          <w:position w:val="2"/>
          <w:sz w:val="24"/>
          <w:vertAlign w:val="subscript"/>
        </w:rPr>
        <w:t>max</w:t>
      </w:r>
      <w:r>
        <w:rPr>
          <w:position w:val="2"/>
          <w:sz w:val="24"/>
          <w:vertAlign w:val="baseline"/>
        </w:rPr>
        <w:t>／</w:t>
      </w:r>
      <w:r>
        <w:rPr>
          <w:rFonts w:ascii="Times New Roman" w:hAnsi="Times New Roman" w:eastAsia="Times New Roman"/>
          <w:position w:val="2"/>
          <w:sz w:val="24"/>
          <w:vertAlign w:val="baseline"/>
        </w:rPr>
        <w:t>r</w:t>
      </w:r>
    </w:p>
    <w:p>
      <w:pPr>
        <w:pStyle w:val="6"/>
        <w:spacing w:before="156" w:line="362" w:lineRule="auto"/>
        <w:ind w:left="931" w:right="4130"/>
      </w:pPr>
      <w:r>
        <w:rPr>
          <w:position w:val="2"/>
        </w:rPr>
        <w:t>式中：</w:t>
      </w:r>
      <w:r>
        <w:rPr>
          <w:rFonts w:ascii="Times New Roman" w:hAnsi="Times New Roman" w:eastAsia="Times New Roman"/>
          <w:position w:val="2"/>
        </w:rPr>
        <w:t>W</w:t>
      </w:r>
      <w:r>
        <w:rPr>
          <w:rFonts w:ascii="Times New Roman" w:hAnsi="Times New Roman" w:eastAsia="Times New Roman"/>
          <w:position w:val="2"/>
          <w:vertAlign w:val="subscript"/>
        </w:rPr>
        <w:t>max</w:t>
      </w:r>
      <w:r>
        <w:rPr>
          <w:rFonts w:ascii="Times New Roman" w:hAnsi="Times New Roman" w:eastAsia="Times New Roman"/>
          <w:position w:val="2"/>
          <w:vertAlign w:val="baseline"/>
        </w:rPr>
        <w:t>——</w:t>
      </w:r>
      <w:r>
        <w:rPr>
          <w:position w:val="2"/>
          <w:vertAlign w:val="baseline"/>
        </w:rPr>
        <w:t>地表最大下沉值（</w:t>
      </w:r>
      <w:r>
        <w:rPr>
          <w:rFonts w:ascii="Times New Roman" w:hAnsi="Times New Roman" w:eastAsia="Times New Roman"/>
          <w:position w:val="2"/>
          <w:vertAlign w:val="baseline"/>
        </w:rPr>
        <w:t>mm</w:t>
      </w:r>
      <w:r>
        <w:rPr>
          <w:position w:val="2"/>
          <w:vertAlign w:val="baseline"/>
        </w:rPr>
        <w:t xml:space="preserve">） </w:t>
      </w:r>
      <w:r>
        <w:rPr>
          <w:rFonts w:ascii="Times New Roman" w:hAnsi="Times New Roman" w:eastAsia="Times New Roman"/>
          <w:position w:val="2"/>
          <w:vertAlign w:val="baseline"/>
        </w:rPr>
        <w:t>i</w:t>
      </w:r>
      <w:r>
        <w:rPr>
          <w:rFonts w:ascii="Times New Roman" w:hAnsi="Times New Roman" w:eastAsia="Times New Roman"/>
          <w:position w:val="2"/>
          <w:vertAlign w:val="subscript"/>
        </w:rPr>
        <w:t>max</w:t>
      </w:r>
      <w:r>
        <w:rPr>
          <w:rFonts w:ascii="Times New Roman" w:hAnsi="Times New Roman" w:eastAsia="Times New Roman"/>
          <w:position w:val="2"/>
          <w:vertAlign w:val="baseline"/>
        </w:rPr>
        <w:t>——</w:t>
      </w:r>
      <w:r>
        <w:rPr>
          <w:position w:val="2"/>
          <w:vertAlign w:val="baseline"/>
        </w:rPr>
        <w:t>地表最大倾斜值（</w:t>
      </w:r>
      <w:r>
        <w:rPr>
          <w:rFonts w:ascii="Times New Roman" w:hAnsi="Times New Roman" w:eastAsia="Times New Roman"/>
          <w:position w:val="2"/>
          <w:vertAlign w:val="baseline"/>
        </w:rPr>
        <w:t>mm</w:t>
      </w:r>
      <w:r>
        <w:rPr>
          <w:position w:val="2"/>
          <w:vertAlign w:val="baseline"/>
        </w:rPr>
        <w:t>／</w:t>
      </w:r>
      <w:r>
        <w:rPr>
          <w:rFonts w:ascii="Times New Roman" w:hAnsi="Times New Roman" w:eastAsia="Times New Roman"/>
          <w:position w:val="2"/>
          <w:vertAlign w:val="baseline"/>
        </w:rPr>
        <w:t>m</w:t>
      </w:r>
      <w:r>
        <w:rPr>
          <w:position w:val="2"/>
          <w:vertAlign w:val="baseline"/>
        </w:rPr>
        <w:t xml:space="preserve">） </w:t>
      </w:r>
      <w:r>
        <w:rPr>
          <w:rFonts w:ascii="Times New Roman" w:hAnsi="Times New Roman" w:eastAsia="Times New Roman"/>
          <w:position w:val="2"/>
          <w:vertAlign w:val="baseline"/>
        </w:rPr>
        <w:t>K</w:t>
      </w:r>
      <w:r>
        <w:rPr>
          <w:rFonts w:ascii="Times New Roman" w:hAnsi="Times New Roman" w:eastAsia="Times New Roman"/>
          <w:position w:val="2"/>
          <w:vertAlign w:val="subscript"/>
        </w:rPr>
        <w:t>max</w:t>
      </w:r>
      <w:r>
        <w:rPr>
          <w:rFonts w:ascii="Times New Roman" w:hAnsi="Times New Roman" w:eastAsia="Times New Roman"/>
          <w:position w:val="2"/>
          <w:vertAlign w:val="baseline"/>
        </w:rPr>
        <w:t>——</w:t>
      </w:r>
      <w:r>
        <w:rPr>
          <w:position w:val="2"/>
          <w:vertAlign w:val="baseline"/>
        </w:rPr>
        <w:t>地表最大曲率值（</w:t>
      </w:r>
      <w:r>
        <w:rPr>
          <w:rFonts w:ascii="Times New Roman" w:hAnsi="Times New Roman" w:eastAsia="Times New Roman"/>
          <w:position w:val="2"/>
          <w:vertAlign w:val="baseline"/>
        </w:rPr>
        <w:t>10</w:t>
      </w:r>
      <w:r>
        <w:rPr>
          <w:rFonts w:ascii="Times New Roman" w:hAnsi="Times New Roman" w:eastAsia="Times New Roman"/>
          <w:position w:val="2"/>
          <w:vertAlign w:val="superscript"/>
        </w:rPr>
        <w:t>-3</w:t>
      </w:r>
      <w:r>
        <w:rPr>
          <w:position w:val="2"/>
          <w:vertAlign w:val="baseline"/>
        </w:rPr>
        <w:t>／</w:t>
      </w:r>
      <w:r>
        <w:rPr>
          <w:rFonts w:ascii="Times New Roman" w:hAnsi="Times New Roman" w:eastAsia="Times New Roman"/>
          <w:position w:val="2"/>
          <w:vertAlign w:val="baseline"/>
        </w:rPr>
        <w:t>m</w:t>
      </w:r>
      <w:r>
        <w:rPr>
          <w:position w:val="2"/>
          <w:vertAlign w:val="baseline"/>
        </w:rPr>
        <w:t xml:space="preserve">） </w:t>
      </w:r>
      <w:r>
        <w:rPr>
          <w:rFonts w:ascii="Times New Roman" w:hAnsi="Times New Roman" w:eastAsia="Times New Roman"/>
          <w:position w:val="2"/>
          <w:vertAlign w:val="baseline"/>
        </w:rPr>
        <w:t>U</w:t>
      </w:r>
      <w:r>
        <w:rPr>
          <w:rFonts w:ascii="Times New Roman" w:hAnsi="Times New Roman" w:eastAsia="Times New Roman"/>
          <w:position w:val="2"/>
          <w:vertAlign w:val="subscript"/>
        </w:rPr>
        <w:t>max</w:t>
      </w:r>
      <w:r>
        <w:rPr>
          <w:rFonts w:ascii="Times New Roman" w:hAnsi="Times New Roman" w:eastAsia="Times New Roman"/>
          <w:position w:val="2"/>
          <w:vertAlign w:val="baseline"/>
        </w:rPr>
        <w:t>——</w:t>
      </w:r>
      <w:r>
        <w:rPr>
          <w:position w:val="2"/>
          <w:vertAlign w:val="baseline"/>
        </w:rPr>
        <w:t>地表最大水平移动值（</w:t>
      </w:r>
      <w:r>
        <w:rPr>
          <w:rFonts w:ascii="Times New Roman" w:hAnsi="Times New Roman" w:eastAsia="Times New Roman"/>
          <w:position w:val="2"/>
          <w:vertAlign w:val="baseline"/>
        </w:rPr>
        <w:t>mm</w:t>
      </w:r>
      <w:r>
        <w:rPr>
          <w:position w:val="2"/>
          <w:vertAlign w:val="baseline"/>
        </w:rPr>
        <w:t>）</w:t>
      </w:r>
    </w:p>
    <w:p>
      <w:pPr>
        <w:pStyle w:val="6"/>
        <w:spacing w:line="305" w:lineRule="exact"/>
        <w:ind w:left="940"/>
      </w:pPr>
      <w:r>
        <w:rPr>
          <w:rFonts w:ascii="Symbol" w:hAnsi="Symbol" w:eastAsia="Symbol"/>
          <w:i/>
          <w:position w:val="8"/>
          <w:sz w:val="25"/>
        </w:rPr>
        <w:t></w:t>
      </w:r>
      <w:r>
        <w:rPr>
          <w:rFonts w:ascii="Times New Roman" w:hAnsi="Times New Roman" w:eastAsia="Times New Roman"/>
          <w:sz w:val="15"/>
        </w:rPr>
        <w:t>max</w:t>
      </w:r>
      <w:r>
        <w:rPr>
          <w:rFonts w:ascii="Times New Roman" w:hAnsi="Times New Roman" w:eastAsia="Times New Roman"/>
          <w:position w:val="2"/>
        </w:rPr>
        <w:t>——</w:t>
      </w:r>
      <w:r>
        <w:rPr>
          <w:position w:val="2"/>
        </w:rPr>
        <w:t>地表最大水平变形值（</w:t>
      </w:r>
      <w:r>
        <w:rPr>
          <w:rFonts w:ascii="Times New Roman" w:hAnsi="Times New Roman" w:eastAsia="Times New Roman"/>
          <w:position w:val="2"/>
        </w:rPr>
        <w:t>mm</w:t>
      </w:r>
      <w:r>
        <w:rPr>
          <w:position w:val="2"/>
        </w:rPr>
        <w:t>／</w:t>
      </w:r>
      <w:r>
        <w:rPr>
          <w:rFonts w:ascii="Times New Roman" w:hAnsi="Times New Roman" w:eastAsia="Times New Roman"/>
          <w:position w:val="2"/>
        </w:rPr>
        <w:t>m</w:t>
      </w:r>
      <w:r>
        <w:rPr>
          <w:position w:val="2"/>
        </w:rPr>
        <w:t>）</w:t>
      </w:r>
    </w:p>
    <w:p>
      <w:pPr>
        <w:pStyle w:val="6"/>
        <w:spacing w:before="164"/>
        <w:ind w:left="931"/>
      </w:pPr>
      <w:r>
        <w:rPr>
          <w:rFonts w:ascii="Times New Roman" w:hAnsi="Times New Roman" w:eastAsia="Times New Roman"/>
        </w:rPr>
        <w:t>m——</w:t>
      </w:r>
      <w:r>
        <w:t>煤层累计开采厚度（</w:t>
      </w:r>
      <w:r>
        <w:rPr>
          <w:rFonts w:ascii="Times New Roman" w:hAnsi="Times New Roman" w:eastAsia="Times New Roman"/>
        </w:rPr>
        <w:t>m</w:t>
      </w:r>
      <w:r>
        <w:t xml:space="preserve">），该矿现煤层累计的开采厚度为 </w:t>
      </w:r>
      <w:r>
        <w:rPr>
          <w:rFonts w:ascii="Times New Roman" w:hAnsi="Times New Roman" w:eastAsia="Times New Roman"/>
        </w:rPr>
        <w:t>3.48m</w:t>
      </w:r>
      <w:r>
        <w:t>（各层</w:t>
      </w:r>
    </w:p>
    <w:p>
      <w:pPr>
        <w:spacing w:after="0"/>
        <w:sectPr>
          <w:pgSz w:w="11910" w:h="16840"/>
          <w:pgMar w:top="1380" w:right="1300" w:bottom="1180" w:left="1300" w:header="0" w:footer="997" w:gutter="0"/>
        </w:sectPr>
      </w:pPr>
    </w:p>
    <w:p>
      <w:pPr>
        <w:pStyle w:val="6"/>
        <w:spacing w:before="42"/>
        <w:ind w:left="451"/>
      </w:pPr>
      <w:r>
        <w:t>可采区域不完全重叠）</w:t>
      </w:r>
    </w:p>
    <w:p>
      <w:pPr>
        <w:pStyle w:val="6"/>
        <w:spacing w:before="160" w:line="364" w:lineRule="auto"/>
        <w:ind w:left="931" w:right="2899"/>
      </w:pPr>
      <w:r>
        <w:rPr>
          <w:rFonts w:ascii="Times New Roman" w:hAnsi="Times New Roman" w:eastAsia="Times New Roman"/>
        </w:rPr>
        <w:t>α——</w:t>
      </w:r>
      <w:r>
        <w:t>煤层倾角（</w:t>
      </w:r>
      <w:r>
        <w:rPr>
          <w:rFonts w:ascii="Times New Roman" w:hAnsi="Times New Roman" w:eastAsia="Times New Roman"/>
        </w:rPr>
        <w:t>°</w:t>
      </w:r>
      <w:r>
        <w:t xml:space="preserve">），该矿各煤层倾角平均 </w:t>
      </w:r>
      <w:r>
        <w:rPr>
          <w:rFonts w:ascii="Times New Roman" w:hAnsi="Times New Roman" w:eastAsia="Times New Roman"/>
        </w:rPr>
        <w:t>25° q——</w:t>
      </w:r>
      <w:r>
        <w:t xml:space="preserve">下沉系数，（根据矿区的经验参数，取 </w:t>
      </w:r>
      <w:r>
        <w:rPr>
          <w:rFonts w:ascii="Times New Roman" w:hAnsi="Times New Roman" w:eastAsia="Times New Roman"/>
        </w:rPr>
        <w:t>0.60</w:t>
      </w:r>
      <w:r>
        <w:t>）</w:t>
      </w:r>
    </w:p>
    <w:p>
      <w:pPr>
        <w:pStyle w:val="6"/>
        <w:spacing w:before="2" w:line="364" w:lineRule="auto"/>
        <w:ind w:left="931" w:right="2419"/>
        <w:rPr>
          <w:rFonts w:ascii="Times New Roman" w:hAnsi="Times New Roman" w:eastAsia="Times New Roman"/>
        </w:rPr>
      </w:pPr>
      <w:r>
        <w:rPr>
          <w:rFonts w:ascii="Times New Roman" w:hAnsi="Times New Roman" w:eastAsia="Times New Roman"/>
        </w:rPr>
        <w:t>b——</w:t>
      </w:r>
      <w:r>
        <w:t xml:space="preserve">水平移动系数，（根据矿区的经验参数，取 </w:t>
      </w:r>
      <w:r>
        <w:rPr>
          <w:rFonts w:ascii="Times New Roman" w:hAnsi="Times New Roman" w:eastAsia="Times New Roman"/>
        </w:rPr>
        <w:t>0.25</w:t>
      </w:r>
      <w:r>
        <w:t xml:space="preserve">） </w:t>
      </w:r>
      <w:r>
        <w:rPr>
          <w:rFonts w:ascii="Times New Roman" w:hAnsi="Times New Roman" w:eastAsia="Times New Roman"/>
        </w:rPr>
        <w:t>r——</w:t>
      </w:r>
      <w:r>
        <w:t>主要影响半径，</w:t>
      </w:r>
      <w:r>
        <w:rPr>
          <w:rFonts w:ascii="Times New Roman" w:hAnsi="Times New Roman" w:eastAsia="Times New Roman"/>
        </w:rPr>
        <w:t>m</w:t>
      </w:r>
    </w:p>
    <w:p>
      <w:pPr>
        <w:pStyle w:val="13"/>
        <w:numPr>
          <w:ilvl w:val="4"/>
          <w:numId w:val="38"/>
        </w:numPr>
        <w:tabs>
          <w:tab w:val="left" w:pos="1533"/>
        </w:tabs>
        <w:spacing w:before="97" w:after="0" w:line="240" w:lineRule="auto"/>
        <w:ind w:left="1533" w:right="0" w:hanging="602"/>
        <w:jc w:val="left"/>
        <w:rPr>
          <w:sz w:val="24"/>
        </w:rPr>
      </w:pPr>
      <w:r>
        <w:rPr>
          <w:sz w:val="24"/>
        </w:rPr>
        <w:t>地表移动盆地内任意点的变形预测：</w:t>
      </w:r>
    </w:p>
    <w:p>
      <w:pPr>
        <w:pStyle w:val="6"/>
        <w:spacing w:before="213" w:line="405" w:lineRule="auto"/>
        <w:ind w:left="451" w:right="333" w:firstLine="480"/>
      </w:pPr>
      <w:r>
        <w:t>以过采空区倾斜主断面内下山计算边界且以与走向平行的方向为计算的横坐</w:t>
      </w:r>
      <w:r>
        <w:rPr>
          <w:spacing w:val="-13"/>
        </w:rPr>
        <w:t xml:space="preserve">标，以过采空区走向主断面左计算边界且与倾斜方向平行的方向为计算的纵坐标， </w:t>
      </w:r>
      <w:r>
        <w:t>任意剖面（与煤层走向成</w:t>
      </w:r>
      <w:r>
        <w:rPr>
          <w:rFonts w:ascii="Times New Roman" w:hAnsi="Times New Roman" w:eastAsia="Times New Roman"/>
        </w:rPr>
        <w:t>φ</w:t>
      </w:r>
      <w:r>
        <w:t>角）上任意点（</w:t>
      </w:r>
      <w:r>
        <w:rPr>
          <w:rFonts w:ascii="Times New Roman" w:hAnsi="Times New Roman" w:eastAsia="Times New Roman"/>
        </w:rPr>
        <w:t>x</w:t>
      </w:r>
      <w:r>
        <w:t>，</w:t>
      </w:r>
      <w:r>
        <w:rPr>
          <w:rFonts w:ascii="Times New Roman" w:hAnsi="Times New Roman" w:eastAsia="Times New Roman"/>
        </w:rPr>
        <w:t>y</w:t>
      </w:r>
      <w:r>
        <w:t>）的移动和变形计算公式如下：</w:t>
      </w:r>
    </w:p>
    <w:p>
      <w:pPr>
        <w:spacing w:after="0" w:line="405" w:lineRule="auto"/>
        <w:sectPr>
          <w:footerReference r:id="rId15" w:type="default"/>
          <w:pgSz w:w="11910" w:h="16840"/>
          <w:pgMar w:top="1460" w:right="1300" w:bottom="1180" w:left="1300" w:header="0" w:footer="997" w:gutter="0"/>
          <w:pgNumType w:start="80"/>
        </w:sectPr>
      </w:pPr>
    </w:p>
    <w:p>
      <w:pPr>
        <w:pStyle w:val="6"/>
        <w:spacing w:before="1"/>
        <w:ind w:left="931"/>
      </w:pPr>
      <w:r>
        <w:t>①地表下沉</w:t>
      </w:r>
    </w:p>
    <w:p>
      <w:pPr>
        <w:pStyle w:val="6"/>
        <w:rPr>
          <w:sz w:val="50"/>
        </w:rPr>
      </w:pPr>
      <w:r>
        <w:br w:type="column"/>
      </w:r>
    </w:p>
    <w:p>
      <w:pPr>
        <w:spacing w:before="0" w:line="410" w:lineRule="exact"/>
        <w:ind w:left="640" w:right="0" w:firstLine="0"/>
        <w:jc w:val="left"/>
        <w:rPr>
          <w:rFonts w:ascii="Times New Roman" w:hAnsi="Times New Roman"/>
          <w:sz w:val="14"/>
        </w:rPr>
      </w:pPr>
      <w:r>
        <mc:AlternateContent>
          <mc:Choice Requires="wps">
            <w:drawing>
              <wp:anchor distT="0" distB="0" distL="114300" distR="114300" simplePos="0" relativeHeight="214323200" behindDoc="1" locked="0" layoutInCell="1" allowOverlap="1">
                <wp:simplePos x="0" y="0"/>
                <wp:positionH relativeFrom="page">
                  <wp:posOffset>3653155</wp:posOffset>
                </wp:positionH>
                <wp:positionV relativeFrom="paragraph">
                  <wp:posOffset>-64135</wp:posOffset>
                </wp:positionV>
                <wp:extent cx="76200" cy="167640"/>
                <wp:effectExtent l="0" t="0" r="0" b="0"/>
                <wp:wrapNone/>
                <wp:docPr id="20" name="文本框 90"/>
                <wp:cNvGraphicFramePr/>
                <a:graphic xmlns:a="http://schemas.openxmlformats.org/drawingml/2006/main">
                  <a:graphicData uri="http://schemas.microsoft.com/office/word/2010/wordprocessingShape">
                    <wps:wsp>
                      <wps:cNvSpPr txBox="1"/>
                      <wps:spPr>
                        <a:xfrm>
                          <a:off x="0" y="0"/>
                          <a:ext cx="76200" cy="167640"/>
                        </a:xfrm>
                        <a:prstGeom prst="rect">
                          <a:avLst/>
                        </a:prstGeom>
                        <a:noFill/>
                        <a:ln>
                          <a:noFill/>
                        </a:ln>
                      </wps:spPr>
                      <wps:txbx>
                        <w:txbxContent>
                          <w:p>
                            <w:pPr>
                              <w:pStyle w:val="6"/>
                              <w:spacing w:line="264" w:lineRule="exact"/>
                              <w:rPr>
                                <w:rFonts w:ascii="Times New Roman"/>
                              </w:rPr>
                            </w:pPr>
                            <w:r>
                              <w:rPr>
                                <w:rFonts w:ascii="Times New Roman"/>
                                <w:w w:val="99"/>
                              </w:rPr>
                              <w:t>1</w:t>
                            </w:r>
                          </w:p>
                        </w:txbxContent>
                      </wps:txbx>
                      <wps:bodyPr lIns="0" tIns="0" rIns="0" bIns="0" upright="1"/>
                    </wps:wsp>
                  </a:graphicData>
                </a:graphic>
              </wp:anchor>
            </w:drawing>
          </mc:Choice>
          <mc:Fallback>
            <w:pict>
              <v:shape id="文本框 90" o:spid="_x0000_s1026" o:spt="202" type="#_x0000_t202" style="position:absolute;left:0pt;margin-left:287.65pt;margin-top:-5.05pt;height:13.2pt;width:6pt;mso-position-horizontal-relative:page;z-index:-288993280;mso-width-relative:page;mso-height-relative:page;" filled="f" stroked="f" coordsize="21600,21600" o:gfxdata="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Ake0p/ZAAAACgEAAA8AAAAAAAAA&#10;AQAgAAAAIgAAAGRycy9kb3ducmV2LnhtbFBLAQIUABQAAAAIAIdO4kDZIm+RngEAACQDAAAOAAAA&#10;AAAAAAEAIAAAACgBAABkcnMvZTJvRG9jLnhtbFBLBQYAAAAABgAGAFkBAAA4BQAAAAA=&#10;">
                <v:fill on="f" focussize="0,0"/>
                <v:stroke on="f"/>
                <v:imagedata o:title=""/>
                <o:lock v:ext="edit" aspectratio="f"/>
                <v:textbox inset="0mm,0mm,0mm,0mm">
                  <w:txbxContent>
                    <w:p>
                      <w:pPr>
                        <w:pStyle w:val="6"/>
                        <w:spacing w:line="264" w:lineRule="exact"/>
                        <w:rPr>
                          <w:rFonts w:ascii="Times New Roman"/>
                        </w:rPr>
                      </w:pPr>
                      <w:r>
                        <w:rPr>
                          <w:rFonts w:ascii="Times New Roman"/>
                          <w:w w:val="99"/>
                        </w:rPr>
                        <w:t>1</w:t>
                      </w:r>
                    </w:p>
                  </w:txbxContent>
                </v:textbox>
              </v:shape>
            </w:pict>
          </mc:Fallback>
        </mc:AlternateContent>
      </w:r>
      <w:r>
        <mc:AlternateContent>
          <mc:Choice Requires="wps">
            <w:drawing>
              <wp:anchor distT="0" distB="0" distL="114300" distR="114300" simplePos="0" relativeHeight="214324224" behindDoc="1" locked="0" layoutInCell="1" allowOverlap="1">
                <wp:simplePos x="0" y="0"/>
                <wp:positionH relativeFrom="page">
                  <wp:posOffset>3619500</wp:posOffset>
                </wp:positionH>
                <wp:positionV relativeFrom="paragraph">
                  <wp:posOffset>154305</wp:posOffset>
                </wp:positionV>
                <wp:extent cx="59055" cy="167640"/>
                <wp:effectExtent l="0" t="0" r="0" b="0"/>
                <wp:wrapNone/>
                <wp:docPr id="22" name="文本框 91"/>
                <wp:cNvGraphicFramePr/>
                <a:graphic xmlns:a="http://schemas.openxmlformats.org/drawingml/2006/main">
                  <a:graphicData uri="http://schemas.microsoft.com/office/word/2010/wordprocessingShape">
                    <wps:wsp>
                      <wps:cNvSpPr txBox="1"/>
                      <wps:spPr>
                        <a:xfrm>
                          <a:off x="0" y="0"/>
                          <a:ext cx="59055" cy="167640"/>
                        </a:xfrm>
                        <a:prstGeom prst="rect">
                          <a:avLst/>
                        </a:prstGeom>
                        <a:noFill/>
                        <a:ln>
                          <a:noFill/>
                        </a:ln>
                      </wps:spPr>
                      <wps:txbx>
                        <w:txbxContent>
                          <w:p>
                            <w:pPr>
                              <w:spacing w:before="0" w:line="264" w:lineRule="exact"/>
                              <w:ind w:left="0" w:right="0" w:firstLine="0"/>
                              <w:jc w:val="left"/>
                              <w:rPr>
                                <w:rFonts w:ascii="Times New Roman"/>
                                <w:i/>
                                <w:sz w:val="24"/>
                              </w:rPr>
                            </w:pPr>
                            <w:r>
                              <w:rPr>
                                <w:rFonts w:ascii="Times New Roman"/>
                                <w:i/>
                                <w:w w:val="99"/>
                                <w:sz w:val="24"/>
                              </w:rPr>
                              <w:t>r</w:t>
                            </w:r>
                          </w:p>
                        </w:txbxContent>
                      </wps:txbx>
                      <wps:bodyPr lIns="0" tIns="0" rIns="0" bIns="0" upright="1"/>
                    </wps:wsp>
                  </a:graphicData>
                </a:graphic>
              </wp:anchor>
            </w:drawing>
          </mc:Choice>
          <mc:Fallback>
            <w:pict>
              <v:shape id="文本框 91" o:spid="_x0000_s1026" o:spt="202" type="#_x0000_t202" style="position:absolute;left:0pt;margin-left:285pt;margin-top:12.15pt;height:13.2pt;width:4.65pt;mso-position-horizontal-relative:page;z-index:-288992256;mso-width-relative:page;mso-height-relative:page;" filled="f" stroked="f" coordsize="21600,21600" o:gfxdata="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9NBTbtgAAAAJAQAADwAAAAAA&#10;AAABACAAAAAiAAAAZHJzL2Rvd25yZXYueG1sUEsBAhQAFAAAAAgAh07iQC7riMOhAQAAJAMAAA4A&#10;AAAAAAAAAQAgAAAAJwEAAGRycy9lMm9Eb2MueG1sUEsFBgAAAAAGAAYAWQEAADoFAAAAAA==&#10;">
                <v:fill on="f" focussize="0,0"/>
                <v:stroke on="f"/>
                <v:imagedata o:title=""/>
                <o:lock v:ext="edit" aspectratio="f"/>
                <v:textbox inset="0mm,0mm,0mm,0mm">
                  <w:txbxContent>
                    <w:p>
                      <w:pPr>
                        <w:spacing w:before="0" w:line="264" w:lineRule="exact"/>
                        <w:ind w:left="0" w:right="0" w:firstLine="0"/>
                        <w:jc w:val="left"/>
                        <w:rPr>
                          <w:rFonts w:ascii="Times New Roman"/>
                          <w:i/>
                          <w:sz w:val="24"/>
                        </w:rPr>
                      </w:pPr>
                      <w:r>
                        <w:rPr>
                          <w:rFonts w:ascii="Times New Roman"/>
                          <w:i/>
                          <w:w w:val="99"/>
                          <w:sz w:val="24"/>
                        </w:rPr>
                        <w:t>r</w:t>
                      </w:r>
                    </w:p>
                  </w:txbxContent>
                </v:textbox>
              </v:shape>
            </w:pict>
          </mc:Fallback>
        </mc:AlternateContent>
      </w:r>
      <w:r>
        <w:rPr>
          <w:rFonts w:ascii="Times New Roman" w:hAnsi="Times New Roman"/>
          <w:i/>
          <w:position w:val="6"/>
          <w:sz w:val="24"/>
        </w:rPr>
        <w:t>W</w:t>
      </w:r>
      <w:r>
        <w:rPr>
          <w:rFonts w:ascii="Times New Roman" w:hAnsi="Times New Roman"/>
          <w:sz w:val="14"/>
        </w:rPr>
        <w:t xml:space="preserve">( </w:t>
      </w:r>
      <w:r>
        <w:rPr>
          <w:rFonts w:ascii="Times New Roman" w:hAnsi="Times New Roman"/>
          <w:i/>
          <w:sz w:val="14"/>
        </w:rPr>
        <w:t>x</w:t>
      </w:r>
      <w:r>
        <w:rPr>
          <w:rFonts w:ascii="Times New Roman" w:hAnsi="Times New Roman"/>
          <w:sz w:val="14"/>
        </w:rPr>
        <w:t xml:space="preserve">, </w:t>
      </w:r>
      <w:r>
        <w:rPr>
          <w:rFonts w:ascii="Times New Roman" w:hAnsi="Times New Roman"/>
          <w:i/>
          <w:sz w:val="14"/>
        </w:rPr>
        <w:t xml:space="preserve">y </w:t>
      </w:r>
      <w:r>
        <w:rPr>
          <w:rFonts w:ascii="Times New Roman" w:hAnsi="Times New Roman"/>
          <w:sz w:val="14"/>
        </w:rPr>
        <w:t xml:space="preserve">) </w:t>
      </w:r>
      <w:r>
        <w:rPr>
          <w:rFonts w:ascii="Symbol" w:hAnsi="Symbol"/>
          <w:position w:val="6"/>
          <w:sz w:val="24"/>
        </w:rPr>
        <w:t></w:t>
      </w:r>
      <w:r>
        <w:rPr>
          <w:rFonts w:ascii="Times New Roman" w:hAnsi="Times New Roman"/>
          <w:position w:val="6"/>
          <w:sz w:val="24"/>
        </w:rPr>
        <w:t xml:space="preserve"> </w:t>
      </w:r>
      <w:r>
        <w:rPr>
          <w:rFonts w:ascii="Times New Roman" w:hAnsi="Times New Roman"/>
          <w:i/>
          <w:position w:val="6"/>
          <w:sz w:val="24"/>
        </w:rPr>
        <w:t>W</w:t>
      </w:r>
      <w:r>
        <w:rPr>
          <w:rFonts w:ascii="Times New Roman" w:hAnsi="Times New Roman"/>
          <w:sz w:val="14"/>
        </w:rPr>
        <w:t xml:space="preserve">max </w:t>
      </w:r>
      <w:r>
        <w:rPr>
          <w:rFonts w:ascii="Symbol" w:hAnsi="Symbol"/>
          <w:position w:val="6"/>
          <w:sz w:val="24"/>
        </w:rPr>
        <w:t></w:t>
      </w:r>
      <w:r>
        <w:rPr>
          <w:rFonts w:ascii="Times New Roman" w:hAnsi="Times New Roman"/>
          <w:position w:val="6"/>
          <w:sz w:val="24"/>
        </w:rPr>
        <w:t xml:space="preserve"> </w:t>
      </w:r>
      <w:r>
        <w:rPr>
          <w:rFonts w:ascii="Symbol" w:hAnsi="Symbol"/>
          <w:position w:val="-2"/>
          <w:sz w:val="35"/>
        </w:rPr>
        <w:t></w:t>
      </w:r>
      <w:r>
        <w:rPr>
          <w:rFonts w:ascii="Times New Roman" w:hAnsi="Times New Roman"/>
          <w:position w:val="-2"/>
          <w:sz w:val="35"/>
        </w:rPr>
        <w:t xml:space="preserve"> </w:t>
      </w:r>
      <w:r>
        <w:rPr>
          <w:rFonts w:ascii="Times New Roman" w:hAnsi="Times New Roman"/>
          <w:position w:val="-2"/>
          <w:sz w:val="14"/>
        </w:rPr>
        <w:t>2</w:t>
      </w:r>
    </w:p>
    <w:p>
      <w:pPr>
        <w:spacing w:before="0" w:line="142" w:lineRule="exact"/>
        <w:ind w:left="0" w:right="298" w:firstLine="0"/>
        <w:jc w:val="right"/>
        <w:rPr>
          <w:rFonts w:ascii="Times New Roman"/>
          <w:i/>
          <w:sz w:val="14"/>
        </w:rPr>
      </w:pPr>
      <w:r>
        <w:rPr>
          <w:rFonts w:ascii="Times New Roman"/>
          <w:i/>
          <w:w w:val="99"/>
          <w:sz w:val="14"/>
        </w:rPr>
        <w:t>D</w:t>
      </w:r>
    </w:p>
    <w:p>
      <w:pPr>
        <w:pStyle w:val="6"/>
        <w:rPr>
          <w:rFonts w:ascii="Times New Roman"/>
          <w:i/>
          <w:sz w:val="26"/>
        </w:rPr>
      </w:pPr>
      <w:r>
        <w:br w:type="column"/>
      </w:r>
    </w:p>
    <w:p>
      <w:pPr>
        <w:spacing w:before="183" w:line="170" w:lineRule="auto"/>
        <w:ind w:left="276" w:right="0" w:firstLine="0"/>
        <w:jc w:val="left"/>
        <w:rPr>
          <w:rFonts w:ascii="Times New Roman" w:hAnsi="Times New Roman"/>
          <w:sz w:val="14"/>
        </w:rPr>
      </w:pPr>
      <w:r>
        <w:rPr>
          <w:rFonts w:ascii="Symbol" w:hAnsi="Symbol"/>
          <w:position w:val="-8"/>
          <w:sz w:val="14"/>
        </w:rPr>
        <w:t></w:t>
      </w:r>
      <w:r>
        <w:rPr>
          <w:rFonts w:ascii="Symbol" w:hAnsi="Symbol"/>
          <w:i/>
          <w:position w:val="-8"/>
          <w:sz w:val="14"/>
        </w:rPr>
        <w:t></w:t>
      </w:r>
      <w:r>
        <w:rPr>
          <w:rFonts w:ascii="Times New Roman" w:hAnsi="Times New Roman"/>
          <w:sz w:val="14"/>
        </w:rPr>
        <w:t>(</w:t>
      </w:r>
      <w:r>
        <w:rPr>
          <w:rFonts w:ascii="Symbol" w:hAnsi="Symbol"/>
          <w:i/>
          <w:sz w:val="14"/>
        </w:rPr>
        <w:t></w:t>
      </w:r>
      <w:r>
        <w:rPr>
          <w:rFonts w:ascii="Symbol" w:hAnsi="Symbol"/>
          <w:sz w:val="14"/>
        </w:rPr>
        <w:t></w:t>
      </w:r>
      <w:r>
        <w:rPr>
          <w:rFonts w:ascii="Times New Roman" w:hAnsi="Times New Roman"/>
          <w:sz w:val="14"/>
        </w:rPr>
        <w:t xml:space="preserve"> </w:t>
      </w:r>
      <w:r>
        <w:rPr>
          <w:rFonts w:ascii="Times New Roman" w:hAnsi="Times New Roman"/>
          <w:i/>
          <w:sz w:val="14"/>
        </w:rPr>
        <w:t>x</w:t>
      </w:r>
      <w:r>
        <w:rPr>
          <w:rFonts w:ascii="Times New Roman" w:hAnsi="Times New Roman"/>
          <w:sz w:val="14"/>
        </w:rPr>
        <w:t>)</w:t>
      </w:r>
      <w:r>
        <w:rPr>
          <w:rFonts w:ascii="Times New Roman" w:hAnsi="Times New Roman"/>
          <w:sz w:val="14"/>
          <w:vertAlign w:val="superscript"/>
        </w:rPr>
        <w:t>2</w:t>
      </w:r>
      <w:r>
        <w:rPr>
          <w:rFonts w:ascii="Times New Roman" w:hAnsi="Times New Roman"/>
          <w:sz w:val="14"/>
          <w:vertAlign w:val="baseline"/>
        </w:rPr>
        <w:t xml:space="preserve"> </w:t>
      </w:r>
      <w:r>
        <w:rPr>
          <w:rFonts w:ascii="Symbol" w:hAnsi="Symbol"/>
          <w:sz w:val="14"/>
          <w:vertAlign w:val="baseline"/>
        </w:rPr>
        <w:t></w:t>
      </w:r>
      <w:r>
        <w:rPr>
          <w:rFonts w:ascii="Times New Roman" w:hAnsi="Times New Roman"/>
          <w:sz w:val="14"/>
          <w:vertAlign w:val="baseline"/>
        </w:rPr>
        <w:t>(</w:t>
      </w:r>
      <w:r>
        <w:rPr>
          <w:rFonts w:ascii="Symbol" w:hAnsi="Symbol"/>
          <w:i/>
          <w:sz w:val="14"/>
          <w:vertAlign w:val="baseline"/>
        </w:rPr>
        <w:t></w:t>
      </w:r>
      <w:r>
        <w:rPr>
          <w:rFonts w:ascii="Symbol" w:hAnsi="Symbol"/>
          <w:sz w:val="14"/>
          <w:vertAlign w:val="baseline"/>
        </w:rPr>
        <w:t></w:t>
      </w:r>
      <w:r>
        <w:rPr>
          <w:rFonts w:ascii="Times New Roman" w:hAnsi="Times New Roman"/>
          <w:sz w:val="14"/>
          <w:vertAlign w:val="baseline"/>
        </w:rPr>
        <w:t xml:space="preserve"> </w:t>
      </w:r>
      <w:r>
        <w:rPr>
          <w:rFonts w:ascii="Times New Roman" w:hAnsi="Times New Roman"/>
          <w:i/>
          <w:sz w:val="14"/>
          <w:vertAlign w:val="baseline"/>
        </w:rPr>
        <w:t xml:space="preserve">y </w:t>
      </w:r>
      <w:r>
        <w:rPr>
          <w:rFonts w:ascii="Times New Roman" w:hAnsi="Times New Roman"/>
          <w:sz w:val="14"/>
          <w:vertAlign w:val="baseline"/>
        </w:rPr>
        <w:t>)</w:t>
      </w:r>
      <w:r>
        <w:rPr>
          <w:rFonts w:ascii="Times New Roman" w:hAnsi="Times New Roman"/>
          <w:sz w:val="14"/>
          <w:vertAlign w:val="superscript"/>
        </w:rPr>
        <w:t>2</w:t>
      </w:r>
    </w:p>
    <w:p>
      <w:pPr>
        <w:tabs>
          <w:tab w:val="left" w:pos="882"/>
        </w:tabs>
        <w:spacing w:before="0" w:line="260" w:lineRule="exact"/>
        <w:ind w:left="52" w:right="0" w:firstLine="0"/>
        <w:jc w:val="left"/>
        <w:rPr>
          <w:rFonts w:ascii="Times New Roman" w:hAnsi="Times New Roman"/>
          <w:sz w:val="10"/>
        </w:rPr>
      </w:pPr>
      <w:r>
        <mc:AlternateContent>
          <mc:Choice Requires="wps">
            <w:drawing>
              <wp:anchor distT="0" distB="0" distL="114300" distR="114300" simplePos="0" relativeHeight="214319104" behindDoc="1" locked="0" layoutInCell="1" allowOverlap="1">
                <wp:simplePos x="0" y="0"/>
                <wp:positionH relativeFrom="page">
                  <wp:posOffset>3609340</wp:posOffset>
                </wp:positionH>
                <wp:positionV relativeFrom="paragraph">
                  <wp:posOffset>92710</wp:posOffset>
                </wp:positionV>
                <wp:extent cx="163195" cy="0"/>
                <wp:effectExtent l="0" t="0" r="0" b="0"/>
                <wp:wrapNone/>
                <wp:docPr id="18" name="直线 92"/>
                <wp:cNvGraphicFramePr/>
                <a:graphic xmlns:a="http://schemas.openxmlformats.org/drawingml/2006/main">
                  <a:graphicData uri="http://schemas.microsoft.com/office/word/2010/wordprocessingShape">
                    <wps:wsp>
                      <wps:cNvSpPr/>
                      <wps:spPr>
                        <a:xfrm>
                          <a:off x="0" y="0"/>
                          <a:ext cx="163195" cy="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92" o:spid="_x0000_s1026" o:spt="20" style="position:absolute;left:0pt;margin-left:284.2pt;margin-top:7.3pt;height:0pt;width:12.85pt;mso-position-horizontal-relative:page;z-index:-288997376;mso-width-relative:page;mso-height-relative:page;" filled="f" stroked="t" coordsize="21600,21600" o:gfxdata="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jEl91AAAAAkBAAAPAAAAAAAAAAEAIAAAACIAAABkcnMv&#10;ZG93bnJldi54bWxQSwECFAAUAAAACACHTuJAxY4zzs4BAACOAwAADgAAAAAAAAABACAAAAAjAQAA&#10;ZHJzL2Uyb0RvYy54bWxQSwUGAAAAAAYABgBZAQAAYwUAAAAA&#10;">
                <v:fill on="f" focussize="0,0"/>
                <v:stroke weight="0.5pt" color="#000000" joinstyle="round"/>
                <v:imagedata o:title=""/>
                <o:lock v:ext="edit" aspectratio="f"/>
              </v:line>
            </w:pict>
          </mc:Fallback>
        </mc:AlternateContent>
      </w:r>
      <w:r>
        <mc:AlternateContent>
          <mc:Choice Requires="wps">
            <w:drawing>
              <wp:anchor distT="0" distB="0" distL="114300" distR="114300" simplePos="0" relativeHeight="251729920" behindDoc="0" locked="0" layoutInCell="1" allowOverlap="1">
                <wp:simplePos x="0" y="0"/>
                <wp:positionH relativeFrom="page">
                  <wp:posOffset>4062095</wp:posOffset>
                </wp:positionH>
                <wp:positionV relativeFrom="paragraph">
                  <wp:posOffset>-19685</wp:posOffset>
                </wp:positionV>
                <wp:extent cx="620395" cy="0"/>
                <wp:effectExtent l="0" t="0" r="0" b="0"/>
                <wp:wrapNone/>
                <wp:docPr id="244" name="直线 93"/>
                <wp:cNvGraphicFramePr/>
                <a:graphic xmlns:a="http://schemas.openxmlformats.org/drawingml/2006/main">
                  <a:graphicData uri="http://schemas.microsoft.com/office/word/2010/wordprocessingShape">
                    <wps:wsp>
                      <wps:cNvSpPr/>
                      <wps:spPr>
                        <a:xfrm>
                          <a:off x="0" y="0"/>
                          <a:ext cx="620395" cy="0"/>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直线 93" o:spid="_x0000_s1026" o:spt="20" style="position:absolute;left:0pt;margin-left:319.85pt;margin-top:-1.55pt;height:0pt;width:48.85pt;mso-position-horizontal-relative:page;z-index:251729920;mso-width-relative:page;mso-height-relative:page;" filled="f" stroked="t" coordsize="21600,21600" o:gfxdata="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KiTdG2QAAAAkBAAAPAAAAAAAAAAEAIAAAACIA&#10;AABkcnMvZG93bnJldi54bWxQSwECFAAUAAAACACHTuJAA/Spv88BAACPAwAADgAAAAAAAAABACAA&#10;AAAoAQAAZHJzL2Uyb0RvYy54bWxQSwUGAAAAAAYABgBZAQAAaQUAAAAA&#10;">
                <v:fill on="f" focussize="0,0"/>
                <v:stroke weight="0.25pt" color="#000000" joinstyle="round"/>
                <v:imagedata o:title=""/>
                <o:lock v:ext="edit" aspectratio="f"/>
              </v:line>
            </w:pict>
          </mc:Fallback>
        </mc:AlternateContent>
      </w:r>
      <w:r>
        <w:rPr>
          <w:rFonts w:ascii="Symbol" w:hAnsi="Symbol"/>
          <w:sz w:val="24"/>
        </w:rPr>
        <w:t></w:t>
      </w:r>
      <w:r>
        <w:rPr>
          <w:rFonts w:ascii="Times New Roman" w:hAnsi="Times New Roman"/>
          <w:spacing w:val="-25"/>
          <w:sz w:val="24"/>
        </w:rPr>
        <w:t xml:space="preserve"> </w:t>
      </w:r>
      <w:r>
        <w:rPr>
          <w:rFonts w:ascii="Times New Roman" w:hAnsi="Times New Roman"/>
          <w:i/>
          <w:sz w:val="24"/>
        </w:rPr>
        <w:t>e</w:t>
      </w:r>
      <w:r>
        <w:rPr>
          <w:rFonts w:ascii="Times New Roman" w:hAnsi="Times New Roman"/>
          <w:i/>
          <w:sz w:val="24"/>
        </w:rPr>
        <w:tab/>
      </w:r>
      <w:r>
        <w:rPr>
          <w:rFonts w:ascii="Times New Roman" w:hAnsi="Times New Roman"/>
          <w:i/>
          <w:position w:val="7"/>
          <w:sz w:val="14"/>
        </w:rPr>
        <w:t>r</w:t>
      </w:r>
      <w:r>
        <w:rPr>
          <w:rFonts w:ascii="Times New Roman" w:hAnsi="Times New Roman"/>
          <w:i/>
          <w:spacing w:val="-18"/>
          <w:position w:val="7"/>
          <w:sz w:val="14"/>
        </w:rPr>
        <w:t xml:space="preserve"> </w:t>
      </w:r>
      <w:r>
        <w:rPr>
          <w:rFonts w:ascii="Times New Roman" w:hAnsi="Times New Roman"/>
          <w:position w:val="14"/>
          <w:sz w:val="10"/>
        </w:rPr>
        <w:t>2</w:t>
      </w:r>
    </w:p>
    <w:p>
      <w:pPr>
        <w:pStyle w:val="6"/>
        <w:rPr>
          <w:rFonts w:ascii="Times New Roman"/>
          <w:sz w:val="28"/>
        </w:rPr>
      </w:pPr>
      <w:r>
        <w:br w:type="column"/>
      </w:r>
    </w:p>
    <w:p>
      <w:pPr>
        <w:pStyle w:val="6"/>
        <w:spacing w:before="7"/>
        <w:rPr>
          <w:rFonts w:ascii="Times New Roman"/>
          <w:sz w:val="28"/>
        </w:rPr>
      </w:pPr>
    </w:p>
    <w:p>
      <w:pPr>
        <w:spacing w:before="0"/>
        <w:ind w:left="61" w:right="0" w:firstLine="0"/>
        <w:jc w:val="left"/>
        <w:rPr>
          <w:rFonts w:ascii="Symbol" w:hAnsi="Symbol"/>
          <w:i/>
          <w:sz w:val="25"/>
        </w:rPr>
      </w:pPr>
      <w:r>
        <w:rPr>
          <w:rFonts w:ascii="Symbol" w:hAnsi="Symbol"/>
          <w:sz w:val="24"/>
        </w:rPr>
        <w:t></w:t>
      </w:r>
      <w:r>
        <w:rPr>
          <w:rFonts w:ascii="Times New Roman" w:hAnsi="Times New Roman"/>
          <w:sz w:val="24"/>
        </w:rPr>
        <w:t xml:space="preserve"> </w:t>
      </w:r>
      <w:r>
        <w:rPr>
          <w:rFonts w:ascii="Times New Roman" w:hAnsi="Times New Roman"/>
          <w:i/>
          <w:sz w:val="24"/>
        </w:rPr>
        <w:t>d</w:t>
      </w:r>
      <w:r>
        <w:rPr>
          <w:rFonts w:ascii="Symbol" w:hAnsi="Symbol"/>
          <w:i/>
          <w:sz w:val="25"/>
        </w:rPr>
        <w:t></w:t>
      </w:r>
      <w:r>
        <w:rPr>
          <w:rFonts w:ascii="Symbol" w:hAnsi="Symbol"/>
          <w:sz w:val="24"/>
        </w:rPr>
        <w:t></w:t>
      </w:r>
      <w:r>
        <w:rPr>
          <w:rFonts w:ascii="Times New Roman" w:hAnsi="Times New Roman"/>
          <w:sz w:val="24"/>
        </w:rPr>
        <w:t xml:space="preserve"> </w:t>
      </w:r>
      <w:r>
        <w:rPr>
          <w:rFonts w:ascii="Times New Roman" w:hAnsi="Times New Roman"/>
          <w:i/>
          <w:sz w:val="24"/>
        </w:rPr>
        <w:t>d</w:t>
      </w:r>
      <w:r>
        <w:rPr>
          <w:rFonts w:ascii="Symbol" w:hAnsi="Symbol"/>
          <w:i/>
          <w:sz w:val="25"/>
        </w:rPr>
        <w:t></w:t>
      </w:r>
    </w:p>
    <w:p>
      <w:pPr>
        <w:spacing w:after="0"/>
        <w:jc w:val="left"/>
        <w:rPr>
          <w:rFonts w:ascii="Symbol" w:hAnsi="Symbol"/>
          <w:sz w:val="25"/>
        </w:rPr>
        <w:sectPr>
          <w:type w:val="continuous"/>
          <w:pgSz w:w="11910" w:h="16840"/>
          <w:pgMar w:top="1580" w:right="1300" w:bottom="280" w:left="1300" w:header="720" w:footer="720" w:gutter="0"/>
          <w:cols w:equalWidth="0" w:num="4">
            <w:col w:w="2133" w:space="40"/>
            <w:col w:w="2426" w:space="39"/>
            <w:col w:w="1417" w:space="39"/>
            <w:col w:w="3216"/>
          </w:cols>
        </w:sectPr>
      </w:pPr>
    </w:p>
    <w:p>
      <w:pPr>
        <w:pStyle w:val="6"/>
        <w:spacing w:before="3"/>
        <w:rPr>
          <w:rFonts w:ascii="Symbol" w:hAnsi="Symbol"/>
          <w:i/>
          <w:sz w:val="16"/>
        </w:rPr>
      </w:pPr>
    </w:p>
    <w:p>
      <w:pPr>
        <w:spacing w:after="0"/>
        <w:rPr>
          <w:rFonts w:ascii="Symbol" w:hAnsi="Symbol"/>
          <w:sz w:val="16"/>
        </w:rPr>
        <w:sectPr>
          <w:type w:val="continuous"/>
          <w:pgSz w:w="11910" w:h="16840"/>
          <w:pgMar w:top="1580" w:right="1300" w:bottom="280" w:left="1300" w:header="720" w:footer="720" w:gutter="0"/>
        </w:sectPr>
      </w:pPr>
    </w:p>
    <w:p>
      <w:pPr>
        <w:pStyle w:val="6"/>
        <w:spacing w:before="66"/>
        <w:ind w:left="931"/>
      </w:pPr>
      <w:r>
        <w:t>②地表倾斜</w:t>
      </w:r>
    </w:p>
    <w:p>
      <w:pPr>
        <w:pStyle w:val="6"/>
        <w:spacing w:before="1"/>
        <w:rPr>
          <w:sz w:val="43"/>
        </w:rPr>
      </w:pPr>
      <w:r>
        <w:br w:type="column"/>
      </w:r>
    </w:p>
    <w:p>
      <w:pPr>
        <w:spacing w:before="0"/>
        <w:ind w:left="1978" w:right="0" w:firstLine="0"/>
        <w:jc w:val="left"/>
        <w:rPr>
          <w:rFonts w:ascii="Times New Roman" w:hAnsi="Times New Roman"/>
          <w:sz w:val="24"/>
        </w:rPr>
      </w:pPr>
      <w:r>
        <mc:AlternateContent>
          <mc:Choice Requires="wps">
            <w:drawing>
              <wp:anchor distT="0" distB="0" distL="114300" distR="114300" simplePos="0" relativeHeight="214325248" behindDoc="1" locked="0" layoutInCell="1" allowOverlap="1">
                <wp:simplePos x="0" y="0"/>
                <wp:positionH relativeFrom="page">
                  <wp:posOffset>3312795</wp:posOffset>
                </wp:positionH>
                <wp:positionV relativeFrom="paragraph">
                  <wp:posOffset>78105</wp:posOffset>
                </wp:positionV>
                <wp:extent cx="128905" cy="287020"/>
                <wp:effectExtent l="0" t="0" r="0" b="0"/>
                <wp:wrapNone/>
                <wp:docPr id="24" name="文本框 94"/>
                <wp:cNvGraphicFramePr/>
                <a:graphic xmlns:a="http://schemas.openxmlformats.org/drawingml/2006/main">
                  <a:graphicData uri="http://schemas.microsoft.com/office/word/2010/wordprocessingShape">
                    <wps:wsp>
                      <wps:cNvSpPr txBox="1"/>
                      <wps:spPr>
                        <a:xfrm>
                          <a:off x="0" y="0"/>
                          <a:ext cx="128905" cy="287020"/>
                        </a:xfrm>
                        <a:prstGeom prst="rect">
                          <a:avLst/>
                        </a:prstGeom>
                        <a:noFill/>
                        <a:ln>
                          <a:noFill/>
                        </a:ln>
                      </wps:spPr>
                      <wps:txbx>
                        <w:txbxContent>
                          <w:p>
                            <w:pPr>
                              <w:spacing w:before="0" w:line="452" w:lineRule="exact"/>
                              <w:ind w:left="0" w:right="0" w:firstLine="0"/>
                              <w:jc w:val="left"/>
                              <w:rPr>
                                <w:rFonts w:ascii="Symbol" w:hAnsi="Symbol"/>
                                <w:sz w:val="37"/>
                              </w:rPr>
                            </w:pPr>
                            <w:r>
                              <w:rPr>
                                <w:rFonts w:ascii="Symbol" w:hAnsi="Symbol"/>
                                <w:w w:val="95"/>
                                <w:sz w:val="37"/>
                              </w:rPr>
                              <w:t></w:t>
                            </w:r>
                          </w:p>
                        </w:txbxContent>
                      </wps:txbx>
                      <wps:bodyPr lIns="0" tIns="0" rIns="0" bIns="0" upright="1"/>
                    </wps:wsp>
                  </a:graphicData>
                </a:graphic>
              </wp:anchor>
            </w:drawing>
          </mc:Choice>
          <mc:Fallback>
            <w:pict>
              <v:shape id="文本框 94" o:spid="_x0000_s1026" o:spt="202" type="#_x0000_t202" style="position:absolute;left:0pt;margin-left:260.85pt;margin-top:6.15pt;height:22.6pt;width:10.15pt;mso-position-horizontal-relative:page;z-index:-288991232;mso-width-relative:page;mso-height-relative:page;" filled="f" stroked="f" coordsize="21600,21600" o:gfxdata="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t1bQ12AAAAAkBAAAPAAAAAAAA&#10;AAEAIAAAACIAAABkcnMvZG93bnJldi54bWxQSwECFAAUAAAACACHTuJAb5Eu5KABAAAlAwAADgAA&#10;AAAAAAABACAAAAAnAQAAZHJzL2Uyb0RvYy54bWxQSwUGAAAAAAYABgBZAQAAOQUAAAAA&#10;">
                <v:fill on="f" focussize="0,0"/>
                <v:stroke on="f"/>
                <v:imagedata o:title=""/>
                <o:lock v:ext="edit" aspectratio="f"/>
                <v:textbox inset="0mm,0mm,0mm,0mm">
                  <w:txbxContent>
                    <w:p>
                      <w:pPr>
                        <w:spacing w:before="0" w:line="452" w:lineRule="exact"/>
                        <w:ind w:left="0" w:right="0" w:firstLine="0"/>
                        <w:jc w:val="left"/>
                        <w:rPr>
                          <w:rFonts w:ascii="Symbol" w:hAnsi="Symbol"/>
                          <w:sz w:val="37"/>
                        </w:rPr>
                      </w:pPr>
                      <w:r>
                        <w:rPr>
                          <w:rFonts w:ascii="Symbol" w:hAnsi="Symbol"/>
                          <w:w w:val="95"/>
                          <w:sz w:val="37"/>
                        </w:rPr>
                        <w:t></w:t>
                      </w:r>
                    </w:p>
                  </w:txbxContent>
                </v:textbox>
              </v:shape>
            </w:pict>
          </mc:Fallback>
        </mc:AlternateContent>
      </w:r>
      <w:r>
        <w:rPr>
          <w:rFonts w:ascii="Times New Roman" w:hAnsi="Times New Roman"/>
          <w:sz w:val="24"/>
        </w:rPr>
        <w:t>2</w:t>
      </w:r>
      <w:r>
        <w:rPr>
          <w:rFonts w:ascii="Symbol" w:hAnsi="Symbol"/>
          <w:i/>
          <w:sz w:val="25"/>
        </w:rPr>
        <w:t></w:t>
      </w:r>
      <w:r>
        <w:rPr>
          <w:rFonts w:ascii="Times New Roman" w:hAnsi="Times New Roman"/>
          <w:sz w:val="24"/>
        </w:rPr>
        <w:t>(</w:t>
      </w:r>
      <w:r>
        <w:rPr>
          <w:rFonts w:ascii="Symbol" w:hAnsi="Symbol"/>
          <w:i/>
          <w:sz w:val="25"/>
        </w:rPr>
        <w:t></w:t>
      </w:r>
      <w:r>
        <w:rPr>
          <w:rFonts w:ascii="Symbol" w:hAnsi="Symbol"/>
          <w:sz w:val="24"/>
        </w:rPr>
        <w:t></w:t>
      </w:r>
      <w:r>
        <w:rPr>
          <w:rFonts w:ascii="Times New Roman" w:hAnsi="Times New Roman"/>
          <w:sz w:val="24"/>
        </w:rPr>
        <w:t xml:space="preserve"> </w:t>
      </w:r>
      <w:r>
        <w:rPr>
          <w:rFonts w:ascii="Times New Roman" w:hAnsi="Times New Roman"/>
          <w:i/>
          <w:sz w:val="24"/>
        </w:rPr>
        <w:t>x</w:t>
      </w:r>
      <w:r>
        <w:rPr>
          <w:rFonts w:ascii="Times New Roman" w:hAnsi="Times New Roman"/>
          <w:sz w:val="24"/>
        </w:rPr>
        <w:t>)</w:t>
      </w:r>
    </w:p>
    <w:p>
      <w:pPr>
        <w:tabs>
          <w:tab w:val="left" w:pos="1380"/>
          <w:tab w:val="left" w:pos="2319"/>
        </w:tabs>
        <w:spacing w:before="0" w:line="177" w:lineRule="exact"/>
        <w:ind w:left="519" w:right="0" w:firstLine="0"/>
        <w:jc w:val="left"/>
        <w:rPr>
          <w:rFonts w:ascii="Times New Roman"/>
          <w:sz w:val="14"/>
        </w:rPr>
      </w:pPr>
      <w:r>
        <mc:AlternateContent>
          <mc:Choice Requires="wps">
            <w:drawing>
              <wp:anchor distT="0" distB="0" distL="114300" distR="114300" simplePos="0" relativeHeight="251730944" behindDoc="0" locked="0" layoutInCell="1" allowOverlap="1">
                <wp:simplePos x="0" y="0"/>
                <wp:positionH relativeFrom="page">
                  <wp:posOffset>3451860</wp:posOffset>
                </wp:positionH>
                <wp:positionV relativeFrom="paragraph">
                  <wp:posOffset>116840</wp:posOffset>
                </wp:positionV>
                <wp:extent cx="582930" cy="0"/>
                <wp:effectExtent l="0" t="0" r="0" b="0"/>
                <wp:wrapNone/>
                <wp:docPr id="245" name="直线 95"/>
                <wp:cNvGraphicFramePr/>
                <a:graphic xmlns:a="http://schemas.openxmlformats.org/drawingml/2006/main">
                  <a:graphicData uri="http://schemas.microsoft.com/office/word/2010/wordprocessingShape">
                    <wps:wsp>
                      <wps:cNvSpPr/>
                      <wps:spPr>
                        <a:xfrm>
                          <a:off x="0" y="0"/>
                          <a:ext cx="582930" cy="0"/>
                        </a:xfrm>
                        <a:prstGeom prst="line">
                          <a:avLst/>
                        </a:prstGeom>
                        <a:ln w="6439" cap="flat" cmpd="sng">
                          <a:solidFill>
                            <a:srgbClr val="000000"/>
                          </a:solidFill>
                          <a:prstDash val="solid"/>
                          <a:headEnd type="none" w="med" len="med"/>
                          <a:tailEnd type="none" w="med" len="med"/>
                        </a:ln>
                      </wps:spPr>
                      <wps:bodyPr upright="1"/>
                    </wps:wsp>
                  </a:graphicData>
                </a:graphic>
              </wp:anchor>
            </w:drawing>
          </mc:Choice>
          <mc:Fallback>
            <w:pict>
              <v:line id="直线 95" o:spid="_x0000_s1026" o:spt="20" style="position:absolute;left:0pt;margin-left:271.8pt;margin-top:9.2pt;height:0pt;width:45.9pt;mso-position-horizontal-relative:page;z-index:251730944;mso-width-relative:page;mso-height-relative:page;" filled="f" stroked="t" coordsize="21600,21600" o:gfxdata="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zHjPXYAAAACQEAAA8AAAAAAAAAAQAgAAAAIgAA&#10;AGRycy9kb3ducmV2LnhtbFBLAQIUABQAAAAIAIdO4kA84atQzwEAAI8DAAAOAAAAAAAAAAEAIAAA&#10;ACcBAABkcnMvZTJvRG9jLnhtbFBLBQYAAAAABgAGAFkBAABoBQAAAAA=&#10;">
                <v:fill on="f" focussize="0,0"/>
                <v:stroke weight="0.507007874015748pt" color="#000000" joinstyle="round"/>
                <v:imagedata o:title=""/>
                <o:lock v:ext="edit" aspectratio="f"/>
              </v:line>
            </w:pict>
          </mc:Fallback>
        </mc:AlternateContent>
      </w:r>
      <w:r>
        <w:rPr>
          <w:rFonts w:ascii="Times New Roman"/>
          <w:i/>
          <w:position w:val="2"/>
          <w:sz w:val="14"/>
        </w:rPr>
        <w:t>X</w:t>
      </w:r>
      <w:r>
        <w:rPr>
          <w:rFonts w:ascii="Times New Roman"/>
          <w:i/>
          <w:spacing w:val="-5"/>
          <w:position w:val="2"/>
          <w:sz w:val="14"/>
        </w:rPr>
        <w:t xml:space="preserve"> </w:t>
      </w:r>
      <w:r>
        <w:rPr>
          <w:rFonts w:ascii="Times New Roman"/>
          <w:position w:val="2"/>
          <w:sz w:val="14"/>
        </w:rPr>
        <w:t>(</w:t>
      </w:r>
      <w:r>
        <w:rPr>
          <w:rFonts w:ascii="Times New Roman"/>
          <w:spacing w:val="-16"/>
          <w:position w:val="2"/>
          <w:sz w:val="14"/>
        </w:rPr>
        <w:t xml:space="preserve"> </w:t>
      </w:r>
      <w:r>
        <w:rPr>
          <w:rFonts w:ascii="Times New Roman"/>
          <w:i/>
          <w:spacing w:val="4"/>
          <w:position w:val="2"/>
          <w:sz w:val="14"/>
        </w:rPr>
        <w:t>x</w:t>
      </w:r>
      <w:r>
        <w:rPr>
          <w:rFonts w:ascii="Times New Roman"/>
          <w:spacing w:val="4"/>
          <w:position w:val="2"/>
          <w:sz w:val="14"/>
        </w:rPr>
        <w:t>,</w:t>
      </w:r>
      <w:r>
        <w:rPr>
          <w:rFonts w:ascii="Times New Roman"/>
          <w:spacing w:val="-18"/>
          <w:position w:val="2"/>
          <w:sz w:val="14"/>
        </w:rPr>
        <w:t xml:space="preserve"> </w:t>
      </w:r>
      <w:r>
        <w:rPr>
          <w:rFonts w:ascii="Times New Roman"/>
          <w:i/>
          <w:position w:val="2"/>
          <w:sz w:val="14"/>
        </w:rPr>
        <w:t>y</w:t>
      </w:r>
      <w:r>
        <w:rPr>
          <w:rFonts w:ascii="Times New Roman"/>
          <w:i/>
          <w:spacing w:val="-20"/>
          <w:position w:val="2"/>
          <w:sz w:val="14"/>
        </w:rPr>
        <w:t xml:space="preserve"> </w:t>
      </w:r>
      <w:r>
        <w:rPr>
          <w:rFonts w:ascii="Times New Roman"/>
          <w:position w:val="2"/>
          <w:sz w:val="14"/>
        </w:rPr>
        <w:t>)</w:t>
      </w:r>
      <w:r>
        <w:rPr>
          <w:rFonts w:ascii="Times New Roman"/>
          <w:position w:val="2"/>
          <w:sz w:val="14"/>
        </w:rPr>
        <w:tab/>
      </w:r>
      <w:r>
        <w:rPr>
          <w:rFonts w:ascii="Times New Roman"/>
          <w:position w:val="2"/>
          <w:sz w:val="14"/>
        </w:rPr>
        <w:t>max</w:t>
      </w:r>
      <w:r>
        <w:rPr>
          <w:rFonts w:ascii="Times New Roman"/>
          <w:position w:val="2"/>
          <w:sz w:val="14"/>
        </w:rPr>
        <w:tab/>
      </w:r>
      <w:r>
        <w:rPr>
          <w:rFonts w:ascii="Times New Roman"/>
          <w:i/>
          <w:spacing w:val="9"/>
          <w:position w:val="-10"/>
          <w:sz w:val="24"/>
        </w:rPr>
        <w:t>r</w:t>
      </w:r>
      <w:r>
        <w:rPr>
          <w:rFonts w:ascii="Times New Roman"/>
          <w:spacing w:val="9"/>
          <w:sz w:val="14"/>
        </w:rPr>
        <w:t>2</w:t>
      </w:r>
    </w:p>
    <w:p>
      <w:pPr>
        <w:pStyle w:val="6"/>
        <w:rPr>
          <w:rFonts w:ascii="Times New Roman"/>
          <w:sz w:val="28"/>
        </w:rPr>
      </w:pPr>
      <w:r>
        <w:br w:type="column"/>
      </w:r>
    </w:p>
    <w:p>
      <w:pPr>
        <w:spacing w:before="227" w:line="93" w:lineRule="auto"/>
        <w:ind w:left="188" w:right="0" w:firstLine="0"/>
        <w:jc w:val="left"/>
        <w:rPr>
          <w:rFonts w:ascii="Times New Roman" w:hAnsi="Times New Roman"/>
          <w:sz w:val="14"/>
        </w:rPr>
      </w:pPr>
      <w:r>
        <w:rPr>
          <w:rFonts w:ascii="Symbol" w:hAnsi="Symbol"/>
          <w:position w:val="-8"/>
          <w:sz w:val="14"/>
        </w:rPr>
        <w:t></w:t>
      </w:r>
      <w:r>
        <w:rPr>
          <w:rFonts w:ascii="Symbol" w:hAnsi="Symbol"/>
          <w:i/>
          <w:position w:val="-8"/>
          <w:sz w:val="15"/>
        </w:rPr>
        <w:t></w:t>
      </w:r>
      <w:r>
        <w:rPr>
          <w:rFonts w:ascii="Times New Roman" w:hAnsi="Times New Roman"/>
          <w:sz w:val="14"/>
        </w:rPr>
        <w:t>(</w:t>
      </w:r>
      <w:r>
        <w:rPr>
          <w:rFonts w:ascii="Symbol" w:hAnsi="Symbol"/>
          <w:i/>
          <w:sz w:val="15"/>
        </w:rPr>
        <w:t></w:t>
      </w:r>
      <w:r>
        <w:rPr>
          <w:rFonts w:ascii="Symbol" w:hAnsi="Symbol"/>
          <w:sz w:val="14"/>
        </w:rPr>
        <w:t></w:t>
      </w:r>
      <w:r>
        <w:rPr>
          <w:rFonts w:ascii="Times New Roman" w:hAnsi="Times New Roman"/>
          <w:i/>
          <w:sz w:val="14"/>
        </w:rPr>
        <w:t xml:space="preserve">x </w:t>
      </w:r>
      <w:r>
        <w:rPr>
          <w:rFonts w:ascii="Times New Roman" w:hAnsi="Times New Roman"/>
          <w:sz w:val="14"/>
        </w:rPr>
        <w:t>)</w:t>
      </w:r>
      <w:r>
        <w:rPr>
          <w:rFonts w:ascii="Times New Roman" w:hAnsi="Times New Roman"/>
          <w:sz w:val="14"/>
          <w:vertAlign w:val="superscript"/>
        </w:rPr>
        <w:t>2</w:t>
      </w:r>
      <w:r>
        <w:rPr>
          <w:rFonts w:ascii="Times New Roman" w:hAnsi="Times New Roman"/>
          <w:sz w:val="14"/>
          <w:vertAlign w:val="baseline"/>
        </w:rPr>
        <w:t xml:space="preserve"> </w:t>
      </w:r>
      <w:r>
        <w:rPr>
          <w:rFonts w:ascii="Symbol" w:hAnsi="Symbol"/>
          <w:sz w:val="14"/>
          <w:vertAlign w:val="baseline"/>
        </w:rPr>
        <w:t></w:t>
      </w:r>
      <w:r>
        <w:rPr>
          <w:rFonts w:ascii="Times New Roman" w:hAnsi="Times New Roman"/>
          <w:sz w:val="14"/>
          <w:vertAlign w:val="baseline"/>
        </w:rPr>
        <w:t>(</w:t>
      </w:r>
      <w:r>
        <w:rPr>
          <w:rFonts w:ascii="Symbol" w:hAnsi="Symbol"/>
          <w:i/>
          <w:sz w:val="15"/>
          <w:vertAlign w:val="baseline"/>
        </w:rPr>
        <w:t></w:t>
      </w:r>
      <w:r>
        <w:rPr>
          <w:rFonts w:ascii="Symbol" w:hAnsi="Symbol"/>
          <w:sz w:val="14"/>
          <w:vertAlign w:val="baseline"/>
        </w:rPr>
        <w:t></w:t>
      </w:r>
      <w:r>
        <w:rPr>
          <w:rFonts w:ascii="Times New Roman" w:hAnsi="Times New Roman"/>
          <w:sz w:val="14"/>
          <w:vertAlign w:val="baseline"/>
        </w:rPr>
        <w:t xml:space="preserve"> </w:t>
      </w:r>
      <w:r>
        <w:rPr>
          <w:rFonts w:ascii="Times New Roman" w:hAnsi="Times New Roman"/>
          <w:i/>
          <w:sz w:val="14"/>
          <w:vertAlign w:val="baseline"/>
        </w:rPr>
        <w:t xml:space="preserve">y </w:t>
      </w:r>
      <w:r>
        <w:rPr>
          <w:rFonts w:ascii="Times New Roman" w:hAnsi="Times New Roman"/>
          <w:sz w:val="14"/>
          <w:vertAlign w:val="baseline"/>
        </w:rPr>
        <w:t>)</w:t>
      </w:r>
      <w:r>
        <w:rPr>
          <w:rFonts w:ascii="Times New Roman" w:hAnsi="Times New Roman"/>
          <w:sz w:val="14"/>
          <w:vertAlign w:val="superscript"/>
        </w:rPr>
        <w:t>2</w:t>
      </w:r>
    </w:p>
    <w:p>
      <w:pPr>
        <w:pStyle w:val="6"/>
        <w:spacing w:line="20" w:lineRule="exact"/>
        <w:ind w:left="364"/>
        <w:rPr>
          <w:rFonts w:ascii="Times New Roman"/>
          <w:sz w:val="2"/>
        </w:rPr>
      </w:pPr>
      <w:r>
        <w:rPr>
          <w:rFonts w:ascii="Times New Roman"/>
          <w:sz w:val="2"/>
        </w:rPr>
        <mc:AlternateContent>
          <mc:Choice Requires="wpg">
            <w:drawing>
              <wp:inline distT="0" distB="0" distL="114300" distR="114300">
                <wp:extent cx="609600" cy="3810"/>
                <wp:effectExtent l="0" t="0" r="0" b="0"/>
                <wp:docPr id="175" name="组合 96"/>
                <wp:cNvGraphicFramePr/>
                <a:graphic xmlns:a="http://schemas.openxmlformats.org/drawingml/2006/main">
                  <a:graphicData uri="http://schemas.microsoft.com/office/word/2010/wordprocessingGroup">
                    <wpg:wgp>
                      <wpg:cNvGrpSpPr/>
                      <wpg:grpSpPr>
                        <a:xfrm>
                          <a:off x="0" y="0"/>
                          <a:ext cx="609600" cy="3810"/>
                          <a:chOff x="0" y="0"/>
                          <a:chExt cx="960" cy="6"/>
                        </a:xfrm>
                      </wpg:grpSpPr>
                      <wps:wsp>
                        <wps:cNvPr id="174" name="直线 97"/>
                        <wps:cNvSpPr/>
                        <wps:spPr>
                          <a:xfrm>
                            <a:off x="0" y="3"/>
                            <a:ext cx="960" cy="0"/>
                          </a:xfrm>
                          <a:prstGeom prst="line">
                            <a:avLst/>
                          </a:prstGeom>
                          <a:ln w="3226" cap="flat" cmpd="sng">
                            <a:solidFill>
                              <a:srgbClr val="000000"/>
                            </a:solidFill>
                            <a:prstDash val="solid"/>
                            <a:headEnd type="none" w="med" len="med"/>
                            <a:tailEnd type="none" w="med" len="med"/>
                          </a:ln>
                        </wps:spPr>
                        <wps:bodyPr upright="1"/>
                      </wps:wsp>
                    </wpg:wgp>
                  </a:graphicData>
                </a:graphic>
              </wp:inline>
            </w:drawing>
          </mc:Choice>
          <mc:Fallback>
            <w:pict>
              <v:group id="组合 96" o:spid="_x0000_s1026" o:spt="203" style="height:0.3pt;width:48pt;" coordsize="960,6" o:gfxdata="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wO22/SAAAAAQEAAA8AAAAAAAAAAQAgAAAAIgAAAGRycy9kb3ducmV2LnhtbFBLAQIUABQA&#10;AAAIAIdO4kB7ItK6LwIAALIEAAAOAAAAAAAAAAEAIAAAACEBAABkcnMvZTJvRG9jLnhtbFBLBQYA&#10;AAAABgAGAFkBAADCBQAAAAA=&#10;">
                <o:lock v:ext="edit" aspectratio="f"/>
                <v:line id="直线 97" o:spid="_x0000_s1026" o:spt="20" style="position:absolute;left:0;top:3;height:0;width:960;" filled="f" stroked="t" coordsize="21600,21600" o:gfxdata="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1VhDL4A&#10;AADcAAAADwAAAAAAAAABACAAAAAiAAAAZHJzL2Rvd25yZXYueG1sUEsBAhQAFAAAAAgAh07iQDMv&#10;BZ47AAAAOQAAABAAAAAAAAAAAQAgAAAADQEAAGRycy9zaGFwZXhtbC54bWxQSwUGAAAAAAYABgBb&#10;AQAAtwMAAAAA&#10;">
                  <v:fill on="f" focussize="0,0"/>
                  <v:stroke weight="0.254015748031496pt" color="#000000" joinstyle="round"/>
                  <v:imagedata o:title=""/>
                  <o:lock v:ext="edit" aspectratio="f"/>
                </v:line>
                <w10:wrap type="none"/>
                <w10:anchorlock/>
              </v:group>
            </w:pict>
          </mc:Fallback>
        </mc:AlternateContent>
      </w:r>
    </w:p>
    <w:p>
      <w:pPr>
        <w:spacing w:after="0" w:line="20" w:lineRule="exact"/>
        <w:rPr>
          <w:rFonts w:ascii="Times New Roman"/>
          <w:sz w:val="2"/>
        </w:rPr>
        <w:sectPr>
          <w:type w:val="continuous"/>
          <w:pgSz w:w="11910" w:h="16840"/>
          <w:pgMar w:top="1580" w:right="1300" w:bottom="280" w:left="1300" w:header="720" w:footer="720" w:gutter="0"/>
          <w:cols w:equalWidth="0" w:num="3">
            <w:col w:w="2133" w:space="40"/>
            <w:col w:w="2873" w:space="39"/>
            <w:col w:w="4225"/>
          </w:cols>
        </w:sectPr>
      </w:pPr>
    </w:p>
    <w:p>
      <w:pPr>
        <w:tabs>
          <w:tab w:val="left" w:pos="3112"/>
          <w:tab w:val="left" w:pos="3838"/>
        </w:tabs>
        <w:spacing w:before="0" w:line="10" w:lineRule="exact"/>
        <w:ind w:left="2611" w:right="0" w:firstLine="0"/>
        <w:jc w:val="left"/>
        <w:rPr>
          <w:rFonts w:ascii="Symbol" w:hAnsi="Symbol"/>
          <w:sz w:val="24"/>
        </w:rPr>
      </w:pPr>
      <w:r>
        <w:rPr>
          <w:rFonts w:ascii="Times New Roman" w:hAnsi="Times New Roman"/>
          <w:i/>
          <w:sz w:val="24"/>
        </w:rPr>
        <w:t>i</w:t>
      </w:r>
      <w:r>
        <w:rPr>
          <w:rFonts w:ascii="Times New Roman" w:hAnsi="Times New Roman"/>
          <w:i/>
          <w:sz w:val="24"/>
        </w:rPr>
        <w:tab/>
      </w:r>
      <w:r>
        <w:rPr>
          <w:spacing w:val="-3"/>
          <w:sz w:val="24"/>
        </w:rPr>
        <w:t>＝</w:t>
      </w:r>
      <w:r>
        <w:rPr>
          <w:rFonts w:ascii="Times New Roman" w:hAnsi="Times New Roman"/>
          <w:i/>
          <w:spacing w:val="-3"/>
          <w:sz w:val="24"/>
        </w:rPr>
        <w:t>W</w:t>
      </w:r>
      <w:r>
        <w:rPr>
          <w:rFonts w:ascii="Times New Roman" w:hAnsi="Times New Roman"/>
          <w:i/>
          <w:spacing w:val="-3"/>
          <w:sz w:val="24"/>
        </w:rPr>
        <w:tab/>
      </w:r>
      <w:r>
        <w:rPr>
          <w:rFonts w:ascii="Symbol" w:hAnsi="Symbol"/>
          <w:sz w:val="24"/>
        </w:rPr>
        <w:t></w:t>
      </w:r>
    </w:p>
    <w:p>
      <w:pPr>
        <w:spacing w:before="51"/>
        <w:ind w:left="0" w:right="0" w:firstLine="0"/>
        <w:jc w:val="right"/>
        <w:rPr>
          <w:rFonts w:ascii="Times New Roman"/>
          <w:i/>
          <w:sz w:val="14"/>
        </w:rPr>
      </w:pPr>
      <w:r>
        <w:rPr>
          <w:rFonts w:ascii="Times New Roman"/>
          <w:i/>
          <w:w w:val="102"/>
          <w:sz w:val="14"/>
        </w:rPr>
        <w:t>D</w:t>
      </w:r>
    </w:p>
    <w:p>
      <w:pPr>
        <w:tabs>
          <w:tab w:val="left" w:pos="1761"/>
        </w:tabs>
        <w:spacing w:before="0" w:line="25" w:lineRule="exact"/>
        <w:ind w:left="968" w:right="0" w:firstLine="0"/>
        <w:jc w:val="left"/>
        <w:rPr>
          <w:rFonts w:ascii="Times New Roman" w:hAnsi="Times New Roman"/>
          <w:sz w:val="10"/>
        </w:rPr>
      </w:pPr>
      <w:r>
        <w:br w:type="column"/>
      </w:r>
      <w:r>
        <w:rPr>
          <w:rFonts w:ascii="Symbol" w:hAnsi="Symbol"/>
          <w:spacing w:val="6"/>
          <w:sz w:val="24"/>
        </w:rPr>
        <w:t></w:t>
      </w:r>
      <w:r>
        <w:rPr>
          <w:rFonts w:ascii="Times New Roman" w:hAnsi="Times New Roman"/>
          <w:i/>
          <w:spacing w:val="6"/>
          <w:sz w:val="24"/>
        </w:rPr>
        <w:t>e</w:t>
      </w:r>
      <w:r>
        <w:rPr>
          <w:rFonts w:ascii="Times New Roman" w:hAnsi="Times New Roman"/>
          <w:i/>
          <w:spacing w:val="6"/>
          <w:sz w:val="24"/>
        </w:rPr>
        <w:tab/>
      </w:r>
      <w:r>
        <w:rPr>
          <w:rFonts w:ascii="Times New Roman" w:hAnsi="Times New Roman"/>
          <w:i/>
          <w:spacing w:val="-7"/>
          <w:position w:val="8"/>
          <w:sz w:val="14"/>
        </w:rPr>
        <w:t>r</w:t>
      </w:r>
      <w:r>
        <w:rPr>
          <w:rFonts w:ascii="Times New Roman" w:hAnsi="Times New Roman"/>
          <w:spacing w:val="-7"/>
          <w:position w:val="14"/>
          <w:sz w:val="10"/>
        </w:rPr>
        <w:t>2</w:t>
      </w:r>
    </w:p>
    <w:p>
      <w:pPr>
        <w:spacing w:before="0" w:line="23" w:lineRule="exact"/>
        <w:ind w:left="434" w:right="0" w:firstLine="0"/>
        <w:jc w:val="left"/>
        <w:rPr>
          <w:rFonts w:ascii="Symbol" w:hAnsi="Symbol"/>
          <w:i/>
          <w:sz w:val="25"/>
        </w:rPr>
      </w:pPr>
      <w:r>
        <w:br w:type="column"/>
      </w:r>
      <w:r>
        <w:rPr>
          <w:rFonts w:ascii="Symbol" w:hAnsi="Symbol"/>
          <w:sz w:val="24"/>
        </w:rPr>
        <w:t></w:t>
      </w:r>
      <w:r>
        <w:rPr>
          <w:rFonts w:ascii="Times New Roman" w:hAnsi="Times New Roman"/>
          <w:i/>
          <w:sz w:val="24"/>
        </w:rPr>
        <w:t>d</w:t>
      </w:r>
      <w:r>
        <w:rPr>
          <w:rFonts w:ascii="Symbol" w:hAnsi="Symbol"/>
          <w:i/>
          <w:sz w:val="25"/>
        </w:rPr>
        <w:t></w:t>
      </w:r>
      <w:r>
        <w:rPr>
          <w:rFonts w:ascii="Symbol" w:hAnsi="Symbol"/>
          <w:sz w:val="24"/>
        </w:rPr>
        <w:t></w:t>
      </w:r>
      <w:r>
        <w:rPr>
          <w:rFonts w:ascii="Times New Roman" w:hAnsi="Times New Roman"/>
          <w:i/>
          <w:sz w:val="24"/>
        </w:rPr>
        <w:t>d</w:t>
      </w:r>
      <w:r>
        <w:rPr>
          <w:rFonts w:ascii="Symbol" w:hAnsi="Symbol"/>
          <w:i/>
          <w:sz w:val="25"/>
        </w:rPr>
        <w:t></w:t>
      </w:r>
    </w:p>
    <w:p>
      <w:pPr>
        <w:spacing w:after="0" w:line="23" w:lineRule="exact"/>
        <w:jc w:val="left"/>
        <w:rPr>
          <w:rFonts w:ascii="Symbol" w:hAnsi="Symbol"/>
          <w:sz w:val="25"/>
        </w:rPr>
        <w:sectPr>
          <w:type w:val="continuous"/>
          <w:pgSz w:w="11910" w:h="16840"/>
          <w:pgMar w:top="1580" w:right="1300" w:bottom="280" w:left="1300" w:header="720" w:footer="720" w:gutter="0"/>
          <w:cols w:equalWidth="0" w:num="3">
            <w:col w:w="4070" w:space="40"/>
            <w:col w:w="1877" w:space="39"/>
            <w:col w:w="3284"/>
          </w:cols>
        </w:sectPr>
      </w:pPr>
    </w:p>
    <w:p>
      <w:pPr>
        <w:pStyle w:val="6"/>
        <w:rPr>
          <w:rFonts w:ascii="Symbol" w:hAnsi="Symbol"/>
          <w:i/>
          <w:sz w:val="16"/>
        </w:rPr>
      </w:pPr>
    </w:p>
    <w:p>
      <w:pPr>
        <w:spacing w:after="0"/>
        <w:rPr>
          <w:rFonts w:ascii="Symbol" w:hAnsi="Symbol"/>
          <w:sz w:val="16"/>
        </w:rPr>
        <w:sectPr>
          <w:type w:val="continuous"/>
          <w:pgSz w:w="11910" w:h="16840"/>
          <w:pgMar w:top="1580" w:right="1300" w:bottom="280" w:left="1300" w:header="720" w:footer="720" w:gutter="0"/>
        </w:sectPr>
      </w:pPr>
    </w:p>
    <w:p>
      <w:pPr>
        <w:pStyle w:val="6"/>
        <w:spacing w:before="67"/>
        <w:ind w:left="931"/>
      </w:pPr>
      <w:r>
        <w:t>③地表曲率</w:t>
      </w:r>
    </w:p>
    <w:p>
      <w:pPr>
        <w:pStyle w:val="6"/>
        <w:spacing w:before="4"/>
        <w:rPr>
          <w:sz w:val="43"/>
        </w:rPr>
      </w:pPr>
      <w:r>
        <w:br w:type="column"/>
      </w:r>
    </w:p>
    <w:p>
      <w:pPr>
        <w:spacing w:before="0" w:line="124" w:lineRule="exact"/>
        <w:ind w:left="931" w:right="0" w:firstLine="0"/>
        <w:jc w:val="left"/>
        <w:rPr>
          <w:rFonts w:ascii="Times New Roman" w:hAnsi="Times New Roman"/>
          <w:sz w:val="14"/>
        </w:rPr>
      </w:pPr>
      <w:r>
        <w:rPr>
          <w:rFonts w:ascii="Times New Roman" w:hAnsi="Times New Roman"/>
          <w:sz w:val="24"/>
        </w:rPr>
        <w:t>2</w:t>
      </w:r>
      <w:r>
        <w:rPr>
          <w:rFonts w:ascii="Symbol" w:hAnsi="Symbol"/>
          <w:i/>
          <w:sz w:val="25"/>
        </w:rPr>
        <w:t></w:t>
      </w:r>
      <w:r>
        <w:rPr>
          <w:rFonts w:ascii="Times New Roman" w:hAnsi="Times New Roman"/>
          <w:i/>
          <w:sz w:val="25"/>
        </w:rPr>
        <w:t xml:space="preserve"> </w:t>
      </w:r>
      <w:r>
        <w:rPr>
          <w:rFonts w:ascii="Times New Roman" w:hAnsi="Times New Roman"/>
          <w:sz w:val="24"/>
        </w:rPr>
        <w:t>2</w:t>
      </w:r>
      <w:r>
        <w:rPr>
          <w:rFonts w:ascii="Symbol" w:hAnsi="Symbol"/>
          <w:i/>
          <w:sz w:val="25"/>
        </w:rPr>
        <w:t></w:t>
      </w:r>
      <w:r>
        <w:rPr>
          <w:rFonts w:ascii="Times New Roman" w:hAnsi="Times New Roman"/>
          <w:sz w:val="24"/>
        </w:rPr>
        <w:t>(</w:t>
      </w:r>
      <w:r>
        <w:rPr>
          <w:rFonts w:ascii="Symbol" w:hAnsi="Symbol"/>
          <w:i/>
          <w:sz w:val="25"/>
        </w:rPr>
        <w:t></w:t>
      </w:r>
      <w:r>
        <w:rPr>
          <w:rFonts w:ascii="Symbol" w:hAnsi="Symbol"/>
          <w:sz w:val="24"/>
        </w:rPr>
        <w:t></w:t>
      </w:r>
      <w:r>
        <w:rPr>
          <w:rFonts w:ascii="Times New Roman" w:hAnsi="Times New Roman"/>
          <w:sz w:val="24"/>
        </w:rPr>
        <w:t xml:space="preserve"> </w:t>
      </w:r>
      <w:r>
        <w:rPr>
          <w:rFonts w:ascii="Times New Roman" w:hAnsi="Times New Roman"/>
          <w:i/>
          <w:sz w:val="24"/>
        </w:rPr>
        <w:t>x</w:t>
      </w:r>
      <w:r>
        <w:rPr>
          <w:rFonts w:ascii="Times New Roman" w:hAnsi="Times New Roman"/>
          <w:sz w:val="24"/>
        </w:rPr>
        <w:t>)</w:t>
      </w:r>
      <w:r>
        <w:rPr>
          <w:rFonts w:ascii="Times New Roman" w:hAnsi="Times New Roman"/>
          <w:position w:val="11"/>
          <w:sz w:val="14"/>
        </w:rPr>
        <w:t>2</w:t>
      </w:r>
    </w:p>
    <w:p>
      <w:pPr>
        <w:pStyle w:val="6"/>
        <w:rPr>
          <w:rFonts w:ascii="Times New Roman"/>
          <w:sz w:val="28"/>
        </w:rPr>
      </w:pPr>
      <w:r>
        <w:br w:type="column"/>
      </w:r>
    </w:p>
    <w:p>
      <w:pPr>
        <w:spacing w:before="193" w:line="164" w:lineRule="exact"/>
        <w:ind w:left="565" w:right="0" w:firstLine="0"/>
        <w:jc w:val="left"/>
        <w:rPr>
          <w:rFonts w:ascii="Times New Roman" w:hAnsi="Times New Roman"/>
          <w:sz w:val="14"/>
        </w:rPr>
      </w:pPr>
      <w:r>
        <w:rPr>
          <w:rFonts w:ascii="Symbol" w:hAnsi="Symbol"/>
          <w:position w:val="-8"/>
          <w:sz w:val="14"/>
        </w:rPr>
        <w:t></w:t>
      </w:r>
      <w:r>
        <w:rPr>
          <w:rFonts w:ascii="Symbol" w:hAnsi="Symbol"/>
          <w:i/>
          <w:position w:val="-8"/>
          <w:sz w:val="15"/>
        </w:rPr>
        <w:t></w:t>
      </w:r>
      <w:r>
        <w:rPr>
          <w:rFonts w:ascii="Times New Roman" w:hAnsi="Times New Roman"/>
          <w:sz w:val="14"/>
        </w:rPr>
        <w:t>(</w:t>
      </w:r>
      <w:r>
        <w:rPr>
          <w:rFonts w:ascii="Symbol" w:hAnsi="Symbol"/>
          <w:i/>
          <w:sz w:val="15"/>
        </w:rPr>
        <w:t></w:t>
      </w:r>
      <w:r>
        <w:rPr>
          <w:rFonts w:ascii="Symbol" w:hAnsi="Symbol"/>
          <w:sz w:val="14"/>
        </w:rPr>
        <w:t></w:t>
      </w:r>
      <w:r>
        <w:rPr>
          <w:rFonts w:ascii="Times New Roman" w:hAnsi="Times New Roman"/>
          <w:i/>
          <w:sz w:val="14"/>
        </w:rPr>
        <w:t xml:space="preserve">x </w:t>
      </w:r>
      <w:r>
        <w:rPr>
          <w:rFonts w:ascii="Times New Roman" w:hAnsi="Times New Roman"/>
          <w:sz w:val="14"/>
        </w:rPr>
        <w:t>)</w:t>
      </w:r>
      <w:r>
        <w:rPr>
          <w:rFonts w:ascii="Times New Roman" w:hAnsi="Times New Roman"/>
          <w:sz w:val="14"/>
          <w:vertAlign w:val="superscript"/>
        </w:rPr>
        <w:t>2</w:t>
      </w:r>
      <w:r>
        <w:rPr>
          <w:rFonts w:ascii="Times New Roman" w:hAnsi="Times New Roman"/>
          <w:sz w:val="14"/>
          <w:vertAlign w:val="baseline"/>
        </w:rPr>
        <w:t xml:space="preserve"> </w:t>
      </w:r>
      <w:r>
        <w:rPr>
          <w:rFonts w:ascii="Symbol" w:hAnsi="Symbol"/>
          <w:sz w:val="14"/>
          <w:vertAlign w:val="baseline"/>
        </w:rPr>
        <w:t></w:t>
      </w:r>
      <w:r>
        <w:rPr>
          <w:rFonts w:ascii="Times New Roman" w:hAnsi="Times New Roman"/>
          <w:sz w:val="14"/>
          <w:vertAlign w:val="baseline"/>
        </w:rPr>
        <w:t>(</w:t>
      </w:r>
      <w:r>
        <w:rPr>
          <w:rFonts w:ascii="Symbol" w:hAnsi="Symbol"/>
          <w:i/>
          <w:sz w:val="15"/>
          <w:vertAlign w:val="baseline"/>
        </w:rPr>
        <w:t></w:t>
      </w:r>
      <w:r>
        <w:rPr>
          <w:rFonts w:ascii="Symbol" w:hAnsi="Symbol"/>
          <w:sz w:val="14"/>
          <w:vertAlign w:val="baseline"/>
        </w:rPr>
        <w:t></w:t>
      </w:r>
      <w:r>
        <w:rPr>
          <w:rFonts w:ascii="Times New Roman" w:hAnsi="Times New Roman"/>
          <w:sz w:val="14"/>
          <w:vertAlign w:val="baseline"/>
        </w:rPr>
        <w:t xml:space="preserve"> </w:t>
      </w:r>
      <w:r>
        <w:rPr>
          <w:rFonts w:ascii="Times New Roman" w:hAnsi="Times New Roman"/>
          <w:i/>
          <w:sz w:val="14"/>
          <w:vertAlign w:val="baseline"/>
        </w:rPr>
        <w:t xml:space="preserve">y </w:t>
      </w:r>
      <w:r>
        <w:rPr>
          <w:rFonts w:ascii="Times New Roman" w:hAnsi="Times New Roman"/>
          <w:sz w:val="14"/>
          <w:vertAlign w:val="baseline"/>
        </w:rPr>
        <w:t>)</w:t>
      </w:r>
      <w:r>
        <w:rPr>
          <w:rFonts w:ascii="Times New Roman" w:hAnsi="Times New Roman"/>
          <w:sz w:val="14"/>
          <w:vertAlign w:val="superscript"/>
        </w:rPr>
        <w:t>2</w:t>
      </w:r>
    </w:p>
    <w:p>
      <w:pPr>
        <w:pStyle w:val="6"/>
        <w:spacing w:before="5"/>
        <w:rPr>
          <w:rFonts w:ascii="Times New Roman"/>
          <w:sz w:val="3"/>
        </w:rPr>
      </w:pPr>
    </w:p>
    <w:p>
      <w:pPr>
        <w:pStyle w:val="6"/>
        <w:spacing w:line="20" w:lineRule="exact"/>
        <w:ind w:left="741"/>
        <w:rPr>
          <w:rFonts w:ascii="Times New Roman"/>
          <w:sz w:val="2"/>
        </w:rPr>
      </w:pPr>
      <w:r>
        <w:rPr>
          <w:rFonts w:ascii="Times New Roman"/>
          <w:sz w:val="2"/>
        </w:rPr>
        <mc:AlternateContent>
          <mc:Choice Requires="wpg">
            <w:drawing>
              <wp:inline distT="0" distB="0" distL="114300" distR="114300">
                <wp:extent cx="610870" cy="3810"/>
                <wp:effectExtent l="0" t="0" r="0" b="0"/>
                <wp:docPr id="147" name="组合 98"/>
                <wp:cNvGraphicFramePr/>
                <a:graphic xmlns:a="http://schemas.openxmlformats.org/drawingml/2006/main">
                  <a:graphicData uri="http://schemas.microsoft.com/office/word/2010/wordprocessingGroup">
                    <wpg:wgp>
                      <wpg:cNvGrpSpPr/>
                      <wpg:grpSpPr>
                        <a:xfrm>
                          <a:off x="0" y="0"/>
                          <a:ext cx="610870" cy="3810"/>
                          <a:chOff x="0" y="0"/>
                          <a:chExt cx="962" cy="6"/>
                        </a:xfrm>
                      </wpg:grpSpPr>
                      <wps:wsp>
                        <wps:cNvPr id="146" name="直线 99"/>
                        <wps:cNvSpPr/>
                        <wps:spPr>
                          <a:xfrm>
                            <a:off x="0" y="3"/>
                            <a:ext cx="961" cy="0"/>
                          </a:xfrm>
                          <a:prstGeom prst="line">
                            <a:avLst/>
                          </a:prstGeom>
                          <a:ln w="3226" cap="flat" cmpd="sng">
                            <a:solidFill>
                              <a:srgbClr val="000000"/>
                            </a:solidFill>
                            <a:prstDash val="solid"/>
                            <a:headEnd type="none" w="med" len="med"/>
                            <a:tailEnd type="none" w="med" len="med"/>
                          </a:ln>
                        </wps:spPr>
                        <wps:bodyPr upright="1"/>
                      </wps:wsp>
                    </wpg:wgp>
                  </a:graphicData>
                </a:graphic>
              </wp:inline>
            </w:drawing>
          </mc:Choice>
          <mc:Fallback>
            <w:pict>
              <v:group id="组合 98" o:spid="_x0000_s1026" o:spt="203" style="height:0.3pt;width:48.1pt;" coordsize="962,6" o:gfxdata="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Si9/9MAAAABAQAADwAAAAAAAAABACAAAAAiAAAAZHJzL2Rvd25yZXYueG1sUEsBAhQA&#10;FAAAAAgAh07iQFofoYMwAgAAsgQAAA4AAAAAAAAAAQAgAAAAIgEAAGRycy9lMm9Eb2MueG1sUEsF&#10;BgAAAAAGAAYAWQEAAMQFAAAAAA==&#10;">
                <o:lock v:ext="edit" aspectratio="f"/>
                <v:line id="直线 99" o:spid="_x0000_s1026" o:spt="20" style="position:absolute;left:0;top:3;height:0;width:961;" filled="f" stroked="t" coordsize="21600,21600" o:gfxdata="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eQXb4A&#10;AADcAAAADwAAAAAAAAABACAAAAAiAAAAZHJzL2Rvd25yZXYueG1sUEsBAhQAFAAAAAgAh07iQDMv&#10;BZ47AAAAOQAAABAAAAAAAAAAAQAgAAAADQEAAGRycy9zaGFwZXhtbC54bWxQSwUGAAAAAAYABgBb&#10;AQAAtwMAAAAA&#10;">
                  <v:fill on="f" focussize="0,0"/>
                  <v:stroke weight="0.254015748031496pt" color="#000000" joinstyle="round"/>
                  <v:imagedata o:title=""/>
                  <o:lock v:ext="edit" aspectratio="f"/>
                </v:line>
                <w10:wrap type="none"/>
                <w10:anchorlock/>
              </v:group>
            </w:pict>
          </mc:Fallback>
        </mc:AlternateContent>
      </w:r>
    </w:p>
    <w:p>
      <w:pPr>
        <w:spacing w:after="0" w:line="20" w:lineRule="exact"/>
        <w:rPr>
          <w:rFonts w:ascii="Times New Roman"/>
          <w:sz w:val="2"/>
        </w:rPr>
        <w:sectPr>
          <w:type w:val="continuous"/>
          <w:pgSz w:w="11910" w:h="16840"/>
          <w:pgMar w:top="1580" w:right="1300" w:bottom="280" w:left="1300" w:header="720" w:footer="720" w:gutter="0"/>
          <w:cols w:equalWidth="0" w:num="3">
            <w:col w:w="2173" w:space="666"/>
            <w:col w:w="2317" w:space="39"/>
            <w:col w:w="4115"/>
          </w:cols>
        </w:sectPr>
      </w:pPr>
    </w:p>
    <w:p>
      <w:pPr>
        <w:spacing w:before="0" w:line="178" w:lineRule="exact"/>
        <w:ind w:left="0" w:right="0" w:firstLine="0"/>
        <w:jc w:val="right"/>
        <w:rPr>
          <w:rFonts w:ascii="Times New Roman"/>
          <w:sz w:val="14"/>
        </w:rPr>
      </w:pPr>
      <w:r>
        <w:rPr>
          <w:rFonts w:ascii="Times New Roman"/>
          <w:i/>
          <w:sz w:val="14"/>
        </w:rPr>
        <w:t xml:space="preserve">X </w:t>
      </w:r>
      <w:r>
        <w:rPr>
          <w:rFonts w:ascii="Times New Roman"/>
          <w:sz w:val="14"/>
        </w:rPr>
        <w:t xml:space="preserve">( </w:t>
      </w:r>
      <w:r>
        <w:rPr>
          <w:rFonts w:ascii="Times New Roman"/>
          <w:i/>
          <w:sz w:val="14"/>
        </w:rPr>
        <w:t>x</w:t>
      </w:r>
      <w:r>
        <w:rPr>
          <w:rFonts w:ascii="Times New Roman"/>
          <w:sz w:val="14"/>
        </w:rPr>
        <w:t xml:space="preserve">, </w:t>
      </w:r>
      <w:r>
        <w:rPr>
          <w:rFonts w:ascii="Times New Roman"/>
          <w:i/>
          <w:sz w:val="14"/>
        </w:rPr>
        <w:t xml:space="preserve">y </w:t>
      </w:r>
      <w:r>
        <w:rPr>
          <w:rFonts w:ascii="Times New Roman"/>
          <w:sz w:val="14"/>
        </w:rPr>
        <w:t>)</w:t>
      </w:r>
    </w:p>
    <w:p>
      <w:pPr>
        <w:spacing w:before="0" w:line="178" w:lineRule="exact"/>
        <w:ind w:left="385" w:right="0" w:firstLine="0"/>
        <w:jc w:val="left"/>
        <w:rPr>
          <w:rFonts w:ascii="Times New Roman"/>
          <w:sz w:val="14"/>
        </w:rPr>
      </w:pPr>
      <w:r>
        <w:br w:type="column"/>
      </w:r>
      <w:r>
        <w:rPr>
          <w:rFonts w:ascii="Times New Roman"/>
          <w:sz w:val="14"/>
        </w:rPr>
        <w:t>max</w:t>
      </w:r>
    </w:p>
    <w:p>
      <w:pPr>
        <w:tabs>
          <w:tab w:val="left" w:pos="1114"/>
        </w:tabs>
        <w:spacing w:before="0" w:line="24" w:lineRule="exact"/>
        <w:ind w:left="78" w:right="0" w:firstLine="0"/>
        <w:jc w:val="left"/>
        <w:rPr>
          <w:rFonts w:ascii="Times New Roman" w:hAnsi="Times New Roman"/>
          <w:sz w:val="14"/>
        </w:rPr>
      </w:pPr>
      <w:r>
        <w:br w:type="column"/>
      </w:r>
      <w:r>
        <w:rPr>
          <w:rFonts w:ascii="Symbol" w:hAnsi="Symbol"/>
          <w:sz w:val="37"/>
        </w:rPr>
        <w:t></w:t>
      </w:r>
      <w:r>
        <w:rPr>
          <w:rFonts w:ascii="Times New Roman" w:hAnsi="Times New Roman"/>
          <w:spacing w:val="-31"/>
          <w:sz w:val="37"/>
        </w:rPr>
        <w:t xml:space="preserve"> </w:t>
      </w:r>
      <w:r>
        <w:rPr>
          <w:rFonts w:ascii="Times New Roman" w:hAnsi="Times New Roman"/>
          <w:i/>
          <w:spacing w:val="9"/>
          <w:position w:val="-9"/>
          <w:sz w:val="24"/>
        </w:rPr>
        <w:t>r</w:t>
      </w:r>
      <w:r>
        <w:rPr>
          <w:rFonts w:ascii="Times New Roman" w:hAnsi="Times New Roman"/>
          <w:spacing w:val="9"/>
          <w:position w:val="1"/>
          <w:sz w:val="14"/>
        </w:rPr>
        <w:t>2</w:t>
      </w:r>
      <w:r>
        <w:rPr>
          <w:rFonts w:ascii="Times New Roman" w:hAnsi="Times New Roman"/>
          <w:spacing w:val="9"/>
          <w:position w:val="1"/>
          <w:sz w:val="14"/>
        </w:rPr>
        <w:tab/>
      </w:r>
      <w:r>
        <w:rPr>
          <w:rFonts w:ascii="Times New Roman" w:hAnsi="Times New Roman"/>
          <w:i/>
          <w:spacing w:val="9"/>
          <w:position w:val="-9"/>
          <w:sz w:val="24"/>
        </w:rPr>
        <w:t>r</w:t>
      </w:r>
      <w:r>
        <w:rPr>
          <w:rFonts w:ascii="Times New Roman" w:hAnsi="Times New Roman"/>
          <w:spacing w:val="9"/>
          <w:position w:val="1"/>
          <w:sz w:val="14"/>
        </w:rPr>
        <w:t>2</w:t>
      </w:r>
    </w:p>
    <w:p>
      <w:pPr>
        <w:pStyle w:val="6"/>
        <w:spacing w:before="3"/>
        <w:rPr>
          <w:rFonts w:ascii="Times New Roman"/>
          <w:sz w:val="11"/>
        </w:rPr>
      </w:pPr>
    </w:p>
    <w:p>
      <w:pPr>
        <w:pStyle w:val="6"/>
        <w:spacing w:line="20" w:lineRule="exact"/>
        <w:ind w:left="290"/>
        <w:rPr>
          <w:rFonts w:ascii="Times New Roman"/>
          <w:sz w:val="2"/>
        </w:rPr>
      </w:pPr>
      <w:r>
        <w:rPr>
          <w:rFonts w:ascii="Times New Roman"/>
          <w:sz w:val="2"/>
        </w:rPr>
        <mc:AlternateContent>
          <mc:Choice Requires="wpg">
            <w:drawing>
              <wp:inline distT="0" distB="0" distL="114300" distR="114300">
                <wp:extent cx="192405" cy="6985"/>
                <wp:effectExtent l="0" t="0" r="0" b="0"/>
                <wp:docPr id="149" name="组合 100"/>
                <wp:cNvGraphicFramePr/>
                <a:graphic xmlns:a="http://schemas.openxmlformats.org/drawingml/2006/main">
                  <a:graphicData uri="http://schemas.microsoft.com/office/word/2010/wordprocessingGroup">
                    <wpg:wgp>
                      <wpg:cNvGrpSpPr/>
                      <wpg:grpSpPr>
                        <a:xfrm>
                          <a:off x="0" y="0"/>
                          <a:ext cx="192405" cy="6985"/>
                          <a:chOff x="0" y="0"/>
                          <a:chExt cx="303" cy="11"/>
                        </a:xfrm>
                      </wpg:grpSpPr>
                      <wps:wsp>
                        <wps:cNvPr id="148" name="直线 101"/>
                        <wps:cNvSpPr/>
                        <wps:spPr>
                          <a:xfrm>
                            <a:off x="0" y="5"/>
                            <a:ext cx="302" cy="0"/>
                          </a:xfrm>
                          <a:prstGeom prst="line">
                            <a:avLst/>
                          </a:prstGeom>
                          <a:ln w="6439" cap="flat" cmpd="sng">
                            <a:solidFill>
                              <a:srgbClr val="000000"/>
                            </a:solidFill>
                            <a:prstDash val="solid"/>
                            <a:headEnd type="none" w="med" len="med"/>
                            <a:tailEnd type="none" w="med" len="med"/>
                          </a:ln>
                        </wps:spPr>
                        <wps:bodyPr upright="1"/>
                      </wps:wsp>
                    </wpg:wgp>
                  </a:graphicData>
                </a:graphic>
              </wp:inline>
            </w:drawing>
          </mc:Choice>
          <mc:Fallback>
            <w:pict>
              <v:group id="组合 100" o:spid="_x0000_s1026" o:spt="203" style="height:0.55pt;width:15.15pt;" coordsize="303,11" o:gfxdata="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GgNhHSAAAAAgEAAA8AAAAAAAAAAQAgAAAAIgAAAGRycy9kb3ducmV2LnhtbFBLAQIU&#10;ABQAAAAIAIdO4kCJvzsCMgIAALUEAAAOAAAAAAAAAAEAIAAAACEBAABkcnMvZTJvRG9jLnhtbFBL&#10;BQYAAAAABgAGAFkBAADFBQAAAAA=&#10;">
                <o:lock v:ext="edit" aspectratio="f"/>
                <v:line id="直线 101" o:spid="_x0000_s1026" o:spt="20" style="position:absolute;left:0;top:5;height:0;width:302;" filled="f" stroked="t" coordsize="21600,21600" o:gfxdata="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bIcS/&#10;AAAA3AAAAA8AAAAAAAAAAQAgAAAAIgAAAGRycy9kb3ducmV2LnhtbFBLAQIUABQAAAAIAIdO4kAz&#10;LwWeOwAAADkAAAAQAAAAAAAAAAEAIAAAAA4BAABkcnMvc2hhcGV4bWwueG1sUEsFBgAAAAAGAAYA&#10;WwEAALgDAAAAAA==&#10;">
                  <v:fill on="f" focussize="0,0"/>
                  <v:stroke weight="0.507007874015748pt" color="#000000" joinstyle="round"/>
                  <v:imagedata o:title=""/>
                  <o:lock v:ext="edit" aspectratio="f"/>
                </v:line>
                <w10:wrap type="none"/>
                <w10:anchorlock/>
              </v:group>
            </w:pict>
          </mc:Fallback>
        </mc:AlternateContent>
      </w:r>
      <w:r>
        <w:rPr>
          <w:rFonts w:ascii="Times New Roman"/>
          <w:spacing w:val="78"/>
          <w:sz w:val="2"/>
        </w:rPr>
        <w:t xml:space="preserve"> </w:t>
      </w:r>
      <w:r>
        <w:rPr>
          <w:rFonts w:ascii="Times New Roman"/>
          <w:spacing w:val="78"/>
          <w:sz w:val="2"/>
        </w:rPr>
        <mc:AlternateContent>
          <mc:Choice Requires="wpg">
            <w:drawing>
              <wp:inline distT="0" distB="0" distL="114300" distR="114300">
                <wp:extent cx="655320" cy="6985"/>
                <wp:effectExtent l="0" t="0" r="0" b="0"/>
                <wp:docPr id="151" name="组合 102"/>
                <wp:cNvGraphicFramePr/>
                <a:graphic xmlns:a="http://schemas.openxmlformats.org/drawingml/2006/main">
                  <a:graphicData uri="http://schemas.microsoft.com/office/word/2010/wordprocessingGroup">
                    <wpg:wgp>
                      <wpg:cNvGrpSpPr/>
                      <wpg:grpSpPr>
                        <a:xfrm>
                          <a:off x="0" y="0"/>
                          <a:ext cx="655320" cy="6985"/>
                          <a:chOff x="0" y="0"/>
                          <a:chExt cx="1032" cy="11"/>
                        </a:xfrm>
                      </wpg:grpSpPr>
                      <wps:wsp>
                        <wps:cNvPr id="150" name="直线 103"/>
                        <wps:cNvSpPr/>
                        <wps:spPr>
                          <a:xfrm>
                            <a:off x="0" y="5"/>
                            <a:ext cx="1031" cy="0"/>
                          </a:xfrm>
                          <a:prstGeom prst="line">
                            <a:avLst/>
                          </a:prstGeom>
                          <a:ln w="6439" cap="flat" cmpd="sng">
                            <a:solidFill>
                              <a:srgbClr val="000000"/>
                            </a:solidFill>
                            <a:prstDash val="solid"/>
                            <a:headEnd type="none" w="med" len="med"/>
                            <a:tailEnd type="none" w="med" len="med"/>
                          </a:ln>
                        </wps:spPr>
                        <wps:bodyPr upright="1"/>
                      </wps:wsp>
                    </wpg:wgp>
                  </a:graphicData>
                </a:graphic>
              </wp:inline>
            </w:drawing>
          </mc:Choice>
          <mc:Fallback>
            <w:pict>
              <v:group id="组合 102" o:spid="_x0000_s1026" o:spt="203" style="height:0.55pt;width:51.6pt;" coordsize="1032,11" o:gfxdata="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lG++R0wAAAAMBAAAPAAAAAAAAAAEAIAAAACIAAABkcnMvZG93bnJldi54bWxQ&#10;SwECFAAUAAAACACHTuJA2J2/njUCAAC3BAAADgAAAAAAAAABACAAAAAiAQAAZHJzL2Uyb0RvYy54&#10;bWxQSwUGAAAAAAYABgBZAQAAyQUAAAAA&#10;">
                <o:lock v:ext="edit" aspectratio="f"/>
                <v:line id="直线 103" o:spid="_x0000_s1026" o:spt="20" style="position:absolute;left:0;top:5;height:0;width:1031;" filled="f" stroked="t" coordsize="21600,21600" o:gfxdata="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0ux+/&#10;AAAA3AAAAA8AAAAAAAAAAQAgAAAAIgAAAGRycy9kb3ducmV2LnhtbFBLAQIUABQAAAAIAIdO4kAz&#10;LwWeOwAAADkAAAAQAAAAAAAAAAEAIAAAAA4BAABkcnMvc2hhcGV4bWwueG1sUEsFBgAAAAAGAAYA&#10;WwEAALgDAAAAAA==&#10;">
                  <v:fill on="f" focussize="0,0"/>
                  <v:stroke weight="0.507007874015748pt" color="#000000" joinstyle="round"/>
                  <v:imagedata o:title=""/>
                  <o:lock v:ext="edit" aspectratio="f"/>
                </v:line>
                <w10:wrap type="none"/>
                <w10:anchorlock/>
              </v:group>
            </w:pict>
          </mc:Fallback>
        </mc:AlternateContent>
      </w:r>
    </w:p>
    <w:p>
      <w:pPr>
        <w:spacing w:after="0" w:line="20" w:lineRule="exact"/>
        <w:rPr>
          <w:rFonts w:ascii="Times New Roman"/>
          <w:sz w:val="2"/>
        </w:rPr>
        <w:sectPr>
          <w:type w:val="continuous"/>
          <w:pgSz w:w="11910" w:h="16840"/>
          <w:pgMar w:top="1580" w:right="1300" w:bottom="280" w:left="1300" w:header="720" w:footer="720" w:gutter="0"/>
          <w:cols w:equalWidth="0" w:num="3">
            <w:col w:w="2747" w:space="40"/>
            <w:col w:w="634" w:space="39"/>
            <w:col w:w="5850"/>
          </w:cols>
        </w:sectPr>
      </w:pPr>
    </w:p>
    <w:p>
      <w:pPr>
        <w:tabs>
          <w:tab w:val="left" w:pos="2732"/>
          <w:tab w:val="left" w:pos="3458"/>
          <w:tab w:val="left" w:pos="4068"/>
        </w:tabs>
        <w:spacing w:before="0" w:line="112" w:lineRule="exact"/>
        <w:ind w:left="2122" w:right="0" w:firstLine="0"/>
        <w:jc w:val="left"/>
        <w:rPr>
          <w:rFonts w:ascii="Times New Roman" w:hAnsi="Times New Roman"/>
          <w:sz w:val="24"/>
        </w:rPr>
      </w:pPr>
      <w:r>
        <w:rPr>
          <w:rFonts w:ascii="Times New Roman" w:hAnsi="Times New Roman"/>
          <w:i/>
          <w:sz w:val="24"/>
        </w:rPr>
        <w:t>K</w:t>
      </w:r>
      <w:r>
        <w:rPr>
          <w:rFonts w:ascii="Times New Roman" w:hAnsi="Times New Roman"/>
          <w:i/>
          <w:sz w:val="24"/>
        </w:rPr>
        <w:tab/>
      </w:r>
      <w:r>
        <w:rPr>
          <w:spacing w:val="-3"/>
          <w:sz w:val="24"/>
        </w:rPr>
        <w:t>＝</w:t>
      </w:r>
      <w:r>
        <w:rPr>
          <w:rFonts w:ascii="Times New Roman" w:hAnsi="Times New Roman"/>
          <w:i/>
          <w:spacing w:val="-3"/>
          <w:sz w:val="24"/>
        </w:rPr>
        <w:t>W</w:t>
      </w:r>
      <w:r>
        <w:rPr>
          <w:rFonts w:ascii="Times New Roman" w:hAnsi="Times New Roman"/>
          <w:i/>
          <w:spacing w:val="-3"/>
          <w:sz w:val="24"/>
        </w:rPr>
        <w:tab/>
      </w:r>
      <w:r>
        <w:rPr>
          <w:rFonts w:ascii="Symbol" w:hAnsi="Symbol"/>
          <w:sz w:val="24"/>
        </w:rPr>
        <w:t></w:t>
      </w:r>
      <w:r>
        <w:rPr>
          <w:rFonts w:ascii="Times New Roman" w:hAnsi="Times New Roman"/>
          <w:sz w:val="24"/>
        </w:rPr>
        <w:tab/>
      </w:r>
      <w:r>
        <w:rPr>
          <w:rFonts w:ascii="Times New Roman" w:hAnsi="Times New Roman"/>
          <w:spacing w:val="-20"/>
          <w:sz w:val="24"/>
        </w:rPr>
        <w:t>(</w:t>
      </w:r>
    </w:p>
    <w:p>
      <w:pPr>
        <w:spacing w:before="71"/>
        <w:ind w:left="0" w:right="459" w:firstLine="0"/>
        <w:jc w:val="right"/>
        <w:rPr>
          <w:rFonts w:ascii="Times New Roman"/>
          <w:i/>
          <w:sz w:val="14"/>
        </w:rPr>
      </w:pPr>
      <w:r>
        <w:rPr>
          <w:rFonts w:ascii="Times New Roman"/>
          <w:i/>
          <w:w w:val="102"/>
          <w:sz w:val="14"/>
        </w:rPr>
        <w:t>D</w:t>
      </w:r>
    </w:p>
    <w:p>
      <w:pPr>
        <w:spacing w:before="0" w:line="97" w:lineRule="exact"/>
        <w:ind w:left="1037" w:right="0" w:firstLine="0"/>
        <w:jc w:val="left"/>
        <w:rPr>
          <w:rFonts w:ascii="Times New Roman" w:hAnsi="Times New Roman"/>
          <w:i/>
          <w:sz w:val="24"/>
        </w:rPr>
      </w:pPr>
      <w:r>
        <w:br w:type="column"/>
      </w:r>
      <w:r>
        <w:rPr>
          <w:rFonts w:ascii="Symbol" w:hAnsi="Symbol"/>
          <w:sz w:val="24"/>
        </w:rPr>
        <w:t></w:t>
      </w:r>
      <w:r>
        <w:rPr>
          <w:rFonts w:ascii="Times New Roman" w:hAnsi="Times New Roman"/>
          <w:sz w:val="24"/>
        </w:rPr>
        <w:t>1)</w:t>
      </w:r>
      <w:r>
        <w:rPr>
          <w:rFonts w:ascii="Symbol" w:hAnsi="Symbol"/>
          <w:sz w:val="24"/>
        </w:rPr>
        <w:t></w:t>
      </w:r>
      <w:r>
        <w:rPr>
          <w:rFonts w:ascii="Times New Roman" w:hAnsi="Times New Roman"/>
          <w:i/>
          <w:sz w:val="24"/>
        </w:rPr>
        <w:t>e</w:t>
      </w:r>
    </w:p>
    <w:p>
      <w:pPr>
        <w:tabs>
          <w:tab w:val="left" w:pos="1160"/>
        </w:tabs>
        <w:spacing w:before="0" w:line="100" w:lineRule="exact"/>
        <w:ind w:left="571" w:right="0" w:firstLine="0"/>
        <w:jc w:val="left"/>
        <w:rPr>
          <w:rFonts w:ascii="Symbol" w:hAnsi="Symbol"/>
          <w:i/>
          <w:sz w:val="25"/>
        </w:rPr>
      </w:pPr>
      <w:r>
        <w:br w:type="column"/>
      </w:r>
      <w:r>
        <w:rPr>
          <w:rFonts w:ascii="Times New Roman" w:hAnsi="Times New Roman"/>
          <w:i/>
          <w:spacing w:val="4"/>
          <w:position w:val="8"/>
          <w:sz w:val="14"/>
        </w:rPr>
        <w:t>r</w:t>
      </w:r>
      <w:r>
        <w:rPr>
          <w:rFonts w:ascii="Times New Roman" w:hAnsi="Times New Roman"/>
          <w:spacing w:val="4"/>
          <w:position w:val="14"/>
          <w:sz w:val="10"/>
        </w:rPr>
        <w:t>2</w:t>
      </w:r>
      <w:r>
        <w:rPr>
          <w:rFonts w:ascii="Times New Roman" w:hAnsi="Times New Roman"/>
          <w:spacing w:val="4"/>
          <w:position w:val="14"/>
          <w:sz w:val="10"/>
        </w:rPr>
        <w:tab/>
      </w:r>
      <w:r>
        <w:rPr>
          <w:rFonts w:ascii="Symbol" w:hAnsi="Symbol"/>
          <w:spacing w:val="-12"/>
          <w:sz w:val="24"/>
        </w:rPr>
        <w:t></w:t>
      </w:r>
      <w:r>
        <w:rPr>
          <w:rFonts w:ascii="Times New Roman" w:hAnsi="Times New Roman"/>
          <w:i/>
          <w:spacing w:val="-12"/>
          <w:sz w:val="24"/>
        </w:rPr>
        <w:t>d</w:t>
      </w:r>
      <w:r>
        <w:rPr>
          <w:rFonts w:ascii="Symbol" w:hAnsi="Symbol"/>
          <w:i/>
          <w:spacing w:val="-12"/>
          <w:sz w:val="25"/>
        </w:rPr>
        <w:t></w:t>
      </w:r>
      <w:r>
        <w:rPr>
          <w:rFonts w:ascii="Symbol" w:hAnsi="Symbol"/>
          <w:spacing w:val="-12"/>
          <w:sz w:val="24"/>
        </w:rPr>
        <w:t></w:t>
      </w:r>
      <w:r>
        <w:rPr>
          <w:rFonts w:ascii="Times New Roman" w:hAnsi="Times New Roman"/>
          <w:i/>
          <w:spacing w:val="-12"/>
          <w:sz w:val="24"/>
        </w:rPr>
        <w:t>d</w:t>
      </w:r>
      <w:r>
        <w:rPr>
          <w:rFonts w:ascii="Symbol" w:hAnsi="Symbol"/>
          <w:i/>
          <w:spacing w:val="-12"/>
          <w:sz w:val="25"/>
        </w:rPr>
        <w:t></w:t>
      </w:r>
    </w:p>
    <w:p>
      <w:pPr>
        <w:spacing w:after="0" w:line="100" w:lineRule="exact"/>
        <w:jc w:val="left"/>
        <w:rPr>
          <w:rFonts w:ascii="Symbol" w:hAnsi="Symbol"/>
          <w:sz w:val="25"/>
        </w:rPr>
        <w:sectPr>
          <w:type w:val="continuous"/>
          <w:pgSz w:w="11910" w:h="16840"/>
          <w:pgMar w:top="1580" w:right="1300" w:bottom="280" w:left="1300" w:header="720" w:footer="720" w:gutter="0"/>
          <w:cols w:equalWidth="0" w:num="3">
            <w:col w:w="4151" w:space="40"/>
            <w:col w:w="1558" w:space="39"/>
            <w:col w:w="3522"/>
          </w:cols>
        </w:sectPr>
      </w:pPr>
    </w:p>
    <w:p>
      <w:pPr>
        <w:pStyle w:val="6"/>
        <w:rPr>
          <w:rFonts w:ascii="Symbol" w:hAnsi="Symbol"/>
          <w:i/>
          <w:sz w:val="16"/>
        </w:rPr>
      </w:pPr>
    </w:p>
    <w:p>
      <w:pPr>
        <w:spacing w:after="0"/>
        <w:rPr>
          <w:rFonts w:ascii="Symbol" w:hAnsi="Symbol"/>
          <w:sz w:val="16"/>
        </w:rPr>
        <w:sectPr>
          <w:type w:val="continuous"/>
          <w:pgSz w:w="11910" w:h="16840"/>
          <w:pgMar w:top="1580" w:right="1300" w:bottom="280" w:left="1300" w:header="720" w:footer="720" w:gutter="0"/>
        </w:sectPr>
      </w:pPr>
    </w:p>
    <w:p>
      <w:pPr>
        <w:pStyle w:val="6"/>
        <w:spacing w:before="67"/>
        <w:ind w:left="931"/>
      </w:pPr>
      <w:r>
        <w:t>④地表水平移动</w:t>
      </w:r>
    </w:p>
    <w:p>
      <w:pPr>
        <w:pStyle w:val="6"/>
        <w:spacing w:before="4"/>
        <w:rPr>
          <w:sz w:val="28"/>
        </w:rPr>
      </w:pPr>
    </w:p>
    <w:p>
      <w:pPr>
        <w:spacing w:before="0"/>
        <w:ind w:left="0" w:right="0" w:firstLine="0"/>
        <w:jc w:val="right"/>
        <w:rPr>
          <w:rFonts w:ascii="Times New Roman"/>
          <w:i/>
          <w:sz w:val="24"/>
        </w:rPr>
      </w:pPr>
      <w:r>
        <w:rPr>
          <w:rFonts w:ascii="Times New Roman"/>
          <w:i/>
          <w:w w:val="102"/>
          <w:sz w:val="24"/>
        </w:rPr>
        <w:t>U</w:t>
      </w:r>
    </w:p>
    <w:p>
      <w:pPr>
        <w:pStyle w:val="6"/>
        <w:rPr>
          <w:rFonts w:ascii="Times New Roman"/>
          <w:i/>
          <w:sz w:val="30"/>
        </w:rPr>
      </w:pPr>
      <w:r>
        <w:br w:type="column"/>
      </w:r>
    </w:p>
    <w:p>
      <w:pPr>
        <w:pStyle w:val="6"/>
        <w:spacing w:before="10"/>
        <w:rPr>
          <w:rFonts w:ascii="Times New Roman"/>
          <w:i/>
          <w:sz w:val="32"/>
        </w:rPr>
      </w:pPr>
    </w:p>
    <w:p>
      <w:pPr>
        <w:spacing w:before="0"/>
        <w:ind w:left="-12" w:right="0" w:firstLine="0"/>
        <w:jc w:val="left"/>
        <w:rPr>
          <w:rFonts w:ascii="Times New Roman" w:eastAsia="Times New Roman"/>
          <w:i/>
          <w:sz w:val="24"/>
        </w:rPr>
      </w:pPr>
      <w:r>
        <w:rPr>
          <w:rFonts w:ascii="Times New Roman" w:eastAsia="Times New Roman"/>
          <w:i/>
          <w:sz w:val="14"/>
        </w:rPr>
        <w:t xml:space="preserve">X </w:t>
      </w:r>
      <w:r>
        <w:rPr>
          <w:rFonts w:ascii="Times New Roman" w:eastAsia="Times New Roman"/>
          <w:sz w:val="14"/>
        </w:rPr>
        <w:t>(</w:t>
      </w:r>
      <w:r>
        <w:rPr>
          <w:rFonts w:ascii="Times New Roman" w:eastAsia="Times New Roman"/>
          <w:spacing w:val="-12"/>
          <w:sz w:val="14"/>
        </w:rPr>
        <w:t xml:space="preserve"> </w:t>
      </w:r>
      <w:r>
        <w:rPr>
          <w:rFonts w:ascii="Times New Roman" w:eastAsia="Times New Roman"/>
          <w:i/>
          <w:spacing w:val="4"/>
          <w:sz w:val="14"/>
        </w:rPr>
        <w:t>x</w:t>
      </w:r>
      <w:r>
        <w:rPr>
          <w:rFonts w:ascii="Times New Roman" w:eastAsia="Times New Roman"/>
          <w:spacing w:val="4"/>
          <w:sz w:val="14"/>
        </w:rPr>
        <w:t>,</w:t>
      </w:r>
      <w:r>
        <w:rPr>
          <w:rFonts w:ascii="Times New Roman" w:eastAsia="Times New Roman"/>
          <w:spacing w:val="-16"/>
          <w:sz w:val="14"/>
        </w:rPr>
        <w:t xml:space="preserve"> </w:t>
      </w:r>
      <w:r>
        <w:rPr>
          <w:rFonts w:ascii="Times New Roman" w:eastAsia="Times New Roman"/>
          <w:i/>
          <w:sz w:val="14"/>
        </w:rPr>
        <w:t>y</w:t>
      </w:r>
      <w:r>
        <w:rPr>
          <w:rFonts w:ascii="Times New Roman" w:eastAsia="Times New Roman"/>
          <w:i/>
          <w:spacing w:val="-18"/>
          <w:sz w:val="14"/>
        </w:rPr>
        <w:t xml:space="preserve"> </w:t>
      </w:r>
      <w:r>
        <w:rPr>
          <w:rFonts w:ascii="Times New Roman" w:eastAsia="Times New Roman"/>
          <w:spacing w:val="-13"/>
          <w:sz w:val="14"/>
        </w:rPr>
        <w:t>)</w:t>
      </w:r>
      <w:r>
        <w:rPr>
          <w:spacing w:val="-13"/>
          <w:position w:val="6"/>
          <w:sz w:val="24"/>
        </w:rPr>
        <w:t>＝</w:t>
      </w:r>
      <w:r>
        <w:rPr>
          <w:rFonts w:ascii="Times New Roman" w:eastAsia="Times New Roman"/>
          <w:i/>
          <w:spacing w:val="-13"/>
          <w:position w:val="6"/>
          <w:sz w:val="24"/>
        </w:rPr>
        <w:t>U</w:t>
      </w:r>
    </w:p>
    <w:p>
      <w:pPr>
        <w:pStyle w:val="6"/>
        <w:rPr>
          <w:rFonts w:ascii="Times New Roman"/>
          <w:i/>
          <w:sz w:val="16"/>
        </w:rPr>
      </w:pPr>
      <w:r>
        <w:br w:type="column"/>
      </w:r>
    </w:p>
    <w:p>
      <w:pPr>
        <w:pStyle w:val="6"/>
        <w:rPr>
          <w:rFonts w:ascii="Times New Roman"/>
          <w:i/>
          <w:sz w:val="16"/>
        </w:rPr>
      </w:pPr>
    </w:p>
    <w:p>
      <w:pPr>
        <w:pStyle w:val="6"/>
        <w:rPr>
          <w:rFonts w:ascii="Times New Roman"/>
          <w:i/>
          <w:sz w:val="16"/>
        </w:rPr>
      </w:pPr>
    </w:p>
    <w:p>
      <w:pPr>
        <w:pStyle w:val="6"/>
        <w:rPr>
          <w:rFonts w:ascii="Times New Roman"/>
          <w:i/>
          <w:sz w:val="16"/>
        </w:rPr>
      </w:pPr>
    </w:p>
    <w:p>
      <w:pPr>
        <w:pStyle w:val="6"/>
        <w:spacing w:before="7"/>
        <w:rPr>
          <w:rFonts w:ascii="Times New Roman"/>
          <w:i/>
          <w:sz w:val="13"/>
        </w:rPr>
      </w:pPr>
    </w:p>
    <w:p>
      <w:pPr>
        <w:spacing w:before="0"/>
        <w:ind w:left="-22" w:right="0" w:firstLine="0"/>
        <w:jc w:val="left"/>
        <w:rPr>
          <w:rFonts w:ascii="Times New Roman"/>
          <w:sz w:val="14"/>
        </w:rPr>
      </w:pPr>
      <w:r>
        <w:rPr>
          <w:rFonts w:ascii="Times New Roman"/>
          <w:sz w:val="14"/>
        </w:rPr>
        <w:t>max</w:t>
      </w:r>
    </w:p>
    <w:p>
      <w:pPr>
        <w:pStyle w:val="6"/>
        <w:spacing w:before="11"/>
        <w:rPr>
          <w:rFonts w:ascii="Times New Roman"/>
          <w:sz w:val="58"/>
        </w:rPr>
      </w:pPr>
      <w:r>
        <w:br w:type="column"/>
      </w:r>
    </w:p>
    <w:p>
      <w:pPr>
        <w:spacing w:before="0" w:line="438" w:lineRule="exact"/>
        <w:ind w:left="-2" w:right="0" w:firstLine="0"/>
        <w:jc w:val="center"/>
        <w:rPr>
          <w:rFonts w:ascii="Symbol" w:hAnsi="Symbol"/>
          <w:sz w:val="37"/>
        </w:rPr>
      </w:pPr>
      <w:r>
        <w:rPr>
          <w:rFonts w:ascii="Symbol" w:hAnsi="Symbol"/>
          <w:spacing w:val="5"/>
          <w:position w:val="9"/>
          <w:sz w:val="24"/>
        </w:rPr>
        <w:t></w:t>
      </w:r>
      <w:r>
        <w:rPr>
          <w:rFonts w:ascii="Symbol" w:hAnsi="Symbol"/>
          <w:spacing w:val="5"/>
          <w:sz w:val="37"/>
        </w:rPr>
        <w:t></w:t>
      </w:r>
    </w:p>
    <w:p>
      <w:pPr>
        <w:spacing w:before="0" w:line="145" w:lineRule="exact"/>
        <w:ind w:left="73" w:right="0" w:firstLine="0"/>
        <w:jc w:val="center"/>
        <w:rPr>
          <w:rFonts w:ascii="Times New Roman"/>
          <w:i/>
          <w:sz w:val="14"/>
        </w:rPr>
      </w:pPr>
      <w:r>
        <w:rPr>
          <w:rFonts w:ascii="Times New Roman"/>
          <w:i/>
          <w:w w:val="102"/>
          <w:sz w:val="14"/>
        </w:rPr>
        <w:t>D</w:t>
      </w:r>
    </w:p>
    <w:p>
      <w:pPr>
        <w:pStyle w:val="6"/>
        <w:rPr>
          <w:rFonts w:ascii="Times New Roman"/>
          <w:i/>
          <w:sz w:val="30"/>
        </w:rPr>
      </w:pPr>
      <w:r>
        <w:br w:type="column"/>
      </w:r>
    </w:p>
    <w:p>
      <w:pPr>
        <w:spacing w:before="211"/>
        <w:ind w:left="82" w:right="93" w:firstLine="0"/>
        <w:jc w:val="center"/>
        <w:rPr>
          <w:rFonts w:ascii="Times New Roman" w:hAnsi="Times New Roman"/>
          <w:sz w:val="24"/>
        </w:rPr>
      </w:pPr>
      <w:r>
        <w:rPr>
          <w:rFonts w:ascii="Times New Roman" w:hAnsi="Times New Roman"/>
          <w:spacing w:val="-32"/>
          <w:sz w:val="24"/>
        </w:rPr>
        <w:t>2</w:t>
      </w:r>
      <w:r>
        <w:rPr>
          <w:rFonts w:ascii="Symbol" w:hAnsi="Symbol"/>
          <w:i/>
          <w:spacing w:val="-32"/>
          <w:sz w:val="25"/>
        </w:rPr>
        <w:t></w:t>
      </w:r>
      <w:r>
        <w:rPr>
          <w:rFonts w:ascii="Times New Roman" w:hAnsi="Times New Roman"/>
          <w:spacing w:val="-32"/>
          <w:sz w:val="24"/>
        </w:rPr>
        <w:t>(</w:t>
      </w:r>
      <w:r>
        <w:rPr>
          <w:rFonts w:ascii="Symbol" w:hAnsi="Symbol"/>
          <w:i/>
          <w:spacing w:val="-32"/>
          <w:sz w:val="25"/>
        </w:rPr>
        <w:t></w:t>
      </w:r>
      <w:r>
        <w:rPr>
          <w:rFonts w:ascii="Symbol" w:hAnsi="Symbol"/>
          <w:spacing w:val="-32"/>
          <w:sz w:val="24"/>
        </w:rPr>
        <w:t></w:t>
      </w:r>
      <w:r>
        <w:rPr>
          <w:rFonts w:ascii="Times New Roman" w:hAnsi="Times New Roman"/>
          <w:spacing w:val="-32"/>
          <w:sz w:val="24"/>
        </w:rPr>
        <w:t xml:space="preserve"> </w:t>
      </w:r>
      <w:r>
        <w:rPr>
          <w:rFonts w:ascii="Times New Roman" w:hAnsi="Times New Roman"/>
          <w:i/>
          <w:sz w:val="24"/>
        </w:rPr>
        <w:t>X</w:t>
      </w:r>
      <w:r>
        <w:rPr>
          <w:rFonts w:ascii="Times New Roman" w:hAnsi="Times New Roman"/>
          <w:i/>
          <w:spacing w:val="-29"/>
          <w:sz w:val="24"/>
        </w:rPr>
        <w:t xml:space="preserve"> </w:t>
      </w:r>
      <w:r>
        <w:rPr>
          <w:rFonts w:ascii="Times New Roman" w:hAnsi="Times New Roman"/>
          <w:sz w:val="24"/>
        </w:rPr>
        <w:t>)</w:t>
      </w:r>
    </w:p>
    <w:p>
      <w:pPr>
        <w:pStyle w:val="6"/>
        <w:spacing w:before="7"/>
        <w:rPr>
          <w:rFonts w:ascii="Times New Roman"/>
          <w:sz w:val="2"/>
        </w:rPr>
      </w:pPr>
    </w:p>
    <w:p>
      <w:pPr>
        <w:pStyle w:val="6"/>
        <w:spacing w:line="20" w:lineRule="exact"/>
        <w:ind w:left="-31" w:right="-87"/>
        <w:rPr>
          <w:rFonts w:ascii="Times New Roman"/>
          <w:sz w:val="2"/>
        </w:rPr>
      </w:pPr>
      <w:r>
        <w:rPr>
          <w:rFonts w:ascii="Times New Roman"/>
          <w:sz w:val="2"/>
        </w:rPr>
        <mc:AlternateContent>
          <mc:Choice Requires="wpg">
            <w:drawing>
              <wp:inline distT="0" distB="0" distL="114300" distR="114300">
                <wp:extent cx="633095" cy="6985"/>
                <wp:effectExtent l="0" t="0" r="0" b="0"/>
                <wp:docPr id="153" name="组合 104"/>
                <wp:cNvGraphicFramePr/>
                <a:graphic xmlns:a="http://schemas.openxmlformats.org/drawingml/2006/main">
                  <a:graphicData uri="http://schemas.microsoft.com/office/word/2010/wordprocessingGroup">
                    <wpg:wgp>
                      <wpg:cNvGrpSpPr/>
                      <wpg:grpSpPr>
                        <a:xfrm>
                          <a:off x="0" y="0"/>
                          <a:ext cx="633095" cy="6985"/>
                          <a:chOff x="0" y="0"/>
                          <a:chExt cx="997" cy="11"/>
                        </a:xfrm>
                      </wpg:grpSpPr>
                      <wps:wsp>
                        <wps:cNvPr id="152" name="直线 105"/>
                        <wps:cNvSpPr/>
                        <wps:spPr>
                          <a:xfrm>
                            <a:off x="0" y="5"/>
                            <a:ext cx="996" cy="0"/>
                          </a:xfrm>
                          <a:prstGeom prst="line">
                            <a:avLst/>
                          </a:prstGeom>
                          <a:ln w="6439" cap="flat" cmpd="sng">
                            <a:solidFill>
                              <a:srgbClr val="000000"/>
                            </a:solidFill>
                            <a:prstDash val="solid"/>
                            <a:headEnd type="none" w="med" len="med"/>
                            <a:tailEnd type="none" w="med" len="med"/>
                          </a:ln>
                        </wps:spPr>
                        <wps:bodyPr upright="1"/>
                      </wps:wsp>
                    </wpg:wgp>
                  </a:graphicData>
                </a:graphic>
              </wp:inline>
            </w:drawing>
          </mc:Choice>
          <mc:Fallback>
            <w:pict>
              <v:group id="组合 104" o:spid="_x0000_s1026" o:spt="203" style="height:0.55pt;width:49.85pt;" coordsize="997,11" o:gfxdata="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bpaJnTAAAAAgEAAA8AAAAAAAAAAQAgAAAAIgAAAGRycy9kb3ducmV2LnhtbFBL&#10;AQIUABQAAAAIAIdO4kD6m/DRNAIAALUEAAAOAAAAAAAAAAEAIAAAACIBAABkcnMvZTJvRG9jLnht&#10;bFBLBQYAAAAABgAGAFkBAADIBQAAAAA=&#10;">
                <o:lock v:ext="edit" aspectratio="f"/>
                <v:line id="直线 105" o:spid="_x0000_s1026" o:spt="20" style="position:absolute;left:0;top:5;height:0;width:996;" filled="f" stroked="t" coordsize="21600,21600" o:gfxdata="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qgPO8AAAA&#10;3AAAAA8AAAAAAAAAAQAgAAAAIgAAAGRycy9kb3ducmV2LnhtbFBLAQIUABQAAAAIAIdO4kAzLwWe&#10;OwAAADkAAAAQAAAAAAAAAAEAIAAAAAsBAABkcnMvc2hhcGV4bWwueG1sUEsFBgAAAAAGAAYAWwEA&#10;ALUDAAAAAA==&#10;">
                  <v:fill on="f" focussize="0,0"/>
                  <v:stroke weight="0.507007874015748pt" color="#000000" joinstyle="round"/>
                  <v:imagedata o:title=""/>
                  <o:lock v:ext="edit" aspectratio="f"/>
                </v:line>
                <w10:wrap type="none"/>
                <w10:anchorlock/>
              </v:group>
            </w:pict>
          </mc:Fallback>
        </mc:AlternateContent>
      </w:r>
    </w:p>
    <w:p>
      <w:pPr>
        <w:spacing w:before="0"/>
        <w:ind w:left="59" w:right="93" w:firstLine="0"/>
        <w:jc w:val="center"/>
        <w:rPr>
          <w:rFonts w:ascii="Times New Roman"/>
          <w:sz w:val="14"/>
        </w:rPr>
      </w:pPr>
      <w:r>
        <w:rPr>
          <w:rFonts w:ascii="Times New Roman"/>
          <w:i/>
          <w:position w:val="-10"/>
          <w:sz w:val="24"/>
        </w:rPr>
        <w:t>r</w:t>
      </w:r>
      <w:r>
        <w:rPr>
          <w:rFonts w:ascii="Times New Roman"/>
          <w:sz w:val="14"/>
        </w:rPr>
        <w:t>2</w:t>
      </w:r>
    </w:p>
    <w:p>
      <w:pPr>
        <w:pStyle w:val="6"/>
        <w:rPr>
          <w:rFonts w:ascii="Times New Roman"/>
          <w:sz w:val="28"/>
        </w:rPr>
      </w:pPr>
      <w:r>
        <w:br w:type="column"/>
      </w:r>
    </w:p>
    <w:p>
      <w:pPr>
        <w:spacing w:before="210" w:line="170" w:lineRule="auto"/>
        <w:ind w:left="188" w:right="0" w:firstLine="0"/>
        <w:jc w:val="left"/>
        <w:rPr>
          <w:rFonts w:ascii="Times New Roman" w:hAnsi="Times New Roman"/>
          <w:sz w:val="14"/>
        </w:rPr>
      </w:pPr>
      <w:r>
        <w:rPr>
          <w:rFonts w:ascii="Symbol" w:hAnsi="Symbol"/>
          <w:position w:val="-8"/>
          <w:sz w:val="14"/>
        </w:rPr>
        <w:t></w:t>
      </w:r>
      <w:r>
        <w:rPr>
          <w:rFonts w:ascii="Symbol" w:hAnsi="Symbol"/>
          <w:i/>
          <w:position w:val="-8"/>
          <w:sz w:val="15"/>
        </w:rPr>
        <w:t></w:t>
      </w:r>
      <w:r>
        <w:rPr>
          <w:rFonts w:ascii="Times New Roman" w:hAnsi="Times New Roman"/>
          <w:sz w:val="14"/>
        </w:rPr>
        <w:t xml:space="preserve">( </w:t>
      </w:r>
      <w:r>
        <w:rPr>
          <w:rFonts w:ascii="Times New Roman" w:hAnsi="Times New Roman"/>
          <w:i/>
          <w:sz w:val="14"/>
        </w:rPr>
        <w:t>y</w:t>
      </w:r>
      <w:r>
        <w:rPr>
          <w:rFonts w:ascii="Symbol" w:hAnsi="Symbol"/>
          <w:sz w:val="14"/>
        </w:rPr>
        <w:t></w:t>
      </w:r>
      <w:r>
        <w:rPr>
          <w:rFonts w:ascii="Times New Roman" w:hAnsi="Times New Roman"/>
          <w:i/>
          <w:sz w:val="14"/>
        </w:rPr>
        <w:t xml:space="preserve">x </w:t>
      </w:r>
      <w:r>
        <w:rPr>
          <w:rFonts w:ascii="Times New Roman" w:hAnsi="Times New Roman"/>
          <w:sz w:val="14"/>
        </w:rPr>
        <w:t>)</w:t>
      </w:r>
      <w:r>
        <w:rPr>
          <w:rFonts w:ascii="Times New Roman" w:hAnsi="Times New Roman"/>
          <w:sz w:val="14"/>
          <w:vertAlign w:val="superscript"/>
        </w:rPr>
        <w:t>2</w:t>
      </w:r>
      <w:r>
        <w:rPr>
          <w:rFonts w:ascii="Times New Roman" w:hAnsi="Times New Roman"/>
          <w:sz w:val="14"/>
          <w:vertAlign w:val="baseline"/>
        </w:rPr>
        <w:t xml:space="preserve"> </w:t>
      </w:r>
      <w:r>
        <w:rPr>
          <w:rFonts w:ascii="Symbol" w:hAnsi="Symbol"/>
          <w:sz w:val="14"/>
          <w:vertAlign w:val="baseline"/>
        </w:rPr>
        <w:t></w:t>
      </w:r>
      <w:r>
        <w:rPr>
          <w:rFonts w:ascii="Times New Roman" w:hAnsi="Times New Roman"/>
          <w:sz w:val="14"/>
          <w:vertAlign w:val="baseline"/>
        </w:rPr>
        <w:t>(</w:t>
      </w:r>
      <w:r>
        <w:rPr>
          <w:rFonts w:ascii="Symbol" w:hAnsi="Symbol"/>
          <w:i/>
          <w:sz w:val="15"/>
          <w:vertAlign w:val="baseline"/>
        </w:rPr>
        <w:t></w:t>
      </w:r>
      <w:r>
        <w:rPr>
          <w:rFonts w:ascii="Symbol" w:hAnsi="Symbol"/>
          <w:sz w:val="14"/>
          <w:vertAlign w:val="baseline"/>
        </w:rPr>
        <w:t></w:t>
      </w:r>
      <w:r>
        <w:rPr>
          <w:rFonts w:ascii="Times New Roman" w:hAnsi="Times New Roman"/>
          <w:sz w:val="14"/>
          <w:vertAlign w:val="baseline"/>
        </w:rPr>
        <w:t xml:space="preserve"> </w:t>
      </w:r>
      <w:r>
        <w:rPr>
          <w:rFonts w:ascii="Times New Roman" w:hAnsi="Times New Roman"/>
          <w:i/>
          <w:sz w:val="14"/>
          <w:vertAlign w:val="baseline"/>
        </w:rPr>
        <w:t xml:space="preserve">y </w:t>
      </w:r>
      <w:r>
        <w:rPr>
          <w:rFonts w:ascii="Times New Roman" w:hAnsi="Times New Roman"/>
          <w:sz w:val="14"/>
          <w:vertAlign w:val="baseline"/>
        </w:rPr>
        <w:t>)</w:t>
      </w:r>
      <w:r>
        <w:rPr>
          <w:rFonts w:ascii="Times New Roman" w:hAnsi="Times New Roman"/>
          <w:sz w:val="14"/>
          <w:vertAlign w:val="superscript"/>
        </w:rPr>
        <w:t>2</w:t>
      </w:r>
    </w:p>
    <w:p>
      <w:pPr>
        <w:tabs>
          <w:tab w:val="left" w:pos="787"/>
        </w:tabs>
        <w:spacing w:before="0" w:line="259" w:lineRule="exact"/>
        <w:ind w:left="-8" w:right="0" w:firstLine="0"/>
        <w:jc w:val="left"/>
        <w:rPr>
          <w:rFonts w:ascii="Times New Roman" w:hAnsi="Times New Roman"/>
          <w:sz w:val="10"/>
        </w:rPr>
      </w:pPr>
      <w:r>
        <mc:AlternateContent>
          <mc:Choice Requires="wps">
            <w:drawing>
              <wp:anchor distT="0" distB="0" distL="114300" distR="114300" simplePos="0" relativeHeight="251731968" behindDoc="0" locked="0" layoutInCell="1" allowOverlap="1">
                <wp:simplePos x="0" y="0"/>
                <wp:positionH relativeFrom="page">
                  <wp:posOffset>4342130</wp:posOffset>
                </wp:positionH>
                <wp:positionV relativeFrom="paragraph">
                  <wp:posOffset>-20320</wp:posOffset>
                </wp:positionV>
                <wp:extent cx="612775" cy="0"/>
                <wp:effectExtent l="0" t="0" r="0" b="0"/>
                <wp:wrapNone/>
                <wp:docPr id="246" name="直线 106"/>
                <wp:cNvGraphicFramePr/>
                <a:graphic xmlns:a="http://schemas.openxmlformats.org/drawingml/2006/main">
                  <a:graphicData uri="http://schemas.microsoft.com/office/word/2010/wordprocessingShape">
                    <wps:wsp>
                      <wps:cNvSpPr/>
                      <wps:spPr>
                        <a:xfrm>
                          <a:off x="0" y="0"/>
                          <a:ext cx="612775" cy="0"/>
                        </a:xfrm>
                        <a:prstGeom prst="line">
                          <a:avLst/>
                        </a:prstGeom>
                        <a:ln w="3226" cap="flat" cmpd="sng">
                          <a:solidFill>
                            <a:srgbClr val="000000"/>
                          </a:solidFill>
                          <a:prstDash val="solid"/>
                          <a:headEnd type="none" w="med" len="med"/>
                          <a:tailEnd type="none" w="med" len="med"/>
                        </a:ln>
                      </wps:spPr>
                      <wps:bodyPr upright="1"/>
                    </wps:wsp>
                  </a:graphicData>
                </a:graphic>
              </wp:anchor>
            </w:drawing>
          </mc:Choice>
          <mc:Fallback>
            <w:pict>
              <v:line id="直线 106" o:spid="_x0000_s1026" o:spt="20" style="position:absolute;left:0pt;margin-left:341.9pt;margin-top:-1.6pt;height:0pt;width:48.25pt;mso-position-horizontal-relative:page;z-index:251731968;mso-width-relative:page;mso-height-relative:page;" filled="f" stroked="t" coordsize="21600,21600" o:gfxdata="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NUYLtYAAAAJAQAADwAAAAAAAAABACAAAAAiAAAA&#10;ZHJzL2Rvd25yZXYueG1sUEsBAhQAFAAAAAgAh07iQIm82a7QAQAAkAMAAA4AAAAAAAAAAQAgAAAA&#10;JQEAAGRycy9lMm9Eb2MueG1sUEsFBgAAAAAGAAYAWQEAAGcFAAAAAA==&#10;">
                <v:fill on="f" focussize="0,0"/>
                <v:stroke weight="0.254015748031496pt" color="#000000" joinstyle="round"/>
                <v:imagedata o:title=""/>
                <o:lock v:ext="edit" aspectratio="f"/>
              </v:line>
            </w:pict>
          </mc:Fallback>
        </mc:AlternateContent>
      </w:r>
      <w:r>
        <w:rPr>
          <w:rFonts w:ascii="Symbol" w:hAnsi="Symbol"/>
          <w:spacing w:val="6"/>
          <w:sz w:val="24"/>
        </w:rPr>
        <w:t></w:t>
      </w:r>
      <w:r>
        <w:rPr>
          <w:rFonts w:ascii="Times New Roman" w:hAnsi="Times New Roman"/>
          <w:i/>
          <w:spacing w:val="6"/>
          <w:sz w:val="24"/>
        </w:rPr>
        <w:t>e</w:t>
      </w:r>
      <w:r>
        <w:rPr>
          <w:rFonts w:ascii="Times New Roman" w:hAnsi="Times New Roman"/>
          <w:i/>
          <w:spacing w:val="6"/>
          <w:sz w:val="24"/>
        </w:rPr>
        <w:tab/>
      </w:r>
      <w:r>
        <w:rPr>
          <w:rFonts w:ascii="Times New Roman" w:hAnsi="Times New Roman"/>
          <w:i/>
          <w:spacing w:val="3"/>
          <w:position w:val="8"/>
          <w:sz w:val="14"/>
        </w:rPr>
        <w:t>r</w:t>
      </w:r>
      <w:r>
        <w:rPr>
          <w:rFonts w:ascii="Times New Roman" w:hAnsi="Times New Roman"/>
          <w:spacing w:val="3"/>
          <w:position w:val="14"/>
          <w:sz w:val="10"/>
        </w:rPr>
        <w:t>2</w:t>
      </w:r>
    </w:p>
    <w:p>
      <w:pPr>
        <w:pStyle w:val="6"/>
        <w:rPr>
          <w:rFonts w:ascii="Times New Roman"/>
          <w:sz w:val="30"/>
        </w:rPr>
      </w:pPr>
      <w:r>
        <w:br w:type="column"/>
      </w:r>
    </w:p>
    <w:p>
      <w:pPr>
        <w:pStyle w:val="6"/>
        <w:spacing w:before="8"/>
        <w:rPr>
          <w:rFonts w:ascii="Times New Roman"/>
          <w:sz w:val="31"/>
        </w:rPr>
      </w:pPr>
    </w:p>
    <w:p>
      <w:pPr>
        <w:spacing w:before="0"/>
        <w:ind w:left="26" w:right="0" w:firstLine="0"/>
        <w:jc w:val="left"/>
        <w:rPr>
          <w:rFonts w:ascii="Symbol" w:hAnsi="Symbol"/>
          <w:i/>
          <w:sz w:val="25"/>
        </w:rPr>
      </w:pPr>
      <w:r>
        <w:rPr>
          <w:rFonts w:ascii="Symbol" w:hAnsi="Symbol"/>
          <w:sz w:val="24"/>
        </w:rPr>
        <w:t></w:t>
      </w:r>
      <w:r>
        <w:rPr>
          <w:rFonts w:ascii="Times New Roman" w:hAnsi="Times New Roman"/>
          <w:i/>
          <w:sz w:val="24"/>
        </w:rPr>
        <w:t>d</w:t>
      </w:r>
      <w:r>
        <w:rPr>
          <w:rFonts w:ascii="Symbol" w:hAnsi="Symbol"/>
          <w:i/>
          <w:sz w:val="25"/>
        </w:rPr>
        <w:t></w:t>
      </w:r>
      <w:r>
        <w:rPr>
          <w:rFonts w:ascii="Symbol" w:hAnsi="Symbol"/>
          <w:sz w:val="24"/>
        </w:rPr>
        <w:t></w:t>
      </w:r>
      <w:r>
        <w:rPr>
          <w:rFonts w:ascii="Times New Roman" w:hAnsi="Times New Roman"/>
          <w:i/>
          <w:sz w:val="24"/>
        </w:rPr>
        <w:t>d</w:t>
      </w:r>
      <w:r>
        <w:rPr>
          <w:rFonts w:ascii="Symbol" w:hAnsi="Symbol"/>
          <w:i/>
          <w:sz w:val="25"/>
        </w:rPr>
        <w:t></w:t>
      </w:r>
    </w:p>
    <w:p>
      <w:pPr>
        <w:spacing w:after="0"/>
        <w:jc w:val="left"/>
        <w:rPr>
          <w:rFonts w:ascii="Symbol" w:hAnsi="Symbol"/>
          <w:sz w:val="25"/>
        </w:rPr>
        <w:sectPr>
          <w:type w:val="continuous"/>
          <w:pgSz w:w="11910" w:h="16840"/>
          <w:pgMar w:top="1580" w:right="1300" w:bottom="280" w:left="1300" w:header="720" w:footer="720" w:gutter="0"/>
          <w:cols w:equalWidth="0" w:num="7">
            <w:col w:w="2676" w:space="40"/>
            <w:col w:w="827" w:space="39"/>
            <w:col w:w="226" w:space="40"/>
            <w:col w:w="282" w:space="40"/>
            <w:col w:w="962" w:space="39"/>
            <w:col w:w="1314" w:space="39"/>
            <w:col w:w="2786"/>
          </w:cols>
        </w:sectPr>
      </w:pPr>
    </w:p>
    <w:p>
      <w:pPr>
        <w:pStyle w:val="6"/>
        <w:rPr>
          <w:rFonts w:ascii="Symbol" w:hAnsi="Symbol"/>
          <w:i/>
          <w:sz w:val="16"/>
        </w:rPr>
      </w:pPr>
    </w:p>
    <w:p>
      <w:pPr>
        <w:spacing w:after="0"/>
        <w:rPr>
          <w:rFonts w:ascii="Symbol" w:hAnsi="Symbol"/>
          <w:sz w:val="16"/>
        </w:rPr>
        <w:sectPr>
          <w:type w:val="continuous"/>
          <w:pgSz w:w="11910" w:h="16840"/>
          <w:pgMar w:top="1580" w:right="1300" w:bottom="280" w:left="1300" w:header="720" w:footer="720" w:gutter="0"/>
        </w:sectPr>
      </w:pPr>
    </w:p>
    <w:p>
      <w:pPr>
        <w:pStyle w:val="6"/>
        <w:spacing w:before="67"/>
        <w:ind w:left="931"/>
      </w:pPr>
      <w:r>
        <w:t>⑤地表水平变形</w:t>
      </w:r>
    </w:p>
    <w:p>
      <w:pPr>
        <w:pStyle w:val="6"/>
        <w:spacing w:before="2"/>
        <w:rPr>
          <w:sz w:val="43"/>
        </w:rPr>
      </w:pPr>
      <w:r>
        <w:br w:type="column"/>
      </w:r>
    </w:p>
    <w:p>
      <w:pPr>
        <w:spacing w:before="0" w:line="124" w:lineRule="exact"/>
        <w:ind w:left="931" w:right="0" w:firstLine="0"/>
        <w:jc w:val="left"/>
        <w:rPr>
          <w:rFonts w:ascii="Times New Roman" w:hAnsi="Times New Roman"/>
          <w:sz w:val="14"/>
        </w:rPr>
      </w:pPr>
      <w:r>
        <w:rPr>
          <w:rFonts w:ascii="Times New Roman" w:hAnsi="Times New Roman"/>
          <w:sz w:val="24"/>
        </w:rPr>
        <w:t>2</w:t>
      </w:r>
      <w:r>
        <w:rPr>
          <w:rFonts w:ascii="Symbol" w:hAnsi="Symbol"/>
          <w:i/>
          <w:sz w:val="25"/>
        </w:rPr>
        <w:t></w:t>
      </w:r>
      <w:r>
        <w:rPr>
          <w:rFonts w:ascii="Times New Roman" w:hAnsi="Times New Roman"/>
          <w:i/>
          <w:sz w:val="25"/>
        </w:rPr>
        <w:t xml:space="preserve"> </w:t>
      </w:r>
      <w:r>
        <w:rPr>
          <w:rFonts w:ascii="Times New Roman" w:hAnsi="Times New Roman"/>
          <w:sz w:val="24"/>
        </w:rPr>
        <w:t>2</w:t>
      </w:r>
      <w:r>
        <w:rPr>
          <w:rFonts w:ascii="Symbol" w:hAnsi="Symbol"/>
          <w:i/>
          <w:sz w:val="25"/>
        </w:rPr>
        <w:t></w:t>
      </w:r>
      <w:r>
        <w:rPr>
          <w:rFonts w:ascii="Times New Roman" w:hAnsi="Times New Roman"/>
          <w:sz w:val="24"/>
        </w:rPr>
        <w:t>(</w:t>
      </w:r>
      <w:r>
        <w:rPr>
          <w:rFonts w:ascii="Symbol" w:hAnsi="Symbol"/>
          <w:i/>
          <w:sz w:val="25"/>
        </w:rPr>
        <w:t></w:t>
      </w:r>
      <w:r>
        <w:rPr>
          <w:rFonts w:ascii="Symbol" w:hAnsi="Symbol"/>
          <w:sz w:val="24"/>
        </w:rPr>
        <w:t></w:t>
      </w:r>
      <w:r>
        <w:rPr>
          <w:rFonts w:ascii="Times New Roman" w:hAnsi="Times New Roman"/>
          <w:sz w:val="24"/>
        </w:rPr>
        <w:t xml:space="preserve"> </w:t>
      </w:r>
      <w:r>
        <w:rPr>
          <w:rFonts w:ascii="Times New Roman" w:hAnsi="Times New Roman"/>
          <w:i/>
          <w:sz w:val="24"/>
        </w:rPr>
        <w:t>x</w:t>
      </w:r>
      <w:r>
        <w:rPr>
          <w:rFonts w:ascii="Times New Roman" w:hAnsi="Times New Roman"/>
          <w:sz w:val="24"/>
        </w:rPr>
        <w:t>)</w:t>
      </w:r>
      <w:r>
        <w:rPr>
          <w:rFonts w:ascii="Times New Roman" w:hAnsi="Times New Roman"/>
          <w:position w:val="11"/>
          <w:sz w:val="14"/>
        </w:rPr>
        <w:t>2</w:t>
      </w:r>
    </w:p>
    <w:p>
      <w:pPr>
        <w:pStyle w:val="6"/>
        <w:rPr>
          <w:rFonts w:ascii="Times New Roman"/>
          <w:sz w:val="28"/>
        </w:rPr>
      </w:pPr>
      <w:r>
        <w:br w:type="column"/>
      </w:r>
    </w:p>
    <w:p>
      <w:pPr>
        <w:spacing w:before="190" w:line="164" w:lineRule="exact"/>
        <w:ind w:left="562" w:right="0" w:firstLine="0"/>
        <w:jc w:val="left"/>
        <w:rPr>
          <w:rFonts w:ascii="Times New Roman" w:hAnsi="Times New Roman"/>
          <w:sz w:val="14"/>
        </w:rPr>
      </w:pPr>
      <w:r>
        <w:rPr>
          <w:rFonts w:ascii="Symbol" w:hAnsi="Symbol"/>
          <w:position w:val="-8"/>
          <w:sz w:val="14"/>
        </w:rPr>
        <w:t></w:t>
      </w:r>
      <w:r>
        <w:rPr>
          <w:rFonts w:ascii="Symbol" w:hAnsi="Symbol"/>
          <w:i/>
          <w:position w:val="-8"/>
          <w:sz w:val="15"/>
        </w:rPr>
        <w:t></w:t>
      </w:r>
      <w:r>
        <w:rPr>
          <w:rFonts w:ascii="Times New Roman" w:hAnsi="Times New Roman"/>
          <w:sz w:val="14"/>
        </w:rPr>
        <w:t>(</w:t>
      </w:r>
      <w:r>
        <w:rPr>
          <w:rFonts w:ascii="Symbol" w:hAnsi="Symbol"/>
          <w:i/>
          <w:sz w:val="15"/>
        </w:rPr>
        <w:t></w:t>
      </w:r>
      <w:r>
        <w:rPr>
          <w:rFonts w:ascii="Symbol" w:hAnsi="Symbol"/>
          <w:sz w:val="14"/>
        </w:rPr>
        <w:t></w:t>
      </w:r>
      <w:r>
        <w:rPr>
          <w:rFonts w:ascii="Times New Roman" w:hAnsi="Times New Roman"/>
          <w:i/>
          <w:sz w:val="14"/>
        </w:rPr>
        <w:t xml:space="preserve">x </w:t>
      </w:r>
      <w:r>
        <w:rPr>
          <w:rFonts w:ascii="Times New Roman" w:hAnsi="Times New Roman"/>
          <w:sz w:val="14"/>
        </w:rPr>
        <w:t>)</w:t>
      </w:r>
      <w:r>
        <w:rPr>
          <w:rFonts w:ascii="Times New Roman" w:hAnsi="Times New Roman"/>
          <w:sz w:val="14"/>
          <w:vertAlign w:val="superscript"/>
        </w:rPr>
        <w:t>2</w:t>
      </w:r>
      <w:r>
        <w:rPr>
          <w:rFonts w:ascii="Times New Roman" w:hAnsi="Times New Roman"/>
          <w:sz w:val="14"/>
          <w:vertAlign w:val="baseline"/>
        </w:rPr>
        <w:t xml:space="preserve"> </w:t>
      </w:r>
      <w:r>
        <w:rPr>
          <w:rFonts w:ascii="Symbol" w:hAnsi="Symbol"/>
          <w:sz w:val="14"/>
          <w:vertAlign w:val="baseline"/>
        </w:rPr>
        <w:t></w:t>
      </w:r>
      <w:r>
        <w:rPr>
          <w:rFonts w:ascii="Times New Roman" w:hAnsi="Times New Roman"/>
          <w:sz w:val="14"/>
          <w:vertAlign w:val="baseline"/>
        </w:rPr>
        <w:t>(</w:t>
      </w:r>
      <w:r>
        <w:rPr>
          <w:rFonts w:ascii="Symbol" w:hAnsi="Symbol"/>
          <w:i/>
          <w:sz w:val="15"/>
          <w:vertAlign w:val="baseline"/>
        </w:rPr>
        <w:t></w:t>
      </w:r>
      <w:r>
        <w:rPr>
          <w:rFonts w:ascii="Symbol" w:hAnsi="Symbol"/>
          <w:sz w:val="14"/>
          <w:vertAlign w:val="baseline"/>
        </w:rPr>
        <w:t></w:t>
      </w:r>
      <w:r>
        <w:rPr>
          <w:rFonts w:ascii="Times New Roman" w:hAnsi="Times New Roman"/>
          <w:sz w:val="14"/>
          <w:vertAlign w:val="baseline"/>
        </w:rPr>
        <w:t xml:space="preserve"> </w:t>
      </w:r>
      <w:r>
        <w:rPr>
          <w:rFonts w:ascii="Times New Roman" w:hAnsi="Times New Roman"/>
          <w:i/>
          <w:sz w:val="14"/>
          <w:vertAlign w:val="baseline"/>
        </w:rPr>
        <w:t xml:space="preserve">y </w:t>
      </w:r>
      <w:r>
        <w:rPr>
          <w:rFonts w:ascii="Times New Roman" w:hAnsi="Times New Roman"/>
          <w:sz w:val="14"/>
          <w:vertAlign w:val="baseline"/>
        </w:rPr>
        <w:t>)</w:t>
      </w:r>
      <w:r>
        <w:rPr>
          <w:rFonts w:ascii="Times New Roman" w:hAnsi="Times New Roman"/>
          <w:sz w:val="14"/>
          <w:vertAlign w:val="superscript"/>
        </w:rPr>
        <w:t>2</w:t>
      </w:r>
    </w:p>
    <w:p>
      <w:pPr>
        <w:pStyle w:val="6"/>
        <w:spacing w:before="5"/>
        <w:rPr>
          <w:rFonts w:ascii="Times New Roman"/>
          <w:sz w:val="3"/>
        </w:rPr>
      </w:pPr>
    </w:p>
    <w:p>
      <w:pPr>
        <w:pStyle w:val="6"/>
        <w:spacing w:line="20" w:lineRule="exact"/>
        <w:ind w:left="737"/>
        <w:rPr>
          <w:rFonts w:ascii="Times New Roman"/>
          <w:sz w:val="2"/>
        </w:rPr>
      </w:pPr>
      <w:r>
        <w:rPr>
          <w:rFonts w:ascii="Times New Roman"/>
          <w:sz w:val="2"/>
        </w:rPr>
        <mc:AlternateContent>
          <mc:Choice Requires="wpg">
            <w:drawing>
              <wp:inline distT="0" distB="0" distL="114300" distR="114300">
                <wp:extent cx="607695" cy="3810"/>
                <wp:effectExtent l="0" t="0" r="0" b="0"/>
                <wp:docPr id="155" name="组合 107"/>
                <wp:cNvGraphicFramePr/>
                <a:graphic xmlns:a="http://schemas.openxmlformats.org/drawingml/2006/main">
                  <a:graphicData uri="http://schemas.microsoft.com/office/word/2010/wordprocessingGroup">
                    <wpg:wgp>
                      <wpg:cNvGrpSpPr/>
                      <wpg:grpSpPr>
                        <a:xfrm>
                          <a:off x="0" y="0"/>
                          <a:ext cx="607695" cy="3810"/>
                          <a:chOff x="0" y="0"/>
                          <a:chExt cx="957" cy="6"/>
                        </a:xfrm>
                      </wpg:grpSpPr>
                      <wps:wsp>
                        <wps:cNvPr id="154" name="直线 108"/>
                        <wps:cNvSpPr/>
                        <wps:spPr>
                          <a:xfrm>
                            <a:off x="0" y="3"/>
                            <a:ext cx="957" cy="0"/>
                          </a:xfrm>
                          <a:prstGeom prst="line">
                            <a:avLst/>
                          </a:prstGeom>
                          <a:ln w="3213" cap="flat" cmpd="sng">
                            <a:solidFill>
                              <a:srgbClr val="000000"/>
                            </a:solidFill>
                            <a:prstDash val="solid"/>
                            <a:headEnd type="none" w="med" len="med"/>
                            <a:tailEnd type="none" w="med" len="med"/>
                          </a:ln>
                        </wps:spPr>
                        <wps:bodyPr upright="1"/>
                      </wps:wsp>
                    </wpg:wgp>
                  </a:graphicData>
                </a:graphic>
              </wp:inline>
            </w:drawing>
          </mc:Choice>
          <mc:Fallback>
            <w:pict>
              <v:group id="组合 107" o:spid="_x0000_s1026" o:spt="203" style="height:0.3pt;width:47.85pt;" coordsize="957,6" o:gfxdata="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cH9xT0wAAAAEBAAAPAAAAAAAAAAEAIAAAACIAAABkcnMvZG93bnJldi54bWxQSwECFAAU&#10;AAAACACHTuJAqwD0+S8CAAC0BAAADgAAAAAAAAABACAAAAAiAQAAZHJzL2Uyb0RvYy54bWxQSwUG&#10;AAAAAAYABgBZAQAAwwUAAAAA&#10;">
                <o:lock v:ext="edit" aspectratio="f"/>
                <v:line id="直线 108" o:spid="_x0000_s1026" o:spt="20" style="position:absolute;left:0;top:3;height:0;width:957;" filled="f" stroked="t" coordsize="21600,21600" o:gfxdata="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wQpuvQAA&#10;ANwAAAAPAAAAAAAAAAEAIAAAACIAAABkcnMvZG93bnJldi54bWxQSwECFAAUAAAACACHTuJAMy8F&#10;njsAAAA5AAAAEAAAAAAAAAABACAAAAAMAQAAZHJzL3NoYXBleG1sLnhtbFBLBQYAAAAABgAGAFsB&#10;AAC2AwAAAAA=&#10;">
                  <v:fill on="f" focussize="0,0"/>
                  <v:stroke weight="0.252992125984252pt" color="#000000" joinstyle="round"/>
                  <v:imagedata o:title=""/>
                  <o:lock v:ext="edit" aspectratio="f"/>
                </v:line>
                <w10:wrap type="none"/>
                <w10:anchorlock/>
              </v:group>
            </w:pict>
          </mc:Fallback>
        </mc:AlternateContent>
      </w:r>
    </w:p>
    <w:p>
      <w:pPr>
        <w:spacing w:after="0" w:line="20" w:lineRule="exact"/>
        <w:rPr>
          <w:rFonts w:ascii="Times New Roman"/>
          <w:sz w:val="2"/>
        </w:rPr>
        <w:sectPr>
          <w:type w:val="continuous"/>
          <w:pgSz w:w="11910" w:h="16840"/>
          <w:pgMar w:top="1580" w:right="1300" w:bottom="280" w:left="1300" w:header="720" w:footer="720" w:gutter="0"/>
          <w:cols w:equalWidth="0" w:num="3">
            <w:col w:w="2653" w:space="160"/>
            <w:col w:w="2311" w:space="39"/>
            <w:col w:w="4147"/>
          </w:cols>
        </w:sectPr>
      </w:pPr>
    </w:p>
    <w:p>
      <w:pPr>
        <w:spacing w:before="0" w:line="178" w:lineRule="exact"/>
        <w:ind w:left="0" w:right="0" w:firstLine="0"/>
        <w:jc w:val="right"/>
        <w:rPr>
          <w:rFonts w:ascii="Times New Roman"/>
          <w:sz w:val="14"/>
        </w:rPr>
      </w:pPr>
      <w:r>
        <w:rPr>
          <w:rFonts w:ascii="Times New Roman"/>
          <w:i/>
          <w:sz w:val="14"/>
        </w:rPr>
        <w:t xml:space="preserve">X </w:t>
      </w:r>
      <w:r>
        <w:rPr>
          <w:rFonts w:ascii="Times New Roman"/>
          <w:sz w:val="14"/>
        </w:rPr>
        <w:t xml:space="preserve">( </w:t>
      </w:r>
      <w:r>
        <w:rPr>
          <w:rFonts w:ascii="Times New Roman"/>
          <w:i/>
          <w:sz w:val="14"/>
        </w:rPr>
        <w:t>x</w:t>
      </w:r>
      <w:r>
        <w:rPr>
          <w:rFonts w:ascii="Times New Roman"/>
          <w:sz w:val="14"/>
        </w:rPr>
        <w:t xml:space="preserve">, </w:t>
      </w:r>
      <w:r>
        <w:rPr>
          <w:rFonts w:ascii="Times New Roman"/>
          <w:i/>
          <w:sz w:val="14"/>
        </w:rPr>
        <w:t xml:space="preserve">y </w:t>
      </w:r>
      <w:r>
        <w:rPr>
          <w:rFonts w:ascii="Times New Roman"/>
          <w:sz w:val="14"/>
        </w:rPr>
        <w:t>)</w:t>
      </w:r>
    </w:p>
    <w:p>
      <w:pPr>
        <w:spacing w:before="0" w:line="178" w:lineRule="exact"/>
        <w:ind w:left="380" w:right="0" w:firstLine="0"/>
        <w:jc w:val="left"/>
        <w:rPr>
          <w:rFonts w:ascii="Times New Roman"/>
          <w:sz w:val="14"/>
        </w:rPr>
      </w:pPr>
      <w:r>
        <w:br w:type="column"/>
      </w:r>
      <w:r>
        <w:rPr>
          <w:rFonts w:ascii="Times New Roman"/>
          <w:sz w:val="14"/>
        </w:rPr>
        <w:t>max</w:t>
      </w:r>
    </w:p>
    <w:p>
      <w:pPr>
        <w:tabs>
          <w:tab w:val="left" w:pos="1108"/>
        </w:tabs>
        <w:spacing w:before="0" w:line="24" w:lineRule="exact"/>
        <w:ind w:left="77" w:right="0" w:firstLine="0"/>
        <w:jc w:val="left"/>
        <w:rPr>
          <w:rFonts w:ascii="Times New Roman" w:hAnsi="Times New Roman"/>
          <w:sz w:val="14"/>
        </w:rPr>
      </w:pPr>
      <w:r>
        <w:br w:type="column"/>
      </w:r>
      <w:r>
        <w:rPr>
          <w:rFonts w:ascii="Symbol" w:hAnsi="Symbol"/>
          <w:sz w:val="37"/>
        </w:rPr>
        <w:t></w:t>
      </w:r>
      <w:r>
        <w:rPr>
          <w:rFonts w:ascii="Times New Roman" w:hAnsi="Times New Roman"/>
          <w:spacing w:val="-31"/>
          <w:sz w:val="37"/>
        </w:rPr>
        <w:t xml:space="preserve"> </w:t>
      </w:r>
      <w:r>
        <w:rPr>
          <w:rFonts w:ascii="Times New Roman" w:hAnsi="Times New Roman"/>
          <w:i/>
          <w:spacing w:val="9"/>
          <w:position w:val="-9"/>
          <w:sz w:val="24"/>
        </w:rPr>
        <w:t>r</w:t>
      </w:r>
      <w:r>
        <w:rPr>
          <w:rFonts w:ascii="Times New Roman" w:hAnsi="Times New Roman"/>
          <w:spacing w:val="9"/>
          <w:position w:val="1"/>
          <w:sz w:val="14"/>
        </w:rPr>
        <w:t>2</w:t>
      </w:r>
      <w:r>
        <w:rPr>
          <w:rFonts w:ascii="Times New Roman" w:hAnsi="Times New Roman"/>
          <w:spacing w:val="9"/>
          <w:position w:val="1"/>
          <w:sz w:val="14"/>
        </w:rPr>
        <w:tab/>
      </w:r>
      <w:r>
        <w:rPr>
          <w:rFonts w:ascii="Times New Roman" w:hAnsi="Times New Roman"/>
          <w:i/>
          <w:spacing w:val="9"/>
          <w:position w:val="-9"/>
          <w:sz w:val="24"/>
        </w:rPr>
        <w:t>r</w:t>
      </w:r>
      <w:r>
        <w:rPr>
          <w:rFonts w:ascii="Times New Roman" w:hAnsi="Times New Roman"/>
          <w:spacing w:val="9"/>
          <w:position w:val="1"/>
          <w:sz w:val="14"/>
        </w:rPr>
        <w:t>2</w:t>
      </w:r>
    </w:p>
    <w:p>
      <w:pPr>
        <w:pStyle w:val="6"/>
        <w:spacing w:before="4"/>
        <w:rPr>
          <w:rFonts w:ascii="Times New Roman"/>
          <w:sz w:val="11"/>
        </w:rPr>
      </w:pPr>
    </w:p>
    <w:p>
      <w:pPr>
        <w:pStyle w:val="6"/>
        <w:spacing w:line="20" w:lineRule="exact"/>
        <w:ind w:left="288"/>
        <w:rPr>
          <w:rFonts w:ascii="Times New Roman"/>
          <w:sz w:val="2"/>
        </w:rPr>
      </w:pPr>
      <w:r>
        <w:rPr>
          <w:rFonts w:ascii="Times New Roman"/>
          <w:sz w:val="2"/>
        </w:rPr>
        <mc:AlternateContent>
          <mc:Choice Requires="wpg">
            <w:drawing>
              <wp:inline distT="0" distB="0" distL="114300" distR="114300">
                <wp:extent cx="191135" cy="6985"/>
                <wp:effectExtent l="0" t="0" r="0" b="0"/>
                <wp:docPr id="157" name="组合 109"/>
                <wp:cNvGraphicFramePr/>
                <a:graphic xmlns:a="http://schemas.openxmlformats.org/drawingml/2006/main">
                  <a:graphicData uri="http://schemas.microsoft.com/office/word/2010/wordprocessingGroup">
                    <wpg:wgp>
                      <wpg:cNvGrpSpPr/>
                      <wpg:grpSpPr>
                        <a:xfrm>
                          <a:off x="0" y="0"/>
                          <a:ext cx="191135" cy="6985"/>
                          <a:chOff x="0" y="0"/>
                          <a:chExt cx="301" cy="11"/>
                        </a:xfrm>
                      </wpg:grpSpPr>
                      <wps:wsp>
                        <wps:cNvPr id="156" name="直线 110"/>
                        <wps:cNvSpPr/>
                        <wps:spPr>
                          <a:xfrm>
                            <a:off x="0" y="5"/>
                            <a:ext cx="301" cy="0"/>
                          </a:xfrm>
                          <a:prstGeom prst="line">
                            <a:avLst/>
                          </a:prstGeom>
                          <a:ln w="6426" cap="flat" cmpd="sng">
                            <a:solidFill>
                              <a:srgbClr val="000000"/>
                            </a:solidFill>
                            <a:prstDash val="solid"/>
                            <a:headEnd type="none" w="med" len="med"/>
                            <a:tailEnd type="none" w="med" len="med"/>
                          </a:ln>
                        </wps:spPr>
                        <wps:bodyPr upright="1"/>
                      </wps:wsp>
                    </wpg:wgp>
                  </a:graphicData>
                </a:graphic>
              </wp:inline>
            </w:drawing>
          </mc:Choice>
          <mc:Fallback>
            <w:pict>
              <v:group id="组合 109" o:spid="_x0000_s1026" o:spt="203" style="height:0.55pt;width:15.05pt;" coordsize="301,11" o:gfxdata="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ut8BNIAAAACAQAADwAAAAAAAAABACAAAAAiAAAAZHJzL2Rvd25yZXYueG1sUEsBAhQA&#10;FAAAAAgAh07iQK9k2/ExAgAAtQQAAA4AAAAAAAAAAQAgAAAAIQEAAGRycy9lMm9Eb2MueG1sUEsF&#10;BgAAAAAGAAYAWQEAAMQFAAAAAA==&#10;">
                <o:lock v:ext="edit" aspectratio="f"/>
                <v:line id="直线 110" o:spid="_x0000_s1026" o:spt="20" style="position:absolute;left:0;top:5;height:0;width:301;" filled="f" stroked="t" coordsize="21600,21600" o:gfxdata="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OuFAvQAA&#10;ANwAAAAPAAAAAAAAAAEAIAAAACIAAABkcnMvZG93bnJldi54bWxQSwECFAAUAAAACACHTuJAMy8F&#10;njsAAAA5AAAAEAAAAAAAAAABACAAAAAMAQAAZHJzL3NoYXBleG1sLnhtbFBLBQYAAAAABgAGAFsB&#10;AAC2AwAAAAA=&#10;">
                  <v:fill on="f" focussize="0,0"/>
                  <v:stroke weight="0.505984251968504pt" color="#000000" joinstyle="round"/>
                  <v:imagedata o:title=""/>
                  <o:lock v:ext="edit" aspectratio="f"/>
                </v:line>
                <w10:wrap type="none"/>
                <w10:anchorlock/>
              </v:group>
            </w:pict>
          </mc:Fallback>
        </mc:AlternateContent>
      </w:r>
      <w:r>
        <w:rPr>
          <w:rFonts w:ascii="Times New Roman"/>
          <w:spacing w:val="76"/>
          <w:sz w:val="2"/>
        </w:rPr>
        <w:t xml:space="preserve"> </w:t>
      </w:r>
      <w:r>
        <w:rPr>
          <w:rFonts w:ascii="Times New Roman"/>
          <w:spacing w:val="76"/>
          <w:sz w:val="2"/>
        </w:rPr>
        <mc:AlternateContent>
          <mc:Choice Requires="wpg">
            <w:drawing>
              <wp:inline distT="0" distB="0" distL="114300" distR="114300">
                <wp:extent cx="652145" cy="6985"/>
                <wp:effectExtent l="0" t="0" r="0" b="0"/>
                <wp:docPr id="159" name="组合 111"/>
                <wp:cNvGraphicFramePr/>
                <a:graphic xmlns:a="http://schemas.openxmlformats.org/drawingml/2006/main">
                  <a:graphicData uri="http://schemas.microsoft.com/office/word/2010/wordprocessingGroup">
                    <wpg:wgp>
                      <wpg:cNvGrpSpPr/>
                      <wpg:grpSpPr>
                        <a:xfrm>
                          <a:off x="0" y="0"/>
                          <a:ext cx="652145" cy="6985"/>
                          <a:chOff x="0" y="0"/>
                          <a:chExt cx="1027" cy="11"/>
                        </a:xfrm>
                      </wpg:grpSpPr>
                      <wps:wsp>
                        <wps:cNvPr id="158" name="直线 112"/>
                        <wps:cNvSpPr/>
                        <wps:spPr>
                          <a:xfrm>
                            <a:off x="0" y="5"/>
                            <a:ext cx="1026" cy="0"/>
                          </a:xfrm>
                          <a:prstGeom prst="line">
                            <a:avLst/>
                          </a:prstGeom>
                          <a:ln w="6426" cap="flat" cmpd="sng">
                            <a:solidFill>
                              <a:srgbClr val="000000"/>
                            </a:solidFill>
                            <a:prstDash val="solid"/>
                            <a:headEnd type="none" w="med" len="med"/>
                            <a:tailEnd type="none" w="med" len="med"/>
                          </a:ln>
                        </wps:spPr>
                        <wps:bodyPr upright="1"/>
                      </wps:wsp>
                    </wpg:wgp>
                  </a:graphicData>
                </a:graphic>
              </wp:inline>
            </w:drawing>
          </mc:Choice>
          <mc:Fallback>
            <w:pict>
              <v:group id="组合 111" o:spid="_x0000_s1026" o:spt="203" style="height:0.55pt;width:51.35pt;" coordsize="1027,11" o:gfxdata="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0w6jLUAAAAAwEAAA8AAAAAAAAAAQAgAAAAIgAAAGRycy9kb3ducmV2Lnht&#10;bFBLAQIUABQAAAAIAIdO4kAQM12KNgIAALcEAAAOAAAAAAAAAAEAIAAAACMBAABkcnMvZTJvRG9j&#10;LnhtbFBLBQYAAAAABgAGAFkBAADLBQAAAAA=&#10;">
                <o:lock v:ext="edit" aspectratio="f"/>
                <v:line id="直线 112" o:spid="_x0000_s1026" o:spt="20" style="position:absolute;left:0;top:5;height:0;width:1026;" filled="f" stroked="t" coordsize="21600,21600" o:gfxdata="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p0Km/&#10;AAAA3AAAAA8AAAAAAAAAAQAgAAAAIgAAAGRycy9kb3ducmV2LnhtbFBLAQIUABQAAAAIAIdO4kAz&#10;LwWeOwAAADkAAAAQAAAAAAAAAAEAIAAAAA4BAABkcnMvc2hhcGV4bWwueG1sUEsFBgAAAAAGAAYA&#10;WwEAALgDAAAAAA==&#10;">
                  <v:fill on="f" focussize="0,0"/>
                  <v:stroke weight="0.505984251968504pt" color="#000000" joinstyle="round"/>
                  <v:imagedata o:title=""/>
                  <o:lock v:ext="edit" aspectratio="f"/>
                </v:line>
                <w10:wrap type="none"/>
                <w10:anchorlock/>
              </v:group>
            </w:pict>
          </mc:Fallback>
        </mc:AlternateContent>
      </w:r>
    </w:p>
    <w:p>
      <w:pPr>
        <w:spacing w:after="0" w:line="20" w:lineRule="exact"/>
        <w:rPr>
          <w:rFonts w:ascii="Times New Roman"/>
          <w:sz w:val="2"/>
        </w:rPr>
        <w:sectPr>
          <w:type w:val="continuous"/>
          <w:pgSz w:w="11910" w:h="16840"/>
          <w:pgMar w:top="1580" w:right="1300" w:bottom="280" w:left="1300" w:header="720" w:footer="720" w:gutter="0"/>
          <w:cols w:equalWidth="0" w:num="3">
            <w:col w:w="2729" w:space="40"/>
            <w:col w:w="628" w:space="39"/>
            <w:col w:w="5874"/>
          </w:cols>
        </w:sectPr>
      </w:pPr>
    </w:p>
    <w:p>
      <w:pPr>
        <w:tabs>
          <w:tab w:val="left" w:pos="2714"/>
          <w:tab w:val="left" w:pos="3434"/>
          <w:tab w:val="left" w:pos="4041"/>
        </w:tabs>
        <w:spacing w:before="0" w:line="112" w:lineRule="exact"/>
        <w:ind w:left="2136" w:right="0" w:firstLine="0"/>
        <w:jc w:val="left"/>
        <w:rPr>
          <w:rFonts w:ascii="Times New Roman" w:hAnsi="Times New Roman"/>
          <w:sz w:val="24"/>
        </w:rPr>
      </w:pPr>
      <w:r>
        <w:rPr>
          <w:rFonts w:ascii="Symbol" w:hAnsi="Symbol"/>
          <w:i/>
          <w:sz w:val="25"/>
        </w:rPr>
        <w:t></w:t>
      </w:r>
      <w:r>
        <w:rPr>
          <w:rFonts w:ascii="Times New Roman" w:hAnsi="Times New Roman"/>
          <w:sz w:val="25"/>
        </w:rPr>
        <w:tab/>
      </w:r>
      <w:r>
        <w:rPr>
          <w:spacing w:val="-4"/>
          <w:sz w:val="24"/>
        </w:rPr>
        <w:t>＝</w:t>
      </w:r>
      <w:r>
        <w:rPr>
          <w:rFonts w:ascii="Times New Roman" w:hAnsi="Times New Roman"/>
          <w:i/>
          <w:spacing w:val="-4"/>
          <w:sz w:val="24"/>
        </w:rPr>
        <w:t>U</w:t>
      </w:r>
      <w:r>
        <w:rPr>
          <w:rFonts w:ascii="Times New Roman" w:hAnsi="Times New Roman"/>
          <w:i/>
          <w:spacing w:val="-4"/>
          <w:sz w:val="24"/>
        </w:rPr>
        <w:tab/>
      </w:r>
      <w:r>
        <w:rPr>
          <w:rFonts w:ascii="Symbol" w:hAnsi="Symbol"/>
          <w:sz w:val="24"/>
        </w:rPr>
        <w:t></w:t>
      </w:r>
      <w:r>
        <w:rPr>
          <w:rFonts w:ascii="Times New Roman" w:hAnsi="Times New Roman"/>
          <w:sz w:val="24"/>
        </w:rPr>
        <w:tab/>
      </w:r>
      <w:r>
        <w:rPr>
          <w:rFonts w:ascii="Times New Roman" w:hAnsi="Times New Roman"/>
          <w:spacing w:val="-20"/>
          <w:sz w:val="24"/>
        </w:rPr>
        <w:t>(</w:t>
      </w:r>
    </w:p>
    <w:p>
      <w:pPr>
        <w:spacing w:before="71"/>
        <w:ind w:left="0" w:right="457" w:firstLine="0"/>
        <w:jc w:val="right"/>
        <w:rPr>
          <w:rFonts w:ascii="Times New Roman"/>
          <w:i/>
          <w:sz w:val="14"/>
        </w:rPr>
      </w:pPr>
      <w:r>
        <w:rPr>
          <w:rFonts w:ascii="Times New Roman"/>
          <w:i/>
          <w:w w:val="102"/>
          <w:sz w:val="14"/>
        </w:rPr>
        <w:t>D</w:t>
      </w:r>
    </w:p>
    <w:p>
      <w:pPr>
        <w:spacing w:before="0" w:line="98" w:lineRule="exact"/>
        <w:ind w:left="1032" w:right="0" w:firstLine="0"/>
        <w:jc w:val="left"/>
        <w:rPr>
          <w:rFonts w:ascii="Times New Roman" w:hAnsi="Times New Roman"/>
          <w:i/>
          <w:sz w:val="24"/>
        </w:rPr>
      </w:pPr>
      <w:r>
        <w:br w:type="column"/>
      </w:r>
      <w:r>
        <w:rPr>
          <w:rFonts w:ascii="Symbol" w:hAnsi="Symbol"/>
          <w:sz w:val="24"/>
        </w:rPr>
        <w:t></w:t>
      </w:r>
      <w:r>
        <w:rPr>
          <w:rFonts w:ascii="Times New Roman" w:hAnsi="Times New Roman"/>
          <w:sz w:val="24"/>
        </w:rPr>
        <w:t>1)</w:t>
      </w:r>
      <w:r>
        <w:rPr>
          <w:rFonts w:ascii="Symbol" w:hAnsi="Symbol"/>
          <w:sz w:val="24"/>
        </w:rPr>
        <w:t></w:t>
      </w:r>
      <w:r>
        <w:rPr>
          <w:rFonts w:ascii="Times New Roman" w:hAnsi="Times New Roman"/>
          <w:i/>
          <w:sz w:val="24"/>
        </w:rPr>
        <w:t>e</w:t>
      </w:r>
    </w:p>
    <w:p>
      <w:pPr>
        <w:tabs>
          <w:tab w:val="left" w:pos="1154"/>
        </w:tabs>
        <w:spacing w:before="0" w:line="100" w:lineRule="exact"/>
        <w:ind w:left="567" w:right="0" w:firstLine="0"/>
        <w:jc w:val="left"/>
        <w:rPr>
          <w:rFonts w:ascii="Symbol" w:hAnsi="Symbol"/>
          <w:i/>
          <w:sz w:val="25"/>
        </w:rPr>
      </w:pPr>
      <w:r>
        <w:br w:type="column"/>
      </w:r>
      <w:r>
        <w:rPr>
          <w:rFonts w:ascii="Times New Roman" w:hAnsi="Times New Roman"/>
          <w:i/>
          <w:spacing w:val="3"/>
          <w:position w:val="8"/>
          <w:sz w:val="14"/>
        </w:rPr>
        <w:t>r</w:t>
      </w:r>
      <w:r>
        <w:rPr>
          <w:rFonts w:ascii="Times New Roman" w:hAnsi="Times New Roman"/>
          <w:spacing w:val="3"/>
          <w:position w:val="14"/>
          <w:sz w:val="10"/>
        </w:rPr>
        <w:t>2</w:t>
      </w:r>
      <w:r>
        <w:rPr>
          <w:rFonts w:ascii="Times New Roman" w:hAnsi="Times New Roman"/>
          <w:spacing w:val="3"/>
          <w:position w:val="14"/>
          <w:sz w:val="10"/>
        </w:rPr>
        <w:tab/>
      </w:r>
      <w:r>
        <w:rPr>
          <w:rFonts w:ascii="Symbol" w:hAnsi="Symbol"/>
          <w:spacing w:val="-12"/>
          <w:sz w:val="24"/>
        </w:rPr>
        <w:t></w:t>
      </w:r>
      <w:r>
        <w:rPr>
          <w:rFonts w:ascii="Times New Roman" w:hAnsi="Times New Roman"/>
          <w:i/>
          <w:spacing w:val="-12"/>
          <w:sz w:val="24"/>
        </w:rPr>
        <w:t>d</w:t>
      </w:r>
      <w:r>
        <w:rPr>
          <w:rFonts w:ascii="Symbol" w:hAnsi="Symbol"/>
          <w:i/>
          <w:spacing w:val="-12"/>
          <w:sz w:val="25"/>
        </w:rPr>
        <w:t></w:t>
      </w:r>
      <w:r>
        <w:rPr>
          <w:rFonts w:ascii="Symbol" w:hAnsi="Symbol"/>
          <w:spacing w:val="-12"/>
          <w:sz w:val="24"/>
        </w:rPr>
        <w:t></w:t>
      </w:r>
      <w:r>
        <w:rPr>
          <w:rFonts w:ascii="Times New Roman" w:hAnsi="Times New Roman"/>
          <w:i/>
          <w:spacing w:val="-12"/>
          <w:sz w:val="24"/>
        </w:rPr>
        <w:t>d</w:t>
      </w:r>
      <w:r>
        <w:rPr>
          <w:rFonts w:ascii="Symbol" w:hAnsi="Symbol"/>
          <w:i/>
          <w:spacing w:val="-12"/>
          <w:sz w:val="25"/>
        </w:rPr>
        <w:t></w:t>
      </w:r>
    </w:p>
    <w:p>
      <w:pPr>
        <w:spacing w:after="0" w:line="100" w:lineRule="exact"/>
        <w:jc w:val="left"/>
        <w:rPr>
          <w:rFonts w:ascii="Symbol" w:hAnsi="Symbol"/>
          <w:sz w:val="25"/>
        </w:rPr>
        <w:sectPr>
          <w:type w:val="continuous"/>
          <w:pgSz w:w="11910" w:h="16840"/>
          <w:pgMar w:top="1580" w:right="1300" w:bottom="280" w:left="1300" w:header="720" w:footer="720" w:gutter="0"/>
          <w:cols w:equalWidth="0" w:num="3">
            <w:col w:w="4124" w:space="40"/>
            <w:col w:w="1551" w:space="39"/>
            <w:col w:w="3556"/>
          </w:cols>
        </w:sectPr>
      </w:pPr>
    </w:p>
    <w:p>
      <w:pPr>
        <w:pStyle w:val="6"/>
        <w:spacing w:before="5"/>
        <w:rPr>
          <w:rFonts w:ascii="Symbol" w:hAnsi="Symbol"/>
          <w:i/>
          <w:sz w:val="15"/>
        </w:rPr>
      </w:pPr>
    </w:p>
    <w:p>
      <w:pPr>
        <w:pStyle w:val="6"/>
        <w:spacing w:before="74"/>
        <w:ind w:left="931"/>
      </w:pPr>
      <w:r>
        <w:t>式中：</w:t>
      </w:r>
      <w:r>
        <w:rPr>
          <w:rFonts w:ascii="Times New Roman" w:hAnsi="Times New Roman" w:eastAsia="Times New Roman"/>
          <w:i/>
        </w:rPr>
        <w:t>D</w:t>
      </w:r>
      <w:r>
        <w:rPr>
          <w:rFonts w:ascii="Times New Roman" w:hAnsi="Times New Roman" w:eastAsia="Times New Roman"/>
        </w:rPr>
        <w:t>——</w:t>
      </w:r>
      <w:r>
        <w:t>开采煤层区域</w:t>
      </w:r>
    </w:p>
    <w:p>
      <w:pPr>
        <w:spacing w:before="14" w:line="510" w:lineRule="atLeast"/>
        <w:ind w:left="931" w:right="5258" w:hanging="11"/>
        <w:jc w:val="left"/>
        <w:rPr>
          <w:sz w:val="24"/>
        </w:rPr>
      </w:pPr>
      <w:r>
        <w:rPr>
          <w:i/>
          <w:sz w:val="25"/>
        </w:rPr>
        <w:t>（</w:t>
      </w:r>
      <w:r>
        <w:rPr>
          <w:rFonts w:ascii="Times New Roman" w:hAnsi="Times New Roman" w:eastAsia="Times New Roman"/>
          <w:i/>
          <w:sz w:val="24"/>
        </w:rPr>
        <w:t>x</w:t>
      </w:r>
      <w:r>
        <w:rPr>
          <w:i/>
          <w:sz w:val="25"/>
        </w:rPr>
        <w:t>，</w:t>
      </w:r>
      <w:r>
        <w:rPr>
          <w:rFonts w:ascii="Times New Roman" w:hAnsi="Times New Roman" w:eastAsia="Times New Roman"/>
          <w:i/>
          <w:sz w:val="24"/>
        </w:rPr>
        <w:t>y</w:t>
      </w:r>
      <w:r>
        <w:rPr>
          <w:i/>
          <w:sz w:val="25"/>
        </w:rPr>
        <w:t>）</w:t>
      </w:r>
      <w:r>
        <w:rPr>
          <w:rFonts w:ascii="Times New Roman" w:hAnsi="Times New Roman" w:eastAsia="Times New Roman"/>
          <w:sz w:val="24"/>
        </w:rPr>
        <w:t>——</w:t>
      </w:r>
      <w:r>
        <w:rPr>
          <w:sz w:val="24"/>
        </w:rPr>
        <w:t>计算点相对坐标其他符号意义同前。</w:t>
      </w:r>
    </w:p>
    <w:p>
      <w:pPr>
        <w:pStyle w:val="5"/>
        <w:numPr>
          <w:ilvl w:val="3"/>
          <w:numId w:val="38"/>
        </w:numPr>
        <w:tabs>
          <w:tab w:val="left" w:pos="1232"/>
        </w:tabs>
        <w:spacing w:before="123" w:after="0" w:line="240" w:lineRule="auto"/>
        <w:ind w:left="1232" w:right="0" w:hanging="781"/>
        <w:jc w:val="left"/>
      </w:pPr>
      <w:r>
        <w:t>地表沉陷预测模型参数确定</w:t>
      </w:r>
    </w:p>
    <w:p>
      <w:pPr>
        <w:spacing w:after="0" w:line="240" w:lineRule="auto"/>
        <w:jc w:val="left"/>
        <w:sectPr>
          <w:type w:val="continuous"/>
          <w:pgSz w:w="11910" w:h="16840"/>
          <w:pgMar w:top="1580" w:right="1300" w:bottom="280" w:left="1300" w:header="720" w:footer="720" w:gutter="0"/>
        </w:sectPr>
      </w:pPr>
    </w:p>
    <w:p>
      <w:pPr>
        <w:pStyle w:val="6"/>
        <w:spacing w:before="62" w:line="364" w:lineRule="auto"/>
        <w:ind w:left="451" w:right="449" w:firstLine="480"/>
        <w:jc w:val="both"/>
      </w:pPr>
      <w:r>
        <w:rPr>
          <w:spacing w:val="-4"/>
        </w:rPr>
        <w:t xml:space="preserve">根据可采煤层岩石力学样分析结果，采用覆岩综合评价系数 </w:t>
      </w:r>
      <w:r>
        <w:rPr>
          <w:rFonts w:ascii="Times New Roman" w:hAnsi="Times New Roman" w:eastAsia="Times New Roman"/>
        </w:rPr>
        <w:t xml:space="preserve">P </w:t>
      </w:r>
      <w:r>
        <w:rPr>
          <w:spacing w:val="-4"/>
        </w:rPr>
        <w:t>及地质、开采</w:t>
      </w:r>
      <w:r>
        <w:t>技术条件和查取</w:t>
      </w:r>
      <w:r>
        <w:rPr>
          <w:rFonts w:ascii="Times New Roman" w:hAnsi="Times New Roman" w:eastAsia="Times New Roman"/>
        </w:rPr>
        <w:t>“</w:t>
      </w:r>
      <w:r>
        <w:t>三下</w:t>
      </w:r>
      <w:r>
        <w:rPr>
          <w:rFonts w:ascii="Times New Roman" w:hAnsi="Times New Roman" w:eastAsia="Times New Roman"/>
        </w:rPr>
        <w:t>”</w:t>
      </w:r>
      <w:r>
        <w:t>采煤规程法，并本着与规程相悖者按规程，在规程范围内</w:t>
      </w:r>
      <w:r>
        <w:rPr>
          <w:spacing w:val="-3"/>
        </w:rPr>
        <w:t xml:space="preserve">求精确的原则，所确定的该矿地表移动变形参数参数见表 </w:t>
      </w:r>
      <w:r>
        <w:rPr>
          <w:rFonts w:ascii="Times New Roman" w:hAnsi="Times New Roman" w:eastAsia="Times New Roman"/>
        </w:rPr>
        <w:t>5.3-1</w:t>
      </w:r>
      <w:r>
        <w:t>。</w:t>
      </w:r>
    </w:p>
    <w:p>
      <w:pPr>
        <w:pStyle w:val="5"/>
        <w:tabs>
          <w:tab w:val="left" w:pos="1049"/>
        </w:tabs>
        <w:spacing w:line="233" w:lineRule="exact"/>
        <w:ind w:left="9"/>
        <w:jc w:val="center"/>
      </w:pPr>
      <w:r>
        <w:t>表</w:t>
      </w:r>
      <w:r>
        <w:rPr>
          <w:spacing w:val="-62"/>
        </w:rPr>
        <w:t xml:space="preserve"> </w:t>
      </w:r>
      <w:r>
        <w:rPr>
          <w:rFonts w:ascii="Times New Roman" w:eastAsia="Times New Roman"/>
        </w:rPr>
        <w:t>5.3-1</w:t>
      </w:r>
      <w:r>
        <w:rPr>
          <w:rFonts w:ascii="Times New Roman" w:eastAsia="Times New Roman"/>
        </w:rPr>
        <w:tab/>
      </w:r>
      <w:r>
        <w:t>地表移动变形模式输入参数</w:t>
      </w:r>
    </w:p>
    <w:tbl>
      <w:tblPr>
        <w:tblStyle w:val="10"/>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6"/>
        <w:gridCol w:w="1732"/>
        <w:gridCol w:w="939"/>
        <w:gridCol w:w="939"/>
        <w:gridCol w:w="2606"/>
        <w:gridCol w:w="22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626" w:type="dxa"/>
          </w:tcPr>
          <w:p>
            <w:pPr>
              <w:pStyle w:val="14"/>
              <w:spacing w:before="129"/>
              <w:ind w:left="81" w:right="75"/>
              <w:rPr>
                <w:sz w:val="21"/>
              </w:rPr>
            </w:pPr>
            <w:r>
              <w:rPr>
                <w:sz w:val="21"/>
              </w:rPr>
              <w:t>序号</w:t>
            </w:r>
          </w:p>
        </w:tc>
        <w:tc>
          <w:tcPr>
            <w:tcW w:w="1732" w:type="dxa"/>
          </w:tcPr>
          <w:p>
            <w:pPr>
              <w:pStyle w:val="14"/>
              <w:spacing w:before="129"/>
              <w:ind w:left="213" w:right="206"/>
              <w:rPr>
                <w:sz w:val="21"/>
              </w:rPr>
            </w:pPr>
            <w:r>
              <w:rPr>
                <w:sz w:val="21"/>
              </w:rPr>
              <w:t>预测参数</w:t>
            </w:r>
          </w:p>
        </w:tc>
        <w:tc>
          <w:tcPr>
            <w:tcW w:w="939" w:type="dxa"/>
          </w:tcPr>
          <w:p>
            <w:pPr>
              <w:pStyle w:val="14"/>
              <w:spacing w:before="129"/>
              <w:ind w:left="237" w:right="230"/>
              <w:rPr>
                <w:sz w:val="21"/>
              </w:rPr>
            </w:pPr>
            <w:r>
              <w:rPr>
                <w:sz w:val="21"/>
              </w:rPr>
              <w:t>符号</w:t>
            </w:r>
          </w:p>
        </w:tc>
        <w:tc>
          <w:tcPr>
            <w:tcW w:w="939" w:type="dxa"/>
          </w:tcPr>
          <w:p>
            <w:pPr>
              <w:pStyle w:val="14"/>
              <w:spacing w:before="129"/>
              <w:ind w:left="237" w:right="231"/>
              <w:rPr>
                <w:sz w:val="21"/>
              </w:rPr>
            </w:pPr>
            <w:r>
              <w:rPr>
                <w:sz w:val="21"/>
              </w:rPr>
              <w:t>单位</w:t>
            </w:r>
          </w:p>
        </w:tc>
        <w:tc>
          <w:tcPr>
            <w:tcW w:w="2606" w:type="dxa"/>
          </w:tcPr>
          <w:p>
            <w:pPr>
              <w:pStyle w:val="14"/>
              <w:spacing w:before="129"/>
              <w:ind w:left="776"/>
              <w:jc w:val="left"/>
              <w:rPr>
                <w:sz w:val="21"/>
              </w:rPr>
            </w:pPr>
            <w:r>
              <w:rPr>
                <w:sz w:val="21"/>
              </w:rPr>
              <w:t>预测参数值</w:t>
            </w:r>
          </w:p>
        </w:tc>
        <w:tc>
          <w:tcPr>
            <w:tcW w:w="2239" w:type="dxa"/>
          </w:tcPr>
          <w:p>
            <w:pPr>
              <w:pStyle w:val="14"/>
              <w:spacing w:before="129"/>
              <w:ind w:left="887" w:right="881"/>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 w:hRule="atLeast"/>
        </w:trPr>
        <w:tc>
          <w:tcPr>
            <w:tcW w:w="626" w:type="dxa"/>
          </w:tcPr>
          <w:p>
            <w:pPr>
              <w:pStyle w:val="14"/>
              <w:spacing w:before="142"/>
              <w:ind w:left="9"/>
              <w:rPr>
                <w:rFonts w:ascii="Times New Roman"/>
                <w:sz w:val="21"/>
              </w:rPr>
            </w:pPr>
            <w:r>
              <w:rPr>
                <w:rFonts w:ascii="Times New Roman"/>
                <w:w w:val="99"/>
                <w:sz w:val="21"/>
              </w:rPr>
              <w:t>1</w:t>
            </w:r>
          </w:p>
        </w:tc>
        <w:tc>
          <w:tcPr>
            <w:tcW w:w="1732" w:type="dxa"/>
          </w:tcPr>
          <w:p>
            <w:pPr>
              <w:pStyle w:val="14"/>
              <w:spacing w:before="128"/>
              <w:ind w:left="213" w:right="206"/>
              <w:rPr>
                <w:sz w:val="21"/>
              </w:rPr>
            </w:pPr>
            <w:r>
              <w:rPr>
                <w:sz w:val="21"/>
              </w:rPr>
              <w:t>下沉系数</w:t>
            </w:r>
          </w:p>
        </w:tc>
        <w:tc>
          <w:tcPr>
            <w:tcW w:w="939" w:type="dxa"/>
          </w:tcPr>
          <w:p>
            <w:pPr>
              <w:pStyle w:val="14"/>
              <w:spacing w:before="5"/>
              <w:jc w:val="left"/>
              <w:rPr>
                <w:b/>
                <w:sz w:val="12"/>
              </w:rPr>
            </w:pPr>
          </w:p>
          <w:p>
            <w:pPr>
              <w:pStyle w:val="14"/>
              <w:spacing w:line="165" w:lineRule="exact"/>
              <w:ind w:left="395"/>
              <w:jc w:val="left"/>
              <w:rPr>
                <w:sz w:val="16"/>
              </w:rPr>
            </w:pPr>
            <w:r>
              <w:rPr>
                <w:position w:val="-2"/>
                <w:sz w:val="16"/>
              </w:rPr>
              <w:drawing>
                <wp:inline distT="0" distB="0" distL="0" distR="0">
                  <wp:extent cx="66675" cy="104775"/>
                  <wp:effectExtent l="0" t="0" r="0" b="0"/>
                  <wp:docPr id="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0.png"/>
                          <pic:cNvPicPr>
                            <a:picLocks noChangeAspect="1"/>
                          </pic:cNvPicPr>
                        </pic:nvPicPr>
                        <pic:blipFill>
                          <a:blip r:embed="rId55" cstate="print"/>
                          <a:stretch>
                            <a:fillRect/>
                          </a:stretch>
                        </pic:blipFill>
                        <pic:spPr>
                          <a:xfrm>
                            <a:off x="0" y="0"/>
                            <a:ext cx="66759" cy="104775"/>
                          </a:xfrm>
                          <a:prstGeom prst="rect">
                            <a:avLst/>
                          </a:prstGeom>
                        </pic:spPr>
                      </pic:pic>
                    </a:graphicData>
                  </a:graphic>
                </wp:inline>
              </w:drawing>
            </w:r>
          </w:p>
        </w:tc>
        <w:tc>
          <w:tcPr>
            <w:tcW w:w="939" w:type="dxa"/>
          </w:tcPr>
          <w:p>
            <w:pPr>
              <w:pStyle w:val="14"/>
              <w:jc w:val="left"/>
              <w:rPr>
                <w:rFonts w:ascii="Times New Roman"/>
                <w:sz w:val="22"/>
              </w:rPr>
            </w:pPr>
          </w:p>
        </w:tc>
        <w:tc>
          <w:tcPr>
            <w:tcW w:w="2606" w:type="dxa"/>
          </w:tcPr>
          <w:p>
            <w:pPr>
              <w:pStyle w:val="14"/>
              <w:spacing w:before="142"/>
              <w:ind w:left="891" w:right="879"/>
              <w:rPr>
                <w:rFonts w:ascii="Times New Roman"/>
                <w:sz w:val="21"/>
              </w:rPr>
            </w:pPr>
            <w:r>
              <w:rPr>
                <w:rFonts w:ascii="Times New Roman"/>
                <w:sz w:val="21"/>
              </w:rPr>
              <w:t>0.6</w:t>
            </w:r>
          </w:p>
        </w:tc>
        <w:tc>
          <w:tcPr>
            <w:tcW w:w="2239" w:type="dxa"/>
          </w:tcPr>
          <w:p>
            <w:pPr>
              <w:pStyle w:val="14"/>
              <w:spacing w:before="128"/>
              <w:ind w:left="383"/>
              <w:jc w:val="left"/>
              <w:rPr>
                <w:sz w:val="21"/>
              </w:rPr>
            </w:pPr>
            <w:r>
              <w:rPr>
                <w:sz w:val="21"/>
              </w:rPr>
              <w:t>矿井实测推算值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626" w:type="dxa"/>
          </w:tcPr>
          <w:p>
            <w:pPr>
              <w:pStyle w:val="14"/>
              <w:spacing w:before="142"/>
              <w:ind w:left="9"/>
              <w:rPr>
                <w:rFonts w:ascii="Times New Roman"/>
                <w:sz w:val="21"/>
              </w:rPr>
            </w:pPr>
            <w:r>
              <w:rPr>
                <w:rFonts w:ascii="Times New Roman"/>
                <w:w w:val="99"/>
                <w:sz w:val="21"/>
              </w:rPr>
              <w:t>2</w:t>
            </w:r>
          </w:p>
        </w:tc>
        <w:tc>
          <w:tcPr>
            <w:tcW w:w="1732" w:type="dxa"/>
          </w:tcPr>
          <w:p>
            <w:pPr>
              <w:pStyle w:val="14"/>
              <w:spacing w:before="128"/>
              <w:ind w:left="213" w:right="209"/>
              <w:rPr>
                <w:sz w:val="21"/>
              </w:rPr>
            </w:pPr>
            <w:r>
              <w:rPr>
                <w:sz w:val="21"/>
              </w:rPr>
              <w:t>主要影响正切</w:t>
            </w:r>
          </w:p>
        </w:tc>
        <w:tc>
          <w:tcPr>
            <w:tcW w:w="939" w:type="dxa"/>
          </w:tcPr>
          <w:p>
            <w:pPr>
              <w:pStyle w:val="14"/>
              <w:spacing w:before="10"/>
              <w:jc w:val="left"/>
              <w:rPr>
                <w:b/>
                <w:sz w:val="11"/>
              </w:rPr>
            </w:pPr>
          </w:p>
          <w:p>
            <w:pPr>
              <w:pStyle w:val="14"/>
              <w:spacing w:line="195" w:lineRule="exact"/>
              <w:ind w:left="318"/>
              <w:jc w:val="left"/>
              <w:rPr>
                <w:sz w:val="19"/>
              </w:rPr>
            </w:pPr>
            <w:r>
              <w:rPr>
                <w:position w:val="-3"/>
                <w:sz w:val="19"/>
              </w:rPr>
              <w:drawing>
                <wp:inline distT="0" distB="0" distL="0" distR="0">
                  <wp:extent cx="180340" cy="123825"/>
                  <wp:effectExtent l="0" t="0" r="0" b="0"/>
                  <wp:docPr id="3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1.png"/>
                          <pic:cNvPicPr>
                            <a:picLocks noChangeAspect="1"/>
                          </pic:cNvPicPr>
                        </pic:nvPicPr>
                        <pic:blipFill>
                          <a:blip r:embed="rId56" cstate="print"/>
                          <a:stretch>
                            <a:fillRect/>
                          </a:stretch>
                        </pic:blipFill>
                        <pic:spPr>
                          <a:xfrm>
                            <a:off x="0" y="0"/>
                            <a:ext cx="180594" cy="123825"/>
                          </a:xfrm>
                          <a:prstGeom prst="rect">
                            <a:avLst/>
                          </a:prstGeom>
                        </pic:spPr>
                      </pic:pic>
                    </a:graphicData>
                  </a:graphic>
                </wp:inline>
              </w:drawing>
            </w:r>
          </w:p>
        </w:tc>
        <w:tc>
          <w:tcPr>
            <w:tcW w:w="939" w:type="dxa"/>
          </w:tcPr>
          <w:p>
            <w:pPr>
              <w:pStyle w:val="14"/>
              <w:jc w:val="left"/>
              <w:rPr>
                <w:rFonts w:ascii="Times New Roman"/>
                <w:sz w:val="22"/>
              </w:rPr>
            </w:pPr>
          </w:p>
        </w:tc>
        <w:tc>
          <w:tcPr>
            <w:tcW w:w="2606" w:type="dxa"/>
          </w:tcPr>
          <w:p>
            <w:pPr>
              <w:pStyle w:val="14"/>
              <w:spacing w:before="142"/>
              <w:ind w:left="891" w:right="879"/>
              <w:rPr>
                <w:rFonts w:ascii="Times New Roman"/>
                <w:sz w:val="21"/>
              </w:rPr>
            </w:pPr>
            <w:r>
              <w:rPr>
                <w:rFonts w:ascii="Times New Roman"/>
                <w:sz w:val="21"/>
              </w:rPr>
              <w:t>1.7</w:t>
            </w:r>
          </w:p>
        </w:tc>
        <w:tc>
          <w:tcPr>
            <w:tcW w:w="2239" w:type="dxa"/>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626" w:type="dxa"/>
          </w:tcPr>
          <w:p>
            <w:pPr>
              <w:pStyle w:val="14"/>
              <w:spacing w:before="142"/>
              <w:ind w:left="9"/>
              <w:rPr>
                <w:rFonts w:ascii="Times New Roman"/>
                <w:sz w:val="21"/>
              </w:rPr>
            </w:pPr>
            <w:r>
              <w:rPr>
                <w:rFonts w:ascii="Times New Roman"/>
                <w:w w:val="99"/>
                <w:sz w:val="21"/>
              </w:rPr>
              <w:t>3</w:t>
            </w:r>
          </w:p>
        </w:tc>
        <w:tc>
          <w:tcPr>
            <w:tcW w:w="1732" w:type="dxa"/>
          </w:tcPr>
          <w:p>
            <w:pPr>
              <w:pStyle w:val="14"/>
              <w:spacing w:before="128"/>
              <w:ind w:left="213" w:right="209"/>
              <w:rPr>
                <w:sz w:val="21"/>
              </w:rPr>
            </w:pPr>
            <w:r>
              <w:rPr>
                <w:sz w:val="21"/>
              </w:rPr>
              <w:t>水平移动系数</w:t>
            </w:r>
          </w:p>
        </w:tc>
        <w:tc>
          <w:tcPr>
            <w:tcW w:w="939" w:type="dxa"/>
          </w:tcPr>
          <w:p>
            <w:pPr>
              <w:pStyle w:val="14"/>
              <w:spacing w:before="142"/>
              <w:ind w:left="11"/>
              <w:rPr>
                <w:rFonts w:ascii="Times New Roman"/>
                <w:sz w:val="21"/>
              </w:rPr>
            </w:pPr>
            <w:r>
              <w:rPr>
                <w:rFonts w:ascii="Times New Roman"/>
                <w:w w:val="99"/>
                <w:sz w:val="21"/>
              </w:rPr>
              <w:t>b</w:t>
            </w:r>
          </w:p>
        </w:tc>
        <w:tc>
          <w:tcPr>
            <w:tcW w:w="939" w:type="dxa"/>
          </w:tcPr>
          <w:p>
            <w:pPr>
              <w:pStyle w:val="14"/>
              <w:jc w:val="left"/>
              <w:rPr>
                <w:rFonts w:ascii="Times New Roman"/>
                <w:sz w:val="22"/>
              </w:rPr>
            </w:pPr>
          </w:p>
        </w:tc>
        <w:tc>
          <w:tcPr>
            <w:tcW w:w="2606" w:type="dxa"/>
          </w:tcPr>
          <w:p>
            <w:pPr>
              <w:pStyle w:val="14"/>
              <w:spacing w:before="142"/>
              <w:ind w:left="891" w:right="882"/>
              <w:rPr>
                <w:rFonts w:ascii="Times New Roman"/>
                <w:sz w:val="21"/>
              </w:rPr>
            </w:pPr>
            <w:r>
              <w:rPr>
                <w:rFonts w:ascii="Times New Roman"/>
                <w:sz w:val="21"/>
              </w:rPr>
              <w:t>0.25</w:t>
            </w:r>
          </w:p>
        </w:tc>
        <w:tc>
          <w:tcPr>
            <w:tcW w:w="2239" w:type="dxa"/>
          </w:tcPr>
          <w:p>
            <w:pPr>
              <w:pStyle w:val="14"/>
              <w:spacing w:before="128"/>
              <w:ind w:left="750"/>
              <w:jc w:val="left"/>
              <w:rPr>
                <w:rFonts w:ascii="Times New Roman" w:eastAsia="Times New Roman"/>
                <w:sz w:val="21"/>
              </w:rPr>
            </w:pPr>
            <w:r>
              <w:rPr>
                <w:rFonts w:ascii="Times New Roman" w:eastAsia="Times New Roman"/>
                <w:sz w:val="21"/>
              </w:rPr>
              <w:t>0.2</w:t>
            </w:r>
            <w:r>
              <w:rPr>
                <w:sz w:val="21"/>
              </w:rPr>
              <w:t>～</w:t>
            </w:r>
            <w:r>
              <w:rPr>
                <w:rFonts w:ascii="Times New Roman" w:eastAsia="Times New Roman"/>
                <w:sz w:val="21"/>
              </w:rPr>
              <w:t>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 w:hRule="atLeast"/>
        </w:trPr>
        <w:tc>
          <w:tcPr>
            <w:tcW w:w="626" w:type="dxa"/>
          </w:tcPr>
          <w:p>
            <w:pPr>
              <w:pStyle w:val="14"/>
              <w:spacing w:before="144"/>
              <w:ind w:left="9"/>
              <w:rPr>
                <w:rFonts w:ascii="Times New Roman"/>
                <w:sz w:val="21"/>
              </w:rPr>
            </w:pPr>
            <w:r>
              <w:rPr>
                <w:rFonts w:ascii="Times New Roman"/>
                <w:w w:val="99"/>
                <w:sz w:val="21"/>
              </w:rPr>
              <w:t>4</w:t>
            </w:r>
          </w:p>
        </w:tc>
        <w:tc>
          <w:tcPr>
            <w:tcW w:w="1732" w:type="dxa"/>
          </w:tcPr>
          <w:p>
            <w:pPr>
              <w:pStyle w:val="14"/>
              <w:spacing w:before="130"/>
              <w:ind w:left="213" w:right="206"/>
              <w:rPr>
                <w:sz w:val="21"/>
              </w:rPr>
            </w:pPr>
            <w:r>
              <w:rPr>
                <w:sz w:val="21"/>
              </w:rPr>
              <w:t>拐点偏移距</w:t>
            </w:r>
          </w:p>
        </w:tc>
        <w:tc>
          <w:tcPr>
            <w:tcW w:w="939" w:type="dxa"/>
          </w:tcPr>
          <w:p>
            <w:pPr>
              <w:pStyle w:val="14"/>
              <w:spacing w:before="144"/>
              <w:ind w:left="8"/>
              <w:rPr>
                <w:rFonts w:ascii="Times New Roman"/>
                <w:sz w:val="21"/>
              </w:rPr>
            </w:pPr>
            <w:r>
              <w:rPr>
                <w:rFonts w:ascii="Times New Roman"/>
                <w:w w:val="99"/>
                <w:sz w:val="21"/>
              </w:rPr>
              <w:t>S</w:t>
            </w:r>
          </w:p>
        </w:tc>
        <w:tc>
          <w:tcPr>
            <w:tcW w:w="939" w:type="dxa"/>
          </w:tcPr>
          <w:p>
            <w:pPr>
              <w:pStyle w:val="14"/>
              <w:spacing w:before="144"/>
              <w:ind w:left="10"/>
              <w:rPr>
                <w:rFonts w:ascii="Times New Roman"/>
                <w:sz w:val="21"/>
              </w:rPr>
            </w:pPr>
            <w:r>
              <w:rPr>
                <w:rFonts w:ascii="Times New Roman"/>
                <w:w w:val="99"/>
                <w:sz w:val="21"/>
              </w:rPr>
              <w:t>m</w:t>
            </w:r>
          </w:p>
        </w:tc>
        <w:tc>
          <w:tcPr>
            <w:tcW w:w="2606" w:type="dxa"/>
          </w:tcPr>
          <w:p>
            <w:pPr>
              <w:pStyle w:val="14"/>
              <w:spacing w:before="127"/>
              <w:ind w:left="454"/>
              <w:jc w:val="left"/>
              <w:rPr>
                <w:rFonts w:ascii="Times New Roman" w:eastAsia="Times New Roman"/>
                <w:sz w:val="21"/>
              </w:rPr>
            </w:pPr>
            <w:r>
              <w:rPr>
                <w:rFonts w:ascii="Times New Roman" w:eastAsia="Times New Roman"/>
                <w:position w:val="2"/>
                <w:sz w:val="21"/>
              </w:rPr>
              <w:t>S</w:t>
            </w:r>
            <w:r>
              <w:rPr>
                <w:rFonts w:ascii="Times New Roman" w:eastAsia="Times New Roman"/>
                <w:position w:val="2"/>
                <w:sz w:val="21"/>
                <w:vertAlign w:val="subscript"/>
              </w:rPr>
              <w:t>1</w:t>
            </w:r>
            <w:r>
              <w:rPr>
                <w:position w:val="2"/>
                <w:sz w:val="21"/>
                <w:vertAlign w:val="baseline"/>
              </w:rPr>
              <w:t>、</w:t>
            </w:r>
            <w:r>
              <w:rPr>
                <w:rFonts w:ascii="Times New Roman" w:eastAsia="Times New Roman"/>
                <w:position w:val="2"/>
                <w:sz w:val="21"/>
                <w:vertAlign w:val="baseline"/>
              </w:rPr>
              <w:t>S</w:t>
            </w:r>
            <w:r>
              <w:rPr>
                <w:rFonts w:ascii="Times New Roman" w:eastAsia="Times New Roman"/>
                <w:position w:val="2"/>
                <w:sz w:val="21"/>
                <w:vertAlign w:val="subscript"/>
              </w:rPr>
              <w:t>2</w:t>
            </w:r>
            <w:r>
              <w:rPr>
                <w:position w:val="2"/>
                <w:sz w:val="21"/>
                <w:vertAlign w:val="baseline"/>
              </w:rPr>
              <w:t>、</w:t>
            </w:r>
            <w:r>
              <w:rPr>
                <w:rFonts w:ascii="Times New Roman" w:eastAsia="Times New Roman"/>
                <w:position w:val="2"/>
                <w:sz w:val="21"/>
                <w:vertAlign w:val="baseline"/>
              </w:rPr>
              <w:t>S</w:t>
            </w:r>
            <w:r>
              <w:rPr>
                <w:rFonts w:ascii="Times New Roman" w:eastAsia="Times New Roman"/>
                <w:position w:val="2"/>
                <w:sz w:val="21"/>
                <w:vertAlign w:val="subscript"/>
              </w:rPr>
              <w:t>3</w:t>
            </w:r>
            <w:r>
              <w:rPr>
                <w:position w:val="2"/>
                <w:sz w:val="21"/>
                <w:vertAlign w:val="baseline"/>
              </w:rPr>
              <w:t>、</w:t>
            </w:r>
            <w:r>
              <w:rPr>
                <w:rFonts w:ascii="Times New Roman" w:eastAsia="Times New Roman"/>
                <w:position w:val="2"/>
                <w:sz w:val="21"/>
                <w:vertAlign w:val="baseline"/>
              </w:rPr>
              <w:t>S</w:t>
            </w:r>
            <w:r>
              <w:rPr>
                <w:rFonts w:ascii="Times New Roman" w:eastAsia="Times New Roman"/>
                <w:position w:val="2"/>
                <w:sz w:val="21"/>
                <w:vertAlign w:val="subscript"/>
              </w:rPr>
              <w:t>4</w:t>
            </w:r>
            <w:r>
              <w:rPr>
                <w:rFonts w:ascii="Times New Roman" w:eastAsia="Times New Roman"/>
                <w:position w:val="2"/>
                <w:sz w:val="21"/>
                <w:vertAlign w:val="baseline"/>
              </w:rPr>
              <w:t>=10</w:t>
            </w:r>
          </w:p>
        </w:tc>
        <w:tc>
          <w:tcPr>
            <w:tcW w:w="2239" w:type="dxa"/>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626" w:type="dxa"/>
          </w:tcPr>
          <w:p>
            <w:pPr>
              <w:pStyle w:val="14"/>
              <w:spacing w:before="143"/>
              <w:ind w:left="9"/>
              <w:rPr>
                <w:rFonts w:ascii="Times New Roman"/>
                <w:sz w:val="21"/>
              </w:rPr>
            </w:pPr>
            <w:r>
              <w:rPr>
                <w:rFonts w:ascii="Times New Roman"/>
                <w:w w:val="99"/>
                <w:sz w:val="21"/>
              </w:rPr>
              <w:t>5</w:t>
            </w:r>
          </w:p>
        </w:tc>
        <w:tc>
          <w:tcPr>
            <w:tcW w:w="1732" w:type="dxa"/>
          </w:tcPr>
          <w:p>
            <w:pPr>
              <w:pStyle w:val="14"/>
              <w:spacing w:before="129"/>
              <w:ind w:left="213" w:right="206"/>
              <w:rPr>
                <w:sz w:val="21"/>
              </w:rPr>
            </w:pPr>
            <w:r>
              <w:rPr>
                <w:sz w:val="21"/>
              </w:rPr>
              <w:t>影响传播角</w:t>
            </w:r>
          </w:p>
        </w:tc>
        <w:tc>
          <w:tcPr>
            <w:tcW w:w="939" w:type="dxa"/>
          </w:tcPr>
          <w:p>
            <w:pPr>
              <w:pStyle w:val="14"/>
              <w:spacing w:after="1"/>
              <w:jc w:val="left"/>
              <w:rPr>
                <w:b/>
                <w:sz w:val="14"/>
              </w:rPr>
            </w:pPr>
          </w:p>
          <w:p>
            <w:pPr>
              <w:pStyle w:val="14"/>
              <w:spacing w:line="165" w:lineRule="exact"/>
              <w:ind w:left="402"/>
              <w:jc w:val="left"/>
              <w:rPr>
                <w:sz w:val="16"/>
              </w:rPr>
            </w:pPr>
            <w:r>
              <w:rPr>
                <w:position w:val="-2"/>
                <w:sz w:val="16"/>
              </w:rPr>
              <w:drawing>
                <wp:inline distT="0" distB="0" distL="0" distR="0">
                  <wp:extent cx="76200" cy="104775"/>
                  <wp:effectExtent l="0" t="0" r="0" b="0"/>
                  <wp:docPr id="4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2.png"/>
                          <pic:cNvPicPr>
                            <a:picLocks noChangeAspect="1"/>
                          </pic:cNvPicPr>
                        </pic:nvPicPr>
                        <pic:blipFill>
                          <a:blip r:embed="rId57" cstate="print"/>
                          <a:stretch>
                            <a:fillRect/>
                          </a:stretch>
                        </pic:blipFill>
                        <pic:spPr>
                          <a:xfrm>
                            <a:off x="0" y="0"/>
                            <a:ext cx="76242" cy="104775"/>
                          </a:xfrm>
                          <a:prstGeom prst="rect">
                            <a:avLst/>
                          </a:prstGeom>
                        </pic:spPr>
                      </pic:pic>
                    </a:graphicData>
                  </a:graphic>
                </wp:inline>
              </w:drawing>
            </w:r>
          </w:p>
        </w:tc>
        <w:tc>
          <w:tcPr>
            <w:tcW w:w="939" w:type="dxa"/>
          </w:tcPr>
          <w:p>
            <w:pPr>
              <w:pStyle w:val="14"/>
              <w:spacing w:before="143"/>
              <w:ind w:left="237" w:right="225"/>
              <w:rPr>
                <w:rFonts w:ascii="Times New Roman"/>
                <w:sz w:val="21"/>
              </w:rPr>
            </w:pPr>
            <w:r>
              <w:rPr>
                <w:rFonts w:ascii="Times New Roman"/>
                <w:sz w:val="21"/>
              </w:rPr>
              <w:t>deg</w:t>
            </w:r>
          </w:p>
        </w:tc>
        <w:tc>
          <w:tcPr>
            <w:tcW w:w="2606" w:type="dxa"/>
          </w:tcPr>
          <w:p>
            <w:pPr>
              <w:pStyle w:val="14"/>
              <w:spacing w:before="158"/>
              <w:ind w:left="859" w:right="1089"/>
              <w:rPr>
                <w:rFonts w:ascii="Times New Roman"/>
                <w:sz w:val="21"/>
              </w:rPr>
            </w:pPr>
            <w:r>
              <w:rPr>
                <w:rFonts w:ascii="Times New Roman"/>
                <w:sz w:val="21"/>
              </w:rPr>
              <w:t>90-0.6</w:t>
            </w:r>
          </w:p>
        </w:tc>
        <w:tc>
          <w:tcPr>
            <w:tcW w:w="2239" w:type="dxa"/>
          </w:tcPr>
          <w:p>
            <w:pPr>
              <w:pStyle w:val="14"/>
              <w:spacing w:before="136"/>
              <w:ind w:left="493"/>
              <w:jc w:val="left"/>
              <w:rPr>
                <w:rFonts w:ascii="Times New Roman" w:eastAsia="Times New Roman"/>
                <w:sz w:val="21"/>
              </w:rPr>
            </w:pPr>
            <w:r>
              <w:rPr>
                <w:sz w:val="21"/>
              </w:rPr>
              <w:t>为煤层倾角</w:t>
            </w:r>
            <w:r>
              <w:rPr>
                <w:rFonts w:ascii="Times New Roman" w:eastAsia="Times New Roman"/>
                <w:sz w:val="21"/>
              </w:rPr>
              <w:t>(deg)</w:t>
            </w:r>
          </w:p>
        </w:tc>
      </w:tr>
    </w:tbl>
    <w:p>
      <w:pPr>
        <w:pStyle w:val="6"/>
        <w:spacing w:before="8"/>
        <w:rPr>
          <w:b/>
        </w:rPr>
      </w:pPr>
    </w:p>
    <w:p>
      <w:pPr>
        <w:pStyle w:val="13"/>
        <w:numPr>
          <w:ilvl w:val="2"/>
          <w:numId w:val="38"/>
        </w:numPr>
        <w:tabs>
          <w:tab w:val="left" w:pos="1153"/>
        </w:tabs>
        <w:spacing w:before="0" w:after="0" w:line="240" w:lineRule="auto"/>
        <w:ind w:left="1152" w:right="0" w:hanging="702"/>
        <w:jc w:val="both"/>
        <w:rPr>
          <w:b/>
          <w:sz w:val="28"/>
        </w:rPr>
      </w:pPr>
      <w:r>
        <w:drawing>
          <wp:anchor distT="0" distB="0" distL="0" distR="0" simplePos="0" relativeHeight="214326272" behindDoc="1" locked="0" layoutInCell="1" allowOverlap="1">
            <wp:simplePos x="0" y="0"/>
            <wp:positionH relativeFrom="page">
              <wp:posOffset>4537710</wp:posOffset>
            </wp:positionH>
            <wp:positionV relativeFrom="paragraph">
              <wp:posOffset>-432435</wp:posOffset>
            </wp:positionV>
            <wp:extent cx="95250" cy="76200"/>
            <wp:effectExtent l="0" t="0" r="0" b="0"/>
            <wp:wrapNone/>
            <wp:docPr id="4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3.png"/>
                    <pic:cNvPicPr>
                      <a:picLocks noChangeAspect="1"/>
                    </pic:cNvPicPr>
                  </pic:nvPicPr>
                  <pic:blipFill>
                    <a:blip r:embed="rId58" cstate="print"/>
                    <a:stretch>
                      <a:fillRect/>
                    </a:stretch>
                  </pic:blipFill>
                  <pic:spPr>
                    <a:xfrm>
                      <a:off x="0" y="0"/>
                      <a:ext cx="94996" cy="76200"/>
                    </a:xfrm>
                    <a:prstGeom prst="rect">
                      <a:avLst/>
                    </a:prstGeom>
                  </pic:spPr>
                </pic:pic>
              </a:graphicData>
            </a:graphic>
          </wp:anchor>
        </w:drawing>
      </w:r>
      <w:r>
        <w:drawing>
          <wp:anchor distT="0" distB="0" distL="0" distR="0" simplePos="0" relativeHeight="214327296" behindDoc="1" locked="0" layoutInCell="1" allowOverlap="1">
            <wp:simplePos x="0" y="0"/>
            <wp:positionH relativeFrom="page">
              <wp:posOffset>5430520</wp:posOffset>
            </wp:positionH>
            <wp:positionV relativeFrom="paragraph">
              <wp:posOffset>-436880</wp:posOffset>
            </wp:positionV>
            <wp:extent cx="95250" cy="76200"/>
            <wp:effectExtent l="0" t="0" r="0" b="0"/>
            <wp:wrapNone/>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3.png"/>
                    <pic:cNvPicPr>
                      <a:picLocks noChangeAspect="1"/>
                    </pic:cNvPicPr>
                  </pic:nvPicPr>
                  <pic:blipFill>
                    <a:blip r:embed="rId58" cstate="print"/>
                    <a:stretch>
                      <a:fillRect/>
                    </a:stretch>
                  </pic:blipFill>
                  <pic:spPr>
                    <a:xfrm>
                      <a:off x="0" y="0"/>
                      <a:ext cx="94996" cy="76200"/>
                    </a:xfrm>
                    <a:prstGeom prst="rect">
                      <a:avLst/>
                    </a:prstGeom>
                  </pic:spPr>
                </pic:pic>
              </a:graphicData>
            </a:graphic>
          </wp:anchor>
        </w:drawing>
      </w:r>
      <w:bookmarkStart w:id="168" w:name="5.3.3 地表沉陷预测结果"/>
      <w:bookmarkEnd w:id="168"/>
      <w:bookmarkStart w:id="169" w:name="5.3.3 地表沉陷预测结果"/>
      <w:bookmarkEnd w:id="169"/>
      <w:r>
        <w:rPr>
          <w:b/>
          <w:sz w:val="28"/>
        </w:rPr>
        <w:t>地表沉陷预测结果</w:t>
      </w:r>
    </w:p>
    <w:p>
      <w:pPr>
        <w:pStyle w:val="13"/>
        <w:numPr>
          <w:ilvl w:val="3"/>
          <w:numId w:val="38"/>
        </w:numPr>
        <w:tabs>
          <w:tab w:val="left" w:pos="1232"/>
        </w:tabs>
        <w:spacing w:before="262" w:after="0" w:line="240" w:lineRule="auto"/>
        <w:ind w:left="1232" w:right="0" w:hanging="781"/>
        <w:jc w:val="both"/>
        <w:rPr>
          <w:b/>
          <w:sz w:val="24"/>
        </w:rPr>
      </w:pPr>
      <w:r>
        <w:rPr>
          <w:b/>
          <w:sz w:val="24"/>
        </w:rPr>
        <w:t>地面塌陷预测结论</w:t>
      </w:r>
    </w:p>
    <w:p>
      <w:pPr>
        <w:pStyle w:val="6"/>
        <w:spacing w:before="161" w:line="364" w:lineRule="auto"/>
        <w:ind w:left="451" w:right="453" w:firstLine="480"/>
        <w:jc w:val="both"/>
      </w:pPr>
      <w:r>
        <w:rPr>
          <w:spacing w:val="-1"/>
        </w:rPr>
        <w:t>双鸭山大顺矿业有限公司属地下开采的井工煤矿，拟损毁土地的方式为地面沉陷，根据现场踏勘，矿井目前处于停产阶段。项目区内已形成的地面沉陷地质灾害沉陷程度较小，没有对项目区造成严重的破坏，没有影响到当地人民的生产</w:t>
      </w:r>
      <w:r>
        <w:rPr>
          <w:spacing w:val="-8"/>
        </w:rPr>
        <w:t xml:space="preserve">和生活。矿山剩余服务年限为 </w:t>
      </w:r>
      <w:r>
        <w:rPr>
          <w:rFonts w:ascii="Times New Roman" w:hAnsi="Times New Roman" w:eastAsia="Times New Roman"/>
        </w:rPr>
        <w:t xml:space="preserve">15.4 </w:t>
      </w:r>
      <w:r>
        <w:rPr>
          <w:spacing w:val="-8"/>
        </w:rPr>
        <w:t>年，此次按照资源枯竭进行预测，矿山拟开采</w:t>
      </w:r>
      <w:r>
        <w:rPr>
          <w:spacing w:val="-4"/>
        </w:rPr>
        <w:t xml:space="preserve">的四个煤层，煤层平均倾角取平均 </w:t>
      </w:r>
      <w:r>
        <w:rPr>
          <w:rFonts w:ascii="Times New Roman" w:hAnsi="Times New Roman" w:eastAsia="Times New Roman"/>
        </w:rPr>
        <w:t>25°</w:t>
      </w:r>
      <w:r>
        <w:t>，顶板管理为全部垮落法。</w:t>
      </w:r>
    </w:p>
    <w:p>
      <w:pPr>
        <w:pStyle w:val="6"/>
        <w:spacing w:before="3" w:line="364" w:lineRule="auto"/>
        <w:ind w:left="451" w:right="453" w:firstLine="480"/>
        <w:jc w:val="both"/>
      </w:pPr>
      <w:r>
        <w:t xml:space="preserve">根据以上计算公式及参数，结合井田地质情况及开采方案，经过中国矿业大学开采损害及防护研究所编制的矿山开采沉陷预计软件预测，本矿山在开采结束后地表最大沉陷值为 </w:t>
      </w:r>
      <w:r>
        <w:rPr>
          <w:rFonts w:ascii="Times New Roman" w:eastAsia="Times New Roman"/>
        </w:rPr>
        <w:t>1890mm</w:t>
      </w:r>
      <w:r>
        <w:t>。预测结果见下表。</w:t>
      </w:r>
    </w:p>
    <w:p>
      <w:pPr>
        <w:pStyle w:val="5"/>
        <w:spacing w:before="2"/>
        <w:ind w:left="2422"/>
        <w:jc w:val="both"/>
      </w:pPr>
      <w:r>
        <w:t xml:space="preserve">表 </w:t>
      </w:r>
      <w:r>
        <w:rPr>
          <w:rFonts w:ascii="Times New Roman" w:eastAsia="Times New Roman"/>
        </w:rPr>
        <w:t xml:space="preserve">5.3-2 </w:t>
      </w:r>
      <w:r>
        <w:t>地表移动与变形最大值预测结果表</w:t>
      </w:r>
    </w:p>
    <w:p>
      <w:pPr>
        <w:pStyle w:val="6"/>
        <w:spacing w:before="4"/>
        <w:rPr>
          <w:b/>
          <w:sz w:val="6"/>
        </w:rPr>
      </w:pPr>
    </w:p>
    <w:tbl>
      <w:tblPr>
        <w:tblStyle w:val="10"/>
        <w:tblW w:w="0" w:type="auto"/>
        <w:tblInd w:w="1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380"/>
        <w:gridCol w:w="1480"/>
        <w:gridCol w:w="1640"/>
        <w:gridCol w:w="1740"/>
        <w:gridCol w:w="20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735" w:type="dxa"/>
          </w:tcPr>
          <w:p>
            <w:pPr>
              <w:pStyle w:val="14"/>
              <w:spacing w:before="80"/>
              <w:ind w:left="130" w:right="123"/>
              <w:rPr>
                <w:sz w:val="21"/>
              </w:rPr>
            </w:pPr>
            <w:r>
              <w:rPr>
                <w:sz w:val="21"/>
              </w:rPr>
              <w:t>时段</w:t>
            </w:r>
          </w:p>
        </w:tc>
        <w:tc>
          <w:tcPr>
            <w:tcW w:w="1380" w:type="dxa"/>
          </w:tcPr>
          <w:p>
            <w:pPr>
              <w:pStyle w:val="14"/>
              <w:spacing w:before="80"/>
              <w:ind w:right="153"/>
              <w:jc w:val="right"/>
              <w:rPr>
                <w:rFonts w:ascii="Times New Roman" w:eastAsia="Times New Roman"/>
                <w:sz w:val="21"/>
              </w:rPr>
            </w:pPr>
            <w:r>
              <w:rPr>
                <w:sz w:val="21"/>
              </w:rPr>
              <w:t xml:space="preserve">下沉 </w:t>
            </w:r>
            <w:r>
              <w:rPr>
                <w:rFonts w:ascii="Times New Roman" w:eastAsia="Times New Roman"/>
                <w:sz w:val="21"/>
              </w:rPr>
              <w:t>W/mm</w:t>
            </w:r>
          </w:p>
        </w:tc>
        <w:tc>
          <w:tcPr>
            <w:tcW w:w="1480" w:type="dxa"/>
          </w:tcPr>
          <w:p>
            <w:pPr>
              <w:pStyle w:val="14"/>
              <w:spacing w:before="80"/>
              <w:ind w:left="116"/>
              <w:jc w:val="left"/>
              <w:rPr>
                <w:rFonts w:ascii="Times New Roman" w:eastAsia="Times New Roman"/>
                <w:sz w:val="13"/>
              </w:rPr>
            </w:pPr>
            <w:r>
              <w:rPr>
                <w:sz w:val="21"/>
              </w:rPr>
              <w:t xml:space="preserve">倾斜 </w:t>
            </w:r>
            <w:r>
              <w:rPr>
                <w:rFonts w:ascii="Times New Roman" w:eastAsia="Times New Roman"/>
                <w:sz w:val="21"/>
              </w:rPr>
              <w:t>i/mm/m</w:t>
            </w:r>
            <w:r>
              <w:rPr>
                <w:rFonts w:ascii="Times New Roman" w:eastAsia="Times New Roman"/>
                <w:position w:val="7"/>
                <w:sz w:val="13"/>
              </w:rPr>
              <w:t>-1</w:t>
            </w:r>
          </w:p>
        </w:tc>
        <w:tc>
          <w:tcPr>
            <w:tcW w:w="1640" w:type="dxa"/>
          </w:tcPr>
          <w:p>
            <w:pPr>
              <w:pStyle w:val="14"/>
              <w:spacing w:before="80"/>
              <w:ind w:left="167"/>
              <w:jc w:val="left"/>
              <w:rPr>
                <w:rFonts w:ascii="Times New Roman" w:hAnsi="Times New Roman" w:eastAsia="Times New Roman"/>
                <w:sz w:val="13"/>
              </w:rPr>
            </w:pPr>
            <w:r>
              <w:rPr>
                <w:sz w:val="21"/>
              </w:rPr>
              <w:t xml:space="preserve">曲率 </w:t>
            </w:r>
            <w:r>
              <w:rPr>
                <w:rFonts w:ascii="Times New Roman" w:hAnsi="Times New Roman" w:eastAsia="Times New Roman"/>
                <w:sz w:val="21"/>
              </w:rPr>
              <w:t>k/10</w:t>
            </w:r>
            <w:r>
              <w:rPr>
                <w:rFonts w:ascii="Times New Roman" w:hAnsi="Times New Roman" w:eastAsia="Times New Roman"/>
                <w:position w:val="7"/>
                <w:sz w:val="13"/>
              </w:rPr>
              <w:t>-3</w:t>
            </w:r>
            <w:r>
              <w:rPr>
                <w:rFonts w:ascii="Times New Roman" w:hAnsi="Times New Roman" w:eastAsia="Times New Roman"/>
                <w:sz w:val="21"/>
              </w:rPr>
              <w:t>·m</w:t>
            </w:r>
            <w:r>
              <w:rPr>
                <w:rFonts w:ascii="Times New Roman" w:hAnsi="Times New Roman" w:eastAsia="Times New Roman"/>
                <w:position w:val="7"/>
                <w:sz w:val="13"/>
              </w:rPr>
              <w:t>-1</w:t>
            </w:r>
          </w:p>
        </w:tc>
        <w:tc>
          <w:tcPr>
            <w:tcW w:w="1740" w:type="dxa"/>
          </w:tcPr>
          <w:p>
            <w:pPr>
              <w:pStyle w:val="14"/>
              <w:spacing w:before="80"/>
              <w:ind w:left="154"/>
              <w:jc w:val="left"/>
              <w:rPr>
                <w:rFonts w:ascii="Times New Roman" w:eastAsia="Times New Roman"/>
                <w:sz w:val="21"/>
              </w:rPr>
            </w:pPr>
            <w:r>
              <w:rPr>
                <w:sz w:val="21"/>
              </w:rPr>
              <w:t xml:space="preserve">水平移动 </w:t>
            </w:r>
            <w:r>
              <w:rPr>
                <w:rFonts w:ascii="Times New Roman" w:eastAsia="Times New Roman"/>
                <w:sz w:val="21"/>
              </w:rPr>
              <w:t>U/mm</w:t>
            </w:r>
          </w:p>
        </w:tc>
        <w:tc>
          <w:tcPr>
            <w:tcW w:w="2044" w:type="dxa"/>
          </w:tcPr>
          <w:p>
            <w:pPr>
              <w:pStyle w:val="14"/>
              <w:spacing w:before="80"/>
              <w:ind w:left="192"/>
              <w:jc w:val="left"/>
              <w:rPr>
                <w:rFonts w:ascii="Times New Roman" w:hAnsi="Times New Roman" w:eastAsia="Times New Roman"/>
                <w:sz w:val="13"/>
              </w:rPr>
            </w:pPr>
            <w:r>
              <w:rPr>
                <w:sz w:val="21"/>
              </w:rPr>
              <w:t>水平变形</w:t>
            </w:r>
            <w:r>
              <w:rPr>
                <w:rFonts w:ascii="Times New Roman" w:hAnsi="Times New Roman" w:eastAsia="Times New Roman"/>
                <w:sz w:val="21"/>
              </w:rPr>
              <w:t>ε/mm·m</w:t>
            </w:r>
            <w:r>
              <w:rPr>
                <w:rFonts w:ascii="Times New Roman" w:hAnsi="Times New Roman" w:eastAsia="Times New Roman"/>
                <w:position w:val="7"/>
                <w:sz w:val="13"/>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35" w:type="dxa"/>
          </w:tcPr>
          <w:p>
            <w:pPr>
              <w:pStyle w:val="14"/>
              <w:spacing w:before="97"/>
              <w:ind w:left="130" w:right="123"/>
              <w:rPr>
                <w:sz w:val="21"/>
              </w:rPr>
            </w:pPr>
            <w:r>
              <w:rPr>
                <w:sz w:val="21"/>
              </w:rPr>
              <w:t>——</w:t>
            </w:r>
          </w:p>
        </w:tc>
        <w:tc>
          <w:tcPr>
            <w:tcW w:w="1380" w:type="dxa"/>
          </w:tcPr>
          <w:p>
            <w:pPr>
              <w:pStyle w:val="14"/>
              <w:spacing w:before="111"/>
              <w:ind w:right="256"/>
              <w:jc w:val="right"/>
              <w:rPr>
                <w:rFonts w:ascii="Times New Roman"/>
                <w:sz w:val="21"/>
              </w:rPr>
            </w:pPr>
            <w:r>
              <w:rPr>
                <w:rFonts w:ascii="Times New Roman"/>
                <w:sz w:val="21"/>
              </w:rPr>
              <w:t>1890</w:t>
            </w:r>
          </w:p>
        </w:tc>
        <w:tc>
          <w:tcPr>
            <w:tcW w:w="1480" w:type="dxa"/>
          </w:tcPr>
          <w:p>
            <w:pPr>
              <w:pStyle w:val="14"/>
              <w:spacing w:before="111"/>
              <w:ind w:left="766"/>
              <w:jc w:val="left"/>
              <w:rPr>
                <w:rFonts w:ascii="Times New Roman"/>
                <w:sz w:val="21"/>
              </w:rPr>
            </w:pPr>
            <w:r>
              <w:rPr>
                <w:rFonts w:ascii="Times New Roman"/>
                <w:sz w:val="21"/>
              </w:rPr>
              <w:t>1.89</w:t>
            </w:r>
          </w:p>
        </w:tc>
        <w:tc>
          <w:tcPr>
            <w:tcW w:w="1640" w:type="dxa"/>
          </w:tcPr>
          <w:p>
            <w:pPr>
              <w:pStyle w:val="14"/>
              <w:spacing w:before="111"/>
              <w:ind w:left="793"/>
              <w:jc w:val="left"/>
              <w:rPr>
                <w:rFonts w:ascii="Times New Roman"/>
                <w:sz w:val="21"/>
              </w:rPr>
            </w:pPr>
            <w:r>
              <w:rPr>
                <w:rFonts w:ascii="Times New Roman"/>
                <w:sz w:val="21"/>
              </w:rPr>
              <w:t>0.287</w:t>
            </w:r>
          </w:p>
        </w:tc>
        <w:tc>
          <w:tcPr>
            <w:tcW w:w="1740" w:type="dxa"/>
          </w:tcPr>
          <w:p>
            <w:pPr>
              <w:pStyle w:val="14"/>
              <w:spacing w:before="111"/>
              <w:ind w:left="790"/>
              <w:jc w:val="left"/>
              <w:rPr>
                <w:rFonts w:ascii="Times New Roman"/>
                <w:sz w:val="21"/>
              </w:rPr>
            </w:pPr>
            <w:r>
              <w:rPr>
                <w:rFonts w:ascii="Times New Roman"/>
                <w:sz w:val="21"/>
              </w:rPr>
              <w:t>472.50</w:t>
            </w:r>
          </w:p>
        </w:tc>
        <w:tc>
          <w:tcPr>
            <w:tcW w:w="2044" w:type="dxa"/>
          </w:tcPr>
          <w:p>
            <w:pPr>
              <w:pStyle w:val="14"/>
              <w:spacing w:before="111"/>
              <w:ind w:left="1047"/>
              <w:jc w:val="left"/>
              <w:rPr>
                <w:rFonts w:ascii="Times New Roman"/>
                <w:sz w:val="21"/>
              </w:rPr>
            </w:pPr>
            <w:r>
              <w:rPr>
                <w:rFonts w:ascii="Times New Roman"/>
                <w:sz w:val="21"/>
              </w:rPr>
              <w:t>7.18</w:t>
            </w:r>
          </w:p>
        </w:tc>
      </w:tr>
    </w:tbl>
    <w:p>
      <w:pPr>
        <w:pStyle w:val="6"/>
        <w:spacing w:before="79" w:line="364" w:lineRule="auto"/>
        <w:ind w:left="451" w:right="447" w:firstLine="480"/>
        <w:jc w:val="both"/>
      </w:pPr>
      <w:r>
        <w:rPr>
          <w:spacing w:val="-7"/>
        </w:rPr>
        <w:t xml:space="preserve">根据当地潜水位调查，该区域现潜水位低于地表 </w:t>
      </w:r>
      <w:r>
        <w:rPr>
          <w:rFonts w:ascii="Times New Roman" w:eastAsia="Times New Roman"/>
        </w:rPr>
        <w:t xml:space="preserve">20m </w:t>
      </w:r>
      <w:r>
        <w:rPr>
          <w:spacing w:val="-6"/>
        </w:rPr>
        <w:t>以上，该井预测最大下</w:t>
      </w:r>
      <w:r>
        <w:rPr>
          <w:spacing w:val="-20"/>
        </w:rPr>
        <w:t xml:space="preserve">沉量为 </w:t>
      </w:r>
      <w:r>
        <w:rPr>
          <w:rFonts w:ascii="Times New Roman" w:eastAsia="Times New Roman"/>
        </w:rPr>
        <w:t>1.89m</w:t>
      </w:r>
      <w:r>
        <w:rPr>
          <w:spacing w:val="-5"/>
        </w:rPr>
        <w:t xml:space="preserve">，经计算沉陷后潜水位应在 </w:t>
      </w:r>
      <w:r>
        <w:rPr>
          <w:rFonts w:ascii="Times New Roman" w:eastAsia="Times New Roman"/>
        </w:rPr>
        <w:t xml:space="preserve">18m </w:t>
      </w:r>
      <w:r>
        <w:rPr>
          <w:spacing w:val="-4"/>
        </w:rPr>
        <w:t>以上。地表主要为耕地和林地，农</w:t>
      </w:r>
      <w:r>
        <w:t>民年年耕作将进行增肥及平整地块，因此判定该区域生产力下降程度较小（</w:t>
      </w:r>
      <w:r>
        <w:rPr>
          <w:spacing w:val="-6"/>
        </w:rPr>
        <w:t>低于</w:t>
      </w:r>
      <w:r>
        <w:rPr>
          <w:rFonts w:ascii="Times New Roman" w:eastAsia="Times New Roman"/>
        </w:rPr>
        <w:t>20%</w:t>
      </w:r>
      <w:r>
        <w:t>）。</w:t>
      </w:r>
    </w:p>
    <w:p>
      <w:pPr>
        <w:pStyle w:val="6"/>
        <w:spacing w:before="2"/>
        <w:ind w:left="931"/>
      </w:pPr>
      <w:r>
        <w:t>在进行土地破坏等级预测时，将地表下沉值、地表变形最大值及开采深厚比</w:t>
      </w:r>
    </w:p>
    <w:p>
      <w:pPr>
        <w:spacing w:after="0"/>
        <w:sectPr>
          <w:pgSz w:w="11910" w:h="16840"/>
          <w:pgMar w:top="1440" w:right="1300" w:bottom="1180" w:left="1300" w:header="0" w:footer="997" w:gutter="0"/>
        </w:sectPr>
      </w:pPr>
    </w:p>
    <w:p>
      <w:pPr>
        <w:tabs>
          <w:tab w:val="left" w:pos="1455"/>
        </w:tabs>
        <w:spacing w:before="42" w:line="343" w:lineRule="auto"/>
        <w:ind w:left="452" w:right="333" w:hanging="120"/>
        <w:jc w:val="center"/>
        <w:rPr>
          <w:b/>
          <w:sz w:val="21"/>
        </w:rPr>
      </w:pPr>
      <w:r>
        <mc:AlternateContent>
          <mc:Choice Requires="wps">
            <w:drawing>
              <wp:anchor distT="0" distB="0" distL="114300" distR="114300" simplePos="0" relativeHeight="251738112" behindDoc="0" locked="0" layoutInCell="1" allowOverlap="1">
                <wp:simplePos x="0" y="0"/>
                <wp:positionH relativeFrom="page">
                  <wp:posOffset>1107440</wp:posOffset>
                </wp:positionH>
                <wp:positionV relativeFrom="paragraph">
                  <wp:posOffset>767715</wp:posOffset>
                </wp:positionV>
                <wp:extent cx="5444490" cy="3105150"/>
                <wp:effectExtent l="0" t="0" r="0" b="0"/>
                <wp:wrapNone/>
                <wp:docPr id="247" name="文本框 113"/>
                <wp:cNvGraphicFramePr/>
                <a:graphic xmlns:a="http://schemas.openxmlformats.org/drawingml/2006/main">
                  <a:graphicData uri="http://schemas.microsoft.com/office/word/2010/wordprocessingShape">
                    <wps:wsp>
                      <wps:cNvSpPr txBox="1"/>
                      <wps:spPr>
                        <a:xfrm>
                          <a:off x="0" y="0"/>
                          <a:ext cx="5444490" cy="3105150"/>
                        </a:xfrm>
                        <a:prstGeom prst="rect">
                          <a:avLst/>
                        </a:prstGeom>
                        <a:noFill/>
                        <a:ln>
                          <a:noFill/>
                        </a:ln>
                      </wps:spPr>
                      <wps:txbx>
                        <w:txbxContent>
                          <w:tbl>
                            <w:tblPr>
                              <w:tblStyle w:val="10"/>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29"/>
                              <w:gridCol w:w="1311"/>
                              <w:gridCol w:w="1319"/>
                              <w:gridCol w:w="1319"/>
                              <w:gridCol w:w="1133"/>
                              <w:gridCol w:w="1133"/>
                              <w:gridCol w:w="120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trPr>
                              <w:tc>
                                <w:tcPr>
                                  <w:tcW w:w="1129" w:type="dxa"/>
                                </w:tcPr>
                                <w:p>
                                  <w:pPr>
                                    <w:pStyle w:val="14"/>
                                    <w:spacing w:before="12"/>
                                    <w:jc w:val="left"/>
                                    <w:rPr>
                                      <w:sz w:val="25"/>
                                    </w:rPr>
                                  </w:pPr>
                                </w:p>
                                <w:p>
                                  <w:pPr>
                                    <w:pStyle w:val="14"/>
                                    <w:ind w:left="352"/>
                                    <w:jc w:val="left"/>
                                    <w:rPr>
                                      <w:sz w:val="21"/>
                                    </w:rPr>
                                  </w:pPr>
                                  <w:r>
                                    <w:rPr>
                                      <w:sz w:val="21"/>
                                    </w:rPr>
                                    <w:t>地类</w:t>
                                  </w:r>
                                </w:p>
                              </w:tc>
                              <w:tc>
                                <w:tcPr>
                                  <w:tcW w:w="1311" w:type="dxa"/>
                                </w:tcPr>
                                <w:p>
                                  <w:pPr>
                                    <w:pStyle w:val="14"/>
                                    <w:spacing w:before="12"/>
                                    <w:jc w:val="left"/>
                                    <w:rPr>
                                      <w:sz w:val="25"/>
                                    </w:rPr>
                                  </w:pPr>
                                </w:p>
                                <w:p>
                                  <w:pPr>
                                    <w:pStyle w:val="14"/>
                                    <w:ind w:left="212" w:right="203"/>
                                    <w:rPr>
                                      <w:sz w:val="21"/>
                                    </w:rPr>
                                  </w:pPr>
                                  <w:r>
                                    <w:rPr>
                                      <w:sz w:val="21"/>
                                    </w:rPr>
                                    <w:t>评价等级</w:t>
                                  </w:r>
                                </w:p>
                              </w:tc>
                              <w:tc>
                                <w:tcPr>
                                  <w:tcW w:w="1319" w:type="dxa"/>
                                </w:tcPr>
                                <w:p>
                                  <w:pPr>
                                    <w:pStyle w:val="14"/>
                                    <w:spacing w:before="177"/>
                                    <w:ind w:left="238"/>
                                    <w:jc w:val="left"/>
                                    <w:rPr>
                                      <w:sz w:val="21"/>
                                    </w:rPr>
                                  </w:pPr>
                                  <w:r>
                                    <w:rPr>
                                      <w:sz w:val="21"/>
                                    </w:rPr>
                                    <w:t>水平变形</w:t>
                                  </w:r>
                                </w:p>
                                <w:p>
                                  <w:pPr>
                                    <w:pStyle w:val="14"/>
                                    <w:spacing w:before="50"/>
                                    <w:ind w:left="305"/>
                                    <w:jc w:val="left"/>
                                    <w:rPr>
                                      <w:rFonts w:ascii="Calibri"/>
                                      <w:sz w:val="21"/>
                                    </w:rPr>
                                  </w:pPr>
                                  <w:r>
                                    <w:rPr>
                                      <w:rFonts w:ascii="Calibri"/>
                                      <w:sz w:val="21"/>
                                    </w:rPr>
                                    <w:t>(mm/m)</w:t>
                                  </w:r>
                                </w:p>
                              </w:tc>
                              <w:tc>
                                <w:tcPr>
                                  <w:tcW w:w="1319" w:type="dxa"/>
                                </w:tcPr>
                                <w:p>
                                  <w:pPr>
                                    <w:pStyle w:val="14"/>
                                    <w:spacing w:before="177"/>
                                    <w:ind w:left="239"/>
                                    <w:jc w:val="left"/>
                                    <w:rPr>
                                      <w:sz w:val="21"/>
                                    </w:rPr>
                                  </w:pPr>
                                  <w:r>
                                    <w:rPr>
                                      <w:sz w:val="21"/>
                                    </w:rPr>
                                    <w:t>附加倾斜</w:t>
                                  </w:r>
                                </w:p>
                                <w:p>
                                  <w:pPr>
                                    <w:pStyle w:val="14"/>
                                    <w:spacing w:before="50"/>
                                    <w:ind w:left="303"/>
                                    <w:jc w:val="left"/>
                                    <w:rPr>
                                      <w:rFonts w:ascii="Calibri"/>
                                      <w:sz w:val="21"/>
                                    </w:rPr>
                                  </w:pPr>
                                  <w:r>
                                    <w:rPr>
                                      <w:rFonts w:ascii="Calibri"/>
                                      <w:sz w:val="21"/>
                                    </w:rPr>
                                    <w:t>(mm/m)</w:t>
                                  </w:r>
                                </w:p>
                              </w:tc>
                              <w:tc>
                                <w:tcPr>
                                  <w:tcW w:w="1133" w:type="dxa"/>
                                </w:tcPr>
                                <w:p>
                                  <w:pPr>
                                    <w:pStyle w:val="14"/>
                                    <w:spacing w:before="177"/>
                                    <w:ind w:left="355"/>
                                    <w:jc w:val="left"/>
                                    <w:rPr>
                                      <w:sz w:val="21"/>
                                    </w:rPr>
                                  </w:pPr>
                                  <w:r>
                                    <w:rPr>
                                      <w:sz w:val="21"/>
                                    </w:rPr>
                                    <w:t>下沉</w:t>
                                  </w:r>
                                </w:p>
                                <w:p>
                                  <w:pPr>
                                    <w:pStyle w:val="14"/>
                                    <w:spacing w:before="43"/>
                                    <w:ind w:left="273"/>
                                    <w:jc w:val="left"/>
                                    <w:rPr>
                                      <w:sz w:val="21"/>
                                    </w:rPr>
                                  </w:pPr>
                                  <w:r>
                                    <w:rPr>
                                      <w:sz w:val="21"/>
                                    </w:rPr>
                                    <w:t>（</w:t>
                                  </w:r>
                                  <w:r>
                                    <w:rPr>
                                      <w:rFonts w:ascii="Calibri" w:eastAsia="Calibri"/>
                                      <w:sz w:val="21"/>
                                    </w:rPr>
                                    <w:t>m</w:t>
                                  </w:r>
                                  <w:r>
                                    <w:rPr>
                                      <w:sz w:val="21"/>
                                    </w:rPr>
                                    <w:t>）</w:t>
                                  </w:r>
                                </w:p>
                              </w:tc>
                              <w:tc>
                                <w:tcPr>
                                  <w:tcW w:w="1133" w:type="dxa"/>
                                </w:tcPr>
                                <w:p>
                                  <w:pPr>
                                    <w:pStyle w:val="14"/>
                                    <w:spacing w:before="21" w:line="278" w:lineRule="auto"/>
                                    <w:ind w:left="146" w:right="131"/>
                                    <w:rPr>
                                      <w:sz w:val="21"/>
                                    </w:rPr>
                                  </w:pPr>
                                  <w:r>
                                    <w:rPr>
                                      <w:sz w:val="21"/>
                                    </w:rPr>
                                    <w:t>沉陷后潜水位埋深</w:t>
                                  </w:r>
                                </w:p>
                                <w:p>
                                  <w:pPr>
                                    <w:pStyle w:val="14"/>
                                    <w:spacing w:line="269" w:lineRule="exact"/>
                                    <w:ind w:left="145" w:right="131"/>
                                    <w:rPr>
                                      <w:sz w:val="21"/>
                                    </w:rPr>
                                  </w:pPr>
                                  <w:r>
                                    <w:rPr>
                                      <w:sz w:val="21"/>
                                    </w:rPr>
                                    <w:t>（</w:t>
                                  </w:r>
                                  <w:r>
                                    <w:rPr>
                                      <w:rFonts w:ascii="Calibri" w:eastAsia="Calibri"/>
                                      <w:sz w:val="21"/>
                                    </w:rPr>
                                    <w:t>m</w:t>
                                  </w:r>
                                  <w:r>
                                    <w:rPr>
                                      <w:sz w:val="21"/>
                                    </w:rPr>
                                    <w:t>）</w:t>
                                  </w:r>
                                </w:p>
                              </w:tc>
                              <w:tc>
                                <w:tcPr>
                                  <w:tcW w:w="1208" w:type="dxa"/>
                                </w:tcPr>
                                <w:p>
                                  <w:pPr>
                                    <w:pStyle w:val="14"/>
                                    <w:spacing w:before="21" w:line="278" w:lineRule="auto"/>
                                    <w:ind w:left="393" w:right="379"/>
                                    <w:rPr>
                                      <w:sz w:val="21"/>
                                    </w:rPr>
                                  </w:pPr>
                                  <w:r>
                                    <w:rPr>
                                      <w:spacing w:val="-8"/>
                                      <w:sz w:val="21"/>
                                    </w:rPr>
                                    <w:t>产力</w:t>
                                  </w:r>
                                  <w:r>
                                    <w:rPr>
                                      <w:spacing w:val="-9"/>
                                      <w:w w:val="95"/>
                                      <w:sz w:val="21"/>
                                    </w:rPr>
                                    <w:t>降低</w:t>
                                  </w:r>
                                </w:p>
                                <w:p>
                                  <w:pPr>
                                    <w:pStyle w:val="14"/>
                                    <w:spacing w:before="7"/>
                                    <w:ind w:left="393" w:right="379"/>
                                    <w:rPr>
                                      <w:rFonts w:ascii="Calibri"/>
                                      <w:sz w:val="21"/>
                                    </w:rPr>
                                  </w:pPr>
                                  <w:r>
                                    <w:rPr>
                                      <w:rFonts w:ascii="Calibri"/>
                                      <w:sz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129" w:type="dxa"/>
                                  <w:vMerge w:val="restart"/>
                                </w:tcPr>
                                <w:p>
                                  <w:pPr>
                                    <w:pStyle w:val="14"/>
                                    <w:spacing w:before="3"/>
                                    <w:jc w:val="left"/>
                                    <w:rPr>
                                      <w:sz w:val="27"/>
                                    </w:rPr>
                                  </w:pPr>
                                </w:p>
                                <w:p>
                                  <w:pPr>
                                    <w:pStyle w:val="14"/>
                                    <w:ind w:left="352"/>
                                    <w:jc w:val="left"/>
                                    <w:rPr>
                                      <w:sz w:val="21"/>
                                    </w:rPr>
                                  </w:pPr>
                                  <w:r>
                                    <w:rPr>
                                      <w:sz w:val="21"/>
                                    </w:rPr>
                                    <w:t>水田</w:t>
                                  </w:r>
                                </w:p>
                              </w:tc>
                              <w:tc>
                                <w:tcPr>
                                  <w:tcW w:w="1311" w:type="dxa"/>
                                </w:tcPr>
                                <w:p>
                                  <w:pPr>
                                    <w:pStyle w:val="14"/>
                                    <w:spacing w:before="20"/>
                                    <w:ind w:left="212" w:right="201"/>
                                    <w:rPr>
                                      <w:sz w:val="21"/>
                                    </w:rPr>
                                  </w:pPr>
                                  <w:r>
                                    <w:rPr>
                                      <w:sz w:val="21"/>
                                    </w:rPr>
                                    <w:t>轻度</w:t>
                                  </w:r>
                                </w:p>
                              </w:tc>
                              <w:tc>
                                <w:tcPr>
                                  <w:tcW w:w="1319" w:type="dxa"/>
                                </w:tcPr>
                                <w:p>
                                  <w:pPr>
                                    <w:pStyle w:val="14"/>
                                    <w:spacing w:before="28"/>
                                    <w:ind w:left="234" w:right="220"/>
                                    <w:rPr>
                                      <w:rFonts w:ascii="Calibri" w:hAnsi="Calibri"/>
                                      <w:sz w:val="21"/>
                                    </w:rPr>
                                  </w:pPr>
                                  <w:r>
                                    <w:rPr>
                                      <w:rFonts w:ascii="Calibri" w:hAnsi="Calibri"/>
                                      <w:sz w:val="21"/>
                                    </w:rPr>
                                    <w:t>≤3.0</w:t>
                                  </w:r>
                                </w:p>
                              </w:tc>
                              <w:tc>
                                <w:tcPr>
                                  <w:tcW w:w="1319" w:type="dxa"/>
                                </w:tcPr>
                                <w:p>
                                  <w:pPr>
                                    <w:pStyle w:val="14"/>
                                    <w:spacing w:before="28"/>
                                    <w:ind w:left="232" w:right="220"/>
                                    <w:rPr>
                                      <w:rFonts w:ascii="Calibri" w:hAnsi="Calibri"/>
                                      <w:sz w:val="21"/>
                                    </w:rPr>
                                  </w:pPr>
                                  <w:r>
                                    <w:rPr>
                                      <w:rFonts w:ascii="Calibri" w:hAnsi="Calibri"/>
                                      <w:sz w:val="21"/>
                                    </w:rPr>
                                    <w:t>≤4.0</w:t>
                                  </w:r>
                                </w:p>
                              </w:tc>
                              <w:tc>
                                <w:tcPr>
                                  <w:tcW w:w="1133" w:type="dxa"/>
                                </w:tcPr>
                                <w:p>
                                  <w:pPr>
                                    <w:pStyle w:val="14"/>
                                    <w:spacing w:before="28"/>
                                    <w:ind w:left="143" w:right="131"/>
                                    <w:rPr>
                                      <w:rFonts w:ascii="Calibri" w:hAnsi="Calibri"/>
                                      <w:sz w:val="21"/>
                                    </w:rPr>
                                  </w:pPr>
                                  <w:r>
                                    <w:rPr>
                                      <w:rFonts w:ascii="Calibri" w:hAnsi="Calibri"/>
                                      <w:sz w:val="21"/>
                                    </w:rPr>
                                    <w:t>≤1.0</w:t>
                                  </w:r>
                                </w:p>
                              </w:tc>
                              <w:tc>
                                <w:tcPr>
                                  <w:tcW w:w="1133" w:type="dxa"/>
                                </w:tcPr>
                                <w:p>
                                  <w:pPr>
                                    <w:pStyle w:val="14"/>
                                    <w:spacing w:before="28"/>
                                    <w:ind w:left="381"/>
                                    <w:jc w:val="left"/>
                                    <w:rPr>
                                      <w:rFonts w:ascii="Calibri" w:hAnsi="Calibri"/>
                                      <w:sz w:val="21"/>
                                    </w:rPr>
                                  </w:pPr>
                                  <w:r>
                                    <w:rPr>
                                      <w:rFonts w:ascii="Calibri" w:hAnsi="Calibri"/>
                                      <w:sz w:val="21"/>
                                    </w:rPr>
                                    <w:t>≥1.0</w:t>
                                  </w:r>
                                </w:p>
                              </w:tc>
                              <w:tc>
                                <w:tcPr>
                                  <w:tcW w:w="1208" w:type="dxa"/>
                                </w:tcPr>
                                <w:p>
                                  <w:pPr>
                                    <w:pStyle w:val="14"/>
                                    <w:spacing w:before="28"/>
                                    <w:ind w:left="364"/>
                                    <w:jc w:val="left"/>
                                    <w:rPr>
                                      <w:rFonts w:ascii="Calibri" w:hAnsi="Calibri"/>
                                      <w:sz w:val="21"/>
                                    </w:rPr>
                                  </w:pPr>
                                  <w:r>
                                    <w:rPr>
                                      <w:rFonts w:ascii="Calibri" w:hAnsi="Calibri"/>
                                      <w:sz w:val="21"/>
                                    </w:rP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129" w:type="dxa"/>
                                  <w:vMerge w:val="continue"/>
                                  <w:tcBorders>
                                    <w:top w:val="nil"/>
                                  </w:tcBorders>
                                </w:tcPr>
                                <w:p>
                                  <w:pPr>
                                    <w:rPr>
                                      <w:sz w:val="2"/>
                                      <w:szCs w:val="2"/>
                                    </w:rPr>
                                  </w:pPr>
                                </w:p>
                              </w:tc>
                              <w:tc>
                                <w:tcPr>
                                  <w:tcW w:w="1311" w:type="dxa"/>
                                </w:tcPr>
                                <w:p>
                                  <w:pPr>
                                    <w:pStyle w:val="14"/>
                                    <w:spacing w:before="22"/>
                                    <w:ind w:left="212" w:right="201"/>
                                    <w:rPr>
                                      <w:sz w:val="21"/>
                                    </w:rPr>
                                  </w:pPr>
                                  <w:r>
                                    <w:rPr>
                                      <w:sz w:val="21"/>
                                    </w:rPr>
                                    <w:t>中度</w:t>
                                  </w:r>
                                </w:p>
                              </w:tc>
                              <w:tc>
                                <w:tcPr>
                                  <w:tcW w:w="1319" w:type="dxa"/>
                                </w:tcPr>
                                <w:p>
                                  <w:pPr>
                                    <w:pStyle w:val="14"/>
                                    <w:spacing w:before="27"/>
                                    <w:ind w:left="232" w:right="220"/>
                                    <w:rPr>
                                      <w:rFonts w:ascii="Calibri"/>
                                      <w:sz w:val="21"/>
                                    </w:rPr>
                                  </w:pPr>
                                  <w:r>
                                    <w:rPr>
                                      <w:rFonts w:ascii="Calibri"/>
                                      <w:sz w:val="21"/>
                                    </w:rPr>
                                    <w:t>3.0-6.0</w:t>
                                  </w:r>
                                </w:p>
                              </w:tc>
                              <w:tc>
                                <w:tcPr>
                                  <w:tcW w:w="1319" w:type="dxa"/>
                                </w:tcPr>
                                <w:p>
                                  <w:pPr>
                                    <w:pStyle w:val="14"/>
                                    <w:spacing w:before="27"/>
                                    <w:ind w:left="234" w:right="220"/>
                                    <w:rPr>
                                      <w:rFonts w:ascii="Calibri"/>
                                      <w:sz w:val="21"/>
                                    </w:rPr>
                                  </w:pPr>
                                  <w:r>
                                    <w:rPr>
                                      <w:rFonts w:ascii="Calibri"/>
                                      <w:sz w:val="21"/>
                                    </w:rPr>
                                    <w:t>4.0-10.0</w:t>
                                  </w:r>
                                </w:p>
                              </w:tc>
                              <w:tc>
                                <w:tcPr>
                                  <w:tcW w:w="1133" w:type="dxa"/>
                                </w:tcPr>
                                <w:p>
                                  <w:pPr>
                                    <w:pStyle w:val="14"/>
                                    <w:spacing w:before="27"/>
                                    <w:ind w:left="143" w:right="131"/>
                                    <w:rPr>
                                      <w:rFonts w:ascii="Calibri"/>
                                      <w:sz w:val="21"/>
                                    </w:rPr>
                                  </w:pPr>
                                  <w:r>
                                    <w:rPr>
                                      <w:rFonts w:ascii="Calibri"/>
                                      <w:sz w:val="21"/>
                                    </w:rPr>
                                    <w:t>1.0-2.0</w:t>
                                  </w:r>
                                </w:p>
                              </w:tc>
                              <w:tc>
                                <w:tcPr>
                                  <w:tcW w:w="1133" w:type="dxa"/>
                                </w:tcPr>
                                <w:p>
                                  <w:pPr>
                                    <w:pStyle w:val="14"/>
                                    <w:spacing w:before="27"/>
                                    <w:ind w:left="347"/>
                                    <w:jc w:val="left"/>
                                    <w:rPr>
                                      <w:rFonts w:ascii="Calibri"/>
                                      <w:sz w:val="21"/>
                                    </w:rPr>
                                  </w:pPr>
                                  <w:r>
                                    <w:rPr>
                                      <w:rFonts w:ascii="Calibri"/>
                                      <w:sz w:val="21"/>
                                    </w:rPr>
                                    <w:t>0-1.0</w:t>
                                  </w:r>
                                </w:p>
                              </w:tc>
                              <w:tc>
                                <w:tcPr>
                                  <w:tcW w:w="1208" w:type="dxa"/>
                                </w:tcPr>
                                <w:p>
                                  <w:pPr>
                                    <w:pStyle w:val="14"/>
                                    <w:spacing w:before="27"/>
                                    <w:ind w:right="264"/>
                                    <w:jc w:val="right"/>
                                    <w:rPr>
                                      <w:rFonts w:ascii="Calibri"/>
                                      <w:sz w:val="21"/>
                                    </w:rPr>
                                  </w:pPr>
                                  <w:r>
                                    <w:rPr>
                                      <w:rFonts w:ascii="Calibri"/>
                                      <w:w w:val="95"/>
                                      <w:sz w:val="21"/>
                                    </w:rPr>
                                    <w:t>20-60.0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129" w:type="dxa"/>
                                  <w:vMerge w:val="continue"/>
                                  <w:tcBorders>
                                    <w:top w:val="nil"/>
                                  </w:tcBorders>
                                </w:tcPr>
                                <w:p>
                                  <w:pPr>
                                    <w:rPr>
                                      <w:sz w:val="2"/>
                                      <w:szCs w:val="2"/>
                                    </w:rPr>
                                  </w:pPr>
                                </w:p>
                              </w:tc>
                              <w:tc>
                                <w:tcPr>
                                  <w:tcW w:w="1311" w:type="dxa"/>
                                </w:tcPr>
                                <w:p>
                                  <w:pPr>
                                    <w:pStyle w:val="14"/>
                                    <w:spacing w:before="21"/>
                                    <w:ind w:left="212" w:right="201"/>
                                    <w:rPr>
                                      <w:sz w:val="21"/>
                                    </w:rPr>
                                  </w:pPr>
                                  <w:r>
                                    <w:rPr>
                                      <w:sz w:val="21"/>
                                    </w:rPr>
                                    <w:t>重度</w:t>
                                  </w:r>
                                </w:p>
                              </w:tc>
                              <w:tc>
                                <w:tcPr>
                                  <w:tcW w:w="1319" w:type="dxa"/>
                                </w:tcPr>
                                <w:p>
                                  <w:pPr>
                                    <w:pStyle w:val="14"/>
                                    <w:spacing w:before="21"/>
                                    <w:ind w:left="232" w:right="220"/>
                                    <w:rPr>
                                      <w:rFonts w:ascii="Calibri" w:eastAsia="Calibri"/>
                                      <w:sz w:val="21"/>
                                    </w:rPr>
                                  </w:pPr>
                                  <w:r>
                                    <w:rPr>
                                      <w:sz w:val="21"/>
                                    </w:rPr>
                                    <w:t>＞</w:t>
                                  </w:r>
                                  <w:r>
                                    <w:rPr>
                                      <w:rFonts w:ascii="Calibri" w:eastAsia="Calibri"/>
                                      <w:sz w:val="21"/>
                                    </w:rPr>
                                    <w:t>6.0</w:t>
                                  </w:r>
                                </w:p>
                              </w:tc>
                              <w:tc>
                                <w:tcPr>
                                  <w:tcW w:w="1319" w:type="dxa"/>
                                </w:tcPr>
                                <w:p>
                                  <w:pPr>
                                    <w:pStyle w:val="14"/>
                                    <w:spacing w:before="21"/>
                                    <w:ind w:left="232" w:right="220"/>
                                    <w:rPr>
                                      <w:rFonts w:ascii="Calibri" w:eastAsia="Calibri"/>
                                      <w:sz w:val="21"/>
                                    </w:rPr>
                                  </w:pPr>
                                  <w:r>
                                    <w:rPr>
                                      <w:sz w:val="21"/>
                                    </w:rPr>
                                    <w:t>＞</w:t>
                                  </w:r>
                                  <w:r>
                                    <w:rPr>
                                      <w:rFonts w:ascii="Calibri" w:eastAsia="Calibri"/>
                                      <w:sz w:val="21"/>
                                    </w:rPr>
                                    <w:t>10.0</w:t>
                                  </w:r>
                                </w:p>
                              </w:tc>
                              <w:tc>
                                <w:tcPr>
                                  <w:tcW w:w="1133" w:type="dxa"/>
                                </w:tcPr>
                                <w:p>
                                  <w:pPr>
                                    <w:pStyle w:val="14"/>
                                    <w:spacing w:before="21"/>
                                    <w:ind w:left="143" w:right="131"/>
                                    <w:rPr>
                                      <w:rFonts w:ascii="Calibri" w:eastAsia="Calibri"/>
                                      <w:sz w:val="21"/>
                                    </w:rPr>
                                  </w:pPr>
                                  <w:r>
                                    <w:rPr>
                                      <w:sz w:val="21"/>
                                    </w:rPr>
                                    <w:t>＞</w:t>
                                  </w:r>
                                  <w:r>
                                    <w:rPr>
                                      <w:rFonts w:ascii="Calibri" w:eastAsia="Calibri"/>
                                      <w:sz w:val="21"/>
                                    </w:rPr>
                                    <w:t>2.0</w:t>
                                  </w:r>
                                </w:p>
                              </w:tc>
                              <w:tc>
                                <w:tcPr>
                                  <w:tcW w:w="1133" w:type="dxa"/>
                                </w:tcPr>
                                <w:p>
                                  <w:pPr>
                                    <w:pStyle w:val="14"/>
                                    <w:spacing w:before="21"/>
                                    <w:ind w:left="143" w:right="131"/>
                                    <w:rPr>
                                      <w:rFonts w:ascii="Calibri" w:eastAsia="Calibri"/>
                                      <w:sz w:val="21"/>
                                    </w:rPr>
                                  </w:pPr>
                                  <w:r>
                                    <w:rPr>
                                      <w:sz w:val="21"/>
                                    </w:rPr>
                                    <w:t>＜</w:t>
                                  </w:r>
                                  <w:r>
                                    <w:rPr>
                                      <w:rFonts w:ascii="Calibri" w:eastAsia="Calibri"/>
                                      <w:sz w:val="21"/>
                                    </w:rPr>
                                    <w:t>0</w:t>
                                  </w:r>
                                </w:p>
                              </w:tc>
                              <w:tc>
                                <w:tcPr>
                                  <w:tcW w:w="1208" w:type="dxa"/>
                                </w:tcPr>
                                <w:p>
                                  <w:pPr>
                                    <w:pStyle w:val="14"/>
                                    <w:spacing w:before="21"/>
                                    <w:ind w:right="298"/>
                                    <w:jc w:val="right"/>
                                    <w:rPr>
                                      <w:rFonts w:ascii="Calibri" w:eastAsia="Calibri"/>
                                      <w:sz w:val="21"/>
                                    </w:rPr>
                                  </w:pPr>
                                  <w:r>
                                    <w:rPr>
                                      <w:w w:val="95"/>
                                      <w:sz w:val="21"/>
                                    </w:rPr>
                                    <w:t>＞</w:t>
                                  </w:r>
                                  <w:r>
                                    <w:rPr>
                                      <w:rFonts w:ascii="Calibri" w:eastAsia="Calibri"/>
                                      <w:w w:val="95"/>
                                      <w:sz w:val="21"/>
                                    </w:rP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129" w:type="dxa"/>
                                  <w:vMerge w:val="restart"/>
                                </w:tcPr>
                                <w:p>
                                  <w:pPr>
                                    <w:pStyle w:val="14"/>
                                    <w:spacing w:before="1"/>
                                    <w:jc w:val="left"/>
                                    <w:rPr>
                                      <w:sz w:val="27"/>
                                    </w:rPr>
                                  </w:pPr>
                                </w:p>
                                <w:p>
                                  <w:pPr>
                                    <w:pStyle w:val="14"/>
                                    <w:ind w:left="249"/>
                                    <w:jc w:val="left"/>
                                    <w:rPr>
                                      <w:sz w:val="21"/>
                                    </w:rPr>
                                  </w:pPr>
                                  <w:r>
                                    <w:rPr>
                                      <w:sz w:val="21"/>
                                    </w:rPr>
                                    <w:t>水浇地</w:t>
                                  </w:r>
                                </w:p>
                              </w:tc>
                              <w:tc>
                                <w:tcPr>
                                  <w:tcW w:w="1311" w:type="dxa"/>
                                </w:tcPr>
                                <w:p>
                                  <w:pPr>
                                    <w:pStyle w:val="14"/>
                                    <w:spacing w:before="21"/>
                                    <w:ind w:left="212" w:right="201"/>
                                    <w:rPr>
                                      <w:sz w:val="21"/>
                                    </w:rPr>
                                  </w:pPr>
                                  <w:r>
                                    <w:rPr>
                                      <w:sz w:val="21"/>
                                    </w:rPr>
                                    <w:t>轻度</w:t>
                                  </w:r>
                                </w:p>
                              </w:tc>
                              <w:tc>
                                <w:tcPr>
                                  <w:tcW w:w="1319" w:type="dxa"/>
                                </w:tcPr>
                                <w:p>
                                  <w:pPr>
                                    <w:pStyle w:val="14"/>
                                    <w:spacing w:before="28"/>
                                    <w:ind w:left="234" w:right="220"/>
                                    <w:rPr>
                                      <w:rFonts w:ascii="Calibri" w:hAnsi="Calibri"/>
                                      <w:sz w:val="21"/>
                                    </w:rPr>
                                  </w:pPr>
                                  <w:r>
                                    <w:rPr>
                                      <w:rFonts w:ascii="Calibri" w:hAnsi="Calibri"/>
                                      <w:sz w:val="21"/>
                                    </w:rPr>
                                    <w:t>≤4.0</w:t>
                                  </w:r>
                                </w:p>
                              </w:tc>
                              <w:tc>
                                <w:tcPr>
                                  <w:tcW w:w="1319" w:type="dxa"/>
                                </w:tcPr>
                                <w:p>
                                  <w:pPr>
                                    <w:pStyle w:val="14"/>
                                    <w:spacing w:before="28"/>
                                    <w:ind w:left="232" w:right="220"/>
                                    <w:rPr>
                                      <w:rFonts w:ascii="Calibri" w:hAnsi="Calibri"/>
                                      <w:sz w:val="21"/>
                                    </w:rPr>
                                  </w:pPr>
                                  <w:r>
                                    <w:rPr>
                                      <w:rFonts w:ascii="Calibri" w:hAnsi="Calibri"/>
                                      <w:sz w:val="21"/>
                                    </w:rPr>
                                    <w:t>≤6.0</w:t>
                                  </w:r>
                                </w:p>
                              </w:tc>
                              <w:tc>
                                <w:tcPr>
                                  <w:tcW w:w="1133" w:type="dxa"/>
                                </w:tcPr>
                                <w:p>
                                  <w:pPr>
                                    <w:pStyle w:val="14"/>
                                    <w:spacing w:before="28"/>
                                    <w:ind w:left="143" w:right="131"/>
                                    <w:rPr>
                                      <w:rFonts w:ascii="Calibri" w:hAnsi="Calibri"/>
                                      <w:sz w:val="21"/>
                                    </w:rPr>
                                  </w:pPr>
                                  <w:r>
                                    <w:rPr>
                                      <w:rFonts w:ascii="Calibri" w:hAnsi="Calibri"/>
                                      <w:sz w:val="21"/>
                                    </w:rPr>
                                    <w:t>≤1.5</w:t>
                                  </w:r>
                                </w:p>
                              </w:tc>
                              <w:tc>
                                <w:tcPr>
                                  <w:tcW w:w="1133" w:type="dxa"/>
                                </w:tcPr>
                                <w:p>
                                  <w:pPr>
                                    <w:pStyle w:val="14"/>
                                    <w:spacing w:before="28"/>
                                    <w:ind w:left="381"/>
                                    <w:jc w:val="left"/>
                                    <w:rPr>
                                      <w:rFonts w:ascii="Calibri" w:hAnsi="Calibri"/>
                                      <w:sz w:val="21"/>
                                    </w:rPr>
                                  </w:pPr>
                                  <w:r>
                                    <w:rPr>
                                      <w:rFonts w:ascii="Calibri" w:hAnsi="Calibri"/>
                                      <w:sz w:val="21"/>
                                    </w:rPr>
                                    <w:t>≥1.5</w:t>
                                  </w:r>
                                </w:p>
                              </w:tc>
                              <w:tc>
                                <w:tcPr>
                                  <w:tcW w:w="1208" w:type="dxa"/>
                                </w:tcPr>
                                <w:p>
                                  <w:pPr>
                                    <w:pStyle w:val="14"/>
                                    <w:spacing w:before="28"/>
                                    <w:ind w:left="364"/>
                                    <w:jc w:val="left"/>
                                    <w:rPr>
                                      <w:rFonts w:ascii="Calibri" w:hAnsi="Calibri"/>
                                      <w:sz w:val="21"/>
                                    </w:rPr>
                                  </w:pPr>
                                  <w:r>
                                    <w:rPr>
                                      <w:rFonts w:ascii="Calibri" w:hAnsi="Calibri"/>
                                      <w:sz w:val="21"/>
                                    </w:rP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129" w:type="dxa"/>
                                  <w:vMerge w:val="continue"/>
                                  <w:tcBorders>
                                    <w:top w:val="nil"/>
                                  </w:tcBorders>
                                </w:tcPr>
                                <w:p>
                                  <w:pPr>
                                    <w:rPr>
                                      <w:sz w:val="2"/>
                                      <w:szCs w:val="2"/>
                                    </w:rPr>
                                  </w:pPr>
                                </w:p>
                              </w:tc>
                              <w:tc>
                                <w:tcPr>
                                  <w:tcW w:w="1311" w:type="dxa"/>
                                </w:tcPr>
                                <w:p>
                                  <w:pPr>
                                    <w:pStyle w:val="14"/>
                                    <w:spacing w:before="20"/>
                                    <w:ind w:left="212" w:right="201"/>
                                    <w:rPr>
                                      <w:sz w:val="21"/>
                                    </w:rPr>
                                  </w:pPr>
                                  <w:r>
                                    <w:rPr>
                                      <w:sz w:val="21"/>
                                    </w:rPr>
                                    <w:t>中度</w:t>
                                  </w:r>
                                </w:p>
                              </w:tc>
                              <w:tc>
                                <w:tcPr>
                                  <w:tcW w:w="1319" w:type="dxa"/>
                                </w:tcPr>
                                <w:p>
                                  <w:pPr>
                                    <w:pStyle w:val="14"/>
                                    <w:spacing w:before="28"/>
                                    <w:ind w:left="232" w:right="220"/>
                                    <w:rPr>
                                      <w:rFonts w:ascii="Calibri"/>
                                      <w:sz w:val="21"/>
                                    </w:rPr>
                                  </w:pPr>
                                  <w:r>
                                    <w:rPr>
                                      <w:rFonts w:ascii="Calibri"/>
                                      <w:sz w:val="21"/>
                                    </w:rPr>
                                    <w:t>4.0-8.0</w:t>
                                  </w:r>
                                </w:p>
                              </w:tc>
                              <w:tc>
                                <w:tcPr>
                                  <w:tcW w:w="1319" w:type="dxa"/>
                                </w:tcPr>
                                <w:p>
                                  <w:pPr>
                                    <w:pStyle w:val="14"/>
                                    <w:spacing w:before="28"/>
                                    <w:ind w:left="234" w:right="220"/>
                                    <w:rPr>
                                      <w:rFonts w:ascii="Calibri"/>
                                      <w:sz w:val="21"/>
                                    </w:rPr>
                                  </w:pPr>
                                  <w:r>
                                    <w:rPr>
                                      <w:rFonts w:ascii="Calibri"/>
                                      <w:sz w:val="21"/>
                                    </w:rPr>
                                    <w:t>6.0-12.0</w:t>
                                  </w:r>
                                </w:p>
                              </w:tc>
                              <w:tc>
                                <w:tcPr>
                                  <w:tcW w:w="1133" w:type="dxa"/>
                                </w:tcPr>
                                <w:p>
                                  <w:pPr>
                                    <w:pStyle w:val="14"/>
                                    <w:spacing w:before="28"/>
                                    <w:ind w:left="143" w:right="131"/>
                                    <w:rPr>
                                      <w:rFonts w:ascii="Calibri"/>
                                      <w:sz w:val="21"/>
                                    </w:rPr>
                                  </w:pPr>
                                  <w:r>
                                    <w:rPr>
                                      <w:rFonts w:ascii="Calibri"/>
                                      <w:sz w:val="21"/>
                                    </w:rPr>
                                    <w:t>1.5-3.0</w:t>
                                  </w:r>
                                </w:p>
                              </w:tc>
                              <w:tc>
                                <w:tcPr>
                                  <w:tcW w:w="1133" w:type="dxa"/>
                                </w:tcPr>
                                <w:p>
                                  <w:pPr>
                                    <w:pStyle w:val="14"/>
                                    <w:spacing w:before="28"/>
                                    <w:ind w:right="251"/>
                                    <w:jc w:val="right"/>
                                    <w:rPr>
                                      <w:rFonts w:ascii="Calibri"/>
                                      <w:sz w:val="21"/>
                                    </w:rPr>
                                  </w:pPr>
                                  <w:r>
                                    <w:rPr>
                                      <w:rFonts w:ascii="Calibri"/>
                                      <w:sz w:val="21"/>
                                    </w:rPr>
                                    <w:t>0.5-1.5</w:t>
                                  </w:r>
                                </w:p>
                              </w:tc>
                              <w:tc>
                                <w:tcPr>
                                  <w:tcW w:w="1208" w:type="dxa"/>
                                </w:tcPr>
                                <w:p>
                                  <w:pPr>
                                    <w:pStyle w:val="14"/>
                                    <w:spacing w:before="28"/>
                                    <w:ind w:right="264"/>
                                    <w:jc w:val="right"/>
                                    <w:rPr>
                                      <w:rFonts w:ascii="Calibri"/>
                                      <w:sz w:val="21"/>
                                    </w:rPr>
                                  </w:pPr>
                                  <w:r>
                                    <w:rPr>
                                      <w:rFonts w:ascii="Calibri"/>
                                      <w:w w:val="95"/>
                                      <w:sz w:val="21"/>
                                    </w:rPr>
                                    <w:t>20-60.0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129" w:type="dxa"/>
                                  <w:vMerge w:val="continue"/>
                                  <w:tcBorders>
                                    <w:top w:val="nil"/>
                                  </w:tcBorders>
                                </w:tcPr>
                                <w:p>
                                  <w:pPr>
                                    <w:rPr>
                                      <w:sz w:val="2"/>
                                      <w:szCs w:val="2"/>
                                    </w:rPr>
                                  </w:pPr>
                                </w:p>
                              </w:tc>
                              <w:tc>
                                <w:tcPr>
                                  <w:tcW w:w="1311" w:type="dxa"/>
                                </w:tcPr>
                                <w:p>
                                  <w:pPr>
                                    <w:pStyle w:val="14"/>
                                    <w:spacing w:before="22"/>
                                    <w:ind w:left="212" w:right="201"/>
                                    <w:rPr>
                                      <w:sz w:val="21"/>
                                    </w:rPr>
                                  </w:pPr>
                                  <w:r>
                                    <w:rPr>
                                      <w:sz w:val="21"/>
                                    </w:rPr>
                                    <w:t>重度</w:t>
                                  </w:r>
                                </w:p>
                              </w:tc>
                              <w:tc>
                                <w:tcPr>
                                  <w:tcW w:w="1319" w:type="dxa"/>
                                </w:tcPr>
                                <w:p>
                                  <w:pPr>
                                    <w:pStyle w:val="14"/>
                                    <w:spacing w:before="22"/>
                                    <w:ind w:left="232" w:right="220"/>
                                    <w:rPr>
                                      <w:rFonts w:ascii="Calibri" w:eastAsia="Calibri"/>
                                      <w:sz w:val="21"/>
                                    </w:rPr>
                                  </w:pPr>
                                  <w:r>
                                    <w:rPr>
                                      <w:sz w:val="21"/>
                                    </w:rPr>
                                    <w:t>＞</w:t>
                                  </w:r>
                                  <w:r>
                                    <w:rPr>
                                      <w:rFonts w:ascii="Calibri" w:eastAsia="Calibri"/>
                                      <w:sz w:val="21"/>
                                    </w:rPr>
                                    <w:t>8.0</w:t>
                                  </w:r>
                                </w:p>
                              </w:tc>
                              <w:tc>
                                <w:tcPr>
                                  <w:tcW w:w="1319" w:type="dxa"/>
                                </w:tcPr>
                                <w:p>
                                  <w:pPr>
                                    <w:pStyle w:val="14"/>
                                    <w:spacing w:before="22"/>
                                    <w:ind w:left="232" w:right="220"/>
                                    <w:rPr>
                                      <w:rFonts w:ascii="Calibri" w:eastAsia="Calibri"/>
                                      <w:sz w:val="21"/>
                                    </w:rPr>
                                  </w:pPr>
                                  <w:r>
                                    <w:rPr>
                                      <w:sz w:val="21"/>
                                    </w:rPr>
                                    <w:t>＞</w:t>
                                  </w:r>
                                  <w:r>
                                    <w:rPr>
                                      <w:rFonts w:ascii="Calibri" w:eastAsia="Calibri"/>
                                      <w:sz w:val="21"/>
                                    </w:rPr>
                                    <w:t>12.0</w:t>
                                  </w:r>
                                </w:p>
                              </w:tc>
                              <w:tc>
                                <w:tcPr>
                                  <w:tcW w:w="1133" w:type="dxa"/>
                                </w:tcPr>
                                <w:p>
                                  <w:pPr>
                                    <w:pStyle w:val="14"/>
                                    <w:spacing w:before="22"/>
                                    <w:ind w:left="143" w:right="131"/>
                                    <w:rPr>
                                      <w:rFonts w:ascii="Calibri" w:eastAsia="Calibri"/>
                                      <w:sz w:val="21"/>
                                    </w:rPr>
                                  </w:pPr>
                                  <w:r>
                                    <w:rPr>
                                      <w:sz w:val="21"/>
                                    </w:rPr>
                                    <w:t>＞</w:t>
                                  </w:r>
                                  <w:r>
                                    <w:rPr>
                                      <w:rFonts w:ascii="Calibri" w:eastAsia="Calibri"/>
                                      <w:sz w:val="21"/>
                                    </w:rPr>
                                    <w:t>3.0</w:t>
                                  </w:r>
                                </w:p>
                              </w:tc>
                              <w:tc>
                                <w:tcPr>
                                  <w:tcW w:w="1133" w:type="dxa"/>
                                </w:tcPr>
                                <w:p>
                                  <w:pPr>
                                    <w:pStyle w:val="14"/>
                                    <w:spacing w:before="22"/>
                                    <w:ind w:right="314"/>
                                    <w:jc w:val="right"/>
                                    <w:rPr>
                                      <w:rFonts w:ascii="Calibri" w:eastAsia="Calibri"/>
                                      <w:sz w:val="21"/>
                                    </w:rPr>
                                  </w:pPr>
                                  <w:r>
                                    <w:rPr>
                                      <w:w w:val="95"/>
                                      <w:sz w:val="21"/>
                                    </w:rPr>
                                    <w:t>＜</w:t>
                                  </w:r>
                                  <w:r>
                                    <w:rPr>
                                      <w:rFonts w:ascii="Calibri" w:eastAsia="Calibri"/>
                                      <w:w w:val="95"/>
                                      <w:sz w:val="21"/>
                                    </w:rPr>
                                    <w:t>0.5</w:t>
                                  </w:r>
                                </w:p>
                              </w:tc>
                              <w:tc>
                                <w:tcPr>
                                  <w:tcW w:w="1208" w:type="dxa"/>
                                </w:tcPr>
                                <w:p>
                                  <w:pPr>
                                    <w:pStyle w:val="14"/>
                                    <w:spacing w:before="22"/>
                                    <w:ind w:right="298"/>
                                    <w:jc w:val="right"/>
                                    <w:rPr>
                                      <w:rFonts w:ascii="Calibri" w:eastAsia="Calibri"/>
                                      <w:sz w:val="21"/>
                                    </w:rPr>
                                  </w:pPr>
                                  <w:r>
                                    <w:rPr>
                                      <w:w w:val="95"/>
                                      <w:sz w:val="21"/>
                                    </w:rPr>
                                    <w:t>＞</w:t>
                                  </w:r>
                                  <w:r>
                                    <w:rPr>
                                      <w:rFonts w:ascii="Calibri" w:eastAsia="Calibri"/>
                                      <w:w w:val="95"/>
                                      <w:sz w:val="21"/>
                                    </w:rP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129" w:type="dxa"/>
                                  <w:vMerge w:val="restart"/>
                                </w:tcPr>
                                <w:p>
                                  <w:pPr>
                                    <w:pStyle w:val="14"/>
                                    <w:spacing w:before="2"/>
                                    <w:jc w:val="left"/>
                                    <w:rPr>
                                      <w:sz w:val="27"/>
                                    </w:rPr>
                                  </w:pPr>
                                </w:p>
                                <w:p>
                                  <w:pPr>
                                    <w:pStyle w:val="14"/>
                                    <w:ind w:left="352"/>
                                    <w:jc w:val="left"/>
                                    <w:rPr>
                                      <w:sz w:val="21"/>
                                    </w:rPr>
                                  </w:pPr>
                                  <w:r>
                                    <w:rPr>
                                      <w:sz w:val="21"/>
                                    </w:rPr>
                                    <w:t>旱地</w:t>
                                  </w:r>
                                </w:p>
                              </w:tc>
                              <w:tc>
                                <w:tcPr>
                                  <w:tcW w:w="1311" w:type="dxa"/>
                                </w:tcPr>
                                <w:p>
                                  <w:pPr>
                                    <w:pStyle w:val="14"/>
                                    <w:spacing w:before="21"/>
                                    <w:ind w:left="212" w:right="201"/>
                                    <w:rPr>
                                      <w:sz w:val="21"/>
                                    </w:rPr>
                                  </w:pPr>
                                  <w:r>
                                    <w:rPr>
                                      <w:sz w:val="21"/>
                                    </w:rPr>
                                    <w:t>轻度</w:t>
                                  </w:r>
                                </w:p>
                              </w:tc>
                              <w:tc>
                                <w:tcPr>
                                  <w:tcW w:w="1319" w:type="dxa"/>
                                </w:tcPr>
                                <w:p>
                                  <w:pPr>
                                    <w:pStyle w:val="14"/>
                                    <w:spacing w:before="29"/>
                                    <w:ind w:left="234" w:right="220"/>
                                    <w:rPr>
                                      <w:rFonts w:ascii="Calibri" w:hAnsi="Calibri"/>
                                      <w:sz w:val="21"/>
                                    </w:rPr>
                                  </w:pPr>
                                  <w:r>
                                    <w:rPr>
                                      <w:rFonts w:ascii="Calibri" w:hAnsi="Calibri"/>
                                      <w:sz w:val="21"/>
                                    </w:rPr>
                                    <w:t>≤8.0</w:t>
                                  </w:r>
                                </w:p>
                              </w:tc>
                              <w:tc>
                                <w:tcPr>
                                  <w:tcW w:w="1319" w:type="dxa"/>
                                </w:tcPr>
                                <w:p>
                                  <w:pPr>
                                    <w:pStyle w:val="14"/>
                                    <w:spacing w:before="29"/>
                                    <w:ind w:left="232" w:right="220"/>
                                    <w:rPr>
                                      <w:rFonts w:ascii="Calibri" w:hAnsi="Calibri"/>
                                      <w:sz w:val="21"/>
                                    </w:rPr>
                                  </w:pPr>
                                  <w:r>
                                    <w:rPr>
                                      <w:rFonts w:ascii="Calibri" w:hAnsi="Calibri"/>
                                      <w:sz w:val="21"/>
                                    </w:rPr>
                                    <w:t>≤20.0</w:t>
                                  </w:r>
                                </w:p>
                              </w:tc>
                              <w:tc>
                                <w:tcPr>
                                  <w:tcW w:w="1133" w:type="dxa"/>
                                </w:tcPr>
                                <w:p>
                                  <w:pPr>
                                    <w:pStyle w:val="14"/>
                                    <w:spacing w:before="29"/>
                                    <w:ind w:left="143" w:right="131"/>
                                    <w:rPr>
                                      <w:rFonts w:ascii="Calibri" w:hAnsi="Calibri"/>
                                      <w:sz w:val="21"/>
                                    </w:rPr>
                                  </w:pPr>
                                  <w:r>
                                    <w:rPr>
                                      <w:rFonts w:ascii="Calibri" w:hAnsi="Calibri"/>
                                      <w:sz w:val="21"/>
                                    </w:rPr>
                                    <w:t>≤2.0</w:t>
                                  </w:r>
                                </w:p>
                              </w:tc>
                              <w:tc>
                                <w:tcPr>
                                  <w:tcW w:w="1133" w:type="dxa"/>
                                </w:tcPr>
                                <w:p>
                                  <w:pPr>
                                    <w:pStyle w:val="14"/>
                                    <w:spacing w:before="29"/>
                                    <w:ind w:left="381"/>
                                    <w:jc w:val="left"/>
                                    <w:rPr>
                                      <w:rFonts w:ascii="Calibri" w:hAnsi="Calibri"/>
                                      <w:sz w:val="21"/>
                                    </w:rPr>
                                  </w:pPr>
                                  <w:r>
                                    <w:rPr>
                                      <w:rFonts w:ascii="Calibri" w:hAnsi="Calibri"/>
                                      <w:sz w:val="21"/>
                                    </w:rPr>
                                    <w:t>≥1.5</w:t>
                                  </w:r>
                                </w:p>
                              </w:tc>
                              <w:tc>
                                <w:tcPr>
                                  <w:tcW w:w="1208" w:type="dxa"/>
                                </w:tcPr>
                                <w:p>
                                  <w:pPr>
                                    <w:pStyle w:val="14"/>
                                    <w:spacing w:before="29"/>
                                    <w:ind w:left="364"/>
                                    <w:jc w:val="left"/>
                                    <w:rPr>
                                      <w:rFonts w:ascii="Calibri" w:hAnsi="Calibri"/>
                                      <w:sz w:val="21"/>
                                    </w:rPr>
                                  </w:pPr>
                                  <w:r>
                                    <w:rPr>
                                      <w:rFonts w:ascii="Calibri" w:hAnsi="Calibri"/>
                                      <w:sz w:val="21"/>
                                    </w:rP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129" w:type="dxa"/>
                                  <w:vMerge w:val="continue"/>
                                  <w:tcBorders>
                                    <w:top w:val="nil"/>
                                  </w:tcBorders>
                                </w:tcPr>
                                <w:p>
                                  <w:pPr>
                                    <w:rPr>
                                      <w:sz w:val="2"/>
                                      <w:szCs w:val="2"/>
                                    </w:rPr>
                                  </w:pPr>
                                </w:p>
                              </w:tc>
                              <w:tc>
                                <w:tcPr>
                                  <w:tcW w:w="1311" w:type="dxa"/>
                                </w:tcPr>
                                <w:p>
                                  <w:pPr>
                                    <w:pStyle w:val="14"/>
                                    <w:spacing w:before="21"/>
                                    <w:ind w:left="212" w:right="201"/>
                                    <w:rPr>
                                      <w:sz w:val="21"/>
                                    </w:rPr>
                                  </w:pPr>
                                  <w:r>
                                    <w:rPr>
                                      <w:sz w:val="21"/>
                                    </w:rPr>
                                    <w:t>中度</w:t>
                                  </w:r>
                                </w:p>
                              </w:tc>
                              <w:tc>
                                <w:tcPr>
                                  <w:tcW w:w="1319" w:type="dxa"/>
                                </w:tcPr>
                                <w:p>
                                  <w:pPr>
                                    <w:pStyle w:val="14"/>
                                    <w:spacing w:before="28"/>
                                    <w:ind w:left="232" w:right="220"/>
                                    <w:rPr>
                                      <w:rFonts w:ascii="Calibri"/>
                                      <w:sz w:val="21"/>
                                    </w:rPr>
                                  </w:pPr>
                                  <w:r>
                                    <w:rPr>
                                      <w:rFonts w:ascii="Calibri"/>
                                      <w:sz w:val="21"/>
                                    </w:rPr>
                                    <w:t>8.0-16.0</w:t>
                                  </w:r>
                                </w:p>
                              </w:tc>
                              <w:tc>
                                <w:tcPr>
                                  <w:tcW w:w="1319" w:type="dxa"/>
                                </w:tcPr>
                                <w:p>
                                  <w:pPr>
                                    <w:pStyle w:val="14"/>
                                    <w:spacing w:before="28"/>
                                    <w:ind w:left="234" w:right="220"/>
                                    <w:rPr>
                                      <w:rFonts w:ascii="Calibri"/>
                                      <w:sz w:val="21"/>
                                    </w:rPr>
                                  </w:pPr>
                                  <w:r>
                                    <w:rPr>
                                      <w:rFonts w:ascii="Calibri"/>
                                      <w:sz w:val="21"/>
                                    </w:rPr>
                                    <w:t>20.0-40.0</w:t>
                                  </w:r>
                                </w:p>
                              </w:tc>
                              <w:tc>
                                <w:tcPr>
                                  <w:tcW w:w="1133" w:type="dxa"/>
                                </w:tcPr>
                                <w:p>
                                  <w:pPr>
                                    <w:pStyle w:val="14"/>
                                    <w:spacing w:before="28"/>
                                    <w:ind w:left="143" w:right="131"/>
                                    <w:rPr>
                                      <w:rFonts w:ascii="Calibri"/>
                                      <w:sz w:val="21"/>
                                    </w:rPr>
                                  </w:pPr>
                                  <w:r>
                                    <w:rPr>
                                      <w:rFonts w:ascii="Calibri"/>
                                      <w:sz w:val="21"/>
                                    </w:rPr>
                                    <w:t>2.0-5.0</w:t>
                                  </w:r>
                                </w:p>
                              </w:tc>
                              <w:tc>
                                <w:tcPr>
                                  <w:tcW w:w="1133" w:type="dxa"/>
                                </w:tcPr>
                                <w:p>
                                  <w:pPr>
                                    <w:pStyle w:val="14"/>
                                    <w:spacing w:before="28"/>
                                    <w:ind w:right="251"/>
                                    <w:jc w:val="right"/>
                                    <w:rPr>
                                      <w:rFonts w:ascii="Calibri"/>
                                      <w:sz w:val="21"/>
                                    </w:rPr>
                                  </w:pPr>
                                  <w:r>
                                    <w:rPr>
                                      <w:rFonts w:ascii="Calibri"/>
                                      <w:sz w:val="21"/>
                                    </w:rPr>
                                    <w:t>0.5-1.5</w:t>
                                  </w:r>
                                </w:p>
                              </w:tc>
                              <w:tc>
                                <w:tcPr>
                                  <w:tcW w:w="1208" w:type="dxa"/>
                                </w:tcPr>
                                <w:p>
                                  <w:pPr>
                                    <w:pStyle w:val="14"/>
                                    <w:spacing w:before="28"/>
                                    <w:ind w:right="264"/>
                                    <w:jc w:val="right"/>
                                    <w:rPr>
                                      <w:rFonts w:ascii="Calibri"/>
                                      <w:sz w:val="21"/>
                                    </w:rPr>
                                  </w:pPr>
                                  <w:r>
                                    <w:rPr>
                                      <w:rFonts w:ascii="Calibri"/>
                                      <w:w w:val="95"/>
                                      <w:sz w:val="21"/>
                                    </w:rPr>
                                    <w:t>20-60.0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129" w:type="dxa"/>
                                  <w:vMerge w:val="continue"/>
                                  <w:tcBorders>
                                    <w:top w:val="nil"/>
                                  </w:tcBorders>
                                </w:tcPr>
                                <w:p>
                                  <w:pPr>
                                    <w:rPr>
                                      <w:sz w:val="2"/>
                                      <w:szCs w:val="2"/>
                                    </w:rPr>
                                  </w:pPr>
                                </w:p>
                              </w:tc>
                              <w:tc>
                                <w:tcPr>
                                  <w:tcW w:w="1311" w:type="dxa"/>
                                </w:tcPr>
                                <w:p>
                                  <w:pPr>
                                    <w:pStyle w:val="14"/>
                                    <w:spacing w:before="20"/>
                                    <w:ind w:left="212" w:right="201"/>
                                    <w:rPr>
                                      <w:sz w:val="21"/>
                                    </w:rPr>
                                  </w:pPr>
                                  <w:r>
                                    <w:rPr>
                                      <w:sz w:val="21"/>
                                    </w:rPr>
                                    <w:t>重度</w:t>
                                  </w:r>
                                </w:p>
                              </w:tc>
                              <w:tc>
                                <w:tcPr>
                                  <w:tcW w:w="1319" w:type="dxa"/>
                                </w:tcPr>
                                <w:p>
                                  <w:pPr>
                                    <w:pStyle w:val="14"/>
                                    <w:spacing w:before="23"/>
                                    <w:ind w:left="232" w:right="220"/>
                                    <w:rPr>
                                      <w:rFonts w:ascii="Calibri" w:eastAsia="Calibri"/>
                                      <w:sz w:val="21"/>
                                    </w:rPr>
                                  </w:pPr>
                                  <w:r>
                                    <w:rPr>
                                      <w:sz w:val="21"/>
                                    </w:rPr>
                                    <w:t>＞</w:t>
                                  </w:r>
                                  <w:r>
                                    <w:rPr>
                                      <w:rFonts w:ascii="Calibri" w:eastAsia="Calibri"/>
                                      <w:sz w:val="21"/>
                                    </w:rPr>
                                    <w:t>16.0</w:t>
                                  </w:r>
                                </w:p>
                              </w:tc>
                              <w:tc>
                                <w:tcPr>
                                  <w:tcW w:w="1319" w:type="dxa"/>
                                </w:tcPr>
                                <w:p>
                                  <w:pPr>
                                    <w:pStyle w:val="14"/>
                                    <w:spacing w:before="23"/>
                                    <w:ind w:left="232" w:right="220"/>
                                    <w:rPr>
                                      <w:rFonts w:ascii="Calibri" w:eastAsia="Calibri"/>
                                      <w:sz w:val="21"/>
                                    </w:rPr>
                                  </w:pPr>
                                  <w:r>
                                    <w:rPr>
                                      <w:sz w:val="21"/>
                                    </w:rPr>
                                    <w:t>＞</w:t>
                                  </w:r>
                                  <w:r>
                                    <w:rPr>
                                      <w:rFonts w:ascii="Calibri" w:eastAsia="Calibri"/>
                                      <w:sz w:val="21"/>
                                    </w:rPr>
                                    <w:t>40.0</w:t>
                                  </w:r>
                                </w:p>
                              </w:tc>
                              <w:tc>
                                <w:tcPr>
                                  <w:tcW w:w="1133" w:type="dxa"/>
                                </w:tcPr>
                                <w:p>
                                  <w:pPr>
                                    <w:pStyle w:val="14"/>
                                    <w:spacing w:before="23"/>
                                    <w:ind w:left="143" w:right="131"/>
                                    <w:rPr>
                                      <w:rFonts w:ascii="Calibri" w:eastAsia="Calibri"/>
                                      <w:sz w:val="21"/>
                                    </w:rPr>
                                  </w:pPr>
                                  <w:r>
                                    <w:rPr>
                                      <w:sz w:val="21"/>
                                    </w:rPr>
                                    <w:t>＞</w:t>
                                  </w:r>
                                  <w:r>
                                    <w:rPr>
                                      <w:rFonts w:ascii="Calibri" w:eastAsia="Calibri"/>
                                      <w:sz w:val="21"/>
                                    </w:rPr>
                                    <w:t>5.0</w:t>
                                  </w:r>
                                </w:p>
                              </w:tc>
                              <w:tc>
                                <w:tcPr>
                                  <w:tcW w:w="1133" w:type="dxa"/>
                                </w:tcPr>
                                <w:p>
                                  <w:pPr>
                                    <w:pStyle w:val="14"/>
                                    <w:spacing w:before="23"/>
                                    <w:ind w:right="314"/>
                                    <w:jc w:val="right"/>
                                    <w:rPr>
                                      <w:rFonts w:ascii="Calibri" w:eastAsia="Calibri"/>
                                      <w:sz w:val="21"/>
                                    </w:rPr>
                                  </w:pPr>
                                  <w:r>
                                    <w:rPr>
                                      <w:w w:val="95"/>
                                      <w:sz w:val="21"/>
                                    </w:rPr>
                                    <w:t>＜</w:t>
                                  </w:r>
                                  <w:r>
                                    <w:rPr>
                                      <w:rFonts w:ascii="Calibri" w:eastAsia="Calibri"/>
                                      <w:w w:val="95"/>
                                      <w:sz w:val="21"/>
                                    </w:rPr>
                                    <w:t>0.5</w:t>
                                  </w:r>
                                </w:p>
                              </w:tc>
                              <w:tc>
                                <w:tcPr>
                                  <w:tcW w:w="1208" w:type="dxa"/>
                                </w:tcPr>
                                <w:p>
                                  <w:pPr>
                                    <w:pStyle w:val="14"/>
                                    <w:spacing w:before="23"/>
                                    <w:ind w:right="298"/>
                                    <w:jc w:val="right"/>
                                    <w:rPr>
                                      <w:rFonts w:ascii="Calibri" w:eastAsia="Calibri"/>
                                      <w:sz w:val="21"/>
                                    </w:rPr>
                                  </w:pPr>
                                  <w:r>
                                    <w:rPr>
                                      <w:w w:val="95"/>
                                      <w:sz w:val="21"/>
                                    </w:rPr>
                                    <w:t>＞</w:t>
                                  </w:r>
                                  <w:r>
                                    <w:rPr>
                                      <w:rFonts w:ascii="Calibri" w:eastAsia="Calibri"/>
                                      <w:w w:val="95"/>
                                      <w:sz w:val="21"/>
                                    </w:rP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129" w:type="dxa"/>
                                  <w:vMerge w:val="restart"/>
                                </w:tcPr>
                                <w:p>
                                  <w:pPr>
                                    <w:pStyle w:val="14"/>
                                    <w:jc w:val="left"/>
                                    <w:rPr>
                                      <w:sz w:val="15"/>
                                    </w:rPr>
                                  </w:pPr>
                                </w:p>
                                <w:p>
                                  <w:pPr>
                                    <w:pStyle w:val="14"/>
                                    <w:spacing w:line="278" w:lineRule="auto"/>
                                    <w:ind w:left="143" w:right="130"/>
                                    <w:jc w:val="left"/>
                                    <w:rPr>
                                      <w:sz w:val="21"/>
                                    </w:rPr>
                                  </w:pPr>
                                  <w:r>
                                    <w:rPr>
                                      <w:sz w:val="21"/>
                                    </w:rPr>
                                    <w:t>林地、草地、园地</w:t>
                                  </w:r>
                                </w:p>
                              </w:tc>
                              <w:tc>
                                <w:tcPr>
                                  <w:tcW w:w="1311" w:type="dxa"/>
                                </w:tcPr>
                                <w:p>
                                  <w:pPr>
                                    <w:pStyle w:val="14"/>
                                    <w:spacing w:before="22"/>
                                    <w:ind w:left="212" w:right="201"/>
                                    <w:rPr>
                                      <w:sz w:val="21"/>
                                    </w:rPr>
                                  </w:pPr>
                                  <w:r>
                                    <w:rPr>
                                      <w:sz w:val="21"/>
                                    </w:rPr>
                                    <w:t>轻度</w:t>
                                  </w:r>
                                </w:p>
                              </w:tc>
                              <w:tc>
                                <w:tcPr>
                                  <w:tcW w:w="1319" w:type="dxa"/>
                                </w:tcPr>
                                <w:p>
                                  <w:pPr>
                                    <w:pStyle w:val="14"/>
                                    <w:spacing w:before="27"/>
                                    <w:ind w:left="234" w:right="220"/>
                                    <w:rPr>
                                      <w:rFonts w:ascii="Calibri" w:hAnsi="Calibri"/>
                                      <w:sz w:val="21"/>
                                    </w:rPr>
                                  </w:pPr>
                                  <w:r>
                                    <w:rPr>
                                      <w:rFonts w:ascii="Calibri" w:hAnsi="Calibri"/>
                                      <w:sz w:val="21"/>
                                    </w:rPr>
                                    <w:t>≤8.0</w:t>
                                  </w:r>
                                </w:p>
                              </w:tc>
                              <w:tc>
                                <w:tcPr>
                                  <w:tcW w:w="1319" w:type="dxa"/>
                                </w:tcPr>
                                <w:p>
                                  <w:pPr>
                                    <w:pStyle w:val="14"/>
                                    <w:spacing w:before="27"/>
                                    <w:ind w:left="232" w:right="220"/>
                                    <w:rPr>
                                      <w:rFonts w:ascii="Calibri" w:hAnsi="Calibri"/>
                                      <w:sz w:val="21"/>
                                    </w:rPr>
                                  </w:pPr>
                                  <w:r>
                                    <w:rPr>
                                      <w:rFonts w:ascii="Calibri" w:hAnsi="Calibri"/>
                                      <w:sz w:val="21"/>
                                    </w:rPr>
                                    <w:t>≤20.0</w:t>
                                  </w:r>
                                </w:p>
                              </w:tc>
                              <w:tc>
                                <w:tcPr>
                                  <w:tcW w:w="1133" w:type="dxa"/>
                                </w:tcPr>
                                <w:p>
                                  <w:pPr>
                                    <w:pStyle w:val="14"/>
                                    <w:spacing w:before="27"/>
                                    <w:ind w:left="143" w:right="131"/>
                                    <w:rPr>
                                      <w:rFonts w:ascii="Calibri" w:hAnsi="Calibri"/>
                                      <w:sz w:val="21"/>
                                    </w:rPr>
                                  </w:pPr>
                                  <w:r>
                                    <w:rPr>
                                      <w:rFonts w:ascii="Calibri" w:hAnsi="Calibri"/>
                                      <w:sz w:val="21"/>
                                    </w:rPr>
                                    <w:t>≤2.0</w:t>
                                  </w:r>
                                </w:p>
                              </w:tc>
                              <w:tc>
                                <w:tcPr>
                                  <w:tcW w:w="1133" w:type="dxa"/>
                                </w:tcPr>
                                <w:p>
                                  <w:pPr>
                                    <w:pStyle w:val="14"/>
                                    <w:spacing w:before="27"/>
                                    <w:ind w:left="381"/>
                                    <w:jc w:val="left"/>
                                    <w:rPr>
                                      <w:rFonts w:ascii="Calibri" w:hAnsi="Calibri"/>
                                      <w:sz w:val="21"/>
                                    </w:rPr>
                                  </w:pPr>
                                  <w:r>
                                    <w:rPr>
                                      <w:rFonts w:ascii="Calibri" w:hAnsi="Calibri"/>
                                      <w:sz w:val="21"/>
                                    </w:rPr>
                                    <w:t>≥1.0</w:t>
                                  </w:r>
                                </w:p>
                              </w:tc>
                              <w:tc>
                                <w:tcPr>
                                  <w:tcW w:w="1208" w:type="dxa"/>
                                </w:tcPr>
                                <w:p>
                                  <w:pPr>
                                    <w:pStyle w:val="14"/>
                                    <w:spacing w:before="27"/>
                                    <w:ind w:left="364"/>
                                    <w:jc w:val="left"/>
                                    <w:rPr>
                                      <w:rFonts w:ascii="Calibri" w:hAnsi="Calibri"/>
                                      <w:sz w:val="21"/>
                                    </w:rPr>
                                  </w:pPr>
                                  <w:r>
                                    <w:rPr>
                                      <w:rFonts w:ascii="Calibri" w:hAnsi="Calibri"/>
                                      <w:sz w:val="21"/>
                                    </w:rP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129" w:type="dxa"/>
                                  <w:vMerge w:val="continue"/>
                                  <w:tcBorders>
                                    <w:top w:val="nil"/>
                                  </w:tcBorders>
                                </w:tcPr>
                                <w:p>
                                  <w:pPr>
                                    <w:rPr>
                                      <w:sz w:val="2"/>
                                      <w:szCs w:val="2"/>
                                    </w:rPr>
                                  </w:pPr>
                                </w:p>
                              </w:tc>
                              <w:tc>
                                <w:tcPr>
                                  <w:tcW w:w="1311" w:type="dxa"/>
                                </w:tcPr>
                                <w:p>
                                  <w:pPr>
                                    <w:pStyle w:val="14"/>
                                    <w:spacing w:before="21"/>
                                    <w:ind w:left="212" w:right="201"/>
                                    <w:rPr>
                                      <w:sz w:val="21"/>
                                    </w:rPr>
                                  </w:pPr>
                                  <w:r>
                                    <w:rPr>
                                      <w:sz w:val="21"/>
                                    </w:rPr>
                                    <w:t>中度</w:t>
                                  </w:r>
                                </w:p>
                              </w:tc>
                              <w:tc>
                                <w:tcPr>
                                  <w:tcW w:w="1319" w:type="dxa"/>
                                </w:tcPr>
                                <w:p>
                                  <w:pPr>
                                    <w:pStyle w:val="14"/>
                                    <w:spacing w:before="29"/>
                                    <w:ind w:left="232" w:right="220"/>
                                    <w:rPr>
                                      <w:rFonts w:ascii="Calibri"/>
                                      <w:sz w:val="21"/>
                                    </w:rPr>
                                  </w:pPr>
                                  <w:r>
                                    <w:rPr>
                                      <w:rFonts w:ascii="Calibri"/>
                                      <w:sz w:val="21"/>
                                    </w:rPr>
                                    <w:t>8.0-20.0</w:t>
                                  </w:r>
                                </w:p>
                              </w:tc>
                              <w:tc>
                                <w:tcPr>
                                  <w:tcW w:w="1319" w:type="dxa"/>
                                </w:tcPr>
                                <w:p>
                                  <w:pPr>
                                    <w:pStyle w:val="14"/>
                                    <w:spacing w:before="29"/>
                                    <w:ind w:left="234" w:right="220"/>
                                    <w:rPr>
                                      <w:rFonts w:ascii="Calibri"/>
                                      <w:sz w:val="21"/>
                                    </w:rPr>
                                  </w:pPr>
                                  <w:r>
                                    <w:rPr>
                                      <w:rFonts w:ascii="Calibri"/>
                                      <w:sz w:val="21"/>
                                    </w:rPr>
                                    <w:t>20.0-50.0</w:t>
                                  </w:r>
                                </w:p>
                              </w:tc>
                              <w:tc>
                                <w:tcPr>
                                  <w:tcW w:w="1133" w:type="dxa"/>
                                </w:tcPr>
                                <w:p>
                                  <w:pPr>
                                    <w:pStyle w:val="14"/>
                                    <w:spacing w:before="29"/>
                                    <w:ind w:left="143" w:right="131"/>
                                    <w:rPr>
                                      <w:rFonts w:ascii="Calibri"/>
                                      <w:sz w:val="21"/>
                                    </w:rPr>
                                  </w:pPr>
                                  <w:r>
                                    <w:rPr>
                                      <w:rFonts w:ascii="Calibri"/>
                                      <w:sz w:val="21"/>
                                    </w:rPr>
                                    <w:t>2.0-6.0</w:t>
                                  </w:r>
                                </w:p>
                              </w:tc>
                              <w:tc>
                                <w:tcPr>
                                  <w:tcW w:w="1133" w:type="dxa"/>
                                </w:tcPr>
                                <w:p>
                                  <w:pPr>
                                    <w:pStyle w:val="14"/>
                                    <w:spacing w:before="29"/>
                                    <w:ind w:right="251"/>
                                    <w:jc w:val="right"/>
                                    <w:rPr>
                                      <w:rFonts w:ascii="Calibri"/>
                                      <w:sz w:val="21"/>
                                    </w:rPr>
                                  </w:pPr>
                                  <w:r>
                                    <w:rPr>
                                      <w:rFonts w:ascii="Calibri"/>
                                      <w:sz w:val="21"/>
                                    </w:rPr>
                                    <w:t>0.3-1.0</w:t>
                                  </w:r>
                                </w:p>
                              </w:tc>
                              <w:tc>
                                <w:tcPr>
                                  <w:tcW w:w="1208" w:type="dxa"/>
                                </w:tcPr>
                                <w:p>
                                  <w:pPr>
                                    <w:pStyle w:val="14"/>
                                    <w:spacing w:before="29"/>
                                    <w:ind w:right="264"/>
                                    <w:jc w:val="right"/>
                                    <w:rPr>
                                      <w:rFonts w:ascii="Calibri"/>
                                      <w:sz w:val="21"/>
                                    </w:rPr>
                                  </w:pPr>
                                  <w:r>
                                    <w:rPr>
                                      <w:rFonts w:ascii="Calibri"/>
                                      <w:w w:val="95"/>
                                      <w:sz w:val="21"/>
                                    </w:rPr>
                                    <w:t>20-60.0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129" w:type="dxa"/>
                                  <w:vMerge w:val="continue"/>
                                  <w:tcBorders>
                                    <w:top w:val="nil"/>
                                  </w:tcBorders>
                                </w:tcPr>
                                <w:p>
                                  <w:pPr>
                                    <w:rPr>
                                      <w:sz w:val="2"/>
                                      <w:szCs w:val="2"/>
                                    </w:rPr>
                                  </w:pPr>
                                </w:p>
                              </w:tc>
                              <w:tc>
                                <w:tcPr>
                                  <w:tcW w:w="1311" w:type="dxa"/>
                                </w:tcPr>
                                <w:p>
                                  <w:pPr>
                                    <w:pStyle w:val="14"/>
                                    <w:spacing w:before="21"/>
                                    <w:ind w:left="212" w:right="201"/>
                                    <w:rPr>
                                      <w:sz w:val="21"/>
                                    </w:rPr>
                                  </w:pPr>
                                  <w:r>
                                    <w:rPr>
                                      <w:sz w:val="21"/>
                                    </w:rPr>
                                    <w:t>重度</w:t>
                                  </w:r>
                                </w:p>
                              </w:tc>
                              <w:tc>
                                <w:tcPr>
                                  <w:tcW w:w="1319" w:type="dxa"/>
                                </w:tcPr>
                                <w:p>
                                  <w:pPr>
                                    <w:pStyle w:val="14"/>
                                    <w:spacing w:before="21"/>
                                    <w:ind w:left="232" w:right="220"/>
                                    <w:rPr>
                                      <w:rFonts w:ascii="Calibri" w:eastAsia="Calibri"/>
                                      <w:sz w:val="21"/>
                                    </w:rPr>
                                  </w:pPr>
                                  <w:r>
                                    <w:rPr>
                                      <w:sz w:val="21"/>
                                    </w:rPr>
                                    <w:t>＞</w:t>
                                  </w:r>
                                  <w:r>
                                    <w:rPr>
                                      <w:rFonts w:ascii="Calibri" w:eastAsia="Calibri"/>
                                      <w:sz w:val="21"/>
                                    </w:rPr>
                                    <w:t>20.0</w:t>
                                  </w:r>
                                </w:p>
                              </w:tc>
                              <w:tc>
                                <w:tcPr>
                                  <w:tcW w:w="1319" w:type="dxa"/>
                                </w:tcPr>
                                <w:p>
                                  <w:pPr>
                                    <w:pStyle w:val="14"/>
                                    <w:spacing w:before="21"/>
                                    <w:ind w:left="232" w:right="220"/>
                                    <w:rPr>
                                      <w:rFonts w:ascii="Calibri" w:eastAsia="Calibri"/>
                                      <w:sz w:val="21"/>
                                    </w:rPr>
                                  </w:pPr>
                                  <w:r>
                                    <w:rPr>
                                      <w:sz w:val="21"/>
                                    </w:rPr>
                                    <w:t>＞</w:t>
                                  </w:r>
                                  <w:r>
                                    <w:rPr>
                                      <w:rFonts w:ascii="Calibri" w:eastAsia="Calibri"/>
                                      <w:sz w:val="21"/>
                                    </w:rPr>
                                    <w:t>50.0</w:t>
                                  </w:r>
                                </w:p>
                              </w:tc>
                              <w:tc>
                                <w:tcPr>
                                  <w:tcW w:w="1133" w:type="dxa"/>
                                </w:tcPr>
                                <w:p>
                                  <w:pPr>
                                    <w:pStyle w:val="14"/>
                                    <w:spacing w:before="21"/>
                                    <w:ind w:left="143" w:right="131"/>
                                    <w:rPr>
                                      <w:rFonts w:ascii="Calibri" w:eastAsia="Calibri"/>
                                      <w:sz w:val="21"/>
                                    </w:rPr>
                                  </w:pPr>
                                  <w:r>
                                    <w:rPr>
                                      <w:sz w:val="21"/>
                                    </w:rPr>
                                    <w:t>＞</w:t>
                                  </w:r>
                                  <w:r>
                                    <w:rPr>
                                      <w:rFonts w:ascii="Calibri" w:eastAsia="Calibri"/>
                                      <w:sz w:val="21"/>
                                    </w:rPr>
                                    <w:t>6.0</w:t>
                                  </w:r>
                                </w:p>
                              </w:tc>
                              <w:tc>
                                <w:tcPr>
                                  <w:tcW w:w="1133" w:type="dxa"/>
                                </w:tcPr>
                                <w:p>
                                  <w:pPr>
                                    <w:pStyle w:val="14"/>
                                    <w:spacing w:before="21"/>
                                    <w:ind w:right="314"/>
                                    <w:jc w:val="right"/>
                                    <w:rPr>
                                      <w:rFonts w:ascii="Calibri" w:eastAsia="Calibri"/>
                                      <w:sz w:val="21"/>
                                    </w:rPr>
                                  </w:pPr>
                                  <w:r>
                                    <w:rPr>
                                      <w:w w:val="95"/>
                                      <w:sz w:val="21"/>
                                    </w:rPr>
                                    <w:t>＜</w:t>
                                  </w:r>
                                  <w:r>
                                    <w:rPr>
                                      <w:rFonts w:ascii="Calibri" w:eastAsia="Calibri"/>
                                      <w:w w:val="95"/>
                                      <w:sz w:val="21"/>
                                    </w:rPr>
                                    <w:t>0.3</w:t>
                                  </w:r>
                                </w:p>
                              </w:tc>
                              <w:tc>
                                <w:tcPr>
                                  <w:tcW w:w="1208" w:type="dxa"/>
                                </w:tcPr>
                                <w:p>
                                  <w:pPr>
                                    <w:pStyle w:val="14"/>
                                    <w:spacing w:before="21"/>
                                    <w:ind w:right="298"/>
                                    <w:jc w:val="right"/>
                                    <w:rPr>
                                      <w:rFonts w:ascii="Calibri" w:eastAsia="Calibri"/>
                                      <w:sz w:val="21"/>
                                    </w:rPr>
                                  </w:pPr>
                                  <w:r>
                                    <w:rPr>
                                      <w:w w:val="95"/>
                                      <w:sz w:val="21"/>
                                    </w:rPr>
                                    <w:t>＞</w:t>
                                  </w:r>
                                  <w:r>
                                    <w:rPr>
                                      <w:rFonts w:ascii="Calibri" w:eastAsia="Calibri"/>
                                      <w:w w:val="95"/>
                                      <w:sz w:val="21"/>
                                    </w:rPr>
                                    <w:t>60.0</w:t>
                                  </w:r>
                                </w:p>
                              </w:tc>
                            </w:tr>
                          </w:tbl>
                          <w:p>
                            <w:pPr>
                              <w:pStyle w:val="6"/>
                            </w:pPr>
                          </w:p>
                        </w:txbxContent>
                      </wps:txbx>
                      <wps:bodyPr lIns="0" tIns="0" rIns="0" bIns="0" upright="1"/>
                    </wps:wsp>
                  </a:graphicData>
                </a:graphic>
              </wp:anchor>
            </w:drawing>
          </mc:Choice>
          <mc:Fallback>
            <w:pict>
              <v:shape id="文本框 113" o:spid="_x0000_s1026" o:spt="202" type="#_x0000_t202" style="position:absolute;left:0pt;margin-left:87.2pt;margin-top:60.45pt;height:244.5pt;width:428.7pt;mso-position-horizontal-relative:page;z-index:251738112;mso-width-relative:page;mso-height-relative:page;" filled="f" stroked="f" coordsize="21600,21600" o:gfxdata="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oEG/W2QAAAAwBAAAPAAAA&#10;AAAAAAEAIAAAACIAAABkcnMvZG93bnJldi54bWxQSwECFAAUAAAACACHTuJAGykPwqIBAAApAwAA&#10;DgAAAAAAAAABACAAAAAoAQAAZHJzL2Uyb0RvYy54bWxQSwUGAAAAAAYABgBZAQAAPAUAAAAA&#10;">
                <v:fill on="f" focussize="0,0"/>
                <v:stroke on="f"/>
                <v:imagedata o:title=""/>
                <o:lock v:ext="edit" aspectratio="f"/>
                <v:textbox inset="0mm,0mm,0mm,0mm">
                  <w:txbxContent>
                    <w:tbl>
                      <w:tblPr>
                        <w:tblStyle w:val="10"/>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29"/>
                        <w:gridCol w:w="1311"/>
                        <w:gridCol w:w="1319"/>
                        <w:gridCol w:w="1319"/>
                        <w:gridCol w:w="1133"/>
                        <w:gridCol w:w="1133"/>
                        <w:gridCol w:w="120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trPr>
                        <w:tc>
                          <w:tcPr>
                            <w:tcW w:w="1129" w:type="dxa"/>
                          </w:tcPr>
                          <w:p>
                            <w:pPr>
                              <w:pStyle w:val="14"/>
                              <w:spacing w:before="12"/>
                              <w:jc w:val="left"/>
                              <w:rPr>
                                <w:sz w:val="25"/>
                              </w:rPr>
                            </w:pPr>
                          </w:p>
                          <w:p>
                            <w:pPr>
                              <w:pStyle w:val="14"/>
                              <w:ind w:left="352"/>
                              <w:jc w:val="left"/>
                              <w:rPr>
                                <w:sz w:val="21"/>
                              </w:rPr>
                            </w:pPr>
                            <w:r>
                              <w:rPr>
                                <w:sz w:val="21"/>
                              </w:rPr>
                              <w:t>地类</w:t>
                            </w:r>
                          </w:p>
                        </w:tc>
                        <w:tc>
                          <w:tcPr>
                            <w:tcW w:w="1311" w:type="dxa"/>
                          </w:tcPr>
                          <w:p>
                            <w:pPr>
                              <w:pStyle w:val="14"/>
                              <w:spacing w:before="12"/>
                              <w:jc w:val="left"/>
                              <w:rPr>
                                <w:sz w:val="25"/>
                              </w:rPr>
                            </w:pPr>
                          </w:p>
                          <w:p>
                            <w:pPr>
                              <w:pStyle w:val="14"/>
                              <w:ind w:left="212" w:right="203"/>
                              <w:rPr>
                                <w:sz w:val="21"/>
                              </w:rPr>
                            </w:pPr>
                            <w:r>
                              <w:rPr>
                                <w:sz w:val="21"/>
                              </w:rPr>
                              <w:t>评价等级</w:t>
                            </w:r>
                          </w:p>
                        </w:tc>
                        <w:tc>
                          <w:tcPr>
                            <w:tcW w:w="1319" w:type="dxa"/>
                          </w:tcPr>
                          <w:p>
                            <w:pPr>
                              <w:pStyle w:val="14"/>
                              <w:spacing w:before="177"/>
                              <w:ind w:left="238"/>
                              <w:jc w:val="left"/>
                              <w:rPr>
                                <w:sz w:val="21"/>
                              </w:rPr>
                            </w:pPr>
                            <w:r>
                              <w:rPr>
                                <w:sz w:val="21"/>
                              </w:rPr>
                              <w:t>水平变形</w:t>
                            </w:r>
                          </w:p>
                          <w:p>
                            <w:pPr>
                              <w:pStyle w:val="14"/>
                              <w:spacing w:before="50"/>
                              <w:ind w:left="305"/>
                              <w:jc w:val="left"/>
                              <w:rPr>
                                <w:rFonts w:ascii="Calibri"/>
                                <w:sz w:val="21"/>
                              </w:rPr>
                            </w:pPr>
                            <w:r>
                              <w:rPr>
                                <w:rFonts w:ascii="Calibri"/>
                                <w:sz w:val="21"/>
                              </w:rPr>
                              <w:t>(mm/m)</w:t>
                            </w:r>
                          </w:p>
                        </w:tc>
                        <w:tc>
                          <w:tcPr>
                            <w:tcW w:w="1319" w:type="dxa"/>
                          </w:tcPr>
                          <w:p>
                            <w:pPr>
                              <w:pStyle w:val="14"/>
                              <w:spacing w:before="177"/>
                              <w:ind w:left="239"/>
                              <w:jc w:val="left"/>
                              <w:rPr>
                                <w:sz w:val="21"/>
                              </w:rPr>
                            </w:pPr>
                            <w:r>
                              <w:rPr>
                                <w:sz w:val="21"/>
                              </w:rPr>
                              <w:t>附加倾斜</w:t>
                            </w:r>
                          </w:p>
                          <w:p>
                            <w:pPr>
                              <w:pStyle w:val="14"/>
                              <w:spacing w:before="50"/>
                              <w:ind w:left="303"/>
                              <w:jc w:val="left"/>
                              <w:rPr>
                                <w:rFonts w:ascii="Calibri"/>
                                <w:sz w:val="21"/>
                              </w:rPr>
                            </w:pPr>
                            <w:r>
                              <w:rPr>
                                <w:rFonts w:ascii="Calibri"/>
                                <w:sz w:val="21"/>
                              </w:rPr>
                              <w:t>(mm/m)</w:t>
                            </w:r>
                          </w:p>
                        </w:tc>
                        <w:tc>
                          <w:tcPr>
                            <w:tcW w:w="1133" w:type="dxa"/>
                          </w:tcPr>
                          <w:p>
                            <w:pPr>
                              <w:pStyle w:val="14"/>
                              <w:spacing w:before="177"/>
                              <w:ind w:left="355"/>
                              <w:jc w:val="left"/>
                              <w:rPr>
                                <w:sz w:val="21"/>
                              </w:rPr>
                            </w:pPr>
                            <w:r>
                              <w:rPr>
                                <w:sz w:val="21"/>
                              </w:rPr>
                              <w:t>下沉</w:t>
                            </w:r>
                          </w:p>
                          <w:p>
                            <w:pPr>
                              <w:pStyle w:val="14"/>
                              <w:spacing w:before="43"/>
                              <w:ind w:left="273"/>
                              <w:jc w:val="left"/>
                              <w:rPr>
                                <w:sz w:val="21"/>
                              </w:rPr>
                            </w:pPr>
                            <w:r>
                              <w:rPr>
                                <w:sz w:val="21"/>
                              </w:rPr>
                              <w:t>（</w:t>
                            </w:r>
                            <w:r>
                              <w:rPr>
                                <w:rFonts w:ascii="Calibri" w:eastAsia="Calibri"/>
                                <w:sz w:val="21"/>
                              </w:rPr>
                              <w:t>m</w:t>
                            </w:r>
                            <w:r>
                              <w:rPr>
                                <w:sz w:val="21"/>
                              </w:rPr>
                              <w:t>）</w:t>
                            </w:r>
                          </w:p>
                        </w:tc>
                        <w:tc>
                          <w:tcPr>
                            <w:tcW w:w="1133" w:type="dxa"/>
                          </w:tcPr>
                          <w:p>
                            <w:pPr>
                              <w:pStyle w:val="14"/>
                              <w:spacing w:before="21" w:line="278" w:lineRule="auto"/>
                              <w:ind w:left="146" w:right="131"/>
                              <w:rPr>
                                <w:sz w:val="21"/>
                              </w:rPr>
                            </w:pPr>
                            <w:r>
                              <w:rPr>
                                <w:sz w:val="21"/>
                              </w:rPr>
                              <w:t>沉陷后潜水位埋深</w:t>
                            </w:r>
                          </w:p>
                          <w:p>
                            <w:pPr>
                              <w:pStyle w:val="14"/>
                              <w:spacing w:line="269" w:lineRule="exact"/>
                              <w:ind w:left="145" w:right="131"/>
                              <w:rPr>
                                <w:sz w:val="21"/>
                              </w:rPr>
                            </w:pPr>
                            <w:r>
                              <w:rPr>
                                <w:sz w:val="21"/>
                              </w:rPr>
                              <w:t>（</w:t>
                            </w:r>
                            <w:r>
                              <w:rPr>
                                <w:rFonts w:ascii="Calibri" w:eastAsia="Calibri"/>
                                <w:sz w:val="21"/>
                              </w:rPr>
                              <w:t>m</w:t>
                            </w:r>
                            <w:r>
                              <w:rPr>
                                <w:sz w:val="21"/>
                              </w:rPr>
                              <w:t>）</w:t>
                            </w:r>
                          </w:p>
                        </w:tc>
                        <w:tc>
                          <w:tcPr>
                            <w:tcW w:w="1208" w:type="dxa"/>
                          </w:tcPr>
                          <w:p>
                            <w:pPr>
                              <w:pStyle w:val="14"/>
                              <w:spacing w:before="21" w:line="278" w:lineRule="auto"/>
                              <w:ind w:left="393" w:right="379"/>
                              <w:rPr>
                                <w:sz w:val="21"/>
                              </w:rPr>
                            </w:pPr>
                            <w:r>
                              <w:rPr>
                                <w:spacing w:val="-8"/>
                                <w:sz w:val="21"/>
                              </w:rPr>
                              <w:t>产力</w:t>
                            </w:r>
                            <w:r>
                              <w:rPr>
                                <w:spacing w:val="-9"/>
                                <w:w w:val="95"/>
                                <w:sz w:val="21"/>
                              </w:rPr>
                              <w:t>降低</w:t>
                            </w:r>
                          </w:p>
                          <w:p>
                            <w:pPr>
                              <w:pStyle w:val="14"/>
                              <w:spacing w:before="7"/>
                              <w:ind w:left="393" w:right="379"/>
                              <w:rPr>
                                <w:rFonts w:ascii="Calibri"/>
                                <w:sz w:val="21"/>
                              </w:rPr>
                            </w:pPr>
                            <w:r>
                              <w:rPr>
                                <w:rFonts w:ascii="Calibri"/>
                                <w:sz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129" w:type="dxa"/>
                            <w:vMerge w:val="restart"/>
                          </w:tcPr>
                          <w:p>
                            <w:pPr>
                              <w:pStyle w:val="14"/>
                              <w:spacing w:before="3"/>
                              <w:jc w:val="left"/>
                              <w:rPr>
                                <w:sz w:val="27"/>
                              </w:rPr>
                            </w:pPr>
                          </w:p>
                          <w:p>
                            <w:pPr>
                              <w:pStyle w:val="14"/>
                              <w:ind w:left="352"/>
                              <w:jc w:val="left"/>
                              <w:rPr>
                                <w:sz w:val="21"/>
                              </w:rPr>
                            </w:pPr>
                            <w:r>
                              <w:rPr>
                                <w:sz w:val="21"/>
                              </w:rPr>
                              <w:t>水田</w:t>
                            </w:r>
                          </w:p>
                        </w:tc>
                        <w:tc>
                          <w:tcPr>
                            <w:tcW w:w="1311" w:type="dxa"/>
                          </w:tcPr>
                          <w:p>
                            <w:pPr>
                              <w:pStyle w:val="14"/>
                              <w:spacing w:before="20"/>
                              <w:ind w:left="212" w:right="201"/>
                              <w:rPr>
                                <w:sz w:val="21"/>
                              </w:rPr>
                            </w:pPr>
                            <w:r>
                              <w:rPr>
                                <w:sz w:val="21"/>
                              </w:rPr>
                              <w:t>轻度</w:t>
                            </w:r>
                          </w:p>
                        </w:tc>
                        <w:tc>
                          <w:tcPr>
                            <w:tcW w:w="1319" w:type="dxa"/>
                          </w:tcPr>
                          <w:p>
                            <w:pPr>
                              <w:pStyle w:val="14"/>
                              <w:spacing w:before="28"/>
                              <w:ind w:left="234" w:right="220"/>
                              <w:rPr>
                                <w:rFonts w:ascii="Calibri" w:hAnsi="Calibri"/>
                                <w:sz w:val="21"/>
                              </w:rPr>
                            </w:pPr>
                            <w:r>
                              <w:rPr>
                                <w:rFonts w:ascii="Calibri" w:hAnsi="Calibri"/>
                                <w:sz w:val="21"/>
                              </w:rPr>
                              <w:t>≤3.0</w:t>
                            </w:r>
                          </w:p>
                        </w:tc>
                        <w:tc>
                          <w:tcPr>
                            <w:tcW w:w="1319" w:type="dxa"/>
                          </w:tcPr>
                          <w:p>
                            <w:pPr>
                              <w:pStyle w:val="14"/>
                              <w:spacing w:before="28"/>
                              <w:ind w:left="232" w:right="220"/>
                              <w:rPr>
                                <w:rFonts w:ascii="Calibri" w:hAnsi="Calibri"/>
                                <w:sz w:val="21"/>
                              </w:rPr>
                            </w:pPr>
                            <w:r>
                              <w:rPr>
                                <w:rFonts w:ascii="Calibri" w:hAnsi="Calibri"/>
                                <w:sz w:val="21"/>
                              </w:rPr>
                              <w:t>≤4.0</w:t>
                            </w:r>
                          </w:p>
                        </w:tc>
                        <w:tc>
                          <w:tcPr>
                            <w:tcW w:w="1133" w:type="dxa"/>
                          </w:tcPr>
                          <w:p>
                            <w:pPr>
                              <w:pStyle w:val="14"/>
                              <w:spacing w:before="28"/>
                              <w:ind w:left="143" w:right="131"/>
                              <w:rPr>
                                <w:rFonts w:ascii="Calibri" w:hAnsi="Calibri"/>
                                <w:sz w:val="21"/>
                              </w:rPr>
                            </w:pPr>
                            <w:r>
                              <w:rPr>
                                <w:rFonts w:ascii="Calibri" w:hAnsi="Calibri"/>
                                <w:sz w:val="21"/>
                              </w:rPr>
                              <w:t>≤1.0</w:t>
                            </w:r>
                          </w:p>
                        </w:tc>
                        <w:tc>
                          <w:tcPr>
                            <w:tcW w:w="1133" w:type="dxa"/>
                          </w:tcPr>
                          <w:p>
                            <w:pPr>
                              <w:pStyle w:val="14"/>
                              <w:spacing w:before="28"/>
                              <w:ind w:left="381"/>
                              <w:jc w:val="left"/>
                              <w:rPr>
                                <w:rFonts w:ascii="Calibri" w:hAnsi="Calibri"/>
                                <w:sz w:val="21"/>
                              </w:rPr>
                            </w:pPr>
                            <w:r>
                              <w:rPr>
                                <w:rFonts w:ascii="Calibri" w:hAnsi="Calibri"/>
                                <w:sz w:val="21"/>
                              </w:rPr>
                              <w:t>≥1.0</w:t>
                            </w:r>
                          </w:p>
                        </w:tc>
                        <w:tc>
                          <w:tcPr>
                            <w:tcW w:w="1208" w:type="dxa"/>
                          </w:tcPr>
                          <w:p>
                            <w:pPr>
                              <w:pStyle w:val="14"/>
                              <w:spacing w:before="28"/>
                              <w:ind w:left="364"/>
                              <w:jc w:val="left"/>
                              <w:rPr>
                                <w:rFonts w:ascii="Calibri" w:hAnsi="Calibri"/>
                                <w:sz w:val="21"/>
                              </w:rPr>
                            </w:pPr>
                            <w:r>
                              <w:rPr>
                                <w:rFonts w:ascii="Calibri" w:hAnsi="Calibri"/>
                                <w:sz w:val="21"/>
                              </w:rP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129" w:type="dxa"/>
                            <w:vMerge w:val="continue"/>
                            <w:tcBorders>
                              <w:top w:val="nil"/>
                            </w:tcBorders>
                          </w:tcPr>
                          <w:p>
                            <w:pPr>
                              <w:rPr>
                                <w:sz w:val="2"/>
                                <w:szCs w:val="2"/>
                              </w:rPr>
                            </w:pPr>
                          </w:p>
                        </w:tc>
                        <w:tc>
                          <w:tcPr>
                            <w:tcW w:w="1311" w:type="dxa"/>
                          </w:tcPr>
                          <w:p>
                            <w:pPr>
                              <w:pStyle w:val="14"/>
                              <w:spacing w:before="22"/>
                              <w:ind w:left="212" w:right="201"/>
                              <w:rPr>
                                <w:sz w:val="21"/>
                              </w:rPr>
                            </w:pPr>
                            <w:r>
                              <w:rPr>
                                <w:sz w:val="21"/>
                              </w:rPr>
                              <w:t>中度</w:t>
                            </w:r>
                          </w:p>
                        </w:tc>
                        <w:tc>
                          <w:tcPr>
                            <w:tcW w:w="1319" w:type="dxa"/>
                          </w:tcPr>
                          <w:p>
                            <w:pPr>
                              <w:pStyle w:val="14"/>
                              <w:spacing w:before="27"/>
                              <w:ind w:left="232" w:right="220"/>
                              <w:rPr>
                                <w:rFonts w:ascii="Calibri"/>
                                <w:sz w:val="21"/>
                              </w:rPr>
                            </w:pPr>
                            <w:r>
                              <w:rPr>
                                <w:rFonts w:ascii="Calibri"/>
                                <w:sz w:val="21"/>
                              </w:rPr>
                              <w:t>3.0-6.0</w:t>
                            </w:r>
                          </w:p>
                        </w:tc>
                        <w:tc>
                          <w:tcPr>
                            <w:tcW w:w="1319" w:type="dxa"/>
                          </w:tcPr>
                          <w:p>
                            <w:pPr>
                              <w:pStyle w:val="14"/>
                              <w:spacing w:before="27"/>
                              <w:ind w:left="234" w:right="220"/>
                              <w:rPr>
                                <w:rFonts w:ascii="Calibri"/>
                                <w:sz w:val="21"/>
                              </w:rPr>
                            </w:pPr>
                            <w:r>
                              <w:rPr>
                                <w:rFonts w:ascii="Calibri"/>
                                <w:sz w:val="21"/>
                              </w:rPr>
                              <w:t>4.0-10.0</w:t>
                            </w:r>
                          </w:p>
                        </w:tc>
                        <w:tc>
                          <w:tcPr>
                            <w:tcW w:w="1133" w:type="dxa"/>
                          </w:tcPr>
                          <w:p>
                            <w:pPr>
                              <w:pStyle w:val="14"/>
                              <w:spacing w:before="27"/>
                              <w:ind w:left="143" w:right="131"/>
                              <w:rPr>
                                <w:rFonts w:ascii="Calibri"/>
                                <w:sz w:val="21"/>
                              </w:rPr>
                            </w:pPr>
                            <w:r>
                              <w:rPr>
                                <w:rFonts w:ascii="Calibri"/>
                                <w:sz w:val="21"/>
                              </w:rPr>
                              <w:t>1.0-2.0</w:t>
                            </w:r>
                          </w:p>
                        </w:tc>
                        <w:tc>
                          <w:tcPr>
                            <w:tcW w:w="1133" w:type="dxa"/>
                          </w:tcPr>
                          <w:p>
                            <w:pPr>
                              <w:pStyle w:val="14"/>
                              <w:spacing w:before="27"/>
                              <w:ind w:left="347"/>
                              <w:jc w:val="left"/>
                              <w:rPr>
                                <w:rFonts w:ascii="Calibri"/>
                                <w:sz w:val="21"/>
                              </w:rPr>
                            </w:pPr>
                            <w:r>
                              <w:rPr>
                                <w:rFonts w:ascii="Calibri"/>
                                <w:sz w:val="21"/>
                              </w:rPr>
                              <w:t>0-1.0</w:t>
                            </w:r>
                          </w:p>
                        </w:tc>
                        <w:tc>
                          <w:tcPr>
                            <w:tcW w:w="1208" w:type="dxa"/>
                          </w:tcPr>
                          <w:p>
                            <w:pPr>
                              <w:pStyle w:val="14"/>
                              <w:spacing w:before="27"/>
                              <w:ind w:right="264"/>
                              <w:jc w:val="right"/>
                              <w:rPr>
                                <w:rFonts w:ascii="Calibri"/>
                                <w:sz w:val="21"/>
                              </w:rPr>
                            </w:pPr>
                            <w:r>
                              <w:rPr>
                                <w:rFonts w:ascii="Calibri"/>
                                <w:w w:val="95"/>
                                <w:sz w:val="21"/>
                              </w:rPr>
                              <w:t>20-60.0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129" w:type="dxa"/>
                            <w:vMerge w:val="continue"/>
                            <w:tcBorders>
                              <w:top w:val="nil"/>
                            </w:tcBorders>
                          </w:tcPr>
                          <w:p>
                            <w:pPr>
                              <w:rPr>
                                <w:sz w:val="2"/>
                                <w:szCs w:val="2"/>
                              </w:rPr>
                            </w:pPr>
                          </w:p>
                        </w:tc>
                        <w:tc>
                          <w:tcPr>
                            <w:tcW w:w="1311" w:type="dxa"/>
                          </w:tcPr>
                          <w:p>
                            <w:pPr>
                              <w:pStyle w:val="14"/>
                              <w:spacing w:before="21"/>
                              <w:ind w:left="212" w:right="201"/>
                              <w:rPr>
                                <w:sz w:val="21"/>
                              </w:rPr>
                            </w:pPr>
                            <w:r>
                              <w:rPr>
                                <w:sz w:val="21"/>
                              </w:rPr>
                              <w:t>重度</w:t>
                            </w:r>
                          </w:p>
                        </w:tc>
                        <w:tc>
                          <w:tcPr>
                            <w:tcW w:w="1319" w:type="dxa"/>
                          </w:tcPr>
                          <w:p>
                            <w:pPr>
                              <w:pStyle w:val="14"/>
                              <w:spacing w:before="21"/>
                              <w:ind w:left="232" w:right="220"/>
                              <w:rPr>
                                <w:rFonts w:ascii="Calibri" w:eastAsia="Calibri"/>
                                <w:sz w:val="21"/>
                              </w:rPr>
                            </w:pPr>
                            <w:r>
                              <w:rPr>
                                <w:sz w:val="21"/>
                              </w:rPr>
                              <w:t>＞</w:t>
                            </w:r>
                            <w:r>
                              <w:rPr>
                                <w:rFonts w:ascii="Calibri" w:eastAsia="Calibri"/>
                                <w:sz w:val="21"/>
                              </w:rPr>
                              <w:t>6.0</w:t>
                            </w:r>
                          </w:p>
                        </w:tc>
                        <w:tc>
                          <w:tcPr>
                            <w:tcW w:w="1319" w:type="dxa"/>
                          </w:tcPr>
                          <w:p>
                            <w:pPr>
                              <w:pStyle w:val="14"/>
                              <w:spacing w:before="21"/>
                              <w:ind w:left="232" w:right="220"/>
                              <w:rPr>
                                <w:rFonts w:ascii="Calibri" w:eastAsia="Calibri"/>
                                <w:sz w:val="21"/>
                              </w:rPr>
                            </w:pPr>
                            <w:r>
                              <w:rPr>
                                <w:sz w:val="21"/>
                              </w:rPr>
                              <w:t>＞</w:t>
                            </w:r>
                            <w:r>
                              <w:rPr>
                                <w:rFonts w:ascii="Calibri" w:eastAsia="Calibri"/>
                                <w:sz w:val="21"/>
                              </w:rPr>
                              <w:t>10.0</w:t>
                            </w:r>
                          </w:p>
                        </w:tc>
                        <w:tc>
                          <w:tcPr>
                            <w:tcW w:w="1133" w:type="dxa"/>
                          </w:tcPr>
                          <w:p>
                            <w:pPr>
                              <w:pStyle w:val="14"/>
                              <w:spacing w:before="21"/>
                              <w:ind w:left="143" w:right="131"/>
                              <w:rPr>
                                <w:rFonts w:ascii="Calibri" w:eastAsia="Calibri"/>
                                <w:sz w:val="21"/>
                              </w:rPr>
                            </w:pPr>
                            <w:r>
                              <w:rPr>
                                <w:sz w:val="21"/>
                              </w:rPr>
                              <w:t>＞</w:t>
                            </w:r>
                            <w:r>
                              <w:rPr>
                                <w:rFonts w:ascii="Calibri" w:eastAsia="Calibri"/>
                                <w:sz w:val="21"/>
                              </w:rPr>
                              <w:t>2.0</w:t>
                            </w:r>
                          </w:p>
                        </w:tc>
                        <w:tc>
                          <w:tcPr>
                            <w:tcW w:w="1133" w:type="dxa"/>
                          </w:tcPr>
                          <w:p>
                            <w:pPr>
                              <w:pStyle w:val="14"/>
                              <w:spacing w:before="21"/>
                              <w:ind w:left="143" w:right="131"/>
                              <w:rPr>
                                <w:rFonts w:ascii="Calibri" w:eastAsia="Calibri"/>
                                <w:sz w:val="21"/>
                              </w:rPr>
                            </w:pPr>
                            <w:r>
                              <w:rPr>
                                <w:sz w:val="21"/>
                              </w:rPr>
                              <w:t>＜</w:t>
                            </w:r>
                            <w:r>
                              <w:rPr>
                                <w:rFonts w:ascii="Calibri" w:eastAsia="Calibri"/>
                                <w:sz w:val="21"/>
                              </w:rPr>
                              <w:t>0</w:t>
                            </w:r>
                          </w:p>
                        </w:tc>
                        <w:tc>
                          <w:tcPr>
                            <w:tcW w:w="1208" w:type="dxa"/>
                          </w:tcPr>
                          <w:p>
                            <w:pPr>
                              <w:pStyle w:val="14"/>
                              <w:spacing w:before="21"/>
                              <w:ind w:right="298"/>
                              <w:jc w:val="right"/>
                              <w:rPr>
                                <w:rFonts w:ascii="Calibri" w:eastAsia="Calibri"/>
                                <w:sz w:val="21"/>
                              </w:rPr>
                            </w:pPr>
                            <w:r>
                              <w:rPr>
                                <w:w w:val="95"/>
                                <w:sz w:val="21"/>
                              </w:rPr>
                              <w:t>＞</w:t>
                            </w:r>
                            <w:r>
                              <w:rPr>
                                <w:rFonts w:ascii="Calibri" w:eastAsia="Calibri"/>
                                <w:w w:val="95"/>
                                <w:sz w:val="21"/>
                              </w:rP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129" w:type="dxa"/>
                            <w:vMerge w:val="restart"/>
                          </w:tcPr>
                          <w:p>
                            <w:pPr>
                              <w:pStyle w:val="14"/>
                              <w:spacing w:before="1"/>
                              <w:jc w:val="left"/>
                              <w:rPr>
                                <w:sz w:val="27"/>
                              </w:rPr>
                            </w:pPr>
                          </w:p>
                          <w:p>
                            <w:pPr>
                              <w:pStyle w:val="14"/>
                              <w:ind w:left="249"/>
                              <w:jc w:val="left"/>
                              <w:rPr>
                                <w:sz w:val="21"/>
                              </w:rPr>
                            </w:pPr>
                            <w:r>
                              <w:rPr>
                                <w:sz w:val="21"/>
                              </w:rPr>
                              <w:t>水浇地</w:t>
                            </w:r>
                          </w:p>
                        </w:tc>
                        <w:tc>
                          <w:tcPr>
                            <w:tcW w:w="1311" w:type="dxa"/>
                          </w:tcPr>
                          <w:p>
                            <w:pPr>
                              <w:pStyle w:val="14"/>
                              <w:spacing w:before="21"/>
                              <w:ind w:left="212" w:right="201"/>
                              <w:rPr>
                                <w:sz w:val="21"/>
                              </w:rPr>
                            </w:pPr>
                            <w:r>
                              <w:rPr>
                                <w:sz w:val="21"/>
                              </w:rPr>
                              <w:t>轻度</w:t>
                            </w:r>
                          </w:p>
                        </w:tc>
                        <w:tc>
                          <w:tcPr>
                            <w:tcW w:w="1319" w:type="dxa"/>
                          </w:tcPr>
                          <w:p>
                            <w:pPr>
                              <w:pStyle w:val="14"/>
                              <w:spacing w:before="28"/>
                              <w:ind w:left="234" w:right="220"/>
                              <w:rPr>
                                <w:rFonts w:ascii="Calibri" w:hAnsi="Calibri"/>
                                <w:sz w:val="21"/>
                              </w:rPr>
                            </w:pPr>
                            <w:r>
                              <w:rPr>
                                <w:rFonts w:ascii="Calibri" w:hAnsi="Calibri"/>
                                <w:sz w:val="21"/>
                              </w:rPr>
                              <w:t>≤4.0</w:t>
                            </w:r>
                          </w:p>
                        </w:tc>
                        <w:tc>
                          <w:tcPr>
                            <w:tcW w:w="1319" w:type="dxa"/>
                          </w:tcPr>
                          <w:p>
                            <w:pPr>
                              <w:pStyle w:val="14"/>
                              <w:spacing w:before="28"/>
                              <w:ind w:left="232" w:right="220"/>
                              <w:rPr>
                                <w:rFonts w:ascii="Calibri" w:hAnsi="Calibri"/>
                                <w:sz w:val="21"/>
                              </w:rPr>
                            </w:pPr>
                            <w:r>
                              <w:rPr>
                                <w:rFonts w:ascii="Calibri" w:hAnsi="Calibri"/>
                                <w:sz w:val="21"/>
                              </w:rPr>
                              <w:t>≤6.0</w:t>
                            </w:r>
                          </w:p>
                        </w:tc>
                        <w:tc>
                          <w:tcPr>
                            <w:tcW w:w="1133" w:type="dxa"/>
                          </w:tcPr>
                          <w:p>
                            <w:pPr>
                              <w:pStyle w:val="14"/>
                              <w:spacing w:before="28"/>
                              <w:ind w:left="143" w:right="131"/>
                              <w:rPr>
                                <w:rFonts w:ascii="Calibri" w:hAnsi="Calibri"/>
                                <w:sz w:val="21"/>
                              </w:rPr>
                            </w:pPr>
                            <w:r>
                              <w:rPr>
                                <w:rFonts w:ascii="Calibri" w:hAnsi="Calibri"/>
                                <w:sz w:val="21"/>
                              </w:rPr>
                              <w:t>≤1.5</w:t>
                            </w:r>
                          </w:p>
                        </w:tc>
                        <w:tc>
                          <w:tcPr>
                            <w:tcW w:w="1133" w:type="dxa"/>
                          </w:tcPr>
                          <w:p>
                            <w:pPr>
                              <w:pStyle w:val="14"/>
                              <w:spacing w:before="28"/>
                              <w:ind w:left="381"/>
                              <w:jc w:val="left"/>
                              <w:rPr>
                                <w:rFonts w:ascii="Calibri" w:hAnsi="Calibri"/>
                                <w:sz w:val="21"/>
                              </w:rPr>
                            </w:pPr>
                            <w:r>
                              <w:rPr>
                                <w:rFonts w:ascii="Calibri" w:hAnsi="Calibri"/>
                                <w:sz w:val="21"/>
                              </w:rPr>
                              <w:t>≥1.5</w:t>
                            </w:r>
                          </w:p>
                        </w:tc>
                        <w:tc>
                          <w:tcPr>
                            <w:tcW w:w="1208" w:type="dxa"/>
                          </w:tcPr>
                          <w:p>
                            <w:pPr>
                              <w:pStyle w:val="14"/>
                              <w:spacing w:before="28"/>
                              <w:ind w:left="364"/>
                              <w:jc w:val="left"/>
                              <w:rPr>
                                <w:rFonts w:ascii="Calibri" w:hAnsi="Calibri"/>
                                <w:sz w:val="21"/>
                              </w:rPr>
                            </w:pPr>
                            <w:r>
                              <w:rPr>
                                <w:rFonts w:ascii="Calibri" w:hAnsi="Calibri"/>
                                <w:sz w:val="21"/>
                              </w:rP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129" w:type="dxa"/>
                            <w:vMerge w:val="continue"/>
                            <w:tcBorders>
                              <w:top w:val="nil"/>
                            </w:tcBorders>
                          </w:tcPr>
                          <w:p>
                            <w:pPr>
                              <w:rPr>
                                <w:sz w:val="2"/>
                                <w:szCs w:val="2"/>
                              </w:rPr>
                            </w:pPr>
                          </w:p>
                        </w:tc>
                        <w:tc>
                          <w:tcPr>
                            <w:tcW w:w="1311" w:type="dxa"/>
                          </w:tcPr>
                          <w:p>
                            <w:pPr>
                              <w:pStyle w:val="14"/>
                              <w:spacing w:before="20"/>
                              <w:ind w:left="212" w:right="201"/>
                              <w:rPr>
                                <w:sz w:val="21"/>
                              </w:rPr>
                            </w:pPr>
                            <w:r>
                              <w:rPr>
                                <w:sz w:val="21"/>
                              </w:rPr>
                              <w:t>中度</w:t>
                            </w:r>
                          </w:p>
                        </w:tc>
                        <w:tc>
                          <w:tcPr>
                            <w:tcW w:w="1319" w:type="dxa"/>
                          </w:tcPr>
                          <w:p>
                            <w:pPr>
                              <w:pStyle w:val="14"/>
                              <w:spacing w:before="28"/>
                              <w:ind w:left="232" w:right="220"/>
                              <w:rPr>
                                <w:rFonts w:ascii="Calibri"/>
                                <w:sz w:val="21"/>
                              </w:rPr>
                            </w:pPr>
                            <w:r>
                              <w:rPr>
                                <w:rFonts w:ascii="Calibri"/>
                                <w:sz w:val="21"/>
                              </w:rPr>
                              <w:t>4.0-8.0</w:t>
                            </w:r>
                          </w:p>
                        </w:tc>
                        <w:tc>
                          <w:tcPr>
                            <w:tcW w:w="1319" w:type="dxa"/>
                          </w:tcPr>
                          <w:p>
                            <w:pPr>
                              <w:pStyle w:val="14"/>
                              <w:spacing w:before="28"/>
                              <w:ind w:left="234" w:right="220"/>
                              <w:rPr>
                                <w:rFonts w:ascii="Calibri"/>
                                <w:sz w:val="21"/>
                              </w:rPr>
                            </w:pPr>
                            <w:r>
                              <w:rPr>
                                <w:rFonts w:ascii="Calibri"/>
                                <w:sz w:val="21"/>
                              </w:rPr>
                              <w:t>6.0-12.0</w:t>
                            </w:r>
                          </w:p>
                        </w:tc>
                        <w:tc>
                          <w:tcPr>
                            <w:tcW w:w="1133" w:type="dxa"/>
                          </w:tcPr>
                          <w:p>
                            <w:pPr>
                              <w:pStyle w:val="14"/>
                              <w:spacing w:before="28"/>
                              <w:ind w:left="143" w:right="131"/>
                              <w:rPr>
                                <w:rFonts w:ascii="Calibri"/>
                                <w:sz w:val="21"/>
                              </w:rPr>
                            </w:pPr>
                            <w:r>
                              <w:rPr>
                                <w:rFonts w:ascii="Calibri"/>
                                <w:sz w:val="21"/>
                              </w:rPr>
                              <w:t>1.5-3.0</w:t>
                            </w:r>
                          </w:p>
                        </w:tc>
                        <w:tc>
                          <w:tcPr>
                            <w:tcW w:w="1133" w:type="dxa"/>
                          </w:tcPr>
                          <w:p>
                            <w:pPr>
                              <w:pStyle w:val="14"/>
                              <w:spacing w:before="28"/>
                              <w:ind w:right="251"/>
                              <w:jc w:val="right"/>
                              <w:rPr>
                                <w:rFonts w:ascii="Calibri"/>
                                <w:sz w:val="21"/>
                              </w:rPr>
                            </w:pPr>
                            <w:r>
                              <w:rPr>
                                <w:rFonts w:ascii="Calibri"/>
                                <w:sz w:val="21"/>
                              </w:rPr>
                              <w:t>0.5-1.5</w:t>
                            </w:r>
                          </w:p>
                        </w:tc>
                        <w:tc>
                          <w:tcPr>
                            <w:tcW w:w="1208" w:type="dxa"/>
                          </w:tcPr>
                          <w:p>
                            <w:pPr>
                              <w:pStyle w:val="14"/>
                              <w:spacing w:before="28"/>
                              <w:ind w:right="264"/>
                              <w:jc w:val="right"/>
                              <w:rPr>
                                <w:rFonts w:ascii="Calibri"/>
                                <w:sz w:val="21"/>
                              </w:rPr>
                            </w:pPr>
                            <w:r>
                              <w:rPr>
                                <w:rFonts w:ascii="Calibri"/>
                                <w:w w:val="95"/>
                                <w:sz w:val="21"/>
                              </w:rPr>
                              <w:t>20-60.0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129" w:type="dxa"/>
                            <w:vMerge w:val="continue"/>
                            <w:tcBorders>
                              <w:top w:val="nil"/>
                            </w:tcBorders>
                          </w:tcPr>
                          <w:p>
                            <w:pPr>
                              <w:rPr>
                                <w:sz w:val="2"/>
                                <w:szCs w:val="2"/>
                              </w:rPr>
                            </w:pPr>
                          </w:p>
                        </w:tc>
                        <w:tc>
                          <w:tcPr>
                            <w:tcW w:w="1311" w:type="dxa"/>
                          </w:tcPr>
                          <w:p>
                            <w:pPr>
                              <w:pStyle w:val="14"/>
                              <w:spacing w:before="22"/>
                              <w:ind w:left="212" w:right="201"/>
                              <w:rPr>
                                <w:sz w:val="21"/>
                              </w:rPr>
                            </w:pPr>
                            <w:r>
                              <w:rPr>
                                <w:sz w:val="21"/>
                              </w:rPr>
                              <w:t>重度</w:t>
                            </w:r>
                          </w:p>
                        </w:tc>
                        <w:tc>
                          <w:tcPr>
                            <w:tcW w:w="1319" w:type="dxa"/>
                          </w:tcPr>
                          <w:p>
                            <w:pPr>
                              <w:pStyle w:val="14"/>
                              <w:spacing w:before="22"/>
                              <w:ind w:left="232" w:right="220"/>
                              <w:rPr>
                                <w:rFonts w:ascii="Calibri" w:eastAsia="Calibri"/>
                                <w:sz w:val="21"/>
                              </w:rPr>
                            </w:pPr>
                            <w:r>
                              <w:rPr>
                                <w:sz w:val="21"/>
                              </w:rPr>
                              <w:t>＞</w:t>
                            </w:r>
                            <w:r>
                              <w:rPr>
                                <w:rFonts w:ascii="Calibri" w:eastAsia="Calibri"/>
                                <w:sz w:val="21"/>
                              </w:rPr>
                              <w:t>8.0</w:t>
                            </w:r>
                          </w:p>
                        </w:tc>
                        <w:tc>
                          <w:tcPr>
                            <w:tcW w:w="1319" w:type="dxa"/>
                          </w:tcPr>
                          <w:p>
                            <w:pPr>
                              <w:pStyle w:val="14"/>
                              <w:spacing w:before="22"/>
                              <w:ind w:left="232" w:right="220"/>
                              <w:rPr>
                                <w:rFonts w:ascii="Calibri" w:eastAsia="Calibri"/>
                                <w:sz w:val="21"/>
                              </w:rPr>
                            </w:pPr>
                            <w:r>
                              <w:rPr>
                                <w:sz w:val="21"/>
                              </w:rPr>
                              <w:t>＞</w:t>
                            </w:r>
                            <w:r>
                              <w:rPr>
                                <w:rFonts w:ascii="Calibri" w:eastAsia="Calibri"/>
                                <w:sz w:val="21"/>
                              </w:rPr>
                              <w:t>12.0</w:t>
                            </w:r>
                          </w:p>
                        </w:tc>
                        <w:tc>
                          <w:tcPr>
                            <w:tcW w:w="1133" w:type="dxa"/>
                          </w:tcPr>
                          <w:p>
                            <w:pPr>
                              <w:pStyle w:val="14"/>
                              <w:spacing w:before="22"/>
                              <w:ind w:left="143" w:right="131"/>
                              <w:rPr>
                                <w:rFonts w:ascii="Calibri" w:eastAsia="Calibri"/>
                                <w:sz w:val="21"/>
                              </w:rPr>
                            </w:pPr>
                            <w:r>
                              <w:rPr>
                                <w:sz w:val="21"/>
                              </w:rPr>
                              <w:t>＞</w:t>
                            </w:r>
                            <w:r>
                              <w:rPr>
                                <w:rFonts w:ascii="Calibri" w:eastAsia="Calibri"/>
                                <w:sz w:val="21"/>
                              </w:rPr>
                              <w:t>3.0</w:t>
                            </w:r>
                          </w:p>
                        </w:tc>
                        <w:tc>
                          <w:tcPr>
                            <w:tcW w:w="1133" w:type="dxa"/>
                          </w:tcPr>
                          <w:p>
                            <w:pPr>
                              <w:pStyle w:val="14"/>
                              <w:spacing w:before="22"/>
                              <w:ind w:right="314"/>
                              <w:jc w:val="right"/>
                              <w:rPr>
                                <w:rFonts w:ascii="Calibri" w:eastAsia="Calibri"/>
                                <w:sz w:val="21"/>
                              </w:rPr>
                            </w:pPr>
                            <w:r>
                              <w:rPr>
                                <w:w w:val="95"/>
                                <w:sz w:val="21"/>
                              </w:rPr>
                              <w:t>＜</w:t>
                            </w:r>
                            <w:r>
                              <w:rPr>
                                <w:rFonts w:ascii="Calibri" w:eastAsia="Calibri"/>
                                <w:w w:val="95"/>
                                <w:sz w:val="21"/>
                              </w:rPr>
                              <w:t>0.5</w:t>
                            </w:r>
                          </w:p>
                        </w:tc>
                        <w:tc>
                          <w:tcPr>
                            <w:tcW w:w="1208" w:type="dxa"/>
                          </w:tcPr>
                          <w:p>
                            <w:pPr>
                              <w:pStyle w:val="14"/>
                              <w:spacing w:before="22"/>
                              <w:ind w:right="298"/>
                              <w:jc w:val="right"/>
                              <w:rPr>
                                <w:rFonts w:ascii="Calibri" w:eastAsia="Calibri"/>
                                <w:sz w:val="21"/>
                              </w:rPr>
                            </w:pPr>
                            <w:r>
                              <w:rPr>
                                <w:w w:val="95"/>
                                <w:sz w:val="21"/>
                              </w:rPr>
                              <w:t>＞</w:t>
                            </w:r>
                            <w:r>
                              <w:rPr>
                                <w:rFonts w:ascii="Calibri" w:eastAsia="Calibri"/>
                                <w:w w:val="95"/>
                                <w:sz w:val="21"/>
                              </w:rP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129" w:type="dxa"/>
                            <w:vMerge w:val="restart"/>
                          </w:tcPr>
                          <w:p>
                            <w:pPr>
                              <w:pStyle w:val="14"/>
                              <w:spacing w:before="2"/>
                              <w:jc w:val="left"/>
                              <w:rPr>
                                <w:sz w:val="27"/>
                              </w:rPr>
                            </w:pPr>
                          </w:p>
                          <w:p>
                            <w:pPr>
                              <w:pStyle w:val="14"/>
                              <w:ind w:left="352"/>
                              <w:jc w:val="left"/>
                              <w:rPr>
                                <w:sz w:val="21"/>
                              </w:rPr>
                            </w:pPr>
                            <w:r>
                              <w:rPr>
                                <w:sz w:val="21"/>
                              </w:rPr>
                              <w:t>旱地</w:t>
                            </w:r>
                          </w:p>
                        </w:tc>
                        <w:tc>
                          <w:tcPr>
                            <w:tcW w:w="1311" w:type="dxa"/>
                          </w:tcPr>
                          <w:p>
                            <w:pPr>
                              <w:pStyle w:val="14"/>
                              <w:spacing w:before="21"/>
                              <w:ind w:left="212" w:right="201"/>
                              <w:rPr>
                                <w:sz w:val="21"/>
                              </w:rPr>
                            </w:pPr>
                            <w:r>
                              <w:rPr>
                                <w:sz w:val="21"/>
                              </w:rPr>
                              <w:t>轻度</w:t>
                            </w:r>
                          </w:p>
                        </w:tc>
                        <w:tc>
                          <w:tcPr>
                            <w:tcW w:w="1319" w:type="dxa"/>
                          </w:tcPr>
                          <w:p>
                            <w:pPr>
                              <w:pStyle w:val="14"/>
                              <w:spacing w:before="29"/>
                              <w:ind w:left="234" w:right="220"/>
                              <w:rPr>
                                <w:rFonts w:ascii="Calibri" w:hAnsi="Calibri"/>
                                <w:sz w:val="21"/>
                              </w:rPr>
                            </w:pPr>
                            <w:r>
                              <w:rPr>
                                <w:rFonts w:ascii="Calibri" w:hAnsi="Calibri"/>
                                <w:sz w:val="21"/>
                              </w:rPr>
                              <w:t>≤8.0</w:t>
                            </w:r>
                          </w:p>
                        </w:tc>
                        <w:tc>
                          <w:tcPr>
                            <w:tcW w:w="1319" w:type="dxa"/>
                          </w:tcPr>
                          <w:p>
                            <w:pPr>
                              <w:pStyle w:val="14"/>
                              <w:spacing w:before="29"/>
                              <w:ind w:left="232" w:right="220"/>
                              <w:rPr>
                                <w:rFonts w:ascii="Calibri" w:hAnsi="Calibri"/>
                                <w:sz w:val="21"/>
                              </w:rPr>
                            </w:pPr>
                            <w:r>
                              <w:rPr>
                                <w:rFonts w:ascii="Calibri" w:hAnsi="Calibri"/>
                                <w:sz w:val="21"/>
                              </w:rPr>
                              <w:t>≤20.0</w:t>
                            </w:r>
                          </w:p>
                        </w:tc>
                        <w:tc>
                          <w:tcPr>
                            <w:tcW w:w="1133" w:type="dxa"/>
                          </w:tcPr>
                          <w:p>
                            <w:pPr>
                              <w:pStyle w:val="14"/>
                              <w:spacing w:before="29"/>
                              <w:ind w:left="143" w:right="131"/>
                              <w:rPr>
                                <w:rFonts w:ascii="Calibri" w:hAnsi="Calibri"/>
                                <w:sz w:val="21"/>
                              </w:rPr>
                            </w:pPr>
                            <w:r>
                              <w:rPr>
                                <w:rFonts w:ascii="Calibri" w:hAnsi="Calibri"/>
                                <w:sz w:val="21"/>
                              </w:rPr>
                              <w:t>≤2.0</w:t>
                            </w:r>
                          </w:p>
                        </w:tc>
                        <w:tc>
                          <w:tcPr>
                            <w:tcW w:w="1133" w:type="dxa"/>
                          </w:tcPr>
                          <w:p>
                            <w:pPr>
                              <w:pStyle w:val="14"/>
                              <w:spacing w:before="29"/>
                              <w:ind w:left="381"/>
                              <w:jc w:val="left"/>
                              <w:rPr>
                                <w:rFonts w:ascii="Calibri" w:hAnsi="Calibri"/>
                                <w:sz w:val="21"/>
                              </w:rPr>
                            </w:pPr>
                            <w:r>
                              <w:rPr>
                                <w:rFonts w:ascii="Calibri" w:hAnsi="Calibri"/>
                                <w:sz w:val="21"/>
                              </w:rPr>
                              <w:t>≥1.5</w:t>
                            </w:r>
                          </w:p>
                        </w:tc>
                        <w:tc>
                          <w:tcPr>
                            <w:tcW w:w="1208" w:type="dxa"/>
                          </w:tcPr>
                          <w:p>
                            <w:pPr>
                              <w:pStyle w:val="14"/>
                              <w:spacing w:before="29"/>
                              <w:ind w:left="364"/>
                              <w:jc w:val="left"/>
                              <w:rPr>
                                <w:rFonts w:ascii="Calibri" w:hAnsi="Calibri"/>
                                <w:sz w:val="21"/>
                              </w:rPr>
                            </w:pPr>
                            <w:r>
                              <w:rPr>
                                <w:rFonts w:ascii="Calibri" w:hAnsi="Calibri"/>
                                <w:sz w:val="21"/>
                              </w:rP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129" w:type="dxa"/>
                            <w:vMerge w:val="continue"/>
                            <w:tcBorders>
                              <w:top w:val="nil"/>
                            </w:tcBorders>
                          </w:tcPr>
                          <w:p>
                            <w:pPr>
                              <w:rPr>
                                <w:sz w:val="2"/>
                                <w:szCs w:val="2"/>
                              </w:rPr>
                            </w:pPr>
                          </w:p>
                        </w:tc>
                        <w:tc>
                          <w:tcPr>
                            <w:tcW w:w="1311" w:type="dxa"/>
                          </w:tcPr>
                          <w:p>
                            <w:pPr>
                              <w:pStyle w:val="14"/>
                              <w:spacing w:before="21"/>
                              <w:ind w:left="212" w:right="201"/>
                              <w:rPr>
                                <w:sz w:val="21"/>
                              </w:rPr>
                            </w:pPr>
                            <w:r>
                              <w:rPr>
                                <w:sz w:val="21"/>
                              </w:rPr>
                              <w:t>中度</w:t>
                            </w:r>
                          </w:p>
                        </w:tc>
                        <w:tc>
                          <w:tcPr>
                            <w:tcW w:w="1319" w:type="dxa"/>
                          </w:tcPr>
                          <w:p>
                            <w:pPr>
                              <w:pStyle w:val="14"/>
                              <w:spacing w:before="28"/>
                              <w:ind w:left="232" w:right="220"/>
                              <w:rPr>
                                <w:rFonts w:ascii="Calibri"/>
                                <w:sz w:val="21"/>
                              </w:rPr>
                            </w:pPr>
                            <w:r>
                              <w:rPr>
                                <w:rFonts w:ascii="Calibri"/>
                                <w:sz w:val="21"/>
                              </w:rPr>
                              <w:t>8.0-16.0</w:t>
                            </w:r>
                          </w:p>
                        </w:tc>
                        <w:tc>
                          <w:tcPr>
                            <w:tcW w:w="1319" w:type="dxa"/>
                          </w:tcPr>
                          <w:p>
                            <w:pPr>
                              <w:pStyle w:val="14"/>
                              <w:spacing w:before="28"/>
                              <w:ind w:left="234" w:right="220"/>
                              <w:rPr>
                                <w:rFonts w:ascii="Calibri"/>
                                <w:sz w:val="21"/>
                              </w:rPr>
                            </w:pPr>
                            <w:r>
                              <w:rPr>
                                <w:rFonts w:ascii="Calibri"/>
                                <w:sz w:val="21"/>
                              </w:rPr>
                              <w:t>20.0-40.0</w:t>
                            </w:r>
                          </w:p>
                        </w:tc>
                        <w:tc>
                          <w:tcPr>
                            <w:tcW w:w="1133" w:type="dxa"/>
                          </w:tcPr>
                          <w:p>
                            <w:pPr>
                              <w:pStyle w:val="14"/>
                              <w:spacing w:before="28"/>
                              <w:ind w:left="143" w:right="131"/>
                              <w:rPr>
                                <w:rFonts w:ascii="Calibri"/>
                                <w:sz w:val="21"/>
                              </w:rPr>
                            </w:pPr>
                            <w:r>
                              <w:rPr>
                                <w:rFonts w:ascii="Calibri"/>
                                <w:sz w:val="21"/>
                              </w:rPr>
                              <w:t>2.0-5.0</w:t>
                            </w:r>
                          </w:p>
                        </w:tc>
                        <w:tc>
                          <w:tcPr>
                            <w:tcW w:w="1133" w:type="dxa"/>
                          </w:tcPr>
                          <w:p>
                            <w:pPr>
                              <w:pStyle w:val="14"/>
                              <w:spacing w:before="28"/>
                              <w:ind w:right="251"/>
                              <w:jc w:val="right"/>
                              <w:rPr>
                                <w:rFonts w:ascii="Calibri"/>
                                <w:sz w:val="21"/>
                              </w:rPr>
                            </w:pPr>
                            <w:r>
                              <w:rPr>
                                <w:rFonts w:ascii="Calibri"/>
                                <w:sz w:val="21"/>
                              </w:rPr>
                              <w:t>0.5-1.5</w:t>
                            </w:r>
                          </w:p>
                        </w:tc>
                        <w:tc>
                          <w:tcPr>
                            <w:tcW w:w="1208" w:type="dxa"/>
                          </w:tcPr>
                          <w:p>
                            <w:pPr>
                              <w:pStyle w:val="14"/>
                              <w:spacing w:before="28"/>
                              <w:ind w:right="264"/>
                              <w:jc w:val="right"/>
                              <w:rPr>
                                <w:rFonts w:ascii="Calibri"/>
                                <w:sz w:val="21"/>
                              </w:rPr>
                            </w:pPr>
                            <w:r>
                              <w:rPr>
                                <w:rFonts w:ascii="Calibri"/>
                                <w:w w:val="95"/>
                                <w:sz w:val="21"/>
                              </w:rPr>
                              <w:t>20-60.0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129" w:type="dxa"/>
                            <w:vMerge w:val="continue"/>
                            <w:tcBorders>
                              <w:top w:val="nil"/>
                            </w:tcBorders>
                          </w:tcPr>
                          <w:p>
                            <w:pPr>
                              <w:rPr>
                                <w:sz w:val="2"/>
                                <w:szCs w:val="2"/>
                              </w:rPr>
                            </w:pPr>
                          </w:p>
                        </w:tc>
                        <w:tc>
                          <w:tcPr>
                            <w:tcW w:w="1311" w:type="dxa"/>
                          </w:tcPr>
                          <w:p>
                            <w:pPr>
                              <w:pStyle w:val="14"/>
                              <w:spacing w:before="20"/>
                              <w:ind w:left="212" w:right="201"/>
                              <w:rPr>
                                <w:sz w:val="21"/>
                              </w:rPr>
                            </w:pPr>
                            <w:r>
                              <w:rPr>
                                <w:sz w:val="21"/>
                              </w:rPr>
                              <w:t>重度</w:t>
                            </w:r>
                          </w:p>
                        </w:tc>
                        <w:tc>
                          <w:tcPr>
                            <w:tcW w:w="1319" w:type="dxa"/>
                          </w:tcPr>
                          <w:p>
                            <w:pPr>
                              <w:pStyle w:val="14"/>
                              <w:spacing w:before="23"/>
                              <w:ind w:left="232" w:right="220"/>
                              <w:rPr>
                                <w:rFonts w:ascii="Calibri" w:eastAsia="Calibri"/>
                                <w:sz w:val="21"/>
                              </w:rPr>
                            </w:pPr>
                            <w:r>
                              <w:rPr>
                                <w:sz w:val="21"/>
                              </w:rPr>
                              <w:t>＞</w:t>
                            </w:r>
                            <w:r>
                              <w:rPr>
                                <w:rFonts w:ascii="Calibri" w:eastAsia="Calibri"/>
                                <w:sz w:val="21"/>
                              </w:rPr>
                              <w:t>16.0</w:t>
                            </w:r>
                          </w:p>
                        </w:tc>
                        <w:tc>
                          <w:tcPr>
                            <w:tcW w:w="1319" w:type="dxa"/>
                          </w:tcPr>
                          <w:p>
                            <w:pPr>
                              <w:pStyle w:val="14"/>
                              <w:spacing w:before="23"/>
                              <w:ind w:left="232" w:right="220"/>
                              <w:rPr>
                                <w:rFonts w:ascii="Calibri" w:eastAsia="Calibri"/>
                                <w:sz w:val="21"/>
                              </w:rPr>
                            </w:pPr>
                            <w:r>
                              <w:rPr>
                                <w:sz w:val="21"/>
                              </w:rPr>
                              <w:t>＞</w:t>
                            </w:r>
                            <w:r>
                              <w:rPr>
                                <w:rFonts w:ascii="Calibri" w:eastAsia="Calibri"/>
                                <w:sz w:val="21"/>
                              </w:rPr>
                              <w:t>40.0</w:t>
                            </w:r>
                          </w:p>
                        </w:tc>
                        <w:tc>
                          <w:tcPr>
                            <w:tcW w:w="1133" w:type="dxa"/>
                          </w:tcPr>
                          <w:p>
                            <w:pPr>
                              <w:pStyle w:val="14"/>
                              <w:spacing w:before="23"/>
                              <w:ind w:left="143" w:right="131"/>
                              <w:rPr>
                                <w:rFonts w:ascii="Calibri" w:eastAsia="Calibri"/>
                                <w:sz w:val="21"/>
                              </w:rPr>
                            </w:pPr>
                            <w:r>
                              <w:rPr>
                                <w:sz w:val="21"/>
                              </w:rPr>
                              <w:t>＞</w:t>
                            </w:r>
                            <w:r>
                              <w:rPr>
                                <w:rFonts w:ascii="Calibri" w:eastAsia="Calibri"/>
                                <w:sz w:val="21"/>
                              </w:rPr>
                              <w:t>5.0</w:t>
                            </w:r>
                          </w:p>
                        </w:tc>
                        <w:tc>
                          <w:tcPr>
                            <w:tcW w:w="1133" w:type="dxa"/>
                          </w:tcPr>
                          <w:p>
                            <w:pPr>
                              <w:pStyle w:val="14"/>
                              <w:spacing w:before="23"/>
                              <w:ind w:right="314"/>
                              <w:jc w:val="right"/>
                              <w:rPr>
                                <w:rFonts w:ascii="Calibri" w:eastAsia="Calibri"/>
                                <w:sz w:val="21"/>
                              </w:rPr>
                            </w:pPr>
                            <w:r>
                              <w:rPr>
                                <w:w w:val="95"/>
                                <w:sz w:val="21"/>
                              </w:rPr>
                              <w:t>＜</w:t>
                            </w:r>
                            <w:r>
                              <w:rPr>
                                <w:rFonts w:ascii="Calibri" w:eastAsia="Calibri"/>
                                <w:w w:val="95"/>
                                <w:sz w:val="21"/>
                              </w:rPr>
                              <w:t>0.5</w:t>
                            </w:r>
                          </w:p>
                        </w:tc>
                        <w:tc>
                          <w:tcPr>
                            <w:tcW w:w="1208" w:type="dxa"/>
                          </w:tcPr>
                          <w:p>
                            <w:pPr>
                              <w:pStyle w:val="14"/>
                              <w:spacing w:before="23"/>
                              <w:ind w:right="298"/>
                              <w:jc w:val="right"/>
                              <w:rPr>
                                <w:rFonts w:ascii="Calibri" w:eastAsia="Calibri"/>
                                <w:sz w:val="21"/>
                              </w:rPr>
                            </w:pPr>
                            <w:r>
                              <w:rPr>
                                <w:w w:val="95"/>
                                <w:sz w:val="21"/>
                              </w:rPr>
                              <w:t>＞</w:t>
                            </w:r>
                            <w:r>
                              <w:rPr>
                                <w:rFonts w:ascii="Calibri" w:eastAsia="Calibri"/>
                                <w:w w:val="95"/>
                                <w:sz w:val="21"/>
                              </w:rP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129" w:type="dxa"/>
                            <w:vMerge w:val="restart"/>
                          </w:tcPr>
                          <w:p>
                            <w:pPr>
                              <w:pStyle w:val="14"/>
                              <w:jc w:val="left"/>
                              <w:rPr>
                                <w:sz w:val="15"/>
                              </w:rPr>
                            </w:pPr>
                          </w:p>
                          <w:p>
                            <w:pPr>
                              <w:pStyle w:val="14"/>
                              <w:spacing w:line="278" w:lineRule="auto"/>
                              <w:ind w:left="143" w:right="130"/>
                              <w:jc w:val="left"/>
                              <w:rPr>
                                <w:sz w:val="21"/>
                              </w:rPr>
                            </w:pPr>
                            <w:r>
                              <w:rPr>
                                <w:sz w:val="21"/>
                              </w:rPr>
                              <w:t>林地、草地、园地</w:t>
                            </w:r>
                          </w:p>
                        </w:tc>
                        <w:tc>
                          <w:tcPr>
                            <w:tcW w:w="1311" w:type="dxa"/>
                          </w:tcPr>
                          <w:p>
                            <w:pPr>
                              <w:pStyle w:val="14"/>
                              <w:spacing w:before="22"/>
                              <w:ind w:left="212" w:right="201"/>
                              <w:rPr>
                                <w:sz w:val="21"/>
                              </w:rPr>
                            </w:pPr>
                            <w:r>
                              <w:rPr>
                                <w:sz w:val="21"/>
                              </w:rPr>
                              <w:t>轻度</w:t>
                            </w:r>
                          </w:p>
                        </w:tc>
                        <w:tc>
                          <w:tcPr>
                            <w:tcW w:w="1319" w:type="dxa"/>
                          </w:tcPr>
                          <w:p>
                            <w:pPr>
                              <w:pStyle w:val="14"/>
                              <w:spacing w:before="27"/>
                              <w:ind w:left="234" w:right="220"/>
                              <w:rPr>
                                <w:rFonts w:ascii="Calibri" w:hAnsi="Calibri"/>
                                <w:sz w:val="21"/>
                              </w:rPr>
                            </w:pPr>
                            <w:r>
                              <w:rPr>
                                <w:rFonts w:ascii="Calibri" w:hAnsi="Calibri"/>
                                <w:sz w:val="21"/>
                              </w:rPr>
                              <w:t>≤8.0</w:t>
                            </w:r>
                          </w:p>
                        </w:tc>
                        <w:tc>
                          <w:tcPr>
                            <w:tcW w:w="1319" w:type="dxa"/>
                          </w:tcPr>
                          <w:p>
                            <w:pPr>
                              <w:pStyle w:val="14"/>
                              <w:spacing w:before="27"/>
                              <w:ind w:left="232" w:right="220"/>
                              <w:rPr>
                                <w:rFonts w:ascii="Calibri" w:hAnsi="Calibri"/>
                                <w:sz w:val="21"/>
                              </w:rPr>
                            </w:pPr>
                            <w:r>
                              <w:rPr>
                                <w:rFonts w:ascii="Calibri" w:hAnsi="Calibri"/>
                                <w:sz w:val="21"/>
                              </w:rPr>
                              <w:t>≤20.0</w:t>
                            </w:r>
                          </w:p>
                        </w:tc>
                        <w:tc>
                          <w:tcPr>
                            <w:tcW w:w="1133" w:type="dxa"/>
                          </w:tcPr>
                          <w:p>
                            <w:pPr>
                              <w:pStyle w:val="14"/>
                              <w:spacing w:before="27"/>
                              <w:ind w:left="143" w:right="131"/>
                              <w:rPr>
                                <w:rFonts w:ascii="Calibri" w:hAnsi="Calibri"/>
                                <w:sz w:val="21"/>
                              </w:rPr>
                            </w:pPr>
                            <w:r>
                              <w:rPr>
                                <w:rFonts w:ascii="Calibri" w:hAnsi="Calibri"/>
                                <w:sz w:val="21"/>
                              </w:rPr>
                              <w:t>≤2.0</w:t>
                            </w:r>
                          </w:p>
                        </w:tc>
                        <w:tc>
                          <w:tcPr>
                            <w:tcW w:w="1133" w:type="dxa"/>
                          </w:tcPr>
                          <w:p>
                            <w:pPr>
                              <w:pStyle w:val="14"/>
                              <w:spacing w:before="27"/>
                              <w:ind w:left="381"/>
                              <w:jc w:val="left"/>
                              <w:rPr>
                                <w:rFonts w:ascii="Calibri" w:hAnsi="Calibri"/>
                                <w:sz w:val="21"/>
                              </w:rPr>
                            </w:pPr>
                            <w:r>
                              <w:rPr>
                                <w:rFonts w:ascii="Calibri" w:hAnsi="Calibri"/>
                                <w:sz w:val="21"/>
                              </w:rPr>
                              <w:t>≥1.0</w:t>
                            </w:r>
                          </w:p>
                        </w:tc>
                        <w:tc>
                          <w:tcPr>
                            <w:tcW w:w="1208" w:type="dxa"/>
                          </w:tcPr>
                          <w:p>
                            <w:pPr>
                              <w:pStyle w:val="14"/>
                              <w:spacing w:before="27"/>
                              <w:ind w:left="364"/>
                              <w:jc w:val="left"/>
                              <w:rPr>
                                <w:rFonts w:ascii="Calibri" w:hAnsi="Calibri"/>
                                <w:sz w:val="21"/>
                              </w:rPr>
                            </w:pPr>
                            <w:r>
                              <w:rPr>
                                <w:rFonts w:ascii="Calibri" w:hAnsi="Calibri"/>
                                <w:sz w:val="21"/>
                              </w:rP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129" w:type="dxa"/>
                            <w:vMerge w:val="continue"/>
                            <w:tcBorders>
                              <w:top w:val="nil"/>
                            </w:tcBorders>
                          </w:tcPr>
                          <w:p>
                            <w:pPr>
                              <w:rPr>
                                <w:sz w:val="2"/>
                                <w:szCs w:val="2"/>
                              </w:rPr>
                            </w:pPr>
                          </w:p>
                        </w:tc>
                        <w:tc>
                          <w:tcPr>
                            <w:tcW w:w="1311" w:type="dxa"/>
                          </w:tcPr>
                          <w:p>
                            <w:pPr>
                              <w:pStyle w:val="14"/>
                              <w:spacing w:before="21"/>
                              <w:ind w:left="212" w:right="201"/>
                              <w:rPr>
                                <w:sz w:val="21"/>
                              </w:rPr>
                            </w:pPr>
                            <w:r>
                              <w:rPr>
                                <w:sz w:val="21"/>
                              </w:rPr>
                              <w:t>中度</w:t>
                            </w:r>
                          </w:p>
                        </w:tc>
                        <w:tc>
                          <w:tcPr>
                            <w:tcW w:w="1319" w:type="dxa"/>
                          </w:tcPr>
                          <w:p>
                            <w:pPr>
                              <w:pStyle w:val="14"/>
                              <w:spacing w:before="29"/>
                              <w:ind w:left="232" w:right="220"/>
                              <w:rPr>
                                <w:rFonts w:ascii="Calibri"/>
                                <w:sz w:val="21"/>
                              </w:rPr>
                            </w:pPr>
                            <w:r>
                              <w:rPr>
                                <w:rFonts w:ascii="Calibri"/>
                                <w:sz w:val="21"/>
                              </w:rPr>
                              <w:t>8.0-20.0</w:t>
                            </w:r>
                          </w:p>
                        </w:tc>
                        <w:tc>
                          <w:tcPr>
                            <w:tcW w:w="1319" w:type="dxa"/>
                          </w:tcPr>
                          <w:p>
                            <w:pPr>
                              <w:pStyle w:val="14"/>
                              <w:spacing w:before="29"/>
                              <w:ind w:left="234" w:right="220"/>
                              <w:rPr>
                                <w:rFonts w:ascii="Calibri"/>
                                <w:sz w:val="21"/>
                              </w:rPr>
                            </w:pPr>
                            <w:r>
                              <w:rPr>
                                <w:rFonts w:ascii="Calibri"/>
                                <w:sz w:val="21"/>
                              </w:rPr>
                              <w:t>20.0-50.0</w:t>
                            </w:r>
                          </w:p>
                        </w:tc>
                        <w:tc>
                          <w:tcPr>
                            <w:tcW w:w="1133" w:type="dxa"/>
                          </w:tcPr>
                          <w:p>
                            <w:pPr>
                              <w:pStyle w:val="14"/>
                              <w:spacing w:before="29"/>
                              <w:ind w:left="143" w:right="131"/>
                              <w:rPr>
                                <w:rFonts w:ascii="Calibri"/>
                                <w:sz w:val="21"/>
                              </w:rPr>
                            </w:pPr>
                            <w:r>
                              <w:rPr>
                                <w:rFonts w:ascii="Calibri"/>
                                <w:sz w:val="21"/>
                              </w:rPr>
                              <w:t>2.0-6.0</w:t>
                            </w:r>
                          </w:p>
                        </w:tc>
                        <w:tc>
                          <w:tcPr>
                            <w:tcW w:w="1133" w:type="dxa"/>
                          </w:tcPr>
                          <w:p>
                            <w:pPr>
                              <w:pStyle w:val="14"/>
                              <w:spacing w:before="29"/>
                              <w:ind w:right="251"/>
                              <w:jc w:val="right"/>
                              <w:rPr>
                                <w:rFonts w:ascii="Calibri"/>
                                <w:sz w:val="21"/>
                              </w:rPr>
                            </w:pPr>
                            <w:r>
                              <w:rPr>
                                <w:rFonts w:ascii="Calibri"/>
                                <w:sz w:val="21"/>
                              </w:rPr>
                              <w:t>0.3-1.0</w:t>
                            </w:r>
                          </w:p>
                        </w:tc>
                        <w:tc>
                          <w:tcPr>
                            <w:tcW w:w="1208" w:type="dxa"/>
                          </w:tcPr>
                          <w:p>
                            <w:pPr>
                              <w:pStyle w:val="14"/>
                              <w:spacing w:before="29"/>
                              <w:ind w:right="264"/>
                              <w:jc w:val="right"/>
                              <w:rPr>
                                <w:rFonts w:ascii="Calibri"/>
                                <w:sz w:val="21"/>
                              </w:rPr>
                            </w:pPr>
                            <w:r>
                              <w:rPr>
                                <w:rFonts w:ascii="Calibri"/>
                                <w:w w:val="95"/>
                                <w:sz w:val="21"/>
                              </w:rPr>
                              <w:t>20-60.0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129" w:type="dxa"/>
                            <w:vMerge w:val="continue"/>
                            <w:tcBorders>
                              <w:top w:val="nil"/>
                            </w:tcBorders>
                          </w:tcPr>
                          <w:p>
                            <w:pPr>
                              <w:rPr>
                                <w:sz w:val="2"/>
                                <w:szCs w:val="2"/>
                              </w:rPr>
                            </w:pPr>
                          </w:p>
                        </w:tc>
                        <w:tc>
                          <w:tcPr>
                            <w:tcW w:w="1311" w:type="dxa"/>
                          </w:tcPr>
                          <w:p>
                            <w:pPr>
                              <w:pStyle w:val="14"/>
                              <w:spacing w:before="21"/>
                              <w:ind w:left="212" w:right="201"/>
                              <w:rPr>
                                <w:sz w:val="21"/>
                              </w:rPr>
                            </w:pPr>
                            <w:r>
                              <w:rPr>
                                <w:sz w:val="21"/>
                              </w:rPr>
                              <w:t>重度</w:t>
                            </w:r>
                          </w:p>
                        </w:tc>
                        <w:tc>
                          <w:tcPr>
                            <w:tcW w:w="1319" w:type="dxa"/>
                          </w:tcPr>
                          <w:p>
                            <w:pPr>
                              <w:pStyle w:val="14"/>
                              <w:spacing w:before="21"/>
                              <w:ind w:left="232" w:right="220"/>
                              <w:rPr>
                                <w:rFonts w:ascii="Calibri" w:eastAsia="Calibri"/>
                                <w:sz w:val="21"/>
                              </w:rPr>
                            </w:pPr>
                            <w:r>
                              <w:rPr>
                                <w:sz w:val="21"/>
                              </w:rPr>
                              <w:t>＞</w:t>
                            </w:r>
                            <w:r>
                              <w:rPr>
                                <w:rFonts w:ascii="Calibri" w:eastAsia="Calibri"/>
                                <w:sz w:val="21"/>
                              </w:rPr>
                              <w:t>20.0</w:t>
                            </w:r>
                          </w:p>
                        </w:tc>
                        <w:tc>
                          <w:tcPr>
                            <w:tcW w:w="1319" w:type="dxa"/>
                          </w:tcPr>
                          <w:p>
                            <w:pPr>
                              <w:pStyle w:val="14"/>
                              <w:spacing w:before="21"/>
                              <w:ind w:left="232" w:right="220"/>
                              <w:rPr>
                                <w:rFonts w:ascii="Calibri" w:eastAsia="Calibri"/>
                                <w:sz w:val="21"/>
                              </w:rPr>
                            </w:pPr>
                            <w:r>
                              <w:rPr>
                                <w:sz w:val="21"/>
                              </w:rPr>
                              <w:t>＞</w:t>
                            </w:r>
                            <w:r>
                              <w:rPr>
                                <w:rFonts w:ascii="Calibri" w:eastAsia="Calibri"/>
                                <w:sz w:val="21"/>
                              </w:rPr>
                              <w:t>50.0</w:t>
                            </w:r>
                          </w:p>
                        </w:tc>
                        <w:tc>
                          <w:tcPr>
                            <w:tcW w:w="1133" w:type="dxa"/>
                          </w:tcPr>
                          <w:p>
                            <w:pPr>
                              <w:pStyle w:val="14"/>
                              <w:spacing w:before="21"/>
                              <w:ind w:left="143" w:right="131"/>
                              <w:rPr>
                                <w:rFonts w:ascii="Calibri" w:eastAsia="Calibri"/>
                                <w:sz w:val="21"/>
                              </w:rPr>
                            </w:pPr>
                            <w:r>
                              <w:rPr>
                                <w:sz w:val="21"/>
                              </w:rPr>
                              <w:t>＞</w:t>
                            </w:r>
                            <w:r>
                              <w:rPr>
                                <w:rFonts w:ascii="Calibri" w:eastAsia="Calibri"/>
                                <w:sz w:val="21"/>
                              </w:rPr>
                              <w:t>6.0</w:t>
                            </w:r>
                          </w:p>
                        </w:tc>
                        <w:tc>
                          <w:tcPr>
                            <w:tcW w:w="1133" w:type="dxa"/>
                          </w:tcPr>
                          <w:p>
                            <w:pPr>
                              <w:pStyle w:val="14"/>
                              <w:spacing w:before="21"/>
                              <w:ind w:right="314"/>
                              <w:jc w:val="right"/>
                              <w:rPr>
                                <w:rFonts w:ascii="Calibri" w:eastAsia="Calibri"/>
                                <w:sz w:val="21"/>
                              </w:rPr>
                            </w:pPr>
                            <w:r>
                              <w:rPr>
                                <w:w w:val="95"/>
                                <w:sz w:val="21"/>
                              </w:rPr>
                              <w:t>＜</w:t>
                            </w:r>
                            <w:r>
                              <w:rPr>
                                <w:rFonts w:ascii="Calibri" w:eastAsia="Calibri"/>
                                <w:w w:val="95"/>
                                <w:sz w:val="21"/>
                              </w:rPr>
                              <w:t>0.3</w:t>
                            </w:r>
                          </w:p>
                        </w:tc>
                        <w:tc>
                          <w:tcPr>
                            <w:tcW w:w="1208" w:type="dxa"/>
                          </w:tcPr>
                          <w:p>
                            <w:pPr>
                              <w:pStyle w:val="14"/>
                              <w:spacing w:before="21"/>
                              <w:ind w:right="298"/>
                              <w:jc w:val="right"/>
                              <w:rPr>
                                <w:rFonts w:ascii="Calibri" w:eastAsia="Calibri"/>
                                <w:sz w:val="21"/>
                              </w:rPr>
                            </w:pPr>
                            <w:r>
                              <w:rPr>
                                <w:w w:val="95"/>
                                <w:sz w:val="21"/>
                              </w:rPr>
                              <w:t>＞</w:t>
                            </w:r>
                            <w:r>
                              <w:rPr>
                                <w:rFonts w:ascii="Calibri" w:eastAsia="Calibri"/>
                                <w:w w:val="95"/>
                                <w:sz w:val="21"/>
                              </w:rPr>
                              <w:t>60.0</w:t>
                            </w:r>
                          </w:p>
                        </w:tc>
                      </w:tr>
                    </w:tbl>
                    <w:p>
                      <w:pPr>
                        <w:pStyle w:val="6"/>
                      </w:pPr>
                    </w:p>
                  </w:txbxContent>
                </v:textbox>
              </v:shape>
            </w:pict>
          </mc:Fallback>
        </mc:AlternateContent>
      </w:r>
      <w:r>
        <w:rPr>
          <w:sz w:val="24"/>
        </w:rPr>
        <w:t>联系起来以便于进行计算和对比。根据现场调查、观测和地表移动变形预计资料 的综合分析</w:t>
      </w:r>
      <w:r>
        <w:rPr>
          <w:spacing w:val="-60"/>
          <w:sz w:val="24"/>
        </w:rPr>
        <w:t>，</w:t>
      </w:r>
      <w:r>
        <w:rPr>
          <w:sz w:val="24"/>
        </w:rPr>
        <w:t>在区域煤层大面积开采条件下</w:t>
      </w:r>
      <w:r>
        <w:rPr>
          <w:spacing w:val="-60"/>
          <w:sz w:val="24"/>
        </w:rPr>
        <w:t>，</w:t>
      </w:r>
      <w:r>
        <w:rPr>
          <w:sz w:val="24"/>
        </w:rPr>
        <w:t>土地破坏等级分级情况可参考下表</w:t>
      </w:r>
      <w:r>
        <w:rPr>
          <w:spacing w:val="-19"/>
          <w:sz w:val="24"/>
        </w:rPr>
        <w:t>。</w:t>
      </w:r>
      <w:r>
        <w:rPr>
          <w:b/>
          <w:sz w:val="21"/>
        </w:rPr>
        <w:t>表</w:t>
      </w:r>
      <w:r>
        <w:rPr>
          <w:b/>
          <w:spacing w:val="-52"/>
          <w:sz w:val="21"/>
        </w:rPr>
        <w:t xml:space="preserve"> </w:t>
      </w:r>
      <w:r>
        <w:rPr>
          <w:b/>
          <w:sz w:val="21"/>
        </w:rPr>
        <w:t>5.3-3</w:t>
      </w:r>
      <w:r>
        <w:rPr>
          <w:b/>
          <w:sz w:val="21"/>
        </w:rPr>
        <w:tab/>
      </w:r>
      <w:r>
        <w:rPr>
          <w:b/>
          <w:sz w:val="21"/>
        </w:rPr>
        <w:t>待复垦土地损毁程度分级标准</w:t>
      </w: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spacing w:before="6"/>
        <w:rPr>
          <w:b/>
          <w:sz w:val="20"/>
        </w:rPr>
      </w:pPr>
    </w:p>
    <w:p>
      <w:pPr>
        <w:pStyle w:val="6"/>
        <w:spacing w:line="364" w:lineRule="auto"/>
        <w:ind w:left="451" w:right="453" w:firstLine="480"/>
        <w:jc w:val="both"/>
      </w:pPr>
      <w:r>
        <w:t>本矿山开采结束后产生的沉陷区范围的地类为旱地、果园、有林地、农村道路、河流、坑塘水面、祼地、村庄用地和采矿用地等，经系统分析与预测沉陷造成的破坏对旱地、林地、园地的程度均为轻度。沉陷情况详见下图</w:t>
      </w:r>
    </w:p>
    <w:p>
      <w:pPr>
        <w:spacing w:after="0" w:line="364" w:lineRule="auto"/>
        <w:jc w:val="both"/>
        <w:sectPr>
          <w:pgSz w:w="11910" w:h="16840"/>
          <w:pgMar w:top="1460" w:right="1300" w:bottom="1180" w:left="1300" w:header="0" w:footer="997" w:gutter="0"/>
        </w:sectPr>
      </w:pPr>
    </w:p>
    <w:p>
      <w:pPr>
        <w:pStyle w:val="6"/>
        <w:ind w:left="522"/>
        <w:rPr>
          <w:sz w:val="20"/>
        </w:rPr>
      </w:pPr>
      <w:r>
        <w:rPr>
          <w:sz w:val="20"/>
        </w:rPr>
        <w:drawing>
          <wp:inline distT="0" distB="0" distL="0" distR="0">
            <wp:extent cx="4650740" cy="4173855"/>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4.jpeg"/>
                    <pic:cNvPicPr>
                      <a:picLocks noChangeAspect="1"/>
                    </pic:cNvPicPr>
                  </pic:nvPicPr>
                  <pic:blipFill>
                    <a:blip r:embed="rId59" cstate="print"/>
                    <a:stretch>
                      <a:fillRect/>
                    </a:stretch>
                  </pic:blipFill>
                  <pic:spPr>
                    <a:xfrm>
                      <a:off x="0" y="0"/>
                      <a:ext cx="4651079" cy="4174236"/>
                    </a:xfrm>
                    <a:prstGeom prst="rect">
                      <a:avLst/>
                    </a:prstGeom>
                  </pic:spPr>
                </pic:pic>
              </a:graphicData>
            </a:graphic>
          </wp:inline>
        </w:drawing>
      </w:r>
    </w:p>
    <w:p>
      <w:pPr>
        <w:pStyle w:val="6"/>
        <w:spacing w:before="3"/>
        <w:rPr>
          <w:sz w:val="9"/>
        </w:rPr>
      </w:pPr>
    </w:p>
    <w:p>
      <w:pPr>
        <w:spacing w:before="77"/>
        <w:ind w:left="2856" w:right="0" w:firstLine="0"/>
        <w:jc w:val="both"/>
        <w:rPr>
          <w:b/>
          <w:sz w:val="21"/>
        </w:rPr>
      </w:pPr>
      <w:r>
        <w:rPr>
          <w:sz w:val="24"/>
        </w:rPr>
        <w:t xml:space="preserve">图 </w:t>
      </w:r>
      <w:r>
        <w:rPr>
          <w:rFonts w:ascii="Times New Roman" w:eastAsia="Times New Roman"/>
          <w:b/>
          <w:sz w:val="24"/>
        </w:rPr>
        <w:t xml:space="preserve">5.3-1 </w:t>
      </w:r>
      <w:r>
        <w:rPr>
          <w:b/>
          <w:sz w:val="21"/>
        </w:rPr>
        <w:t>沉陷所占地类及沉陷等值线图</w:t>
      </w:r>
    </w:p>
    <w:p>
      <w:pPr>
        <w:pStyle w:val="6"/>
        <w:spacing w:before="81" w:line="364" w:lineRule="auto"/>
        <w:ind w:left="451" w:right="449" w:firstLine="480"/>
        <w:jc w:val="both"/>
        <w:rPr>
          <w:rFonts w:ascii="Times New Roman" w:eastAsia="Times New Roman"/>
        </w:rPr>
      </w:pPr>
      <w:r>
        <w:rPr>
          <w:spacing w:val="-1"/>
        </w:rPr>
        <w:t>矿山处于丘陵区域，地表有起伏，本方案适用年限内，双鸭山大顺矿业有限</w:t>
      </w:r>
      <w:r>
        <w:rPr>
          <w:spacing w:val="-5"/>
        </w:rPr>
        <w:t xml:space="preserve">公司拟损毁土地主要为预测沉陷，预测矿山最大沉陷面积为 </w:t>
      </w:r>
      <w:r>
        <w:rPr>
          <w:rFonts w:ascii="Times New Roman" w:eastAsia="Times New Roman"/>
        </w:rPr>
        <w:t xml:space="preserve">327.9211 </w:t>
      </w:r>
      <w:r>
        <w:rPr>
          <w:spacing w:val="-8"/>
        </w:rPr>
        <w:t>公顷。由于</w:t>
      </w:r>
      <w:r>
        <w:rPr>
          <w:spacing w:val="-1"/>
        </w:rPr>
        <w:t>双鸭山大顺矿业有限公司开采煤层较薄，已生产多年，已产生的沉陷程度及规格较小，预测的地面沉陷加大可能性也很小，结合实际地形在未来也不一定出现大的沉陷坑，不会影响当地人民的生产与生活，故只将预测沉陷范围纳入拟损毁土</w:t>
      </w:r>
      <w:r>
        <w:t>地面积，不纳入土地复垦责任范围。沉陷区土地利用现状详见下表</w:t>
      </w:r>
      <w:r>
        <w:rPr>
          <w:rFonts w:ascii="Times New Roman" w:eastAsia="Times New Roman"/>
        </w:rPr>
        <w:t>.</w:t>
      </w:r>
    </w:p>
    <w:p>
      <w:pPr>
        <w:tabs>
          <w:tab w:val="left" w:pos="922"/>
        </w:tabs>
        <w:spacing w:before="0" w:after="22" w:line="214" w:lineRule="exact"/>
        <w:ind w:left="12" w:right="0" w:firstLine="0"/>
        <w:jc w:val="center"/>
        <w:rPr>
          <w:b/>
          <w:sz w:val="21"/>
        </w:rPr>
      </w:pPr>
      <w:r>
        <w:rPr>
          <w:b/>
          <w:sz w:val="21"/>
        </w:rPr>
        <w:t>表</w:t>
      </w:r>
      <w:r>
        <w:rPr>
          <w:b/>
          <w:spacing w:val="-55"/>
          <w:sz w:val="21"/>
        </w:rPr>
        <w:t xml:space="preserve"> </w:t>
      </w:r>
      <w:r>
        <w:rPr>
          <w:rFonts w:ascii="Times New Roman" w:eastAsia="Times New Roman"/>
          <w:b/>
          <w:sz w:val="21"/>
        </w:rPr>
        <w:t>5.3-4</w:t>
      </w:r>
      <w:r>
        <w:rPr>
          <w:rFonts w:ascii="Times New Roman" w:eastAsia="Times New Roman"/>
          <w:b/>
          <w:sz w:val="21"/>
        </w:rPr>
        <w:tab/>
      </w:r>
      <w:r>
        <w:rPr>
          <w:b/>
          <w:sz w:val="21"/>
        </w:rPr>
        <w:t>预测沉陷</w:t>
      </w:r>
      <w:r>
        <w:rPr>
          <w:b/>
          <w:spacing w:val="4"/>
          <w:sz w:val="21"/>
        </w:rPr>
        <w:t>区</w:t>
      </w:r>
      <w:r>
        <w:rPr>
          <w:b/>
          <w:sz w:val="21"/>
        </w:rPr>
        <w:t>土地利用现状面积统计表</w:t>
      </w:r>
    </w:p>
    <w:tbl>
      <w:tblPr>
        <w:tblStyle w:val="10"/>
        <w:tblW w:w="0" w:type="auto"/>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1"/>
        <w:gridCol w:w="2823"/>
        <w:gridCol w:w="789"/>
        <w:gridCol w:w="1500"/>
        <w:gridCol w:w="1582"/>
        <w:gridCol w:w="10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614" w:type="dxa"/>
            <w:gridSpan w:val="2"/>
          </w:tcPr>
          <w:p>
            <w:pPr>
              <w:pStyle w:val="14"/>
              <w:spacing w:before="41"/>
              <w:ind w:left="1426" w:right="1417"/>
              <w:rPr>
                <w:sz w:val="18"/>
              </w:rPr>
            </w:pPr>
            <w:r>
              <w:rPr>
                <w:sz w:val="18"/>
              </w:rPr>
              <w:t>一级地类</w:t>
            </w:r>
          </w:p>
        </w:tc>
        <w:tc>
          <w:tcPr>
            <w:tcW w:w="2289" w:type="dxa"/>
            <w:gridSpan w:val="2"/>
          </w:tcPr>
          <w:p>
            <w:pPr>
              <w:pStyle w:val="14"/>
              <w:spacing w:before="41"/>
              <w:ind w:left="762" w:right="756"/>
              <w:rPr>
                <w:sz w:val="18"/>
              </w:rPr>
            </w:pPr>
            <w:r>
              <w:rPr>
                <w:sz w:val="18"/>
              </w:rPr>
              <w:t>二级地类</w:t>
            </w:r>
          </w:p>
        </w:tc>
        <w:tc>
          <w:tcPr>
            <w:tcW w:w="1582" w:type="dxa"/>
            <w:vMerge w:val="restart"/>
          </w:tcPr>
          <w:p>
            <w:pPr>
              <w:pStyle w:val="14"/>
              <w:spacing w:before="10"/>
              <w:jc w:val="left"/>
              <w:rPr>
                <w:b/>
                <w:sz w:val="15"/>
              </w:rPr>
            </w:pPr>
          </w:p>
          <w:p>
            <w:pPr>
              <w:pStyle w:val="14"/>
              <w:ind w:left="432" w:right="424"/>
              <w:rPr>
                <w:sz w:val="18"/>
              </w:rPr>
            </w:pPr>
            <w:r>
              <w:rPr>
                <w:sz w:val="18"/>
              </w:rPr>
              <w:t>面积</w:t>
            </w:r>
          </w:p>
        </w:tc>
        <w:tc>
          <w:tcPr>
            <w:tcW w:w="1038" w:type="dxa"/>
            <w:vMerge w:val="restart"/>
          </w:tcPr>
          <w:p>
            <w:pPr>
              <w:pStyle w:val="14"/>
              <w:spacing w:before="10"/>
              <w:jc w:val="left"/>
              <w:rPr>
                <w:b/>
                <w:sz w:val="15"/>
              </w:rPr>
            </w:pPr>
          </w:p>
          <w:p>
            <w:pPr>
              <w:pStyle w:val="14"/>
              <w:ind w:left="338"/>
              <w:jc w:val="left"/>
              <w:rPr>
                <w:sz w:val="18"/>
              </w:rPr>
            </w:pPr>
            <w:r>
              <w:rPr>
                <w:sz w:val="18"/>
              </w:rPr>
              <w:t>占比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91" w:type="dxa"/>
          </w:tcPr>
          <w:p>
            <w:pPr>
              <w:pStyle w:val="14"/>
              <w:spacing w:before="41"/>
              <w:ind w:left="195" w:right="185"/>
              <w:rPr>
                <w:sz w:val="18"/>
              </w:rPr>
            </w:pPr>
            <w:r>
              <w:rPr>
                <w:sz w:val="18"/>
              </w:rPr>
              <w:t>编码</w:t>
            </w:r>
          </w:p>
        </w:tc>
        <w:tc>
          <w:tcPr>
            <w:tcW w:w="2823" w:type="dxa"/>
          </w:tcPr>
          <w:p>
            <w:pPr>
              <w:pStyle w:val="14"/>
              <w:spacing w:before="41"/>
              <w:ind w:left="578" w:right="572"/>
              <w:rPr>
                <w:sz w:val="18"/>
              </w:rPr>
            </w:pPr>
            <w:r>
              <w:rPr>
                <w:sz w:val="18"/>
              </w:rPr>
              <w:t>名称</w:t>
            </w:r>
          </w:p>
        </w:tc>
        <w:tc>
          <w:tcPr>
            <w:tcW w:w="789" w:type="dxa"/>
          </w:tcPr>
          <w:p>
            <w:pPr>
              <w:pStyle w:val="14"/>
              <w:spacing w:before="41"/>
              <w:ind w:left="213"/>
              <w:jc w:val="left"/>
              <w:rPr>
                <w:sz w:val="18"/>
              </w:rPr>
            </w:pPr>
            <w:r>
              <w:rPr>
                <w:sz w:val="18"/>
              </w:rPr>
              <w:t>编码</w:t>
            </w:r>
          </w:p>
        </w:tc>
        <w:tc>
          <w:tcPr>
            <w:tcW w:w="1500" w:type="dxa"/>
          </w:tcPr>
          <w:p>
            <w:pPr>
              <w:pStyle w:val="14"/>
              <w:spacing w:before="41"/>
              <w:ind w:left="369" w:right="360"/>
              <w:rPr>
                <w:sz w:val="18"/>
              </w:rPr>
            </w:pPr>
            <w:r>
              <w:rPr>
                <w:sz w:val="18"/>
              </w:rPr>
              <w:t>名称</w:t>
            </w:r>
          </w:p>
        </w:tc>
        <w:tc>
          <w:tcPr>
            <w:tcW w:w="1582" w:type="dxa"/>
            <w:vMerge w:val="continue"/>
            <w:tcBorders>
              <w:top w:val="nil"/>
            </w:tcBorders>
          </w:tcPr>
          <w:p>
            <w:pPr>
              <w:rPr>
                <w:sz w:val="2"/>
                <w:szCs w:val="2"/>
              </w:rPr>
            </w:pPr>
          </w:p>
        </w:tc>
        <w:tc>
          <w:tcPr>
            <w:tcW w:w="103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91" w:type="dxa"/>
          </w:tcPr>
          <w:p>
            <w:pPr>
              <w:pStyle w:val="14"/>
              <w:spacing w:before="47"/>
              <w:ind w:left="195" w:right="185"/>
              <w:rPr>
                <w:rFonts w:ascii="Calibri"/>
                <w:sz w:val="18"/>
              </w:rPr>
            </w:pPr>
            <w:r>
              <w:rPr>
                <w:rFonts w:ascii="Calibri"/>
                <w:sz w:val="18"/>
              </w:rPr>
              <w:t>01</w:t>
            </w:r>
          </w:p>
        </w:tc>
        <w:tc>
          <w:tcPr>
            <w:tcW w:w="2823" w:type="dxa"/>
          </w:tcPr>
          <w:p>
            <w:pPr>
              <w:pStyle w:val="14"/>
              <w:spacing w:before="41"/>
              <w:ind w:left="578" w:right="572"/>
              <w:rPr>
                <w:sz w:val="18"/>
              </w:rPr>
            </w:pPr>
            <w:r>
              <w:rPr>
                <w:sz w:val="18"/>
              </w:rPr>
              <w:t>耕地</w:t>
            </w:r>
          </w:p>
        </w:tc>
        <w:tc>
          <w:tcPr>
            <w:tcW w:w="789" w:type="dxa"/>
          </w:tcPr>
          <w:p>
            <w:pPr>
              <w:pStyle w:val="14"/>
              <w:spacing w:before="47"/>
              <w:ind w:left="256"/>
              <w:jc w:val="left"/>
              <w:rPr>
                <w:rFonts w:ascii="Calibri"/>
                <w:sz w:val="18"/>
              </w:rPr>
            </w:pPr>
            <w:r>
              <w:rPr>
                <w:rFonts w:ascii="Calibri"/>
                <w:sz w:val="18"/>
              </w:rPr>
              <w:t>013</w:t>
            </w:r>
          </w:p>
        </w:tc>
        <w:tc>
          <w:tcPr>
            <w:tcW w:w="1500" w:type="dxa"/>
          </w:tcPr>
          <w:p>
            <w:pPr>
              <w:pStyle w:val="14"/>
              <w:spacing w:before="41"/>
              <w:ind w:left="369" w:right="360"/>
              <w:rPr>
                <w:sz w:val="18"/>
              </w:rPr>
            </w:pPr>
            <w:r>
              <w:rPr>
                <w:sz w:val="18"/>
              </w:rPr>
              <w:t>旱地</w:t>
            </w:r>
          </w:p>
        </w:tc>
        <w:tc>
          <w:tcPr>
            <w:tcW w:w="1582" w:type="dxa"/>
          </w:tcPr>
          <w:p>
            <w:pPr>
              <w:pStyle w:val="14"/>
              <w:spacing w:before="52"/>
              <w:ind w:left="432" w:right="423"/>
              <w:rPr>
                <w:rFonts w:ascii="Times New Roman"/>
                <w:sz w:val="18"/>
              </w:rPr>
            </w:pPr>
            <w:r>
              <w:rPr>
                <w:rFonts w:ascii="Times New Roman"/>
                <w:sz w:val="18"/>
              </w:rPr>
              <w:t>55.9479</w:t>
            </w:r>
          </w:p>
        </w:tc>
        <w:tc>
          <w:tcPr>
            <w:tcW w:w="1038" w:type="dxa"/>
          </w:tcPr>
          <w:p>
            <w:pPr>
              <w:pStyle w:val="14"/>
              <w:spacing w:before="47"/>
              <w:ind w:left="135" w:right="124"/>
              <w:rPr>
                <w:rFonts w:ascii="Calibri"/>
                <w:sz w:val="18"/>
              </w:rPr>
            </w:pPr>
            <w:r>
              <w:rPr>
                <w:rFonts w:ascii="Calibri"/>
                <w:sz w:val="18"/>
              </w:rPr>
              <w:t>17.06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91" w:type="dxa"/>
          </w:tcPr>
          <w:p>
            <w:pPr>
              <w:pStyle w:val="14"/>
              <w:spacing w:before="46"/>
              <w:ind w:left="195" w:right="185"/>
              <w:rPr>
                <w:rFonts w:ascii="Calibri"/>
                <w:sz w:val="18"/>
              </w:rPr>
            </w:pPr>
            <w:r>
              <w:rPr>
                <w:rFonts w:ascii="Calibri"/>
                <w:sz w:val="18"/>
              </w:rPr>
              <w:t>02</w:t>
            </w:r>
          </w:p>
        </w:tc>
        <w:tc>
          <w:tcPr>
            <w:tcW w:w="2823" w:type="dxa"/>
          </w:tcPr>
          <w:p>
            <w:pPr>
              <w:pStyle w:val="14"/>
              <w:spacing w:before="40"/>
              <w:ind w:left="578" w:right="572"/>
              <w:rPr>
                <w:sz w:val="18"/>
              </w:rPr>
            </w:pPr>
            <w:r>
              <w:rPr>
                <w:sz w:val="18"/>
              </w:rPr>
              <w:t>园地</w:t>
            </w:r>
          </w:p>
        </w:tc>
        <w:tc>
          <w:tcPr>
            <w:tcW w:w="789" w:type="dxa"/>
          </w:tcPr>
          <w:p>
            <w:pPr>
              <w:pStyle w:val="14"/>
              <w:spacing w:before="46"/>
              <w:ind w:left="256"/>
              <w:jc w:val="left"/>
              <w:rPr>
                <w:rFonts w:ascii="Calibri"/>
                <w:sz w:val="18"/>
              </w:rPr>
            </w:pPr>
            <w:r>
              <w:rPr>
                <w:rFonts w:ascii="Calibri"/>
                <w:sz w:val="18"/>
              </w:rPr>
              <w:t>023</w:t>
            </w:r>
          </w:p>
        </w:tc>
        <w:tc>
          <w:tcPr>
            <w:tcW w:w="1500" w:type="dxa"/>
          </w:tcPr>
          <w:p>
            <w:pPr>
              <w:pStyle w:val="14"/>
              <w:spacing w:before="40"/>
              <w:ind w:left="369" w:right="360"/>
              <w:rPr>
                <w:sz w:val="18"/>
              </w:rPr>
            </w:pPr>
            <w:r>
              <w:rPr>
                <w:sz w:val="18"/>
              </w:rPr>
              <w:t>其他园地</w:t>
            </w:r>
          </w:p>
        </w:tc>
        <w:tc>
          <w:tcPr>
            <w:tcW w:w="1582" w:type="dxa"/>
          </w:tcPr>
          <w:p>
            <w:pPr>
              <w:pStyle w:val="14"/>
              <w:spacing w:before="52"/>
              <w:ind w:left="432" w:right="423"/>
              <w:rPr>
                <w:rFonts w:ascii="Times New Roman"/>
                <w:sz w:val="18"/>
              </w:rPr>
            </w:pPr>
            <w:r>
              <w:rPr>
                <w:rFonts w:ascii="Times New Roman"/>
                <w:sz w:val="18"/>
              </w:rPr>
              <w:t>1.1141</w:t>
            </w:r>
          </w:p>
        </w:tc>
        <w:tc>
          <w:tcPr>
            <w:tcW w:w="1038" w:type="dxa"/>
          </w:tcPr>
          <w:p>
            <w:pPr>
              <w:pStyle w:val="14"/>
              <w:spacing w:before="46"/>
              <w:ind w:left="136" w:right="124"/>
              <w:rPr>
                <w:rFonts w:ascii="Calibri"/>
                <w:sz w:val="18"/>
              </w:rPr>
            </w:pPr>
            <w:r>
              <w:rPr>
                <w:rFonts w:ascii="Calibri"/>
                <w:sz w:val="18"/>
              </w:rPr>
              <w:t>0.34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91" w:type="dxa"/>
          </w:tcPr>
          <w:p>
            <w:pPr>
              <w:pStyle w:val="14"/>
              <w:spacing w:before="46"/>
              <w:ind w:left="195" w:right="185"/>
              <w:rPr>
                <w:rFonts w:ascii="Calibri"/>
                <w:sz w:val="18"/>
              </w:rPr>
            </w:pPr>
            <w:r>
              <w:rPr>
                <w:rFonts w:ascii="Calibri"/>
                <w:sz w:val="18"/>
              </w:rPr>
              <w:t>03</w:t>
            </w:r>
          </w:p>
        </w:tc>
        <w:tc>
          <w:tcPr>
            <w:tcW w:w="2823" w:type="dxa"/>
          </w:tcPr>
          <w:p>
            <w:pPr>
              <w:pStyle w:val="14"/>
              <w:spacing w:before="40"/>
              <w:ind w:left="578" w:right="572"/>
              <w:rPr>
                <w:sz w:val="18"/>
              </w:rPr>
            </w:pPr>
            <w:r>
              <w:rPr>
                <w:sz w:val="18"/>
              </w:rPr>
              <w:t>林地</w:t>
            </w:r>
          </w:p>
        </w:tc>
        <w:tc>
          <w:tcPr>
            <w:tcW w:w="789" w:type="dxa"/>
          </w:tcPr>
          <w:p>
            <w:pPr>
              <w:pStyle w:val="14"/>
              <w:spacing w:before="46"/>
              <w:ind w:left="256"/>
              <w:jc w:val="left"/>
              <w:rPr>
                <w:rFonts w:ascii="Calibri"/>
                <w:sz w:val="18"/>
              </w:rPr>
            </w:pPr>
            <w:r>
              <w:rPr>
                <w:rFonts w:ascii="Calibri"/>
                <w:sz w:val="18"/>
              </w:rPr>
              <w:t>031</w:t>
            </w:r>
          </w:p>
        </w:tc>
        <w:tc>
          <w:tcPr>
            <w:tcW w:w="1500" w:type="dxa"/>
          </w:tcPr>
          <w:p>
            <w:pPr>
              <w:pStyle w:val="14"/>
              <w:spacing w:before="40"/>
              <w:ind w:left="369" w:right="358"/>
              <w:rPr>
                <w:sz w:val="18"/>
              </w:rPr>
            </w:pPr>
            <w:r>
              <w:rPr>
                <w:sz w:val="18"/>
              </w:rPr>
              <w:t>有林地</w:t>
            </w:r>
          </w:p>
        </w:tc>
        <w:tc>
          <w:tcPr>
            <w:tcW w:w="1582" w:type="dxa"/>
          </w:tcPr>
          <w:p>
            <w:pPr>
              <w:pStyle w:val="14"/>
              <w:spacing w:before="52"/>
              <w:ind w:left="432" w:right="425"/>
              <w:rPr>
                <w:rFonts w:ascii="Times New Roman"/>
                <w:sz w:val="18"/>
              </w:rPr>
            </w:pPr>
            <w:r>
              <w:rPr>
                <w:rFonts w:ascii="Times New Roman"/>
                <w:sz w:val="18"/>
              </w:rPr>
              <w:t>226.7994</w:t>
            </w:r>
          </w:p>
        </w:tc>
        <w:tc>
          <w:tcPr>
            <w:tcW w:w="1038" w:type="dxa"/>
          </w:tcPr>
          <w:p>
            <w:pPr>
              <w:pStyle w:val="14"/>
              <w:spacing w:before="46"/>
              <w:ind w:left="135" w:right="124"/>
              <w:rPr>
                <w:rFonts w:ascii="Calibri"/>
                <w:sz w:val="18"/>
              </w:rPr>
            </w:pPr>
            <w:r>
              <w:rPr>
                <w:rFonts w:ascii="Calibri"/>
                <w:sz w:val="18"/>
              </w:rPr>
              <w:t>69.16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91" w:type="dxa"/>
          </w:tcPr>
          <w:p>
            <w:pPr>
              <w:pStyle w:val="14"/>
              <w:spacing w:before="46"/>
              <w:ind w:left="195" w:right="185"/>
              <w:rPr>
                <w:rFonts w:ascii="Calibri"/>
                <w:sz w:val="18"/>
              </w:rPr>
            </w:pPr>
            <w:r>
              <w:rPr>
                <w:rFonts w:ascii="Calibri"/>
                <w:sz w:val="18"/>
              </w:rPr>
              <w:t>10</w:t>
            </w:r>
          </w:p>
        </w:tc>
        <w:tc>
          <w:tcPr>
            <w:tcW w:w="2823" w:type="dxa"/>
          </w:tcPr>
          <w:p>
            <w:pPr>
              <w:pStyle w:val="14"/>
              <w:spacing w:before="42"/>
              <w:ind w:left="578" w:right="572"/>
              <w:rPr>
                <w:sz w:val="18"/>
              </w:rPr>
            </w:pPr>
            <w:r>
              <w:rPr>
                <w:sz w:val="18"/>
              </w:rPr>
              <w:t>交通设施用地</w:t>
            </w:r>
          </w:p>
        </w:tc>
        <w:tc>
          <w:tcPr>
            <w:tcW w:w="789" w:type="dxa"/>
          </w:tcPr>
          <w:p>
            <w:pPr>
              <w:pStyle w:val="14"/>
              <w:spacing w:before="46"/>
              <w:ind w:left="256"/>
              <w:jc w:val="left"/>
              <w:rPr>
                <w:rFonts w:ascii="Calibri"/>
                <w:sz w:val="18"/>
              </w:rPr>
            </w:pPr>
            <w:r>
              <w:rPr>
                <w:rFonts w:ascii="Calibri"/>
                <w:sz w:val="18"/>
              </w:rPr>
              <w:t>104</w:t>
            </w:r>
          </w:p>
        </w:tc>
        <w:tc>
          <w:tcPr>
            <w:tcW w:w="1500" w:type="dxa"/>
          </w:tcPr>
          <w:p>
            <w:pPr>
              <w:pStyle w:val="14"/>
              <w:spacing w:before="42"/>
              <w:ind w:left="369" w:right="360"/>
              <w:rPr>
                <w:sz w:val="18"/>
              </w:rPr>
            </w:pPr>
            <w:r>
              <w:rPr>
                <w:sz w:val="18"/>
              </w:rPr>
              <w:t>农村道路</w:t>
            </w:r>
          </w:p>
        </w:tc>
        <w:tc>
          <w:tcPr>
            <w:tcW w:w="1582" w:type="dxa"/>
          </w:tcPr>
          <w:p>
            <w:pPr>
              <w:pStyle w:val="14"/>
              <w:spacing w:before="51"/>
              <w:ind w:left="432" w:right="423"/>
              <w:rPr>
                <w:rFonts w:ascii="Times New Roman"/>
                <w:sz w:val="18"/>
              </w:rPr>
            </w:pPr>
            <w:r>
              <w:rPr>
                <w:rFonts w:ascii="Times New Roman"/>
                <w:sz w:val="18"/>
              </w:rPr>
              <w:t>10.9999</w:t>
            </w:r>
          </w:p>
        </w:tc>
        <w:tc>
          <w:tcPr>
            <w:tcW w:w="1038" w:type="dxa"/>
          </w:tcPr>
          <w:p>
            <w:pPr>
              <w:pStyle w:val="14"/>
              <w:spacing w:before="46"/>
              <w:ind w:left="136" w:right="124"/>
              <w:rPr>
                <w:rFonts w:ascii="Calibri"/>
                <w:sz w:val="18"/>
              </w:rPr>
            </w:pPr>
            <w:r>
              <w:rPr>
                <w:rFonts w:ascii="Calibri"/>
                <w:sz w:val="18"/>
              </w:rPr>
              <w:t>3.35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91" w:type="dxa"/>
          </w:tcPr>
          <w:p>
            <w:pPr>
              <w:pStyle w:val="14"/>
              <w:spacing w:before="48"/>
              <w:ind w:left="195" w:right="185"/>
              <w:rPr>
                <w:rFonts w:ascii="Calibri"/>
                <w:sz w:val="18"/>
              </w:rPr>
            </w:pPr>
            <w:r>
              <w:rPr>
                <w:rFonts w:ascii="Calibri"/>
                <w:sz w:val="18"/>
              </w:rPr>
              <w:t>11</w:t>
            </w:r>
          </w:p>
        </w:tc>
        <w:tc>
          <w:tcPr>
            <w:tcW w:w="2823" w:type="dxa"/>
          </w:tcPr>
          <w:p>
            <w:pPr>
              <w:pStyle w:val="14"/>
              <w:spacing w:before="41"/>
              <w:ind w:left="580" w:right="572"/>
              <w:rPr>
                <w:sz w:val="18"/>
              </w:rPr>
            </w:pPr>
            <w:r>
              <w:rPr>
                <w:sz w:val="18"/>
              </w:rPr>
              <w:t>水域及水利设施用地</w:t>
            </w:r>
          </w:p>
        </w:tc>
        <w:tc>
          <w:tcPr>
            <w:tcW w:w="789" w:type="dxa"/>
          </w:tcPr>
          <w:p>
            <w:pPr>
              <w:pStyle w:val="14"/>
              <w:spacing w:before="48"/>
              <w:ind w:left="256"/>
              <w:jc w:val="left"/>
              <w:rPr>
                <w:rFonts w:ascii="Calibri"/>
                <w:sz w:val="18"/>
              </w:rPr>
            </w:pPr>
            <w:r>
              <w:rPr>
                <w:rFonts w:ascii="Calibri"/>
                <w:sz w:val="18"/>
              </w:rPr>
              <w:t>111</w:t>
            </w:r>
          </w:p>
        </w:tc>
        <w:tc>
          <w:tcPr>
            <w:tcW w:w="1500" w:type="dxa"/>
          </w:tcPr>
          <w:p>
            <w:pPr>
              <w:pStyle w:val="14"/>
              <w:spacing w:before="41"/>
              <w:ind w:left="369" w:right="360"/>
              <w:rPr>
                <w:sz w:val="18"/>
              </w:rPr>
            </w:pPr>
            <w:r>
              <w:rPr>
                <w:sz w:val="18"/>
              </w:rPr>
              <w:t>河流</w:t>
            </w:r>
          </w:p>
        </w:tc>
        <w:tc>
          <w:tcPr>
            <w:tcW w:w="1582" w:type="dxa"/>
          </w:tcPr>
          <w:p>
            <w:pPr>
              <w:pStyle w:val="14"/>
              <w:spacing w:before="51"/>
              <w:ind w:left="432" w:right="423"/>
              <w:rPr>
                <w:rFonts w:ascii="Times New Roman"/>
                <w:sz w:val="18"/>
              </w:rPr>
            </w:pPr>
            <w:r>
              <w:rPr>
                <w:rFonts w:ascii="Times New Roman"/>
                <w:sz w:val="18"/>
              </w:rPr>
              <w:t>0.6426</w:t>
            </w:r>
          </w:p>
        </w:tc>
        <w:tc>
          <w:tcPr>
            <w:tcW w:w="1038" w:type="dxa"/>
          </w:tcPr>
          <w:p>
            <w:pPr>
              <w:pStyle w:val="14"/>
              <w:spacing w:before="48"/>
              <w:ind w:left="136" w:right="124"/>
              <w:rPr>
                <w:rFonts w:ascii="Calibri"/>
                <w:sz w:val="18"/>
              </w:rPr>
            </w:pPr>
            <w:r>
              <w:rPr>
                <w:rFonts w:ascii="Calibri"/>
                <w:sz w:val="18"/>
              </w:rPr>
              <w:t>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91" w:type="dxa"/>
          </w:tcPr>
          <w:p>
            <w:pPr>
              <w:pStyle w:val="14"/>
              <w:spacing w:before="47"/>
              <w:ind w:left="195" w:right="185"/>
              <w:rPr>
                <w:rFonts w:ascii="Calibri"/>
                <w:sz w:val="18"/>
              </w:rPr>
            </w:pPr>
            <w:r>
              <w:rPr>
                <w:rFonts w:ascii="Calibri"/>
                <w:sz w:val="18"/>
              </w:rPr>
              <w:t>11</w:t>
            </w:r>
          </w:p>
        </w:tc>
        <w:tc>
          <w:tcPr>
            <w:tcW w:w="2823" w:type="dxa"/>
          </w:tcPr>
          <w:p>
            <w:pPr>
              <w:pStyle w:val="14"/>
              <w:spacing w:before="41"/>
              <w:ind w:left="580" w:right="572"/>
              <w:rPr>
                <w:sz w:val="18"/>
              </w:rPr>
            </w:pPr>
            <w:r>
              <w:rPr>
                <w:sz w:val="18"/>
              </w:rPr>
              <w:t>水域及水利设施用地</w:t>
            </w:r>
          </w:p>
        </w:tc>
        <w:tc>
          <w:tcPr>
            <w:tcW w:w="789" w:type="dxa"/>
          </w:tcPr>
          <w:p>
            <w:pPr>
              <w:pStyle w:val="14"/>
              <w:spacing w:before="47"/>
              <w:ind w:left="256"/>
              <w:jc w:val="left"/>
              <w:rPr>
                <w:rFonts w:ascii="Calibri"/>
                <w:sz w:val="18"/>
              </w:rPr>
            </w:pPr>
            <w:r>
              <w:rPr>
                <w:rFonts w:ascii="Calibri"/>
                <w:sz w:val="18"/>
              </w:rPr>
              <w:t>114</w:t>
            </w:r>
          </w:p>
        </w:tc>
        <w:tc>
          <w:tcPr>
            <w:tcW w:w="1500" w:type="dxa"/>
          </w:tcPr>
          <w:p>
            <w:pPr>
              <w:pStyle w:val="14"/>
              <w:spacing w:before="41"/>
              <w:ind w:left="369" w:right="360"/>
              <w:rPr>
                <w:sz w:val="18"/>
              </w:rPr>
            </w:pPr>
            <w:r>
              <w:rPr>
                <w:sz w:val="18"/>
              </w:rPr>
              <w:t>坑塘水面</w:t>
            </w:r>
          </w:p>
        </w:tc>
        <w:tc>
          <w:tcPr>
            <w:tcW w:w="1582" w:type="dxa"/>
          </w:tcPr>
          <w:p>
            <w:pPr>
              <w:pStyle w:val="14"/>
              <w:spacing w:before="53"/>
              <w:ind w:left="432" w:right="423"/>
              <w:rPr>
                <w:rFonts w:ascii="Times New Roman"/>
                <w:sz w:val="18"/>
              </w:rPr>
            </w:pPr>
            <w:r>
              <w:rPr>
                <w:rFonts w:ascii="Times New Roman"/>
                <w:sz w:val="18"/>
              </w:rPr>
              <w:t>7.4426</w:t>
            </w:r>
          </w:p>
        </w:tc>
        <w:tc>
          <w:tcPr>
            <w:tcW w:w="1038" w:type="dxa"/>
          </w:tcPr>
          <w:p>
            <w:pPr>
              <w:pStyle w:val="14"/>
              <w:spacing w:before="47"/>
              <w:ind w:left="136" w:right="124"/>
              <w:rPr>
                <w:rFonts w:ascii="Calibri"/>
                <w:sz w:val="18"/>
              </w:rPr>
            </w:pPr>
            <w:r>
              <w:rPr>
                <w:rFonts w:ascii="Calibri"/>
                <w:sz w:val="18"/>
              </w:rPr>
              <w:t>2.27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91" w:type="dxa"/>
          </w:tcPr>
          <w:p>
            <w:pPr>
              <w:pStyle w:val="14"/>
              <w:spacing w:before="47"/>
              <w:ind w:left="195" w:right="185"/>
              <w:rPr>
                <w:rFonts w:ascii="Calibri"/>
                <w:sz w:val="18"/>
              </w:rPr>
            </w:pPr>
            <w:r>
              <w:rPr>
                <w:rFonts w:ascii="Calibri"/>
                <w:sz w:val="18"/>
              </w:rPr>
              <w:t>12</w:t>
            </w:r>
          </w:p>
        </w:tc>
        <w:tc>
          <w:tcPr>
            <w:tcW w:w="2823" w:type="dxa"/>
          </w:tcPr>
          <w:p>
            <w:pPr>
              <w:pStyle w:val="14"/>
              <w:spacing w:before="41"/>
              <w:ind w:left="578" w:right="572"/>
              <w:rPr>
                <w:sz w:val="18"/>
              </w:rPr>
            </w:pPr>
            <w:r>
              <w:rPr>
                <w:sz w:val="18"/>
              </w:rPr>
              <w:t>其他土地</w:t>
            </w:r>
          </w:p>
        </w:tc>
        <w:tc>
          <w:tcPr>
            <w:tcW w:w="789" w:type="dxa"/>
          </w:tcPr>
          <w:p>
            <w:pPr>
              <w:pStyle w:val="14"/>
              <w:spacing w:before="47"/>
              <w:ind w:left="256"/>
              <w:jc w:val="left"/>
              <w:rPr>
                <w:rFonts w:ascii="Calibri"/>
                <w:sz w:val="18"/>
              </w:rPr>
            </w:pPr>
            <w:r>
              <w:rPr>
                <w:rFonts w:ascii="Calibri"/>
                <w:sz w:val="18"/>
              </w:rPr>
              <w:t>127</w:t>
            </w:r>
          </w:p>
        </w:tc>
        <w:tc>
          <w:tcPr>
            <w:tcW w:w="1500" w:type="dxa"/>
          </w:tcPr>
          <w:p>
            <w:pPr>
              <w:pStyle w:val="14"/>
              <w:spacing w:before="41"/>
              <w:ind w:left="369" w:right="360"/>
              <w:rPr>
                <w:sz w:val="18"/>
              </w:rPr>
            </w:pPr>
            <w:r>
              <w:rPr>
                <w:sz w:val="18"/>
              </w:rPr>
              <w:t>裸地</w:t>
            </w:r>
          </w:p>
        </w:tc>
        <w:tc>
          <w:tcPr>
            <w:tcW w:w="1582" w:type="dxa"/>
          </w:tcPr>
          <w:p>
            <w:pPr>
              <w:pStyle w:val="14"/>
              <w:spacing w:before="52"/>
              <w:ind w:left="432" w:right="423"/>
              <w:rPr>
                <w:rFonts w:ascii="Times New Roman"/>
                <w:sz w:val="18"/>
              </w:rPr>
            </w:pPr>
            <w:r>
              <w:rPr>
                <w:rFonts w:ascii="Times New Roman"/>
                <w:sz w:val="18"/>
              </w:rPr>
              <w:t>1.6841</w:t>
            </w:r>
          </w:p>
        </w:tc>
        <w:tc>
          <w:tcPr>
            <w:tcW w:w="1038" w:type="dxa"/>
          </w:tcPr>
          <w:p>
            <w:pPr>
              <w:pStyle w:val="14"/>
              <w:spacing w:before="47"/>
              <w:ind w:left="136" w:right="124"/>
              <w:rPr>
                <w:rFonts w:ascii="Calibri"/>
                <w:sz w:val="18"/>
              </w:rPr>
            </w:pPr>
            <w:r>
              <w:rPr>
                <w:rFonts w:ascii="Calibri"/>
                <w:sz w:val="18"/>
              </w:rPr>
              <w:t>0.51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91" w:type="dxa"/>
          </w:tcPr>
          <w:p>
            <w:pPr>
              <w:pStyle w:val="14"/>
              <w:spacing w:before="46"/>
              <w:ind w:left="195" w:right="185"/>
              <w:rPr>
                <w:rFonts w:ascii="Calibri"/>
                <w:sz w:val="18"/>
              </w:rPr>
            </w:pPr>
            <w:r>
              <w:rPr>
                <w:rFonts w:ascii="Calibri"/>
                <w:sz w:val="18"/>
              </w:rPr>
              <w:t>20</w:t>
            </w:r>
          </w:p>
        </w:tc>
        <w:tc>
          <w:tcPr>
            <w:tcW w:w="2823" w:type="dxa"/>
          </w:tcPr>
          <w:p>
            <w:pPr>
              <w:pStyle w:val="14"/>
              <w:spacing w:before="40"/>
              <w:ind w:left="578" w:right="572"/>
              <w:rPr>
                <w:sz w:val="18"/>
              </w:rPr>
            </w:pPr>
            <w:r>
              <w:rPr>
                <w:sz w:val="18"/>
              </w:rPr>
              <w:t>城镇村及工矿用地</w:t>
            </w:r>
          </w:p>
        </w:tc>
        <w:tc>
          <w:tcPr>
            <w:tcW w:w="789" w:type="dxa"/>
          </w:tcPr>
          <w:p>
            <w:pPr>
              <w:pStyle w:val="14"/>
              <w:spacing w:before="46"/>
              <w:ind w:left="256"/>
              <w:jc w:val="left"/>
              <w:rPr>
                <w:rFonts w:ascii="Calibri"/>
                <w:sz w:val="18"/>
              </w:rPr>
            </w:pPr>
            <w:r>
              <w:rPr>
                <w:rFonts w:ascii="Calibri"/>
                <w:sz w:val="18"/>
              </w:rPr>
              <w:t>203</w:t>
            </w:r>
          </w:p>
        </w:tc>
        <w:tc>
          <w:tcPr>
            <w:tcW w:w="1500" w:type="dxa"/>
          </w:tcPr>
          <w:p>
            <w:pPr>
              <w:pStyle w:val="14"/>
              <w:spacing w:before="40"/>
              <w:ind w:left="369" w:right="360"/>
              <w:rPr>
                <w:sz w:val="18"/>
              </w:rPr>
            </w:pPr>
            <w:r>
              <w:rPr>
                <w:sz w:val="18"/>
              </w:rPr>
              <w:t>村庄</w:t>
            </w:r>
          </w:p>
        </w:tc>
        <w:tc>
          <w:tcPr>
            <w:tcW w:w="1582" w:type="dxa"/>
          </w:tcPr>
          <w:p>
            <w:pPr>
              <w:pStyle w:val="14"/>
              <w:spacing w:before="52"/>
              <w:ind w:left="432" w:right="423"/>
              <w:rPr>
                <w:rFonts w:ascii="Times New Roman"/>
                <w:sz w:val="18"/>
              </w:rPr>
            </w:pPr>
            <w:r>
              <w:rPr>
                <w:rFonts w:ascii="Times New Roman"/>
                <w:sz w:val="18"/>
              </w:rPr>
              <w:t>4.1245</w:t>
            </w:r>
          </w:p>
        </w:tc>
        <w:tc>
          <w:tcPr>
            <w:tcW w:w="1038" w:type="dxa"/>
          </w:tcPr>
          <w:p>
            <w:pPr>
              <w:pStyle w:val="14"/>
              <w:spacing w:before="46"/>
              <w:ind w:left="136" w:right="124"/>
              <w:rPr>
                <w:rFonts w:ascii="Calibri"/>
                <w:sz w:val="18"/>
              </w:rPr>
            </w:pPr>
            <w:r>
              <w:rPr>
                <w:rFonts w:ascii="Calibri"/>
                <w:sz w:val="18"/>
              </w:rPr>
              <w:t>1.26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791" w:type="dxa"/>
          </w:tcPr>
          <w:p>
            <w:pPr>
              <w:pStyle w:val="14"/>
              <w:spacing w:before="46"/>
              <w:ind w:left="195" w:right="185"/>
              <w:rPr>
                <w:rFonts w:ascii="Calibri"/>
                <w:sz w:val="18"/>
              </w:rPr>
            </w:pPr>
            <w:r>
              <w:rPr>
                <w:rFonts w:ascii="Calibri"/>
                <w:sz w:val="18"/>
              </w:rPr>
              <w:t>20</w:t>
            </w:r>
          </w:p>
        </w:tc>
        <w:tc>
          <w:tcPr>
            <w:tcW w:w="2823" w:type="dxa"/>
          </w:tcPr>
          <w:p>
            <w:pPr>
              <w:pStyle w:val="14"/>
              <w:spacing w:before="40"/>
              <w:ind w:left="578" w:right="572"/>
              <w:rPr>
                <w:sz w:val="18"/>
              </w:rPr>
            </w:pPr>
            <w:r>
              <w:rPr>
                <w:sz w:val="18"/>
              </w:rPr>
              <w:t>城镇村及工矿用地</w:t>
            </w:r>
          </w:p>
        </w:tc>
        <w:tc>
          <w:tcPr>
            <w:tcW w:w="789" w:type="dxa"/>
          </w:tcPr>
          <w:p>
            <w:pPr>
              <w:pStyle w:val="14"/>
              <w:spacing w:before="46"/>
              <w:ind w:left="256"/>
              <w:jc w:val="left"/>
              <w:rPr>
                <w:rFonts w:ascii="Calibri"/>
                <w:sz w:val="18"/>
              </w:rPr>
            </w:pPr>
            <w:r>
              <w:rPr>
                <w:rFonts w:ascii="Calibri"/>
                <w:sz w:val="18"/>
              </w:rPr>
              <w:t>204</w:t>
            </w:r>
          </w:p>
        </w:tc>
        <w:tc>
          <w:tcPr>
            <w:tcW w:w="1500" w:type="dxa"/>
          </w:tcPr>
          <w:p>
            <w:pPr>
              <w:pStyle w:val="14"/>
              <w:spacing w:before="40"/>
              <w:ind w:left="369" w:right="360"/>
              <w:rPr>
                <w:sz w:val="18"/>
              </w:rPr>
            </w:pPr>
            <w:r>
              <w:rPr>
                <w:sz w:val="18"/>
              </w:rPr>
              <w:t>采矿用地</w:t>
            </w:r>
          </w:p>
        </w:tc>
        <w:tc>
          <w:tcPr>
            <w:tcW w:w="1582" w:type="dxa"/>
          </w:tcPr>
          <w:p>
            <w:pPr>
              <w:pStyle w:val="14"/>
              <w:spacing w:before="52"/>
              <w:ind w:left="432" w:right="423"/>
              <w:rPr>
                <w:rFonts w:ascii="Times New Roman"/>
                <w:sz w:val="18"/>
              </w:rPr>
            </w:pPr>
            <w:r>
              <w:rPr>
                <w:rFonts w:ascii="Times New Roman"/>
                <w:sz w:val="18"/>
              </w:rPr>
              <w:t>19.1660</w:t>
            </w:r>
          </w:p>
        </w:tc>
        <w:tc>
          <w:tcPr>
            <w:tcW w:w="1038" w:type="dxa"/>
          </w:tcPr>
          <w:p>
            <w:pPr>
              <w:pStyle w:val="14"/>
              <w:spacing w:before="46"/>
              <w:ind w:left="136" w:right="124"/>
              <w:rPr>
                <w:rFonts w:ascii="Calibri"/>
                <w:sz w:val="18"/>
              </w:rPr>
            </w:pPr>
            <w:r>
              <w:rPr>
                <w:rFonts w:ascii="Calibri"/>
                <w:sz w:val="18"/>
              </w:rPr>
              <w:t>5.84</w:t>
            </w:r>
          </w:p>
        </w:tc>
      </w:tr>
    </w:tbl>
    <w:p>
      <w:pPr>
        <w:spacing w:after="0"/>
        <w:rPr>
          <w:rFonts w:ascii="Calibri"/>
          <w:sz w:val="18"/>
        </w:rPr>
        <w:sectPr>
          <w:pgSz w:w="11910" w:h="16840"/>
          <w:pgMar w:top="1520" w:right="1300" w:bottom="1180" w:left="1300" w:header="0" w:footer="997" w:gutter="0"/>
        </w:sectPr>
      </w:pPr>
    </w:p>
    <w:tbl>
      <w:tblPr>
        <w:tblStyle w:val="10"/>
        <w:tblW w:w="0" w:type="auto"/>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1"/>
        <w:gridCol w:w="2823"/>
        <w:gridCol w:w="789"/>
        <w:gridCol w:w="1500"/>
        <w:gridCol w:w="1582"/>
        <w:gridCol w:w="10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2" w:hRule="atLeast"/>
        </w:trPr>
        <w:tc>
          <w:tcPr>
            <w:tcW w:w="791" w:type="dxa"/>
          </w:tcPr>
          <w:p>
            <w:pPr>
              <w:pStyle w:val="14"/>
              <w:spacing w:before="41"/>
              <w:ind w:left="215"/>
              <w:jc w:val="left"/>
              <w:rPr>
                <w:sz w:val="18"/>
              </w:rPr>
            </w:pPr>
            <w:r>
              <w:rPr>
                <w:sz w:val="18"/>
              </w:rPr>
              <w:t>合计</w:t>
            </w:r>
          </w:p>
        </w:tc>
        <w:tc>
          <w:tcPr>
            <w:tcW w:w="2823" w:type="dxa"/>
          </w:tcPr>
          <w:p>
            <w:pPr>
              <w:pStyle w:val="14"/>
              <w:spacing w:before="48"/>
              <w:ind w:left="8"/>
              <w:rPr>
                <w:rFonts w:ascii="Calibri"/>
                <w:sz w:val="18"/>
              </w:rPr>
            </w:pPr>
            <w:r>
              <w:rPr>
                <w:rFonts w:ascii="Calibri"/>
                <w:sz w:val="18"/>
              </w:rPr>
              <w:t>-</w:t>
            </w:r>
          </w:p>
        </w:tc>
        <w:tc>
          <w:tcPr>
            <w:tcW w:w="789" w:type="dxa"/>
          </w:tcPr>
          <w:p>
            <w:pPr>
              <w:pStyle w:val="14"/>
              <w:spacing w:before="48"/>
              <w:ind w:left="10"/>
              <w:rPr>
                <w:rFonts w:ascii="Calibri"/>
                <w:sz w:val="18"/>
              </w:rPr>
            </w:pPr>
            <w:r>
              <w:rPr>
                <w:rFonts w:ascii="Calibri"/>
                <w:sz w:val="18"/>
              </w:rPr>
              <w:t>-</w:t>
            </w:r>
          </w:p>
        </w:tc>
        <w:tc>
          <w:tcPr>
            <w:tcW w:w="1500" w:type="dxa"/>
          </w:tcPr>
          <w:p>
            <w:pPr>
              <w:pStyle w:val="14"/>
              <w:spacing w:before="48"/>
              <w:ind w:left="6"/>
              <w:rPr>
                <w:rFonts w:ascii="Calibri"/>
                <w:sz w:val="18"/>
              </w:rPr>
            </w:pPr>
            <w:r>
              <w:rPr>
                <w:rFonts w:ascii="Calibri"/>
                <w:sz w:val="18"/>
              </w:rPr>
              <w:t>-</w:t>
            </w:r>
          </w:p>
        </w:tc>
        <w:tc>
          <w:tcPr>
            <w:tcW w:w="1582" w:type="dxa"/>
          </w:tcPr>
          <w:p>
            <w:pPr>
              <w:pStyle w:val="14"/>
              <w:spacing w:before="51"/>
              <w:ind w:left="451"/>
              <w:jc w:val="left"/>
              <w:rPr>
                <w:rFonts w:ascii="Times New Roman"/>
                <w:sz w:val="18"/>
              </w:rPr>
            </w:pPr>
            <w:r>
              <w:rPr>
                <w:rFonts w:ascii="Times New Roman"/>
                <w:sz w:val="18"/>
              </w:rPr>
              <w:t>327.9211</w:t>
            </w:r>
          </w:p>
        </w:tc>
        <w:tc>
          <w:tcPr>
            <w:tcW w:w="1038" w:type="dxa"/>
          </w:tcPr>
          <w:p>
            <w:pPr>
              <w:pStyle w:val="14"/>
              <w:spacing w:before="48"/>
              <w:ind w:left="269"/>
              <w:jc w:val="left"/>
              <w:rPr>
                <w:rFonts w:ascii="Calibri"/>
                <w:sz w:val="18"/>
              </w:rPr>
            </w:pPr>
            <w:r>
              <w:rPr>
                <w:rFonts w:ascii="Calibri"/>
                <w:sz w:val="18"/>
              </w:rPr>
              <w:t>100.00</w:t>
            </w:r>
          </w:p>
        </w:tc>
      </w:tr>
    </w:tbl>
    <w:p>
      <w:pPr>
        <w:pStyle w:val="6"/>
        <w:rPr>
          <w:b/>
          <w:sz w:val="20"/>
        </w:rPr>
      </w:pPr>
    </w:p>
    <w:p>
      <w:pPr>
        <w:pStyle w:val="6"/>
        <w:spacing w:before="12"/>
        <w:rPr>
          <w:b/>
          <w:sz w:val="16"/>
        </w:rPr>
      </w:pPr>
    </w:p>
    <w:p>
      <w:pPr>
        <w:pStyle w:val="5"/>
        <w:numPr>
          <w:ilvl w:val="3"/>
          <w:numId w:val="38"/>
        </w:numPr>
        <w:tabs>
          <w:tab w:val="left" w:pos="1232"/>
        </w:tabs>
        <w:spacing w:before="77" w:after="0" w:line="240" w:lineRule="auto"/>
        <w:ind w:left="1232" w:right="0" w:hanging="781"/>
        <w:jc w:val="left"/>
      </w:pPr>
      <w:r>
        <w:t>地表移动持续时间</w:t>
      </w:r>
    </w:p>
    <w:p>
      <w:pPr>
        <w:pStyle w:val="6"/>
        <w:spacing w:before="160"/>
        <w:ind w:left="931"/>
      </w:pPr>
      <w:r>
        <w:t>地表移动持续时间计算：</w:t>
      </w:r>
    </w:p>
    <w:p>
      <w:pPr>
        <w:pStyle w:val="6"/>
        <w:tabs>
          <w:tab w:val="left" w:pos="7097"/>
        </w:tabs>
        <w:spacing w:before="161"/>
        <w:ind w:left="1647"/>
      </w:pPr>
      <w:r>
        <w:rPr>
          <w:rFonts w:ascii="Times New Roman" w:hAnsi="Times New Roman" w:eastAsia="Times New Roman"/>
        </w:rPr>
        <w:t>T=2.5×H</w:t>
      </w:r>
      <w:r>
        <w:rPr>
          <w:rFonts w:ascii="Times New Roman" w:hAnsi="Times New Roman" w:eastAsia="Times New Roman"/>
        </w:rPr>
        <w:tab/>
      </w:r>
      <w:r>
        <w:t>（</w:t>
      </w:r>
      <w:r>
        <w:rPr>
          <w:spacing w:val="-21"/>
        </w:rPr>
        <w:t xml:space="preserve">公式 </w:t>
      </w:r>
      <w:r>
        <w:rPr>
          <w:rFonts w:ascii="Times New Roman" w:hAnsi="Times New Roman" w:eastAsia="Times New Roman"/>
        </w:rPr>
        <w:t>3-9</w:t>
      </w:r>
      <w:r>
        <w:t>）</w:t>
      </w:r>
    </w:p>
    <w:p>
      <w:pPr>
        <w:pStyle w:val="6"/>
        <w:spacing w:before="160"/>
        <w:ind w:left="931"/>
      </w:pPr>
      <w:r>
        <w:t>式中：</w:t>
      </w:r>
      <w:r>
        <w:rPr>
          <w:rFonts w:ascii="Times New Roman" w:hAnsi="Times New Roman" w:eastAsia="Times New Roman"/>
        </w:rPr>
        <w:t>T—</w:t>
      </w:r>
      <w:r>
        <w:t>形成稳定沉降地面移动的持续时间，单位为天（</w:t>
      </w:r>
      <w:r>
        <w:rPr>
          <w:rFonts w:ascii="Times New Roman" w:hAnsi="Times New Roman" w:eastAsia="Times New Roman"/>
        </w:rPr>
        <w:t>d</w:t>
      </w:r>
      <w:r>
        <w:t>）。</w:t>
      </w:r>
    </w:p>
    <w:p>
      <w:pPr>
        <w:pStyle w:val="6"/>
        <w:spacing w:before="161"/>
        <w:ind w:left="1652"/>
      </w:pPr>
      <w:r>
        <w:rPr>
          <w:rFonts w:ascii="Times New Roman" w:hAnsi="Times New Roman" w:eastAsia="Times New Roman"/>
        </w:rPr>
        <w:t>H—</w:t>
      </w:r>
      <w:r>
        <w:t xml:space="preserve">工作面平均开采深度，单位为 </w:t>
      </w:r>
      <w:r>
        <w:rPr>
          <w:rFonts w:ascii="Times New Roman" w:hAnsi="Times New Roman" w:eastAsia="Times New Roman"/>
        </w:rPr>
        <w:t>m</w:t>
      </w:r>
      <w:r>
        <w:t>。</w:t>
      </w:r>
    </w:p>
    <w:p>
      <w:pPr>
        <w:pStyle w:val="6"/>
        <w:spacing w:before="160"/>
        <w:ind w:left="931"/>
      </w:pPr>
      <w:r>
        <w:t xml:space="preserve">工作面平均开采深度约为 </w:t>
      </w:r>
      <w:r>
        <w:rPr>
          <w:rFonts w:ascii="Times New Roman" w:eastAsia="Times New Roman"/>
        </w:rPr>
        <w:t xml:space="preserve">260m </w:t>
      </w:r>
      <w:r>
        <w:t xml:space="preserve">左右，地表移动持续时间为 </w:t>
      </w:r>
      <w:r>
        <w:rPr>
          <w:rFonts w:ascii="Times New Roman" w:eastAsia="Times New Roman"/>
        </w:rPr>
        <w:t xml:space="preserve">650 </w:t>
      </w:r>
      <w:r>
        <w:t>天。</w:t>
      </w:r>
    </w:p>
    <w:p>
      <w:pPr>
        <w:pStyle w:val="6"/>
        <w:spacing w:before="161" w:line="364" w:lineRule="auto"/>
        <w:ind w:left="451" w:right="453" w:firstLine="480"/>
      </w:pPr>
      <w:r>
        <w:t xml:space="preserve">地表移动基本稳沉时间一般为地表移动的初始期和活跃期一般为地表移动持续时间的 </w:t>
      </w:r>
      <w:r>
        <w:rPr>
          <w:rFonts w:ascii="Times New Roman" w:hAnsi="Times New Roman" w:eastAsia="Times New Roman"/>
        </w:rPr>
        <w:t>60—70</w:t>
      </w:r>
      <w:r>
        <w:t xml:space="preserve">％。本煤矿地表移动基本稳沉时间为 </w:t>
      </w:r>
      <w:r>
        <w:rPr>
          <w:rFonts w:ascii="Times New Roman" w:hAnsi="Times New Roman" w:eastAsia="Times New Roman"/>
        </w:rPr>
        <w:t xml:space="preserve">400 </w:t>
      </w:r>
      <w:r>
        <w:t>天左右。</w:t>
      </w:r>
    </w:p>
    <w:p>
      <w:pPr>
        <w:pStyle w:val="13"/>
        <w:numPr>
          <w:ilvl w:val="3"/>
          <w:numId w:val="38"/>
        </w:numPr>
        <w:tabs>
          <w:tab w:val="left" w:pos="1232"/>
        </w:tabs>
        <w:spacing w:before="1" w:after="0" w:line="369" w:lineRule="auto"/>
        <w:ind w:left="931" w:right="4700" w:hanging="480"/>
        <w:jc w:val="left"/>
        <w:rPr>
          <w:rFonts w:ascii="Times New Roman" w:hAnsi="Times New Roman" w:eastAsia="Times New Roman"/>
          <w:sz w:val="24"/>
        </w:rPr>
      </w:pPr>
      <w:r>
        <w:rPr>
          <w:b/>
          <w:spacing w:val="-2"/>
          <w:sz w:val="24"/>
        </w:rPr>
        <w:t>地面沉陷区地表最大下沉量预测</w:t>
      </w:r>
      <w:r>
        <w:rPr>
          <w:sz w:val="24"/>
        </w:rPr>
        <w:t>地表最大下沉量计算公式</w:t>
      </w:r>
      <w:r>
        <w:rPr>
          <w:rFonts w:ascii="Times New Roman" w:hAnsi="Times New Roman" w:eastAsia="Times New Roman"/>
          <w:sz w:val="24"/>
        </w:rPr>
        <w:t>w0=mqcosα</w:t>
      </w:r>
    </w:p>
    <w:p>
      <w:pPr>
        <w:pStyle w:val="6"/>
        <w:spacing w:before="32"/>
        <w:ind w:left="931"/>
      </w:pPr>
      <w:r>
        <w:t>式中：</w:t>
      </w:r>
      <w:r>
        <w:rPr>
          <w:rFonts w:ascii="Times New Roman" w:hAnsi="Times New Roman" w:eastAsia="Times New Roman"/>
        </w:rPr>
        <w:t>w0——</w:t>
      </w:r>
      <w:r>
        <w:t>累计最大下沉量，</w:t>
      </w:r>
      <w:r>
        <w:rPr>
          <w:rFonts w:ascii="Times New Roman" w:hAnsi="Times New Roman" w:eastAsia="Times New Roman"/>
        </w:rPr>
        <w:t>m</w:t>
      </w:r>
      <w:r>
        <w:t>；</w:t>
      </w:r>
    </w:p>
    <w:p>
      <w:pPr>
        <w:pStyle w:val="6"/>
        <w:spacing w:before="160" w:line="364" w:lineRule="auto"/>
        <w:ind w:left="451" w:right="449" w:firstLine="480"/>
      </w:pPr>
      <w:r>
        <w:rPr>
          <w:rFonts w:ascii="Times New Roman" w:hAnsi="Times New Roman" w:eastAsia="Times New Roman"/>
        </w:rPr>
        <w:t>m——</w:t>
      </w:r>
      <w:r>
        <w:rPr>
          <w:spacing w:val="-7"/>
        </w:rPr>
        <w:t xml:space="preserve">采出煤层平均厚度 </w:t>
      </w:r>
      <w:r>
        <w:rPr>
          <w:rFonts w:ascii="Times New Roman" w:hAnsi="Times New Roman" w:eastAsia="Times New Roman"/>
        </w:rPr>
        <w:t xml:space="preserve">10 </w:t>
      </w:r>
      <w:r>
        <w:rPr>
          <w:spacing w:val="-10"/>
        </w:rPr>
        <w:t xml:space="preserve">号煤层平均 </w:t>
      </w:r>
      <w:r>
        <w:rPr>
          <w:rFonts w:ascii="Times New Roman" w:hAnsi="Times New Roman" w:eastAsia="Times New Roman"/>
          <w:spacing w:val="-5"/>
        </w:rPr>
        <w:t>0.75m</w:t>
      </w:r>
      <w:r>
        <w:rPr>
          <w:spacing w:val="-5"/>
        </w:rPr>
        <w:t>，</w:t>
      </w:r>
      <w:r>
        <w:rPr>
          <w:rFonts w:ascii="Times New Roman" w:hAnsi="Times New Roman" w:eastAsia="Times New Roman"/>
          <w:spacing w:val="-5"/>
        </w:rPr>
        <w:t xml:space="preserve">15 </w:t>
      </w:r>
      <w:r>
        <w:rPr>
          <w:spacing w:val="-10"/>
        </w:rPr>
        <w:t xml:space="preserve">号煤层平均 </w:t>
      </w:r>
      <w:r>
        <w:rPr>
          <w:rFonts w:ascii="Times New Roman" w:hAnsi="Times New Roman" w:eastAsia="Times New Roman"/>
          <w:spacing w:val="-6"/>
        </w:rPr>
        <w:t>1.24m</w:t>
      </w:r>
      <w:r>
        <w:rPr>
          <w:spacing w:val="-6"/>
        </w:rPr>
        <w:t>，</w:t>
      </w:r>
      <w:r>
        <w:rPr>
          <w:rFonts w:ascii="Times New Roman" w:hAnsi="Times New Roman" w:eastAsia="Times New Roman"/>
          <w:spacing w:val="-6"/>
        </w:rPr>
        <w:t xml:space="preserve">20 </w:t>
      </w:r>
      <w:r>
        <w:rPr>
          <w:spacing w:val="-15"/>
        </w:rPr>
        <w:t>号</w:t>
      </w:r>
      <w:r>
        <w:rPr>
          <w:spacing w:val="-13"/>
        </w:rPr>
        <w:t xml:space="preserve">煤层平均 </w:t>
      </w:r>
      <w:r>
        <w:rPr>
          <w:rFonts w:ascii="Times New Roman" w:hAnsi="Times New Roman" w:eastAsia="Times New Roman"/>
        </w:rPr>
        <w:t>0.84m</w:t>
      </w:r>
      <w:r>
        <w:t>，</w:t>
      </w:r>
      <w:r>
        <w:rPr>
          <w:rFonts w:ascii="Times New Roman" w:hAnsi="Times New Roman" w:eastAsia="Times New Roman"/>
        </w:rPr>
        <w:t xml:space="preserve">30 </w:t>
      </w:r>
      <w:r>
        <w:rPr>
          <w:spacing w:val="-12"/>
        </w:rPr>
        <w:t xml:space="preserve">煤层平均 </w:t>
      </w:r>
      <w:r>
        <w:rPr>
          <w:rFonts w:ascii="Times New Roman" w:hAnsi="Times New Roman" w:eastAsia="Times New Roman"/>
        </w:rPr>
        <w:t>0.65m</w:t>
      </w:r>
      <w:r>
        <w:rPr>
          <w:spacing w:val="-5"/>
        </w:rPr>
        <w:t xml:space="preserve">，取四个煤层平均总厚度 </w:t>
      </w:r>
      <w:r>
        <w:rPr>
          <w:rFonts w:ascii="Times New Roman" w:hAnsi="Times New Roman" w:eastAsia="Times New Roman"/>
        </w:rPr>
        <w:t>3.48m</w:t>
      </w:r>
      <w:r>
        <w:t>；</w:t>
      </w:r>
    </w:p>
    <w:p>
      <w:pPr>
        <w:pStyle w:val="6"/>
        <w:spacing w:before="1" w:line="364" w:lineRule="auto"/>
        <w:ind w:left="451" w:right="333" w:firstLine="480"/>
      </w:pPr>
      <w:r>
        <w:rPr>
          <w:rFonts w:ascii="Times New Roman" w:hAnsi="Times New Roman" w:eastAsia="Times New Roman"/>
        </w:rPr>
        <w:t>q——</w:t>
      </w:r>
      <w:r>
        <w:t xml:space="preserve">下沉系数，与岩性、开采方式有关，根据双鸭山市地方煤矿开采经验， 一般取下沉系数为 </w:t>
      </w:r>
      <w:r>
        <w:rPr>
          <w:rFonts w:ascii="Times New Roman" w:hAnsi="Times New Roman" w:eastAsia="Times New Roman"/>
        </w:rPr>
        <w:t>0.60</w:t>
      </w:r>
      <w:r>
        <w:t>；</w:t>
      </w:r>
    </w:p>
    <w:p>
      <w:pPr>
        <w:pStyle w:val="6"/>
        <w:spacing w:before="2" w:line="364" w:lineRule="auto"/>
        <w:ind w:left="931" w:right="5194"/>
      </w:pPr>
      <w:r>
        <w:rPr>
          <w:rFonts w:ascii="Times New Roman" w:hAnsi="Times New Roman" w:eastAsia="Times New Roman"/>
        </w:rPr>
        <w:t xml:space="preserve">α— </w:t>
      </w:r>
      <w:r>
        <w:t xml:space="preserve">煤 层 倾 角 ， 取 </w:t>
      </w:r>
      <w:r>
        <w:rPr>
          <w:rFonts w:ascii="Times New Roman" w:hAnsi="Times New Roman" w:eastAsia="Times New Roman"/>
        </w:rPr>
        <w:t>25°</w:t>
      </w:r>
      <w:r>
        <w:t xml:space="preserve">； </w:t>
      </w:r>
      <w:r>
        <w:rPr>
          <w:rFonts w:ascii="Times New Roman" w:hAnsi="Times New Roman" w:eastAsia="Times New Roman"/>
        </w:rPr>
        <w:t>w0=3.48×0.60×cos25°=1.89m</w:t>
      </w:r>
      <w:r>
        <w:t>。</w:t>
      </w:r>
    </w:p>
    <w:p>
      <w:pPr>
        <w:pStyle w:val="6"/>
        <w:spacing w:before="1"/>
        <w:ind w:left="931"/>
        <w:jc w:val="both"/>
      </w:pPr>
      <w:r>
        <w:t xml:space="preserve">按上式计算，各煤层采空后，其地表累计最大下沉量为 </w:t>
      </w:r>
      <w:r>
        <w:rPr>
          <w:rFonts w:ascii="Times New Roman" w:eastAsia="Times New Roman"/>
        </w:rPr>
        <w:t>1.89m</w:t>
      </w:r>
      <w:r>
        <w:t>。</w:t>
      </w:r>
    </w:p>
    <w:p>
      <w:pPr>
        <w:pStyle w:val="6"/>
        <w:spacing w:before="160" w:line="364" w:lineRule="auto"/>
        <w:ind w:left="451" w:right="333" w:firstLine="480"/>
        <w:jc w:val="both"/>
      </w:pPr>
      <w:r>
        <w:t>结论：双鸭山大顺矿业有限公司煤层开采深度均大于冒落带最大高度及导水</w:t>
      </w:r>
      <w:r>
        <w:rPr>
          <w:spacing w:val="-8"/>
        </w:rPr>
        <w:t xml:space="preserve">裂隙带高度，采深与采厚比大于 </w:t>
      </w:r>
      <w:r>
        <w:rPr>
          <w:rFonts w:ascii="Times New Roman" w:hAnsi="Times New Roman" w:eastAsia="Times New Roman"/>
          <w:spacing w:val="-7"/>
        </w:rPr>
        <w:t>40</w:t>
      </w:r>
      <w:r>
        <w:rPr>
          <w:spacing w:val="-5"/>
        </w:rPr>
        <w:t>，该采空区上部会形成局部的地面变形，从采</w:t>
      </w:r>
      <w:r>
        <w:rPr>
          <w:spacing w:val="6"/>
        </w:rPr>
        <w:t>煤到未来变形所需时间很长，地表变形以轻度的地面沉陷为主，煤层平均倾角</w:t>
      </w:r>
      <w:r>
        <w:rPr>
          <w:rFonts w:ascii="Times New Roman" w:hAnsi="Times New Roman" w:eastAsia="Times New Roman"/>
          <w:spacing w:val="-8"/>
        </w:rPr>
        <w:t>25°</w:t>
      </w:r>
      <w:r>
        <w:rPr>
          <w:spacing w:val="-7"/>
        </w:rPr>
        <w:t>，且煤层间间距较大，采空完毕后矿区可能伴有地裂缝的产生，地表累计预测</w:t>
      </w:r>
      <w:r>
        <w:rPr>
          <w:spacing w:val="-15"/>
        </w:rPr>
        <w:t xml:space="preserve">最大下沉量为 </w:t>
      </w:r>
      <w:r>
        <w:rPr>
          <w:rFonts w:ascii="Times New Roman" w:hAnsi="Times New Roman" w:eastAsia="Times New Roman"/>
          <w:spacing w:val="-7"/>
        </w:rPr>
        <w:t>1.89m</w:t>
      </w:r>
      <w:r>
        <w:rPr>
          <w:spacing w:val="-8"/>
        </w:rPr>
        <w:t xml:space="preserve">，预测地面沉陷面积可达 </w:t>
      </w:r>
      <w:r>
        <w:rPr>
          <w:rFonts w:ascii="Times New Roman" w:hAnsi="Times New Roman" w:eastAsia="Times New Roman"/>
          <w:spacing w:val="-5"/>
        </w:rPr>
        <w:t>327.9211hm</w:t>
      </w:r>
      <w:r>
        <w:rPr>
          <w:rFonts w:ascii="Times New Roman" w:hAnsi="Times New Roman" w:eastAsia="Times New Roman"/>
          <w:spacing w:val="-5"/>
          <w:position w:val="8"/>
          <w:sz w:val="15"/>
        </w:rPr>
        <w:t>2</w:t>
      </w:r>
      <w:r>
        <w:rPr>
          <w:spacing w:val="-2"/>
        </w:rPr>
        <w:t>，预测未来的开采过程中，在矿区最上部开采煤层开采区形成局部的地面沉陷，预测沉陷范围内大部分为旱地、有林地和采矿用地，其他为其他园地、农村道路、河流、坑塘水面裸地和村庄用地，其中：预测沉陷区范围内的村庄用地范围内有部分房屋，但居民属</w:t>
      </w:r>
      <w:r>
        <w:rPr>
          <w:spacing w:val="-12"/>
        </w:rPr>
        <w:t>零散分布居住，项目区范围较大，沉陷较轻，因此对居民生活影响小，危险性小；</w:t>
      </w:r>
    </w:p>
    <w:p>
      <w:pPr>
        <w:spacing w:after="0" w:line="364" w:lineRule="auto"/>
        <w:jc w:val="both"/>
        <w:sectPr>
          <w:pgSz w:w="11910" w:h="16840"/>
          <w:pgMar w:top="1420" w:right="1300" w:bottom="1180" w:left="1300" w:header="0" w:footer="997" w:gutter="0"/>
        </w:sectPr>
      </w:pPr>
    </w:p>
    <w:p>
      <w:pPr>
        <w:pStyle w:val="6"/>
        <w:spacing w:before="42" w:line="364" w:lineRule="auto"/>
        <w:ind w:left="451" w:right="453"/>
        <w:jc w:val="both"/>
      </w:pPr>
      <w:r>
        <w:t>矿山沉陷程度不大，且处于丘陵区域，地表地势相对较高且地表有起伏，终合地形情况分析沉陷范围不会形成大的沉陷坑，不影响农作物耕种和树木的生长，但对地貌将有一定的改变，对建筑物也有可能造成破坏。</w:t>
      </w:r>
    </w:p>
    <w:p>
      <w:pPr>
        <w:pStyle w:val="4"/>
        <w:numPr>
          <w:ilvl w:val="2"/>
          <w:numId w:val="38"/>
        </w:numPr>
        <w:tabs>
          <w:tab w:val="left" w:pos="1153"/>
        </w:tabs>
        <w:spacing w:before="0" w:after="0" w:line="282" w:lineRule="exact"/>
        <w:ind w:left="1152" w:right="0" w:hanging="702"/>
        <w:jc w:val="left"/>
      </w:pPr>
      <w:bookmarkStart w:id="170" w:name="5.3.4 地表沉陷影响分析"/>
      <w:bookmarkEnd w:id="170"/>
      <w:bookmarkStart w:id="171" w:name="5.3.4 地表沉陷影响分析"/>
      <w:bookmarkEnd w:id="171"/>
      <w:r>
        <w:t>地表沉陷影响分析</w:t>
      </w:r>
    </w:p>
    <w:p>
      <w:pPr>
        <w:pStyle w:val="5"/>
        <w:numPr>
          <w:ilvl w:val="3"/>
          <w:numId w:val="38"/>
        </w:numPr>
        <w:tabs>
          <w:tab w:val="left" w:pos="1232"/>
        </w:tabs>
        <w:spacing w:before="264" w:after="0" w:line="240" w:lineRule="auto"/>
        <w:ind w:left="1232" w:right="0" w:hanging="781"/>
        <w:jc w:val="left"/>
      </w:pPr>
      <w:r>
        <w:t>地表沉陷对地形地貌景观的影响</w:t>
      </w:r>
    </w:p>
    <w:p>
      <w:pPr>
        <w:pStyle w:val="13"/>
        <w:numPr>
          <w:ilvl w:val="0"/>
          <w:numId w:val="40"/>
        </w:numPr>
        <w:tabs>
          <w:tab w:val="left" w:pos="1533"/>
        </w:tabs>
        <w:spacing w:before="161" w:after="0" w:line="240" w:lineRule="auto"/>
        <w:ind w:left="1533" w:right="0" w:hanging="602"/>
        <w:jc w:val="left"/>
        <w:rPr>
          <w:sz w:val="24"/>
        </w:rPr>
      </w:pPr>
      <w:r>
        <w:rPr>
          <w:sz w:val="24"/>
        </w:rPr>
        <w:t>矿区地形地貌破景观坏现状分析</w:t>
      </w:r>
    </w:p>
    <w:p>
      <w:pPr>
        <w:pStyle w:val="6"/>
        <w:spacing w:before="160" w:line="364" w:lineRule="auto"/>
        <w:ind w:left="451" w:right="453" w:firstLine="480"/>
        <w:jc w:val="both"/>
      </w:pPr>
      <w:r>
        <w:t>评估区地表植被覆盖较好。区内人为活动主要为农业和采矿活动。评估区存在地面沉陷地质灾害。目前采矿活动对地形地貌的破坏主要是地面沉陷及工业广场占用土地。</w:t>
      </w:r>
    </w:p>
    <w:p>
      <w:pPr>
        <w:pStyle w:val="6"/>
        <w:spacing w:before="2" w:line="364" w:lineRule="auto"/>
        <w:ind w:left="451" w:right="453" w:firstLine="480"/>
        <w:jc w:val="both"/>
      </w:pPr>
      <w:r>
        <w:t xml:space="preserve">矿区工业广场所占地大多为采矿用地。工业广场布置矿山生产的设备及其附属设施，有主井、副井、风井、绞车房、暖风房、风扇房、办公室、储煤场、矸石堆场等，矿区工业广场占地总面积为 </w:t>
      </w:r>
      <w:r>
        <w:rPr>
          <w:rFonts w:ascii="Times New Roman" w:eastAsia="Times New Roman"/>
        </w:rPr>
        <w:t>2.9767hm</w:t>
      </w:r>
      <w:r>
        <w:rPr>
          <w:rFonts w:ascii="Times New Roman" w:eastAsia="Times New Roman"/>
          <w:position w:val="8"/>
          <w:sz w:val="15"/>
        </w:rPr>
        <w:t>2</w:t>
      </w:r>
      <w:r>
        <w:t>，工业广场矸石较少，工业广场压占破坏了土地，土地类型全部为采矿用，工业广场破坏了现有的地貌，治理工程较难，对地形地貌景观影响大。</w:t>
      </w:r>
    </w:p>
    <w:p>
      <w:pPr>
        <w:pStyle w:val="6"/>
        <w:spacing w:before="3" w:line="364" w:lineRule="auto"/>
        <w:ind w:left="451" w:right="453" w:firstLine="480"/>
      </w:pPr>
      <w:r>
        <w:t>地面沉陷范围较小，沉陷程度小，不影响土地耕种和植被生长，对地形地貌景观影响程度较轻。</w:t>
      </w:r>
    </w:p>
    <w:p>
      <w:pPr>
        <w:pStyle w:val="13"/>
        <w:numPr>
          <w:ilvl w:val="0"/>
          <w:numId w:val="40"/>
        </w:numPr>
        <w:tabs>
          <w:tab w:val="left" w:pos="1533"/>
        </w:tabs>
        <w:spacing w:before="1" w:after="0" w:line="240" w:lineRule="auto"/>
        <w:ind w:left="1533" w:right="0" w:hanging="602"/>
        <w:jc w:val="left"/>
        <w:rPr>
          <w:sz w:val="24"/>
        </w:rPr>
      </w:pPr>
      <w:r>
        <w:rPr>
          <w:sz w:val="24"/>
        </w:rPr>
        <w:t>矿区地形地貌景观破坏预测</w:t>
      </w:r>
    </w:p>
    <w:p>
      <w:pPr>
        <w:pStyle w:val="6"/>
        <w:spacing w:before="161" w:line="364" w:lineRule="auto"/>
        <w:ind w:left="451" w:right="333" w:firstLine="480"/>
      </w:pPr>
      <w:r>
        <w:rPr>
          <w:spacing w:val="-13"/>
        </w:rPr>
        <w:t>随着矿山开采，对土地资源和地形地貌会产生破坏与影响并将呈现递增趋势。</w:t>
      </w:r>
      <w:r>
        <w:t>本矿山建设生产过程中预测对地质环境、地形地貌景观的主要影响：一是采矿活动可能形成潜在地面沉陷，二是矸石堆放污染环境。</w:t>
      </w:r>
    </w:p>
    <w:p>
      <w:pPr>
        <w:pStyle w:val="6"/>
        <w:spacing w:before="2" w:line="364" w:lineRule="auto"/>
        <w:ind w:left="451" w:right="453" w:firstLine="480"/>
      </w:pPr>
      <w:r>
        <w:t>工业广场将继续使用，直至矿山闭坑，所损毁形式为压占，破坏了已有的地形地貌景观，治理工程较难，对地形地貌景观影响大。</w:t>
      </w:r>
    </w:p>
    <w:p>
      <w:pPr>
        <w:pStyle w:val="6"/>
        <w:spacing w:before="1" w:line="364" w:lineRule="auto"/>
        <w:ind w:left="451" w:right="333" w:firstLine="480"/>
      </w:pPr>
      <w:r>
        <w:t>由于是地下开采，未来对地形地貌破景观影响可能使采空区上面产生地面沉</w:t>
      </w:r>
      <w:r>
        <w:rPr>
          <w:spacing w:val="-5"/>
        </w:rPr>
        <w:t xml:space="preserve">陷，预测最大沉降量为 </w:t>
      </w:r>
      <w:r>
        <w:rPr>
          <w:rFonts w:ascii="Times New Roman" w:eastAsia="Times New Roman"/>
        </w:rPr>
        <w:t>1.89m</w:t>
      </w:r>
      <w:r>
        <w:t>，在矿区最上部开采煤层开采区形成局部的地面沉</w:t>
      </w:r>
      <w:r>
        <w:rPr>
          <w:spacing w:val="-4"/>
        </w:rPr>
        <w:t xml:space="preserve">陷，预测地面沉陷面积可能达到 </w:t>
      </w:r>
      <w:r>
        <w:rPr>
          <w:rFonts w:ascii="Times New Roman" w:eastAsia="Times New Roman"/>
        </w:rPr>
        <w:t>3.117522km</w:t>
      </w:r>
      <w:r>
        <w:rPr>
          <w:rFonts w:ascii="Times New Roman" w:eastAsia="Times New Roman"/>
          <w:position w:val="8"/>
          <w:sz w:val="15"/>
        </w:rPr>
        <w:t>2</w:t>
      </w:r>
      <w:r>
        <w:t>。矿井生产每年还将排放大量的矸石，使矸石数量不断增加，占用土地资源，使土地功能发生改变。矸石应统一堆放在指定的堆放场内，并及时运出，不会对环境造成大的影响。矸石中含有砷、</w:t>
      </w:r>
      <w:r>
        <w:rPr>
          <w:spacing w:val="-11"/>
        </w:rPr>
        <w:t>铅等有毒有害成分，虽然含量较低，但长期也可能造成土地污染。矸石中含有磷、</w:t>
      </w:r>
      <w:r>
        <w:t>碳、硫等可燃成分，在一定的条件下，可能导致矸石堆自燃，产生有毒、有害气</w:t>
      </w:r>
    </w:p>
    <w:p>
      <w:pPr>
        <w:spacing w:after="0" w:line="364" w:lineRule="auto"/>
        <w:sectPr>
          <w:pgSz w:w="11910" w:h="16840"/>
          <w:pgMar w:top="1460" w:right="1300" w:bottom="1180" w:left="1300" w:header="0" w:footer="997" w:gutter="0"/>
        </w:sectPr>
      </w:pPr>
    </w:p>
    <w:p>
      <w:pPr>
        <w:pStyle w:val="6"/>
        <w:spacing w:before="42" w:line="364" w:lineRule="auto"/>
        <w:ind w:left="451" w:right="453"/>
        <w:jc w:val="both"/>
      </w:pPr>
      <w:r>
        <w:t>体，除污染环境外，对人体健康造成不良影响。对上述问题采取保护措施后，可使矿山开发对生态环境的影响有效控制，不会对生态环境产生大的影响。矿山邻近没有名胜风景区及自然保护区，属于资源环境功能规划要求较低的一般地区。矿山开采完毕后可逐步恢复治理，对地形地貌景观影响较轻。综合分析土地资源与地形地貌景观影响程度预测为较轻。</w:t>
      </w:r>
    </w:p>
    <w:p>
      <w:pPr>
        <w:pStyle w:val="5"/>
        <w:numPr>
          <w:ilvl w:val="3"/>
          <w:numId w:val="38"/>
        </w:numPr>
        <w:tabs>
          <w:tab w:val="left" w:pos="1232"/>
        </w:tabs>
        <w:spacing w:before="3" w:after="0" w:line="240" w:lineRule="auto"/>
        <w:ind w:left="1232" w:right="0" w:hanging="781"/>
        <w:jc w:val="both"/>
      </w:pPr>
      <w:r>
        <w:t>地表沉陷对地面村庄建筑物的影响</w:t>
      </w:r>
    </w:p>
    <w:p>
      <w:pPr>
        <w:pStyle w:val="6"/>
        <w:spacing w:before="160"/>
        <w:ind w:left="931"/>
      </w:pPr>
      <w:r>
        <w:t>本井田开采影响范围内无村庄建筑，故地表沉陷对地面村庄物无影响。</w:t>
      </w:r>
    </w:p>
    <w:p>
      <w:pPr>
        <w:pStyle w:val="5"/>
        <w:numPr>
          <w:ilvl w:val="3"/>
          <w:numId w:val="38"/>
        </w:numPr>
        <w:tabs>
          <w:tab w:val="left" w:pos="1172"/>
        </w:tabs>
        <w:spacing w:before="161" w:after="0" w:line="240" w:lineRule="auto"/>
        <w:ind w:left="1172" w:right="0" w:hanging="721"/>
        <w:jc w:val="both"/>
      </w:pPr>
      <w:r>
        <w:t>地表沉陷对浅部含水层的影响</w:t>
      </w:r>
    </w:p>
    <w:p>
      <w:pPr>
        <w:pStyle w:val="13"/>
        <w:numPr>
          <w:ilvl w:val="0"/>
          <w:numId w:val="41"/>
        </w:numPr>
        <w:tabs>
          <w:tab w:val="left" w:pos="1533"/>
        </w:tabs>
        <w:spacing w:before="160" w:after="0" w:line="240" w:lineRule="auto"/>
        <w:ind w:left="1533" w:right="0" w:hanging="602"/>
        <w:jc w:val="left"/>
        <w:rPr>
          <w:sz w:val="24"/>
        </w:rPr>
      </w:pPr>
      <w:r>
        <w:rPr>
          <w:sz w:val="24"/>
        </w:rPr>
        <w:t>矿区含水层破坏现状分析</w:t>
      </w:r>
    </w:p>
    <w:p>
      <w:pPr>
        <w:pStyle w:val="6"/>
        <w:spacing w:before="161" w:line="364" w:lineRule="auto"/>
        <w:ind w:left="451" w:right="449" w:firstLine="480"/>
        <w:jc w:val="both"/>
      </w:pPr>
      <w:r>
        <w:rPr>
          <w:spacing w:val="-1"/>
        </w:rPr>
        <w:t xml:space="preserve">本区所处地貌单元为构造剥蚀丘陵区，丘陵区分布有基岩风化裂隙水，但富水性差。对矿区开采层位内赋存的基岩风化裂隙水进行疏干排水进行采矿活动， </w:t>
      </w:r>
      <w:r>
        <w:rPr>
          <w:spacing w:val="-6"/>
        </w:rPr>
        <w:t xml:space="preserve">矿井现正常涌水量为 </w:t>
      </w:r>
      <w:r>
        <w:rPr>
          <w:rFonts w:ascii="Times New Roman" w:eastAsia="Times New Roman"/>
        </w:rPr>
        <w:t>20m</w:t>
      </w:r>
      <w:r>
        <w:rPr>
          <w:rFonts w:ascii="Times New Roman" w:eastAsia="Times New Roman"/>
          <w:position w:val="8"/>
          <w:sz w:val="15"/>
        </w:rPr>
        <w:t>3</w:t>
      </w:r>
      <w:r>
        <w:rPr>
          <w:rFonts w:ascii="Times New Roman" w:eastAsia="Times New Roman"/>
        </w:rPr>
        <w:t>/h</w:t>
      </w:r>
      <w:r>
        <w:rPr>
          <w:spacing w:val="-6"/>
        </w:rPr>
        <w:t>。矿井疏干排水虽已造成地下水不同程度的下降，但</w:t>
      </w:r>
      <w:r>
        <w:rPr>
          <w:spacing w:val="-1"/>
        </w:rPr>
        <w:t>影响范围较小，对区域地下水资源没有造成明显影响，矿井疏干排水形成的降落</w:t>
      </w:r>
      <w:r>
        <w:t>漏斗也仅局限于周围小范围内。</w:t>
      </w:r>
    </w:p>
    <w:p>
      <w:pPr>
        <w:pStyle w:val="6"/>
        <w:spacing w:before="3" w:line="364" w:lineRule="auto"/>
        <w:ind w:left="451" w:right="453" w:firstLine="480"/>
      </w:pPr>
      <w:r>
        <w:t>现状含水层影响：由于矿山开采导水裂隙带没波及到含水层，因此对含水层影响程度较轻。</w:t>
      </w:r>
    </w:p>
    <w:p>
      <w:pPr>
        <w:pStyle w:val="13"/>
        <w:numPr>
          <w:ilvl w:val="0"/>
          <w:numId w:val="41"/>
        </w:numPr>
        <w:tabs>
          <w:tab w:val="left" w:pos="1533"/>
        </w:tabs>
        <w:spacing w:before="1" w:after="0" w:line="240" w:lineRule="auto"/>
        <w:ind w:left="1533" w:right="0" w:hanging="602"/>
        <w:jc w:val="left"/>
        <w:rPr>
          <w:sz w:val="24"/>
        </w:rPr>
      </w:pPr>
      <w:r>
        <w:rPr>
          <w:sz w:val="24"/>
        </w:rPr>
        <w:t>矿区含水层破坏预测</w:t>
      </w:r>
    </w:p>
    <w:p>
      <w:pPr>
        <w:pStyle w:val="6"/>
        <w:spacing w:before="161"/>
        <w:ind w:left="931"/>
      </w:pPr>
      <w:r>
        <w:t>①地下水环境与矿山建设相互影响预测评价</w:t>
      </w:r>
    </w:p>
    <w:p>
      <w:pPr>
        <w:pStyle w:val="6"/>
        <w:spacing w:before="160" w:line="364" w:lineRule="auto"/>
        <w:ind w:left="451" w:right="449" w:firstLine="480"/>
        <w:jc w:val="both"/>
      </w:pPr>
      <w:r>
        <w:t>矿山开采时疏干排水是持久和连续性的，虽然预测该矿井正常涌水量为</w:t>
      </w:r>
      <w:r>
        <w:rPr>
          <w:rFonts w:ascii="Times New Roman" w:eastAsia="Times New Roman"/>
        </w:rPr>
        <w:t>76m</w:t>
      </w:r>
      <w:r>
        <w:rPr>
          <w:rFonts w:ascii="Times New Roman" w:eastAsia="Times New Roman"/>
          <w:position w:val="8"/>
          <w:sz w:val="15"/>
        </w:rPr>
        <w:t>3</w:t>
      </w:r>
      <w:r>
        <w:rPr>
          <w:rFonts w:ascii="Times New Roman" w:eastAsia="Times New Roman"/>
        </w:rPr>
        <w:t>/h</w:t>
      </w:r>
      <w:r>
        <w:t>。随着开采能力的增加和开采深度的加大，预计涌水量将还会增加，继续疏干降落漏斗内的地下水，使已经被破坏的地下水均衡将加剧。但该矿排出的地下水水量，对区域内地下水影响不大，地下水的下降对矿井建设影响也较轻。</w:t>
      </w:r>
    </w:p>
    <w:p>
      <w:pPr>
        <w:pStyle w:val="6"/>
        <w:spacing w:before="2"/>
        <w:ind w:left="931"/>
      </w:pPr>
      <w:r>
        <w:t>②地下水环境与矿山生产活动相互影响预测评估</w:t>
      </w:r>
    </w:p>
    <w:p>
      <w:pPr>
        <w:pStyle w:val="6"/>
        <w:spacing w:before="161" w:line="364" w:lineRule="auto"/>
        <w:ind w:left="451" w:right="453" w:firstLine="480"/>
        <w:jc w:val="both"/>
      </w:pPr>
      <w:r>
        <w:t>矿坑充水水源是裂隙含水带水，涌水量较小，虽然从开采以来未发生过突水等突发性环境地质问题。但随着上部采空区的冒落，裂隙加大，相对隔水层将变为透水层，在开采下部煤层时，要注意上部采空区老窑积水渗透速度，预防涌水突水灾害发生。</w:t>
      </w:r>
    </w:p>
    <w:p>
      <w:pPr>
        <w:pStyle w:val="6"/>
        <w:spacing w:before="2" w:line="364" w:lineRule="auto"/>
        <w:ind w:left="451" w:right="333" w:firstLine="480"/>
      </w:pPr>
      <w:r>
        <w:rPr>
          <w:spacing w:val="-12"/>
        </w:rPr>
        <w:t xml:space="preserve">总之，矿坑疏干排水对地下水资源环境影响较轻，主要是引起地下水位下降， </w:t>
      </w:r>
      <w:r>
        <w:rPr>
          <w:spacing w:val="-10"/>
        </w:rPr>
        <w:t>降低地表水质量，破坏局部范围内的水资源平衡，矿井关闭后将自行恢复，因此，</w:t>
      </w:r>
    </w:p>
    <w:p>
      <w:pPr>
        <w:spacing w:after="0" w:line="364" w:lineRule="auto"/>
        <w:sectPr>
          <w:pgSz w:w="11910" w:h="16840"/>
          <w:pgMar w:top="1460" w:right="1300" w:bottom="1180" w:left="1300" w:header="0" w:footer="997" w:gutter="0"/>
        </w:sectPr>
      </w:pPr>
    </w:p>
    <w:p>
      <w:pPr>
        <w:pStyle w:val="6"/>
        <w:spacing w:before="42"/>
        <w:ind w:left="451"/>
      </w:pPr>
      <w:r>
        <w:t>其影响较小，其影响程度分级属较轻。</w:t>
      </w:r>
    </w:p>
    <w:p>
      <w:pPr>
        <w:pStyle w:val="5"/>
        <w:numPr>
          <w:ilvl w:val="3"/>
          <w:numId w:val="38"/>
        </w:numPr>
        <w:tabs>
          <w:tab w:val="left" w:pos="1172"/>
        </w:tabs>
        <w:spacing w:before="160" w:after="0" w:line="240" w:lineRule="auto"/>
        <w:ind w:left="1172" w:right="0" w:hanging="721"/>
        <w:jc w:val="both"/>
      </w:pPr>
      <w:r>
        <w:t>地表沉陷对地面河流水系的影响</w:t>
      </w:r>
    </w:p>
    <w:p>
      <w:pPr>
        <w:pStyle w:val="6"/>
        <w:spacing w:before="161" w:line="364" w:lineRule="auto"/>
        <w:ind w:left="451" w:right="447" w:firstLine="480"/>
        <w:jc w:val="both"/>
      </w:pPr>
      <w:r>
        <w:rPr>
          <w:spacing w:val="-1"/>
        </w:rPr>
        <w:t>矿区范围位于低山丘陵区，地貌单元类型单一，该矿山井口门地势较高，自然降雨不能通过井口门流入矿井；水文地质条件简单，区内扁石河在矿区南部边</w:t>
      </w:r>
      <w:r>
        <w:rPr>
          <w:spacing w:val="-5"/>
        </w:rPr>
        <w:t xml:space="preserve">缘区域由西至东通过，属于季节性河流，河床宽度 </w:t>
      </w:r>
      <w:r>
        <w:rPr>
          <w:rFonts w:ascii="Times New Roman" w:eastAsia="Times New Roman"/>
        </w:rPr>
        <w:t xml:space="preserve">5-10 </w:t>
      </w:r>
      <w:r>
        <w:rPr>
          <w:spacing w:val="-15"/>
        </w:rPr>
        <w:t xml:space="preserve">米，水深 </w:t>
      </w:r>
      <w:r>
        <w:rPr>
          <w:rFonts w:ascii="Times New Roman" w:eastAsia="Times New Roman"/>
        </w:rPr>
        <w:t xml:space="preserve">0.50-1.0 </w:t>
      </w:r>
      <w:r>
        <w:rPr>
          <w:spacing w:val="-8"/>
        </w:rPr>
        <w:t>米，流</w:t>
      </w:r>
    </w:p>
    <w:p>
      <w:pPr>
        <w:pStyle w:val="6"/>
        <w:spacing w:before="2" w:line="364" w:lineRule="auto"/>
        <w:ind w:left="451" w:right="324"/>
      </w:pPr>
      <w:r>
        <w:rPr>
          <w:spacing w:val="-30"/>
        </w:rPr>
        <w:t xml:space="preserve">速 </w:t>
      </w:r>
      <w:r>
        <w:rPr>
          <w:rFonts w:ascii="Times New Roman" w:hAnsi="Times New Roman" w:eastAsia="Times New Roman"/>
        </w:rPr>
        <w:t xml:space="preserve">20-50 </w:t>
      </w:r>
      <w:r>
        <w:t>米</w:t>
      </w:r>
      <w:r>
        <w:rPr>
          <w:rFonts w:ascii="Times New Roman" w:hAnsi="Times New Roman" w:eastAsia="Times New Roman"/>
        </w:rPr>
        <w:t>/</w:t>
      </w:r>
      <w:r>
        <w:rPr>
          <w:spacing w:val="-13"/>
        </w:rPr>
        <w:t xml:space="preserve">分，河流量最大 </w:t>
      </w:r>
      <w:r>
        <w:rPr>
          <w:rFonts w:ascii="Times New Roman" w:hAnsi="Times New Roman" w:eastAsia="Times New Roman"/>
        </w:rPr>
        <w:t xml:space="preserve">500 </w:t>
      </w:r>
      <w:r>
        <w:t>立方米</w:t>
      </w:r>
      <w:r>
        <w:rPr>
          <w:rFonts w:ascii="Times New Roman" w:hAnsi="Times New Roman" w:eastAsia="Times New Roman"/>
        </w:rPr>
        <w:t>/</w:t>
      </w:r>
      <w:r>
        <w:rPr>
          <w:spacing w:val="-9"/>
        </w:rPr>
        <w:t>分，扁石河河底为泥底，会对对接的砂岩层有补给作用，对浅部开采有直接影响，但对矿井深部开采没有大的影响。井下有完善的排水系统，开采时留设了保护煤柱，地下水以孔隙、裂隙水为主，矿层</w:t>
      </w:r>
      <w:r>
        <w:rPr>
          <w:spacing w:val="-13"/>
        </w:rPr>
        <w:t xml:space="preserve">顶底板透水性中等，矿坑涌水量较小，预测最大涌水量为 </w:t>
      </w:r>
      <w:r>
        <w:rPr>
          <w:rFonts w:ascii="Times New Roman" w:hAnsi="Times New Roman" w:eastAsia="Times New Roman"/>
          <w:spacing w:val="-3"/>
        </w:rPr>
        <w:t>3720m3/d</w:t>
      </w:r>
      <w:r>
        <w:rPr>
          <w:spacing w:val="-2"/>
        </w:rPr>
        <w:t>；矿井积水可安全排至地面统一处理；可供开采的煤层结构特征煤层比较稳定，岩性单一，岩</w:t>
      </w:r>
      <w:r>
        <w:rPr>
          <w:spacing w:val="6"/>
        </w:rPr>
        <w:t>土体工程地质条件良好；矿区所处地震基本烈度为Ⅵ度，地震动峰值加速度为</w:t>
      </w:r>
      <w:r>
        <w:rPr>
          <w:rFonts w:ascii="Times New Roman" w:hAnsi="Times New Roman" w:eastAsia="Times New Roman"/>
          <w:spacing w:val="6"/>
        </w:rPr>
        <w:t>0.05g</w:t>
      </w:r>
      <w:r>
        <w:rPr>
          <w:spacing w:val="-2"/>
        </w:rPr>
        <w:t>；区内环境地质问题少，影响轻，地质灾害不发育，对矿山工程影响小。根据国土资源部《矿山地质环境保护与恢复治理方案编制规范》</w:t>
      </w:r>
      <w:r>
        <w:t>（</w:t>
      </w:r>
      <w:r>
        <w:rPr>
          <w:rFonts w:ascii="Times New Roman" w:hAnsi="Times New Roman" w:eastAsia="Times New Roman"/>
        </w:rPr>
        <w:t>DZ/T0223-2011</w:t>
      </w:r>
      <w:r>
        <w:t xml:space="preserve">） </w:t>
      </w:r>
      <w:r>
        <w:rPr>
          <w:spacing w:val="-15"/>
        </w:rPr>
        <w:t xml:space="preserve">中附录 </w:t>
      </w:r>
      <w:r>
        <w:rPr>
          <w:rFonts w:ascii="Times New Roman" w:hAnsi="Times New Roman" w:eastAsia="Times New Roman"/>
        </w:rPr>
        <w:t>C1</w:t>
      </w:r>
      <w:r>
        <w:rPr>
          <w:spacing w:val="-10"/>
        </w:rPr>
        <w:t>、</w:t>
      </w:r>
      <w:r>
        <w:rPr>
          <w:rFonts w:ascii="Times New Roman" w:hAnsi="Times New Roman" w:eastAsia="Times New Roman"/>
          <w:spacing w:val="-3"/>
        </w:rPr>
        <w:t>C2</w:t>
      </w:r>
      <w:r>
        <w:rPr>
          <w:spacing w:val="-3"/>
        </w:rPr>
        <w:t>（</w:t>
      </w:r>
      <w:r>
        <w:t>矿山地质环境条件复杂程度分级</w:t>
      </w:r>
      <w:r>
        <w:rPr>
          <w:spacing w:val="-8"/>
        </w:rPr>
        <w:t>）（</w:t>
      </w:r>
      <w:r>
        <w:rPr>
          <w:spacing w:val="-30"/>
        </w:rPr>
        <w:t xml:space="preserve">表 </w:t>
      </w:r>
      <w:r>
        <w:rPr>
          <w:rFonts w:ascii="Times New Roman" w:hAnsi="Times New Roman" w:eastAsia="Times New Roman"/>
          <w:spacing w:val="-3"/>
        </w:rPr>
        <w:t>3-5</w:t>
      </w:r>
      <w:r>
        <w:rPr>
          <w:spacing w:val="-3"/>
        </w:rPr>
        <w:t>）</w:t>
      </w:r>
      <w:r>
        <w:t>中的确定因素及指标，评估区现状条件下矿山地质环境问题的类型少、危害小、地质环境复杂程度为中等。</w:t>
      </w:r>
    </w:p>
    <w:p>
      <w:pPr>
        <w:pStyle w:val="5"/>
        <w:numPr>
          <w:ilvl w:val="3"/>
          <w:numId w:val="38"/>
        </w:numPr>
        <w:tabs>
          <w:tab w:val="left" w:pos="1172"/>
        </w:tabs>
        <w:spacing w:before="6" w:after="0" w:line="240" w:lineRule="auto"/>
        <w:ind w:left="1172" w:right="0" w:hanging="721"/>
        <w:jc w:val="left"/>
      </w:pPr>
      <w:r>
        <w:t>地表沉陷对土地利用的影响</w:t>
      </w:r>
    </w:p>
    <w:p>
      <w:pPr>
        <w:pStyle w:val="6"/>
        <w:spacing w:before="161" w:line="364" w:lineRule="auto"/>
        <w:ind w:left="451" w:right="453" w:firstLine="480"/>
        <w:jc w:val="both"/>
      </w:pPr>
      <w:r>
        <w:t>本区属稳定区，该区为丘陵区，周围主要为耕地和林地，地表有起伏，同时极少见山洪等自然地质灾害，自然环境良好。环境地质条件属于良好型。只要矿山严格按设计开采，并加强安全管理与地质灾害监测，该矿的开采不会引起规模性深强度地面沉陷。</w:t>
      </w:r>
    </w:p>
    <w:p>
      <w:pPr>
        <w:pStyle w:val="5"/>
        <w:numPr>
          <w:ilvl w:val="3"/>
          <w:numId w:val="38"/>
        </w:numPr>
        <w:tabs>
          <w:tab w:val="left" w:pos="1172"/>
        </w:tabs>
        <w:spacing w:before="2" w:after="0" w:line="240" w:lineRule="auto"/>
        <w:ind w:left="1172" w:right="0" w:hanging="721"/>
        <w:jc w:val="both"/>
      </w:pPr>
      <w:r>
        <w:t>地表沉陷对水利设施的影响</w:t>
      </w:r>
    </w:p>
    <w:p>
      <w:pPr>
        <w:pStyle w:val="6"/>
        <w:spacing w:before="161"/>
        <w:ind w:left="931"/>
      </w:pPr>
      <w:r>
        <w:t>本井田境界内无农灌机井，故开采对水利设施无影响。</w:t>
      </w:r>
    </w:p>
    <w:p>
      <w:pPr>
        <w:pStyle w:val="3"/>
        <w:numPr>
          <w:ilvl w:val="1"/>
          <w:numId w:val="42"/>
        </w:numPr>
        <w:tabs>
          <w:tab w:val="left" w:pos="978"/>
        </w:tabs>
        <w:spacing w:before="201" w:after="0" w:line="240" w:lineRule="auto"/>
        <w:ind w:left="977" w:right="0" w:hanging="527"/>
        <w:jc w:val="left"/>
      </w:pPr>
      <w:bookmarkStart w:id="172" w:name="5.4 生态影响评价"/>
      <w:bookmarkEnd w:id="172"/>
      <w:bookmarkStart w:id="173" w:name="_bookmark27"/>
      <w:bookmarkEnd w:id="173"/>
      <w:bookmarkStart w:id="174" w:name="_bookmark27"/>
      <w:bookmarkEnd w:id="174"/>
      <w:r>
        <w:t>生态影响评价</w:t>
      </w:r>
    </w:p>
    <w:p>
      <w:pPr>
        <w:pStyle w:val="4"/>
        <w:numPr>
          <w:ilvl w:val="2"/>
          <w:numId w:val="42"/>
        </w:numPr>
        <w:tabs>
          <w:tab w:val="left" w:pos="1081"/>
        </w:tabs>
        <w:spacing w:before="120" w:after="0" w:line="240" w:lineRule="auto"/>
        <w:ind w:left="1080" w:right="0" w:hanging="630"/>
        <w:jc w:val="left"/>
      </w:pPr>
      <w:bookmarkStart w:id="175" w:name="5.4.1概述"/>
      <w:bookmarkEnd w:id="175"/>
      <w:bookmarkStart w:id="176" w:name="5.4.1概述"/>
      <w:bookmarkEnd w:id="176"/>
      <w:r>
        <w:t>概述</w:t>
      </w:r>
    </w:p>
    <w:p>
      <w:pPr>
        <w:pStyle w:val="6"/>
        <w:spacing w:before="11"/>
        <w:rPr>
          <w:b/>
          <w:sz w:val="26"/>
        </w:rPr>
      </w:pPr>
    </w:p>
    <w:p>
      <w:pPr>
        <w:pStyle w:val="6"/>
        <w:spacing w:line="391" w:lineRule="auto"/>
        <w:ind w:left="451" w:right="453" w:firstLine="480"/>
        <w:jc w:val="both"/>
      </w:pPr>
      <w:r>
        <w:t>项目建设将会改变项目直接实施区域内原有自然景观，如矿井场地的开挖和充填，对原有地表形态、地层顺序、植被等发生直接的破坏，挖损产生的废弃岩土直接堆置于原地貌之上，将使施工区域内的自然景观遭受到完全破坏。此外， 随着与建设项目同步实施的道路建设，在路基施工中的填挖、取土、弃土等一系</w:t>
      </w:r>
    </w:p>
    <w:p>
      <w:pPr>
        <w:spacing w:after="0" w:line="391" w:lineRule="auto"/>
        <w:jc w:val="both"/>
        <w:sectPr>
          <w:pgSz w:w="11910" w:h="16840"/>
          <w:pgMar w:top="1460" w:right="1300" w:bottom="1180" w:left="1300" w:header="0" w:footer="997" w:gutter="0"/>
        </w:sectPr>
      </w:pPr>
    </w:p>
    <w:p>
      <w:pPr>
        <w:pStyle w:val="6"/>
        <w:spacing w:before="44" w:line="388" w:lineRule="auto"/>
        <w:ind w:left="451" w:right="453"/>
      </w:pPr>
      <w:r>
        <w:t>列施工活动，形成裸露边坡、取土坑、弃土场等一些人为劣质景观，造成与周围景观的不协调。</w:t>
      </w:r>
    </w:p>
    <w:p>
      <w:pPr>
        <w:pStyle w:val="6"/>
        <w:spacing w:before="2"/>
        <w:ind w:left="931"/>
      </w:pPr>
      <w:r>
        <w:t>项目营运后，地表沉陷会对局部地貌景观产生一定影响，但不会改变评价区</w:t>
      </w:r>
    </w:p>
    <w:p>
      <w:pPr>
        <w:pStyle w:val="6"/>
        <w:spacing w:before="194"/>
        <w:ind w:left="451"/>
      </w:pPr>
      <w:r>
        <w:t>整体自然景观。</w:t>
      </w:r>
    </w:p>
    <w:p>
      <w:pPr>
        <w:pStyle w:val="4"/>
        <w:numPr>
          <w:ilvl w:val="2"/>
          <w:numId w:val="42"/>
        </w:numPr>
        <w:tabs>
          <w:tab w:val="left" w:pos="1081"/>
        </w:tabs>
        <w:spacing w:before="34" w:after="0" w:line="240" w:lineRule="auto"/>
        <w:ind w:left="1080" w:right="0" w:hanging="630"/>
        <w:jc w:val="left"/>
      </w:pPr>
      <w:bookmarkStart w:id="177" w:name="5.4.2项目建设永久性占地和施工对生态的影响分析"/>
      <w:bookmarkEnd w:id="177"/>
      <w:bookmarkStart w:id="178" w:name="5.4.2项目建设永久性占地和施工对生态的影响分析"/>
      <w:bookmarkEnd w:id="178"/>
      <w:r>
        <w:t>项目建设永久性占地和施工对生态的影响分析</w:t>
      </w:r>
    </w:p>
    <w:p>
      <w:pPr>
        <w:pStyle w:val="6"/>
        <w:spacing w:before="262" w:line="364" w:lineRule="auto"/>
        <w:ind w:left="451" w:right="453" w:firstLine="480"/>
        <w:jc w:val="both"/>
      </w:pPr>
      <w:r>
        <w:t>本项目为单井扩储改扩建，基础设施大部分建成，已发生的土地损毁的办公区、储煤仓、生产用房、矸石场等已基本满足生产需求，仅进行环保设施更新， 故原有的景观格局未受到较大干扰，不会改变原有景观的空间结构。</w:t>
      </w:r>
    </w:p>
    <w:p>
      <w:pPr>
        <w:pStyle w:val="6"/>
        <w:spacing w:before="2" w:line="364" w:lineRule="auto"/>
        <w:ind w:left="451" w:right="333" w:firstLine="480"/>
      </w:pPr>
      <w:r>
        <w:t>本项目的工业场地建设、道路建设、辅助系统建设等工程已完成，并且由于项目用地占整个评价区域总面积的比例很小，对生态系统的影响是有限的；矿井在生产过程中的排污由于采取相对完善的治理措施，对生态体系的影响较小，而且是局部的。但项目在建设施工过程中必须高度重视对周围生态环境的保护，要</w:t>
      </w:r>
      <w:r>
        <w:rPr>
          <w:spacing w:val="-9"/>
        </w:rPr>
        <w:t xml:space="preserve">在施工各个阶段内做好各种防护措施，并且在施工完成及时做好恢复和补偿工作， </w:t>
      </w:r>
      <w:r>
        <w:t>加强绿化，在采取了的生态保护和水土保持措施后，可将施工期的生态环境影响降至最小程度。</w:t>
      </w:r>
    </w:p>
    <w:p>
      <w:pPr>
        <w:pStyle w:val="4"/>
        <w:numPr>
          <w:ilvl w:val="2"/>
          <w:numId w:val="42"/>
        </w:numPr>
        <w:tabs>
          <w:tab w:val="left" w:pos="1081"/>
        </w:tabs>
        <w:spacing w:before="0" w:after="0" w:line="285" w:lineRule="exact"/>
        <w:ind w:left="1080" w:right="0" w:hanging="630"/>
        <w:jc w:val="left"/>
      </w:pPr>
      <w:bookmarkStart w:id="179" w:name="5.4.3评价区生态影响分析"/>
      <w:bookmarkEnd w:id="179"/>
      <w:bookmarkStart w:id="180" w:name="5.4.3评价区生态影响分析"/>
      <w:bookmarkEnd w:id="180"/>
      <w:r>
        <w:t>评价区生态影响分析</w:t>
      </w:r>
    </w:p>
    <w:p>
      <w:pPr>
        <w:pStyle w:val="5"/>
        <w:numPr>
          <w:ilvl w:val="3"/>
          <w:numId w:val="42"/>
        </w:numPr>
        <w:tabs>
          <w:tab w:val="left" w:pos="1232"/>
        </w:tabs>
        <w:spacing w:before="264" w:after="0" w:line="240" w:lineRule="auto"/>
        <w:ind w:left="1232" w:right="0" w:hanging="781"/>
        <w:jc w:val="left"/>
      </w:pPr>
      <w:r>
        <w:t>项目建设对林地的影响</w:t>
      </w:r>
    </w:p>
    <w:p>
      <w:pPr>
        <w:pStyle w:val="13"/>
        <w:numPr>
          <w:ilvl w:val="4"/>
          <w:numId w:val="42"/>
        </w:numPr>
        <w:tabs>
          <w:tab w:val="left" w:pos="1533"/>
        </w:tabs>
        <w:spacing w:before="161" w:after="0" w:line="240" w:lineRule="auto"/>
        <w:ind w:left="1533" w:right="0" w:hanging="602"/>
        <w:jc w:val="left"/>
        <w:rPr>
          <w:sz w:val="24"/>
        </w:rPr>
      </w:pPr>
      <w:r>
        <w:rPr>
          <w:sz w:val="24"/>
        </w:rPr>
        <w:t>评价区土地分布状况</w:t>
      </w:r>
    </w:p>
    <w:p>
      <w:pPr>
        <w:pStyle w:val="6"/>
        <w:spacing w:before="160" w:line="364" w:lineRule="auto"/>
        <w:ind w:left="451" w:right="453" w:firstLine="480"/>
      </w:pPr>
      <w:r>
        <w:t xml:space="preserve">矿山处于丘陵区域，地表有起伏，井田内以林地为主，从土地利用现状分析中可知，双鸭山大顺矿业有任公司评价区内有林地占评价区总面积的 </w:t>
      </w:r>
      <w:r>
        <w:rPr>
          <w:rFonts w:ascii="Times New Roman" w:eastAsia="Times New Roman"/>
        </w:rPr>
        <w:t>68.54%</w:t>
      </w:r>
      <w:r>
        <w:t>。</w:t>
      </w:r>
    </w:p>
    <w:p>
      <w:pPr>
        <w:pStyle w:val="13"/>
        <w:numPr>
          <w:ilvl w:val="4"/>
          <w:numId w:val="42"/>
        </w:numPr>
        <w:tabs>
          <w:tab w:val="left" w:pos="1533"/>
        </w:tabs>
        <w:spacing w:before="1" w:after="0" w:line="240" w:lineRule="auto"/>
        <w:ind w:left="1533" w:right="0" w:hanging="602"/>
        <w:jc w:val="left"/>
        <w:rPr>
          <w:sz w:val="24"/>
        </w:rPr>
      </w:pPr>
      <w:r>
        <w:rPr>
          <w:sz w:val="24"/>
        </w:rPr>
        <w:t>项目建设占地对土地的影响</w:t>
      </w:r>
    </w:p>
    <w:p>
      <w:pPr>
        <w:pStyle w:val="6"/>
        <w:spacing w:before="161"/>
        <w:ind w:left="931"/>
      </w:pPr>
      <w:r>
        <w:t>本项目建设是在原工业用地上进行，对土地的影响无变化。</w:t>
      </w:r>
    </w:p>
    <w:p>
      <w:pPr>
        <w:pStyle w:val="13"/>
        <w:numPr>
          <w:ilvl w:val="4"/>
          <w:numId w:val="42"/>
        </w:numPr>
        <w:tabs>
          <w:tab w:val="left" w:pos="1533"/>
        </w:tabs>
        <w:spacing w:before="160" w:after="0" w:line="240" w:lineRule="auto"/>
        <w:ind w:left="1533" w:right="0" w:hanging="602"/>
        <w:jc w:val="left"/>
        <w:rPr>
          <w:sz w:val="24"/>
        </w:rPr>
      </w:pPr>
      <w:r>
        <w:rPr>
          <w:sz w:val="24"/>
        </w:rPr>
        <w:t>地表沉陷对土地的影响</w:t>
      </w:r>
    </w:p>
    <w:p>
      <w:pPr>
        <w:pStyle w:val="6"/>
        <w:spacing w:before="161" w:line="364" w:lineRule="auto"/>
        <w:ind w:left="451" w:right="453" w:firstLine="480"/>
        <w:jc w:val="both"/>
      </w:pPr>
      <w:r>
        <w:t>采煤沉陷将对井田范围内的部分林地造成一定程度的影响。根据煤炭开采沉陷土地破坏现状调查，大部分林地经过必要的整治后仍可以恢复其原有能力。经预测，根据地形、地表沉陷与裂缝情况，可将沉陷对林地的破坏程度分为二级， 分别为轻度、中度两种类型。</w:t>
      </w:r>
    </w:p>
    <w:p>
      <w:pPr>
        <w:pStyle w:val="6"/>
        <w:spacing w:before="2" w:line="364" w:lineRule="auto"/>
        <w:ind w:left="451" w:right="453" w:firstLine="480"/>
      </w:pPr>
      <w:r>
        <w:t>轻度：地面有轻微的变形，不影响林地、植被生长，水土流失略有增加。主要分布在井下主要大巷煤柱上方和达到充分采动的采区中央部分。</w:t>
      </w:r>
    </w:p>
    <w:p>
      <w:pPr>
        <w:spacing w:after="0" w:line="364" w:lineRule="auto"/>
        <w:sectPr>
          <w:pgSz w:w="11910" w:h="16840"/>
          <w:pgMar w:top="1540" w:right="1300" w:bottom="1180" w:left="1300" w:header="0" w:footer="997" w:gutter="0"/>
        </w:sectPr>
      </w:pPr>
    </w:p>
    <w:p>
      <w:pPr>
        <w:pStyle w:val="6"/>
        <w:spacing w:before="42" w:line="364" w:lineRule="auto"/>
        <w:ind w:left="451" w:right="453" w:firstLine="480"/>
        <w:jc w:val="both"/>
      </w:pPr>
      <w:r>
        <w:t>中度：地面塌陷破坏比较严重，出现方向明显的缝、坡、坎等，影响林地与植被生长，水土流失有所加剧。主要分布在煤柱的边缘地带，即下沉盆地的边缘部分。</w:t>
      </w:r>
    </w:p>
    <w:p>
      <w:pPr>
        <w:pStyle w:val="13"/>
        <w:numPr>
          <w:ilvl w:val="4"/>
          <w:numId w:val="42"/>
        </w:numPr>
        <w:tabs>
          <w:tab w:val="left" w:pos="1533"/>
        </w:tabs>
        <w:spacing w:before="0" w:after="0" w:line="230" w:lineRule="exact"/>
        <w:ind w:left="1533" w:right="0" w:hanging="602"/>
        <w:jc w:val="left"/>
        <w:rPr>
          <w:sz w:val="24"/>
        </w:rPr>
      </w:pPr>
      <w:r>
        <w:rPr>
          <w:sz w:val="24"/>
        </w:rPr>
        <w:t>地表沉陷对林业生产力的影响分析</w:t>
      </w:r>
    </w:p>
    <w:p>
      <w:pPr>
        <w:pStyle w:val="6"/>
        <w:spacing w:before="160" w:line="364" w:lineRule="auto"/>
        <w:ind w:left="451" w:right="329" w:firstLine="480"/>
      </w:pPr>
      <w:r>
        <w:t>地表沉陷对林地的影响主要表现在地表出现陡坡处和裂缝处的林木将产生歪斜或倾倒，进而对局部地区的林业生产力构成一定程度的影响。根据现场调查和</w:t>
      </w:r>
      <w:r>
        <w:rPr>
          <w:spacing w:val="-1"/>
        </w:rPr>
        <w:t>对当地林业部门的走访，井田范围内的林地主要以有林地为主，评价区内无需要</w:t>
      </w:r>
      <w:r>
        <w:rPr>
          <w:spacing w:val="-12"/>
        </w:rPr>
        <w:t xml:space="preserve">特殊保护的特殊用途林等。受轻度和中度影响的次生林地除个别树木发生倒伏外， </w:t>
      </w:r>
      <w:r>
        <w:t>不会影响大的林木正常生长。经预测，本井田的开采不会对当地的林业产生重度沉陷影响。</w:t>
      </w:r>
    </w:p>
    <w:p>
      <w:pPr>
        <w:pStyle w:val="6"/>
        <w:spacing w:before="76" w:line="364" w:lineRule="auto"/>
        <w:ind w:left="451" w:right="453" w:firstLine="480"/>
        <w:jc w:val="both"/>
      </w:pPr>
      <w:r>
        <w:t>双鸭山大顺矿业有限公司的开发建设与生产运营，使项目区的生态环境和林业生产力受到一定的负面影响，使少量的林木发生倾斜，但其影响可以通过加强矿区绿化和生态综合整治，使项目开发对当地林业经济与生态环境的负面影响得到有效的控制，从而维持生态系统的完整性和稳定性，保持生态平衡，实现可持续发展。</w:t>
      </w:r>
    </w:p>
    <w:p>
      <w:pPr>
        <w:pStyle w:val="3"/>
        <w:numPr>
          <w:ilvl w:val="1"/>
          <w:numId w:val="42"/>
        </w:numPr>
        <w:tabs>
          <w:tab w:val="left" w:pos="901"/>
        </w:tabs>
        <w:spacing w:before="41" w:after="0" w:line="240" w:lineRule="auto"/>
        <w:ind w:left="900" w:right="0" w:hanging="450"/>
        <w:jc w:val="left"/>
      </w:pPr>
      <w:bookmarkStart w:id="181" w:name="5.5地表沉陷区治理与生态环境综合整治"/>
      <w:bookmarkEnd w:id="181"/>
      <w:bookmarkStart w:id="182" w:name="_bookmark28"/>
      <w:bookmarkEnd w:id="182"/>
      <w:bookmarkStart w:id="183" w:name="_bookmark28"/>
      <w:bookmarkEnd w:id="183"/>
      <w:r>
        <w:t>地表沉陷区治理与生态环境综合整治</w:t>
      </w:r>
    </w:p>
    <w:p>
      <w:pPr>
        <w:pStyle w:val="4"/>
        <w:numPr>
          <w:ilvl w:val="2"/>
          <w:numId w:val="42"/>
        </w:numPr>
        <w:tabs>
          <w:tab w:val="left" w:pos="1153"/>
        </w:tabs>
        <w:spacing w:before="123" w:after="0" w:line="240" w:lineRule="auto"/>
        <w:ind w:left="1152" w:right="0" w:hanging="702"/>
        <w:jc w:val="left"/>
      </w:pPr>
      <w:bookmarkStart w:id="184" w:name="5.5.1 生态环境综合整治原则与目标"/>
      <w:bookmarkEnd w:id="184"/>
      <w:bookmarkStart w:id="185" w:name="5.5.1 生态环境综合整治原则与目标"/>
      <w:bookmarkEnd w:id="185"/>
      <w:r>
        <w:t>生态环境综合整治原则与目标</w:t>
      </w:r>
    </w:p>
    <w:p>
      <w:pPr>
        <w:pStyle w:val="5"/>
        <w:numPr>
          <w:ilvl w:val="3"/>
          <w:numId w:val="42"/>
        </w:numPr>
        <w:tabs>
          <w:tab w:val="left" w:pos="1232"/>
        </w:tabs>
        <w:spacing w:before="265" w:after="0" w:line="240" w:lineRule="auto"/>
        <w:ind w:left="1232" w:right="0" w:hanging="781"/>
        <w:jc w:val="left"/>
      </w:pPr>
      <w:r>
        <w:t>生态综合整治原则</w:t>
      </w:r>
    </w:p>
    <w:p>
      <w:pPr>
        <w:pStyle w:val="6"/>
        <w:spacing w:before="160" w:line="364" w:lineRule="auto"/>
        <w:ind w:left="451" w:right="453" w:firstLine="480"/>
      </w:pPr>
      <w:r>
        <w:rPr>
          <w:spacing w:val="-7"/>
        </w:rPr>
        <w:t>根据双鸭山大顺矿业有限公司建设及运行特点和《环境影响评价技术导则 生</w:t>
      </w:r>
      <w:r>
        <w:t>态影响》（</w:t>
      </w:r>
      <w:r>
        <w:rPr>
          <w:rFonts w:ascii="Times New Roman" w:eastAsia="Times New Roman"/>
        </w:rPr>
        <w:t>HJ91-2011</w:t>
      </w:r>
      <w:r>
        <w:t>）标准的规定，确定生态环境综合整治原则为：</w:t>
      </w:r>
    </w:p>
    <w:p>
      <w:pPr>
        <w:pStyle w:val="13"/>
        <w:numPr>
          <w:ilvl w:val="0"/>
          <w:numId w:val="43"/>
        </w:numPr>
        <w:tabs>
          <w:tab w:val="left" w:pos="1533"/>
        </w:tabs>
        <w:spacing w:before="1" w:after="0" w:line="240" w:lineRule="auto"/>
        <w:ind w:left="1533" w:right="0" w:hanging="602"/>
        <w:jc w:val="left"/>
        <w:rPr>
          <w:sz w:val="24"/>
        </w:rPr>
      </w:pPr>
      <w:r>
        <w:rPr>
          <w:sz w:val="24"/>
        </w:rPr>
        <w:t>自然资源的补偿原则</w:t>
      </w:r>
    </w:p>
    <w:p>
      <w:pPr>
        <w:pStyle w:val="6"/>
        <w:spacing w:before="161" w:line="364" w:lineRule="auto"/>
        <w:ind w:left="451" w:right="453" w:firstLine="480"/>
        <w:jc w:val="both"/>
      </w:pPr>
      <w:r>
        <w:t>由于项目区自然资源（植被、土壤）会因项目施工和运行受到一定程度的损耗，而这两种资源都属于再生期长，恢复速度较慢的资源，它们除自身存在市场价值外，还具有生态和社会效益，因而必须执行自然资源损失的补偿原则。</w:t>
      </w:r>
    </w:p>
    <w:p>
      <w:pPr>
        <w:pStyle w:val="13"/>
        <w:numPr>
          <w:ilvl w:val="0"/>
          <w:numId w:val="43"/>
        </w:numPr>
        <w:tabs>
          <w:tab w:val="left" w:pos="1533"/>
        </w:tabs>
        <w:spacing w:before="2" w:after="0" w:line="240" w:lineRule="auto"/>
        <w:ind w:left="1533" w:right="0" w:hanging="602"/>
        <w:jc w:val="left"/>
        <w:rPr>
          <w:sz w:val="24"/>
        </w:rPr>
      </w:pPr>
      <w:r>
        <w:rPr>
          <w:sz w:val="24"/>
        </w:rPr>
        <w:t>受损区域的恢复原则</w:t>
      </w:r>
    </w:p>
    <w:p>
      <w:pPr>
        <w:pStyle w:val="6"/>
        <w:spacing w:before="160" w:line="364" w:lineRule="auto"/>
        <w:ind w:left="451" w:right="333" w:firstLine="480"/>
      </w:pPr>
      <w:r>
        <w:t>项目影响最大的区域是占地区和直接影响区，用地格局的改变影响了原有自</w:t>
      </w:r>
      <w:r>
        <w:rPr>
          <w:spacing w:val="-12"/>
        </w:rPr>
        <w:t>然体系的功能，如物种移动，因此应进行生态学设计，尽量减少这种功能的损失。</w:t>
      </w:r>
      <w:r>
        <w:t>应根据本项目工作面接替计划和沉陷林地破坏的实际情况，结合双鸭山市土地利</w:t>
      </w:r>
      <w:r>
        <w:rPr>
          <w:spacing w:val="-6"/>
        </w:rPr>
        <w:t>用总体规划；根据整治后的土地状况，按</w:t>
      </w:r>
      <w:r>
        <w:rPr>
          <w:rFonts w:ascii="Times New Roman" w:hAnsi="Times New Roman" w:eastAsia="Times New Roman"/>
        </w:rPr>
        <w:t>“</w:t>
      </w:r>
      <w:r>
        <w:rPr>
          <w:spacing w:val="-8"/>
        </w:rPr>
        <w:t>合理布局、因地制宜、宜农则农、宜林</w:t>
      </w:r>
    </w:p>
    <w:p>
      <w:pPr>
        <w:spacing w:after="0" w:line="364" w:lineRule="auto"/>
        <w:sectPr>
          <w:pgSz w:w="11910" w:h="16840"/>
          <w:pgMar w:top="1460" w:right="1300" w:bottom="1180" w:left="1300" w:header="0" w:footer="997" w:gutter="0"/>
        </w:sectPr>
      </w:pPr>
    </w:p>
    <w:p>
      <w:pPr>
        <w:pStyle w:val="6"/>
        <w:spacing w:before="62"/>
        <w:ind w:left="451"/>
      </w:pPr>
      <w:r>
        <w:t>则林</w:t>
      </w:r>
      <w:r>
        <w:rPr>
          <w:rFonts w:ascii="Times New Roman" w:hAnsi="Times New Roman" w:eastAsia="Times New Roman"/>
        </w:rPr>
        <w:t>”</w:t>
      </w:r>
      <w:r>
        <w:t>的原则进行治理，建立新的土地利用系统，提高土地的生产力。</w:t>
      </w:r>
    </w:p>
    <w:p>
      <w:pPr>
        <w:pStyle w:val="13"/>
        <w:numPr>
          <w:ilvl w:val="0"/>
          <w:numId w:val="43"/>
        </w:numPr>
        <w:tabs>
          <w:tab w:val="left" w:pos="1533"/>
        </w:tabs>
        <w:spacing w:before="160" w:after="0" w:line="240" w:lineRule="auto"/>
        <w:ind w:left="1533" w:right="0" w:hanging="602"/>
        <w:jc w:val="left"/>
        <w:rPr>
          <w:sz w:val="24"/>
        </w:rPr>
      </w:pPr>
      <w:r>
        <w:rPr>
          <w:sz w:val="24"/>
        </w:rPr>
        <w:t>人类需求与生态完整性维护相协调的原则</w:t>
      </w:r>
    </w:p>
    <w:p>
      <w:pPr>
        <w:pStyle w:val="6"/>
        <w:spacing w:before="161" w:line="364" w:lineRule="auto"/>
        <w:ind w:left="451" w:right="453" w:firstLine="480"/>
        <w:jc w:val="both"/>
      </w:pPr>
      <w:r>
        <w:t>项目建设和运行是人类利用自然资源满足需求的行为，这种行为往往与生态完整性的维护发生矛盾，生态保护措施就在于尽力减缓这种矛盾，在自然体系可以承受的范围内开发利用资源，为社会经济的进步服务。</w:t>
      </w:r>
    </w:p>
    <w:p>
      <w:pPr>
        <w:pStyle w:val="13"/>
        <w:numPr>
          <w:ilvl w:val="0"/>
          <w:numId w:val="43"/>
        </w:numPr>
        <w:tabs>
          <w:tab w:val="left" w:pos="1533"/>
        </w:tabs>
        <w:spacing w:before="2" w:after="0" w:line="240" w:lineRule="auto"/>
        <w:ind w:left="1533" w:right="0" w:hanging="602"/>
        <w:jc w:val="left"/>
        <w:rPr>
          <w:sz w:val="24"/>
        </w:rPr>
      </w:pPr>
      <w:r>
        <w:rPr>
          <w:sz w:val="24"/>
        </w:rPr>
        <w:t>突出重点、分区治理的原则</w:t>
      </w:r>
    </w:p>
    <w:p>
      <w:pPr>
        <w:pStyle w:val="6"/>
        <w:spacing w:before="160" w:line="364" w:lineRule="auto"/>
        <w:ind w:left="451" w:right="333" w:firstLine="480"/>
      </w:pPr>
      <w:r>
        <w:t>双鸭山大顺矿业有限公司井田沉陷土地复垦的重点是有林地。根据双鸭山市土地利用总体规划，受沉陷影响的为有林地，因此井田沉陷区的治理应当符合规</w:t>
      </w:r>
      <w:r>
        <w:rPr>
          <w:spacing w:val="-12"/>
        </w:rPr>
        <w:t>划的要求，将沉陷土地主要恢复成林地。对林地一般保持原地貌，适当予以补植。</w:t>
      </w:r>
      <w:r>
        <w:t>根据双鸭山大顺矿业有限公司井田的采区开采接替计划和工作面推进情况，结合沉陷预测、土地破坏程度分析结果，分区域、分时段、分不同的复垦整治措施进行全井田沉陷区的综合整治，以提高治理方案的针对性，保证措施的真正落实。</w:t>
      </w:r>
    </w:p>
    <w:p>
      <w:pPr>
        <w:pStyle w:val="5"/>
        <w:numPr>
          <w:ilvl w:val="3"/>
          <w:numId w:val="42"/>
        </w:numPr>
        <w:tabs>
          <w:tab w:val="left" w:pos="1232"/>
        </w:tabs>
        <w:spacing w:before="4" w:after="0" w:line="240" w:lineRule="auto"/>
        <w:ind w:left="1232" w:right="0" w:hanging="781"/>
        <w:jc w:val="left"/>
      </w:pPr>
      <w:r>
        <w:t>生态综合整治目标</w:t>
      </w:r>
    </w:p>
    <w:p>
      <w:pPr>
        <w:pStyle w:val="6"/>
        <w:spacing w:before="160" w:line="364" w:lineRule="auto"/>
        <w:ind w:left="451" w:right="453" w:firstLine="480"/>
      </w:pPr>
      <w:r>
        <w:t>综合整治目标：结合本井田的生态环境现状及沉陷特征和双鸭山市土地利用总体规划，确定本项目沉陷区综合整治目标如下：</w:t>
      </w:r>
    </w:p>
    <w:p>
      <w:pPr>
        <w:pStyle w:val="13"/>
        <w:numPr>
          <w:ilvl w:val="0"/>
          <w:numId w:val="44"/>
        </w:numPr>
        <w:tabs>
          <w:tab w:val="left" w:pos="1533"/>
        </w:tabs>
        <w:spacing w:before="1" w:after="0" w:line="240" w:lineRule="auto"/>
        <w:ind w:left="1533" w:right="0" w:hanging="602"/>
        <w:jc w:val="left"/>
        <w:rPr>
          <w:sz w:val="24"/>
        </w:rPr>
      </w:pPr>
      <w:r>
        <w:rPr>
          <w:spacing w:val="-6"/>
          <w:sz w:val="24"/>
        </w:rPr>
        <w:t xml:space="preserve">沉陷土地的治理率达到 </w:t>
      </w:r>
      <w:r>
        <w:rPr>
          <w:rFonts w:ascii="Times New Roman" w:eastAsia="Times New Roman"/>
          <w:sz w:val="24"/>
        </w:rPr>
        <w:t>85%</w:t>
      </w:r>
      <w:r>
        <w:rPr>
          <w:sz w:val="24"/>
        </w:rPr>
        <w:t>；</w:t>
      </w:r>
    </w:p>
    <w:p>
      <w:pPr>
        <w:pStyle w:val="13"/>
        <w:numPr>
          <w:ilvl w:val="0"/>
          <w:numId w:val="44"/>
        </w:numPr>
        <w:tabs>
          <w:tab w:val="left" w:pos="1533"/>
        </w:tabs>
        <w:spacing w:before="161" w:after="0" w:line="240" w:lineRule="auto"/>
        <w:ind w:left="1533" w:right="0" w:hanging="602"/>
        <w:jc w:val="left"/>
        <w:rPr>
          <w:sz w:val="24"/>
        </w:rPr>
      </w:pPr>
      <w:r>
        <w:rPr>
          <w:spacing w:val="-7"/>
          <w:sz w:val="24"/>
        </w:rPr>
        <w:t xml:space="preserve">植被恢复系数达到 </w:t>
      </w:r>
      <w:r>
        <w:rPr>
          <w:rFonts w:ascii="Times New Roman" w:eastAsia="Times New Roman"/>
          <w:sz w:val="24"/>
        </w:rPr>
        <w:t>80%</w:t>
      </w:r>
      <w:r>
        <w:rPr>
          <w:sz w:val="24"/>
        </w:rPr>
        <w:t>；</w:t>
      </w:r>
    </w:p>
    <w:p>
      <w:pPr>
        <w:pStyle w:val="13"/>
        <w:numPr>
          <w:ilvl w:val="0"/>
          <w:numId w:val="44"/>
        </w:numPr>
        <w:tabs>
          <w:tab w:val="left" w:pos="1533"/>
        </w:tabs>
        <w:spacing w:before="160" w:after="0" w:line="240" w:lineRule="auto"/>
        <w:ind w:left="1533" w:right="0" w:hanging="602"/>
        <w:jc w:val="left"/>
        <w:rPr>
          <w:sz w:val="24"/>
        </w:rPr>
      </w:pPr>
      <w:r>
        <w:rPr>
          <w:spacing w:val="-4"/>
          <w:sz w:val="24"/>
        </w:rPr>
        <w:t xml:space="preserve">危害性沉坡、裂缝等沉陷灾害的治理率达到 </w:t>
      </w:r>
      <w:r>
        <w:rPr>
          <w:rFonts w:ascii="Times New Roman" w:eastAsia="Times New Roman"/>
          <w:sz w:val="24"/>
        </w:rPr>
        <w:t>100%</w:t>
      </w:r>
      <w:r>
        <w:rPr>
          <w:sz w:val="24"/>
        </w:rPr>
        <w:t>；</w:t>
      </w:r>
    </w:p>
    <w:p>
      <w:pPr>
        <w:pStyle w:val="13"/>
        <w:numPr>
          <w:ilvl w:val="0"/>
          <w:numId w:val="44"/>
        </w:numPr>
        <w:tabs>
          <w:tab w:val="left" w:pos="1533"/>
        </w:tabs>
        <w:spacing w:before="161" w:after="0" w:line="240" w:lineRule="auto"/>
        <w:ind w:left="1533" w:right="0" w:hanging="602"/>
        <w:jc w:val="left"/>
        <w:rPr>
          <w:sz w:val="24"/>
        </w:rPr>
      </w:pPr>
      <w:r>
        <w:rPr>
          <w:spacing w:val="-6"/>
          <w:sz w:val="24"/>
        </w:rPr>
        <w:t xml:space="preserve">整治区林草覆盖率达到 </w:t>
      </w:r>
      <w:r>
        <w:rPr>
          <w:rFonts w:ascii="Times New Roman" w:eastAsia="Times New Roman"/>
          <w:sz w:val="24"/>
        </w:rPr>
        <w:t>45%</w:t>
      </w:r>
      <w:r>
        <w:rPr>
          <w:sz w:val="24"/>
        </w:rPr>
        <w:t>。</w:t>
      </w:r>
    </w:p>
    <w:p>
      <w:pPr>
        <w:pStyle w:val="4"/>
        <w:numPr>
          <w:ilvl w:val="2"/>
          <w:numId w:val="42"/>
        </w:numPr>
        <w:tabs>
          <w:tab w:val="left" w:pos="1153"/>
        </w:tabs>
        <w:spacing w:before="82" w:after="0" w:line="240" w:lineRule="auto"/>
        <w:ind w:left="1152" w:right="0" w:hanging="702"/>
        <w:jc w:val="left"/>
      </w:pPr>
      <w:bookmarkStart w:id="186" w:name="5.5.2 沉陷区复垦与生态综合整治方案"/>
      <w:bookmarkEnd w:id="186"/>
      <w:bookmarkStart w:id="187" w:name="5.5.2 沉陷区复垦与生态综合整治方案"/>
      <w:bookmarkEnd w:id="187"/>
      <w:r>
        <w:rPr>
          <w:spacing w:val="-1"/>
          <w:w w:val="95"/>
        </w:rPr>
        <w:t>沉陷区复垦与生态综合整治方案</w:t>
      </w:r>
    </w:p>
    <w:p>
      <w:pPr>
        <w:pStyle w:val="5"/>
        <w:numPr>
          <w:ilvl w:val="3"/>
          <w:numId w:val="42"/>
        </w:numPr>
        <w:tabs>
          <w:tab w:val="left" w:pos="1172"/>
        </w:tabs>
        <w:spacing w:before="185" w:after="0" w:line="240" w:lineRule="auto"/>
        <w:ind w:left="1172" w:right="0" w:hanging="721"/>
        <w:jc w:val="left"/>
      </w:pPr>
      <w:bookmarkStart w:id="188" w:name="5.5.2.1土地复垦区与复垦责任范围"/>
      <w:bookmarkEnd w:id="188"/>
      <w:bookmarkStart w:id="189" w:name="5.5.2.1土地复垦区与复垦责任范围"/>
      <w:bookmarkEnd w:id="189"/>
      <w:r>
        <w:t>土地复垦区与复垦责任范围</w:t>
      </w:r>
    </w:p>
    <w:p>
      <w:pPr>
        <w:pStyle w:val="6"/>
        <w:spacing w:before="9"/>
        <w:rPr>
          <w:b/>
          <w:sz w:val="18"/>
        </w:rPr>
      </w:pPr>
    </w:p>
    <w:p>
      <w:pPr>
        <w:pStyle w:val="6"/>
        <w:ind w:left="931"/>
      </w:pPr>
      <w:r>
        <w:t>（</w:t>
      </w:r>
      <w:r>
        <w:rPr>
          <w:rFonts w:ascii="Times New Roman" w:eastAsia="Times New Roman"/>
        </w:rPr>
        <w:t>1</w:t>
      </w:r>
      <w:r>
        <w:t>）土地复垦区</w:t>
      </w:r>
    </w:p>
    <w:p>
      <w:pPr>
        <w:pStyle w:val="6"/>
        <w:spacing w:before="161" w:line="364" w:lineRule="auto"/>
        <w:ind w:left="451" w:right="453" w:firstLine="480"/>
        <w:jc w:val="both"/>
      </w:pPr>
      <w:r>
        <w:rPr>
          <w:spacing w:val="-1"/>
        </w:rPr>
        <w:t>土地复垦区包括已损毁土地和拟损毁土地，本项目土地复垦区为工业广场压占区及拟损毁沉陷区。依据本矿山开采土地损毁分析与预测结果，最终确定本次</w:t>
      </w:r>
      <w:r>
        <w:rPr>
          <w:spacing w:val="-5"/>
        </w:rPr>
        <w:t xml:space="preserve">方案复垦区为工业广场面积 </w:t>
      </w:r>
      <w:r>
        <w:rPr>
          <w:rFonts w:ascii="Times New Roman" w:eastAsia="Times New Roman"/>
        </w:rPr>
        <w:t xml:space="preserve">2.9767 </w:t>
      </w:r>
      <w:r>
        <w:rPr>
          <w:spacing w:val="-6"/>
        </w:rPr>
        <w:t xml:space="preserve">公顷和预测沉陷区面积 </w:t>
      </w:r>
      <w:r>
        <w:rPr>
          <w:rFonts w:ascii="Times New Roman" w:eastAsia="Times New Roman"/>
        </w:rPr>
        <w:t xml:space="preserve">327.9211 </w:t>
      </w:r>
      <w:r>
        <w:rPr>
          <w:spacing w:val="-22"/>
        </w:rPr>
        <w:t>公顷，最终破</w:t>
      </w:r>
    </w:p>
    <w:p>
      <w:pPr>
        <w:pStyle w:val="6"/>
        <w:spacing w:before="2"/>
        <w:ind w:left="451"/>
      </w:pPr>
      <w:r>
        <w:t xml:space="preserve">坏总面积为 </w:t>
      </w:r>
      <w:r>
        <w:rPr>
          <w:rFonts w:ascii="Times New Roman" w:eastAsia="Times New Roman"/>
        </w:rPr>
        <w:t xml:space="preserve">330.8978 </w:t>
      </w:r>
      <w:r>
        <w:t>公顷。</w:t>
      </w:r>
    </w:p>
    <w:p>
      <w:pPr>
        <w:pStyle w:val="5"/>
        <w:tabs>
          <w:tab w:val="left" w:pos="1061"/>
        </w:tabs>
        <w:spacing w:before="81" w:after="3"/>
        <w:ind w:left="19"/>
        <w:jc w:val="center"/>
      </w:pPr>
      <w:r>
        <w:t>表</w:t>
      </w:r>
      <w:r>
        <w:rPr>
          <w:spacing w:val="-62"/>
        </w:rPr>
        <w:t xml:space="preserve"> </w:t>
      </w:r>
      <w:r>
        <w:rPr>
          <w:rFonts w:ascii="Times New Roman" w:eastAsia="Times New Roman"/>
        </w:rPr>
        <w:t>5.5-1</w:t>
      </w:r>
      <w:r>
        <w:rPr>
          <w:rFonts w:ascii="Times New Roman" w:eastAsia="Times New Roman"/>
        </w:rPr>
        <w:tab/>
      </w:r>
      <w:r>
        <w:t>复垦区范围坐标一览表（</w:t>
      </w:r>
      <w:r>
        <w:rPr>
          <w:rFonts w:ascii="Times New Roman" w:eastAsia="Times New Roman"/>
        </w:rPr>
        <w:t xml:space="preserve">2000 </w:t>
      </w:r>
      <w:r>
        <w:t>国家坐标系，三度带）</w:t>
      </w:r>
    </w:p>
    <w:tbl>
      <w:tblPr>
        <w:tblStyle w:val="10"/>
        <w:tblW w:w="0" w:type="auto"/>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8"/>
        <w:gridCol w:w="1741"/>
        <w:gridCol w:w="1742"/>
        <w:gridCol w:w="820"/>
        <w:gridCol w:w="1745"/>
        <w:gridCol w:w="17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8" w:type="dxa"/>
          </w:tcPr>
          <w:p>
            <w:pPr>
              <w:pStyle w:val="14"/>
              <w:spacing w:before="19"/>
              <w:ind w:left="182" w:right="175"/>
              <w:rPr>
                <w:sz w:val="21"/>
              </w:rPr>
            </w:pPr>
            <w:r>
              <w:rPr>
                <w:sz w:val="21"/>
              </w:rPr>
              <w:t>点号</w:t>
            </w:r>
          </w:p>
        </w:tc>
        <w:tc>
          <w:tcPr>
            <w:tcW w:w="1741" w:type="dxa"/>
          </w:tcPr>
          <w:p>
            <w:pPr>
              <w:pStyle w:val="14"/>
              <w:spacing w:before="33"/>
              <w:ind w:left="8"/>
              <w:rPr>
                <w:rFonts w:ascii="Times New Roman"/>
                <w:sz w:val="21"/>
              </w:rPr>
            </w:pPr>
            <w:r>
              <w:rPr>
                <w:rFonts w:ascii="Times New Roman"/>
                <w:w w:val="99"/>
                <w:sz w:val="21"/>
              </w:rPr>
              <w:t>X</w:t>
            </w:r>
          </w:p>
        </w:tc>
        <w:tc>
          <w:tcPr>
            <w:tcW w:w="1742" w:type="dxa"/>
          </w:tcPr>
          <w:p>
            <w:pPr>
              <w:pStyle w:val="14"/>
              <w:spacing w:before="33"/>
              <w:ind w:left="10"/>
              <w:rPr>
                <w:rFonts w:ascii="Times New Roman"/>
                <w:sz w:val="21"/>
              </w:rPr>
            </w:pPr>
            <w:r>
              <w:rPr>
                <w:rFonts w:ascii="Times New Roman"/>
                <w:w w:val="99"/>
                <w:sz w:val="21"/>
              </w:rPr>
              <w:t>Y</w:t>
            </w:r>
          </w:p>
        </w:tc>
        <w:tc>
          <w:tcPr>
            <w:tcW w:w="820" w:type="dxa"/>
          </w:tcPr>
          <w:p>
            <w:pPr>
              <w:pStyle w:val="14"/>
              <w:spacing w:before="19"/>
              <w:ind w:left="179" w:right="170"/>
              <w:rPr>
                <w:sz w:val="21"/>
              </w:rPr>
            </w:pPr>
            <w:r>
              <w:rPr>
                <w:sz w:val="21"/>
              </w:rPr>
              <w:t>点号</w:t>
            </w:r>
          </w:p>
        </w:tc>
        <w:tc>
          <w:tcPr>
            <w:tcW w:w="1745" w:type="dxa"/>
          </w:tcPr>
          <w:p>
            <w:pPr>
              <w:pStyle w:val="14"/>
              <w:spacing w:before="33"/>
              <w:ind w:left="9"/>
              <w:rPr>
                <w:rFonts w:ascii="Times New Roman"/>
                <w:sz w:val="21"/>
              </w:rPr>
            </w:pPr>
            <w:r>
              <w:rPr>
                <w:rFonts w:ascii="Times New Roman"/>
                <w:w w:val="99"/>
                <w:sz w:val="21"/>
              </w:rPr>
              <w:t>X</w:t>
            </w:r>
          </w:p>
        </w:tc>
        <w:tc>
          <w:tcPr>
            <w:tcW w:w="1742" w:type="dxa"/>
          </w:tcPr>
          <w:p>
            <w:pPr>
              <w:pStyle w:val="14"/>
              <w:spacing w:before="33"/>
              <w:ind w:left="7"/>
              <w:rPr>
                <w:rFonts w:ascii="Times New Roman"/>
                <w:sz w:val="21"/>
              </w:rPr>
            </w:pPr>
            <w:r>
              <w:rPr>
                <w:rFonts w:ascii="Times New Roman"/>
                <w:w w:val="99"/>
                <w:sz w:val="21"/>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8" w:type="dxa"/>
          </w:tcPr>
          <w:p>
            <w:pPr>
              <w:pStyle w:val="14"/>
              <w:spacing w:before="33"/>
              <w:ind w:left="6"/>
              <w:rPr>
                <w:rFonts w:ascii="Times New Roman"/>
                <w:sz w:val="21"/>
              </w:rPr>
            </w:pPr>
            <w:r>
              <w:rPr>
                <w:rFonts w:ascii="Times New Roman"/>
                <w:w w:val="99"/>
                <w:sz w:val="21"/>
              </w:rPr>
              <w:t>1</w:t>
            </w:r>
          </w:p>
        </w:tc>
        <w:tc>
          <w:tcPr>
            <w:tcW w:w="1741" w:type="dxa"/>
          </w:tcPr>
          <w:p>
            <w:pPr>
              <w:pStyle w:val="14"/>
              <w:spacing w:before="33"/>
              <w:ind w:left="351" w:right="342"/>
              <w:rPr>
                <w:rFonts w:ascii="Times New Roman"/>
                <w:sz w:val="21"/>
              </w:rPr>
            </w:pPr>
            <w:r>
              <w:rPr>
                <w:rFonts w:ascii="Times New Roman"/>
                <w:sz w:val="21"/>
              </w:rPr>
              <w:t>5153343.59</w:t>
            </w:r>
          </w:p>
        </w:tc>
        <w:tc>
          <w:tcPr>
            <w:tcW w:w="1742" w:type="dxa"/>
          </w:tcPr>
          <w:p>
            <w:pPr>
              <w:pStyle w:val="14"/>
              <w:spacing w:before="33"/>
              <w:ind w:left="298" w:right="287"/>
              <w:rPr>
                <w:rFonts w:ascii="Times New Roman"/>
                <w:sz w:val="21"/>
              </w:rPr>
            </w:pPr>
            <w:r>
              <w:rPr>
                <w:rFonts w:ascii="Times New Roman"/>
                <w:sz w:val="21"/>
              </w:rPr>
              <w:t>44437712.51</w:t>
            </w:r>
          </w:p>
        </w:tc>
        <w:tc>
          <w:tcPr>
            <w:tcW w:w="820" w:type="dxa"/>
          </w:tcPr>
          <w:p>
            <w:pPr>
              <w:pStyle w:val="14"/>
              <w:spacing w:before="33"/>
              <w:ind w:left="178" w:right="170"/>
              <w:rPr>
                <w:rFonts w:ascii="Times New Roman"/>
                <w:sz w:val="21"/>
              </w:rPr>
            </w:pPr>
            <w:r>
              <w:rPr>
                <w:rFonts w:ascii="Times New Roman"/>
                <w:sz w:val="21"/>
              </w:rPr>
              <w:t>14</w:t>
            </w:r>
          </w:p>
        </w:tc>
        <w:tc>
          <w:tcPr>
            <w:tcW w:w="1745" w:type="dxa"/>
          </w:tcPr>
          <w:p>
            <w:pPr>
              <w:pStyle w:val="14"/>
              <w:spacing w:before="33"/>
              <w:ind w:left="239" w:right="228"/>
              <w:rPr>
                <w:rFonts w:ascii="Times New Roman"/>
                <w:sz w:val="21"/>
              </w:rPr>
            </w:pPr>
            <w:r>
              <w:rPr>
                <w:rFonts w:ascii="Times New Roman"/>
                <w:sz w:val="21"/>
              </w:rPr>
              <w:t>5151894.15</w:t>
            </w:r>
          </w:p>
        </w:tc>
        <w:tc>
          <w:tcPr>
            <w:tcW w:w="1742" w:type="dxa"/>
          </w:tcPr>
          <w:p>
            <w:pPr>
              <w:pStyle w:val="14"/>
              <w:spacing w:before="33"/>
              <w:ind w:left="297" w:right="289"/>
              <w:rPr>
                <w:rFonts w:ascii="Times New Roman"/>
                <w:sz w:val="21"/>
              </w:rPr>
            </w:pPr>
            <w:r>
              <w:rPr>
                <w:rFonts w:ascii="Times New Roman"/>
                <w:sz w:val="21"/>
              </w:rPr>
              <w:t>44435806.60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8" w:type="dxa"/>
          </w:tcPr>
          <w:p>
            <w:pPr>
              <w:pStyle w:val="14"/>
              <w:spacing w:before="35"/>
              <w:ind w:left="6"/>
              <w:rPr>
                <w:rFonts w:ascii="Times New Roman"/>
                <w:sz w:val="21"/>
              </w:rPr>
            </w:pPr>
            <w:r>
              <w:rPr>
                <w:rFonts w:ascii="Times New Roman"/>
                <w:w w:val="99"/>
                <w:sz w:val="21"/>
              </w:rPr>
              <w:t>2</w:t>
            </w:r>
          </w:p>
        </w:tc>
        <w:tc>
          <w:tcPr>
            <w:tcW w:w="1741" w:type="dxa"/>
          </w:tcPr>
          <w:p>
            <w:pPr>
              <w:pStyle w:val="14"/>
              <w:spacing w:before="35"/>
              <w:ind w:left="351" w:right="342"/>
              <w:rPr>
                <w:rFonts w:ascii="Times New Roman"/>
                <w:sz w:val="21"/>
              </w:rPr>
            </w:pPr>
            <w:r>
              <w:rPr>
                <w:rFonts w:ascii="Times New Roman"/>
                <w:sz w:val="21"/>
              </w:rPr>
              <w:t>5152019.07</w:t>
            </w:r>
          </w:p>
        </w:tc>
        <w:tc>
          <w:tcPr>
            <w:tcW w:w="1742" w:type="dxa"/>
          </w:tcPr>
          <w:p>
            <w:pPr>
              <w:pStyle w:val="14"/>
              <w:spacing w:before="35"/>
              <w:ind w:left="298" w:right="287"/>
              <w:rPr>
                <w:rFonts w:ascii="Times New Roman"/>
                <w:sz w:val="21"/>
              </w:rPr>
            </w:pPr>
            <w:r>
              <w:rPr>
                <w:rFonts w:ascii="Times New Roman"/>
                <w:sz w:val="21"/>
              </w:rPr>
              <w:t>44437712.51</w:t>
            </w:r>
          </w:p>
        </w:tc>
        <w:tc>
          <w:tcPr>
            <w:tcW w:w="820" w:type="dxa"/>
          </w:tcPr>
          <w:p>
            <w:pPr>
              <w:pStyle w:val="14"/>
              <w:spacing w:before="35"/>
              <w:ind w:left="178" w:right="170"/>
              <w:rPr>
                <w:rFonts w:ascii="Times New Roman"/>
                <w:sz w:val="21"/>
              </w:rPr>
            </w:pPr>
            <w:r>
              <w:rPr>
                <w:rFonts w:ascii="Times New Roman"/>
                <w:sz w:val="21"/>
              </w:rPr>
              <w:t>15</w:t>
            </w:r>
          </w:p>
        </w:tc>
        <w:tc>
          <w:tcPr>
            <w:tcW w:w="1745" w:type="dxa"/>
          </w:tcPr>
          <w:p>
            <w:pPr>
              <w:pStyle w:val="14"/>
              <w:spacing w:before="35"/>
              <w:ind w:left="239" w:right="228"/>
              <w:rPr>
                <w:rFonts w:ascii="Times New Roman"/>
                <w:sz w:val="21"/>
              </w:rPr>
            </w:pPr>
            <w:r>
              <w:rPr>
                <w:rFonts w:ascii="Times New Roman"/>
                <w:sz w:val="21"/>
              </w:rPr>
              <w:t>5152322.56</w:t>
            </w:r>
          </w:p>
        </w:tc>
        <w:tc>
          <w:tcPr>
            <w:tcW w:w="1742" w:type="dxa"/>
          </w:tcPr>
          <w:p>
            <w:pPr>
              <w:pStyle w:val="14"/>
              <w:spacing w:before="35"/>
              <w:ind w:left="297" w:right="289"/>
              <w:rPr>
                <w:rFonts w:ascii="Times New Roman"/>
                <w:sz w:val="21"/>
              </w:rPr>
            </w:pPr>
            <w:r>
              <w:rPr>
                <w:rFonts w:ascii="Times New Roman"/>
                <w:sz w:val="21"/>
              </w:rPr>
              <w:t>44435736.48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828" w:type="dxa"/>
          </w:tcPr>
          <w:p>
            <w:pPr>
              <w:pStyle w:val="14"/>
              <w:spacing w:before="34"/>
              <w:ind w:left="6"/>
              <w:rPr>
                <w:rFonts w:ascii="Times New Roman"/>
                <w:sz w:val="21"/>
              </w:rPr>
            </w:pPr>
            <w:r>
              <w:rPr>
                <w:rFonts w:ascii="Times New Roman"/>
                <w:w w:val="99"/>
                <w:sz w:val="21"/>
              </w:rPr>
              <w:t>3</w:t>
            </w:r>
          </w:p>
        </w:tc>
        <w:tc>
          <w:tcPr>
            <w:tcW w:w="1741" w:type="dxa"/>
          </w:tcPr>
          <w:p>
            <w:pPr>
              <w:pStyle w:val="14"/>
              <w:spacing w:before="34"/>
              <w:ind w:left="351" w:right="342"/>
              <w:rPr>
                <w:rFonts w:ascii="Times New Roman"/>
                <w:sz w:val="21"/>
              </w:rPr>
            </w:pPr>
            <w:r>
              <w:rPr>
                <w:rFonts w:ascii="Times New Roman"/>
                <w:sz w:val="21"/>
              </w:rPr>
              <w:t>5151727.93</w:t>
            </w:r>
          </w:p>
        </w:tc>
        <w:tc>
          <w:tcPr>
            <w:tcW w:w="1742" w:type="dxa"/>
          </w:tcPr>
          <w:p>
            <w:pPr>
              <w:pStyle w:val="14"/>
              <w:spacing w:before="34"/>
              <w:ind w:left="298" w:right="287"/>
              <w:rPr>
                <w:rFonts w:ascii="Times New Roman"/>
                <w:sz w:val="21"/>
              </w:rPr>
            </w:pPr>
            <w:r>
              <w:rPr>
                <w:rFonts w:ascii="Times New Roman"/>
                <w:sz w:val="21"/>
              </w:rPr>
              <w:t>44438064.02</w:t>
            </w:r>
          </w:p>
        </w:tc>
        <w:tc>
          <w:tcPr>
            <w:tcW w:w="820" w:type="dxa"/>
          </w:tcPr>
          <w:p>
            <w:pPr>
              <w:pStyle w:val="14"/>
              <w:spacing w:before="34"/>
              <w:ind w:left="178" w:right="170"/>
              <w:rPr>
                <w:rFonts w:ascii="Times New Roman"/>
                <w:sz w:val="21"/>
              </w:rPr>
            </w:pPr>
            <w:r>
              <w:rPr>
                <w:rFonts w:ascii="Times New Roman"/>
                <w:sz w:val="21"/>
              </w:rPr>
              <w:t>16</w:t>
            </w:r>
          </w:p>
        </w:tc>
        <w:tc>
          <w:tcPr>
            <w:tcW w:w="1745" w:type="dxa"/>
          </w:tcPr>
          <w:p>
            <w:pPr>
              <w:pStyle w:val="14"/>
              <w:spacing w:before="34"/>
              <w:ind w:left="239" w:right="228"/>
              <w:rPr>
                <w:rFonts w:ascii="Times New Roman"/>
                <w:sz w:val="21"/>
              </w:rPr>
            </w:pPr>
            <w:r>
              <w:rPr>
                <w:rFonts w:ascii="Times New Roman"/>
                <w:sz w:val="21"/>
              </w:rPr>
              <w:t>5152324.80</w:t>
            </w:r>
          </w:p>
        </w:tc>
        <w:tc>
          <w:tcPr>
            <w:tcW w:w="1742" w:type="dxa"/>
          </w:tcPr>
          <w:p>
            <w:pPr>
              <w:pStyle w:val="14"/>
              <w:spacing w:before="34"/>
              <w:ind w:left="297" w:right="289"/>
              <w:rPr>
                <w:rFonts w:ascii="Times New Roman"/>
                <w:sz w:val="21"/>
              </w:rPr>
            </w:pPr>
            <w:r>
              <w:rPr>
                <w:rFonts w:ascii="Times New Roman"/>
                <w:sz w:val="21"/>
              </w:rPr>
              <w:t>44435721.40</w:t>
            </w:r>
          </w:p>
        </w:tc>
      </w:tr>
    </w:tbl>
    <w:p>
      <w:pPr>
        <w:spacing w:after="0"/>
        <w:rPr>
          <w:rFonts w:ascii="Times New Roman"/>
          <w:sz w:val="21"/>
        </w:rPr>
        <w:sectPr>
          <w:footerReference r:id="rId16" w:type="default"/>
          <w:pgSz w:w="11910" w:h="16840"/>
          <w:pgMar w:top="1440" w:right="1300" w:bottom="1100" w:left="1300" w:header="0" w:footer="917" w:gutter="0"/>
          <w:pgNumType w:start="90"/>
        </w:sectPr>
      </w:pPr>
    </w:p>
    <w:tbl>
      <w:tblPr>
        <w:tblStyle w:val="10"/>
        <w:tblW w:w="0" w:type="auto"/>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8"/>
        <w:gridCol w:w="1731"/>
        <w:gridCol w:w="1752"/>
        <w:gridCol w:w="820"/>
        <w:gridCol w:w="1731"/>
        <w:gridCol w:w="17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8" w:type="dxa"/>
          </w:tcPr>
          <w:p>
            <w:pPr>
              <w:pStyle w:val="14"/>
              <w:spacing w:before="35"/>
              <w:ind w:left="6"/>
              <w:rPr>
                <w:rFonts w:ascii="Times New Roman"/>
                <w:sz w:val="21"/>
              </w:rPr>
            </w:pPr>
            <w:r>
              <w:rPr>
                <w:rFonts w:ascii="Times New Roman"/>
                <w:w w:val="99"/>
                <w:sz w:val="21"/>
              </w:rPr>
              <w:t>4</w:t>
            </w:r>
          </w:p>
        </w:tc>
        <w:tc>
          <w:tcPr>
            <w:tcW w:w="1731" w:type="dxa"/>
          </w:tcPr>
          <w:p>
            <w:pPr>
              <w:pStyle w:val="14"/>
              <w:spacing w:before="35"/>
              <w:ind w:left="371"/>
              <w:jc w:val="left"/>
              <w:rPr>
                <w:rFonts w:ascii="Times New Roman"/>
                <w:sz w:val="21"/>
              </w:rPr>
            </w:pPr>
            <w:r>
              <w:rPr>
                <w:rFonts w:ascii="Times New Roman"/>
                <w:sz w:val="21"/>
              </w:rPr>
              <w:t>5151703.05</w:t>
            </w:r>
          </w:p>
        </w:tc>
        <w:tc>
          <w:tcPr>
            <w:tcW w:w="1752" w:type="dxa"/>
          </w:tcPr>
          <w:p>
            <w:pPr>
              <w:pStyle w:val="14"/>
              <w:spacing w:before="35"/>
              <w:ind w:left="300" w:right="279"/>
              <w:rPr>
                <w:rFonts w:ascii="Times New Roman"/>
                <w:sz w:val="21"/>
              </w:rPr>
            </w:pPr>
            <w:r>
              <w:rPr>
                <w:rFonts w:ascii="Times New Roman"/>
                <w:sz w:val="21"/>
              </w:rPr>
              <w:t>44437817.20</w:t>
            </w:r>
          </w:p>
        </w:tc>
        <w:tc>
          <w:tcPr>
            <w:tcW w:w="820" w:type="dxa"/>
          </w:tcPr>
          <w:p>
            <w:pPr>
              <w:pStyle w:val="14"/>
              <w:spacing w:before="35"/>
              <w:ind w:left="303"/>
              <w:jc w:val="left"/>
              <w:rPr>
                <w:rFonts w:ascii="Times New Roman"/>
                <w:sz w:val="21"/>
              </w:rPr>
            </w:pPr>
            <w:r>
              <w:rPr>
                <w:rFonts w:ascii="Times New Roman"/>
                <w:sz w:val="21"/>
              </w:rPr>
              <w:t>17</w:t>
            </w:r>
          </w:p>
        </w:tc>
        <w:tc>
          <w:tcPr>
            <w:tcW w:w="1731" w:type="dxa"/>
          </w:tcPr>
          <w:p>
            <w:pPr>
              <w:pStyle w:val="14"/>
              <w:spacing w:before="35"/>
              <w:ind w:left="341" w:right="316"/>
              <w:rPr>
                <w:rFonts w:ascii="Times New Roman"/>
                <w:sz w:val="21"/>
              </w:rPr>
            </w:pPr>
            <w:r>
              <w:rPr>
                <w:rFonts w:ascii="Times New Roman"/>
                <w:sz w:val="21"/>
              </w:rPr>
              <w:t>5152612.98</w:t>
            </w:r>
          </w:p>
        </w:tc>
        <w:tc>
          <w:tcPr>
            <w:tcW w:w="1755" w:type="dxa"/>
          </w:tcPr>
          <w:p>
            <w:pPr>
              <w:pStyle w:val="14"/>
              <w:spacing w:before="35"/>
              <w:ind w:left="300" w:right="277"/>
              <w:rPr>
                <w:rFonts w:ascii="Times New Roman"/>
                <w:sz w:val="21"/>
              </w:rPr>
            </w:pPr>
            <w:r>
              <w:rPr>
                <w:rFonts w:ascii="Times New Roman"/>
                <w:sz w:val="21"/>
              </w:rPr>
              <w:t>44435635.77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28" w:type="dxa"/>
          </w:tcPr>
          <w:p>
            <w:pPr>
              <w:pStyle w:val="14"/>
              <w:spacing w:before="34"/>
              <w:ind w:left="6"/>
              <w:rPr>
                <w:rFonts w:ascii="Times New Roman"/>
                <w:sz w:val="21"/>
              </w:rPr>
            </w:pPr>
            <w:r>
              <w:rPr>
                <w:rFonts w:ascii="Times New Roman"/>
                <w:w w:val="99"/>
                <w:sz w:val="21"/>
              </w:rPr>
              <w:t>5</w:t>
            </w:r>
          </w:p>
        </w:tc>
        <w:tc>
          <w:tcPr>
            <w:tcW w:w="1731" w:type="dxa"/>
          </w:tcPr>
          <w:p>
            <w:pPr>
              <w:pStyle w:val="14"/>
              <w:spacing w:before="34"/>
              <w:ind w:left="371"/>
              <w:jc w:val="left"/>
              <w:rPr>
                <w:rFonts w:ascii="Times New Roman"/>
                <w:sz w:val="21"/>
              </w:rPr>
            </w:pPr>
            <w:r>
              <w:rPr>
                <w:rFonts w:ascii="Times New Roman"/>
                <w:sz w:val="21"/>
              </w:rPr>
              <w:t>5151600.06</w:t>
            </w:r>
          </w:p>
        </w:tc>
        <w:tc>
          <w:tcPr>
            <w:tcW w:w="1752" w:type="dxa"/>
          </w:tcPr>
          <w:p>
            <w:pPr>
              <w:pStyle w:val="14"/>
              <w:spacing w:before="34"/>
              <w:ind w:left="300" w:right="279"/>
              <w:rPr>
                <w:rFonts w:ascii="Times New Roman"/>
                <w:sz w:val="21"/>
              </w:rPr>
            </w:pPr>
            <w:r>
              <w:rPr>
                <w:rFonts w:ascii="Times New Roman"/>
                <w:sz w:val="21"/>
              </w:rPr>
              <w:t>44437637.73</w:t>
            </w:r>
          </w:p>
        </w:tc>
        <w:tc>
          <w:tcPr>
            <w:tcW w:w="820" w:type="dxa"/>
          </w:tcPr>
          <w:p>
            <w:pPr>
              <w:pStyle w:val="14"/>
              <w:spacing w:before="34"/>
              <w:ind w:left="303"/>
              <w:jc w:val="left"/>
              <w:rPr>
                <w:rFonts w:ascii="Times New Roman"/>
                <w:sz w:val="21"/>
              </w:rPr>
            </w:pPr>
            <w:r>
              <w:rPr>
                <w:rFonts w:ascii="Times New Roman"/>
                <w:sz w:val="21"/>
              </w:rPr>
              <w:t>18</w:t>
            </w:r>
          </w:p>
        </w:tc>
        <w:tc>
          <w:tcPr>
            <w:tcW w:w="1731" w:type="dxa"/>
          </w:tcPr>
          <w:p>
            <w:pPr>
              <w:pStyle w:val="14"/>
              <w:spacing w:before="34"/>
              <w:ind w:left="341" w:right="316"/>
              <w:rPr>
                <w:rFonts w:ascii="Times New Roman"/>
                <w:sz w:val="21"/>
              </w:rPr>
            </w:pPr>
            <w:r>
              <w:rPr>
                <w:rFonts w:ascii="Times New Roman"/>
                <w:sz w:val="21"/>
              </w:rPr>
              <w:t>5152888.48</w:t>
            </w:r>
          </w:p>
        </w:tc>
        <w:tc>
          <w:tcPr>
            <w:tcW w:w="1755" w:type="dxa"/>
          </w:tcPr>
          <w:p>
            <w:pPr>
              <w:pStyle w:val="14"/>
              <w:spacing w:before="34"/>
              <w:ind w:left="300" w:right="277"/>
              <w:rPr>
                <w:rFonts w:ascii="Times New Roman"/>
                <w:sz w:val="21"/>
              </w:rPr>
            </w:pPr>
            <w:r>
              <w:rPr>
                <w:rFonts w:ascii="Times New Roman"/>
                <w:sz w:val="21"/>
              </w:rPr>
              <w:t>44435708.59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8" w:type="dxa"/>
          </w:tcPr>
          <w:p>
            <w:pPr>
              <w:pStyle w:val="14"/>
              <w:spacing w:before="34"/>
              <w:ind w:left="6"/>
              <w:rPr>
                <w:rFonts w:ascii="Times New Roman"/>
                <w:sz w:val="21"/>
              </w:rPr>
            </w:pPr>
            <w:r>
              <w:rPr>
                <w:rFonts w:ascii="Times New Roman"/>
                <w:w w:val="99"/>
                <w:sz w:val="21"/>
              </w:rPr>
              <w:t>6</w:t>
            </w:r>
          </w:p>
        </w:tc>
        <w:tc>
          <w:tcPr>
            <w:tcW w:w="1731" w:type="dxa"/>
          </w:tcPr>
          <w:p>
            <w:pPr>
              <w:pStyle w:val="14"/>
              <w:spacing w:before="34"/>
              <w:ind w:left="371"/>
              <w:jc w:val="left"/>
              <w:rPr>
                <w:rFonts w:ascii="Times New Roman"/>
                <w:sz w:val="21"/>
              </w:rPr>
            </w:pPr>
            <w:r>
              <w:rPr>
                <w:rFonts w:ascii="Times New Roman"/>
                <w:sz w:val="21"/>
              </w:rPr>
              <w:t>5151527.22</w:t>
            </w:r>
          </w:p>
        </w:tc>
        <w:tc>
          <w:tcPr>
            <w:tcW w:w="1752" w:type="dxa"/>
          </w:tcPr>
          <w:p>
            <w:pPr>
              <w:pStyle w:val="14"/>
              <w:spacing w:before="34"/>
              <w:ind w:left="300" w:right="279"/>
              <w:rPr>
                <w:rFonts w:ascii="Times New Roman"/>
                <w:sz w:val="21"/>
              </w:rPr>
            </w:pPr>
            <w:r>
              <w:rPr>
                <w:rFonts w:ascii="Times New Roman"/>
                <w:sz w:val="21"/>
              </w:rPr>
              <w:t>44437968.49</w:t>
            </w:r>
          </w:p>
        </w:tc>
        <w:tc>
          <w:tcPr>
            <w:tcW w:w="820" w:type="dxa"/>
          </w:tcPr>
          <w:p>
            <w:pPr>
              <w:pStyle w:val="14"/>
              <w:spacing w:before="34"/>
              <w:ind w:left="303"/>
              <w:jc w:val="left"/>
              <w:rPr>
                <w:rFonts w:ascii="Times New Roman"/>
                <w:sz w:val="21"/>
              </w:rPr>
            </w:pPr>
            <w:r>
              <w:rPr>
                <w:rFonts w:ascii="Times New Roman"/>
                <w:sz w:val="21"/>
              </w:rPr>
              <w:t>19</w:t>
            </w:r>
          </w:p>
        </w:tc>
        <w:tc>
          <w:tcPr>
            <w:tcW w:w="1731" w:type="dxa"/>
          </w:tcPr>
          <w:p>
            <w:pPr>
              <w:pStyle w:val="14"/>
              <w:spacing w:before="34"/>
              <w:ind w:left="341" w:right="316"/>
              <w:rPr>
                <w:rFonts w:ascii="Times New Roman"/>
                <w:sz w:val="21"/>
              </w:rPr>
            </w:pPr>
            <w:r>
              <w:rPr>
                <w:rFonts w:ascii="Times New Roman"/>
                <w:sz w:val="21"/>
              </w:rPr>
              <w:t>5152846.16</w:t>
            </w:r>
          </w:p>
        </w:tc>
        <w:tc>
          <w:tcPr>
            <w:tcW w:w="1755" w:type="dxa"/>
          </w:tcPr>
          <w:p>
            <w:pPr>
              <w:pStyle w:val="14"/>
              <w:spacing w:before="34"/>
              <w:ind w:left="300" w:right="277"/>
              <w:rPr>
                <w:rFonts w:ascii="Times New Roman"/>
                <w:sz w:val="21"/>
              </w:rPr>
            </w:pPr>
            <w:r>
              <w:rPr>
                <w:rFonts w:ascii="Times New Roman"/>
                <w:sz w:val="21"/>
              </w:rPr>
              <w:t>44436179.59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8" w:type="dxa"/>
          </w:tcPr>
          <w:p>
            <w:pPr>
              <w:pStyle w:val="14"/>
              <w:spacing w:before="34"/>
              <w:ind w:left="6"/>
              <w:rPr>
                <w:rFonts w:ascii="Times New Roman"/>
                <w:sz w:val="21"/>
              </w:rPr>
            </w:pPr>
            <w:r>
              <w:rPr>
                <w:rFonts w:ascii="Times New Roman"/>
                <w:w w:val="99"/>
                <w:sz w:val="21"/>
              </w:rPr>
              <w:t>7</w:t>
            </w:r>
          </w:p>
        </w:tc>
        <w:tc>
          <w:tcPr>
            <w:tcW w:w="1731" w:type="dxa"/>
          </w:tcPr>
          <w:p>
            <w:pPr>
              <w:pStyle w:val="14"/>
              <w:spacing w:before="34"/>
              <w:ind w:left="371"/>
              <w:jc w:val="left"/>
              <w:rPr>
                <w:rFonts w:ascii="Times New Roman"/>
                <w:sz w:val="21"/>
              </w:rPr>
            </w:pPr>
            <w:r>
              <w:rPr>
                <w:rFonts w:ascii="Times New Roman"/>
                <w:sz w:val="21"/>
              </w:rPr>
              <w:t>5151498.69</w:t>
            </w:r>
          </w:p>
        </w:tc>
        <w:tc>
          <w:tcPr>
            <w:tcW w:w="1752" w:type="dxa"/>
          </w:tcPr>
          <w:p>
            <w:pPr>
              <w:pStyle w:val="14"/>
              <w:spacing w:before="34"/>
              <w:ind w:left="300" w:right="279"/>
              <w:rPr>
                <w:rFonts w:ascii="Times New Roman"/>
                <w:sz w:val="21"/>
              </w:rPr>
            </w:pPr>
            <w:r>
              <w:rPr>
                <w:rFonts w:ascii="Times New Roman"/>
                <w:sz w:val="21"/>
              </w:rPr>
              <w:t>44438137.57</w:t>
            </w:r>
          </w:p>
        </w:tc>
        <w:tc>
          <w:tcPr>
            <w:tcW w:w="820" w:type="dxa"/>
          </w:tcPr>
          <w:p>
            <w:pPr>
              <w:pStyle w:val="14"/>
              <w:spacing w:before="34"/>
              <w:ind w:left="303"/>
              <w:jc w:val="left"/>
              <w:rPr>
                <w:rFonts w:ascii="Times New Roman"/>
                <w:sz w:val="21"/>
              </w:rPr>
            </w:pPr>
            <w:r>
              <w:rPr>
                <w:rFonts w:ascii="Times New Roman"/>
                <w:sz w:val="21"/>
              </w:rPr>
              <w:t>20</w:t>
            </w:r>
          </w:p>
        </w:tc>
        <w:tc>
          <w:tcPr>
            <w:tcW w:w="1731" w:type="dxa"/>
          </w:tcPr>
          <w:p>
            <w:pPr>
              <w:pStyle w:val="14"/>
              <w:spacing w:before="34"/>
              <w:ind w:left="341" w:right="316"/>
              <w:rPr>
                <w:rFonts w:ascii="Times New Roman"/>
                <w:sz w:val="21"/>
              </w:rPr>
            </w:pPr>
            <w:r>
              <w:rPr>
                <w:rFonts w:ascii="Times New Roman"/>
                <w:sz w:val="21"/>
              </w:rPr>
              <w:t>5152899.16</w:t>
            </w:r>
          </w:p>
        </w:tc>
        <w:tc>
          <w:tcPr>
            <w:tcW w:w="1755" w:type="dxa"/>
          </w:tcPr>
          <w:p>
            <w:pPr>
              <w:pStyle w:val="14"/>
              <w:spacing w:before="34"/>
              <w:ind w:left="300" w:right="277"/>
              <w:rPr>
                <w:rFonts w:ascii="Times New Roman"/>
                <w:sz w:val="21"/>
              </w:rPr>
            </w:pPr>
            <w:r>
              <w:rPr>
                <w:rFonts w:ascii="Times New Roman"/>
                <w:sz w:val="21"/>
              </w:rPr>
              <w:t>44436339.60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8" w:type="dxa"/>
          </w:tcPr>
          <w:p>
            <w:pPr>
              <w:pStyle w:val="14"/>
              <w:spacing w:before="36"/>
              <w:ind w:left="6"/>
              <w:rPr>
                <w:rFonts w:ascii="Times New Roman"/>
                <w:sz w:val="21"/>
              </w:rPr>
            </w:pPr>
            <w:r>
              <w:rPr>
                <w:rFonts w:ascii="Times New Roman"/>
                <w:w w:val="99"/>
                <w:sz w:val="21"/>
              </w:rPr>
              <w:t>8</w:t>
            </w:r>
          </w:p>
        </w:tc>
        <w:tc>
          <w:tcPr>
            <w:tcW w:w="1731" w:type="dxa"/>
          </w:tcPr>
          <w:p>
            <w:pPr>
              <w:pStyle w:val="14"/>
              <w:spacing w:before="36"/>
              <w:ind w:left="371"/>
              <w:jc w:val="left"/>
              <w:rPr>
                <w:rFonts w:ascii="Times New Roman"/>
                <w:sz w:val="21"/>
              </w:rPr>
            </w:pPr>
            <w:r>
              <w:rPr>
                <w:rFonts w:ascii="Times New Roman"/>
                <w:sz w:val="21"/>
              </w:rPr>
              <w:t>5151375.92</w:t>
            </w:r>
          </w:p>
        </w:tc>
        <w:tc>
          <w:tcPr>
            <w:tcW w:w="1752" w:type="dxa"/>
          </w:tcPr>
          <w:p>
            <w:pPr>
              <w:pStyle w:val="14"/>
              <w:spacing w:before="36"/>
              <w:ind w:left="300" w:right="279"/>
              <w:rPr>
                <w:rFonts w:ascii="Times New Roman"/>
                <w:sz w:val="21"/>
              </w:rPr>
            </w:pPr>
            <w:r>
              <w:rPr>
                <w:rFonts w:ascii="Times New Roman"/>
                <w:sz w:val="21"/>
              </w:rPr>
              <w:t>44436888.08</w:t>
            </w:r>
          </w:p>
        </w:tc>
        <w:tc>
          <w:tcPr>
            <w:tcW w:w="820" w:type="dxa"/>
          </w:tcPr>
          <w:p>
            <w:pPr>
              <w:pStyle w:val="14"/>
              <w:spacing w:before="36"/>
              <w:ind w:left="303"/>
              <w:jc w:val="left"/>
              <w:rPr>
                <w:rFonts w:ascii="Times New Roman"/>
                <w:sz w:val="21"/>
              </w:rPr>
            </w:pPr>
            <w:r>
              <w:rPr>
                <w:rFonts w:ascii="Times New Roman"/>
                <w:sz w:val="21"/>
              </w:rPr>
              <w:t>21</w:t>
            </w:r>
          </w:p>
        </w:tc>
        <w:tc>
          <w:tcPr>
            <w:tcW w:w="1731" w:type="dxa"/>
          </w:tcPr>
          <w:p>
            <w:pPr>
              <w:pStyle w:val="14"/>
              <w:spacing w:before="36"/>
              <w:ind w:left="341" w:right="316"/>
              <w:rPr>
                <w:rFonts w:ascii="Times New Roman"/>
                <w:sz w:val="21"/>
              </w:rPr>
            </w:pPr>
            <w:r>
              <w:rPr>
                <w:rFonts w:ascii="Times New Roman"/>
                <w:sz w:val="21"/>
              </w:rPr>
              <w:t>5153238.81</w:t>
            </w:r>
          </w:p>
        </w:tc>
        <w:tc>
          <w:tcPr>
            <w:tcW w:w="1755" w:type="dxa"/>
          </w:tcPr>
          <w:p>
            <w:pPr>
              <w:pStyle w:val="14"/>
              <w:spacing w:before="36"/>
              <w:ind w:left="300" w:right="277"/>
              <w:rPr>
                <w:rFonts w:ascii="Times New Roman"/>
                <w:sz w:val="21"/>
              </w:rPr>
            </w:pPr>
            <w:r>
              <w:rPr>
                <w:rFonts w:ascii="Times New Roman"/>
                <w:sz w:val="21"/>
              </w:rPr>
              <w:t>44436512.23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8" w:type="dxa"/>
          </w:tcPr>
          <w:p>
            <w:pPr>
              <w:pStyle w:val="14"/>
              <w:spacing w:before="35"/>
              <w:ind w:left="6"/>
              <w:rPr>
                <w:rFonts w:ascii="Times New Roman"/>
                <w:sz w:val="21"/>
              </w:rPr>
            </w:pPr>
            <w:r>
              <w:rPr>
                <w:rFonts w:ascii="Times New Roman"/>
                <w:w w:val="99"/>
                <w:sz w:val="21"/>
              </w:rPr>
              <w:t>9</w:t>
            </w:r>
          </w:p>
        </w:tc>
        <w:tc>
          <w:tcPr>
            <w:tcW w:w="1731" w:type="dxa"/>
          </w:tcPr>
          <w:p>
            <w:pPr>
              <w:pStyle w:val="14"/>
              <w:spacing w:before="35"/>
              <w:ind w:left="371"/>
              <w:jc w:val="left"/>
              <w:rPr>
                <w:rFonts w:ascii="Times New Roman"/>
                <w:sz w:val="21"/>
              </w:rPr>
            </w:pPr>
            <w:r>
              <w:rPr>
                <w:rFonts w:ascii="Times New Roman"/>
                <w:sz w:val="21"/>
              </w:rPr>
              <w:t>5151464.93</w:t>
            </w:r>
          </w:p>
        </w:tc>
        <w:tc>
          <w:tcPr>
            <w:tcW w:w="1752" w:type="dxa"/>
          </w:tcPr>
          <w:p>
            <w:pPr>
              <w:pStyle w:val="14"/>
              <w:spacing w:before="35"/>
              <w:ind w:left="300" w:right="279"/>
              <w:rPr>
                <w:rFonts w:ascii="Times New Roman"/>
                <w:sz w:val="21"/>
              </w:rPr>
            </w:pPr>
            <w:r>
              <w:rPr>
                <w:rFonts w:ascii="Times New Roman"/>
                <w:sz w:val="21"/>
              </w:rPr>
              <w:t>44436694.26</w:t>
            </w:r>
          </w:p>
        </w:tc>
        <w:tc>
          <w:tcPr>
            <w:tcW w:w="820" w:type="dxa"/>
          </w:tcPr>
          <w:p>
            <w:pPr>
              <w:pStyle w:val="14"/>
              <w:spacing w:before="35"/>
              <w:ind w:left="303"/>
              <w:jc w:val="left"/>
              <w:rPr>
                <w:rFonts w:ascii="Times New Roman"/>
                <w:sz w:val="21"/>
              </w:rPr>
            </w:pPr>
            <w:r>
              <w:rPr>
                <w:rFonts w:ascii="Times New Roman"/>
                <w:sz w:val="21"/>
              </w:rPr>
              <w:t>22</w:t>
            </w:r>
          </w:p>
        </w:tc>
        <w:tc>
          <w:tcPr>
            <w:tcW w:w="1731" w:type="dxa"/>
          </w:tcPr>
          <w:p>
            <w:pPr>
              <w:pStyle w:val="14"/>
              <w:spacing w:before="35"/>
              <w:ind w:left="341" w:right="316"/>
              <w:rPr>
                <w:rFonts w:ascii="Times New Roman"/>
                <w:sz w:val="21"/>
              </w:rPr>
            </w:pPr>
            <w:r>
              <w:rPr>
                <w:rFonts w:ascii="Times New Roman"/>
                <w:sz w:val="21"/>
              </w:rPr>
              <w:t>5153254.53</w:t>
            </w:r>
          </w:p>
        </w:tc>
        <w:tc>
          <w:tcPr>
            <w:tcW w:w="1755" w:type="dxa"/>
          </w:tcPr>
          <w:p>
            <w:pPr>
              <w:pStyle w:val="14"/>
              <w:spacing w:before="35"/>
              <w:ind w:left="300" w:right="277"/>
              <w:rPr>
                <w:rFonts w:ascii="Times New Roman"/>
                <w:sz w:val="21"/>
              </w:rPr>
            </w:pPr>
            <w:r>
              <w:rPr>
                <w:rFonts w:ascii="Times New Roman"/>
                <w:sz w:val="21"/>
              </w:rPr>
              <w:t>44436692.33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28" w:type="dxa"/>
          </w:tcPr>
          <w:p>
            <w:pPr>
              <w:pStyle w:val="14"/>
              <w:spacing w:before="35"/>
              <w:ind w:left="182" w:right="172"/>
              <w:rPr>
                <w:rFonts w:ascii="Times New Roman"/>
                <w:sz w:val="21"/>
              </w:rPr>
            </w:pPr>
            <w:r>
              <w:rPr>
                <w:rFonts w:ascii="Times New Roman"/>
                <w:sz w:val="21"/>
              </w:rPr>
              <w:t>10</w:t>
            </w:r>
          </w:p>
        </w:tc>
        <w:tc>
          <w:tcPr>
            <w:tcW w:w="1731" w:type="dxa"/>
          </w:tcPr>
          <w:p>
            <w:pPr>
              <w:pStyle w:val="14"/>
              <w:spacing w:before="35"/>
              <w:ind w:left="371"/>
              <w:jc w:val="left"/>
              <w:rPr>
                <w:rFonts w:ascii="Times New Roman"/>
                <w:sz w:val="21"/>
              </w:rPr>
            </w:pPr>
            <w:r>
              <w:rPr>
                <w:rFonts w:ascii="Times New Roman"/>
                <w:sz w:val="21"/>
              </w:rPr>
              <w:t>5151456.61</w:t>
            </w:r>
          </w:p>
        </w:tc>
        <w:tc>
          <w:tcPr>
            <w:tcW w:w="1752" w:type="dxa"/>
          </w:tcPr>
          <w:p>
            <w:pPr>
              <w:pStyle w:val="14"/>
              <w:spacing w:before="35"/>
              <w:ind w:left="300" w:right="279"/>
              <w:rPr>
                <w:rFonts w:ascii="Times New Roman"/>
                <w:sz w:val="21"/>
              </w:rPr>
            </w:pPr>
            <w:r>
              <w:rPr>
                <w:rFonts w:ascii="Times New Roman"/>
                <w:sz w:val="21"/>
              </w:rPr>
              <w:t>44436245.47</w:t>
            </w:r>
          </w:p>
        </w:tc>
        <w:tc>
          <w:tcPr>
            <w:tcW w:w="820" w:type="dxa"/>
          </w:tcPr>
          <w:p>
            <w:pPr>
              <w:pStyle w:val="14"/>
              <w:spacing w:before="35"/>
              <w:ind w:left="303"/>
              <w:jc w:val="left"/>
              <w:rPr>
                <w:rFonts w:ascii="Times New Roman"/>
                <w:sz w:val="21"/>
              </w:rPr>
            </w:pPr>
            <w:r>
              <w:rPr>
                <w:rFonts w:ascii="Times New Roman"/>
                <w:sz w:val="21"/>
              </w:rPr>
              <w:t>23</w:t>
            </w:r>
          </w:p>
        </w:tc>
        <w:tc>
          <w:tcPr>
            <w:tcW w:w="1731" w:type="dxa"/>
          </w:tcPr>
          <w:p>
            <w:pPr>
              <w:pStyle w:val="14"/>
              <w:spacing w:before="35"/>
              <w:ind w:left="341" w:right="316"/>
              <w:rPr>
                <w:rFonts w:ascii="Times New Roman"/>
                <w:sz w:val="21"/>
              </w:rPr>
            </w:pPr>
            <w:r>
              <w:rPr>
                <w:rFonts w:ascii="Times New Roman"/>
                <w:sz w:val="21"/>
              </w:rPr>
              <w:t>5153257.27</w:t>
            </w:r>
          </w:p>
        </w:tc>
        <w:tc>
          <w:tcPr>
            <w:tcW w:w="1755" w:type="dxa"/>
          </w:tcPr>
          <w:p>
            <w:pPr>
              <w:pStyle w:val="14"/>
              <w:spacing w:before="35"/>
              <w:ind w:left="300" w:right="277"/>
              <w:rPr>
                <w:rFonts w:ascii="Times New Roman"/>
                <w:sz w:val="21"/>
              </w:rPr>
            </w:pPr>
            <w:r>
              <w:rPr>
                <w:rFonts w:ascii="Times New Roman"/>
                <w:sz w:val="21"/>
              </w:rPr>
              <w:t>44436692.78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8" w:type="dxa"/>
          </w:tcPr>
          <w:p>
            <w:pPr>
              <w:pStyle w:val="14"/>
              <w:spacing w:before="34"/>
              <w:ind w:left="182" w:right="172"/>
              <w:rPr>
                <w:rFonts w:ascii="Times New Roman"/>
                <w:sz w:val="21"/>
              </w:rPr>
            </w:pPr>
            <w:r>
              <w:rPr>
                <w:rFonts w:ascii="Times New Roman"/>
                <w:sz w:val="21"/>
              </w:rPr>
              <w:t>11</w:t>
            </w:r>
          </w:p>
        </w:tc>
        <w:tc>
          <w:tcPr>
            <w:tcW w:w="1731" w:type="dxa"/>
          </w:tcPr>
          <w:p>
            <w:pPr>
              <w:pStyle w:val="14"/>
              <w:spacing w:before="34"/>
              <w:ind w:left="371"/>
              <w:jc w:val="left"/>
              <w:rPr>
                <w:rFonts w:ascii="Times New Roman"/>
                <w:sz w:val="21"/>
              </w:rPr>
            </w:pPr>
            <w:r>
              <w:rPr>
                <w:rFonts w:ascii="Times New Roman"/>
                <w:sz w:val="21"/>
              </w:rPr>
              <w:t>5151946.42</w:t>
            </w:r>
          </w:p>
        </w:tc>
        <w:tc>
          <w:tcPr>
            <w:tcW w:w="1752" w:type="dxa"/>
          </w:tcPr>
          <w:p>
            <w:pPr>
              <w:pStyle w:val="14"/>
              <w:spacing w:before="34"/>
              <w:ind w:left="300" w:right="279"/>
              <w:rPr>
                <w:rFonts w:ascii="Times New Roman"/>
                <w:sz w:val="21"/>
              </w:rPr>
            </w:pPr>
            <w:r>
              <w:rPr>
                <w:rFonts w:ascii="Times New Roman"/>
                <w:sz w:val="21"/>
              </w:rPr>
              <w:t>44435924.65</w:t>
            </w:r>
          </w:p>
        </w:tc>
        <w:tc>
          <w:tcPr>
            <w:tcW w:w="820" w:type="dxa"/>
          </w:tcPr>
          <w:p>
            <w:pPr>
              <w:pStyle w:val="14"/>
              <w:spacing w:before="34"/>
              <w:ind w:left="303"/>
              <w:jc w:val="left"/>
              <w:rPr>
                <w:rFonts w:ascii="Times New Roman"/>
                <w:sz w:val="21"/>
              </w:rPr>
            </w:pPr>
            <w:r>
              <w:rPr>
                <w:rFonts w:ascii="Times New Roman"/>
                <w:sz w:val="21"/>
              </w:rPr>
              <w:t>24</w:t>
            </w:r>
          </w:p>
        </w:tc>
        <w:tc>
          <w:tcPr>
            <w:tcW w:w="1731" w:type="dxa"/>
          </w:tcPr>
          <w:p>
            <w:pPr>
              <w:pStyle w:val="14"/>
              <w:spacing w:before="34"/>
              <w:ind w:left="341" w:right="316"/>
              <w:rPr>
                <w:rFonts w:ascii="Times New Roman"/>
                <w:sz w:val="21"/>
              </w:rPr>
            </w:pPr>
            <w:r>
              <w:rPr>
                <w:rFonts w:ascii="Times New Roman"/>
                <w:sz w:val="21"/>
              </w:rPr>
              <w:t>5153260.07</w:t>
            </w:r>
          </w:p>
        </w:tc>
        <w:tc>
          <w:tcPr>
            <w:tcW w:w="1755" w:type="dxa"/>
          </w:tcPr>
          <w:p>
            <w:pPr>
              <w:pStyle w:val="14"/>
              <w:spacing w:before="34"/>
              <w:ind w:left="300" w:right="277"/>
              <w:rPr>
                <w:rFonts w:ascii="Times New Roman"/>
                <w:sz w:val="21"/>
              </w:rPr>
            </w:pPr>
            <w:r>
              <w:rPr>
                <w:rFonts w:ascii="Times New Roman"/>
                <w:sz w:val="21"/>
              </w:rPr>
              <w:t>44436725.91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8" w:type="dxa"/>
          </w:tcPr>
          <w:p>
            <w:pPr>
              <w:pStyle w:val="14"/>
              <w:spacing w:before="34"/>
              <w:ind w:left="182" w:right="172"/>
              <w:rPr>
                <w:rFonts w:ascii="Times New Roman"/>
                <w:sz w:val="21"/>
              </w:rPr>
            </w:pPr>
            <w:r>
              <w:rPr>
                <w:rFonts w:ascii="Times New Roman"/>
                <w:sz w:val="21"/>
              </w:rPr>
              <w:t>12</w:t>
            </w:r>
          </w:p>
        </w:tc>
        <w:tc>
          <w:tcPr>
            <w:tcW w:w="1731" w:type="dxa"/>
          </w:tcPr>
          <w:p>
            <w:pPr>
              <w:pStyle w:val="14"/>
              <w:spacing w:before="34"/>
              <w:ind w:left="371"/>
              <w:jc w:val="left"/>
              <w:rPr>
                <w:rFonts w:ascii="Times New Roman"/>
                <w:sz w:val="21"/>
              </w:rPr>
            </w:pPr>
            <w:r>
              <w:rPr>
                <w:rFonts w:ascii="Times New Roman"/>
                <w:sz w:val="21"/>
              </w:rPr>
              <w:t>5151914.15</w:t>
            </w:r>
          </w:p>
        </w:tc>
        <w:tc>
          <w:tcPr>
            <w:tcW w:w="1752" w:type="dxa"/>
          </w:tcPr>
          <w:p>
            <w:pPr>
              <w:pStyle w:val="14"/>
              <w:spacing w:before="34"/>
              <w:ind w:left="300" w:right="279"/>
              <w:rPr>
                <w:rFonts w:ascii="Times New Roman"/>
                <w:sz w:val="21"/>
              </w:rPr>
            </w:pPr>
            <w:r>
              <w:rPr>
                <w:rFonts w:ascii="Times New Roman"/>
                <w:sz w:val="21"/>
              </w:rPr>
              <w:t>44435901.60</w:t>
            </w:r>
          </w:p>
        </w:tc>
        <w:tc>
          <w:tcPr>
            <w:tcW w:w="820" w:type="dxa"/>
          </w:tcPr>
          <w:p>
            <w:pPr>
              <w:pStyle w:val="14"/>
              <w:spacing w:before="34"/>
              <w:ind w:left="303"/>
              <w:jc w:val="left"/>
              <w:rPr>
                <w:rFonts w:ascii="Times New Roman"/>
                <w:sz w:val="21"/>
              </w:rPr>
            </w:pPr>
            <w:r>
              <w:rPr>
                <w:rFonts w:ascii="Times New Roman"/>
                <w:sz w:val="21"/>
              </w:rPr>
              <w:t>25</w:t>
            </w:r>
          </w:p>
        </w:tc>
        <w:tc>
          <w:tcPr>
            <w:tcW w:w="1731" w:type="dxa"/>
          </w:tcPr>
          <w:p>
            <w:pPr>
              <w:pStyle w:val="14"/>
              <w:spacing w:before="34"/>
              <w:ind w:left="341" w:right="316"/>
              <w:rPr>
                <w:rFonts w:ascii="Times New Roman"/>
                <w:sz w:val="21"/>
              </w:rPr>
            </w:pPr>
            <w:r>
              <w:rPr>
                <w:rFonts w:ascii="Times New Roman"/>
                <w:sz w:val="21"/>
              </w:rPr>
              <w:t>5153260.08</w:t>
            </w:r>
          </w:p>
        </w:tc>
        <w:tc>
          <w:tcPr>
            <w:tcW w:w="1755" w:type="dxa"/>
          </w:tcPr>
          <w:p>
            <w:pPr>
              <w:pStyle w:val="14"/>
              <w:spacing w:before="34"/>
              <w:ind w:left="300" w:right="277"/>
              <w:rPr>
                <w:rFonts w:ascii="Times New Roman"/>
                <w:sz w:val="21"/>
              </w:rPr>
            </w:pPr>
            <w:r>
              <w:rPr>
                <w:rFonts w:ascii="Times New Roman"/>
                <w:sz w:val="21"/>
              </w:rPr>
              <w:t>44436725.91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8" w:type="dxa"/>
          </w:tcPr>
          <w:p>
            <w:pPr>
              <w:pStyle w:val="14"/>
              <w:spacing w:before="34"/>
              <w:ind w:left="182" w:right="172"/>
              <w:rPr>
                <w:rFonts w:ascii="Times New Roman"/>
                <w:sz w:val="21"/>
              </w:rPr>
            </w:pPr>
            <w:r>
              <w:rPr>
                <w:rFonts w:ascii="Times New Roman"/>
                <w:sz w:val="21"/>
              </w:rPr>
              <w:t>13</w:t>
            </w:r>
          </w:p>
        </w:tc>
        <w:tc>
          <w:tcPr>
            <w:tcW w:w="1731" w:type="dxa"/>
          </w:tcPr>
          <w:p>
            <w:pPr>
              <w:pStyle w:val="14"/>
              <w:spacing w:before="34"/>
              <w:ind w:left="371"/>
              <w:jc w:val="left"/>
              <w:rPr>
                <w:rFonts w:ascii="Times New Roman"/>
                <w:sz w:val="21"/>
              </w:rPr>
            </w:pPr>
            <w:r>
              <w:rPr>
                <w:rFonts w:ascii="Times New Roman"/>
                <w:sz w:val="21"/>
              </w:rPr>
              <w:t>5151957.15</w:t>
            </w:r>
          </w:p>
        </w:tc>
        <w:tc>
          <w:tcPr>
            <w:tcW w:w="1752" w:type="dxa"/>
          </w:tcPr>
          <w:p>
            <w:pPr>
              <w:pStyle w:val="14"/>
              <w:spacing w:before="34"/>
              <w:ind w:left="300" w:right="279"/>
              <w:rPr>
                <w:rFonts w:ascii="Times New Roman"/>
                <w:sz w:val="21"/>
              </w:rPr>
            </w:pPr>
            <w:r>
              <w:rPr>
                <w:rFonts w:ascii="Times New Roman"/>
                <w:sz w:val="21"/>
              </w:rPr>
              <w:t>44435863.60</w:t>
            </w:r>
          </w:p>
        </w:tc>
        <w:tc>
          <w:tcPr>
            <w:tcW w:w="820" w:type="dxa"/>
          </w:tcPr>
          <w:p>
            <w:pPr>
              <w:pStyle w:val="14"/>
              <w:spacing w:before="34"/>
              <w:ind w:left="303"/>
              <w:jc w:val="left"/>
              <w:rPr>
                <w:rFonts w:ascii="Times New Roman"/>
                <w:sz w:val="21"/>
              </w:rPr>
            </w:pPr>
            <w:r>
              <w:rPr>
                <w:rFonts w:ascii="Times New Roman"/>
                <w:sz w:val="21"/>
              </w:rPr>
              <w:t>26</w:t>
            </w:r>
          </w:p>
        </w:tc>
        <w:tc>
          <w:tcPr>
            <w:tcW w:w="1731" w:type="dxa"/>
          </w:tcPr>
          <w:p>
            <w:pPr>
              <w:pStyle w:val="14"/>
              <w:spacing w:before="34"/>
              <w:ind w:left="341" w:right="316"/>
              <w:rPr>
                <w:rFonts w:ascii="Times New Roman"/>
                <w:sz w:val="21"/>
              </w:rPr>
            </w:pPr>
            <w:r>
              <w:rPr>
                <w:rFonts w:ascii="Times New Roman"/>
                <w:sz w:val="21"/>
              </w:rPr>
              <w:t>5153343.59</w:t>
            </w:r>
          </w:p>
        </w:tc>
        <w:tc>
          <w:tcPr>
            <w:tcW w:w="1755" w:type="dxa"/>
          </w:tcPr>
          <w:p>
            <w:pPr>
              <w:pStyle w:val="14"/>
              <w:spacing w:before="34"/>
              <w:ind w:left="300" w:right="277"/>
              <w:rPr>
                <w:rFonts w:ascii="Times New Roman"/>
                <w:sz w:val="21"/>
              </w:rPr>
            </w:pPr>
            <w:r>
              <w:rPr>
                <w:rFonts w:ascii="Times New Roman"/>
                <w:sz w:val="21"/>
              </w:rPr>
              <w:t>44437712.51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617" w:type="dxa"/>
            <w:gridSpan w:val="6"/>
          </w:tcPr>
          <w:p>
            <w:pPr>
              <w:pStyle w:val="14"/>
              <w:spacing w:before="22"/>
              <w:ind w:left="2924" w:right="2913"/>
              <w:rPr>
                <w:sz w:val="21"/>
              </w:rPr>
            </w:pPr>
            <w:r>
              <w:rPr>
                <w:sz w:val="21"/>
              </w:rPr>
              <w:t>复垦区面积：</w:t>
            </w:r>
            <w:r>
              <w:rPr>
                <w:rFonts w:ascii="Times New Roman" w:eastAsia="Times New Roman"/>
                <w:sz w:val="21"/>
              </w:rPr>
              <w:t xml:space="preserve">330.8978 </w:t>
            </w:r>
            <w:r>
              <w:rPr>
                <w:sz w:val="21"/>
              </w:rPr>
              <w:t>公顷。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28" w:type="dxa"/>
          </w:tcPr>
          <w:p>
            <w:pPr>
              <w:pStyle w:val="14"/>
              <w:spacing w:before="35"/>
              <w:ind w:left="6"/>
              <w:rPr>
                <w:rFonts w:ascii="Times New Roman"/>
                <w:sz w:val="21"/>
              </w:rPr>
            </w:pPr>
            <w:r>
              <w:rPr>
                <w:rFonts w:ascii="Times New Roman"/>
                <w:w w:val="99"/>
                <w:sz w:val="21"/>
              </w:rPr>
              <w:t>1</w:t>
            </w:r>
          </w:p>
        </w:tc>
        <w:tc>
          <w:tcPr>
            <w:tcW w:w="1731" w:type="dxa"/>
          </w:tcPr>
          <w:p>
            <w:pPr>
              <w:pStyle w:val="14"/>
              <w:spacing w:before="35"/>
              <w:ind w:left="362"/>
              <w:jc w:val="left"/>
              <w:rPr>
                <w:rFonts w:ascii="Times New Roman"/>
                <w:sz w:val="21"/>
              </w:rPr>
            </w:pPr>
            <w:r>
              <w:rPr>
                <w:rFonts w:ascii="Times New Roman"/>
                <w:sz w:val="21"/>
              </w:rPr>
              <w:t>5152249.58</w:t>
            </w:r>
          </w:p>
        </w:tc>
        <w:tc>
          <w:tcPr>
            <w:tcW w:w="1752" w:type="dxa"/>
          </w:tcPr>
          <w:p>
            <w:pPr>
              <w:pStyle w:val="14"/>
              <w:spacing w:before="35"/>
              <w:ind w:left="291" w:right="289"/>
              <w:rPr>
                <w:rFonts w:ascii="Times New Roman"/>
                <w:sz w:val="21"/>
              </w:rPr>
            </w:pPr>
            <w:r>
              <w:rPr>
                <w:rFonts w:ascii="Times New Roman"/>
                <w:sz w:val="21"/>
              </w:rPr>
              <w:t>44436666.66</w:t>
            </w:r>
          </w:p>
        </w:tc>
        <w:tc>
          <w:tcPr>
            <w:tcW w:w="820" w:type="dxa"/>
          </w:tcPr>
          <w:p>
            <w:pPr>
              <w:pStyle w:val="14"/>
              <w:spacing w:before="35"/>
              <w:ind w:left="356"/>
              <w:jc w:val="left"/>
              <w:rPr>
                <w:rFonts w:ascii="Times New Roman"/>
                <w:sz w:val="21"/>
              </w:rPr>
            </w:pPr>
            <w:r>
              <w:rPr>
                <w:rFonts w:ascii="Times New Roman"/>
                <w:w w:val="99"/>
                <w:sz w:val="21"/>
              </w:rPr>
              <w:t>6</w:t>
            </w:r>
          </w:p>
        </w:tc>
        <w:tc>
          <w:tcPr>
            <w:tcW w:w="1731" w:type="dxa"/>
          </w:tcPr>
          <w:p>
            <w:pPr>
              <w:pStyle w:val="14"/>
              <w:spacing w:before="35"/>
              <w:ind w:left="328" w:right="329"/>
              <w:rPr>
                <w:rFonts w:ascii="Times New Roman"/>
                <w:sz w:val="21"/>
              </w:rPr>
            </w:pPr>
            <w:r>
              <w:rPr>
                <w:rFonts w:ascii="Times New Roman"/>
                <w:sz w:val="21"/>
              </w:rPr>
              <w:t>5152071.86</w:t>
            </w:r>
          </w:p>
        </w:tc>
        <w:tc>
          <w:tcPr>
            <w:tcW w:w="1755" w:type="dxa"/>
          </w:tcPr>
          <w:p>
            <w:pPr>
              <w:pStyle w:val="14"/>
              <w:spacing w:before="35"/>
              <w:ind w:left="289" w:right="289"/>
              <w:rPr>
                <w:rFonts w:ascii="Times New Roman"/>
                <w:sz w:val="21"/>
              </w:rPr>
            </w:pPr>
            <w:r>
              <w:rPr>
                <w:rFonts w:ascii="Times New Roman"/>
                <w:sz w:val="21"/>
              </w:rPr>
              <w:t>44436518.11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8" w:type="dxa"/>
          </w:tcPr>
          <w:p>
            <w:pPr>
              <w:pStyle w:val="14"/>
              <w:spacing w:before="35"/>
              <w:ind w:left="6"/>
              <w:rPr>
                <w:rFonts w:ascii="Times New Roman"/>
                <w:sz w:val="21"/>
              </w:rPr>
            </w:pPr>
            <w:r>
              <w:rPr>
                <w:rFonts w:ascii="Times New Roman"/>
                <w:w w:val="99"/>
                <w:sz w:val="21"/>
              </w:rPr>
              <w:t>2</w:t>
            </w:r>
          </w:p>
        </w:tc>
        <w:tc>
          <w:tcPr>
            <w:tcW w:w="1731" w:type="dxa"/>
          </w:tcPr>
          <w:p>
            <w:pPr>
              <w:pStyle w:val="14"/>
              <w:spacing w:before="35"/>
              <w:ind w:left="364"/>
              <w:jc w:val="left"/>
              <w:rPr>
                <w:rFonts w:ascii="Times New Roman"/>
                <w:sz w:val="21"/>
              </w:rPr>
            </w:pPr>
            <w:r>
              <w:rPr>
                <w:rFonts w:ascii="Times New Roman"/>
                <w:sz w:val="21"/>
              </w:rPr>
              <w:t>5152278.11</w:t>
            </w:r>
          </w:p>
        </w:tc>
        <w:tc>
          <w:tcPr>
            <w:tcW w:w="1752" w:type="dxa"/>
          </w:tcPr>
          <w:p>
            <w:pPr>
              <w:pStyle w:val="14"/>
              <w:spacing w:before="35"/>
              <w:ind w:left="291" w:right="289"/>
              <w:rPr>
                <w:rFonts w:ascii="Times New Roman"/>
                <w:sz w:val="21"/>
              </w:rPr>
            </w:pPr>
            <w:r>
              <w:rPr>
                <w:rFonts w:ascii="Times New Roman"/>
                <w:sz w:val="21"/>
              </w:rPr>
              <w:t>44436566.66</w:t>
            </w:r>
          </w:p>
        </w:tc>
        <w:tc>
          <w:tcPr>
            <w:tcW w:w="820" w:type="dxa"/>
          </w:tcPr>
          <w:p>
            <w:pPr>
              <w:pStyle w:val="14"/>
              <w:spacing w:before="35"/>
              <w:ind w:left="356"/>
              <w:jc w:val="left"/>
              <w:rPr>
                <w:rFonts w:ascii="Times New Roman"/>
                <w:sz w:val="21"/>
              </w:rPr>
            </w:pPr>
            <w:r>
              <w:rPr>
                <w:rFonts w:ascii="Times New Roman"/>
                <w:w w:val="99"/>
                <w:sz w:val="21"/>
              </w:rPr>
              <w:t>7</w:t>
            </w:r>
          </w:p>
        </w:tc>
        <w:tc>
          <w:tcPr>
            <w:tcW w:w="1731" w:type="dxa"/>
          </w:tcPr>
          <w:p>
            <w:pPr>
              <w:pStyle w:val="14"/>
              <w:spacing w:before="35"/>
              <w:ind w:left="328" w:right="329"/>
              <w:rPr>
                <w:rFonts w:ascii="Times New Roman"/>
                <w:sz w:val="21"/>
              </w:rPr>
            </w:pPr>
            <w:r>
              <w:rPr>
                <w:rFonts w:ascii="Times New Roman"/>
                <w:sz w:val="21"/>
              </w:rPr>
              <w:t>5152005.02</w:t>
            </w:r>
          </w:p>
        </w:tc>
        <w:tc>
          <w:tcPr>
            <w:tcW w:w="1755" w:type="dxa"/>
          </w:tcPr>
          <w:p>
            <w:pPr>
              <w:pStyle w:val="14"/>
              <w:spacing w:before="35"/>
              <w:ind w:left="287" w:right="289"/>
              <w:rPr>
                <w:rFonts w:ascii="Times New Roman"/>
                <w:sz w:val="21"/>
              </w:rPr>
            </w:pPr>
            <w:r>
              <w:rPr>
                <w:rFonts w:ascii="Times New Roman"/>
                <w:sz w:val="21"/>
              </w:rPr>
              <w:t>44436614.00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28" w:type="dxa"/>
          </w:tcPr>
          <w:p>
            <w:pPr>
              <w:pStyle w:val="14"/>
              <w:spacing w:before="34"/>
              <w:ind w:left="6"/>
              <w:rPr>
                <w:rFonts w:ascii="Times New Roman"/>
                <w:sz w:val="21"/>
              </w:rPr>
            </w:pPr>
            <w:r>
              <w:rPr>
                <w:rFonts w:ascii="Times New Roman"/>
                <w:w w:val="99"/>
                <w:sz w:val="21"/>
              </w:rPr>
              <w:t>3</w:t>
            </w:r>
          </w:p>
        </w:tc>
        <w:tc>
          <w:tcPr>
            <w:tcW w:w="1731" w:type="dxa"/>
          </w:tcPr>
          <w:p>
            <w:pPr>
              <w:pStyle w:val="14"/>
              <w:spacing w:before="34"/>
              <w:ind w:left="362"/>
              <w:jc w:val="left"/>
              <w:rPr>
                <w:rFonts w:ascii="Times New Roman"/>
                <w:sz w:val="21"/>
              </w:rPr>
            </w:pPr>
            <w:r>
              <w:rPr>
                <w:rFonts w:ascii="Times New Roman"/>
                <w:sz w:val="21"/>
              </w:rPr>
              <w:t>5152161.52</w:t>
            </w:r>
          </w:p>
        </w:tc>
        <w:tc>
          <w:tcPr>
            <w:tcW w:w="1752" w:type="dxa"/>
          </w:tcPr>
          <w:p>
            <w:pPr>
              <w:pStyle w:val="14"/>
              <w:spacing w:before="34"/>
              <w:ind w:left="291" w:right="289"/>
              <w:rPr>
                <w:rFonts w:ascii="Times New Roman"/>
                <w:sz w:val="21"/>
              </w:rPr>
            </w:pPr>
            <w:r>
              <w:rPr>
                <w:rFonts w:ascii="Times New Roman"/>
                <w:sz w:val="21"/>
              </w:rPr>
              <w:t>44436528.47</w:t>
            </w:r>
          </w:p>
        </w:tc>
        <w:tc>
          <w:tcPr>
            <w:tcW w:w="820" w:type="dxa"/>
          </w:tcPr>
          <w:p>
            <w:pPr>
              <w:pStyle w:val="14"/>
              <w:spacing w:before="34"/>
              <w:ind w:left="356"/>
              <w:jc w:val="left"/>
              <w:rPr>
                <w:rFonts w:ascii="Times New Roman"/>
                <w:sz w:val="21"/>
              </w:rPr>
            </w:pPr>
            <w:r>
              <w:rPr>
                <w:rFonts w:ascii="Times New Roman"/>
                <w:w w:val="99"/>
                <w:sz w:val="21"/>
              </w:rPr>
              <w:t>8</w:t>
            </w:r>
          </w:p>
        </w:tc>
        <w:tc>
          <w:tcPr>
            <w:tcW w:w="1731" w:type="dxa"/>
          </w:tcPr>
          <w:p>
            <w:pPr>
              <w:pStyle w:val="14"/>
              <w:spacing w:before="34"/>
              <w:ind w:left="328" w:right="329"/>
              <w:rPr>
                <w:rFonts w:ascii="Times New Roman"/>
                <w:sz w:val="21"/>
              </w:rPr>
            </w:pPr>
            <w:r>
              <w:rPr>
                <w:rFonts w:ascii="Times New Roman"/>
                <w:sz w:val="21"/>
              </w:rPr>
              <w:t>5152011.94</w:t>
            </w:r>
          </w:p>
        </w:tc>
        <w:tc>
          <w:tcPr>
            <w:tcW w:w="1755" w:type="dxa"/>
          </w:tcPr>
          <w:p>
            <w:pPr>
              <w:pStyle w:val="14"/>
              <w:spacing w:before="34"/>
              <w:ind w:left="287" w:right="289"/>
              <w:rPr>
                <w:rFonts w:ascii="Times New Roman"/>
                <w:sz w:val="21"/>
              </w:rPr>
            </w:pPr>
            <w:r>
              <w:rPr>
                <w:rFonts w:ascii="Times New Roman"/>
                <w:sz w:val="21"/>
              </w:rPr>
              <w:t>44436648.76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8" w:type="dxa"/>
          </w:tcPr>
          <w:p>
            <w:pPr>
              <w:pStyle w:val="14"/>
              <w:spacing w:before="34"/>
              <w:ind w:left="6"/>
              <w:rPr>
                <w:rFonts w:ascii="Times New Roman"/>
                <w:sz w:val="21"/>
              </w:rPr>
            </w:pPr>
            <w:r>
              <w:rPr>
                <w:rFonts w:ascii="Times New Roman"/>
                <w:w w:val="99"/>
                <w:sz w:val="21"/>
              </w:rPr>
              <w:t>4</w:t>
            </w:r>
          </w:p>
        </w:tc>
        <w:tc>
          <w:tcPr>
            <w:tcW w:w="1731" w:type="dxa"/>
          </w:tcPr>
          <w:p>
            <w:pPr>
              <w:pStyle w:val="14"/>
              <w:spacing w:before="34"/>
              <w:ind w:left="364"/>
              <w:jc w:val="left"/>
              <w:rPr>
                <w:rFonts w:ascii="Times New Roman"/>
                <w:sz w:val="21"/>
              </w:rPr>
            </w:pPr>
            <w:r>
              <w:rPr>
                <w:rFonts w:ascii="Times New Roman"/>
                <w:sz w:val="21"/>
              </w:rPr>
              <w:t>5152116.73</w:t>
            </w:r>
          </w:p>
        </w:tc>
        <w:tc>
          <w:tcPr>
            <w:tcW w:w="1752" w:type="dxa"/>
          </w:tcPr>
          <w:p>
            <w:pPr>
              <w:pStyle w:val="14"/>
              <w:spacing w:before="34"/>
              <w:ind w:left="291" w:right="289"/>
              <w:rPr>
                <w:rFonts w:ascii="Times New Roman"/>
                <w:sz w:val="21"/>
              </w:rPr>
            </w:pPr>
            <w:r>
              <w:rPr>
                <w:rFonts w:ascii="Times New Roman"/>
                <w:sz w:val="21"/>
              </w:rPr>
              <w:t>44436520.48</w:t>
            </w:r>
          </w:p>
        </w:tc>
        <w:tc>
          <w:tcPr>
            <w:tcW w:w="820" w:type="dxa"/>
          </w:tcPr>
          <w:p>
            <w:pPr>
              <w:pStyle w:val="14"/>
              <w:spacing w:before="34"/>
              <w:ind w:left="356"/>
              <w:jc w:val="left"/>
              <w:rPr>
                <w:rFonts w:ascii="Times New Roman"/>
                <w:sz w:val="21"/>
              </w:rPr>
            </w:pPr>
            <w:r>
              <w:rPr>
                <w:rFonts w:ascii="Times New Roman"/>
                <w:w w:val="99"/>
                <w:sz w:val="21"/>
              </w:rPr>
              <w:t>9</w:t>
            </w:r>
          </w:p>
        </w:tc>
        <w:tc>
          <w:tcPr>
            <w:tcW w:w="1731" w:type="dxa"/>
          </w:tcPr>
          <w:p>
            <w:pPr>
              <w:pStyle w:val="14"/>
              <w:spacing w:before="34"/>
              <w:ind w:left="328" w:right="329"/>
              <w:rPr>
                <w:rFonts w:ascii="Times New Roman"/>
                <w:sz w:val="21"/>
              </w:rPr>
            </w:pPr>
            <w:r>
              <w:rPr>
                <w:rFonts w:ascii="Times New Roman"/>
                <w:sz w:val="21"/>
              </w:rPr>
              <w:t>5152137.95</w:t>
            </w:r>
          </w:p>
        </w:tc>
        <w:tc>
          <w:tcPr>
            <w:tcW w:w="1755" w:type="dxa"/>
          </w:tcPr>
          <w:p>
            <w:pPr>
              <w:pStyle w:val="14"/>
              <w:spacing w:before="34"/>
              <w:ind w:left="287" w:right="289"/>
              <w:rPr>
                <w:rFonts w:ascii="Times New Roman"/>
                <w:sz w:val="21"/>
              </w:rPr>
            </w:pPr>
            <w:r>
              <w:rPr>
                <w:rFonts w:ascii="Times New Roman"/>
                <w:sz w:val="21"/>
              </w:rPr>
              <w:t>44436670.35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8" w:type="dxa"/>
          </w:tcPr>
          <w:p>
            <w:pPr>
              <w:pStyle w:val="14"/>
              <w:spacing w:before="34"/>
              <w:ind w:left="6"/>
              <w:rPr>
                <w:rFonts w:ascii="Times New Roman"/>
                <w:sz w:val="21"/>
              </w:rPr>
            </w:pPr>
            <w:r>
              <w:rPr>
                <w:rFonts w:ascii="Times New Roman"/>
                <w:w w:val="99"/>
                <w:sz w:val="21"/>
              </w:rPr>
              <w:t>5</w:t>
            </w:r>
          </w:p>
        </w:tc>
        <w:tc>
          <w:tcPr>
            <w:tcW w:w="1731" w:type="dxa"/>
          </w:tcPr>
          <w:p>
            <w:pPr>
              <w:pStyle w:val="14"/>
              <w:spacing w:before="34"/>
              <w:ind w:left="364"/>
              <w:jc w:val="left"/>
              <w:rPr>
                <w:rFonts w:ascii="Times New Roman"/>
                <w:sz w:val="21"/>
              </w:rPr>
            </w:pPr>
            <w:r>
              <w:rPr>
                <w:rFonts w:ascii="Times New Roman"/>
                <w:sz w:val="21"/>
              </w:rPr>
              <w:t>5152114.72</w:t>
            </w:r>
          </w:p>
        </w:tc>
        <w:tc>
          <w:tcPr>
            <w:tcW w:w="1752" w:type="dxa"/>
          </w:tcPr>
          <w:p>
            <w:pPr>
              <w:pStyle w:val="14"/>
              <w:spacing w:before="34"/>
              <w:ind w:left="291" w:right="289"/>
              <w:rPr>
                <w:rFonts w:ascii="Times New Roman"/>
                <w:sz w:val="21"/>
              </w:rPr>
            </w:pPr>
            <w:r>
              <w:rPr>
                <w:rFonts w:ascii="Times New Roman"/>
                <w:sz w:val="21"/>
              </w:rPr>
              <w:t>44436528.88</w:t>
            </w:r>
          </w:p>
        </w:tc>
        <w:tc>
          <w:tcPr>
            <w:tcW w:w="820" w:type="dxa"/>
          </w:tcPr>
          <w:p>
            <w:pPr>
              <w:pStyle w:val="14"/>
              <w:spacing w:before="34"/>
              <w:ind w:left="303"/>
              <w:jc w:val="left"/>
              <w:rPr>
                <w:rFonts w:ascii="Times New Roman"/>
                <w:sz w:val="21"/>
              </w:rPr>
            </w:pPr>
            <w:r>
              <w:rPr>
                <w:rFonts w:ascii="Times New Roman"/>
                <w:sz w:val="21"/>
              </w:rPr>
              <w:t>10</w:t>
            </w:r>
          </w:p>
        </w:tc>
        <w:tc>
          <w:tcPr>
            <w:tcW w:w="1731" w:type="dxa"/>
          </w:tcPr>
          <w:p>
            <w:pPr>
              <w:pStyle w:val="14"/>
              <w:spacing w:before="34"/>
              <w:ind w:left="328" w:right="329"/>
              <w:rPr>
                <w:rFonts w:ascii="Times New Roman"/>
                <w:sz w:val="21"/>
              </w:rPr>
            </w:pPr>
            <w:r>
              <w:rPr>
                <w:rFonts w:ascii="Times New Roman"/>
                <w:sz w:val="21"/>
              </w:rPr>
              <w:t>5152154.01</w:t>
            </w:r>
          </w:p>
        </w:tc>
        <w:tc>
          <w:tcPr>
            <w:tcW w:w="1755" w:type="dxa"/>
          </w:tcPr>
          <w:p>
            <w:pPr>
              <w:pStyle w:val="14"/>
              <w:spacing w:before="34"/>
              <w:ind w:left="287" w:right="289"/>
              <w:rPr>
                <w:rFonts w:ascii="Times New Roman"/>
                <w:sz w:val="21"/>
              </w:rPr>
            </w:pPr>
            <w:r>
              <w:rPr>
                <w:rFonts w:ascii="Times New Roman"/>
                <w:sz w:val="21"/>
              </w:rPr>
              <w:t>44436646.99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617" w:type="dxa"/>
            <w:gridSpan w:val="6"/>
          </w:tcPr>
          <w:p>
            <w:pPr>
              <w:pStyle w:val="14"/>
              <w:spacing w:before="22"/>
              <w:ind w:left="2924" w:right="2913"/>
              <w:rPr>
                <w:sz w:val="21"/>
              </w:rPr>
            </w:pPr>
            <w:r>
              <w:rPr>
                <w:sz w:val="21"/>
              </w:rPr>
              <w:t>工业广场面积：</w:t>
            </w:r>
            <w:r>
              <w:rPr>
                <w:rFonts w:ascii="Times New Roman" w:eastAsia="Times New Roman"/>
                <w:sz w:val="21"/>
              </w:rPr>
              <w:t xml:space="preserve">2.9767 </w:t>
            </w:r>
            <w:r>
              <w:rPr>
                <w:sz w:val="21"/>
              </w:rPr>
              <w:t>公顷。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617" w:type="dxa"/>
            <w:gridSpan w:val="6"/>
          </w:tcPr>
          <w:p>
            <w:pPr>
              <w:pStyle w:val="14"/>
              <w:spacing w:before="21"/>
              <w:ind w:left="743"/>
              <w:jc w:val="left"/>
              <w:rPr>
                <w:sz w:val="21"/>
              </w:rPr>
            </w:pPr>
            <w:r>
              <w:rPr>
                <w:sz w:val="21"/>
              </w:rPr>
              <w:t>扣除工业广场范围的复垦区为预测沉陷区范围：沉陷区面积：</w:t>
            </w:r>
            <w:r>
              <w:rPr>
                <w:rFonts w:ascii="Times New Roman" w:eastAsia="Times New Roman"/>
                <w:sz w:val="21"/>
              </w:rPr>
              <w:t xml:space="preserve">327.9211 </w:t>
            </w:r>
            <w:r>
              <w:rPr>
                <w:sz w:val="21"/>
              </w:rPr>
              <w:t>公顷。</w:t>
            </w:r>
          </w:p>
        </w:tc>
      </w:tr>
    </w:tbl>
    <w:p>
      <w:pPr>
        <w:spacing w:after="0"/>
        <w:jc w:val="left"/>
        <w:rPr>
          <w:sz w:val="21"/>
        </w:rPr>
        <w:sectPr>
          <w:pgSz w:w="11910" w:h="16840"/>
          <w:pgMar w:top="1420" w:right="1300" w:bottom="1100" w:left="1300" w:header="0" w:footer="917" w:gutter="0"/>
        </w:sectPr>
      </w:pPr>
    </w:p>
    <w:p>
      <w:pPr>
        <w:pStyle w:val="6"/>
        <w:rPr>
          <w:b/>
          <w:sz w:val="20"/>
        </w:rPr>
      </w:pPr>
      <w:r>
        <mc:AlternateContent>
          <mc:Choice Requires="wpg">
            <w:drawing>
              <wp:anchor distT="0" distB="0" distL="114300" distR="114300" simplePos="0" relativeHeight="251740160" behindDoc="0" locked="0" layoutInCell="1" allowOverlap="1">
                <wp:simplePos x="0" y="0"/>
                <wp:positionH relativeFrom="page">
                  <wp:posOffset>1705610</wp:posOffset>
                </wp:positionH>
                <wp:positionV relativeFrom="page">
                  <wp:posOffset>1679575</wp:posOffset>
                </wp:positionV>
                <wp:extent cx="7833995" cy="5010785"/>
                <wp:effectExtent l="635" t="635" r="13970" b="17780"/>
                <wp:wrapNone/>
                <wp:docPr id="251" name="组合 114"/>
                <wp:cNvGraphicFramePr/>
                <a:graphic xmlns:a="http://schemas.openxmlformats.org/drawingml/2006/main">
                  <a:graphicData uri="http://schemas.microsoft.com/office/word/2010/wordprocessingGroup">
                    <wpg:wgp>
                      <wpg:cNvGrpSpPr/>
                      <wpg:grpSpPr>
                        <a:xfrm>
                          <a:off x="0" y="0"/>
                          <a:ext cx="7833995" cy="5010785"/>
                          <a:chOff x="2687" y="2646"/>
                          <a:chExt cx="12337" cy="7891"/>
                        </a:xfrm>
                      </wpg:grpSpPr>
                      <pic:pic xmlns:pic="http://schemas.openxmlformats.org/drawingml/2006/picture">
                        <pic:nvPicPr>
                          <pic:cNvPr id="248" name="图片 115"/>
                          <pic:cNvPicPr>
                            <a:picLocks noChangeAspect="1"/>
                          </pic:cNvPicPr>
                        </pic:nvPicPr>
                        <pic:blipFill>
                          <a:blip r:embed="rId60"/>
                          <a:stretch>
                            <a:fillRect/>
                          </a:stretch>
                        </pic:blipFill>
                        <pic:spPr>
                          <a:xfrm>
                            <a:off x="2686" y="2645"/>
                            <a:ext cx="12337" cy="7328"/>
                          </a:xfrm>
                          <a:prstGeom prst="rect">
                            <a:avLst/>
                          </a:prstGeom>
                          <a:noFill/>
                          <a:ln>
                            <a:noFill/>
                          </a:ln>
                        </pic:spPr>
                      </pic:pic>
                      <pic:pic xmlns:pic="http://schemas.openxmlformats.org/drawingml/2006/picture">
                        <pic:nvPicPr>
                          <pic:cNvPr id="249" name="图片 116"/>
                          <pic:cNvPicPr>
                            <a:picLocks noChangeAspect="1"/>
                          </pic:cNvPicPr>
                        </pic:nvPicPr>
                        <pic:blipFill>
                          <a:blip r:embed="rId61"/>
                          <a:stretch>
                            <a:fillRect/>
                          </a:stretch>
                        </pic:blipFill>
                        <pic:spPr>
                          <a:xfrm>
                            <a:off x="6372" y="10039"/>
                            <a:ext cx="4172" cy="497"/>
                          </a:xfrm>
                          <a:prstGeom prst="rect">
                            <a:avLst/>
                          </a:prstGeom>
                          <a:noFill/>
                          <a:ln>
                            <a:noFill/>
                          </a:ln>
                        </pic:spPr>
                      </pic:pic>
                      <wps:wsp>
                        <wps:cNvPr id="250" name="文本框 117"/>
                        <wps:cNvSpPr txBox="1"/>
                        <wps:spPr>
                          <a:xfrm>
                            <a:off x="6372" y="10039"/>
                            <a:ext cx="4172" cy="497"/>
                          </a:xfrm>
                          <a:prstGeom prst="rect">
                            <a:avLst/>
                          </a:prstGeom>
                          <a:noFill/>
                          <a:ln>
                            <a:noFill/>
                          </a:ln>
                        </wps:spPr>
                        <wps:txbx>
                          <w:txbxContent>
                            <w:p>
                              <w:pPr>
                                <w:spacing w:before="75"/>
                                <w:ind w:left="815" w:right="0" w:firstLine="0"/>
                                <w:jc w:val="left"/>
                                <w:rPr>
                                  <w:rFonts w:hint="eastAsia" w:ascii="仿宋" w:eastAsia="仿宋"/>
                                  <w:b/>
                                  <w:sz w:val="24"/>
                                </w:rPr>
                              </w:pPr>
                              <w:r>
                                <w:rPr>
                                  <w:b/>
                                  <w:sz w:val="24"/>
                                </w:rPr>
                                <w:t xml:space="preserve">图 </w:t>
                              </w:r>
                              <w:r>
                                <w:rPr>
                                  <w:rFonts w:ascii="Times New Roman" w:eastAsia="Times New Roman"/>
                                  <w:b/>
                                  <w:sz w:val="24"/>
                                </w:rPr>
                                <w:t xml:space="preserve">5.5-1 </w:t>
                              </w:r>
                              <w:r>
                                <w:rPr>
                                  <w:rFonts w:hint="eastAsia" w:ascii="仿宋" w:eastAsia="仿宋"/>
                                  <w:b/>
                                  <w:sz w:val="24"/>
                                </w:rPr>
                                <w:t>土地复垦规划图</w:t>
                              </w:r>
                            </w:p>
                          </w:txbxContent>
                        </wps:txbx>
                        <wps:bodyPr lIns="0" tIns="0" rIns="0" bIns="0" upright="1"/>
                      </wps:wsp>
                    </wpg:wgp>
                  </a:graphicData>
                </a:graphic>
              </wp:anchor>
            </w:drawing>
          </mc:Choice>
          <mc:Fallback>
            <w:pict>
              <v:group id="组合 114" o:spid="_x0000_s1026" o:spt="203" style="position:absolute;left:0pt;margin-left:134.3pt;margin-top:132.25pt;height:394.55pt;width:616.85pt;mso-position-horizontal-relative:page;mso-position-vertical-relative:page;z-index:251740160;mso-width-relative:page;mso-height-relative:page;" coordorigin="2687,2646" coordsize="12337,7891" o:gfxdata="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">
                <o:lock v:ext="edit" aspectratio="f"/>
                <v:shape id="图片 115" o:spid="_x0000_s1026" o:spt="75" alt="" type="#_x0000_t75" style="position:absolute;left:2686;top:2645;height:7328;width:12337;" filled="f" o:preferrelative="t" stroked="f" coordsize="21600,21600" o:gfxdata="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YiWp7gAAADcAAAA&#10;DwAAAAAAAAABACAAAAAiAAAAZHJzL2Rvd25yZXYueG1sUEsBAhQAFAAAAAgAh07iQDMvBZ47AAAA&#10;OQAAABAAAAAAAAAAAQAgAAAABwEAAGRycy9zaGFwZXhtbC54bWxQSwUGAAAAAAYABgBbAQAAsQMA&#10;AAAA&#10;">
                  <v:fill on="f" focussize="0,0"/>
                  <v:stroke on="f"/>
                  <v:imagedata r:id="rId60" o:title=""/>
                  <o:lock v:ext="edit" aspectratio="t"/>
                </v:shape>
                <v:shape id="图片 116" o:spid="_x0000_s1026" o:spt="75" alt="" type="#_x0000_t75" style="position:absolute;left:6372;top:10039;height:497;width:4172;" filled="f" o:preferrelative="t" stroked="f" coordsize="21600,21600" o:gfxdata="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iejG8AAAA&#10;3AAAAA8AAAAAAAAAAQAgAAAAIgAAAGRycy9kb3ducmV2LnhtbFBLAQIUABQAAAAIAIdO4kAzLwWe&#10;OwAAADkAAAAQAAAAAAAAAAEAIAAAAAsBAABkcnMvc2hhcGV4bWwueG1sUEsFBgAAAAAGAAYAWwEA&#10;ALUDAAAAAA==&#10;">
                  <v:fill on="f" focussize="0,0"/>
                  <v:stroke on="f"/>
                  <v:imagedata r:id="rId61" o:title=""/>
                  <o:lock v:ext="edit" aspectratio="t"/>
                </v:shape>
                <v:shape id="文本框 117" o:spid="_x0000_s1026" o:spt="202" type="#_x0000_t202" style="position:absolute;left:6372;top:10039;height:497;width:4172;" filled="f" stroked="f" coordsize="21600,21600" o:gfxdata="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8WGA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75"/>
                          <w:ind w:left="815" w:right="0" w:firstLine="0"/>
                          <w:jc w:val="left"/>
                          <w:rPr>
                            <w:rFonts w:hint="eastAsia" w:ascii="仿宋" w:eastAsia="仿宋"/>
                            <w:b/>
                            <w:sz w:val="24"/>
                          </w:rPr>
                        </w:pPr>
                        <w:r>
                          <w:rPr>
                            <w:b/>
                            <w:sz w:val="24"/>
                          </w:rPr>
                          <w:t xml:space="preserve">图 </w:t>
                        </w:r>
                        <w:r>
                          <w:rPr>
                            <w:rFonts w:ascii="Times New Roman" w:eastAsia="Times New Roman"/>
                            <w:b/>
                            <w:sz w:val="24"/>
                          </w:rPr>
                          <w:t xml:space="preserve">5.5-1 </w:t>
                        </w:r>
                        <w:r>
                          <w:rPr>
                            <w:rFonts w:hint="eastAsia" w:ascii="仿宋" w:eastAsia="仿宋"/>
                            <w:b/>
                            <w:sz w:val="24"/>
                          </w:rPr>
                          <w:t>土地复垦规划图</w:t>
                        </w:r>
                      </w:p>
                    </w:txbxContent>
                  </v:textbox>
                </v:shape>
              </v:group>
            </w:pict>
          </mc:Fallback>
        </mc:AlternateContent>
      </w: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spacing w:before="9"/>
        <w:rPr>
          <w:b/>
          <w:sz w:val="21"/>
        </w:rPr>
      </w:pPr>
    </w:p>
    <w:p>
      <w:pPr>
        <w:spacing w:before="63"/>
        <w:ind w:left="5888" w:right="5888" w:firstLine="0"/>
        <w:jc w:val="center"/>
        <w:rPr>
          <w:rFonts w:ascii="Calibri"/>
          <w:sz w:val="18"/>
        </w:rPr>
      </w:pPr>
      <w:r>
        <w:rPr>
          <w:rFonts w:ascii="Calibri"/>
          <w:sz w:val="18"/>
        </w:rPr>
        <w:t>92</w:t>
      </w:r>
    </w:p>
    <w:p>
      <w:pPr>
        <w:spacing w:after="0"/>
        <w:jc w:val="center"/>
        <w:rPr>
          <w:rFonts w:ascii="Calibri"/>
          <w:sz w:val="18"/>
        </w:rPr>
        <w:sectPr>
          <w:footerReference r:id="rId17" w:type="default"/>
          <w:pgSz w:w="16840" w:h="11910" w:orient="landscape"/>
          <w:pgMar w:top="1100" w:right="2420" w:bottom="280" w:left="2420" w:header="0" w:footer="0" w:gutter="0"/>
        </w:sectPr>
      </w:pPr>
    </w:p>
    <w:p>
      <w:pPr>
        <w:pStyle w:val="6"/>
        <w:spacing w:before="42"/>
        <w:ind w:left="1031"/>
      </w:pPr>
      <w:r>
        <w:t>复垦区土地利用现状见下表：</w:t>
      </w:r>
    </w:p>
    <w:p>
      <w:pPr>
        <w:pStyle w:val="5"/>
        <w:tabs>
          <w:tab w:val="left" w:pos="1039"/>
        </w:tabs>
        <w:spacing w:before="84"/>
        <w:ind w:right="396"/>
        <w:jc w:val="center"/>
      </w:pPr>
      <w:r>
        <w:t>表</w:t>
      </w:r>
      <w:r>
        <w:rPr>
          <w:spacing w:val="-62"/>
        </w:rPr>
        <w:t xml:space="preserve"> </w:t>
      </w:r>
      <w:r>
        <w:rPr>
          <w:rFonts w:ascii="Times New Roman" w:eastAsia="Times New Roman"/>
        </w:rPr>
        <w:t>5.5-2</w:t>
      </w:r>
      <w:r>
        <w:rPr>
          <w:rFonts w:ascii="Times New Roman" w:eastAsia="Times New Roman"/>
        </w:rPr>
        <w:tab/>
      </w:r>
      <w:r>
        <w:t>双鸭山大顺矿业有限公司土地复垦区土地利用现状表</w:t>
      </w:r>
    </w:p>
    <w:tbl>
      <w:tblPr>
        <w:tblStyle w:val="10"/>
        <w:tblW w:w="0" w:type="auto"/>
        <w:tblInd w:w="4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3"/>
        <w:gridCol w:w="874"/>
        <w:gridCol w:w="2323"/>
        <w:gridCol w:w="750"/>
        <w:gridCol w:w="1400"/>
        <w:gridCol w:w="1400"/>
        <w:gridCol w:w="11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23" w:type="dxa"/>
            <w:vMerge w:val="restart"/>
          </w:tcPr>
          <w:p>
            <w:pPr>
              <w:pStyle w:val="14"/>
              <w:spacing w:before="1"/>
              <w:jc w:val="left"/>
              <w:rPr>
                <w:b/>
                <w:sz w:val="16"/>
              </w:rPr>
            </w:pPr>
          </w:p>
          <w:p>
            <w:pPr>
              <w:pStyle w:val="14"/>
              <w:ind w:left="150"/>
              <w:jc w:val="left"/>
              <w:rPr>
                <w:sz w:val="21"/>
              </w:rPr>
            </w:pPr>
            <w:r>
              <w:rPr>
                <w:sz w:val="21"/>
              </w:rPr>
              <w:t>区域</w:t>
            </w:r>
          </w:p>
        </w:tc>
        <w:tc>
          <w:tcPr>
            <w:tcW w:w="3197" w:type="dxa"/>
            <w:gridSpan w:val="2"/>
          </w:tcPr>
          <w:p>
            <w:pPr>
              <w:pStyle w:val="14"/>
              <w:spacing w:before="33"/>
              <w:ind w:left="1156" w:right="1151"/>
              <w:rPr>
                <w:sz w:val="21"/>
              </w:rPr>
            </w:pPr>
            <w:r>
              <w:rPr>
                <w:sz w:val="21"/>
              </w:rPr>
              <w:t>一级地类</w:t>
            </w:r>
          </w:p>
        </w:tc>
        <w:tc>
          <w:tcPr>
            <w:tcW w:w="2150" w:type="dxa"/>
            <w:gridSpan w:val="2"/>
          </w:tcPr>
          <w:p>
            <w:pPr>
              <w:pStyle w:val="14"/>
              <w:spacing w:before="33"/>
              <w:ind w:left="654"/>
              <w:jc w:val="left"/>
              <w:rPr>
                <w:sz w:val="21"/>
              </w:rPr>
            </w:pPr>
            <w:r>
              <w:rPr>
                <w:sz w:val="21"/>
              </w:rPr>
              <w:t>二级地类</w:t>
            </w:r>
          </w:p>
        </w:tc>
        <w:tc>
          <w:tcPr>
            <w:tcW w:w="1400" w:type="dxa"/>
            <w:vMerge w:val="restart"/>
          </w:tcPr>
          <w:p>
            <w:pPr>
              <w:pStyle w:val="14"/>
              <w:spacing w:before="1"/>
              <w:jc w:val="left"/>
              <w:rPr>
                <w:b/>
                <w:sz w:val="16"/>
              </w:rPr>
            </w:pPr>
          </w:p>
          <w:p>
            <w:pPr>
              <w:pStyle w:val="14"/>
              <w:ind w:left="210"/>
              <w:jc w:val="left"/>
              <w:rPr>
                <w:rFonts w:ascii="Times New Roman" w:eastAsia="Times New Roman"/>
                <w:sz w:val="21"/>
              </w:rPr>
            </w:pPr>
            <w:r>
              <w:rPr>
                <w:sz w:val="21"/>
              </w:rPr>
              <w:t>面积</w:t>
            </w:r>
            <w:r>
              <w:rPr>
                <w:rFonts w:ascii="Times New Roman" w:eastAsia="Times New Roman"/>
                <w:sz w:val="21"/>
              </w:rPr>
              <w:t>(</w:t>
            </w:r>
            <w:r>
              <w:rPr>
                <w:sz w:val="21"/>
              </w:rPr>
              <w:t>公顷</w:t>
            </w:r>
            <w:r>
              <w:rPr>
                <w:rFonts w:ascii="Times New Roman" w:eastAsia="Times New Roman"/>
                <w:sz w:val="21"/>
              </w:rPr>
              <w:t>)</w:t>
            </w:r>
          </w:p>
        </w:tc>
        <w:tc>
          <w:tcPr>
            <w:tcW w:w="1148" w:type="dxa"/>
            <w:vMerge w:val="restart"/>
          </w:tcPr>
          <w:p>
            <w:pPr>
              <w:pStyle w:val="14"/>
              <w:spacing w:before="86" w:line="255" w:lineRule="exact"/>
              <w:ind w:left="257"/>
              <w:jc w:val="left"/>
              <w:rPr>
                <w:sz w:val="21"/>
              </w:rPr>
            </w:pPr>
            <w:r>
              <w:rPr>
                <w:w w:val="95"/>
                <w:sz w:val="21"/>
              </w:rPr>
              <w:t>百分比</w:t>
            </w:r>
          </w:p>
          <w:p>
            <w:pPr>
              <w:pStyle w:val="14"/>
              <w:spacing w:line="255" w:lineRule="exact"/>
              <w:ind w:left="276"/>
              <w:jc w:val="left"/>
              <w:rPr>
                <w:sz w:val="21"/>
              </w:rPr>
            </w:pPr>
            <w:r>
              <w:rPr>
                <w:sz w:val="21"/>
              </w:rPr>
              <w:t>（</w:t>
            </w:r>
            <w:r>
              <w:rPr>
                <w:rFonts w:ascii="Times New Roman" w:eastAsia="Times New Roman"/>
                <w:sz w:val="21"/>
              </w:rPr>
              <w:t>%</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23" w:type="dxa"/>
            <w:vMerge w:val="continue"/>
            <w:tcBorders>
              <w:top w:val="nil"/>
            </w:tcBorders>
          </w:tcPr>
          <w:p>
            <w:pPr>
              <w:rPr>
                <w:sz w:val="2"/>
                <w:szCs w:val="2"/>
              </w:rPr>
            </w:pPr>
          </w:p>
        </w:tc>
        <w:tc>
          <w:tcPr>
            <w:tcW w:w="874" w:type="dxa"/>
          </w:tcPr>
          <w:p>
            <w:pPr>
              <w:pStyle w:val="14"/>
              <w:spacing w:before="31"/>
              <w:ind w:left="205" w:right="197"/>
              <w:rPr>
                <w:sz w:val="21"/>
              </w:rPr>
            </w:pPr>
            <w:r>
              <w:rPr>
                <w:sz w:val="21"/>
              </w:rPr>
              <w:t>编码</w:t>
            </w:r>
          </w:p>
        </w:tc>
        <w:tc>
          <w:tcPr>
            <w:tcW w:w="2323" w:type="dxa"/>
          </w:tcPr>
          <w:p>
            <w:pPr>
              <w:pStyle w:val="14"/>
              <w:spacing w:before="31"/>
              <w:ind w:left="299" w:right="292"/>
              <w:rPr>
                <w:sz w:val="21"/>
              </w:rPr>
            </w:pPr>
            <w:r>
              <w:rPr>
                <w:sz w:val="21"/>
              </w:rPr>
              <w:t>名称</w:t>
            </w:r>
          </w:p>
        </w:tc>
        <w:tc>
          <w:tcPr>
            <w:tcW w:w="750" w:type="dxa"/>
          </w:tcPr>
          <w:p>
            <w:pPr>
              <w:pStyle w:val="14"/>
              <w:spacing w:before="31"/>
              <w:ind w:left="164"/>
              <w:jc w:val="left"/>
              <w:rPr>
                <w:sz w:val="21"/>
              </w:rPr>
            </w:pPr>
            <w:r>
              <w:rPr>
                <w:sz w:val="21"/>
              </w:rPr>
              <w:t>编码</w:t>
            </w:r>
          </w:p>
        </w:tc>
        <w:tc>
          <w:tcPr>
            <w:tcW w:w="1400" w:type="dxa"/>
          </w:tcPr>
          <w:p>
            <w:pPr>
              <w:pStyle w:val="14"/>
              <w:spacing w:before="31"/>
              <w:ind w:left="240" w:right="233"/>
              <w:rPr>
                <w:sz w:val="21"/>
              </w:rPr>
            </w:pPr>
            <w:r>
              <w:rPr>
                <w:sz w:val="21"/>
              </w:rPr>
              <w:t>名称</w:t>
            </w:r>
          </w:p>
        </w:tc>
        <w:tc>
          <w:tcPr>
            <w:tcW w:w="1400" w:type="dxa"/>
            <w:vMerge w:val="continue"/>
            <w:tcBorders>
              <w:top w:val="nil"/>
            </w:tcBorders>
          </w:tcPr>
          <w:p>
            <w:pPr>
              <w:rPr>
                <w:sz w:val="2"/>
                <w:szCs w:val="2"/>
              </w:rPr>
            </w:pPr>
          </w:p>
        </w:tc>
        <w:tc>
          <w:tcPr>
            <w:tcW w:w="114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23" w:type="dxa"/>
            <w:vMerge w:val="restart"/>
          </w:tcPr>
          <w:p>
            <w:pPr>
              <w:pStyle w:val="14"/>
              <w:spacing w:before="110" w:line="213" w:lineRule="auto"/>
              <w:ind w:left="150" w:right="142"/>
              <w:jc w:val="left"/>
              <w:rPr>
                <w:sz w:val="21"/>
              </w:rPr>
            </w:pPr>
            <w:r>
              <w:rPr>
                <w:sz w:val="21"/>
              </w:rPr>
              <w:t>工业广场</w:t>
            </w:r>
          </w:p>
        </w:tc>
        <w:tc>
          <w:tcPr>
            <w:tcW w:w="874" w:type="dxa"/>
          </w:tcPr>
          <w:p>
            <w:pPr>
              <w:pStyle w:val="14"/>
              <w:spacing w:before="45"/>
              <w:ind w:left="205" w:right="194"/>
              <w:rPr>
                <w:rFonts w:ascii="Times New Roman"/>
                <w:sz w:val="21"/>
              </w:rPr>
            </w:pPr>
            <w:r>
              <w:rPr>
                <w:rFonts w:ascii="Times New Roman"/>
                <w:sz w:val="21"/>
              </w:rPr>
              <w:t>20</w:t>
            </w:r>
          </w:p>
        </w:tc>
        <w:tc>
          <w:tcPr>
            <w:tcW w:w="2323" w:type="dxa"/>
          </w:tcPr>
          <w:p>
            <w:pPr>
              <w:pStyle w:val="14"/>
              <w:spacing w:before="31"/>
              <w:ind w:left="299" w:right="294"/>
              <w:rPr>
                <w:sz w:val="21"/>
              </w:rPr>
            </w:pPr>
            <w:r>
              <w:rPr>
                <w:sz w:val="21"/>
              </w:rPr>
              <w:t>城镇村及工矿用地</w:t>
            </w:r>
          </w:p>
        </w:tc>
        <w:tc>
          <w:tcPr>
            <w:tcW w:w="750" w:type="dxa"/>
          </w:tcPr>
          <w:p>
            <w:pPr>
              <w:pStyle w:val="14"/>
              <w:spacing w:before="45"/>
              <w:ind w:left="217"/>
              <w:jc w:val="left"/>
              <w:rPr>
                <w:rFonts w:ascii="Times New Roman"/>
                <w:sz w:val="21"/>
              </w:rPr>
            </w:pPr>
            <w:r>
              <w:rPr>
                <w:rFonts w:ascii="Times New Roman"/>
                <w:sz w:val="21"/>
              </w:rPr>
              <w:t>204</w:t>
            </w:r>
          </w:p>
        </w:tc>
        <w:tc>
          <w:tcPr>
            <w:tcW w:w="1400" w:type="dxa"/>
          </w:tcPr>
          <w:p>
            <w:pPr>
              <w:pStyle w:val="14"/>
              <w:spacing w:before="31"/>
              <w:ind w:right="271"/>
              <w:jc w:val="right"/>
              <w:rPr>
                <w:sz w:val="21"/>
              </w:rPr>
            </w:pPr>
            <w:r>
              <w:rPr>
                <w:w w:val="95"/>
                <w:sz w:val="21"/>
              </w:rPr>
              <w:t>采矿用地</w:t>
            </w:r>
          </w:p>
        </w:tc>
        <w:tc>
          <w:tcPr>
            <w:tcW w:w="1400" w:type="dxa"/>
          </w:tcPr>
          <w:p>
            <w:pPr>
              <w:pStyle w:val="14"/>
              <w:spacing w:before="45"/>
              <w:ind w:left="239" w:right="233"/>
              <w:rPr>
                <w:rFonts w:ascii="Times New Roman"/>
                <w:sz w:val="21"/>
              </w:rPr>
            </w:pPr>
            <w:r>
              <w:rPr>
                <w:rFonts w:ascii="Times New Roman"/>
                <w:sz w:val="21"/>
              </w:rPr>
              <w:t>2.9767</w:t>
            </w:r>
          </w:p>
        </w:tc>
        <w:tc>
          <w:tcPr>
            <w:tcW w:w="1148" w:type="dxa"/>
          </w:tcPr>
          <w:p>
            <w:pPr>
              <w:pStyle w:val="14"/>
              <w:spacing w:before="45"/>
              <w:ind w:right="274"/>
              <w:jc w:val="right"/>
              <w:rPr>
                <w:rFonts w:ascii="Times New Roman"/>
                <w:sz w:val="21"/>
              </w:rPr>
            </w:pPr>
            <w:r>
              <w:rPr>
                <w:rFonts w:ascii="Times New Roman"/>
                <w:w w:val="95"/>
                <w:sz w:val="21"/>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23" w:type="dxa"/>
            <w:vMerge w:val="continue"/>
            <w:tcBorders>
              <w:top w:val="nil"/>
            </w:tcBorders>
          </w:tcPr>
          <w:p>
            <w:pPr>
              <w:rPr>
                <w:sz w:val="2"/>
                <w:szCs w:val="2"/>
              </w:rPr>
            </w:pPr>
          </w:p>
        </w:tc>
        <w:tc>
          <w:tcPr>
            <w:tcW w:w="5347" w:type="dxa"/>
            <w:gridSpan w:val="4"/>
          </w:tcPr>
          <w:p>
            <w:pPr>
              <w:pStyle w:val="14"/>
              <w:spacing w:before="32"/>
              <w:ind w:left="2440" w:right="2437"/>
              <w:rPr>
                <w:sz w:val="21"/>
              </w:rPr>
            </w:pPr>
            <w:r>
              <w:rPr>
                <w:sz w:val="21"/>
              </w:rPr>
              <w:t>小计</w:t>
            </w:r>
          </w:p>
        </w:tc>
        <w:tc>
          <w:tcPr>
            <w:tcW w:w="1400" w:type="dxa"/>
          </w:tcPr>
          <w:p>
            <w:pPr>
              <w:pStyle w:val="14"/>
              <w:spacing w:before="46"/>
              <w:ind w:left="239" w:right="233"/>
              <w:rPr>
                <w:rFonts w:ascii="Times New Roman"/>
                <w:sz w:val="21"/>
              </w:rPr>
            </w:pPr>
            <w:r>
              <w:rPr>
                <w:rFonts w:ascii="Times New Roman"/>
                <w:sz w:val="21"/>
              </w:rPr>
              <w:t>2.9767</w:t>
            </w:r>
          </w:p>
        </w:tc>
        <w:tc>
          <w:tcPr>
            <w:tcW w:w="1148" w:type="dxa"/>
          </w:tcPr>
          <w:p>
            <w:pPr>
              <w:pStyle w:val="14"/>
              <w:spacing w:before="46"/>
              <w:ind w:left="370" w:right="360"/>
              <w:rPr>
                <w:rFonts w:ascii="Times New Roman"/>
                <w:sz w:val="21"/>
              </w:rPr>
            </w:pPr>
            <w:r>
              <w:rPr>
                <w:rFonts w:ascii="Times New Roman"/>
                <w:sz w:val="21"/>
              </w:rPr>
              <w:t>0.90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23" w:type="dxa"/>
            <w:vMerge w:val="restart"/>
          </w:tcPr>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spacing w:before="8"/>
              <w:jc w:val="left"/>
              <w:rPr>
                <w:b/>
                <w:sz w:val="20"/>
              </w:rPr>
            </w:pPr>
          </w:p>
          <w:p>
            <w:pPr>
              <w:pStyle w:val="14"/>
              <w:spacing w:line="204" w:lineRule="auto"/>
              <w:ind w:left="141" w:right="127"/>
              <w:jc w:val="both"/>
              <w:rPr>
                <w:sz w:val="22"/>
              </w:rPr>
            </w:pPr>
            <w:r>
              <w:rPr>
                <w:sz w:val="22"/>
              </w:rPr>
              <w:t>预测沉陷区</w:t>
            </w:r>
          </w:p>
        </w:tc>
        <w:tc>
          <w:tcPr>
            <w:tcW w:w="874" w:type="dxa"/>
          </w:tcPr>
          <w:p>
            <w:pPr>
              <w:pStyle w:val="14"/>
              <w:spacing w:before="74"/>
              <w:ind w:left="205" w:right="194"/>
              <w:rPr>
                <w:rFonts w:ascii="Times New Roman"/>
                <w:sz w:val="18"/>
              </w:rPr>
            </w:pPr>
            <w:r>
              <w:rPr>
                <w:rFonts w:ascii="Times New Roman"/>
                <w:sz w:val="18"/>
              </w:rPr>
              <w:t>01</w:t>
            </w:r>
          </w:p>
        </w:tc>
        <w:tc>
          <w:tcPr>
            <w:tcW w:w="2323" w:type="dxa"/>
          </w:tcPr>
          <w:p>
            <w:pPr>
              <w:pStyle w:val="14"/>
              <w:spacing w:before="62"/>
              <w:ind w:left="299" w:right="292"/>
              <w:rPr>
                <w:sz w:val="18"/>
              </w:rPr>
            </w:pPr>
            <w:r>
              <w:rPr>
                <w:sz w:val="18"/>
              </w:rPr>
              <w:t>耕地</w:t>
            </w:r>
          </w:p>
        </w:tc>
        <w:tc>
          <w:tcPr>
            <w:tcW w:w="750" w:type="dxa"/>
          </w:tcPr>
          <w:p>
            <w:pPr>
              <w:pStyle w:val="14"/>
              <w:spacing w:before="74"/>
              <w:ind w:left="238"/>
              <w:jc w:val="left"/>
              <w:rPr>
                <w:rFonts w:ascii="Times New Roman"/>
                <w:sz w:val="18"/>
              </w:rPr>
            </w:pPr>
            <w:r>
              <w:rPr>
                <w:rFonts w:ascii="Times New Roman"/>
                <w:sz w:val="18"/>
              </w:rPr>
              <w:t>013</w:t>
            </w:r>
          </w:p>
        </w:tc>
        <w:tc>
          <w:tcPr>
            <w:tcW w:w="1400" w:type="dxa"/>
          </w:tcPr>
          <w:p>
            <w:pPr>
              <w:pStyle w:val="14"/>
              <w:spacing w:before="62"/>
              <w:ind w:left="240" w:right="233"/>
              <w:rPr>
                <w:sz w:val="18"/>
              </w:rPr>
            </w:pPr>
            <w:r>
              <w:rPr>
                <w:sz w:val="18"/>
              </w:rPr>
              <w:t>旱地</w:t>
            </w:r>
          </w:p>
        </w:tc>
        <w:tc>
          <w:tcPr>
            <w:tcW w:w="1400" w:type="dxa"/>
          </w:tcPr>
          <w:p>
            <w:pPr>
              <w:pStyle w:val="14"/>
              <w:spacing w:before="46"/>
              <w:ind w:left="242" w:right="231"/>
              <w:rPr>
                <w:rFonts w:ascii="Times New Roman"/>
                <w:sz w:val="21"/>
              </w:rPr>
            </w:pPr>
            <w:r>
              <w:rPr>
                <w:rFonts w:ascii="Times New Roman"/>
                <w:sz w:val="21"/>
              </w:rPr>
              <w:t>55.9479</w:t>
            </w:r>
          </w:p>
        </w:tc>
        <w:tc>
          <w:tcPr>
            <w:tcW w:w="1148" w:type="dxa"/>
          </w:tcPr>
          <w:p>
            <w:pPr>
              <w:pStyle w:val="14"/>
              <w:spacing w:before="46"/>
              <w:ind w:right="324"/>
              <w:jc w:val="right"/>
              <w:rPr>
                <w:rFonts w:ascii="Times New Roman"/>
                <w:sz w:val="21"/>
              </w:rPr>
            </w:pPr>
            <w:r>
              <w:rPr>
                <w:rFonts w:ascii="Times New Roman"/>
                <w:sz w:val="21"/>
              </w:rPr>
              <w:t>17.06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23" w:type="dxa"/>
            <w:vMerge w:val="continue"/>
            <w:tcBorders>
              <w:top w:val="nil"/>
            </w:tcBorders>
          </w:tcPr>
          <w:p>
            <w:pPr>
              <w:rPr>
                <w:sz w:val="2"/>
                <w:szCs w:val="2"/>
              </w:rPr>
            </w:pPr>
          </w:p>
        </w:tc>
        <w:tc>
          <w:tcPr>
            <w:tcW w:w="874" w:type="dxa"/>
          </w:tcPr>
          <w:p>
            <w:pPr>
              <w:pStyle w:val="14"/>
              <w:spacing w:before="74"/>
              <w:ind w:left="205" w:right="194"/>
              <w:rPr>
                <w:rFonts w:ascii="Times New Roman"/>
                <w:sz w:val="18"/>
              </w:rPr>
            </w:pPr>
            <w:r>
              <w:rPr>
                <w:rFonts w:ascii="Times New Roman"/>
                <w:sz w:val="18"/>
              </w:rPr>
              <w:t>02</w:t>
            </w:r>
          </w:p>
        </w:tc>
        <w:tc>
          <w:tcPr>
            <w:tcW w:w="2323" w:type="dxa"/>
          </w:tcPr>
          <w:p>
            <w:pPr>
              <w:pStyle w:val="14"/>
              <w:spacing w:before="62"/>
              <w:ind w:left="299" w:right="292"/>
              <w:rPr>
                <w:sz w:val="18"/>
              </w:rPr>
            </w:pPr>
            <w:r>
              <w:rPr>
                <w:sz w:val="18"/>
              </w:rPr>
              <w:t>园地</w:t>
            </w:r>
          </w:p>
        </w:tc>
        <w:tc>
          <w:tcPr>
            <w:tcW w:w="750" w:type="dxa"/>
          </w:tcPr>
          <w:p>
            <w:pPr>
              <w:pStyle w:val="14"/>
              <w:spacing w:before="74"/>
              <w:ind w:left="238"/>
              <w:jc w:val="left"/>
              <w:rPr>
                <w:rFonts w:ascii="Times New Roman"/>
                <w:sz w:val="18"/>
              </w:rPr>
            </w:pPr>
            <w:r>
              <w:rPr>
                <w:rFonts w:ascii="Times New Roman"/>
                <w:sz w:val="18"/>
              </w:rPr>
              <w:t>023</w:t>
            </w:r>
          </w:p>
        </w:tc>
        <w:tc>
          <w:tcPr>
            <w:tcW w:w="1400" w:type="dxa"/>
          </w:tcPr>
          <w:p>
            <w:pPr>
              <w:pStyle w:val="14"/>
              <w:spacing w:before="62"/>
              <w:ind w:right="329"/>
              <w:jc w:val="right"/>
              <w:rPr>
                <w:sz w:val="18"/>
              </w:rPr>
            </w:pPr>
            <w:r>
              <w:rPr>
                <w:sz w:val="18"/>
              </w:rPr>
              <w:t>其他园地</w:t>
            </w:r>
          </w:p>
        </w:tc>
        <w:tc>
          <w:tcPr>
            <w:tcW w:w="1400" w:type="dxa"/>
          </w:tcPr>
          <w:p>
            <w:pPr>
              <w:pStyle w:val="14"/>
              <w:spacing w:before="46"/>
              <w:ind w:left="239" w:right="233"/>
              <w:rPr>
                <w:rFonts w:ascii="Times New Roman"/>
                <w:sz w:val="21"/>
              </w:rPr>
            </w:pPr>
            <w:r>
              <w:rPr>
                <w:rFonts w:ascii="Times New Roman"/>
                <w:sz w:val="21"/>
              </w:rPr>
              <w:t>1.1141</w:t>
            </w:r>
          </w:p>
        </w:tc>
        <w:tc>
          <w:tcPr>
            <w:tcW w:w="1148" w:type="dxa"/>
          </w:tcPr>
          <w:p>
            <w:pPr>
              <w:pStyle w:val="14"/>
              <w:spacing w:before="46"/>
              <w:ind w:left="370" w:right="360"/>
              <w:rPr>
                <w:rFonts w:ascii="Times New Roman"/>
                <w:sz w:val="21"/>
              </w:rPr>
            </w:pPr>
            <w:r>
              <w:rPr>
                <w:rFonts w:ascii="Times New Roman"/>
                <w:sz w:val="21"/>
              </w:rPr>
              <w:t>0.34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23" w:type="dxa"/>
            <w:vMerge w:val="continue"/>
            <w:tcBorders>
              <w:top w:val="nil"/>
            </w:tcBorders>
          </w:tcPr>
          <w:p>
            <w:pPr>
              <w:rPr>
                <w:sz w:val="2"/>
                <w:szCs w:val="2"/>
              </w:rPr>
            </w:pPr>
          </w:p>
        </w:tc>
        <w:tc>
          <w:tcPr>
            <w:tcW w:w="874" w:type="dxa"/>
          </w:tcPr>
          <w:p>
            <w:pPr>
              <w:pStyle w:val="14"/>
              <w:spacing w:before="75"/>
              <w:ind w:left="205" w:right="194"/>
              <w:rPr>
                <w:rFonts w:ascii="Times New Roman"/>
                <w:sz w:val="18"/>
              </w:rPr>
            </w:pPr>
            <w:r>
              <w:rPr>
                <w:rFonts w:ascii="Times New Roman"/>
                <w:sz w:val="18"/>
              </w:rPr>
              <w:t>03</w:t>
            </w:r>
          </w:p>
        </w:tc>
        <w:tc>
          <w:tcPr>
            <w:tcW w:w="2323" w:type="dxa"/>
          </w:tcPr>
          <w:p>
            <w:pPr>
              <w:pStyle w:val="14"/>
              <w:spacing w:before="63"/>
              <w:ind w:left="299" w:right="292"/>
              <w:rPr>
                <w:sz w:val="18"/>
              </w:rPr>
            </w:pPr>
            <w:r>
              <w:rPr>
                <w:sz w:val="18"/>
              </w:rPr>
              <w:t>林地</w:t>
            </w:r>
          </w:p>
        </w:tc>
        <w:tc>
          <w:tcPr>
            <w:tcW w:w="750" w:type="dxa"/>
          </w:tcPr>
          <w:p>
            <w:pPr>
              <w:pStyle w:val="14"/>
              <w:spacing w:before="75"/>
              <w:ind w:left="238"/>
              <w:jc w:val="left"/>
              <w:rPr>
                <w:rFonts w:ascii="Times New Roman"/>
                <w:sz w:val="18"/>
              </w:rPr>
            </w:pPr>
            <w:r>
              <w:rPr>
                <w:rFonts w:ascii="Times New Roman"/>
                <w:sz w:val="18"/>
              </w:rPr>
              <w:t>031</w:t>
            </w:r>
          </w:p>
        </w:tc>
        <w:tc>
          <w:tcPr>
            <w:tcW w:w="1400" w:type="dxa"/>
          </w:tcPr>
          <w:p>
            <w:pPr>
              <w:pStyle w:val="14"/>
              <w:spacing w:before="63"/>
              <w:ind w:left="429"/>
              <w:jc w:val="left"/>
              <w:rPr>
                <w:sz w:val="18"/>
              </w:rPr>
            </w:pPr>
            <w:r>
              <w:rPr>
                <w:sz w:val="18"/>
              </w:rPr>
              <w:t>有林地</w:t>
            </w:r>
          </w:p>
        </w:tc>
        <w:tc>
          <w:tcPr>
            <w:tcW w:w="1400" w:type="dxa"/>
          </w:tcPr>
          <w:p>
            <w:pPr>
              <w:pStyle w:val="14"/>
              <w:spacing w:before="47"/>
              <w:ind w:left="242" w:right="231"/>
              <w:rPr>
                <w:rFonts w:ascii="Times New Roman"/>
                <w:sz w:val="21"/>
              </w:rPr>
            </w:pPr>
            <w:r>
              <w:rPr>
                <w:rFonts w:ascii="Times New Roman"/>
                <w:sz w:val="21"/>
              </w:rPr>
              <w:t>226.7994</w:t>
            </w:r>
          </w:p>
        </w:tc>
        <w:tc>
          <w:tcPr>
            <w:tcW w:w="1148" w:type="dxa"/>
          </w:tcPr>
          <w:p>
            <w:pPr>
              <w:pStyle w:val="14"/>
              <w:spacing w:before="47"/>
              <w:ind w:right="324"/>
              <w:jc w:val="right"/>
              <w:rPr>
                <w:rFonts w:ascii="Times New Roman"/>
                <w:sz w:val="21"/>
              </w:rPr>
            </w:pPr>
            <w:r>
              <w:rPr>
                <w:rFonts w:ascii="Times New Roman"/>
                <w:sz w:val="21"/>
              </w:rPr>
              <w:t>69.16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23" w:type="dxa"/>
            <w:vMerge w:val="continue"/>
            <w:tcBorders>
              <w:top w:val="nil"/>
            </w:tcBorders>
          </w:tcPr>
          <w:p>
            <w:pPr>
              <w:rPr>
                <w:sz w:val="2"/>
                <w:szCs w:val="2"/>
              </w:rPr>
            </w:pPr>
          </w:p>
        </w:tc>
        <w:tc>
          <w:tcPr>
            <w:tcW w:w="874" w:type="dxa"/>
          </w:tcPr>
          <w:p>
            <w:pPr>
              <w:pStyle w:val="14"/>
              <w:spacing w:before="73"/>
              <w:ind w:left="205" w:right="194"/>
              <w:rPr>
                <w:rFonts w:ascii="Times New Roman"/>
                <w:sz w:val="18"/>
              </w:rPr>
            </w:pPr>
            <w:r>
              <w:rPr>
                <w:rFonts w:ascii="Times New Roman"/>
                <w:sz w:val="18"/>
              </w:rPr>
              <w:t>10</w:t>
            </w:r>
          </w:p>
        </w:tc>
        <w:tc>
          <w:tcPr>
            <w:tcW w:w="2323" w:type="dxa"/>
          </w:tcPr>
          <w:p>
            <w:pPr>
              <w:pStyle w:val="14"/>
              <w:spacing w:before="63"/>
              <w:ind w:left="299" w:right="292"/>
              <w:rPr>
                <w:sz w:val="18"/>
              </w:rPr>
            </w:pPr>
            <w:r>
              <w:rPr>
                <w:sz w:val="18"/>
              </w:rPr>
              <w:t>交通设施用地</w:t>
            </w:r>
          </w:p>
        </w:tc>
        <w:tc>
          <w:tcPr>
            <w:tcW w:w="750" w:type="dxa"/>
          </w:tcPr>
          <w:p>
            <w:pPr>
              <w:pStyle w:val="14"/>
              <w:spacing w:before="73"/>
              <w:ind w:left="238"/>
              <w:jc w:val="left"/>
              <w:rPr>
                <w:rFonts w:ascii="Times New Roman"/>
                <w:sz w:val="18"/>
              </w:rPr>
            </w:pPr>
            <w:r>
              <w:rPr>
                <w:rFonts w:ascii="Times New Roman"/>
                <w:sz w:val="18"/>
              </w:rPr>
              <w:t>104</w:t>
            </w:r>
          </w:p>
        </w:tc>
        <w:tc>
          <w:tcPr>
            <w:tcW w:w="1400" w:type="dxa"/>
          </w:tcPr>
          <w:p>
            <w:pPr>
              <w:pStyle w:val="14"/>
              <w:spacing w:before="63"/>
              <w:ind w:right="329"/>
              <w:jc w:val="right"/>
              <w:rPr>
                <w:sz w:val="18"/>
              </w:rPr>
            </w:pPr>
            <w:r>
              <w:rPr>
                <w:sz w:val="18"/>
              </w:rPr>
              <w:t>农村道路</w:t>
            </w:r>
          </w:p>
        </w:tc>
        <w:tc>
          <w:tcPr>
            <w:tcW w:w="1400" w:type="dxa"/>
          </w:tcPr>
          <w:p>
            <w:pPr>
              <w:pStyle w:val="14"/>
              <w:spacing w:before="45"/>
              <w:ind w:left="242" w:right="231"/>
              <w:rPr>
                <w:rFonts w:ascii="Times New Roman"/>
                <w:sz w:val="21"/>
              </w:rPr>
            </w:pPr>
            <w:r>
              <w:rPr>
                <w:rFonts w:ascii="Times New Roman"/>
                <w:sz w:val="21"/>
              </w:rPr>
              <w:t>10.9999</w:t>
            </w:r>
          </w:p>
        </w:tc>
        <w:tc>
          <w:tcPr>
            <w:tcW w:w="1148" w:type="dxa"/>
          </w:tcPr>
          <w:p>
            <w:pPr>
              <w:pStyle w:val="14"/>
              <w:spacing w:before="45"/>
              <w:ind w:left="370" w:right="360"/>
              <w:rPr>
                <w:rFonts w:ascii="Times New Roman"/>
                <w:sz w:val="21"/>
              </w:rPr>
            </w:pPr>
            <w:r>
              <w:rPr>
                <w:rFonts w:ascii="Times New Roman"/>
                <w:sz w:val="21"/>
              </w:rPr>
              <w:t>3.35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23" w:type="dxa"/>
            <w:vMerge w:val="continue"/>
            <w:tcBorders>
              <w:top w:val="nil"/>
            </w:tcBorders>
          </w:tcPr>
          <w:p>
            <w:pPr>
              <w:rPr>
                <w:sz w:val="2"/>
                <w:szCs w:val="2"/>
              </w:rPr>
            </w:pPr>
          </w:p>
        </w:tc>
        <w:tc>
          <w:tcPr>
            <w:tcW w:w="874" w:type="dxa"/>
          </w:tcPr>
          <w:p>
            <w:pPr>
              <w:pStyle w:val="14"/>
              <w:spacing w:before="73"/>
              <w:ind w:left="205" w:right="194"/>
              <w:rPr>
                <w:rFonts w:ascii="Times New Roman"/>
                <w:sz w:val="18"/>
              </w:rPr>
            </w:pPr>
            <w:r>
              <w:rPr>
                <w:rFonts w:ascii="Times New Roman"/>
                <w:sz w:val="18"/>
              </w:rPr>
              <w:t>11</w:t>
            </w:r>
          </w:p>
        </w:tc>
        <w:tc>
          <w:tcPr>
            <w:tcW w:w="2323" w:type="dxa"/>
          </w:tcPr>
          <w:p>
            <w:pPr>
              <w:pStyle w:val="14"/>
              <w:spacing w:before="64"/>
              <w:ind w:left="299" w:right="289"/>
              <w:rPr>
                <w:sz w:val="18"/>
              </w:rPr>
            </w:pPr>
            <w:r>
              <w:rPr>
                <w:sz w:val="18"/>
              </w:rPr>
              <w:t>水域及水利设施用地</w:t>
            </w:r>
          </w:p>
        </w:tc>
        <w:tc>
          <w:tcPr>
            <w:tcW w:w="750" w:type="dxa"/>
          </w:tcPr>
          <w:p>
            <w:pPr>
              <w:pStyle w:val="14"/>
              <w:spacing w:before="73"/>
              <w:ind w:left="238"/>
              <w:jc w:val="left"/>
              <w:rPr>
                <w:rFonts w:ascii="Times New Roman"/>
                <w:sz w:val="18"/>
              </w:rPr>
            </w:pPr>
            <w:r>
              <w:rPr>
                <w:rFonts w:ascii="Times New Roman"/>
                <w:sz w:val="18"/>
              </w:rPr>
              <w:t>111</w:t>
            </w:r>
          </w:p>
        </w:tc>
        <w:tc>
          <w:tcPr>
            <w:tcW w:w="1400" w:type="dxa"/>
          </w:tcPr>
          <w:p>
            <w:pPr>
              <w:pStyle w:val="14"/>
              <w:spacing w:before="64"/>
              <w:ind w:left="240" w:right="233"/>
              <w:rPr>
                <w:sz w:val="18"/>
              </w:rPr>
            </w:pPr>
            <w:r>
              <w:rPr>
                <w:sz w:val="18"/>
              </w:rPr>
              <w:t>河流</w:t>
            </w:r>
          </w:p>
        </w:tc>
        <w:tc>
          <w:tcPr>
            <w:tcW w:w="1400" w:type="dxa"/>
          </w:tcPr>
          <w:p>
            <w:pPr>
              <w:pStyle w:val="14"/>
              <w:spacing w:before="45"/>
              <w:ind w:left="239" w:right="233"/>
              <w:rPr>
                <w:rFonts w:ascii="Times New Roman"/>
                <w:sz w:val="21"/>
              </w:rPr>
            </w:pPr>
            <w:r>
              <w:rPr>
                <w:rFonts w:ascii="Times New Roman"/>
                <w:sz w:val="21"/>
              </w:rPr>
              <w:t>0.6426</w:t>
            </w:r>
          </w:p>
        </w:tc>
        <w:tc>
          <w:tcPr>
            <w:tcW w:w="1148" w:type="dxa"/>
          </w:tcPr>
          <w:p>
            <w:pPr>
              <w:pStyle w:val="14"/>
              <w:spacing w:before="45"/>
              <w:ind w:left="370" w:right="360"/>
              <w:rPr>
                <w:rFonts w:ascii="Times New Roman"/>
                <w:sz w:val="21"/>
              </w:rPr>
            </w:pPr>
            <w:r>
              <w:rPr>
                <w:rFonts w:ascii="Times New Roman"/>
                <w:sz w:val="21"/>
              </w:rPr>
              <w:t>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23" w:type="dxa"/>
            <w:vMerge w:val="continue"/>
            <w:tcBorders>
              <w:top w:val="nil"/>
            </w:tcBorders>
          </w:tcPr>
          <w:p>
            <w:pPr>
              <w:rPr>
                <w:sz w:val="2"/>
                <w:szCs w:val="2"/>
              </w:rPr>
            </w:pPr>
          </w:p>
        </w:tc>
        <w:tc>
          <w:tcPr>
            <w:tcW w:w="874" w:type="dxa"/>
          </w:tcPr>
          <w:p>
            <w:pPr>
              <w:pStyle w:val="14"/>
              <w:spacing w:before="74"/>
              <w:ind w:left="205" w:right="194"/>
              <w:rPr>
                <w:rFonts w:ascii="Times New Roman"/>
                <w:sz w:val="18"/>
              </w:rPr>
            </w:pPr>
            <w:r>
              <w:rPr>
                <w:rFonts w:ascii="Times New Roman"/>
                <w:sz w:val="18"/>
              </w:rPr>
              <w:t>11</w:t>
            </w:r>
          </w:p>
        </w:tc>
        <w:tc>
          <w:tcPr>
            <w:tcW w:w="2323" w:type="dxa"/>
          </w:tcPr>
          <w:p>
            <w:pPr>
              <w:pStyle w:val="14"/>
              <w:spacing w:before="62"/>
              <w:ind w:left="299" w:right="289"/>
              <w:rPr>
                <w:sz w:val="18"/>
              </w:rPr>
            </w:pPr>
            <w:r>
              <w:rPr>
                <w:sz w:val="18"/>
              </w:rPr>
              <w:t>水域及水利设施用地</w:t>
            </w:r>
          </w:p>
        </w:tc>
        <w:tc>
          <w:tcPr>
            <w:tcW w:w="750" w:type="dxa"/>
          </w:tcPr>
          <w:p>
            <w:pPr>
              <w:pStyle w:val="14"/>
              <w:spacing w:before="74"/>
              <w:ind w:left="238"/>
              <w:jc w:val="left"/>
              <w:rPr>
                <w:rFonts w:ascii="Times New Roman"/>
                <w:sz w:val="18"/>
              </w:rPr>
            </w:pPr>
            <w:r>
              <w:rPr>
                <w:rFonts w:ascii="Times New Roman"/>
                <w:sz w:val="18"/>
              </w:rPr>
              <w:t>114</w:t>
            </w:r>
          </w:p>
        </w:tc>
        <w:tc>
          <w:tcPr>
            <w:tcW w:w="1400" w:type="dxa"/>
          </w:tcPr>
          <w:p>
            <w:pPr>
              <w:pStyle w:val="14"/>
              <w:spacing w:before="62"/>
              <w:ind w:right="329"/>
              <w:jc w:val="right"/>
              <w:rPr>
                <w:sz w:val="18"/>
              </w:rPr>
            </w:pPr>
            <w:r>
              <w:rPr>
                <w:sz w:val="18"/>
              </w:rPr>
              <w:t>坑塘水面</w:t>
            </w:r>
          </w:p>
        </w:tc>
        <w:tc>
          <w:tcPr>
            <w:tcW w:w="1400" w:type="dxa"/>
          </w:tcPr>
          <w:p>
            <w:pPr>
              <w:pStyle w:val="14"/>
              <w:spacing w:before="46"/>
              <w:ind w:left="239" w:right="233"/>
              <w:rPr>
                <w:rFonts w:ascii="Times New Roman"/>
                <w:sz w:val="21"/>
              </w:rPr>
            </w:pPr>
            <w:r>
              <w:rPr>
                <w:rFonts w:ascii="Times New Roman"/>
                <w:sz w:val="21"/>
              </w:rPr>
              <w:t>7.4426</w:t>
            </w:r>
          </w:p>
        </w:tc>
        <w:tc>
          <w:tcPr>
            <w:tcW w:w="1148" w:type="dxa"/>
          </w:tcPr>
          <w:p>
            <w:pPr>
              <w:pStyle w:val="14"/>
              <w:spacing w:before="46"/>
              <w:ind w:left="370" w:right="360"/>
              <w:rPr>
                <w:rFonts w:ascii="Times New Roman"/>
                <w:sz w:val="21"/>
              </w:rPr>
            </w:pPr>
            <w:r>
              <w:rPr>
                <w:rFonts w:ascii="Times New Roman"/>
                <w:sz w:val="21"/>
              </w:rPr>
              <w:t>2.27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23" w:type="dxa"/>
            <w:vMerge w:val="continue"/>
            <w:tcBorders>
              <w:top w:val="nil"/>
            </w:tcBorders>
          </w:tcPr>
          <w:p>
            <w:pPr>
              <w:rPr>
                <w:sz w:val="2"/>
                <w:szCs w:val="2"/>
              </w:rPr>
            </w:pPr>
          </w:p>
        </w:tc>
        <w:tc>
          <w:tcPr>
            <w:tcW w:w="874" w:type="dxa"/>
          </w:tcPr>
          <w:p>
            <w:pPr>
              <w:pStyle w:val="14"/>
              <w:spacing w:before="74"/>
              <w:ind w:left="205" w:right="194"/>
              <w:rPr>
                <w:rFonts w:ascii="Times New Roman"/>
                <w:sz w:val="18"/>
              </w:rPr>
            </w:pPr>
            <w:r>
              <w:rPr>
                <w:rFonts w:ascii="Times New Roman"/>
                <w:sz w:val="18"/>
              </w:rPr>
              <w:t>12</w:t>
            </w:r>
          </w:p>
        </w:tc>
        <w:tc>
          <w:tcPr>
            <w:tcW w:w="2323" w:type="dxa"/>
          </w:tcPr>
          <w:p>
            <w:pPr>
              <w:pStyle w:val="14"/>
              <w:spacing w:before="62"/>
              <w:ind w:left="299" w:right="292"/>
              <w:rPr>
                <w:sz w:val="18"/>
              </w:rPr>
            </w:pPr>
            <w:r>
              <w:rPr>
                <w:sz w:val="18"/>
              </w:rPr>
              <w:t>其他土地</w:t>
            </w:r>
          </w:p>
        </w:tc>
        <w:tc>
          <w:tcPr>
            <w:tcW w:w="750" w:type="dxa"/>
          </w:tcPr>
          <w:p>
            <w:pPr>
              <w:pStyle w:val="14"/>
              <w:spacing w:before="74"/>
              <w:ind w:left="238"/>
              <w:jc w:val="left"/>
              <w:rPr>
                <w:rFonts w:ascii="Times New Roman"/>
                <w:sz w:val="18"/>
              </w:rPr>
            </w:pPr>
            <w:r>
              <w:rPr>
                <w:rFonts w:ascii="Times New Roman"/>
                <w:sz w:val="18"/>
              </w:rPr>
              <w:t>127</w:t>
            </w:r>
          </w:p>
        </w:tc>
        <w:tc>
          <w:tcPr>
            <w:tcW w:w="1400" w:type="dxa"/>
          </w:tcPr>
          <w:p>
            <w:pPr>
              <w:pStyle w:val="14"/>
              <w:spacing w:before="62"/>
              <w:ind w:left="240" w:right="233"/>
              <w:rPr>
                <w:sz w:val="18"/>
              </w:rPr>
            </w:pPr>
            <w:r>
              <w:rPr>
                <w:sz w:val="18"/>
              </w:rPr>
              <w:t>裸地</w:t>
            </w:r>
          </w:p>
        </w:tc>
        <w:tc>
          <w:tcPr>
            <w:tcW w:w="1400" w:type="dxa"/>
          </w:tcPr>
          <w:p>
            <w:pPr>
              <w:pStyle w:val="14"/>
              <w:spacing w:before="46"/>
              <w:ind w:left="239" w:right="233"/>
              <w:rPr>
                <w:rFonts w:ascii="Times New Roman"/>
                <w:sz w:val="21"/>
              </w:rPr>
            </w:pPr>
            <w:r>
              <w:rPr>
                <w:rFonts w:ascii="Times New Roman"/>
                <w:sz w:val="21"/>
              </w:rPr>
              <w:t>1.6841</w:t>
            </w:r>
          </w:p>
        </w:tc>
        <w:tc>
          <w:tcPr>
            <w:tcW w:w="1148" w:type="dxa"/>
          </w:tcPr>
          <w:p>
            <w:pPr>
              <w:pStyle w:val="14"/>
              <w:spacing w:before="46"/>
              <w:ind w:left="370" w:right="360"/>
              <w:rPr>
                <w:rFonts w:ascii="Times New Roman"/>
                <w:sz w:val="21"/>
              </w:rPr>
            </w:pPr>
            <w:r>
              <w:rPr>
                <w:rFonts w:ascii="Times New Roman"/>
                <w:sz w:val="21"/>
              </w:rPr>
              <w:t>0.51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23" w:type="dxa"/>
            <w:vMerge w:val="continue"/>
            <w:tcBorders>
              <w:top w:val="nil"/>
            </w:tcBorders>
          </w:tcPr>
          <w:p>
            <w:pPr>
              <w:rPr>
                <w:sz w:val="2"/>
                <w:szCs w:val="2"/>
              </w:rPr>
            </w:pPr>
          </w:p>
        </w:tc>
        <w:tc>
          <w:tcPr>
            <w:tcW w:w="874" w:type="dxa"/>
          </w:tcPr>
          <w:p>
            <w:pPr>
              <w:pStyle w:val="14"/>
              <w:spacing w:before="74"/>
              <w:ind w:left="205" w:right="194"/>
              <w:rPr>
                <w:rFonts w:ascii="Times New Roman"/>
                <w:sz w:val="18"/>
              </w:rPr>
            </w:pPr>
            <w:r>
              <w:rPr>
                <w:rFonts w:ascii="Times New Roman"/>
                <w:sz w:val="18"/>
              </w:rPr>
              <w:t>20</w:t>
            </w:r>
          </w:p>
        </w:tc>
        <w:tc>
          <w:tcPr>
            <w:tcW w:w="2323" w:type="dxa"/>
          </w:tcPr>
          <w:p>
            <w:pPr>
              <w:pStyle w:val="14"/>
              <w:spacing w:before="62"/>
              <w:ind w:left="299" w:right="292"/>
              <w:rPr>
                <w:sz w:val="18"/>
              </w:rPr>
            </w:pPr>
            <w:r>
              <w:rPr>
                <w:sz w:val="18"/>
              </w:rPr>
              <w:t>城镇村及工矿用地</w:t>
            </w:r>
          </w:p>
        </w:tc>
        <w:tc>
          <w:tcPr>
            <w:tcW w:w="750" w:type="dxa"/>
          </w:tcPr>
          <w:p>
            <w:pPr>
              <w:pStyle w:val="14"/>
              <w:spacing w:before="74"/>
              <w:ind w:left="238"/>
              <w:jc w:val="left"/>
              <w:rPr>
                <w:rFonts w:ascii="Times New Roman"/>
                <w:sz w:val="18"/>
              </w:rPr>
            </w:pPr>
            <w:r>
              <w:rPr>
                <w:rFonts w:ascii="Times New Roman"/>
                <w:sz w:val="18"/>
              </w:rPr>
              <w:t>203</w:t>
            </w:r>
          </w:p>
        </w:tc>
        <w:tc>
          <w:tcPr>
            <w:tcW w:w="1400" w:type="dxa"/>
          </w:tcPr>
          <w:p>
            <w:pPr>
              <w:pStyle w:val="14"/>
              <w:spacing w:before="62"/>
              <w:ind w:left="240" w:right="233"/>
              <w:rPr>
                <w:sz w:val="18"/>
              </w:rPr>
            </w:pPr>
            <w:r>
              <w:rPr>
                <w:sz w:val="18"/>
              </w:rPr>
              <w:t>村庄</w:t>
            </w:r>
          </w:p>
        </w:tc>
        <w:tc>
          <w:tcPr>
            <w:tcW w:w="1400" w:type="dxa"/>
          </w:tcPr>
          <w:p>
            <w:pPr>
              <w:pStyle w:val="14"/>
              <w:spacing w:before="46"/>
              <w:ind w:left="239" w:right="233"/>
              <w:rPr>
                <w:rFonts w:ascii="Times New Roman"/>
                <w:sz w:val="21"/>
              </w:rPr>
            </w:pPr>
            <w:r>
              <w:rPr>
                <w:rFonts w:ascii="Times New Roman"/>
                <w:sz w:val="21"/>
              </w:rPr>
              <w:t>4.1245</w:t>
            </w:r>
          </w:p>
        </w:tc>
        <w:tc>
          <w:tcPr>
            <w:tcW w:w="1148" w:type="dxa"/>
          </w:tcPr>
          <w:p>
            <w:pPr>
              <w:pStyle w:val="14"/>
              <w:spacing w:before="46"/>
              <w:ind w:left="370" w:right="360"/>
              <w:rPr>
                <w:rFonts w:ascii="Times New Roman"/>
                <w:sz w:val="21"/>
              </w:rPr>
            </w:pPr>
            <w:r>
              <w:rPr>
                <w:rFonts w:ascii="Times New Roman"/>
                <w:sz w:val="21"/>
              </w:rPr>
              <w:t>1.26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23" w:type="dxa"/>
            <w:vMerge w:val="continue"/>
            <w:tcBorders>
              <w:top w:val="nil"/>
            </w:tcBorders>
          </w:tcPr>
          <w:p>
            <w:pPr>
              <w:rPr>
                <w:sz w:val="2"/>
                <w:szCs w:val="2"/>
              </w:rPr>
            </w:pPr>
          </w:p>
        </w:tc>
        <w:tc>
          <w:tcPr>
            <w:tcW w:w="874" w:type="dxa"/>
          </w:tcPr>
          <w:p>
            <w:pPr>
              <w:pStyle w:val="14"/>
              <w:spacing w:before="75"/>
              <w:ind w:left="205" w:right="194"/>
              <w:rPr>
                <w:rFonts w:ascii="Times New Roman"/>
                <w:sz w:val="18"/>
              </w:rPr>
            </w:pPr>
            <w:r>
              <w:rPr>
                <w:rFonts w:ascii="Times New Roman"/>
                <w:sz w:val="18"/>
              </w:rPr>
              <w:t>20</w:t>
            </w:r>
          </w:p>
        </w:tc>
        <w:tc>
          <w:tcPr>
            <w:tcW w:w="2323" w:type="dxa"/>
          </w:tcPr>
          <w:p>
            <w:pPr>
              <w:pStyle w:val="14"/>
              <w:spacing w:before="63"/>
              <w:ind w:left="299" w:right="292"/>
              <w:rPr>
                <w:sz w:val="18"/>
              </w:rPr>
            </w:pPr>
            <w:r>
              <w:rPr>
                <w:sz w:val="18"/>
              </w:rPr>
              <w:t>城镇村及工矿用地</w:t>
            </w:r>
          </w:p>
        </w:tc>
        <w:tc>
          <w:tcPr>
            <w:tcW w:w="750" w:type="dxa"/>
          </w:tcPr>
          <w:p>
            <w:pPr>
              <w:pStyle w:val="14"/>
              <w:spacing w:before="75"/>
              <w:ind w:left="238"/>
              <w:jc w:val="left"/>
              <w:rPr>
                <w:rFonts w:ascii="Times New Roman"/>
                <w:sz w:val="18"/>
              </w:rPr>
            </w:pPr>
            <w:r>
              <w:rPr>
                <w:rFonts w:ascii="Times New Roman"/>
                <w:sz w:val="18"/>
              </w:rPr>
              <w:t>204</w:t>
            </w:r>
          </w:p>
        </w:tc>
        <w:tc>
          <w:tcPr>
            <w:tcW w:w="1400" w:type="dxa"/>
          </w:tcPr>
          <w:p>
            <w:pPr>
              <w:pStyle w:val="14"/>
              <w:spacing w:before="63"/>
              <w:ind w:right="329"/>
              <w:jc w:val="right"/>
              <w:rPr>
                <w:sz w:val="18"/>
              </w:rPr>
            </w:pPr>
            <w:r>
              <w:rPr>
                <w:sz w:val="18"/>
              </w:rPr>
              <w:t>采矿用地</w:t>
            </w:r>
          </w:p>
        </w:tc>
        <w:tc>
          <w:tcPr>
            <w:tcW w:w="1400" w:type="dxa"/>
          </w:tcPr>
          <w:p>
            <w:pPr>
              <w:pStyle w:val="14"/>
              <w:spacing w:before="47"/>
              <w:ind w:left="239" w:right="233"/>
              <w:rPr>
                <w:rFonts w:ascii="Times New Roman"/>
                <w:sz w:val="21"/>
              </w:rPr>
            </w:pPr>
            <w:r>
              <w:rPr>
                <w:rFonts w:ascii="Times New Roman"/>
                <w:sz w:val="21"/>
              </w:rPr>
              <w:t>19.166</w:t>
            </w:r>
          </w:p>
        </w:tc>
        <w:tc>
          <w:tcPr>
            <w:tcW w:w="1148" w:type="dxa"/>
          </w:tcPr>
          <w:p>
            <w:pPr>
              <w:pStyle w:val="14"/>
              <w:spacing w:before="47"/>
              <w:ind w:left="370" w:right="360"/>
              <w:rPr>
                <w:rFonts w:ascii="Times New Roman"/>
                <w:sz w:val="21"/>
              </w:rPr>
            </w:pPr>
            <w:r>
              <w:rPr>
                <w:rFonts w:ascii="Times New Roman"/>
                <w:sz w:val="21"/>
              </w:rPr>
              <w:t>5.84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23" w:type="dxa"/>
            <w:vMerge w:val="continue"/>
            <w:tcBorders>
              <w:top w:val="nil"/>
            </w:tcBorders>
          </w:tcPr>
          <w:p>
            <w:pPr>
              <w:rPr>
                <w:sz w:val="2"/>
                <w:szCs w:val="2"/>
              </w:rPr>
            </w:pPr>
          </w:p>
        </w:tc>
        <w:tc>
          <w:tcPr>
            <w:tcW w:w="5347" w:type="dxa"/>
            <w:gridSpan w:val="4"/>
          </w:tcPr>
          <w:p>
            <w:pPr>
              <w:pStyle w:val="14"/>
              <w:spacing w:before="31"/>
              <w:ind w:left="2440" w:right="2437"/>
              <w:rPr>
                <w:sz w:val="21"/>
              </w:rPr>
            </w:pPr>
            <w:r>
              <w:rPr>
                <w:sz w:val="21"/>
              </w:rPr>
              <w:t>小计</w:t>
            </w:r>
          </w:p>
        </w:tc>
        <w:tc>
          <w:tcPr>
            <w:tcW w:w="1400" w:type="dxa"/>
          </w:tcPr>
          <w:p>
            <w:pPr>
              <w:pStyle w:val="14"/>
              <w:spacing w:before="45"/>
              <w:ind w:left="242" w:right="231"/>
              <w:rPr>
                <w:rFonts w:ascii="Times New Roman"/>
                <w:sz w:val="21"/>
              </w:rPr>
            </w:pPr>
            <w:r>
              <w:rPr>
                <w:rFonts w:ascii="Times New Roman"/>
                <w:sz w:val="21"/>
              </w:rPr>
              <w:t>327.9211</w:t>
            </w:r>
          </w:p>
        </w:tc>
        <w:tc>
          <w:tcPr>
            <w:tcW w:w="1148" w:type="dxa"/>
          </w:tcPr>
          <w:p>
            <w:pPr>
              <w:pStyle w:val="14"/>
              <w:spacing w:before="45"/>
              <w:ind w:right="324"/>
              <w:jc w:val="right"/>
              <w:rPr>
                <w:rFonts w:ascii="Times New Roman"/>
                <w:sz w:val="21"/>
              </w:rPr>
            </w:pPr>
            <w:r>
              <w:rPr>
                <w:rFonts w:ascii="Times New Roman"/>
                <w:sz w:val="21"/>
              </w:rPr>
              <w:t>99.10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70" w:type="dxa"/>
            <w:gridSpan w:val="5"/>
          </w:tcPr>
          <w:p>
            <w:pPr>
              <w:pStyle w:val="14"/>
              <w:spacing w:before="31"/>
              <w:ind w:left="2803" w:right="2797"/>
              <w:rPr>
                <w:sz w:val="21"/>
              </w:rPr>
            </w:pPr>
            <w:r>
              <w:rPr>
                <w:sz w:val="21"/>
              </w:rPr>
              <w:t>合计</w:t>
            </w:r>
          </w:p>
        </w:tc>
        <w:tc>
          <w:tcPr>
            <w:tcW w:w="1400" w:type="dxa"/>
          </w:tcPr>
          <w:p>
            <w:pPr>
              <w:pStyle w:val="14"/>
              <w:spacing w:before="45"/>
              <w:ind w:left="242" w:right="231"/>
              <w:rPr>
                <w:rFonts w:ascii="Times New Roman"/>
                <w:sz w:val="21"/>
              </w:rPr>
            </w:pPr>
            <w:r>
              <w:rPr>
                <w:rFonts w:ascii="Times New Roman"/>
                <w:sz w:val="21"/>
              </w:rPr>
              <w:t>330.8978</w:t>
            </w:r>
          </w:p>
        </w:tc>
        <w:tc>
          <w:tcPr>
            <w:tcW w:w="1148" w:type="dxa"/>
          </w:tcPr>
          <w:p>
            <w:pPr>
              <w:pStyle w:val="14"/>
              <w:spacing w:before="45"/>
              <w:ind w:right="274"/>
              <w:jc w:val="right"/>
              <w:rPr>
                <w:rFonts w:ascii="Times New Roman"/>
                <w:sz w:val="21"/>
              </w:rPr>
            </w:pPr>
            <w:r>
              <w:rPr>
                <w:rFonts w:ascii="Times New Roman"/>
                <w:w w:val="95"/>
                <w:sz w:val="21"/>
              </w:rPr>
              <w:t>100.00</w:t>
            </w:r>
          </w:p>
        </w:tc>
      </w:tr>
    </w:tbl>
    <w:p>
      <w:pPr>
        <w:pStyle w:val="6"/>
        <w:spacing w:before="81"/>
        <w:ind w:left="1031"/>
      </w:pPr>
      <w:r>
        <w:t>（</w:t>
      </w:r>
      <w:r>
        <w:rPr>
          <w:rFonts w:ascii="Times New Roman" w:eastAsia="Times New Roman"/>
        </w:rPr>
        <w:t>2</w:t>
      </w:r>
      <w:r>
        <w:t>）复垦责任范围</w:t>
      </w:r>
    </w:p>
    <w:p>
      <w:pPr>
        <w:pStyle w:val="6"/>
        <w:spacing w:before="161" w:line="364" w:lineRule="auto"/>
        <w:ind w:left="551" w:right="853" w:firstLine="480"/>
      </w:pPr>
      <w:r>
        <w:rPr>
          <w:spacing w:val="-2"/>
        </w:rPr>
        <w:t xml:space="preserve">通过土地损毁预测，矿区范围沉降沉陷最大程度为 </w:t>
      </w:r>
      <w:r>
        <w:rPr>
          <w:rFonts w:ascii="Times New Roman" w:eastAsia="Times New Roman"/>
        </w:rPr>
        <w:t>1.89m</w:t>
      </w:r>
      <w:r>
        <w:t>，为轻度损毁，不</w:t>
      </w:r>
      <w:r>
        <w:rPr>
          <w:spacing w:val="-11"/>
        </w:rPr>
        <w:t>列为复垦责任范围。工业广场损毁表现为压占，本项目复垦责任范围为工业广场。</w:t>
      </w:r>
    </w:p>
    <w:p>
      <w:pPr>
        <w:pStyle w:val="6"/>
        <w:spacing w:before="1" w:line="364" w:lineRule="auto"/>
        <w:ind w:left="551" w:right="853" w:firstLine="480"/>
      </w:pPr>
      <w:r>
        <w:rPr>
          <w:spacing w:val="-7"/>
        </w:rPr>
        <w:t xml:space="preserve">复垦责任范围为复垦区中已损毁和拟损毁土地，已损毁土地为工业场地压占， </w:t>
      </w:r>
      <w:r>
        <w:t>拟损毁土地为地面沉陷损毁土地，因双鸭山大顺矿业有限公司的最大塌陷深度为</w:t>
      </w:r>
      <w:r>
        <w:rPr>
          <w:rFonts w:ascii="Times New Roman" w:eastAsia="Times New Roman"/>
        </w:rPr>
        <w:t>1.89m</w:t>
      </w:r>
      <w:r>
        <w:t>，由于地面沉陷是一个缓慢沉降的过程，且具有不确定性和未知性，矿区所处地貌单元丘陵区域，地表有一定的起伏，且矿山开采暂未发现大程度的地面沉陷现象、由于农民在连年耕种的同时逐年进行土地平整等措施现状也没有发现地裂缝现象，并且预测地面塌陷对项目区土地损毁程度为轻度，即使发生塌陷， 也不会影响区域排水，地表耕地的耕作和林木的生长，因此，此方案不将预测塌陷区作为复垦责任范围，只进行矿山环境恢复治理，不计入土地复垦责任范围范围。本方案只对工业场地损毁的土地进行复垦，即复垦责任范围为工业广场。其土地利用现状见下表：</w:t>
      </w:r>
    </w:p>
    <w:p>
      <w:pPr>
        <w:pStyle w:val="5"/>
        <w:tabs>
          <w:tab w:val="left" w:pos="2152"/>
        </w:tabs>
        <w:spacing w:after="3" w:line="234" w:lineRule="exact"/>
        <w:ind w:left="1113"/>
      </w:pPr>
      <w:r>
        <w:t>表</w:t>
      </w:r>
      <w:r>
        <w:rPr>
          <w:spacing w:val="-62"/>
        </w:rPr>
        <w:t xml:space="preserve"> </w:t>
      </w:r>
      <w:r>
        <w:rPr>
          <w:rFonts w:ascii="Times New Roman" w:eastAsia="Times New Roman"/>
        </w:rPr>
        <w:t>5.5-3</w:t>
      </w:r>
      <w:r>
        <w:rPr>
          <w:rFonts w:ascii="Times New Roman" w:eastAsia="Times New Roman"/>
        </w:rPr>
        <w:tab/>
      </w:r>
      <w:r>
        <w:t>双鸭山大顺矿业有限公司土地复垦责任范围土地利用现状表</w:t>
      </w:r>
    </w:p>
    <w:tbl>
      <w:tblPr>
        <w:tblStyle w:val="10"/>
        <w:tblW w:w="0" w:type="auto"/>
        <w:tblInd w:w="4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9"/>
        <w:gridCol w:w="674"/>
        <w:gridCol w:w="2118"/>
        <w:gridCol w:w="1036"/>
        <w:gridCol w:w="1300"/>
        <w:gridCol w:w="1131"/>
        <w:gridCol w:w="10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99" w:type="dxa"/>
            <w:vMerge w:val="restart"/>
          </w:tcPr>
          <w:p>
            <w:pPr>
              <w:pStyle w:val="14"/>
              <w:spacing w:before="3"/>
              <w:jc w:val="left"/>
              <w:rPr>
                <w:b/>
                <w:sz w:val="14"/>
              </w:rPr>
            </w:pPr>
          </w:p>
          <w:p>
            <w:pPr>
              <w:pStyle w:val="14"/>
              <w:ind w:left="311" w:right="305"/>
              <w:rPr>
                <w:sz w:val="21"/>
              </w:rPr>
            </w:pPr>
            <w:r>
              <w:rPr>
                <w:sz w:val="21"/>
              </w:rPr>
              <w:t>区域</w:t>
            </w:r>
          </w:p>
        </w:tc>
        <w:tc>
          <w:tcPr>
            <w:tcW w:w="2792" w:type="dxa"/>
            <w:gridSpan w:val="2"/>
          </w:tcPr>
          <w:p>
            <w:pPr>
              <w:pStyle w:val="14"/>
              <w:spacing w:before="22"/>
              <w:ind w:left="954" w:right="947"/>
              <w:rPr>
                <w:sz w:val="21"/>
              </w:rPr>
            </w:pPr>
            <w:r>
              <w:rPr>
                <w:sz w:val="21"/>
              </w:rPr>
              <w:t>一级地类</w:t>
            </w:r>
          </w:p>
        </w:tc>
        <w:tc>
          <w:tcPr>
            <w:tcW w:w="2336" w:type="dxa"/>
            <w:gridSpan w:val="2"/>
          </w:tcPr>
          <w:p>
            <w:pPr>
              <w:pStyle w:val="14"/>
              <w:spacing w:before="22"/>
              <w:ind w:left="747"/>
              <w:jc w:val="left"/>
              <w:rPr>
                <w:sz w:val="21"/>
              </w:rPr>
            </w:pPr>
            <w:r>
              <w:rPr>
                <w:sz w:val="21"/>
              </w:rPr>
              <w:t>二级地类</w:t>
            </w:r>
          </w:p>
        </w:tc>
        <w:tc>
          <w:tcPr>
            <w:tcW w:w="1131" w:type="dxa"/>
            <w:vMerge w:val="restart"/>
          </w:tcPr>
          <w:p>
            <w:pPr>
              <w:pStyle w:val="14"/>
              <w:spacing w:before="26"/>
              <w:ind w:left="355"/>
              <w:jc w:val="left"/>
              <w:rPr>
                <w:sz w:val="21"/>
              </w:rPr>
            </w:pPr>
            <w:r>
              <w:rPr>
                <w:sz w:val="21"/>
              </w:rPr>
              <w:t>面积</w:t>
            </w:r>
          </w:p>
          <w:p>
            <w:pPr>
              <w:pStyle w:val="14"/>
              <w:spacing w:before="43"/>
              <w:ind w:left="285"/>
              <w:jc w:val="left"/>
              <w:rPr>
                <w:rFonts w:ascii="Times New Roman" w:eastAsia="Times New Roman"/>
                <w:sz w:val="21"/>
              </w:rPr>
            </w:pPr>
            <w:r>
              <w:rPr>
                <w:rFonts w:ascii="Times New Roman" w:eastAsia="Times New Roman"/>
                <w:sz w:val="21"/>
              </w:rPr>
              <w:t>(</w:t>
            </w:r>
            <w:r>
              <w:rPr>
                <w:sz w:val="21"/>
              </w:rPr>
              <w:t>公顷</w:t>
            </w:r>
            <w:r>
              <w:rPr>
                <w:rFonts w:ascii="Times New Roman" w:eastAsia="Times New Roman"/>
                <w:sz w:val="21"/>
              </w:rPr>
              <w:t>)</w:t>
            </w:r>
          </w:p>
        </w:tc>
        <w:tc>
          <w:tcPr>
            <w:tcW w:w="1060" w:type="dxa"/>
            <w:vMerge w:val="restart"/>
          </w:tcPr>
          <w:p>
            <w:pPr>
              <w:pStyle w:val="14"/>
              <w:spacing w:before="26"/>
              <w:ind w:left="215"/>
              <w:jc w:val="left"/>
              <w:rPr>
                <w:sz w:val="21"/>
              </w:rPr>
            </w:pPr>
            <w:r>
              <w:rPr>
                <w:w w:val="95"/>
                <w:sz w:val="21"/>
              </w:rPr>
              <w:t>百分比</w:t>
            </w:r>
          </w:p>
          <w:p>
            <w:pPr>
              <w:pStyle w:val="14"/>
              <w:spacing w:before="43"/>
              <w:ind w:left="232"/>
              <w:jc w:val="left"/>
              <w:rPr>
                <w:sz w:val="21"/>
              </w:rPr>
            </w:pPr>
            <w:r>
              <w:rPr>
                <w:sz w:val="21"/>
              </w:rPr>
              <w:t>（</w:t>
            </w:r>
            <w:r>
              <w:rPr>
                <w:rFonts w:ascii="Times New Roman" w:eastAsia="Times New Roman"/>
                <w:sz w:val="21"/>
              </w:rPr>
              <w:t>%</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99" w:type="dxa"/>
            <w:vMerge w:val="continue"/>
            <w:tcBorders>
              <w:top w:val="nil"/>
            </w:tcBorders>
          </w:tcPr>
          <w:p>
            <w:pPr>
              <w:rPr>
                <w:sz w:val="2"/>
                <w:szCs w:val="2"/>
              </w:rPr>
            </w:pPr>
          </w:p>
        </w:tc>
        <w:tc>
          <w:tcPr>
            <w:tcW w:w="674" w:type="dxa"/>
          </w:tcPr>
          <w:p>
            <w:pPr>
              <w:pStyle w:val="14"/>
              <w:spacing w:before="21"/>
              <w:ind w:left="105" w:right="99"/>
              <w:rPr>
                <w:sz w:val="21"/>
              </w:rPr>
            </w:pPr>
            <w:r>
              <w:rPr>
                <w:sz w:val="21"/>
              </w:rPr>
              <w:t>编码</w:t>
            </w:r>
          </w:p>
        </w:tc>
        <w:tc>
          <w:tcPr>
            <w:tcW w:w="2118" w:type="dxa"/>
          </w:tcPr>
          <w:p>
            <w:pPr>
              <w:pStyle w:val="14"/>
              <w:spacing w:before="21"/>
              <w:ind w:left="196" w:right="188"/>
              <w:rPr>
                <w:sz w:val="21"/>
              </w:rPr>
            </w:pPr>
            <w:r>
              <w:rPr>
                <w:sz w:val="21"/>
              </w:rPr>
              <w:t>名称</w:t>
            </w:r>
          </w:p>
        </w:tc>
        <w:tc>
          <w:tcPr>
            <w:tcW w:w="1036" w:type="dxa"/>
          </w:tcPr>
          <w:p>
            <w:pPr>
              <w:pStyle w:val="14"/>
              <w:spacing w:before="21"/>
              <w:ind w:left="307"/>
              <w:jc w:val="left"/>
              <w:rPr>
                <w:sz w:val="21"/>
              </w:rPr>
            </w:pPr>
            <w:r>
              <w:rPr>
                <w:sz w:val="21"/>
              </w:rPr>
              <w:t>编码</w:t>
            </w:r>
          </w:p>
        </w:tc>
        <w:tc>
          <w:tcPr>
            <w:tcW w:w="1300" w:type="dxa"/>
          </w:tcPr>
          <w:p>
            <w:pPr>
              <w:pStyle w:val="14"/>
              <w:spacing w:before="21"/>
              <w:ind w:left="208" w:right="199"/>
              <w:rPr>
                <w:sz w:val="21"/>
              </w:rPr>
            </w:pPr>
            <w:r>
              <w:rPr>
                <w:sz w:val="21"/>
              </w:rPr>
              <w:t>名称</w:t>
            </w:r>
          </w:p>
        </w:tc>
        <w:tc>
          <w:tcPr>
            <w:tcW w:w="1131" w:type="dxa"/>
            <w:vMerge w:val="continue"/>
            <w:tcBorders>
              <w:top w:val="nil"/>
            </w:tcBorders>
          </w:tcPr>
          <w:p>
            <w:pPr>
              <w:rPr>
                <w:sz w:val="2"/>
                <w:szCs w:val="2"/>
              </w:rPr>
            </w:pPr>
          </w:p>
        </w:tc>
        <w:tc>
          <w:tcPr>
            <w:tcW w:w="106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99" w:type="dxa"/>
            <w:vMerge w:val="restart"/>
          </w:tcPr>
          <w:p>
            <w:pPr>
              <w:pStyle w:val="14"/>
              <w:spacing w:before="2"/>
              <w:jc w:val="left"/>
              <w:rPr>
                <w:b/>
                <w:sz w:val="14"/>
              </w:rPr>
            </w:pPr>
          </w:p>
          <w:p>
            <w:pPr>
              <w:pStyle w:val="14"/>
              <w:ind w:left="227"/>
              <w:jc w:val="left"/>
              <w:rPr>
                <w:sz w:val="21"/>
              </w:rPr>
            </w:pPr>
            <w:r>
              <w:rPr>
                <w:sz w:val="21"/>
              </w:rPr>
              <w:t>工业广场</w:t>
            </w:r>
          </w:p>
        </w:tc>
        <w:tc>
          <w:tcPr>
            <w:tcW w:w="674" w:type="dxa"/>
          </w:tcPr>
          <w:p>
            <w:pPr>
              <w:pStyle w:val="14"/>
              <w:spacing w:before="35"/>
              <w:ind w:left="105" w:right="95"/>
              <w:rPr>
                <w:rFonts w:ascii="Times New Roman"/>
                <w:sz w:val="21"/>
              </w:rPr>
            </w:pPr>
            <w:r>
              <w:rPr>
                <w:rFonts w:ascii="Times New Roman"/>
                <w:sz w:val="21"/>
              </w:rPr>
              <w:t>20</w:t>
            </w:r>
          </w:p>
        </w:tc>
        <w:tc>
          <w:tcPr>
            <w:tcW w:w="2118" w:type="dxa"/>
          </w:tcPr>
          <w:p>
            <w:pPr>
              <w:pStyle w:val="14"/>
              <w:spacing w:before="21"/>
              <w:ind w:left="196" w:right="191"/>
              <w:rPr>
                <w:sz w:val="21"/>
              </w:rPr>
            </w:pPr>
            <w:r>
              <w:rPr>
                <w:sz w:val="21"/>
              </w:rPr>
              <w:t>城镇村及工矿用地</w:t>
            </w:r>
          </w:p>
        </w:tc>
        <w:tc>
          <w:tcPr>
            <w:tcW w:w="1036" w:type="dxa"/>
          </w:tcPr>
          <w:p>
            <w:pPr>
              <w:pStyle w:val="14"/>
              <w:spacing w:before="35"/>
              <w:ind w:left="360"/>
              <w:jc w:val="left"/>
              <w:rPr>
                <w:rFonts w:ascii="Times New Roman"/>
                <w:sz w:val="21"/>
              </w:rPr>
            </w:pPr>
            <w:r>
              <w:rPr>
                <w:rFonts w:ascii="Times New Roman"/>
                <w:sz w:val="21"/>
              </w:rPr>
              <w:t>204</w:t>
            </w:r>
          </w:p>
        </w:tc>
        <w:tc>
          <w:tcPr>
            <w:tcW w:w="1300" w:type="dxa"/>
          </w:tcPr>
          <w:p>
            <w:pPr>
              <w:pStyle w:val="14"/>
              <w:spacing w:before="21"/>
              <w:ind w:left="208" w:right="202"/>
              <w:rPr>
                <w:sz w:val="21"/>
              </w:rPr>
            </w:pPr>
            <w:r>
              <w:rPr>
                <w:sz w:val="21"/>
              </w:rPr>
              <w:t>采矿用地</w:t>
            </w:r>
          </w:p>
        </w:tc>
        <w:tc>
          <w:tcPr>
            <w:tcW w:w="1131" w:type="dxa"/>
          </w:tcPr>
          <w:p>
            <w:pPr>
              <w:pStyle w:val="14"/>
              <w:spacing w:before="35"/>
              <w:ind w:left="255" w:right="247"/>
              <w:rPr>
                <w:rFonts w:ascii="Times New Roman"/>
                <w:sz w:val="21"/>
              </w:rPr>
            </w:pPr>
            <w:r>
              <w:rPr>
                <w:rFonts w:ascii="Times New Roman"/>
                <w:sz w:val="21"/>
              </w:rPr>
              <w:t>2.9767</w:t>
            </w:r>
          </w:p>
        </w:tc>
        <w:tc>
          <w:tcPr>
            <w:tcW w:w="1060" w:type="dxa"/>
          </w:tcPr>
          <w:p>
            <w:pPr>
              <w:pStyle w:val="14"/>
              <w:spacing w:before="35"/>
              <w:ind w:left="221" w:right="211"/>
              <w:rPr>
                <w:rFonts w:ascii="Times New Roman"/>
                <w:sz w:val="21"/>
              </w:rPr>
            </w:pPr>
            <w:r>
              <w:rPr>
                <w:rFonts w:ascii="Times New Roman"/>
                <w:sz w:val="21"/>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99" w:type="dxa"/>
            <w:vMerge w:val="continue"/>
            <w:tcBorders>
              <w:top w:val="nil"/>
            </w:tcBorders>
          </w:tcPr>
          <w:p>
            <w:pPr>
              <w:rPr>
                <w:sz w:val="2"/>
                <w:szCs w:val="2"/>
              </w:rPr>
            </w:pPr>
          </w:p>
        </w:tc>
        <w:tc>
          <w:tcPr>
            <w:tcW w:w="5128" w:type="dxa"/>
            <w:gridSpan w:val="4"/>
          </w:tcPr>
          <w:p>
            <w:pPr>
              <w:pStyle w:val="14"/>
              <w:spacing w:before="21"/>
              <w:ind w:left="2332" w:right="2326"/>
              <w:rPr>
                <w:sz w:val="21"/>
              </w:rPr>
            </w:pPr>
            <w:r>
              <w:rPr>
                <w:sz w:val="21"/>
              </w:rPr>
              <w:t>小计</w:t>
            </w:r>
          </w:p>
        </w:tc>
        <w:tc>
          <w:tcPr>
            <w:tcW w:w="1131" w:type="dxa"/>
          </w:tcPr>
          <w:p>
            <w:pPr>
              <w:pStyle w:val="14"/>
              <w:spacing w:before="34"/>
              <w:ind w:left="255" w:right="247"/>
              <w:rPr>
                <w:rFonts w:ascii="Times New Roman"/>
                <w:sz w:val="21"/>
              </w:rPr>
            </w:pPr>
            <w:r>
              <w:rPr>
                <w:rFonts w:ascii="Times New Roman"/>
                <w:sz w:val="21"/>
              </w:rPr>
              <w:t>2.9767</w:t>
            </w:r>
          </w:p>
        </w:tc>
        <w:tc>
          <w:tcPr>
            <w:tcW w:w="1060" w:type="dxa"/>
          </w:tcPr>
          <w:p>
            <w:pPr>
              <w:pStyle w:val="14"/>
              <w:spacing w:before="34"/>
              <w:ind w:left="221" w:right="211"/>
              <w:rPr>
                <w:rFonts w:ascii="Times New Roman"/>
                <w:sz w:val="21"/>
              </w:rPr>
            </w:pPr>
            <w:r>
              <w:rPr>
                <w:rFonts w:ascii="Times New Roman"/>
                <w:sz w:val="21"/>
              </w:rPr>
              <w:t>100.00</w:t>
            </w:r>
          </w:p>
        </w:tc>
      </w:tr>
    </w:tbl>
    <w:p>
      <w:pPr>
        <w:spacing w:after="0"/>
        <w:rPr>
          <w:rFonts w:ascii="Times New Roman"/>
          <w:sz w:val="21"/>
        </w:rPr>
        <w:sectPr>
          <w:footerReference r:id="rId18" w:type="default"/>
          <w:pgSz w:w="11910" w:h="16840"/>
          <w:pgMar w:top="1460" w:right="780" w:bottom="1180" w:left="1200" w:header="0" w:footer="997" w:gutter="0"/>
          <w:pgNumType w:start="93"/>
        </w:sectPr>
      </w:pPr>
    </w:p>
    <w:p>
      <w:pPr>
        <w:pStyle w:val="6"/>
        <w:spacing w:before="45"/>
        <w:ind w:left="1031"/>
      </w:pPr>
      <w:r>
        <w:t>复垦责任范围坐标见下表：</w:t>
      </w:r>
    </w:p>
    <w:p>
      <w:pPr>
        <w:pStyle w:val="5"/>
        <w:tabs>
          <w:tab w:val="left" w:pos="1041"/>
        </w:tabs>
        <w:spacing w:before="5"/>
        <w:ind w:right="398"/>
        <w:jc w:val="center"/>
      </w:pPr>
      <w:r>
        <w:t>表</w:t>
      </w:r>
      <w:r>
        <w:rPr>
          <w:spacing w:val="-62"/>
        </w:rPr>
        <w:t xml:space="preserve"> </w:t>
      </w:r>
      <w:r>
        <w:rPr>
          <w:rFonts w:ascii="Times New Roman" w:eastAsia="Times New Roman"/>
        </w:rPr>
        <w:t>5.5-4</w:t>
      </w:r>
      <w:r>
        <w:rPr>
          <w:rFonts w:ascii="Times New Roman" w:eastAsia="Times New Roman"/>
        </w:rPr>
        <w:tab/>
      </w:r>
      <w:r>
        <w:t>复垦责任范围坐标一览表（</w:t>
      </w:r>
      <w:r>
        <w:rPr>
          <w:rFonts w:ascii="Times New Roman" w:eastAsia="Times New Roman"/>
        </w:rPr>
        <w:t xml:space="preserve">2000 </w:t>
      </w:r>
      <w:r>
        <w:t>国家坐标系，三度带）</w:t>
      </w:r>
    </w:p>
    <w:tbl>
      <w:tblPr>
        <w:tblStyle w:val="10"/>
        <w:tblW w:w="0" w:type="auto"/>
        <w:tblInd w:w="4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8"/>
        <w:gridCol w:w="1721"/>
        <w:gridCol w:w="1762"/>
        <w:gridCol w:w="820"/>
        <w:gridCol w:w="1718"/>
        <w:gridCol w:w="17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8" w:type="dxa"/>
          </w:tcPr>
          <w:p>
            <w:pPr>
              <w:pStyle w:val="14"/>
              <w:spacing w:before="21"/>
              <w:ind w:left="182" w:right="175"/>
              <w:rPr>
                <w:sz w:val="21"/>
              </w:rPr>
            </w:pPr>
            <w:r>
              <w:rPr>
                <w:sz w:val="21"/>
              </w:rPr>
              <w:t>点号</w:t>
            </w:r>
          </w:p>
        </w:tc>
        <w:tc>
          <w:tcPr>
            <w:tcW w:w="1721" w:type="dxa"/>
          </w:tcPr>
          <w:p>
            <w:pPr>
              <w:pStyle w:val="14"/>
              <w:spacing w:before="35"/>
              <w:ind w:left="28"/>
              <w:rPr>
                <w:rFonts w:ascii="Times New Roman"/>
                <w:sz w:val="21"/>
              </w:rPr>
            </w:pPr>
            <w:r>
              <w:rPr>
                <w:rFonts w:ascii="Times New Roman"/>
                <w:w w:val="99"/>
                <w:sz w:val="21"/>
              </w:rPr>
              <w:t>X</w:t>
            </w:r>
          </w:p>
        </w:tc>
        <w:tc>
          <w:tcPr>
            <w:tcW w:w="1762" w:type="dxa"/>
          </w:tcPr>
          <w:p>
            <w:pPr>
              <w:pStyle w:val="14"/>
              <w:spacing w:before="35"/>
              <w:ind w:left="30"/>
              <w:rPr>
                <w:rFonts w:ascii="Times New Roman"/>
                <w:sz w:val="21"/>
              </w:rPr>
            </w:pPr>
            <w:r>
              <w:rPr>
                <w:rFonts w:ascii="Times New Roman"/>
                <w:w w:val="99"/>
                <w:sz w:val="21"/>
              </w:rPr>
              <w:t>Y</w:t>
            </w:r>
          </w:p>
        </w:tc>
        <w:tc>
          <w:tcPr>
            <w:tcW w:w="820" w:type="dxa"/>
          </w:tcPr>
          <w:p>
            <w:pPr>
              <w:pStyle w:val="14"/>
              <w:spacing w:before="21"/>
              <w:ind w:left="179" w:right="170"/>
              <w:rPr>
                <w:sz w:val="21"/>
              </w:rPr>
            </w:pPr>
            <w:r>
              <w:rPr>
                <w:sz w:val="21"/>
              </w:rPr>
              <w:t>点号</w:t>
            </w:r>
          </w:p>
        </w:tc>
        <w:tc>
          <w:tcPr>
            <w:tcW w:w="1718" w:type="dxa"/>
          </w:tcPr>
          <w:p>
            <w:pPr>
              <w:pStyle w:val="14"/>
              <w:spacing w:before="35"/>
              <w:ind w:left="36"/>
              <w:rPr>
                <w:rFonts w:ascii="Times New Roman"/>
                <w:sz w:val="21"/>
              </w:rPr>
            </w:pPr>
            <w:r>
              <w:rPr>
                <w:rFonts w:ascii="Times New Roman"/>
                <w:w w:val="99"/>
                <w:sz w:val="21"/>
              </w:rPr>
              <w:t>X</w:t>
            </w:r>
          </w:p>
        </w:tc>
        <w:tc>
          <w:tcPr>
            <w:tcW w:w="1769" w:type="dxa"/>
          </w:tcPr>
          <w:p>
            <w:pPr>
              <w:pStyle w:val="14"/>
              <w:spacing w:before="35"/>
              <w:ind w:left="34"/>
              <w:rPr>
                <w:rFonts w:ascii="Times New Roman"/>
                <w:sz w:val="21"/>
              </w:rPr>
            </w:pPr>
            <w:r>
              <w:rPr>
                <w:rFonts w:ascii="Times New Roman"/>
                <w:w w:val="99"/>
                <w:sz w:val="21"/>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8" w:type="dxa"/>
          </w:tcPr>
          <w:p>
            <w:pPr>
              <w:pStyle w:val="14"/>
              <w:spacing w:before="34"/>
              <w:ind w:left="6"/>
              <w:rPr>
                <w:rFonts w:ascii="Times New Roman"/>
                <w:sz w:val="21"/>
              </w:rPr>
            </w:pPr>
            <w:r>
              <w:rPr>
                <w:rFonts w:ascii="Times New Roman"/>
                <w:w w:val="99"/>
                <w:sz w:val="21"/>
              </w:rPr>
              <w:t>1</w:t>
            </w:r>
          </w:p>
        </w:tc>
        <w:tc>
          <w:tcPr>
            <w:tcW w:w="1721" w:type="dxa"/>
          </w:tcPr>
          <w:p>
            <w:pPr>
              <w:pStyle w:val="14"/>
              <w:spacing w:before="34"/>
              <w:ind w:left="340" w:right="330"/>
              <w:rPr>
                <w:rFonts w:ascii="Times New Roman"/>
                <w:sz w:val="21"/>
              </w:rPr>
            </w:pPr>
            <w:r>
              <w:rPr>
                <w:rFonts w:ascii="Times New Roman"/>
                <w:sz w:val="21"/>
              </w:rPr>
              <w:t>5152249.58</w:t>
            </w:r>
          </w:p>
        </w:tc>
        <w:tc>
          <w:tcPr>
            <w:tcW w:w="1762" w:type="dxa"/>
          </w:tcPr>
          <w:p>
            <w:pPr>
              <w:pStyle w:val="14"/>
              <w:spacing w:before="34"/>
              <w:ind w:left="310" w:right="298"/>
              <w:rPr>
                <w:rFonts w:ascii="Times New Roman"/>
                <w:sz w:val="21"/>
              </w:rPr>
            </w:pPr>
            <w:r>
              <w:rPr>
                <w:rFonts w:ascii="Times New Roman"/>
                <w:sz w:val="21"/>
              </w:rPr>
              <w:t>44436666.66</w:t>
            </w:r>
          </w:p>
        </w:tc>
        <w:tc>
          <w:tcPr>
            <w:tcW w:w="820" w:type="dxa"/>
          </w:tcPr>
          <w:p>
            <w:pPr>
              <w:pStyle w:val="14"/>
              <w:spacing w:before="34"/>
              <w:ind w:left="8"/>
              <w:rPr>
                <w:rFonts w:ascii="Times New Roman"/>
                <w:sz w:val="21"/>
              </w:rPr>
            </w:pPr>
            <w:r>
              <w:rPr>
                <w:rFonts w:ascii="Times New Roman"/>
                <w:w w:val="99"/>
                <w:sz w:val="21"/>
              </w:rPr>
              <w:t>6</w:t>
            </w:r>
          </w:p>
        </w:tc>
        <w:tc>
          <w:tcPr>
            <w:tcW w:w="1718" w:type="dxa"/>
          </w:tcPr>
          <w:p>
            <w:pPr>
              <w:pStyle w:val="14"/>
              <w:spacing w:before="34"/>
              <w:ind w:left="338" w:right="329"/>
              <w:rPr>
                <w:rFonts w:ascii="Times New Roman"/>
                <w:sz w:val="21"/>
              </w:rPr>
            </w:pPr>
            <w:r>
              <w:rPr>
                <w:rFonts w:ascii="Times New Roman"/>
                <w:sz w:val="21"/>
              </w:rPr>
              <w:t>5152071.86</w:t>
            </w:r>
          </w:p>
        </w:tc>
        <w:tc>
          <w:tcPr>
            <w:tcW w:w="1769" w:type="dxa"/>
          </w:tcPr>
          <w:p>
            <w:pPr>
              <w:pStyle w:val="14"/>
              <w:spacing w:before="34"/>
              <w:ind w:left="311" w:right="300"/>
              <w:rPr>
                <w:rFonts w:ascii="Times New Roman"/>
                <w:sz w:val="21"/>
              </w:rPr>
            </w:pPr>
            <w:r>
              <w:rPr>
                <w:rFonts w:ascii="Times New Roman"/>
                <w:sz w:val="21"/>
              </w:rPr>
              <w:t>44436518.11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8" w:type="dxa"/>
          </w:tcPr>
          <w:p>
            <w:pPr>
              <w:pStyle w:val="14"/>
              <w:spacing w:before="34"/>
              <w:ind w:left="6"/>
              <w:rPr>
                <w:rFonts w:ascii="Times New Roman"/>
                <w:sz w:val="21"/>
              </w:rPr>
            </w:pPr>
            <w:r>
              <w:rPr>
                <w:rFonts w:ascii="Times New Roman"/>
                <w:w w:val="99"/>
                <w:sz w:val="21"/>
              </w:rPr>
              <w:t>2</w:t>
            </w:r>
          </w:p>
        </w:tc>
        <w:tc>
          <w:tcPr>
            <w:tcW w:w="1721" w:type="dxa"/>
          </w:tcPr>
          <w:p>
            <w:pPr>
              <w:pStyle w:val="14"/>
              <w:spacing w:before="34"/>
              <w:ind w:left="340" w:right="330"/>
              <w:rPr>
                <w:rFonts w:ascii="Times New Roman"/>
                <w:sz w:val="21"/>
              </w:rPr>
            </w:pPr>
            <w:r>
              <w:rPr>
                <w:rFonts w:ascii="Times New Roman"/>
                <w:sz w:val="21"/>
              </w:rPr>
              <w:t>5152278.11</w:t>
            </w:r>
          </w:p>
        </w:tc>
        <w:tc>
          <w:tcPr>
            <w:tcW w:w="1762" w:type="dxa"/>
          </w:tcPr>
          <w:p>
            <w:pPr>
              <w:pStyle w:val="14"/>
              <w:spacing w:before="34"/>
              <w:ind w:left="310" w:right="298"/>
              <w:rPr>
                <w:rFonts w:ascii="Times New Roman"/>
                <w:sz w:val="21"/>
              </w:rPr>
            </w:pPr>
            <w:r>
              <w:rPr>
                <w:rFonts w:ascii="Times New Roman"/>
                <w:sz w:val="21"/>
              </w:rPr>
              <w:t>44436566.66</w:t>
            </w:r>
          </w:p>
        </w:tc>
        <w:tc>
          <w:tcPr>
            <w:tcW w:w="820" w:type="dxa"/>
          </w:tcPr>
          <w:p>
            <w:pPr>
              <w:pStyle w:val="14"/>
              <w:spacing w:before="34"/>
              <w:ind w:left="8"/>
              <w:rPr>
                <w:rFonts w:ascii="Times New Roman"/>
                <w:sz w:val="21"/>
              </w:rPr>
            </w:pPr>
            <w:r>
              <w:rPr>
                <w:rFonts w:ascii="Times New Roman"/>
                <w:w w:val="99"/>
                <w:sz w:val="21"/>
              </w:rPr>
              <w:t>7</w:t>
            </w:r>
          </w:p>
        </w:tc>
        <w:tc>
          <w:tcPr>
            <w:tcW w:w="1718" w:type="dxa"/>
          </w:tcPr>
          <w:p>
            <w:pPr>
              <w:pStyle w:val="14"/>
              <w:spacing w:before="34"/>
              <w:ind w:left="338" w:right="329"/>
              <w:rPr>
                <w:rFonts w:ascii="Times New Roman"/>
                <w:sz w:val="21"/>
              </w:rPr>
            </w:pPr>
            <w:r>
              <w:rPr>
                <w:rFonts w:ascii="Times New Roman"/>
                <w:sz w:val="21"/>
              </w:rPr>
              <w:t>5152005.02</w:t>
            </w:r>
          </w:p>
        </w:tc>
        <w:tc>
          <w:tcPr>
            <w:tcW w:w="1769" w:type="dxa"/>
          </w:tcPr>
          <w:p>
            <w:pPr>
              <w:pStyle w:val="14"/>
              <w:spacing w:before="34"/>
              <w:ind w:left="309" w:right="302"/>
              <w:rPr>
                <w:rFonts w:ascii="Times New Roman"/>
                <w:sz w:val="21"/>
              </w:rPr>
            </w:pPr>
            <w:r>
              <w:rPr>
                <w:rFonts w:ascii="Times New Roman"/>
                <w:sz w:val="21"/>
              </w:rPr>
              <w:t>44436614.00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8" w:type="dxa"/>
          </w:tcPr>
          <w:p>
            <w:pPr>
              <w:pStyle w:val="14"/>
              <w:spacing w:before="34"/>
              <w:ind w:left="6"/>
              <w:rPr>
                <w:rFonts w:ascii="Times New Roman"/>
                <w:sz w:val="21"/>
              </w:rPr>
            </w:pPr>
            <w:r>
              <w:rPr>
                <w:rFonts w:ascii="Times New Roman"/>
                <w:w w:val="99"/>
                <w:sz w:val="21"/>
              </w:rPr>
              <w:t>3</w:t>
            </w:r>
          </w:p>
        </w:tc>
        <w:tc>
          <w:tcPr>
            <w:tcW w:w="1721" w:type="dxa"/>
          </w:tcPr>
          <w:p>
            <w:pPr>
              <w:pStyle w:val="14"/>
              <w:spacing w:before="34"/>
              <w:ind w:left="340" w:right="330"/>
              <w:rPr>
                <w:rFonts w:ascii="Times New Roman"/>
                <w:sz w:val="21"/>
              </w:rPr>
            </w:pPr>
            <w:r>
              <w:rPr>
                <w:rFonts w:ascii="Times New Roman"/>
                <w:sz w:val="21"/>
              </w:rPr>
              <w:t>5152161.52</w:t>
            </w:r>
          </w:p>
        </w:tc>
        <w:tc>
          <w:tcPr>
            <w:tcW w:w="1762" w:type="dxa"/>
          </w:tcPr>
          <w:p>
            <w:pPr>
              <w:pStyle w:val="14"/>
              <w:spacing w:before="34"/>
              <w:ind w:left="310" w:right="298"/>
              <w:rPr>
                <w:rFonts w:ascii="Times New Roman"/>
                <w:sz w:val="21"/>
              </w:rPr>
            </w:pPr>
            <w:r>
              <w:rPr>
                <w:rFonts w:ascii="Times New Roman"/>
                <w:sz w:val="21"/>
              </w:rPr>
              <w:t>44436528.47</w:t>
            </w:r>
          </w:p>
        </w:tc>
        <w:tc>
          <w:tcPr>
            <w:tcW w:w="820" w:type="dxa"/>
          </w:tcPr>
          <w:p>
            <w:pPr>
              <w:pStyle w:val="14"/>
              <w:spacing w:before="34"/>
              <w:ind w:left="8"/>
              <w:rPr>
                <w:rFonts w:ascii="Times New Roman"/>
                <w:sz w:val="21"/>
              </w:rPr>
            </w:pPr>
            <w:r>
              <w:rPr>
                <w:rFonts w:ascii="Times New Roman"/>
                <w:w w:val="99"/>
                <w:sz w:val="21"/>
              </w:rPr>
              <w:t>8</w:t>
            </w:r>
          </w:p>
        </w:tc>
        <w:tc>
          <w:tcPr>
            <w:tcW w:w="1718" w:type="dxa"/>
          </w:tcPr>
          <w:p>
            <w:pPr>
              <w:pStyle w:val="14"/>
              <w:spacing w:before="34"/>
              <w:ind w:left="339" w:right="328"/>
              <w:rPr>
                <w:rFonts w:ascii="Times New Roman"/>
                <w:sz w:val="21"/>
              </w:rPr>
            </w:pPr>
            <w:r>
              <w:rPr>
                <w:rFonts w:ascii="Times New Roman"/>
                <w:sz w:val="21"/>
              </w:rPr>
              <w:t>5152011.94</w:t>
            </w:r>
          </w:p>
        </w:tc>
        <w:tc>
          <w:tcPr>
            <w:tcW w:w="1769" w:type="dxa"/>
          </w:tcPr>
          <w:p>
            <w:pPr>
              <w:pStyle w:val="14"/>
              <w:spacing w:before="34"/>
              <w:ind w:left="309" w:right="302"/>
              <w:rPr>
                <w:rFonts w:ascii="Times New Roman"/>
                <w:sz w:val="21"/>
              </w:rPr>
            </w:pPr>
            <w:r>
              <w:rPr>
                <w:rFonts w:ascii="Times New Roman"/>
                <w:sz w:val="21"/>
              </w:rPr>
              <w:t>44436648.76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28" w:type="dxa"/>
          </w:tcPr>
          <w:p>
            <w:pPr>
              <w:pStyle w:val="14"/>
              <w:spacing w:before="36"/>
              <w:ind w:left="6"/>
              <w:rPr>
                <w:rFonts w:ascii="Times New Roman"/>
                <w:sz w:val="21"/>
              </w:rPr>
            </w:pPr>
            <w:r>
              <w:rPr>
                <w:rFonts w:ascii="Times New Roman"/>
                <w:w w:val="99"/>
                <w:sz w:val="21"/>
              </w:rPr>
              <w:t>4</w:t>
            </w:r>
          </w:p>
        </w:tc>
        <w:tc>
          <w:tcPr>
            <w:tcW w:w="1721" w:type="dxa"/>
          </w:tcPr>
          <w:p>
            <w:pPr>
              <w:pStyle w:val="14"/>
              <w:spacing w:before="36"/>
              <w:ind w:left="339" w:right="331"/>
              <w:rPr>
                <w:rFonts w:ascii="Times New Roman"/>
                <w:sz w:val="21"/>
              </w:rPr>
            </w:pPr>
            <w:r>
              <w:rPr>
                <w:rFonts w:ascii="Times New Roman"/>
                <w:sz w:val="21"/>
              </w:rPr>
              <w:t>5152116.73</w:t>
            </w:r>
          </w:p>
        </w:tc>
        <w:tc>
          <w:tcPr>
            <w:tcW w:w="1762" w:type="dxa"/>
          </w:tcPr>
          <w:p>
            <w:pPr>
              <w:pStyle w:val="14"/>
              <w:spacing w:before="36"/>
              <w:ind w:left="310" w:right="298"/>
              <w:rPr>
                <w:rFonts w:ascii="Times New Roman"/>
                <w:sz w:val="21"/>
              </w:rPr>
            </w:pPr>
            <w:r>
              <w:rPr>
                <w:rFonts w:ascii="Times New Roman"/>
                <w:sz w:val="21"/>
              </w:rPr>
              <w:t>44436520.48</w:t>
            </w:r>
          </w:p>
        </w:tc>
        <w:tc>
          <w:tcPr>
            <w:tcW w:w="820" w:type="dxa"/>
          </w:tcPr>
          <w:p>
            <w:pPr>
              <w:pStyle w:val="14"/>
              <w:spacing w:before="36"/>
              <w:ind w:left="8"/>
              <w:rPr>
                <w:rFonts w:ascii="Times New Roman"/>
                <w:sz w:val="21"/>
              </w:rPr>
            </w:pPr>
            <w:r>
              <w:rPr>
                <w:rFonts w:ascii="Times New Roman"/>
                <w:w w:val="99"/>
                <w:sz w:val="21"/>
              </w:rPr>
              <w:t>9</w:t>
            </w:r>
          </w:p>
        </w:tc>
        <w:tc>
          <w:tcPr>
            <w:tcW w:w="1718" w:type="dxa"/>
          </w:tcPr>
          <w:p>
            <w:pPr>
              <w:pStyle w:val="14"/>
              <w:spacing w:before="36"/>
              <w:ind w:left="338" w:right="329"/>
              <w:rPr>
                <w:rFonts w:ascii="Times New Roman"/>
                <w:sz w:val="21"/>
              </w:rPr>
            </w:pPr>
            <w:r>
              <w:rPr>
                <w:rFonts w:ascii="Times New Roman"/>
                <w:sz w:val="21"/>
              </w:rPr>
              <w:t>5152137.95</w:t>
            </w:r>
          </w:p>
        </w:tc>
        <w:tc>
          <w:tcPr>
            <w:tcW w:w="1769" w:type="dxa"/>
          </w:tcPr>
          <w:p>
            <w:pPr>
              <w:pStyle w:val="14"/>
              <w:spacing w:before="36"/>
              <w:ind w:left="309" w:right="302"/>
              <w:rPr>
                <w:rFonts w:ascii="Times New Roman"/>
                <w:sz w:val="21"/>
              </w:rPr>
            </w:pPr>
            <w:r>
              <w:rPr>
                <w:rFonts w:ascii="Times New Roman"/>
                <w:sz w:val="21"/>
              </w:rPr>
              <w:t>44436670.35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8" w:type="dxa"/>
          </w:tcPr>
          <w:p>
            <w:pPr>
              <w:pStyle w:val="14"/>
              <w:spacing w:before="35"/>
              <w:ind w:left="6"/>
              <w:rPr>
                <w:rFonts w:ascii="Times New Roman"/>
                <w:sz w:val="21"/>
              </w:rPr>
            </w:pPr>
            <w:r>
              <w:rPr>
                <w:rFonts w:ascii="Times New Roman"/>
                <w:w w:val="99"/>
                <w:sz w:val="21"/>
              </w:rPr>
              <w:t>5</w:t>
            </w:r>
          </w:p>
        </w:tc>
        <w:tc>
          <w:tcPr>
            <w:tcW w:w="1721" w:type="dxa"/>
          </w:tcPr>
          <w:p>
            <w:pPr>
              <w:pStyle w:val="14"/>
              <w:spacing w:before="35"/>
              <w:ind w:left="339" w:right="331"/>
              <w:rPr>
                <w:rFonts w:ascii="Times New Roman"/>
                <w:sz w:val="21"/>
              </w:rPr>
            </w:pPr>
            <w:r>
              <w:rPr>
                <w:rFonts w:ascii="Times New Roman"/>
                <w:sz w:val="21"/>
              </w:rPr>
              <w:t>5152114.72</w:t>
            </w:r>
          </w:p>
        </w:tc>
        <w:tc>
          <w:tcPr>
            <w:tcW w:w="1762" w:type="dxa"/>
          </w:tcPr>
          <w:p>
            <w:pPr>
              <w:pStyle w:val="14"/>
              <w:spacing w:before="35"/>
              <w:ind w:left="310" w:right="298"/>
              <w:rPr>
                <w:rFonts w:ascii="Times New Roman"/>
                <w:sz w:val="21"/>
              </w:rPr>
            </w:pPr>
            <w:r>
              <w:rPr>
                <w:rFonts w:ascii="Times New Roman"/>
                <w:sz w:val="21"/>
              </w:rPr>
              <w:t>44436528.88</w:t>
            </w:r>
          </w:p>
        </w:tc>
        <w:tc>
          <w:tcPr>
            <w:tcW w:w="820" w:type="dxa"/>
          </w:tcPr>
          <w:p>
            <w:pPr>
              <w:pStyle w:val="14"/>
              <w:spacing w:before="35"/>
              <w:ind w:left="178" w:right="170"/>
              <w:rPr>
                <w:rFonts w:ascii="Times New Roman"/>
                <w:sz w:val="21"/>
              </w:rPr>
            </w:pPr>
            <w:r>
              <w:rPr>
                <w:rFonts w:ascii="Times New Roman"/>
                <w:sz w:val="21"/>
              </w:rPr>
              <w:t>10</w:t>
            </w:r>
          </w:p>
        </w:tc>
        <w:tc>
          <w:tcPr>
            <w:tcW w:w="1718" w:type="dxa"/>
          </w:tcPr>
          <w:p>
            <w:pPr>
              <w:pStyle w:val="14"/>
              <w:spacing w:before="35"/>
              <w:ind w:left="338" w:right="329"/>
              <w:rPr>
                <w:rFonts w:ascii="Times New Roman"/>
                <w:sz w:val="21"/>
              </w:rPr>
            </w:pPr>
            <w:r>
              <w:rPr>
                <w:rFonts w:ascii="Times New Roman"/>
                <w:sz w:val="21"/>
              </w:rPr>
              <w:t>5152154.01</w:t>
            </w:r>
          </w:p>
        </w:tc>
        <w:tc>
          <w:tcPr>
            <w:tcW w:w="1769" w:type="dxa"/>
          </w:tcPr>
          <w:p>
            <w:pPr>
              <w:pStyle w:val="14"/>
              <w:spacing w:before="35"/>
              <w:ind w:left="309" w:right="302"/>
              <w:rPr>
                <w:rFonts w:ascii="Times New Roman"/>
                <w:sz w:val="21"/>
              </w:rPr>
            </w:pPr>
            <w:r>
              <w:rPr>
                <w:rFonts w:ascii="Times New Roman"/>
                <w:sz w:val="21"/>
              </w:rPr>
              <w:t>44436646.99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618" w:type="dxa"/>
            <w:gridSpan w:val="6"/>
          </w:tcPr>
          <w:p>
            <w:pPr>
              <w:pStyle w:val="14"/>
              <w:spacing w:before="21"/>
              <w:ind w:left="2924" w:right="2914"/>
              <w:rPr>
                <w:sz w:val="21"/>
              </w:rPr>
            </w:pPr>
            <w:r>
              <w:rPr>
                <w:sz w:val="21"/>
              </w:rPr>
              <w:t>工业广场面积：</w:t>
            </w:r>
            <w:r>
              <w:rPr>
                <w:rFonts w:ascii="Times New Roman" w:eastAsia="Times New Roman"/>
                <w:sz w:val="21"/>
              </w:rPr>
              <w:t xml:space="preserve">2.9767 </w:t>
            </w:r>
            <w:r>
              <w:rPr>
                <w:sz w:val="21"/>
              </w:rPr>
              <w:t>公顷。</w:t>
            </w:r>
          </w:p>
        </w:tc>
      </w:tr>
    </w:tbl>
    <w:p>
      <w:pPr>
        <w:pStyle w:val="13"/>
        <w:numPr>
          <w:ilvl w:val="3"/>
          <w:numId w:val="42"/>
        </w:numPr>
        <w:tabs>
          <w:tab w:val="left" w:pos="1332"/>
        </w:tabs>
        <w:spacing w:before="82" w:after="0" w:line="240" w:lineRule="auto"/>
        <w:ind w:left="1332" w:right="0" w:hanging="781"/>
        <w:jc w:val="both"/>
        <w:rPr>
          <w:b/>
          <w:sz w:val="24"/>
        </w:rPr>
      </w:pPr>
      <w:r>
        <w:rPr>
          <w:b/>
          <w:sz w:val="24"/>
        </w:rPr>
        <w:t>土地复垦、生态综合整治方案</w:t>
      </w:r>
    </w:p>
    <w:p>
      <w:pPr>
        <w:pStyle w:val="6"/>
        <w:spacing w:before="160" w:line="364" w:lineRule="auto"/>
        <w:ind w:left="551" w:right="969" w:firstLine="480"/>
        <w:jc w:val="both"/>
      </w:pPr>
      <w:r>
        <w:t>结合本矿实际，坚持</w:t>
      </w:r>
      <w:r>
        <w:rPr>
          <w:rFonts w:ascii="Times New Roman" w:hAnsi="Times New Roman" w:eastAsia="Times New Roman"/>
        </w:rPr>
        <w:t>“</w:t>
      </w:r>
      <w:r>
        <w:t>以人为本</w:t>
      </w:r>
      <w:r>
        <w:rPr>
          <w:rFonts w:ascii="Times New Roman" w:hAnsi="Times New Roman" w:eastAsia="Times New Roman"/>
        </w:rPr>
        <w:t>”</w:t>
      </w:r>
      <w:r>
        <w:t>，在对矿区矿山地质环境影响现状评估和预测评估的基础上，主要根据矿区矿山地质灾害、土地资源及地形地貌景观等影响因素，将评估区划分为重点防治区（Ⅰ区）、次重点防治区（Ⅱ区）和一般防治区（Ⅲ区）三个区</w:t>
      </w:r>
    </w:p>
    <w:p>
      <w:pPr>
        <w:pStyle w:val="5"/>
        <w:tabs>
          <w:tab w:val="left" w:pos="1039"/>
        </w:tabs>
        <w:spacing w:after="3" w:line="231" w:lineRule="exact"/>
        <w:ind w:right="403"/>
        <w:jc w:val="center"/>
      </w:pPr>
      <w:r>
        <w:t>表</w:t>
      </w:r>
      <w:r>
        <w:rPr>
          <w:spacing w:val="-62"/>
        </w:rPr>
        <w:t xml:space="preserve"> </w:t>
      </w:r>
      <w:r>
        <w:rPr>
          <w:rFonts w:ascii="Times New Roman" w:eastAsia="Times New Roman"/>
        </w:rPr>
        <w:t>5.5-5</w:t>
      </w:r>
      <w:r>
        <w:rPr>
          <w:rFonts w:ascii="Times New Roman" w:eastAsia="Times New Roman"/>
        </w:rPr>
        <w:tab/>
      </w:r>
      <w:r>
        <w:t>矿山地质环境保护与恢复治理分区表</w:t>
      </w:r>
    </w:p>
    <w:tbl>
      <w:tblPr>
        <w:tblStyle w:val="10"/>
        <w:tblW w:w="0" w:type="auto"/>
        <w:tblInd w:w="3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0"/>
        <w:gridCol w:w="708"/>
        <w:gridCol w:w="851"/>
        <w:gridCol w:w="992"/>
        <w:gridCol w:w="2283"/>
        <w:gridCol w:w="32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418" w:type="dxa"/>
            <w:gridSpan w:val="2"/>
          </w:tcPr>
          <w:p>
            <w:pPr>
              <w:pStyle w:val="14"/>
              <w:spacing w:line="220" w:lineRule="exact"/>
              <w:ind w:left="287"/>
              <w:jc w:val="left"/>
              <w:rPr>
                <w:rFonts w:hint="eastAsia" w:ascii="仿宋" w:eastAsia="仿宋"/>
                <w:sz w:val="21"/>
              </w:rPr>
            </w:pPr>
            <w:r>
              <w:rPr>
                <w:rFonts w:hint="eastAsia" w:ascii="仿宋" w:eastAsia="仿宋"/>
                <w:sz w:val="21"/>
              </w:rPr>
              <w:t>影响分区</w:t>
            </w:r>
          </w:p>
        </w:tc>
        <w:tc>
          <w:tcPr>
            <w:tcW w:w="851" w:type="dxa"/>
            <w:vMerge w:val="restart"/>
          </w:tcPr>
          <w:p>
            <w:pPr>
              <w:pStyle w:val="14"/>
              <w:spacing w:before="4" w:line="240" w:lineRule="exact"/>
              <w:ind w:left="319" w:right="99" w:hanging="209"/>
              <w:jc w:val="left"/>
              <w:rPr>
                <w:rFonts w:hint="eastAsia" w:ascii="仿宋" w:eastAsia="仿宋"/>
                <w:sz w:val="21"/>
              </w:rPr>
            </w:pPr>
            <w:r>
              <w:rPr>
                <w:rFonts w:hint="eastAsia" w:ascii="仿宋" w:eastAsia="仿宋"/>
                <w:sz w:val="21"/>
              </w:rPr>
              <w:t>分布范围</w:t>
            </w:r>
          </w:p>
        </w:tc>
        <w:tc>
          <w:tcPr>
            <w:tcW w:w="992" w:type="dxa"/>
            <w:vMerge w:val="restart"/>
          </w:tcPr>
          <w:p>
            <w:pPr>
              <w:pStyle w:val="14"/>
              <w:spacing w:line="248" w:lineRule="exact"/>
              <w:ind w:left="286"/>
              <w:jc w:val="left"/>
              <w:rPr>
                <w:rFonts w:hint="eastAsia" w:ascii="仿宋" w:eastAsia="仿宋"/>
                <w:sz w:val="21"/>
              </w:rPr>
            </w:pPr>
            <w:r>
              <w:rPr>
                <w:rFonts w:hint="eastAsia" w:ascii="仿宋" w:eastAsia="仿宋"/>
                <w:spacing w:val="-1"/>
                <w:w w:val="95"/>
                <w:sz w:val="21"/>
              </w:rPr>
              <w:t>面积</w:t>
            </w:r>
          </w:p>
          <w:p>
            <w:pPr>
              <w:pStyle w:val="14"/>
              <w:spacing w:line="222" w:lineRule="exact"/>
              <w:ind w:left="327"/>
              <w:jc w:val="left"/>
              <w:rPr>
                <w:rFonts w:ascii="Times New Roman"/>
                <w:sz w:val="13"/>
              </w:rPr>
            </w:pPr>
            <w:r>
              <w:rPr>
                <w:rFonts w:ascii="Times New Roman"/>
                <w:sz w:val="21"/>
              </w:rPr>
              <w:t>hm</w:t>
            </w:r>
            <w:r>
              <w:rPr>
                <w:rFonts w:ascii="Times New Roman"/>
                <w:position w:val="7"/>
                <w:sz w:val="13"/>
              </w:rPr>
              <w:t>2</w:t>
            </w:r>
          </w:p>
        </w:tc>
        <w:tc>
          <w:tcPr>
            <w:tcW w:w="2283" w:type="dxa"/>
            <w:vMerge w:val="restart"/>
          </w:tcPr>
          <w:p>
            <w:pPr>
              <w:pStyle w:val="14"/>
              <w:spacing w:before="4" w:line="240" w:lineRule="exact"/>
              <w:ind w:left="1034" w:right="187" w:hanging="840"/>
              <w:jc w:val="left"/>
              <w:rPr>
                <w:rFonts w:hint="eastAsia" w:ascii="仿宋" w:eastAsia="仿宋"/>
                <w:sz w:val="21"/>
              </w:rPr>
            </w:pPr>
            <w:r>
              <w:rPr>
                <w:rFonts w:hint="eastAsia" w:ascii="仿宋" w:eastAsia="仿宋"/>
                <w:sz w:val="21"/>
              </w:rPr>
              <w:t>主要矿山地质环境问题</w:t>
            </w:r>
          </w:p>
        </w:tc>
        <w:tc>
          <w:tcPr>
            <w:tcW w:w="3232" w:type="dxa"/>
            <w:vMerge w:val="restart"/>
          </w:tcPr>
          <w:p>
            <w:pPr>
              <w:pStyle w:val="14"/>
              <w:spacing w:before="106"/>
              <w:ind w:left="985"/>
              <w:jc w:val="left"/>
              <w:rPr>
                <w:rFonts w:hint="eastAsia" w:ascii="仿宋" w:eastAsia="仿宋"/>
                <w:sz w:val="21"/>
              </w:rPr>
            </w:pPr>
            <w:r>
              <w:rPr>
                <w:rFonts w:hint="eastAsia" w:ascii="仿宋" w:eastAsia="仿宋"/>
                <w:sz w:val="21"/>
              </w:rPr>
              <w:t>主要防治措施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710" w:type="dxa"/>
          </w:tcPr>
          <w:p>
            <w:pPr>
              <w:pStyle w:val="14"/>
              <w:spacing w:line="220" w:lineRule="exact"/>
              <w:ind w:left="143"/>
              <w:jc w:val="left"/>
              <w:rPr>
                <w:rFonts w:hint="eastAsia" w:ascii="仿宋" w:eastAsia="仿宋"/>
                <w:sz w:val="21"/>
              </w:rPr>
            </w:pPr>
            <w:r>
              <w:rPr>
                <w:rFonts w:hint="eastAsia" w:ascii="仿宋" w:eastAsia="仿宋"/>
                <w:sz w:val="21"/>
              </w:rPr>
              <w:t>分级</w:t>
            </w:r>
          </w:p>
        </w:tc>
        <w:tc>
          <w:tcPr>
            <w:tcW w:w="708" w:type="dxa"/>
          </w:tcPr>
          <w:p>
            <w:pPr>
              <w:pStyle w:val="14"/>
              <w:spacing w:line="220" w:lineRule="exact"/>
              <w:ind w:left="122" w:right="115"/>
              <w:rPr>
                <w:rFonts w:hint="eastAsia" w:ascii="仿宋" w:eastAsia="仿宋"/>
                <w:sz w:val="21"/>
              </w:rPr>
            </w:pPr>
            <w:r>
              <w:rPr>
                <w:rFonts w:hint="eastAsia" w:ascii="仿宋" w:eastAsia="仿宋"/>
                <w:sz w:val="21"/>
              </w:rPr>
              <w:t>编号</w:t>
            </w:r>
          </w:p>
        </w:tc>
        <w:tc>
          <w:tcPr>
            <w:tcW w:w="851" w:type="dxa"/>
            <w:vMerge w:val="continue"/>
            <w:tcBorders>
              <w:top w:val="nil"/>
            </w:tcBorders>
          </w:tcPr>
          <w:p>
            <w:pPr>
              <w:rPr>
                <w:sz w:val="2"/>
                <w:szCs w:val="2"/>
              </w:rPr>
            </w:pPr>
          </w:p>
        </w:tc>
        <w:tc>
          <w:tcPr>
            <w:tcW w:w="992" w:type="dxa"/>
            <w:vMerge w:val="continue"/>
            <w:tcBorders>
              <w:top w:val="nil"/>
            </w:tcBorders>
          </w:tcPr>
          <w:p>
            <w:pPr>
              <w:rPr>
                <w:sz w:val="2"/>
                <w:szCs w:val="2"/>
              </w:rPr>
            </w:pPr>
          </w:p>
        </w:tc>
        <w:tc>
          <w:tcPr>
            <w:tcW w:w="2283" w:type="dxa"/>
            <w:vMerge w:val="continue"/>
            <w:tcBorders>
              <w:top w:val="nil"/>
            </w:tcBorders>
          </w:tcPr>
          <w:p>
            <w:pPr>
              <w:rPr>
                <w:sz w:val="2"/>
                <w:szCs w:val="2"/>
              </w:rPr>
            </w:pPr>
          </w:p>
        </w:tc>
        <w:tc>
          <w:tcPr>
            <w:tcW w:w="323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 w:hRule="atLeast"/>
        </w:trPr>
        <w:tc>
          <w:tcPr>
            <w:tcW w:w="710" w:type="dxa"/>
          </w:tcPr>
          <w:p>
            <w:pPr>
              <w:pStyle w:val="14"/>
              <w:jc w:val="left"/>
              <w:rPr>
                <w:b/>
                <w:sz w:val="20"/>
              </w:rPr>
            </w:pPr>
          </w:p>
          <w:p>
            <w:pPr>
              <w:pStyle w:val="14"/>
              <w:spacing w:before="10"/>
              <w:jc w:val="left"/>
              <w:rPr>
                <w:b/>
                <w:sz w:val="17"/>
              </w:rPr>
            </w:pPr>
          </w:p>
          <w:p>
            <w:pPr>
              <w:pStyle w:val="14"/>
              <w:spacing w:line="213" w:lineRule="auto"/>
              <w:ind w:left="249" w:right="136" w:hanging="106"/>
              <w:jc w:val="left"/>
              <w:rPr>
                <w:rFonts w:hint="eastAsia" w:ascii="仿宋" w:eastAsia="仿宋"/>
                <w:sz w:val="21"/>
              </w:rPr>
            </w:pPr>
            <w:r>
              <w:rPr>
                <w:rFonts w:hint="eastAsia" w:ascii="仿宋" w:eastAsia="仿宋"/>
                <w:sz w:val="21"/>
              </w:rPr>
              <w:t>重点区</w:t>
            </w:r>
          </w:p>
        </w:tc>
        <w:tc>
          <w:tcPr>
            <w:tcW w:w="708" w:type="dxa"/>
          </w:tcPr>
          <w:p>
            <w:pPr>
              <w:pStyle w:val="14"/>
              <w:jc w:val="left"/>
              <w:rPr>
                <w:b/>
                <w:sz w:val="22"/>
              </w:rPr>
            </w:pPr>
          </w:p>
          <w:p>
            <w:pPr>
              <w:pStyle w:val="14"/>
              <w:spacing w:before="4"/>
              <w:jc w:val="left"/>
              <w:rPr>
                <w:b/>
                <w:sz w:val="23"/>
              </w:rPr>
            </w:pPr>
          </w:p>
          <w:p>
            <w:pPr>
              <w:pStyle w:val="14"/>
              <w:ind w:left="122" w:right="114"/>
              <w:rPr>
                <w:rFonts w:ascii="Times New Roman" w:hAnsi="Times New Roman"/>
                <w:sz w:val="21"/>
              </w:rPr>
            </w:pPr>
            <w:r>
              <w:rPr>
                <w:rFonts w:ascii="仿宋" w:hAnsi="仿宋"/>
                <w:sz w:val="21"/>
              </w:rPr>
              <w:t>Ⅰ</w:t>
            </w:r>
            <w:r>
              <w:rPr>
                <w:rFonts w:ascii="Times New Roman" w:hAnsi="Times New Roman"/>
                <w:sz w:val="21"/>
              </w:rPr>
              <w:t>1</w:t>
            </w:r>
          </w:p>
        </w:tc>
        <w:tc>
          <w:tcPr>
            <w:tcW w:w="851" w:type="dxa"/>
          </w:tcPr>
          <w:p>
            <w:pPr>
              <w:pStyle w:val="14"/>
              <w:jc w:val="left"/>
              <w:rPr>
                <w:b/>
                <w:sz w:val="20"/>
              </w:rPr>
            </w:pPr>
          </w:p>
          <w:p>
            <w:pPr>
              <w:pStyle w:val="14"/>
              <w:spacing w:before="10"/>
              <w:jc w:val="left"/>
              <w:rPr>
                <w:b/>
                <w:sz w:val="17"/>
              </w:rPr>
            </w:pPr>
          </w:p>
          <w:p>
            <w:pPr>
              <w:pStyle w:val="14"/>
              <w:spacing w:line="213" w:lineRule="auto"/>
              <w:ind w:left="319" w:right="99" w:hanging="209"/>
              <w:jc w:val="left"/>
              <w:rPr>
                <w:rFonts w:hint="eastAsia" w:ascii="仿宋" w:eastAsia="仿宋"/>
                <w:sz w:val="21"/>
              </w:rPr>
            </w:pPr>
            <w:r>
              <w:rPr>
                <w:rFonts w:hint="eastAsia" w:ascii="仿宋" w:eastAsia="仿宋"/>
                <w:sz w:val="21"/>
              </w:rPr>
              <w:t>工业广场</w:t>
            </w:r>
          </w:p>
        </w:tc>
        <w:tc>
          <w:tcPr>
            <w:tcW w:w="992" w:type="dxa"/>
          </w:tcPr>
          <w:p>
            <w:pPr>
              <w:pStyle w:val="14"/>
              <w:jc w:val="left"/>
              <w:rPr>
                <w:b/>
                <w:sz w:val="22"/>
              </w:rPr>
            </w:pPr>
          </w:p>
          <w:p>
            <w:pPr>
              <w:pStyle w:val="14"/>
              <w:spacing w:before="10"/>
              <w:jc w:val="left"/>
              <w:rPr>
                <w:b/>
                <w:sz w:val="24"/>
              </w:rPr>
            </w:pPr>
          </w:p>
          <w:p>
            <w:pPr>
              <w:pStyle w:val="14"/>
              <w:ind w:left="56" w:right="46"/>
              <w:rPr>
                <w:rFonts w:ascii="Times New Roman"/>
                <w:sz w:val="21"/>
              </w:rPr>
            </w:pPr>
            <w:r>
              <w:rPr>
                <w:rFonts w:ascii="Times New Roman"/>
                <w:sz w:val="21"/>
              </w:rPr>
              <w:t>2.9767</w:t>
            </w:r>
          </w:p>
        </w:tc>
        <w:tc>
          <w:tcPr>
            <w:tcW w:w="2283" w:type="dxa"/>
          </w:tcPr>
          <w:p>
            <w:pPr>
              <w:pStyle w:val="14"/>
              <w:spacing w:before="5"/>
              <w:jc w:val="left"/>
              <w:rPr>
                <w:b/>
                <w:sz w:val="28"/>
              </w:rPr>
            </w:pPr>
          </w:p>
          <w:p>
            <w:pPr>
              <w:pStyle w:val="14"/>
              <w:spacing w:line="213" w:lineRule="auto"/>
              <w:ind w:left="80" w:right="68"/>
              <w:rPr>
                <w:rFonts w:hint="eastAsia" w:ascii="仿宋" w:eastAsia="仿宋"/>
                <w:sz w:val="21"/>
              </w:rPr>
            </w:pPr>
            <w:r>
              <w:rPr>
                <w:rFonts w:hint="eastAsia" w:ascii="仿宋" w:eastAsia="仿宋"/>
                <w:sz w:val="21"/>
              </w:rPr>
              <w:t>破坏地形地貌，破坏地类为旱地、有林地和村庄用地</w:t>
            </w:r>
          </w:p>
        </w:tc>
        <w:tc>
          <w:tcPr>
            <w:tcW w:w="3232" w:type="dxa"/>
          </w:tcPr>
          <w:p>
            <w:pPr>
              <w:pStyle w:val="14"/>
              <w:spacing w:before="4" w:line="213" w:lineRule="auto"/>
              <w:ind w:left="107" w:right="69"/>
              <w:jc w:val="both"/>
              <w:rPr>
                <w:rFonts w:hint="eastAsia" w:ascii="仿宋" w:eastAsia="仿宋"/>
                <w:sz w:val="21"/>
              </w:rPr>
            </w:pPr>
            <w:r>
              <w:rPr>
                <w:rFonts w:ascii="Times New Roman" w:eastAsia="Times New Roman"/>
                <w:sz w:val="21"/>
              </w:rPr>
              <w:t>1</w:t>
            </w:r>
            <w:r>
              <w:rPr>
                <w:rFonts w:hint="eastAsia" w:ascii="仿宋" w:eastAsia="仿宋"/>
                <w:sz w:val="21"/>
              </w:rPr>
              <w:t>、工业广场留续使用，本次进行土地复垦工程设计，环境治理只进行环境监测工程设计；</w:t>
            </w:r>
            <w:r>
              <w:rPr>
                <w:rFonts w:ascii="Times New Roman" w:eastAsia="Times New Roman"/>
                <w:sz w:val="21"/>
              </w:rPr>
              <w:t>2</w:t>
            </w:r>
            <w:r>
              <w:rPr>
                <w:rFonts w:hint="eastAsia" w:ascii="仿宋" w:eastAsia="仿宋"/>
                <w:sz w:val="21"/>
              </w:rPr>
              <w:t>、临时矸石场进行监测，防止滑坡；</w:t>
            </w:r>
            <w:r>
              <w:rPr>
                <w:rFonts w:ascii="Times New Roman" w:eastAsia="Times New Roman"/>
                <w:sz w:val="21"/>
              </w:rPr>
              <w:t>3</w:t>
            </w:r>
            <w:r>
              <w:rPr>
                <w:rFonts w:hint="eastAsia" w:ascii="仿宋" w:eastAsia="仿宋"/>
                <w:sz w:val="21"/>
              </w:rPr>
              <w:t>、进行土层厚度监测，防止水土流</w:t>
            </w:r>
          </w:p>
          <w:p>
            <w:pPr>
              <w:pStyle w:val="14"/>
              <w:spacing w:line="218" w:lineRule="exact"/>
              <w:ind w:left="1384" w:right="1377"/>
              <w:rPr>
                <w:rFonts w:hint="eastAsia" w:ascii="仿宋" w:eastAsia="仿宋"/>
                <w:sz w:val="21"/>
              </w:rPr>
            </w:pPr>
            <w:r>
              <w:rPr>
                <w:rFonts w:hint="eastAsia" w:ascii="仿宋" w:eastAsia="仿宋"/>
                <w:sz w:val="21"/>
              </w:rPr>
              <w:t>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0" w:hRule="atLeast"/>
        </w:trPr>
        <w:tc>
          <w:tcPr>
            <w:tcW w:w="710" w:type="dxa"/>
          </w:tcPr>
          <w:p>
            <w:pPr>
              <w:pStyle w:val="14"/>
              <w:jc w:val="left"/>
              <w:rPr>
                <w:b/>
                <w:sz w:val="20"/>
              </w:rPr>
            </w:pPr>
          </w:p>
          <w:p>
            <w:pPr>
              <w:pStyle w:val="14"/>
              <w:jc w:val="left"/>
              <w:rPr>
                <w:b/>
                <w:sz w:val="20"/>
              </w:rPr>
            </w:pPr>
          </w:p>
          <w:p>
            <w:pPr>
              <w:pStyle w:val="14"/>
              <w:jc w:val="left"/>
              <w:rPr>
                <w:b/>
                <w:sz w:val="26"/>
              </w:rPr>
            </w:pPr>
          </w:p>
          <w:p>
            <w:pPr>
              <w:pStyle w:val="14"/>
              <w:spacing w:line="213" w:lineRule="auto"/>
              <w:ind w:left="143" w:right="136"/>
              <w:jc w:val="left"/>
              <w:rPr>
                <w:rFonts w:hint="eastAsia" w:ascii="仿宋" w:eastAsia="仿宋"/>
                <w:sz w:val="21"/>
              </w:rPr>
            </w:pPr>
            <w:r>
              <w:rPr>
                <w:rFonts w:hint="eastAsia" w:ascii="仿宋" w:eastAsia="仿宋"/>
                <w:sz w:val="21"/>
              </w:rPr>
              <w:t>次重点区</w:t>
            </w:r>
          </w:p>
        </w:tc>
        <w:tc>
          <w:tcPr>
            <w:tcW w:w="708" w:type="dxa"/>
          </w:tcPr>
          <w:p>
            <w:pPr>
              <w:pStyle w:val="14"/>
              <w:jc w:val="left"/>
              <w:rPr>
                <w:b/>
                <w:sz w:val="22"/>
              </w:rPr>
            </w:pPr>
          </w:p>
          <w:p>
            <w:pPr>
              <w:pStyle w:val="14"/>
              <w:jc w:val="left"/>
              <w:rPr>
                <w:b/>
                <w:sz w:val="22"/>
              </w:rPr>
            </w:pPr>
          </w:p>
          <w:p>
            <w:pPr>
              <w:pStyle w:val="14"/>
              <w:spacing w:before="7"/>
              <w:jc w:val="left"/>
              <w:rPr>
                <w:b/>
                <w:sz w:val="29"/>
              </w:rPr>
            </w:pPr>
          </w:p>
          <w:p>
            <w:pPr>
              <w:pStyle w:val="14"/>
              <w:spacing w:before="1"/>
              <w:ind w:left="122" w:right="114"/>
              <w:rPr>
                <w:rFonts w:ascii="Times New Roman" w:hAnsi="Times New Roman"/>
                <w:sz w:val="21"/>
              </w:rPr>
            </w:pPr>
            <w:r>
              <w:rPr>
                <w:rFonts w:ascii="仿宋" w:hAnsi="仿宋"/>
                <w:sz w:val="21"/>
              </w:rPr>
              <w:t>Ⅱ</w:t>
            </w:r>
            <w:r>
              <w:rPr>
                <w:rFonts w:ascii="Times New Roman" w:hAnsi="Times New Roman"/>
                <w:sz w:val="21"/>
              </w:rPr>
              <w:t>1</w:t>
            </w:r>
          </w:p>
        </w:tc>
        <w:tc>
          <w:tcPr>
            <w:tcW w:w="851" w:type="dxa"/>
          </w:tcPr>
          <w:p>
            <w:pPr>
              <w:pStyle w:val="14"/>
              <w:jc w:val="left"/>
              <w:rPr>
                <w:b/>
                <w:sz w:val="20"/>
              </w:rPr>
            </w:pPr>
          </w:p>
          <w:p>
            <w:pPr>
              <w:pStyle w:val="14"/>
              <w:jc w:val="left"/>
              <w:rPr>
                <w:b/>
                <w:sz w:val="20"/>
              </w:rPr>
            </w:pPr>
          </w:p>
          <w:p>
            <w:pPr>
              <w:pStyle w:val="14"/>
              <w:jc w:val="left"/>
              <w:rPr>
                <w:b/>
                <w:sz w:val="26"/>
              </w:rPr>
            </w:pPr>
          </w:p>
          <w:p>
            <w:pPr>
              <w:pStyle w:val="14"/>
              <w:spacing w:line="213" w:lineRule="auto"/>
              <w:ind w:left="213" w:right="99" w:hanging="104"/>
              <w:jc w:val="left"/>
              <w:rPr>
                <w:rFonts w:hint="eastAsia" w:ascii="仿宋" w:eastAsia="仿宋"/>
                <w:sz w:val="21"/>
              </w:rPr>
            </w:pPr>
            <w:r>
              <w:rPr>
                <w:rFonts w:hint="eastAsia" w:ascii="仿宋" w:eastAsia="仿宋"/>
                <w:sz w:val="21"/>
              </w:rPr>
              <w:t>沉陷区范围</w:t>
            </w:r>
          </w:p>
        </w:tc>
        <w:tc>
          <w:tcPr>
            <w:tcW w:w="992" w:type="dxa"/>
          </w:tcPr>
          <w:p>
            <w:pPr>
              <w:pStyle w:val="14"/>
              <w:jc w:val="left"/>
              <w:rPr>
                <w:b/>
                <w:sz w:val="22"/>
              </w:rPr>
            </w:pPr>
          </w:p>
          <w:p>
            <w:pPr>
              <w:pStyle w:val="14"/>
              <w:jc w:val="left"/>
              <w:rPr>
                <w:b/>
                <w:sz w:val="22"/>
              </w:rPr>
            </w:pPr>
          </w:p>
          <w:p>
            <w:pPr>
              <w:pStyle w:val="14"/>
              <w:spacing w:before="4"/>
              <w:jc w:val="left"/>
              <w:rPr>
                <w:b/>
                <w:sz w:val="21"/>
              </w:rPr>
            </w:pPr>
          </w:p>
          <w:p>
            <w:pPr>
              <w:pStyle w:val="14"/>
              <w:ind w:left="56" w:right="46"/>
              <w:rPr>
                <w:rFonts w:ascii="Times New Roman"/>
                <w:sz w:val="21"/>
              </w:rPr>
            </w:pPr>
            <w:r>
              <w:rPr>
                <w:rFonts w:ascii="Times New Roman"/>
                <w:sz w:val="21"/>
              </w:rPr>
              <w:t>327.921</w:t>
            </w:r>
          </w:p>
          <w:p>
            <w:pPr>
              <w:pStyle w:val="14"/>
              <w:spacing w:before="1"/>
              <w:ind w:left="7"/>
              <w:rPr>
                <w:rFonts w:ascii="Times New Roman"/>
                <w:sz w:val="21"/>
              </w:rPr>
            </w:pPr>
            <w:r>
              <w:rPr>
                <w:rFonts w:ascii="Times New Roman"/>
                <w:w w:val="99"/>
                <w:sz w:val="21"/>
              </w:rPr>
              <w:t>1</w:t>
            </w:r>
          </w:p>
        </w:tc>
        <w:tc>
          <w:tcPr>
            <w:tcW w:w="2283" w:type="dxa"/>
          </w:tcPr>
          <w:p>
            <w:pPr>
              <w:pStyle w:val="14"/>
              <w:spacing w:before="7"/>
              <w:jc w:val="left"/>
              <w:rPr>
                <w:b/>
                <w:sz w:val="28"/>
              </w:rPr>
            </w:pPr>
          </w:p>
          <w:p>
            <w:pPr>
              <w:pStyle w:val="14"/>
              <w:spacing w:line="213" w:lineRule="auto"/>
              <w:ind w:left="108" w:right="65" w:hanging="32"/>
              <w:rPr>
                <w:rFonts w:hint="eastAsia" w:ascii="仿宋" w:eastAsia="仿宋"/>
                <w:sz w:val="21"/>
              </w:rPr>
            </w:pPr>
            <w:r>
              <w:rPr>
                <w:rFonts w:hint="eastAsia" w:ascii="仿宋" w:eastAsia="仿宋"/>
                <w:spacing w:val="-6"/>
                <w:sz w:val="21"/>
              </w:rPr>
              <w:t>地面沉陷，破坏村庄建</w:t>
            </w:r>
            <w:r>
              <w:rPr>
                <w:rFonts w:hint="eastAsia" w:ascii="仿宋" w:eastAsia="仿宋"/>
                <w:spacing w:val="-7"/>
                <w:sz w:val="21"/>
              </w:rPr>
              <w:t>筑，破坏地形地貌，破</w:t>
            </w:r>
            <w:r>
              <w:rPr>
                <w:rFonts w:hint="eastAsia" w:ascii="仿宋" w:eastAsia="仿宋"/>
                <w:spacing w:val="-8"/>
                <w:w w:val="95"/>
                <w:sz w:val="21"/>
              </w:rPr>
              <w:t>坏地类有耕地、园地、</w:t>
            </w:r>
            <w:r>
              <w:rPr>
                <w:rFonts w:hint="eastAsia" w:ascii="仿宋" w:eastAsia="仿宋"/>
                <w:spacing w:val="-2"/>
                <w:w w:val="95"/>
                <w:sz w:val="21"/>
              </w:rPr>
              <w:t>林地、交通设施用地、</w:t>
            </w:r>
            <w:r>
              <w:rPr>
                <w:rFonts w:hint="eastAsia" w:ascii="仿宋" w:eastAsia="仿宋"/>
                <w:sz w:val="21"/>
              </w:rPr>
              <w:t>水利设施用地和城镇 村及工矿用地</w:t>
            </w:r>
          </w:p>
        </w:tc>
        <w:tc>
          <w:tcPr>
            <w:tcW w:w="3232" w:type="dxa"/>
          </w:tcPr>
          <w:p>
            <w:pPr>
              <w:pStyle w:val="14"/>
              <w:spacing w:before="1" w:line="240" w:lineRule="exact"/>
              <w:ind w:left="107" w:right="-15" w:hanging="106"/>
              <w:rPr>
                <w:rFonts w:hint="eastAsia" w:ascii="仿宋" w:eastAsia="仿宋"/>
                <w:sz w:val="21"/>
              </w:rPr>
            </w:pPr>
            <w:r>
              <w:rPr>
                <w:rFonts w:ascii="Times New Roman" w:eastAsia="Times New Roman"/>
                <w:sz w:val="21"/>
              </w:rPr>
              <w:t>1</w:t>
            </w:r>
            <w:r>
              <w:rPr>
                <w:rFonts w:hint="eastAsia" w:ascii="仿宋" w:eastAsia="仿宋"/>
                <w:spacing w:val="-6"/>
                <w:sz w:val="21"/>
              </w:rPr>
              <w:t>、村庄的影响破坏，采取房屋维 修整治方案，采取对建筑物的监 测方案</w:t>
            </w:r>
            <w:r>
              <w:rPr>
                <w:rFonts w:ascii="Times New Roman" w:eastAsia="Times New Roman"/>
                <w:spacing w:val="-6"/>
                <w:sz w:val="21"/>
              </w:rPr>
              <w:t>.</w:t>
            </w:r>
            <w:r>
              <w:rPr>
                <w:rFonts w:hint="eastAsia" w:ascii="仿宋" w:eastAsia="仿宋"/>
                <w:spacing w:val="-6"/>
                <w:sz w:val="21"/>
              </w:rPr>
              <w:t>发现异常时及时修缮；</w:t>
            </w:r>
            <w:r>
              <w:rPr>
                <w:rFonts w:ascii="Times New Roman" w:eastAsia="Times New Roman"/>
                <w:spacing w:val="-6"/>
                <w:sz w:val="21"/>
              </w:rPr>
              <w:t>2</w:t>
            </w:r>
            <w:r>
              <w:rPr>
                <w:rFonts w:hint="eastAsia" w:ascii="仿宋" w:eastAsia="仿宋"/>
                <w:spacing w:val="-6"/>
                <w:sz w:val="21"/>
              </w:rPr>
              <w:t>、</w:t>
            </w:r>
            <w:r>
              <w:rPr>
                <w:rFonts w:hint="eastAsia" w:ascii="仿宋" w:eastAsia="仿宋"/>
                <w:spacing w:val="-8"/>
                <w:w w:val="95"/>
                <w:sz w:val="21"/>
              </w:rPr>
              <w:t xml:space="preserve">对区内乡间公路、农用生产道路、 </w:t>
            </w:r>
            <w:r>
              <w:rPr>
                <w:rFonts w:hint="eastAsia" w:ascii="仿宋" w:eastAsia="仿宋"/>
                <w:spacing w:val="-8"/>
                <w:sz w:val="21"/>
              </w:rPr>
              <w:t>通讯输电线路和沟渠堤防定时进 行巡查，发现异常及时维修保证 其正常运行；</w:t>
            </w:r>
            <w:r>
              <w:rPr>
                <w:rFonts w:ascii="Times New Roman" w:eastAsia="Times New Roman"/>
                <w:spacing w:val="-7"/>
                <w:sz w:val="21"/>
              </w:rPr>
              <w:t>3</w:t>
            </w:r>
            <w:r>
              <w:rPr>
                <w:rFonts w:hint="eastAsia" w:ascii="仿宋" w:eastAsia="仿宋"/>
                <w:spacing w:val="-4"/>
                <w:sz w:val="21"/>
              </w:rPr>
              <w:t>、局部土地简单平 整后即可恢复土地资源使用功能 及地形地貌景观。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710" w:type="dxa"/>
          </w:tcPr>
          <w:p>
            <w:pPr>
              <w:pStyle w:val="14"/>
              <w:spacing w:before="125" w:line="213" w:lineRule="auto"/>
              <w:ind w:left="249" w:right="136" w:hanging="106"/>
              <w:jc w:val="left"/>
              <w:rPr>
                <w:rFonts w:hint="eastAsia" w:ascii="仿宋" w:eastAsia="仿宋"/>
                <w:sz w:val="21"/>
              </w:rPr>
            </w:pPr>
            <w:r>
              <w:rPr>
                <w:rFonts w:hint="eastAsia" w:ascii="仿宋" w:eastAsia="仿宋"/>
                <w:sz w:val="21"/>
              </w:rPr>
              <w:t>一般区</w:t>
            </w:r>
          </w:p>
        </w:tc>
        <w:tc>
          <w:tcPr>
            <w:tcW w:w="708" w:type="dxa"/>
          </w:tcPr>
          <w:p>
            <w:pPr>
              <w:pStyle w:val="14"/>
              <w:spacing w:before="3"/>
              <w:jc w:val="left"/>
              <w:rPr>
                <w:b/>
                <w:sz w:val="17"/>
              </w:rPr>
            </w:pPr>
          </w:p>
          <w:p>
            <w:pPr>
              <w:pStyle w:val="14"/>
              <w:spacing w:before="1"/>
              <w:ind w:left="122" w:right="114"/>
              <w:rPr>
                <w:rFonts w:ascii="Times New Roman" w:hAnsi="Times New Roman"/>
                <w:sz w:val="21"/>
              </w:rPr>
            </w:pPr>
            <w:r>
              <w:rPr>
                <w:rFonts w:ascii="仿宋" w:hAnsi="仿宋"/>
                <w:sz w:val="21"/>
              </w:rPr>
              <w:t>Ⅲ</w:t>
            </w:r>
            <w:r>
              <w:rPr>
                <w:rFonts w:ascii="Times New Roman" w:hAnsi="Times New Roman"/>
                <w:sz w:val="21"/>
              </w:rPr>
              <w:t>1</w:t>
            </w:r>
          </w:p>
        </w:tc>
        <w:tc>
          <w:tcPr>
            <w:tcW w:w="851" w:type="dxa"/>
          </w:tcPr>
          <w:p>
            <w:pPr>
              <w:pStyle w:val="14"/>
              <w:spacing w:before="125" w:line="213" w:lineRule="auto"/>
              <w:ind w:left="319" w:right="99" w:hanging="209"/>
              <w:jc w:val="left"/>
              <w:rPr>
                <w:rFonts w:hint="eastAsia" w:ascii="仿宋" w:eastAsia="仿宋"/>
                <w:sz w:val="21"/>
              </w:rPr>
            </w:pPr>
            <w:r>
              <w:rPr>
                <w:rFonts w:hint="eastAsia" w:ascii="仿宋" w:eastAsia="仿宋"/>
                <w:sz w:val="21"/>
              </w:rPr>
              <w:t>其它区域</w:t>
            </w:r>
          </w:p>
        </w:tc>
        <w:tc>
          <w:tcPr>
            <w:tcW w:w="992" w:type="dxa"/>
          </w:tcPr>
          <w:p>
            <w:pPr>
              <w:pStyle w:val="14"/>
              <w:spacing w:before="7"/>
              <w:jc w:val="left"/>
              <w:rPr>
                <w:b/>
                <w:sz w:val="18"/>
              </w:rPr>
            </w:pPr>
          </w:p>
          <w:p>
            <w:pPr>
              <w:pStyle w:val="14"/>
              <w:ind w:left="56" w:right="46"/>
              <w:rPr>
                <w:rFonts w:ascii="Times New Roman"/>
                <w:sz w:val="21"/>
              </w:rPr>
            </w:pPr>
            <w:r>
              <w:rPr>
                <w:rFonts w:ascii="Times New Roman"/>
                <w:sz w:val="21"/>
              </w:rPr>
              <w:t>45.9788</w:t>
            </w:r>
          </w:p>
        </w:tc>
        <w:tc>
          <w:tcPr>
            <w:tcW w:w="2283" w:type="dxa"/>
          </w:tcPr>
          <w:p>
            <w:pPr>
              <w:pStyle w:val="14"/>
              <w:spacing w:line="240" w:lineRule="exact"/>
              <w:ind w:left="108" w:right="96" w:hanging="5"/>
              <w:rPr>
                <w:rFonts w:hint="eastAsia" w:ascii="仿宋" w:eastAsia="仿宋"/>
                <w:sz w:val="21"/>
              </w:rPr>
            </w:pPr>
            <w:r>
              <w:rPr>
                <w:rFonts w:hint="eastAsia" w:ascii="仿宋" w:eastAsia="仿宋"/>
                <w:sz w:val="21"/>
              </w:rPr>
              <w:t>占用地类有耕地、园</w:t>
            </w:r>
            <w:r>
              <w:rPr>
                <w:rFonts w:hint="eastAsia" w:ascii="仿宋" w:eastAsia="仿宋"/>
                <w:w w:val="95"/>
                <w:sz w:val="21"/>
              </w:rPr>
              <w:t>地、林地、交通设施用</w:t>
            </w:r>
            <w:r>
              <w:rPr>
                <w:rFonts w:hint="eastAsia" w:ascii="仿宋" w:eastAsia="仿宋"/>
                <w:sz w:val="21"/>
              </w:rPr>
              <w:t>地、水利设施用地</w:t>
            </w:r>
          </w:p>
        </w:tc>
        <w:tc>
          <w:tcPr>
            <w:tcW w:w="3232" w:type="dxa"/>
          </w:tcPr>
          <w:p>
            <w:pPr>
              <w:pStyle w:val="14"/>
              <w:spacing w:before="3"/>
              <w:jc w:val="left"/>
              <w:rPr>
                <w:b/>
                <w:sz w:val="17"/>
              </w:rPr>
            </w:pPr>
          </w:p>
          <w:p>
            <w:pPr>
              <w:pStyle w:val="14"/>
              <w:spacing w:before="1"/>
              <w:ind w:left="774"/>
              <w:jc w:val="left"/>
              <w:rPr>
                <w:rFonts w:hint="eastAsia" w:ascii="仿宋" w:eastAsia="仿宋"/>
                <w:sz w:val="21"/>
              </w:rPr>
            </w:pPr>
            <w:r>
              <w:rPr>
                <w:rFonts w:hint="eastAsia" w:ascii="仿宋" w:eastAsia="仿宋"/>
                <w:sz w:val="21"/>
              </w:rPr>
              <w:t>对此区域加强监测</w:t>
            </w:r>
          </w:p>
        </w:tc>
      </w:tr>
    </w:tbl>
    <w:p>
      <w:pPr>
        <w:pStyle w:val="13"/>
        <w:numPr>
          <w:ilvl w:val="0"/>
          <w:numId w:val="45"/>
        </w:numPr>
        <w:tabs>
          <w:tab w:val="left" w:pos="1633"/>
        </w:tabs>
        <w:spacing w:before="82" w:after="0" w:line="240" w:lineRule="auto"/>
        <w:ind w:left="1633" w:right="0" w:hanging="602"/>
        <w:jc w:val="left"/>
        <w:rPr>
          <w:sz w:val="24"/>
        </w:rPr>
      </w:pPr>
      <w:r>
        <w:rPr>
          <w:sz w:val="24"/>
        </w:rPr>
        <w:t>重点防治区（Ⅰ）</w:t>
      </w:r>
    </w:p>
    <w:p>
      <w:pPr>
        <w:pStyle w:val="6"/>
        <w:spacing w:before="160" w:line="364" w:lineRule="auto"/>
        <w:ind w:left="551" w:right="972" w:firstLine="480"/>
        <w:jc w:val="both"/>
      </w:pPr>
      <w:r>
        <w:t xml:space="preserve">重点防治区分共划分一个区，即工业广场，面积为 </w:t>
      </w:r>
      <w:r>
        <w:rPr>
          <w:rFonts w:ascii="Times New Roman" w:eastAsia="Times New Roman"/>
        </w:rPr>
        <w:t>2.9767hm</w:t>
      </w:r>
      <w:r>
        <w:rPr>
          <w:rFonts w:ascii="Times New Roman" w:eastAsia="Times New Roman"/>
          <w:position w:val="8"/>
          <w:sz w:val="15"/>
        </w:rPr>
        <w:t>2</w:t>
      </w:r>
      <w:r>
        <w:t>，工业广场建设对地形地貌景观破坏严重。</w:t>
      </w:r>
    </w:p>
    <w:p>
      <w:pPr>
        <w:pStyle w:val="6"/>
        <w:spacing w:before="2" w:line="364" w:lineRule="auto"/>
        <w:ind w:left="551" w:right="973" w:firstLine="480"/>
        <w:jc w:val="both"/>
      </w:pPr>
      <w:r>
        <w:t>防治措施：采矿许可证服务年限内，矿山仍有大量资源储量待开采，老工业广场需留续使用。因此，本方案暂不对工业广场进行治理。场地内堆放的矸石应进行充分利用，主要用于开发相应的建材产品和修整道路；进行土层厚度监测， 防止水土流失。</w:t>
      </w:r>
    </w:p>
    <w:p>
      <w:pPr>
        <w:spacing w:after="0" w:line="364" w:lineRule="auto"/>
        <w:jc w:val="both"/>
        <w:sectPr>
          <w:pgSz w:w="11910" w:h="16840"/>
          <w:pgMar w:top="1380" w:right="780" w:bottom="1180" w:left="1200" w:header="0" w:footer="997" w:gutter="0"/>
        </w:sectPr>
      </w:pPr>
    </w:p>
    <w:p>
      <w:pPr>
        <w:pStyle w:val="13"/>
        <w:numPr>
          <w:ilvl w:val="0"/>
          <w:numId w:val="45"/>
        </w:numPr>
        <w:tabs>
          <w:tab w:val="left" w:pos="1633"/>
        </w:tabs>
        <w:spacing w:before="62" w:after="0" w:line="240" w:lineRule="auto"/>
        <w:ind w:left="1633" w:right="0" w:hanging="602"/>
        <w:jc w:val="left"/>
        <w:rPr>
          <w:sz w:val="24"/>
        </w:rPr>
      </w:pPr>
      <w:r>
        <w:rPr>
          <w:sz w:val="24"/>
        </w:rPr>
        <w:t>次重点防治区（Ⅱ）</w:t>
      </w:r>
    </w:p>
    <w:p>
      <w:pPr>
        <w:pStyle w:val="6"/>
        <w:spacing w:before="160" w:line="364" w:lineRule="auto"/>
        <w:ind w:left="551" w:right="849" w:firstLine="480"/>
      </w:pPr>
      <w:r>
        <w:rPr>
          <w:spacing w:val="-6"/>
        </w:rPr>
        <w:t xml:space="preserve">次重点防治区共划分为一个区，即地面预测沉陷区域，总面积 </w:t>
      </w:r>
      <w:r>
        <w:rPr>
          <w:rFonts w:ascii="Times New Roman" w:eastAsia="Times New Roman"/>
        </w:rPr>
        <w:t>327.9211hm</w:t>
      </w:r>
      <w:r>
        <w:rPr>
          <w:rFonts w:ascii="Times New Roman" w:eastAsia="Times New Roman"/>
          <w:position w:val="8"/>
          <w:sz w:val="15"/>
        </w:rPr>
        <w:t>2</w:t>
      </w:r>
      <w:r>
        <w:rPr>
          <w:spacing w:val="-12"/>
        </w:rPr>
        <w:t>。</w:t>
      </w:r>
      <w:r>
        <w:rPr>
          <w:spacing w:val="-6"/>
        </w:rPr>
        <w:t xml:space="preserve">该区可能发生的采空沉陷及伴生地裂缝地质灾害可能性较大，地表变形预测较轻， </w:t>
      </w:r>
      <w:r>
        <w:t>对区内的农田、村庄、道路、坑塘水面和一般农田配套设施影响较轻；对原生的地形地貌景观破坏较严重；可能造成地表农田减产；对含水层结构的破坏较轻； 地面建筑设施可能遭受的财产损失较大。</w:t>
      </w:r>
    </w:p>
    <w:p>
      <w:pPr>
        <w:pStyle w:val="6"/>
        <w:spacing w:before="3" w:line="364" w:lineRule="auto"/>
        <w:ind w:left="551" w:right="853" w:firstLine="480"/>
        <w:jc w:val="both"/>
      </w:pPr>
      <w:r>
        <w:t>主要防治措施为：针对地形地貌景观的破坏，应及时开展土地平整等临时工程措施，待沉陷稳沉后及时开展沉陷地治理工作。对影响到的村庄采取房屋修缮的整治方案，来确保村庄用地中房屋的安全；对区内乡间公路、农用生产道路、</w:t>
      </w:r>
      <w:r>
        <w:rPr>
          <w:spacing w:val="-7"/>
        </w:rPr>
        <w:t>通讯输电线路和坑塘水面堤防定时进行巡查，发现异常及时维修保证其正常运行。</w:t>
      </w:r>
    </w:p>
    <w:p>
      <w:pPr>
        <w:pStyle w:val="13"/>
        <w:numPr>
          <w:ilvl w:val="0"/>
          <w:numId w:val="45"/>
        </w:numPr>
        <w:tabs>
          <w:tab w:val="left" w:pos="1633"/>
        </w:tabs>
        <w:spacing w:before="3" w:after="0" w:line="240" w:lineRule="auto"/>
        <w:ind w:left="1633" w:right="0" w:hanging="602"/>
        <w:jc w:val="left"/>
        <w:rPr>
          <w:sz w:val="24"/>
        </w:rPr>
      </w:pPr>
      <w:r>
        <w:rPr>
          <w:sz w:val="24"/>
        </w:rPr>
        <w:t>一般防治区（Ⅲ）</w:t>
      </w:r>
    </w:p>
    <w:p>
      <w:pPr>
        <w:pStyle w:val="6"/>
        <w:spacing w:before="160" w:line="364" w:lineRule="auto"/>
        <w:ind w:left="551" w:right="973" w:firstLine="480"/>
        <w:jc w:val="both"/>
      </w:pPr>
      <w:r>
        <w:t xml:space="preserve">一般防治区共划分为一个区，去除重点防治区和次重点防治区以外的评估区范围，总面积 </w:t>
      </w:r>
      <w:r>
        <w:rPr>
          <w:rFonts w:ascii="Times New Roman" w:eastAsia="Times New Roman"/>
        </w:rPr>
        <w:t>45.9788hm</w:t>
      </w:r>
      <w:r>
        <w:rPr>
          <w:rFonts w:ascii="Times New Roman" w:eastAsia="Times New Roman"/>
          <w:position w:val="8"/>
          <w:sz w:val="15"/>
        </w:rPr>
        <w:t>2</w:t>
      </w:r>
      <w:r>
        <w:t>。</w:t>
      </w:r>
    </w:p>
    <w:p>
      <w:pPr>
        <w:pStyle w:val="6"/>
        <w:spacing w:before="1" w:line="364" w:lineRule="auto"/>
        <w:ind w:left="551" w:right="973" w:firstLine="480"/>
        <w:jc w:val="both"/>
      </w:pPr>
      <w:r>
        <w:t>该区可能发生的采空沉陷及伴生地裂缝地质灾害可能性小，地表变形轻微， 对区内的农田、村庄、道路和一般农田配套设施影响较轻。沉陷对原生的地形地貌景观破坏较轻；对含水层结构的破坏较轻；地面建筑设施可能遭受的财产损失小，影响程度较轻。</w:t>
      </w:r>
    </w:p>
    <w:p>
      <w:pPr>
        <w:pStyle w:val="6"/>
        <w:spacing w:before="3"/>
        <w:ind w:left="1031"/>
      </w:pPr>
      <w:r>
        <w:t>主要防治措施为：加强监测。</w:t>
      </w:r>
    </w:p>
    <w:p>
      <w:pPr>
        <w:pStyle w:val="4"/>
        <w:numPr>
          <w:ilvl w:val="2"/>
          <w:numId w:val="42"/>
        </w:numPr>
        <w:tabs>
          <w:tab w:val="left" w:pos="1253"/>
        </w:tabs>
        <w:spacing w:before="82" w:after="0" w:line="240" w:lineRule="auto"/>
        <w:ind w:left="1252" w:right="0" w:hanging="702"/>
        <w:jc w:val="left"/>
      </w:pPr>
      <w:bookmarkStart w:id="190" w:name="5.5.3 沉陷区复垦与生态综合整治方案"/>
      <w:bookmarkEnd w:id="190"/>
      <w:bookmarkStart w:id="191" w:name="5.5.3 沉陷区复垦与生态综合整治方案"/>
      <w:bookmarkEnd w:id="191"/>
      <w:r>
        <w:t>沉陷区复垦与生态综合整治方案</w:t>
      </w:r>
    </w:p>
    <w:p>
      <w:pPr>
        <w:pStyle w:val="13"/>
        <w:numPr>
          <w:ilvl w:val="0"/>
          <w:numId w:val="46"/>
        </w:numPr>
        <w:tabs>
          <w:tab w:val="left" w:pos="1633"/>
        </w:tabs>
        <w:spacing w:before="264" w:after="0" w:line="240" w:lineRule="auto"/>
        <w:ind w:left="1633" w:right="0" w:hanging="602"/>
        <w:jc w:val="left"/>
        <w:rPr>
          <w:sz w:val="24"/>
        </w:rPr>
      </w:pPr>
      <w:r>
        <w:rPr>
          <w:sz w:val="24"/>
        </w:rPr>
        <w:t>破坏特征</w:t>
      </w:r>
    </w:p>
    <w:p>
      <w:pPr>
        <w:pStyle w:val="6"/>
        <w:spacing w:before="161" w:line="364" w:lineRule="auto"/>
        <w:ind w:left="551" w:right="973" w:firstLine="480"/>
      </w:pPr>
      <w:r>
        <w:t>山体滑坡，裂缝导致的树木倾斜、枯死等，可能使部分区域植被发生逆行演替，景观发生改变。</w:t>
      </w:r>
    </w:p>
    <w:p>
      <w:pPr>
        <w:pStyle w:val="13"/>
        <w:numPr>
          <w:ilvl w:val="0"/>
          <w:numId w:val="46"/>
        </w:numPr>
        <w:tabs>
          <w:tab w:val="left" w:pos="1633"/>
        </w:tabs>
        <w:spacing w:before="1" w:after="0" w:line="240" w:lineRule="auto"/>
        <w:ind w:left="1633" w:right="0" w:hanging="602"/>
        <w:jc w:val="left"/>
        <w:rPr>
          <w:sz w:val="24"/>
        </w:rPr>
      </w:pPr>
      <w:r>
        <w:rPr>
          <w:sz w:val="24"/>
        </w:rPr>
        <w:t>复垦措施及工艺</w:t>
      </w:r>
    </w:p>
    <w:p>
      <w:pPr>
        <w:pStyle w:val="6"/>
        <w:spacing w:before="161" w:line="364" w:lineRule="auto"/>
        <w:ind w:left="551" w:right="973" w:firstLine="480"/>
      </w:pPr>
      <w:r>
        <w:rPr>
          <w:spacing w:val="-1"/>
        </w:rPr>
        <w:t xml:space="preserve">根据《双鸭山大顺矿业有限公司矿山地质环境保护与土地复垦方案》可知， </w:t>
      </w:r>
      <w:r>
        <w:t>根据优先用于农业的原则，确定将其复垦为有林地。</w:t>
      </w:r>
    </w:p>
    <w:p>
      <w:pPr>
        <w:pStyle w:val="6"/>
        <w:spacing w:before="1" w:line="364" w:lineRule="auto"/>
        <w:ind w:left="551" w:right="973" w:firstLine="480"/>
        <w:jc w:val="both"/>
      </w:pPr>
      <w:r>
        <w:rPr>
          <w:spacing w:val="-1"/>
        </w:rPr>
        <w:t>一是对受损的树木及时扶正树体，填补裂缝，保证正常生长。二是对沉陷严重的地块，根据海拔、坡向、坡度、土壤质地、地层厚度等，采取适宜的整地措</w:t>
      </w:r>
      <w:r>
        <w:t>施，选择适宜的品种，适地适树，增加植被覆盖度。</w:t>
      </w:r>
    </w:p>
    <w:p>
      <w:pPr>
        <w:spacing w:after="0" w:line="364" w:lineRule="auto"/>
        <w:jc w:val="both"/>
        <w:sectPr>
          <w:pgSz w:w="11910" w:h="16840"/>
          <w:pgMar w:top="1440" w:right="780" w:bottom="1180" w:left="1200" w:header="0" w:footer="997" w:gutter="0"/>
        </w:sectPr>
      </w:pPr>
    </w:p>
    <w:p>
      <w:pPr>
        <w:pStyle w:val="4"/>
        <w:numPr>
          <w:ilvl w:val="2"/>
          <w:numId w:val="42"/>
        </w:numPr>
        <w:tabs>
          <w:tab w:val="left" w:pos="1181"/>
        </w:tabs>
        <w:spacing w:before="44" w:after="0" w:line="240" w:lineRule="auto"/>
        <w:ind w:left="1180" w:right="0" w:hanging="630"/>
        <w:jc w:val="left"/>
      </w:pPr>
      <w:bookmarkStart w:id="192" w:name="5.5.4土地复垦、地质环境保护进度、费用安排"/>
      <w:bookmarkEnd w:id="192"/>
      <w:bookmarkStart w:id="193" w:name="5.5.4土地复垦、地质环境保护进度、费用安排"/>
      <w:bookmarkEnd w:id="193"/>
      <w:r>
        <w:t>土地复垦、地质环境保护进度、费用安排</w:t>
      </w:r>
    </w:p>
    <w:p>
      <w:pPr>
        <w:pStyle w:val="6"/>
        <w:spacing w:before="264" w:line="364" w:lineRule="auto"/>
        <w:ind w:left="551" w:right="973" w:firstLine="480"/>
      </w:pPr>
      <w:r>
        <w:rPr>
          <w:spacing w:val="-1"/>
        </w:rPr>
        <w:t>根据《双鸭山大顺矿业有限公司矿山地质环境保护与土地复垦方案》，土地</w:t>
      </w:r>
      <w:r>
        <w:rPr>
          <w:spacing w:val="-5"/>
        </w:rPr>
        <w:t xml:space="preserve">复垦静态总投资为 </w:t>
      </w:r>
      <w:r>
        <w:rPr>
          <w:rFonts w:ascii="Times New Roman" w:eastAsia="Times New Roman"/>
        </w:rPr>
        <w:t>129.2729</w:t>
      </w:r>
      <w:r>
        <w:rPr>
          <w:rFonts w:ascii="Times New Roman" w:eastAsia="Times New Roman"/>
          <w:spacing w:val="6"/>
        </w:rPr>
        <w:t xml:space="preserve"> </w:t>
      </w:r>
      <w:r>
        <w:rPr>
          <w:spacing w:val="-3"/>
        </w:rPr>
        <w:t xml:space="preserve">万元，其中：工程施工费 </w:t>
      </w:r>
      <w:r>
        <w:rPr>
          <w:rFonts w:ascii="Times New Roman" w:eastAsia="Times New Roman"/>
        </w:rPr>
        <w:t>102.6071</w:t>
      </w:r>
      <w:r>
        <w:rPr>
          <w:rFonts w:ascii="Times New Roman" w:eastAsia="Times New Roman"/>
          <w:spacing w:val="6"/>
        </w:rPr>
        <w:t xml:space="preserve"> </w:t>
      </w:r>
      <w:r>
        <w:rPr>
          <w:spacing w:val="2"/>
        </w:rPr>
        <w:t>万元，其他费用</w:t>
      </w:r>
    </w:p>
    <w:p>
      <w:pPr>
        <w:pStyle w:val="6"/>
        <w:spacing w:before="1"/>
        <w:ind w:left="551"/>
      </w:pPr>
      <w:r>
        <w:rPr>
          <w:rFonts w:ascii="Times New Roman" w:eastAsia="Times New Roman"/>
        </w:rPr>
        <w:t xml:space="preserve">15.6578 </w:t>
      </w:r>
      <w:r>
        <w:rPr>
          <w:spacing w:val="-6"/>
        </w:rPr>
        <w:t xml:space="preserve">万元，监测与管护费用 </w:t>
      </w:r>
      <w:r>
        <w:rPr>
          <w:rFonts w:ascii="Times New Roman" w:eastAsia="Times New Roman"/>
        </w:rPr>
        <w:t xml:space="preserve">3.9120 </w:t>
      </w:r>
      <w:r>
        <w:rPr>
          <w:spacing w:val="-7"/>
        </w:rPr>
        <w:t xml:space="preserve">万元，基本预备费 </w:t>
      </w:r>
      <w:r>
        <w:rPr>
          <w:rFonts w:ascii="Times New Roman" w:eastAsia="Times New Roman"/>
        </w:rPr>
        <w:t xml:space="preserve">7.0959 </w:t>
      </w:r>
      <w:r>
        <w:t>万元。复垦面积</w:t>
      </w:r>
    </w:p>
    <w:p>
      <w:pPr>
        <w:pStyle w:val="6"/>
        <w:spacing w:before="161" w:line="364" w:lineRule="auto"/>
        <w:ind w:left="1031" w:right="973" w:hanging="480"/>
      </w:pPr>
      <w:r>
        <w:rPr>
          <w:spacing w:val="-21"/>
        </w:rPr>
        <w:t xml:space="preserve">为 </w:t>
      </w:r>
      <w:r>
        <w:rPr>
          <w:rFonts w:ascii="Times New Roman" w:eastAsia="Times New Roman"/>
        </w:rPr>
        <w:t>2.9767</w:t>
      </w:r>
      <w:r>
        <w:rPr>
          <w:rFonts w:ascii="Times New Roman" w:eastAsia="Times New Roman"/>
          <w:spacing w:val="20"/>
        </w:rPr>
        <w:t xml:space="preserve"> </w:t>
      </w:r>
      <w:r>
        <w:rPr>
          <w:spacing w:val="-3"/>
        </w:rPr>
        <w:t xml:space="preserve">公顷，静态亩均土地复垦投资 </w:t>
      </w:r>
      <w:r>
        <w:rPr>
          <w:rFonts w:ascii="Times New Roman" w:eastAsia="Times New Roman"/>
        </w:rPr>
        <w:t>2.8952</w:t>
      </w:r>
      <w:r>
        <w:rPr>
          <w:rFonts w:ascii="Times New Roman" w:eastAsia="Times New Roman"/>
          <w:spacing w:val="20"/>
        </w:rPr>
        <w:t xml:space="preserve"> </w:t>
      </w:r>
      <w:r>
        <w:t>万元（</w:t>
      </w:r>
      <w:r>
        <w:rPr>
          <w:spacing w:val="-20"/>
        </w:rPr>
        <w:t xml:space="preserve">合 </w:t>
      </w:r>
      <w:r>
        <w:rPr>
          <w:rFonts w:ascii="Times New Roman" w:eastAsia="Times New Roman"/>
        </w:rPr>
        <w:t>43.43</w:t>
      </w:r>
      <w:r>
        <w:rPr>
          <w:rFonts w:ascii="Times New Roman" w:eastAsia="Times New Roman"/>
          <w:spacing w:val="20"/>
        </w:rPr>
        <w:t xml:space="preserve"> </w:t>
      </w:r>
      <w:r>
        <w:t>元</w:t>
      </w:r>
      <w:r>
        <w:rPr>
          <w:rFonts w:ascii="Times New Roman" w:eastAsia="Times New Roman"/>
        </w:rPr>
        <w:t>/</w:t>
      </w:r>
      <w:r>
        <w:t>平方米）。考</w:t>
      </w:r>
      <w:r>
        <w:rPr>
          <w:spacing w:val="-1"/>
        </w:rPr>
        <w:t>虑到资金的时间价值、物价上涨、通货膨胀、国家宏观调控以及地方经济</w:t>
      </w:r>
    </w:p>
    <w:p>
      <w:pPr>
        <w:pStyle w:val="6"/>
        <w:spacing w:before="1" w:line="364" w:lineRule="auto"/>
        <w:ind w:left="551" w:right="973"/>
      </w:pPr>
      <w:r>
        <w:rPr>
          <w:spacing w:val="-1"/>
        </w:rPr>
        <w:t>发展等因素，需对土地复垦静态投资进行动态投资分析。本复垦方案价差预备费</w:t>
      </w:r>
      <w:r>
        <w:rPr>
          <w:spacing w:val="-30"/>
        </w:rPr>
        <w:t xml:space="preserve">为 </w:t>
      </w:r>
      <w:r>
        <w:rPr>
          <w:rFonts w:ascii="Times New Roman" w:eastAsia="Times New Roman"/>
        </w:rPr>
        <w:t xml:space="preserve">48.3632 </w:t>
      </w:r>
      <w:r>
        <w:rPr>
          <w:spacing w:val="-11"/>
        </w:rPr>
        <w:t xml:space="preserve">万元，动态总投资为 </w:t>
      </w:r>
      <w:r>
        <w:rPr>
          <w:rFonts w:ascii="Times New Roman" w:eastAsia="Times New Roman"/>
        </w:rPr>
        <w:t xml:space="preserve">177.6361 </w:t>
      </w:r>
      <w:r>
        <w:rPr>
          <w:spacing w:val="-12"/>
        </w:rPr>
        <w:t xml:space="preserve">万元。复垦面积为 </w:t>
      </w:r>
      <w:r>
        <w:rPr>
          <w:rFonts w:ascii="Times New Roman" w:eastAsia="Times New Roman"/>
        </w:rPr>
        <w:t xml:space="preserve">2.9767 </w:t>
      </w:r>
      <w:r>
        <w:rPr>
          <w:spacing w:val="-7"/>
        </w:rPr>
        <w:t>公顷，动态亩</w:t>
      </w:r>
    </w:p>
    <w:p>
      <w:pPr>
        <w:pStyle w:val="6"/>
        <w:spacing w:before="1"/>
        <w:ind w:left="551"/>
      </w:pPr>
      <w:r>
        <w:t xml:space="preserve">均土地复垦投资 </w:t>
      </w:r>
      <w:r>
        <w:rPr>
          <w:rFonts w:ascii="Times New Roman" w:eastAsia="Times New Roman"/>
        </w:rPr>
        <w:t xml:space="preserve">3.9784 </w:t>
      </w:r>
      <w:r>
        <w:t xml:space="preserve">万元（合 </w:t>
      </w:r>
      <w:r>
        <w:rPr>
          <w:rFonts w:ascii="Times New Roman" w:eastAsia="Times New Roman"/>
        </w:rPr>
        <w:t xml:space="preserve">59.68 </w:t>
      </w:r>
      <w:r>
        <w:t>元</w:t>
      </w:r>
      <w:r>
        <w:rPr>
          <w:rFonts w:ascii="Times New Roman" w:eastAsia="Times New Roman"/>
        </w:rPr>
        <w:t>/</w:t>
      </w:r>
      <w:r>
        <w:t>平方米）。</w:t>
      </w:r>
    </w:p>
    <w:p>
      <w:pPr>
        <w:pStyle w:val="6"/>
        <w:spacing w:before="161"/>
        <w:ind w:left="1031"/>
        <w:jc w:val="both"/>
      </w:pPr>
      <w:r>
        <w:rPr>
          <w:spacing w:val="-2"/>
        </w:rPr>
        <w:t xml:space="preserve">本项目矿山地质环境保护估算静态总投资为 </w:t>
      </w:r>
      <w:r>
        <w:rPr>
          <w:rFonts w:ascii="Times New Roman" w:eastAsia="Times New Roman"/>
        </w:rPr>
        <w:t>34.7047</w:t>
      </w:r>
      <w:r>
        <w:rPr>
          <w:rFonts w:ascii="Times New Roman" w:eastAsia="Times New Roman"/>
          <w:spacing w:val="25"/>
        </w:rPr>
        <w:t xml:space="preserve"> </w:t>
      </w:r>
      <w:r>
        <w:t>万元，其中：工程施工</w:t>
      </w:r>
    </w:p>
    <w:p>
      <w:pPr>
        <w:pStyle w:val="6"/>
        <w:spacing w:before="160"/>
        <w:ind w:left="551"/>
        <w:rPr>
          <w:rFonts w:ascii="Times New Roman" w:eastAsia="Times New Roman"/>
        </w:rPr>
      </w:pPr>
      <w:r>
        <w:rPr>
          <w:spacing w:val="-35"/>
        </w:rPr>
        <w:t xml:space="preserve">费 </w:t>
      </w:r>
      <w:r>
        <w:rPr>
          <w:rFonts w:ascii="Times New Roman" w:eastAsia="Times New Roman"/>
        </w:rPr>
        <w:t>10.1000</w:t>
      </w:r>
      <w:r>
        <w:rPr>
          <w:rFonts w:ascii="Times New Roman" w:eastAsia="Times New Roman"/>
          <w:spacing w:val="-8"/>
        </w:rPr>
        <w:t xml:space="preserve"> </w:t>
      </w:r>
      <w:r>
        <w:rPr>
          <w:spacing w:val="-25"/>
        </w:rPr>
        <w:t xml:space="preserve">万元，其他费用 </w:t>
      </w:r>
      <w:r>
        <w:rPr>
          <w:rFonts w:ascii="Times New Roman" w:eastAsia="Times New Roman"/>
        </w:rPr>
        <w:t>1.5413</w:t>
      </w:r>
      <w:r>
        <w:rPr>
          <w:rFonts w:ascii="Times New Roman" w:eastAsia="Times New Roman"/>
          <w:spacing w:val="-9"/>
        </w:rPr>
        <w:t xml:space="preserve"> </w:t>
      </w:r>
      <w:r>
        <w:rPr>
          <w:spacing w:val="-25"/>
        </w:rPr>
        <w:t xml:space="preserve">万元，监测费用 </w:t>
      </w:r>
      <w:r>
        <w:rPr>
          <w:rFonts w:ascii="Times New Roman" w:eastAsia="Times New Roman"/>
        </w:rPr>
        <w:t>22.3650</w:t>
      </w:r>
      <w:r>
        <w:rPr>
          <w:rFonts w:ascii="Times New Roman" w:eastAsia="Times New Roman"/>
          <w:spacing w:val="-8"/>
        </w:rPr>
        <w:t xml:space="preserve"> </w:t>
      </w:r>
      <w:r>
        <w:rPr>
          <w:spacing w:val="-22"/>
        </w:rPr>
        <w:t xml:space="preserve">万元，基本预备费 </w:t>
      </w:r>
      <w:r>
        <w:rPr>
          <w:rFonts w:ascii="Times New Roman" w:eastAsia="Times New Roman"/>
        </w:rPr>
        <w:t>0.6985</w:t>
      </w:r>
    </w:p>
    <w:p>
      <w:pPr>
        <w:pStyle w:val="6"/>
        <w:spacing w:before="161"/>
        <w:ind w:left="551"/>
      </w:pPr>
      <w:r>
        <w:t>万元。</w:t>
      </w:r>
    </w:p>
    <w:p>
      <w:pPr>
        <w:pStyle w:val="6"/>
        <w:spacing w:before="160" w:line="364" w:lineRule="auto"/>
        <w:ind w:left="551" w:right="973" w:firstLine="480"/>
        <w:jc w:val="both"/>
      </w:pPr>
      <w:r>
        <w:t xml:space="preserve">考虑到资金的时间价值、物价上涨、通货膨胀、国家宏观调控以及地方经济发展等因素，需对矿山地质环境保护静态投资进行动态投资分析。本矿山地质环境保护方案价差预备费 </w:t>
      </w:r>
      <w:r>
        <w:rPr>
          <w:rFonts w:ascii="Times New Roman" w:eastAsia="Times New Roman"/>
        </w:rPr>
        <w:t xml:space="preserve">6.4391 </w:t>
      </w:r>
      <w:r>
        <w:t xml:space="preserve">万元，动态总投资为 </w:t>
      </w:r>
      <w:r>
        <w:rPr>
          <w:rFonts w:ascii="Times New Roman" w:eastAsia="Times New Roman"/>
        </w:rPr>
        <w:t xml:space="preserve">41.1438 </w:t>
      </w:r>
      <w:r>
        <w:t>万元。</w:t>
      </w:r>
    </w:p>
    <w:p>
      <w:pPr>
        <w:pStyle w:val="6"/>
        <w:spacing w:before="2"/>
        <w:ind w:left="1031"/>
        <w:jc w:val="both"/>
      </w:pPr>
      <w:r>
        <w:rPr>
          <w:spacing w:val="-3"/>
        </w:rPr>
        <w:t xml:space="preserve">大顺煤矿矿山地质环境保护与土地复垦费用预计为 </w:t>
      </w:r>
      <w:r>
        <w:rPr>
          <w:rFonts w:ascii="Times New Roman" w:eastAsia="Times New Roman"/>
        </w:rPr>
        <w:t xml:space="preserve">218.7799 </w:t>
      </w:r>
      <w:r>
        <w:rPr>
          <w:spacing w:val="-10"/>
        </w:rPr>
        <w:t>万元，其中：土</w:t>
      </w:r>
    </w:p>
    <w:p>
      <w:pPr>
        <w:pStyle w:val="6"/>
        <w:spacing w:before="160" w:line="364" w:lineRule="auto"/>
        <w:ind w:left="1031" w:right="973" w:hanging="480"/>
        <w:jc w:val="both"/>
      </w:pPr>
      <w:r>
        <w:rPr>
          <w:spacing w:val="-10"/>
        </w:rPr>
        <w:t xml:space="preserve">地复垦费用 </w:t>
      </w:r>
      <w:r>
        <w:rPr>
          <w:rFonts w:ascii="Times New Roman" w:eastAsia="Times New Roman"/>
        </w:rPr>
        <w:t>177.6361</w:t>
      </w:r>
      <w:r>
        <w:rPr>
          <w:rFonts w:ascii="Times New Roman" w:eastAsia="Times New Roman"/>
          <w:spacing w:val="2"/>
        </w:rPr>
        <w:t xml:space="preserve"> </w:t>
      </w:r>
      <w:r>
        <w:rPr>
          <w:spacing w:val="-4"/>
        </w:rPr>
        <w:t xml:space="preserve">万元，矿山地质环境保护与恢复治理费用 </w:t>
      </w:r>
      <w:r>
        <w:rPr>
          <w:rFonts w:ascii="Times New Roman" w:eastAsia="Times New Roman"/>
        </w:rPr>
        <w:t>41.1438</w:t>
      </w:r>
      <w:r>
        <w:rPr>
          <w:rFonts w:ascii="Times New Roman" w:eastAsia="Times New Roman"/>
          <w:spacing w:val="2"/>
        </w:rPr>
        <w:t xml:space="preserve"> </w:t>
      </w:r>
      <w:r>
        <w:t xml:space="preserve">万元。 </w:t>
      </w:r>
      <w:r>
        <w:rPr>
          <w:spacing w:val="-1"/>
        </w:rPr>
        <w:t>土地复垦费用根据《土地复垦条例实施办法》，生产建设周期在三年以下的</w:t>
      </w:r>
    </w:p>
    <w:p>
      <w:pPr>
        <w:pStyle w:val="6"/>
        <w:spacing w:before="2" w:line="364" w:lineRule="auto"/>
        <w:ind w:left="551" w:right="853"/>
      </w:pPr>
      <w:r>
        <w:t>项目，应当一次性全额预存土地复垦费用。生产建设周期在三年以上的项目，可以分期预存费用，但第一次预存的数额不得少于费用总金额的百分之二十。余额按照方案确定的费用预存计划预存，在生产建设活动结束前一年预存完毕。大顺</w:t>
      </w:r>
      <w:r>
        <w:rPr>
          <w:spacing w:val="-7"/>
        </w:rPr>
        <w:t xml:space="preserve">煤矿矿山企业现正在办理扩储改扩建工作，并办理采矿证变更。按保有资源储量， </w:t>
      </w:r>
      <w:r>
        <w:rPr>
          <w:spacing w:val="-13"/>
        </w:rPr>
        <w:t xml:space="preserve">根据前面内容，该矿剩余生产年限为 </w:t>
      </w:r>
      <w:r>
        <w:rPr>
          <w:rFonts w:ascii="Times New Roman" w:eastAsia="Times New Roman"/>
        </w:rPr>
        <w:t xml:space="preserve">15.4 </w:t>
      </w:r>
      <w:r>
        <w:rPr>
          <w:spacing w:val="-12"/>
        </w:rPr>
        <w:t xml:space="preserve">年。矿山剩余生产建设周期在三年以上， </w:t>
      </w:r>
      <w:r>
        <w:t>可选择一次性全额或分期预存矿山地质环境保护与土地复垦费用，并于开采结束前壹年预存完毕所有费用。本方案按照投资资金计提，预存资金可按万吨计提， 因此在本方案通过后企业应将相关费用存与专用账户。</w:t>
      </w:r>
    </w:p>
    <w:p>
      <w:pPr>
        <w:pStyle w:val="6"/>
        <w:spacing w:before="4" w:line="364" w:lineRule="auto"/>
        <w:ind w:left="551" w:right="973" w:firstLine="480"/>
        <w:jc w:val="both"/>
      </w:pPr>
      <w:r>
        <w:t xml:space="preserve">因矿山生产建设周期在三年以上，为减轻矿山一次性投入造成企业负担大的问题，本次选择分期预存矿山地质环境保护与土地复垦费用。具体预计建议详见表 </w:t>
      </w:r>
      <w:r>
        <w:rPr>
          <w:rFonts w:ascii="Times New Roman" w:eastAsia="Times New Roman"/>
        </w:rPr>
        <w:t>5.5-6</w:t>
      </w:r>
      <w:r>
        <w:t xml:space="preserve">、表 </w:t>
      </w:r>
      <w:r>
        <w:rPr>
          <w:rFonts w:ascii="Times New Roman" w:eastAsia="Times New Roman"/>
        </w:rPr>
        <w:t>5.5-7</w:t>
      </w:r>
      <w:r>
        <w:t>。</w:t>
      </w:r>
    </w:p>
    <w:p>
      <w:pPr>
        <w:spacing w:after="0" w:line="364" w:lineRule="auto"/>
        <w:jc w:val="both"/>
        <w:sectPr>
          <w:pgSz w:w="11910" w:h="16840"/>
          <w:pgMar w:top="1380" w:right="780" w:bottom="1180" w:left="1200" w:header="0" w:footer="997" w:gutter="0"/>
        </w:sectPr>
      </w:pPr>
    </w:p>
    <w:p>
      <w:pPr>
        <w:pStyle w:val="6"/>
        <w:spacing w:before="42" w:line="364" w:lineRule="auto"/>
        <w:ind w:left="551" w:right="973" w:firstLine="480"/>
        <w:jc w:val="both"/>
      </w:pPr>
      <w:r>
        <w:t>又因双鸭山大顺矿业有限公司是改扩建延续矿山，现处于整改扩建阶段，之前已预存了部分环境保证金和土地复垦费用，但矿山处于生产阶段，矿山环境保护与土地复垦工作还没有正式开展。本次方案的制订是因矿山开采范围、生产规模改变为重新编制，工程项目包含原有需要治理范围，同时按国家相关规定可以将前期预存费用转移本期费用，因此建议矿山提供已预存的相关费用相关材料和票据，在重新签订三方监管协议时将以往已预存的相关费用可在本次费用的基地上给予抵减。</w:t>
      </w:r>
    </w:p>
    <w:p>
      <w:pPr>
        <w:pStyle w:val="6"/>
        <w:spacing w:before="4"/>
        <w:ind w:left="1031"/>
      </w:pPr>
      <w:r>
        <w:t>矿山环境保护与恢复治理费用预存分为四个阶段安排表如下：</w:t>
      </w:r>
    </w:p>
    <w:p>
      <w:pPr>
        <w:pStyle w:val="5"/>
        <w:tabs>
          <w:tab w:val="left" w:pos="1058"/>
        </w:tabs>
        <w:spacing w:before="84"/>
        <w:ind w:left="19"/>
        <w:jc w:val="center"/>
        <w:rPr>
          <w:rFonts w:hint="eastAsia" w:ascii="仿宋" w:eastAsia="仿宋"/>
        </w:rPr>
      </w:pPr>
      <w:r>
        <w:rPr>
          <w:rFonts w:hint="eastAsia" w:ascii="仿宋" w:eastAsia="仿宋"/>
        </w:rPr>
        <w:t>表</w:t>
      </w:r>
      <w:r>
        <w:rPr>
          <w:rFonts w:hint="eastAsia" w:ascii="仿宋" w:eastAsia="仿宋"/>
          <w:spacing w:val="-62"/>
        </w:rPr>
        <w:t xml:space="preserve"> </w:t>
      </w:r>
      <w:r>
        <w:rPr>
          <w:rFonts w:ascii="Times New Roman" w:eastAsia="Times New Roman"/>
        </w:rPr>
        <w:t>5.5-6</w:t>
      </w:r>
      <w:r>
        <w:rPr>
          <w:rFonts w:ascii="Times New Roman" w:eastAsia="Times New Roman"/>
        </w:rPr>
        <w:tab/>
      </w:r>
      <w:r>
        <w:rPr>
          <w:rFonts w:hint="eastAsia" w:ascii="仿宋" w:eastAsia="仿宋"/>
        </w:rPr>
        <w:t>矿山环境保护与恢复治理费用预存安排表</w:t>
      </w:r>
    </w:p>
    <w:tbl>
      <w:tblPr>
        <w:tblStyle w:val="10"/>
        <w:tblW w:w="0" w:type="auto"/>
        <w:tblInd w:w="4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4"/>
        <w:gridCol w:w="953"/>
        <w:gridCol w:w="822"/>
        <w:gridCol w:w="837"/>
        <w:gridCol w:w="866"/>
        <w:gridCol w:w="1463"/>
        <w:gridCol w:w="1465"/>
        <w:gridCol w:w="14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664" w:type="dxa"/>
          </w:tcPr>
          <w:p>
            <w:pPr>
              <w:pStyle w:val="14"/>
              <w:jc w:val="left"/>
              <w:rPr>
                <w:rFonts w:ascii="仿宋"/>
                <w:b/>
                <w:sz w:val="20"/>
              </w:rPr>
            </w:pPr>
          </w:p>
          <w:p>
            <w:pPr>
              <w:pStyle w:val="14"/>
              <w:spacing w:before="135"/>
              <w:ind w:right="121"/>
              <w:jc w:val="right"/>
              <w:rPr>
                <w:rFonts w:hint="eastAsia" w:ascii="仿宋" w:eastAsia="仿宋"/>
                <w:sz w:val="20"/>
              </w:rPr>
            </w:pPr>
            <w:r>
              <w:rPr>
                <w:rFonts w:hint="eastAsia" w:ascii="仿宋" w:eastAsia="仿宋"/>
                <w:w w:val="95"/>
                <w:sz w:val="20"/>
              </w:rPr>
              <w:t>阶段</w:t>
            </w:r>
          </w:p>
        </w:tc>
        <w:tc>
          <w:tcPr>
            <w:tcW w:w="953" w:type="dxa"/>
          </w:tcPr>
          <w:p>
            <w:pPr>
              <w:pStyle w:val="14"/>
              <w:spacing w:before="5"/>
              <w:jc w:val="left"/>
              <w:rPr>
                <w:rFonts w:ascii="仿宋"/>
                <w:b/>
                <w:sz w:val="20"/>
              </w:rPr>
            </w:pPr>
          </w:p>
          <w:p>
            <w:pPr>
              <w:pStyle w:val="14"/>
              <w:ind w:left="176"/>
              <w:jc w:val="left"/>
              <w:rPr>
                <w:rFonts w:hint="eastAsia" w:ascii="仿宋" w:eastAsia="仿宋"/>
                <w:sz w:val="20"/>
              </w:rPr>
            </w:pPr>
            <w:r>
              <w:rPr>
                <w:rFonts w:hint="eastAsia" w:ascii="仿宋" w:eastAsia="仿宋"/>
                <w:w w:val="95"/>
                <w:sz w:val="20"/>
              </w:rPr>
              <w:t>总投资</w:t>
            </w:r>
          </w:p>
          <w:p>
            <w:pPr>
              <w:pStyle w:val="14"/>
              <w:spacing w:before="3"/>
              <w:ind w:left="209"/>
              <w:jc w:val="left"/>
              <w:rPr>
                <w:rFonts w:ascii="Times New Roman" w:eastAsia="Times New Roman"/>
                <w:sz w:val="20"/>
              </w:rPr>
            </w:pPr>
            <w:r>
              <w:rPr>
                <w:rFonts w:ascii="Times New Roman" w:eastAsia="Times New Roman"/>
                <w:w w:val="95"/>
                <w:sz w:val="20"/>
              </w:rPr>
              <w:t>(</w:t>
            </w:r>
            <w:r>
              <w:rPr>
                <w:rFonts w:hint="eastAsia" w:ascii="仿宋" w:eastAsia="仿宋"/>
                <w:w w:val="95"/>
                <w:sz w:val="20"/>
              </w:rPr>
              <w:t>万元</w:t>
            </w:r>
            <w:r>
              <w:rPr>
                <w:rFonts w:ascii="Times New Roman" w:eastAsia="Times New Roman"/>
                <w:w w:val="95"/>
                <w:sz w:val="20"/>
              </w:rPr>
              <w:t>)</w:t>
            </w:r>
          </w:p>
        </w:tc>
        <w:tc>
          <w:tcPr>
            <w:tcW w:w="822" w:type="dxa"/>
          </w:tcPr>
          <w:p>
            <w:pPr>
              <w:pStyle w:val="14"/>
              <w:jc w:val="left"/>
              <w:rPr>
                <w:rFonts w:ascii="仿宋"/>
                <w:b/>
                <w:sz w:val="20"/>
              </w:rPr>
            </w:pPr>
          </w:p>
          <w:p>
            <w:pPr>
              <w:pStyle w:val="14"/>
              <w:spacing w:before="135"/>
              <w:ind w:left="149" w:right="144"/>
              <w:rPr>
                <w:rFonts w:hint="eastAsia" w:ascii="仿宋" w:eastAsia="仿宋"/>
                <w:sz w:val="20"/>
              </w:rPr>
            </w:pPr>
            <w:r>
              <w:rPr>
                <w:rFonts w:hint="eastAsia" w:ascii="仿宋" w:eastAsia="仿宋"/>
                <w:sz w:val="20"/>
              </w:rPr>
              <w:t>年份</w:t>
            </w:r>
          </w:p>
        </w:tc>
        <w:tc>
          <w:tcPr>
            <w:tcW w:w="837" w:type="dxa"/>
          </w:tcPr>
          <w:p>
            <w:pPr>
              <w:pStyle w:val="14"/>
              <w:spacing w:before="5"/>
              <w:jc w:val="left"/>
              <w:rPr>
                <w:rFonts w:ascii="仿宋"/>
                <w:b/>
                <w:sz w:val="20"/>
              </w:rPr>
            </w:pPr>
          </w:p>
          <w:p>
            <w:pPr>
              <w:pStyle w:val="14"/>
              <w:ind w:left="117"/>
              <w:jc w:val="left"/>
              <w:rPr>
                <w:rFonts w:hint="eastAsia" w:ascii="仿宋" w:eastAsia="仿宋"/>
                <w:sz w:val="20"/>
              </w:rPr>
            </w:pPr>
            <w:r>
              <w:rPr>
                <w:rFonts w:hint="eastAsia" w:ascii="仿宋" w:eastAsia="仿宋"/>
                <w:sz w:val="20"/>
              </w:rPr>
              <w:t>年产量</w:t>
            </w:r>
          </w:p>
          <w:p>
            <w:pPr>
              <w:pStyle w:val="14"/>
              <w:spacing w:before="3"/>
              <w:ind w:left="107"/>
              <w:jc w:val="left"/>
              <w:rPr>
                <w:rFonts w:hint="eastAsia" w:ascii="仿宋" w:eastAsia="仿宋"/>
                <w:sz w:val="20"/>
              </w:rPr>
            </w:pPr>
            <w:r>
              <w:rPr>
                <w:rFonts w:hint="eastAsia" w:ascii="仿宋" w:eastAsia="仿宋"/>
                <w:sz w:val="20"/>
              </w:rPr>
              <w:t>（</w:t>
            </w:r>
            <w:r>
              <w:rPr>
                <w:rFonts w:hint="eastAsia" w:ascii="仿宋" w:eastAsia="仿宋"/>
                <w:spacing w:val="-27"/>
                <w:sz w:val="20"/>
              </w:rPr>
              <w:t xml:space="preserve">万 </w:t>
            </w:r>
            <w:r>
              <w:rPr>
                <w:rFonts w:ascii="Times New Roman" w:eastAsia="Times New Roman"/>
                <w:sz w:val="20"/>
              </w:rPr>
              <w:t>t</w:t>
            </w:r>
            <w:r>
              <w:rPr>
                <w:rFonts w:hint="eastAsia" w:ascii="仿宋" w:eastAsia="仿宋"/>
                <w:sz w:val="20"/>
              </w:rPr>
              <w:t>）</w:t>
            </w:r>
          </w:p>
        </w:tc>
        <w:tc>
          <w:tcPr>
            <w:tcW w:w="866" w:type="dxa"/>
          </w:tcPr>
          <w:p>
            <w:pPr>
              <w:pStyle w:val="14"/>
              <w:spacing w:before="132" w:line="242" w:lineRule="auto"/>
              <w:ind w:left="132" w:right="121"/>
              <w:jc w:val="both"/>
              <w:rPr>
                <w:rFonts w:ascii="Times New Roman" w:eastAsia="Times New Roman"/>
                <w:sz w:val="20"/>
              </w:rPr>
            </w:pPr>
            <w:r>
              <w:rPr>
                <w:rFonts w:hint="eastAsia" w:ascii="仿宋" w:eastAsia="仿宋"/>
                <w:sz w:val="20"/>
              </w:rPr>
              <w:t>年度投资额度</w:t>
            </w:r>
            <w:r>
              <w:rPr>
                <w:rFonts w:ascii="Times New Roman" w:eastAsia="Times New Roman"/>
                <w:sz w:val="20"/>
              </w:rPr>
              <w:t>(</w:t>
            </w:r>
            <w:r>
              <w:rPr>
                <w:rFonts w:hint="eastAsia" w:ascii="仿宋" w:eastAsia="仿宋"/>
                <w:sz w:val="20"/>
              </w:rPr>
              <w:t>万元</w:t>
            </w:r>
            <w:r>
              <w:rPr>
                <w:rFonts w:ascii="Times New Roman" w:eastAsia="Times New Roman"/>
                <w:sz w:val="20"/>
              </w:rPr>
              <w:t>)</w:t>
            </w:r>
          </w:p>
        </w:tc>
        <w:tc>
          <w:tcPr>
            <w:tcW w:w="1463" w:type="dxa"/>
          </w:tcPr>
          <w:p>
            <w:pPr>
              <w:pStyle w:val="14"/>
              <w:spacing w:before="2" w:line="242" w:lineRule="auto"/>
              <w:ind w:left="130" w:right="120"/>
              <w:jc w:val="both"/>
              <w:rPr>
                <w:rFonts w:hint="eastAsia" w:ascii="仿宋" w:eastAsia="仿宋"/>
                <w:sz w:val="20"/>
              </w:rPr>
            </w:pPr>
            <w:r>
              <w:rPr>
                <w:rFonts w:hint="eastAsia" w:ascii="仿宋" w:eastAsia="仿宋"/>
                <w:sz w:val="20"/>
              </w:rPr>
              <w:t>单位产量投资矿山环境保护与恢复治理预</w:t>
            </w:r>
          </w:p>
          <w:p>
            <w:pPr>
              <w:pStyle w:val="14"/>
              <w:spacing w:before="1" w:line="238" w:lineRule="exact"/>
              <w:ind w:left="310"/>
              <w:jc w:val="left"/>
              <w:rPr>
                <w:rFonts w:ascii="Times New Roman" w:eastAsia="Times New Roman"/>
                <w:sz w:val="20"/>
              </w:rPr>
            </w:pPr>
            <w:r>
              <w:rPr>
                <w:rFonts w:hint="eastAsia" w:ascii="仿宋" w:eastAsia="仿宋"/>
                <w:sz w:val="20"/>
              </w:rPr>
              <w:t>存额</w:t>
            </w:r>
            <w:r>
              <w:rPr>
                <w:rFonts w:ascii="Times New Roman" w:eastAsia="Times New Roman"/>
                <w:sz w:val="20"/>
              </w:rPr>
              <w:t>(</w:t>
            </w:r>
            <w:r>
              <w:rPr>
                <w:rFonts w:hint="eastAsia" w:ascii="仿宋" w:eastAsia="仿宋"/>
                <w:sz w:val="20"/>
              </w:rPr>
              <w:t>元</w:t>
            </w:r>
            <w:r>
              <w:rPr>
                <w:rFonts w:ascii="Times New Roman" w:eastAsia="Times New Roman"/>
                <w:sz w:val="20"/>
              </w:rPr>
              <w:t>/t)</w:t>
            </w:r>
          </w:p>
        </w:tc>
        <w:tc>
          <w:tcPr>
            <w:tcW w:w="1465" w:type="dxa"/>
          </w:tcPr>
          <w:p>
            <w:pPr>
              <w:pStyle w:val="14"/>
              <w:spacing w:before="2" w:line="242" w:lineRule="auto"/>
              <w:ind w:left="131" w:right="121"/>
              <w:jc w:val="both"/>
              <w:rPr>
                <w:rFonts w:hint="eastAsia" w:ascii="仿宋" w:eastAsia="仿宋"/>
                <w:sz w:val="20"/>
              </w:rPr>
            </w:pPr>
            <w:r>
              <w:rPr>
                <w:rFonts w:hint="eastAsia" w:ascii="仿宋" w:eastAsia="仿宋"/>
                <w:sz w:val="20"/>
              </w:rPr>
              <w:t>年度矿山环境保护与恢复治理费用预存额</w:t>
            </w:r>
          </w:p>
          <w:p>
            <w:pPr>
              <w:pStyle w:val="14"/>
              <w:spacing w:before="1" w:line="238" w:lineRule="exact"/>
              <w:ind w:left="330"/>
              <w:jc w:val="left"/>
              <w:rPr>
                <w:rFonts w:hint="eastAsia" w:ascii="仿宋" w:eastAsia="仿宋"/>
                <w:sz w:val="20"/>
              </w:rPr>
            </w:pPr>
            <w:r>
              <w:rPr>
                <w:rFonts w:hint="eastAsia" w:ascii="仿宋" w:eastAsia="仿宋"/>
                <w:sz w:val="20"/>
              </w:rPr>
              <w:t>（万元）</w:t>
            </w:r>
          </w:p>
        </w:tc>
        <w:tc>
          <w:tcPr>
            <w:tcW w:w="1458" w:type="dxa"/>
          </w:tcPr>
          <w:p>
            <w:pPr>
              <w:pStyle w:val="14"/>
              <w:spacing w:before="2" w:line="242" w:lineRule="auto"/>
              <w:ind w:left="127" w:right="118"/>
              <w:jc w:val="both"/>
              <w:rPr>
                <w:rFonts w:hint="eastAsia" w:ascii="仿宋" w:eastAsia="仿宋"/>
                <w:sz w:val="20"/>
              </w:rPr>
            </w:pPr>
            <w:r>
              <w:rPr>
                <w:rFonts w:hint="eastAsia" w:ascii="仿宋" w:eastAsia="仿宋"/>
                <w:sz w:val="20"/>
              </w:rPr>
              <w:t>阶段矿山环境保护与恢复治理费用预存额</w:t>
            </w:r>
          </w:p>
          <w:p>
            <w:pPr>
              <w:pStyle w:val="14"/>
              <w:spacing w:before="1" w:line="238" w:lineRule="exact"/>
              <w:ind w:left="329"/>
              <w:jc w:val="left"/>
              <w:rPr>
                <w:rFonts w:hint="eastAsia" w:ascii="仿宋" w:eastAsia="仿宋"/>
                <w:sz w:val="20"/>
              </w:rPr>
            </w:pPr>
            <w:r>
              <w:rPr>
                <w:rFonts w:hint="eastAsia" w:ascii="仿宋" w:eastAsia="仿宋"/>
                <w:sz w:val="20"/>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664" w:type="dxa"/>
            <w:vMerge w:val="restart"/>
          </w:tcPr>
          <w:p>
            <w:pPr>
              <w:pStyle w:val="14"/>
              <w:jc w:val="left"/>
              <w:rPr>
                <w:rFonts w:ascii="仿宋"/>
                <w:b/>
                <w:sz w:val="20"/>
              </w:rPr>
            </w:pPr>
          </w:p>
          <w:p>
            <w:pPr>
              <w:pStyle w:val="14"/>
              <w:spacing w:before="9"/>
              <w:jc w:val="left"/>
              <w:rPr>
                <w:rFonts w:ascii="仿宋"/>
                <w:b/>
                <w:sz w:val="26"/>
              </w:rPr>
            </w:pPr>
          </w:p>
          <w:p>
            <w:pPr>
              <w:pStyle w:val="14"/>
              <w:ind w:left="6"/>
              <w:rPr>
                <w:sz w:val="20"/>
              </w:rPr>
            </w:pPr>
            <w:r>
              <w:rPr>
                <w:w w:val="99"/>
                <w:sz w:val="20"/>
              </w:rPr>
              <w:t>一</w:t>
            </w:r>
          </w:p>
        </w:tc>
        <w:tc>
          <w:tcPr>
            <w:tcW w:w="953" w:type="dxa"/>
            <w:vMerge w:val="restart"/>
          </w:tcPr>
          <w:p>
            <w:pPr>
              <w:pStyle w:val="14"/>
              <w:jc w:val="left"/>
              <w:rPr>
                <w:rFonts w:ascii="仿宋"/>
                <w:b/>
                <w:sz w:val="22"/>
              </w:rPr>
            </w:pPr>
          </w:p>
          <w:p>
            <w:pPr>
              <w:pStyle w:val="14"/>
              <w:spacing w:before="9"/>
              <w:jc w:val="left"/>
              <w:rPr>
                <w:rFonts w:ascii="仿宋"/>
                <w:b/>
                <w:sz w:val="25"/>
              </w:rPr>
            </w:pPr>
          </w:p>
          <w:p>
            <w:pPr>
              <w:pStyle w:val="14"/>
              <w:ind w:left="149"/>
              <w:jc w:val="left"/>
              <w:rPr>
                <w:rFonts w:ascii="Times New Roman"/>
                <w:sz w:val="20"/>
              </w:rPr>
            </w:pPr>
            <w:r>
              <w:rPr>
                <w:rFonts w:ascii="Times New Roman"/>
                <w:sz w:val="20"/>
              </w:rPr>
              <w:t>11.9830</w:t>
            </w:r>
          </w:p>
        </w:tc>
        <w:tc>
          <w:tcPr>
            <w:tcW w:w="822" w:type="dxa"/>
          </w:tcPr>
          <w:p>
            <w:pPr>
              <w:pStyle w:val="14"/>
              <w:spacing w:before="26"/>
              <w:ind w:left="151" w:right="144"/>
              <w:rPr>
                <w:rFonts w:ascii="Times New Roman"/>
                <w:sz w:val="20"/>
              </w:rPr>
            </w:pPr>
            <w:r>
              <w:rPr>
                <w:rFonts w:ascii="Times New Roman"/>
                <w:sz w:val="20"/>
              </w:rPr>
              <w:t>2021</w:t>
            </w:r>
          </w:p>
        </w:tc>
        <w:tc>
          <w:tcPr>
            <w:tcW w:w="837" w:type="dxa"/>
          </w:tcPr>
          <w:p>
            <w:pPr>
              <w:pStyle w:val="14"/>
              <w:spacing w:before="26"/>
              <w:ind w:left="232" w:right="226"/>
              <w:rPr>
                <w:rFonts w:ascii="Times New Roman"/>
                <w:sz w:val="20"/>
              </w:rPr>
            </w:pPr>
            <w:r>
              <w:rPr>
                <w:rFonts w:ascii="Times New Roman"/>
                <w:sz w:val="20"/>
              </w:rPr>
              <w:t>30</w:t>
            </w:r>
          </w:p>
        </w:tc>
        <w:tc>
          <w:tcPr>
            <w:tcW w:w="866" w:type="dxa"/>
          </w:tcPr>
          <w:p>
            <w:pPr>
              <w:pStyle w:val="14"/>
              <w:spacing w:before="26"/>
              <w:ind w:left="87" w:right="75"/>
              <w:rPr>
                <w:rFonts w:ascii="Times New Roman"/>
                <w:sz w:val="20"/>
              </w:rPr>
            </w:pPr>
            <w:r>
              <w:rPr>
                <w:rFonts w:ascii="Times New Roman"/>
                <w:sz w:val="20"/>
              </w:rPr>
              <w:t>2.7823</w:t>
            </w:r>
          </w:p>
        </w:tc>
        <w:tc>
          <w:tcPr>
            <w:tcW w:w="1463" w:type="dxa"/>
          </w:tcPr>
          <w:p>
            <w:pPr>
              <w:pStyle w:val="14"/>
              <w:spacing w:before="26"/>
              <w:ind w:left="535" w:right="527"/>
              <w:rPr>
                <w:rFonts w:ascii="Times New Roman"/>
                <w:sz w:val="20"/>
              </w:rPr>
            </w:pPr>
            <w:r>
              <w:rPr>
                <w:rFonts w:ascii="Times New Roman"/>
                <w:sz w:val="20"/>
              </w:rPr>
              <w:t>0.27</w:t>
            </w:r>
          </w:p>
        </w:tc>
        <w:tc>
          <w:tcPr>
            <w:tcW w:w="1465" w:type="dxa"/>
          </w:tcPr>
          <w:p>
            <w:pPr>
              <w:pStyle w:val="14"/>
              <w:spacing w:before="26"/>
              <w:ind w:left="386" w:right="375"/>
              <w:rPr>
                <w:rFonts w:ascii="Times New Roman"/>
                <w:sz w:val="20"/>
              </w:rPr>
            </w:pPr>
            <w:r>
              <w:rPr>
                <w:rFonts w:ascii="Times New Roman"/>
                <w:sz w:val="20"/>
              </w:rPr>
              <w:t>8.2288</w:t>
            </w:r>
          </w:p>
        </w:tc>
        <w:tc>
          <w:tcPr>
            <w:tcW w:w="1458" w:type="dxa"/>
            <w:vMerge w:val="restart"/>
          </w:tcPr>
          <w:p>
            <w:pPr>
              <w:pStyle w:val="14"/>
              <w:jc w:val="left"/>
              <w:rPr>
                <w:rFonts w:ascii="仿宋"/>
                <w:b/>
                <w:sz w:val="22"/>
              </w:rPr>
            </w:pPr>
          </w:p>
          <w:p>
            <w:pPr>
              <w:pStyle w:val="14"/>
              <w:spacing w:before="9"/>
              <w:jc w:val="left"/>
              <w:rPr>
                <w:rFonts w:ascii="仿宋"/>
                <w:b/>
                <w:sz w:val="25"/>
              </w:rPr>
            </w:pPr>
          </w:p>
          <w:p>
            <w:pPr>
              <w:pStyle w:val="14"/>
              <w:ind w:left="403"/>
              <w:jc w:val="left"/>
              <w:rPr>
                <w:rFonts w:ascii="Times New Roman"/>
                <w:sz w:val="20"/>
              </w:rPr>
            </w:pPr>
            <w:r>
              <w:rPr>
                <w:rFonts w:ascii="Times New Roman"/>
                <w:sz w:val="20"/>
              </w:rPr>
              <w:t>18.3565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664" w:type="dxa"/>
            <w:vMerge w:val="continue"/>
            <w:tcBorders>
              <w:top w:val="nil"/>
            </w:tcBorders>
          </w:tcPr>
          <w:p>
            <w:pPr>
              <w:rPr>
                <w:sz w:val="2"/>
                <w:szCs w:val="2"/>
              </w:rPr>
            </w:pPr>
          </w:p>
        </w:tc>
        <w:tc>
          <w:tcPr>
            <w:tcW w:w="953" w:type="dxa"/>
            <w:vMerge w:val="continue"/>
            <w:tcBorders>
              <w:top w:val="nil"/>
            </w:tcBorders>
          </w:tcPr>
          <w:p>
            <w:pPr>
              <w:rPr>
                <w:sz w:val="2"/>
                <w:szCs w:val="2"/>
              </w:rPr>
            </w:pPr>
          </w:p>
        </w:tc>
        <w:tc>
          <w:tcPr>
            <w:tcW w:w="822" w:type="dxa"/>
          </w:tcPr>
          <w:p>
            <w:pPr>
              <w:pStyle w:val="14"/>
              <w:spacing w:before="26"/>
              <w:ind w:left="151" w:right="144"/>
              <w:rPr>
                <w:rFonts w:ascii="Times New Roman"/>
                <w:sz w:val="20"/>
              </w:rPr>
            </w:pPr>
            <w:r>
              <w:rPr>
                <w:rFonts w:ascii="Times New Roman"/>
                <w:sz w:val="20"/>
              </w:rPr>
              <w:t>2022</w:t>
            </w:r>
          </w:p>
        </w:tc>
        <w:tc>
          <w:tcPr>
            <w:tcW w:w="837" w:type="dxa"/>
          </w:tcPr>
          <w:p>
            <w:pPr>
              <w:pStyle w:val="14"/>
              <w:spacing w:before="26"/>
              <w:ind w:left="232" w:right="226"/>
              <w:rPr>
                <w:rFonts w:ascii="Times New Roman"/>
                <w:sz w:val="20"/>
              </w:rPr>
            </w:pPr>
            <w:r>
              <w:rPr>
                <w:rFonts w:ascii="Times New Roman"/>
                <w:sz w:val="20"/>
              </w:rPr>
              <w:t>30</w:t>
            </w:r>
          </w:p>
        </w:tc>
        <w:tc>
          <w:tcPr>
            <w:tcW w:w="866" w:type="dxa"/>
          </w:tcPr>
          <w:p>
            <w:pPr>
              <w:pStyle w:val="14"/>
              <w:spacing w:before="26"/>
              <w:ind w:left="87" w:right="75"/>
              <w:rPr>
                <w:rFonts w:ascii="Times New Roman"/>
                <w:sz w:val="20"/>
              </w:rPr>
            </w:pPr>
            <w:r>
              <w:rPr>
                <w:rFonts w:ascii="Times New Roman"/>
                <w:sz w:val="20"/>
              </w:rPr>
              <w:t>2.2323</w:t>
            </w:r>
          </w:p>
        </w:tc>
        <w:tc>
          <w:tcPr>
            <w:tcW w:w="1463" w:type="dxa"/>
          </w:tcPr>
          <w:p>
            <w:pPr>
              <w:pStyle w:val="14"/>
              <w:spacing w:before="26"/>
              <w:ind w:left="535" w:right="527"/>
              <w:rPr>
                <w:rFonts w:ascii="Times New Roman"/>
                <w:sz w:val="20"/>
              </w:rPr>
            </w:pPr>
            <w:r>
              <w:rPr>
                <w:rFonts w:ascii="Times New Roman"/>
                <w:sz w:val="20"/>
              </w:rPr>
              <w:t>0.08</w:t>
            </w:r>
          </w:p>
        </w:tc>
        <w:tc>
          <w:tcPr>
            <w:tcW w:w="1465" w:type="dxa"/>
          </w:tcPr>
          <w:p>
            <w:pPr>
              <w:pStyle w:val="14"/>
              <w:spacing w:before="26"/>
              <w:ind w:left="386" w:right="375"/>
              <w:rPr>
                <w:rFonts w:ascii="Times New Roman"/>
                <w:sz w:val="20"/>
              </w:rPr>
            </w:pPr>
            <w:r>
              <w:rPr>
                <w:rFonts w:ascii="Times New Roman"/>
                <w:sz w:val="20"/>
              </w:rPr>
              <w:t>2.5319</w:t>
            </w:r>
          </w:p>
        </w:tc>
        <w:tc>
          <w:tcPr>
            <w:tcW w:w="145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64" w:type="dxa"/>
            <w:vMerge w:val="continue"/>
            <w:tcBorders>
              <w:top w:val="nil"/>
            </w:tcBorders>
          </w:tcPr>
          <w:p>
            <w:pPr>
              <w:rPr>
                <w:sz w:val="2"/>
                <w:szCs w:val="2"/>
              </w:rPr>
            </w:pPr>
          </w:p>
        </w:tc>
        <w:tc>
          <w:tcPr>
            <w:tcW w:w="953" w:type="dxa"/>
            <w:vMerge w:val="continue"/>
            <w:tcBorders>
              <w:top w:val="nil"/>
            </w:tcBorders>
          </w:tcPr>
          <w:p>
            <w:pPr>
              <w:rPr>
                <w:sz w:val="2"/>
                <w:szCs w:val="2"/>
              </w:rPr>
            </w:pPr>
          </w:p>
        </w:tc>
        <w:tc>
          <w:tcPr>
            <w:tcW w:w="822" w:type="dxa"/>
          </w:tcPr>
          <w:p>
            <w:pPr>
              <w:pStyle w:val="14"/>
              <w:spacing w:before="25"/>
              <w:ind w:left="151" w:right="144"/>
              <w:rPr>
                <w:rFonts w:ascii="Times New Roman"/>
                <w:sz w:val="20"/>
              </w:rPr>
            </w:pPr>
            <w:r>
              <w:rPr>
                <w:rFonts w:ascii="Times New Roman"/>
                <w:sz w:val="20"/>
              </w:rPr>
              <w:t>2023</w:t>
            </w:r>
          </w:p>
        </w:tc>
        <w:tc>
          <w:tcPr>
            <w:tcW w:w="837" w:type="dxa"/>
          </w:tcPr>
          <w:p>
            <w:pPr>
              <w:pStyle w:val="14"/>
              <w:spacing w:before="25"/>
              <w:ind w:left="232" w:right="226"/>
              <w:rPr>
                <w:rFonts w:ascii="Times New Roman"/>
                <w:sz w:val="20"/>
              </w:rPr>
            </w:pPr>
            <w:r>
              <w:rPr>
                <w:rFonts w:ascii="Times New Roman"/>
                <w:sz w:val="20"/>
              </w:rPr>
              <w:t>30</w:t>
            </w:r>
          </w:p>
        </w:tc>
        <w:tc>
          <w:tcPr>
            <w:tcW w:w="866" w:type="dxa"/>
          </w:tcPr>
          <w:p>
            <w:pPr>
              <w:pStyle w:val="14"/>
              <w:spacing w:before="25"/>
              <w:ind w:left="87" w:right="75"/>
              <w:rPr>
                <w:rFonts w:ascii="Times New Roman"/>
                <w:sz w:val="20"/>
              </w:rPr>
            </w:pPr>
            <w:r>
              <w:rPr>
                <w:rFonts w:ascii="Times New Roman"/>
                <w:sz w:val="20"/>
              </w:rPr>
              <w:t>2.2769</w:t>
            </w:r>
          </w:p>
        </w:tc>
        <w:tc>
          <w:tcPr>
            <w:tcW w:w="1463" w:type="dxa"/>
          </w:tcPr>
          <w:p>
            <w:pPr>
              <w:pStyle w:val="14"/>
              <w:spacing w:before="25"/>
              <w:ind w:left="535" w:right="527"/>
              <w:rPr>
                <w:rFonts w:ascii="Times New Roman"/>
                <w:sz w:val="20"/>
              </w:rPr>
            </w:pPr>
            <w:r>
              <w:rPr>
                <w:rFonts w:ascii="Times New Roman"/>
                <w:sz w:val="20"/>
              </w:rPr>
              <w:t>0.08</w:t>
            </w:r>
          </w:p>
        </w:tc>
        <w:tc>
          <w:tcPr>
            <w:tcW w:w="1465" w:type="dxa"/>
          </w:tcPr>
          <w:p>
            <w:pPr>
              <w:pStyle w:val="14"/>
              <w:spacing w:before="25"/>
              <w:ind w:left="386" w:right="375"/>
              <w:rPr>
                <w:rFonts w:ascii="Times New Roman"/>
                <w:sz w:val="20"/>
              </w:rPr>
            </w:pPr>
            <w:r>
              <w:rPr>
                <w:rFonts w:ascii="Times New Roman"/>
                <w:sz w:val="20"/>
              </w:rPr>
              <w:t>2.5319</w:t>
            </w:r>
          </w:p>
        </w:tc>
        <w:tc>
          <w:tcPr>
            <w:tcW w:w="145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664" w:type="dxa"/>
            <w:vMerge w:val="continue"/>
            <w:tcBorders>
              <w:top w:val="nil"/>
            </w:tcBorders>
          </w:tcPr>
          <w:p>
            <w:pPr>
              <w:rPr>
                <w:sz w:val="2"/>
                <w:szCs w:val="2"/>
              </w:rPr>
            </w:pPr>
          </w:p>
        </w:tc>
        <w:tc>
          <w:tcPr>
            <w:tcW w:w="953" w:type="dxa"/>
            <w:vMerge w:val="continue"/>
            <w:tcBorders>
              <w:top w:val="nil"/>
            </w:tcBorders>
          </w:tcPr>
          <w:p>
            <w:pPr>
              <w:rPr>
                <w:sz w:val="2"/>
                <w:szCs w:val="2"/>
              </w:rPr>
            </w:pPr>
          </w:p>
        </w:tc>
        <w:tc>
          <w:tcPr>
            <w:tcW w:w="822" w:type="dxa"/>
          </w:tcPr>
          <w:p>
            <w:pPr>
              <w:pStyle w:val="14"/>
              <w:spacing w:before="25"/>
              <w:ind w:left="151" w:right="144"/>
              <w:rPr>
                <w:rFonts w:ascii="Times New Roman"/>
                <w:sz w:val="20"/>
              </w:rPr>
            </w:pPr>
            <w:r>
              <w:rPr>
                <w:rFonts w:ascii="Times New Roman"/>
                <w:sz w:val="20"/>
              </w:rPr>
              <w:t>2024</w:t>
            </w:r>
          </w:p>
        </w:tc>
        <w:tc>
          <w:tcPr>
            <w:tcW w:w="837" w:type="dxa"/>
          </w:tcPr>
          <w:p>
            <w:pPr>
              <w:pStyle w:val="14"/>
              <w:spacing w:before="25"/>
              <w:ind w:left="232" w:right="226"/>
              <w:rPr>
                <w:rFonts w:ascii="Times New Roman"/>
                <w:sz w:val="20"/>
              </w:rPr>
            </w:pPr>
            <w:r>
              <w:rPr>
                <w:rFonts w:ascii="Times New Roman"/>
                <w:sz w:val="20"/>
              </w:rPr>
              <w:t>30</w:t>
            </w:r>
          </w:p>
        </w:tc>
        <w:tc>
          <w:tcPr>
            <w:tcW w:w="866" w:type="dxa"/>
          </w:tcPr>
          <w:p>
            <w:pPr>
              <w:pStyle w:val="14"/>
              <w:spacing w:before="25"/>
              <w:ind w:left="87" w:right="75"/>
              <w:rPr>
                <w:rFonts w:ascii="Times New Roman"/>
                <w:sz w:val="20"/>
              </w:rPr>
            </w:pPr>
            <w:r>
              <w:rPr>
                <w:rFonts w:ascii="Times New Roman"/>
                <w:sz w:val="20"/>
              </w:rPr>
              <w:t>2.3225</w:t>
            </w:r>
          </w:p>
        </w:tc>
        <w:tc>
          <w:tcPr>
            <w:tcW w:w="1463" w:type="dxa"/>
          </w:tcPr>
          <w:p>
            <w:pPr>
              <w:pStyle w:val="14"/>
              <w:spacing w:before="25"/>
              <w:ind w:left="535" w:right="527"/>
              <w:rPr>
                <w:rFonts w:ascii="Times New Roman"/>
                <w:sz w:val="20"/>
              </w:rPr>
            </w:pPr>
            <w:r>
              <w:rPr>
                <w:rFonts w:ascii="Times New Roman"/>
                <w:sz w:val="20"/>
              </w:rPr>
              <w:t>0.08</w:t>
            </w:r>
          </w:p>
        </w:tc>
        <w:tc>
          <w:tcPr>
            <w:tcW w:w="1465" w:type="dxa"/>
          </w:tcPr>
          <w:p>
            <w:pPr>
              <w:pStyle w:val="14"/>
              <w:spacing w:before="25"/>
              <w:ind w:left="386" w:right="375"/>
              <w:rPr>
                <w:rFonts w:ascii="Times New Roman"/>
                <w:sz w:val="20"/>
              </w:rPr>
            </w:pPr>
            <w:r>
              <w:rPr>
                <w:rFonts w:ascii="Times New Roman"/>
                <w:sz w:val="20"/>
              </w:rPr>
              <w:t>2.5319</w:t>
            </w:r>
          </w:p>
        </w:tc>
        <w:tc>
          <w:tcPr>
            <w:tcW w:w="145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64" w:type="dxa"/>
            <w:vMerge w:val="continue"/>
            <w:tcBorders>
              <w:top w:val="nil"/>
            </w:tcBorders>
          </w:tcPr>
          <w:p>
            <w:pPr>
              <w:rPr>
                <w:sz w:val="2"/>
                <w:szCs w:val="2"/>
              </w:rPr>
            </w:pPr>
          </w:p>
        </w:tc>
        <w:tc>
          <w:tcPr>
            <w:tcW w:w="953" w:type="dxa"/>
            <w:vMerge w:val="continue"/>
            <w:tcBorders>
              <w:top w:val="nil"/>
            </w:tcBorders>
          </w:tcPr>
          <w:p>
            <w:pPr>
              <w:rPr>
                <w:sz w:val="2"/>
                <w:szCs w:val="2"/>
              </w:rPr>
            </w:pPr>
          </w:p>
        </w:tc>
        <w:tc>
          <w:tcPr>
            <w:tcW w:w="822" w:type="dxa"/>
          </w:tcPr>
          <w:p>
            <w:pPr>
              <w:pStyle w:val="14"/>
              <w:spacing w:before="25"/>
              <w:ind w:left="151" w:right="144"/>
              <w:rPr>
                <w:rFonts w:ascii="Times New Roman"/>
                <w:sz w:val="20"/>
              </w:rPr>
            </w:pPr>
            <w:r>
              <w:rPr>
                <w:rFonts w:ascii="Times New Roman"/>
                <w:sz w:val="20"/>
              </w:rPr>
              <w:t>2025</w:t>
            </w:r>
          </w:p>
        </w:tc>
        <w:tc>
          <w:tcPr>
            <w:tcW w:w="837" w:type="dxa"/>
          </w:tcPr>
          <w:p>
            <w:pPr>
              <w:pStyle w:val="14"/>
              <w:spacing w:before="25"/>
              <w:ind w:left="232" w:right="226"/>
              <w:rPr>
                <w:rFonts w:ascii="Times New Roman"/>
                <w:sz w:val="20"/>
              </w:rPr>
            </w:pPr>
            <w:r>
              <w:rPr>
                <w:rFonts w:ascii="Times New Roman"/>
                <w:sz w:val="20"/>
              </w:rPr>
              <w:t>30</w:t>
            </w:r>
          </w:p>
        </w:tc>
        <w:tc>
          <w:tcPr>
            <w:tcW w:w="866" w:type="dxa"/>
          </w:tcPr>
          <w:p>
            <w:pPr>
              <w:pStyle w:val="14"/>
              <w:spacing w:before="25"/>
              <w:ind w:left="87" w:right="75"/>
              <w:rPr>
                <w:rFonts w:ascii="Times New Roman"/>
                <w:sz w:val="20"/>
              </w:rPr>
            </w:pPr>
            <w:r>
              <w:rPr>
                <w:rFonts w:ascii="Times New Roman"/>
                <w:sz w:val="20"/>
              </w:rPr>
              <w:t>2.3689</w:t>
            </w:r>
          </w:p>
        </w:tc>
        <w:tc>
          <w:tcPr>
            <w:tcW w:w="1463" w:type="dxa"/>
          </w:tcPr>
          <w:p>
            <w:pPr>
              <w:pStyle w:val="14"/>
              <w:spacing w:before="25"/>
              <w:ind w:left="535" w:right="527"/>
              <w:rPr>
                <w:rFonts w:ascii="Times New Roman"/>
                <w:sz w:val="20"/>
              </w:rPr>
            </w:pPr>
            <w:r>
              <w:rPr>
                <w:rFonts w:ascii="Times New Roman"/>
                <w:sz w:val="20"/>
              </w:rPr>
              <w:t>0.08</w:t>
            </w:r>
          </w:p>
        </w:tc>
        <w:tc>
          <w:tcPr>
            <w:tcW w:w="1465" w:type="dxa"/>
          </w:tcPr>
          <w:p>
            <w:pPr>
              <w:pStyle w:val="14"/>
              <w:spacing w:before="25"/>
              <w:ind w:left="386" w:right="375"/>
              <w:rPr>
                <w:rFonts w:ascii="Times New Roman"/>
                <w:sz w:val="20"/>
              </w:rPr>
            </w:pPr>
            <w:r>
              <w:rPr>
                <w:rFonts w:ascii="Times New Roman"/>
                <w:sz w:val="20"/>
              </w:rPr>
              <w:t>2.5319</w:t>
            </w:r>
          </w:p>
        </w:tc>
        <w:tc>
          <w:tcPr>
            <w:tcW w:w="145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64" w:type="dxa"/>
            <w:vMerge w:val="restart"/>
          </w:tcPr>
          <w:p>
            <w:pPr>
              <w:pStyle w:val="14"/>
              <w:jc w:val="left"/>
              <w:rPr>
                <w:rFonts w:ascii="仿宋"/>
                <w:b/>
                <w:sz w:val="20"/>
              </w:rPr>
            </w:pPr>
          </w:p>
          <w:p>
            <w:pPr>
              <w:pStyle w:val="14"/>
              <w:spacing w:before="10"/>
              <w:jc w:val="left"/>
              <w:rPr>
                <w:rFonts w:ascii="仿宋"/>
                <w:b/>
                <w:sz w:val="26"/>
              </w:rPr>
            </w:pPr>
          </w:p>
          <w:p>
            <w:pPr>
              <w:pStyle w:val="14"/>
              <w:ind w:left="6"/>
              <w:rPr>
                <w:sz w:val="20"/>
              </w:rPr>
            </w:pPr>
            <w:r>
              <w:rPr>
                <w:w w:val="99"/>
                <w:sz w:val="20"/>
              </w:rPr>
              <w:t>二</w:t>
            </w:r>
          </w:p>
        </w:tc>
        <w:tc>
          <w:tcPr>
            <w:tcW w:w="953" w:type="dxa"/>
            <w:vMerge w:val="restart"/>
          </w:tcPr>
          <w:p>
            <w:pPr>
              <w:pStyle w:val="14"/>
              <w:jc w:val="left"/>
              <w:rPr>
                <w:rFonts w:ascii="仿宋"/>
                <w:b/>
                <w:sz w:val="22"/>
              </w:rPr>
            </w:pPr>
          </w:p>
          <w:p>
            <w:pPr>
              <w:pStyle w:val="14"/>
              <w:spacing w:before="10"/>
              <w:jc w:val="left"/>
              <w:rPr>
                <w:rFonts w:ascii="仿宋"/>
                <w:b/>
                <w:sz w:val="25"/>
              </w:rPr>
            </w:pPr>
          </w:p>
          <w:p>
            <w:pPr>
              <w:pStyle w:val="14"/>
              <w:spacing w:before="1"/>
              <w:ind w:left="149"/>
              <w:jc w:val="left"/>
              <w:rPr>
                <w:rFonts w:ascii="Times New Roman"/>
                <w:sz w:val="20"/>
              </w:rPr>
            </w:pPr>
            <w:r>
              <w:rPr>
                <w:rFonts w:ascii="Times New Roman"/>
                <w:sz w:val="20"/>
              </w:rPr>
              <w:t>12.5746</w:t>
            </w:r>
          </w:p>
        </w:tc>
        <w:tc>
          <w:tcPr>
            <w:tcW w:w="822" w:type="dxa"/>
          </w:tcPr>
          <w:p>
            <w:pPr>
              <w:pStyle w:val="14"/>
              <w:spacing w:before="27"/>
              <w:ind w:left="151" w:right="144"/>
              <w:rPr>
                <w:rFonts w:ascii="Times New Roman"/>
                <w:sz w:val="20"/>
              </w:rPr>
            </w:pPr>
            <w:r>
              <w:rPr>
                <w:rFonts w:ascii="Times New Roman"/>
                <w:sz w:val="20"/>
              </w:rPr>
              <w:t>2026</w:t>
            </w:r>
          </w:p>
        </w:tc>
        <w:tc>
          <w:tcPr>
            <w:tcW w:w="837" w:type="dxa"/>
          </w:tcPr>
          <w:p>
            <w:pPr>
              <w:pStyle w:val="14"/>
              <w:spacing w:before="27"/>
              <w:ind w:left="232" w:right="226"/>
              <w:rPr>
                <w:rFonts w:ascii="Times New Roman"/>
                <w:sz w:val="20"/>
              </w:rPr>
            </w:pPr>
            <w:r>
              <w:rPr>
                <w:rFonts w:ascii="Times New Roman"/>
                <w:sz w:val="20"/>
              </w:rPr>
              <w:t>30</w:t>
            </w:r>
          </w:p>
        </w:tc>
        <w:tc>
          <w:tcPr>
            <w:tcW w:w="866" w:type="dxa"/>
          </w:tcPr>
          <w:p>
            <w:pPr>
              <w:pStyle w:val="14"/>
              <w:spacing w:before="27"/>
              <w:ind w:left="87" w:right="75"/>
              <w:rPr>
                <w:rFonts w:ascii="Times New Roman"/>
                <w:sz w:val="20"/>
              </w:rPr>
            </w:pPr>
            <w:r>
              <w:rPr>
                <w:rFonts w:ascii="Times New Roman"/>
                <w:sz w:val="20"/>
              </w:rPr>
              <w:t>2.4163</w:t>
            </w:r>
          </w:p>
        </w:tc>
        <w:tc>
          <w:tcPr>
            <w:tcW w:w="1463" w:type="dxa"/>
          </w:tcPr>
          <w:p>
            <w:pPr>
              <w:pStyle w:val="14"/>
              <w:spacing w:before="27"/>
              <w:ind w:left="535" w:right="527"/>
              <w:rPr>
                <w:rFonts w:ascii="Times New Roman"/>
                <w:sz w:val="20"/>
              </w:rPr>
            </w:pPr>
            <w:r>
              <w:rPr>
                <w:rFonts w:ascii="Times New Roman"/>
                <w:sz w:val="20"/>
              </w:rPr>
              <w:t>0.08</w:t>
            </w:r>
          </w:p>
        </w:tc>
        <w:tc>
          <w:tcPr>
            <w:tcW w:w="1465" w:type="dxa"/>
          </w:tcPr>
          <w:p>
            <w:pPr>
              <w:pStyle w:val="14"/>
              <w:spacing w:before="27"/>
              <w:ind w:left="386" w:right="375"/>
              <w:rPr>
                <w:rFonts w:ascii="Times New Roman"/>
                <w:sz w:val="20"/>
              </w:rPr>
            </w:pPr>
            <w:r>
              <w:rPr>
                <w:rFonts w:ascii="Times New Roman"/>
                <w:sz w:val="20"/>
              </w:rPr>
              <w:t>2.5319</w:t>
            </w:r>
          </w:p>
        </w:tc>
        <w:tc>
          <w:tcPr>
            <w:tcW w:w="1458" w:type="dxa"/>
            <w:vMerge w:val="restart"/>
          </w:tcPr>
          <w:p>
            <w:pPr>
              <w:pStyle w:val="14"/>
              <w:jc w:val="left"/>
              <w:rPr>
                <w:rFonts w:ascii="仿宋"/>
                <w:b/>
                <w:sz w:val="22"/>
              </w:rPr>
            </w:pPr>
          </w:p>
          <w:p>
            <w:pPr>
              <w:pStyle w:val="14"/>
              <w:spacing w:before="10"/>
              <w:jc w:val="left"/>
              <w:rPr>
                <w:rFonts w:ascii="仿宋"/>
                <w:b/>
                <w:sz w:val="25"/>
              </w:rPr>
            </w:pPr>
          </w:p>
          <w:p>
            <w:pPr>
              <w:pStyle w:val="14"/>
              <w:spacing w:before="1"/>
              <w:ind w:left="403"/>
              <w:jc w:val="left"/>
              <w:rPr>
                <w:rFonts w:ascii="Times New Roman"/>
                <w:sz w:val="20"/>
              </w:rPr>
            </w:pPr>
            <w:r>
              <w:rPr>
                <w:rFonts w:ascii="Times New Roman"/>
                <w:sz w:val="20"/>
              </w:rPr>
              <w:t>12.6596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664" w:type="dxa"/>
            <w:vMerge w:val="continue"/>
            <w:tcBorders>
              <w:top w:val="nil"/>
            </w:tcBorders>
          </w:tcPr>
          <w:p>
            <w:pPr>
              <w:rPr>
                <w:sz w:val="2"/>
                <w:szCs w:val="2"/>
              </w:rPr>
            </w:pPr>
          </w:p>
        </w:tc>
        <w:tc>
          <w:tcPr>
            <w:tcW w:w="953" w:type="dxa"/>
            <w:vMerge w:val="continue"/>
            <w:tcBorders>
              <w:top w:val="nil"/>
            </w:tcBorders>
          </w:tcPr>
          <w:p>
            <w:pPr>
              <w:rPr>
                <w:sz w:val="2"/>
                <w:szCs w:val="2"/>
              </w:rPr>
            </w:pPr>
          </w:p>
        </w:tc>
        <w:tc>
          <w:tcPr>
            <w:tcW w:w="822" w:type="dxa"/>
          </w:tcPr>
          <w:p>
            <w:pPr>
              <w:pStyle w:val="14"/>
              <w:spacing w:before="27"/>
              <w:ind w:left="151" w:right="144"/>
              <w:rPr>
                <w:rFonts w:ascii="Times New Roman"/>
                <w:sz w:val="20"/>
              </w:rPr>
            </w:pPr>
            <w:r>
              <w:rPr>
                <w:rFonts w:ascii="Times New Roman"/>
                <w:sz w:val="20"/>
              </w:rPr>
              <w:t>2027</w:t>
            </w:r>
          </w:p>
        </w:tc>
        <w:tc>
          <w:tcPr>
            <w:tcW w:w="837" w:type="dxa"/>
          </w:tcPr>
          <w:p>
            <w:pPr>
              <w:pStyle w:val="14"/>
              <w:spacing w:before="27"/>
              <w:ind w:left="232" w:right="226"/>
              <w:rPr>
                <w:rFonts w:ascii="Times New Roman"/>
                <w:sz w:val="20"/>
              </w:rPr>
            </w:pPr>
            <w:r>
              <w:rPr>
                <w:rFonts w:ascii="Times New Roman"/>
                <w:sz w:val="20"/>
              </w:rPr>
              <w:t>30</w:t>
            </w:r>
          </w:p>
        </w:tc>
        <w:tc>
          <w:tcPr>
            <w:tcW w:w="866" w:type="dxa"/>
          </w:tcPr>
          <w:p>
            <w:pPr>
              <w:pStyle w:val="14"/>
              <w:spacing w:before="27"/>
              <w:ind w:left="87" w:right="75"/>
              <w:rPr>
                <w:rFonts w:ascii="Times New Roman"/>
                <w:sz w:val="20"/>
              </w:rPr>
            </w:pPr>
            <w:r>
              <w:rPr>
                <w:rFonts w:ascii="Times New Roman"/>
                <w:sz w:val="20"/>
              </w:rPr>
              <w:t>2.4646</w:t>
            </w:r>
          </w:p>
        </w:tc>
        <w:tc>
          <w:tcPr>
            <w:tcW w:w="1463" w:type="dxa"/>
          </w:tcPr>
          <w:p>
            <w:pPr>
              <w:pStyle w:val="14"/>
              <w:spacing w:before="27"/>
              <w:ind w:left="535" w:right="527"/>
              <w:rPr>
                <w:rFonts w:ascii="Times New Roman"/>
                <w:sz w:val="20"/>
              </w:rPr>
            </w:pPr>
            <w:r>
              <w:rPr>
                <w:rFonts w:ascii="Times New Roman"/>
                <w:sz w:val="20"/>
              </w:rPr>
              <w:t>0.08</w:t>
            </w:r>
          </w:p>
        </w:tc>
        <w:tc>
          <w:tcPr>
            <w:tcW w:w="1465" w:type="dxa"/>
          </w:tcPr>
          <w:p>
            <w:pPr>
              <w:pStyle w:val="14"/>
              <w:spacing w:before="27"/>
              <w:ind w:left="386" w:right="375"/>
              <w:rPr>
                <w:rFonts w:ascii="Times New Roman"/>
                <w:sz w:val="20"/>
              </w:rPr>
            </w:pPr>
            <w:r>
              <w:rPr>
                <w:rFonts w:ascii="Times New Roman"/>
                <w:sz w:val="20"/>
              </w:rPr>
              <w:t>2.5319</w:t>
            </w:r>
          </w:p>
        </w:tc>
        <w:tc>
          <w:tcPr>
            <w:tcW w:w="145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64" w:type="dxa"/>
            <w:vMerge w:val="continue"/>
            <w:tcBorders>
              <w:top w:val="nil"/>
            </w:tcBorders>
          </w:tcPr>
          <w:p>
            <w:pPr>
              <w:rPr>
                <w:sz w:val="2"/>
                <w:szCs w:val="2"/>
              </w:rPr>
            </w:pPr>
          </w:p>
        </w:tc>
        <w:tc>
          <w:tcPr>
            <w:tcW w:w="953" w:type="dxa"/>
            <w:vMerge w:val="continue"/>
            <w:tcBorders>
              <w:top w:val="nil"/>
            </w:tcBorders>
          </w:tcPr>
          <w:p>
            <w:pPr>
              <w:rPr>
                <w:sz w:val="2"/>
                <w:szCs w:val="2"/>
              </w:rPr>
            </w:pPr>
          </w:p>
        </w:tc>
        <w:tc>
          <w:tcPr>
            <w:tcW w:w="822" w:type="dxa"/>
          </w:tcPr>
          <w:p>
            <w:pPr>
              <w:pStyle w:val="14"/>
              <w:spacing w:before="27"/>
              <w:ind w:left="151" w:right="144"/>
              <w:rPr>
                <w:rFonts w:ascii="Times New Roman"/>
                <w:sz w:val="20"/>
              </w:rPr>
            </w:pPr>
            <w:r>
              <w:rPr>
                <w:rFonts w:ascii="Times New Roman"/>
                <w:sz w:val="20"/>
              </w:rPr>
              <w:t>2028</w:t>
            </w:r>
          </w:p>
        </w:tc>
        <w:tc>
          <w:tcPr>
            <w:tcW w:w="837" w:type="dxa"/>
          </w:tcPr>
          <w:p>
            <w:pPr>
              <w:pStyle w:val="14"/>
              <w:spacing w:before="27"/>
              <w:ind w:left="232" w:right="226"/>
              <w:rPr>
                <w:rFonts w:ascii="Times New Roman"/>
                <w:sz w:val="20"/>
              </w:rPr>
            </w:pPr>
            <w:r>
              <w:rPr>
                <w:rFonts w:ascii="Times New Roman"/>
                <w:sz w:val="20"/>
              </w:rPr>
              <w:t>30</w:t>
            </w:r>
          </w:p>
        </w:tc>
        <w:tc>
          <w:tcPr>
            <w:tcW w:w="866" w:type="dxa"/>
          </w:tcPr>
          <w:p>
            <w:pPr>
              <w:pStyle w:val="14"/>
              <w:spacing w:before="27"/>
              <w:ind w:left="87" w:right="75"/>
              <w:rPr>
                <w:rFonts w:ascii="Times New Roman"/>
                <w:sz w:val="20"/>
              </w:rPr>
            </w:pPr>
            <w:r>
              <w:rPr>
                <w:rFonts w:ascii="Times New Roman"/>
                <w:sz w:val="20"/>
              </w:rPr>
              <w:t>2.5139</w:t>
            </w:r>
          </w:p>
        </w:tc>
        <w:tc>
          <w:tcPr>
            <w:tcW w:w="1463" w:type="dxa"/>
          </w:tcPr>
          <w:p>
            <w:pPr>
              <w:pStyle w:val="14"/>
              <w:spacing w:before="27"/>
              <w:ind w:left="535" w:right="527"/>
              <w:rPr>
                <w:rFonts w:ascii="Times New Roman"/>
                <w:sz w:val="20"/>
              </w:rPr>
            </w:pPr>
            <w:r>
              <w:rPr>
                <w:rFonts w:ascii="Times New Roman"/>
                <w:sz w:val="20"/>
              </w:rPr>
              <w:t>0.08</w:t>
            </w:r>
          </w:p>
        </w:tc>
        <w:tc>
          <w:tcPr>
            <w:tcW w:w="1465" w:type="dxa"/>
          </w:tcPr>
          <w:p>
            <w:pPr>
              <w:pStyle w:val="14"/>
              <w:spacing w:before="27"/>
              <w:ind w:left="386" w:right="375"/>
              <w:rPr>
                <w:rFonts w:ascii="Times New Roman"/>
                <w:sz w:val="20"/>
              </w:rPr>
            </w:pPr>
            <w:r>
              <w:rPr>
                <w:rFonts w:ascii="Times New Roman"/>
                <w:sz w:val="20"/>
              </w:rPr>
              <w:t>2.5319</w:t>
            </w:r>
          </w:p>
        </w:tc>
        <w:tc>
          <w:tcPr>
            <w:tcW w:w="145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664" w:type="dxa"/>
            <w:vMerge w:val="continue"/>
            <w:tcBorders>
              <w:top w:val="nil"/>
            </w:tcBorders>
          </w:tcPr>
          <w:p>
            <w:pPr>
              <w:rPr>
                <w:sz w:val="2"/>
                <w:szCs w:val="2"/>
              </w:rPr>
            </w:pPr>
          </w:p>
        </w:tc>
        <w:tc>
          <w:tcPr>
            <w:tcW w:w="953" w:type="dxa"/>
            <w:vMerge w:val="continue"/>
            <w:tcBorders>
              <w:top w:val="nil"/>
            </w:tcBorders>
          </w:tcPr>
          <w:p>
            <w:pPr>
              <w:rPr>
                <w:sz w:val="2"/>
                <w:szCs w:val="2"/>
              </w:rPr>
            </w:pPr>
          </w:p>
        </w:tc>
        <w:tc>
          <w:tcPr>
            <w:tcW w:w="822" w:type="dxa"/>
          </w:tcPr>
          <w:p>
            <w:pPr>
              <w:pStyle w:val="14"/>
              <w:spacing w:before="27"/>
              <w:ind w:left="151" w:right="144"/>
              <w:rPr>
                <w:rFonts w:ascii="Times New Roman"/>
                <w:sz w:val="20"/>
              </w:rPr>
            </w:pPr>
            <w:r>
              <w:rPr>
                <w:rFonts w:ascii="Times New Roman"/>
                <w:sz w:val="20"/>
              </w:rPr>
              <w:t>2029</w:t>
            </w:r>
          </w:p>
        </w:tc>
        <w:tc>
          <w:tcPr>
            <w:tcW w:w="837" w:type="dxa"/>
          </w:tcPr>
          <w:p>
            <w:pPr>
              <w:pStyle w:val="14"/>
              <w:spacing w:before="27"/>
              <w:ind w:left="232" w:right="226"/>
              <w:rPr>
                <w:rFonts w:ascii="Times New Roman"/>
                <w:sz w:val="20"/>
              </w:rPr>
            </w:pPr>
            <w:r>
              <w:rPr>
                <w:rFonts w:ascii="Times New Roman"/>
                <w:sz w:val="20"/>
              </w:rPr>
              <w:t>30</w:t>
            </w:r>
          </w:p>
        </w:tc>
        <w:tc>
          <w:tcPr>
            <w:tcW w:w="866" w:type="dxa"/>
          </w:tcPr>
          <w:p>
            <w:pPr>
              <w:pStyle w:val="14"/>
              <w:spacing w:before="27"/>
              <w:ind w:left="87" w:right="75"/>
              <w:rPr>
                <w:rFonts w:ascii="Times New Roman"/>
                <w:sz w:val="20"/>
              </w:rPr>
            </w:pPr>
            <w:r>
              <w:rPr>
                <w:rFonts w:ascii="Times New Roman"/>
                <w:sz w:val="20"/>
              </w:rPr>
              <w:t>2.5642</w:t>
            </w:r>
          </w:p>
        </w:tc>
        <w:tc>
          <w:tcPr>
            <w:tcW w:w="1463" w:type="dxa"/>
          </w:tcPr>
          <w:p>
            <w:pPr>
              <w:pStyle w:val="14"/>
              <w:spacing w:before="27"/>
              <w:ind w:left="535" w:right="527"/>
              <w:rPr>
                <w:rFonts w:ascii="Times New Roman"/>
                <w:sz w:val="20"/>
              </w:rPr>
            </w:pPr>
            <w:r>
              <w:rPr>
                <w:rFonts w:ascii="Times New Roman"/>
                <w:sz w:val="20"/>
              </w:rPr>
              <w:t>0.08</w:t>
            </w:r>
          </w:p>
        </w:tc>
        <w:tc>
          <w:tcPr>
            <w:tcW w:w="1465" w:type="dxa"/>
          </w:tcPr>
          <w:p>
            <w:pPr>
              <w:pStyle w:val="14"/>
              <w:spacing w:before="27"/>
              <w:ind w:left="386" w:right="375"/>
              <w:rPr>
                <w:rFonts w:ascii="Times New Roman"/>
                <w:sz w:val="20"/>
              </w:rPr>
            </w:pPr>
            <w:r>
              <w:rPr>
                <w:rFonts w:ascii="Times New Roman"/>
                <w:sz w:val="20"/>
              </w:rPr>
              <w:t>2.5319</w:t>
            </w:r>
          </w:p>
        </w:tc>
        <w:tc>
          <w:tcPr>
            <w:tcW w:w="145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64" w:type="dxa"/>
            <w:vMerge w:val="continue"/>
            <w:tcBorders>
              <w:top w:val="nil"/>
            </w:tcBorders>
          </w:tcPr>
          <w:p>
            <w:pPr>
              <w:rPr>
                <w:sz w:val="2"/>
                <w:szCs w:val="2"/>
              </w:rPr>
            </w:pPr>
          </w:p>
        </w:tc>
        <w:tc>
          <w:tcPr>
            <w:tcW w:w="953" w:type="dxa"/>
            <w:vMerge w:val="continue"/>
            <w:tcBorders>
              <w:top w:val="nil"/>
            </w:tcBorders>
          </w:tcPr>
          <w:p>
            <w:pPr>
              <w:rPr>
                <w:sz w:val="2"/>
                <w:szCs w:val="2"/>
              </w:rPr>
            </w:pPr>
          </w:p>
        </w:tc>
        <w:tc>
          <w:tcPr>
            <w:tcW w:w="822" w:type="dxa"/>
          </w:tcPr>
          <w:p>
            <w:pPr>
              <w:pStyle w:val="14"/>
              <w:spacing w:before="26"/>
              <w:ind w:left="151" w:right="144"/>
              <w:rPr>
                <w:rFonts w:ascii="Times New Roman"/>
                <w:sz w:val="20"/>
              </w:rPr>
            </w:pPr>
            <w:r>
              <w:rPr>
                <w:rFonts w:ascii="Times New Roman"/>
                <w:sz w:val="20"/>
              </w:rPr>
              <w:t>2030</w:t>
            </w:r>
          </w:p>
        </w:tc>
        <w:tc>
          <w:tcPr>
            <w:tcW w:w="837" w:type="dxa"/>
          </w:tcPr>
          <w:p>
            <w:pPr>
              <w:pStyle w:val="14"/>
              <w:spacing w:before="26"/>
              <w:ind w:left="232" w:right="226"/>
              <w:rPr>
                <w:rFonts w:ascii="Times New Roman"/>
                <w:sz w:val="20"/>
              </w:rPr>
            </w:pPr>
            <w:r>
              <w:rPr>
                <w:rFonts w:ascii="Times New Roman"/>
                <w:sz w:val="20"/>
              </w:rPr>
              <w:t>30</w:t>
            </w:r>
          </w:p>
        </w:tc>
        <w:tc>
          <w:tcPr>
            <w:tcW w:w="866" w:type="dxa"/>
          </w:tcPr>
          <w:p>
            <w:pPr>
              <w:pStyle w:val="14"/>
              <w:spacing w:before="26"/>
              <w:ind w:left="87" w:right="75"/>
              <w:rPr>
                <w:rFonts w:ascii="Times New Roman"/>
                <w:sz w:val="20"/>
              </w:rPr>
            </w:pPr>
            <w:r>
              <w:rPr>
                <w:rFonts w:ascii="Times New Roman"/>
                <w:sz w:val="20"/>
              </w:rPr>
              <w:t>2.6155</w:t>
            </w:r>
          </w:p>
        </w:tc>
        <w:tc>
          <w:tcPr>
            <w:tcW w:w="1463" w:type="dxa"/>
          </w:tcPr>
          <w:p>
            <w:pPr>
              <w:pStyle w:val="14"/>
              <w:spacing w:before="26"/>
              <w:ind w:left="535" w:right="527"/>
              <w:rPr>
                <w:rFonts w:ascii="Times New Roman"/>
                <w:sz w:val="20"/>
              </w:rPr>
            </w:pPr>
            <w:r>
              <w:rPr>
                <w:rFonts w:ascii="Times New Roman"/>
                <w:sz w:val="20"/>
              </w:rPr>
              <w:t>0.08</w:t>
            </w:r>
          </w:p>
        </w:tc>
        <w:tc>
          <w:tcPr>
            <w:tcW w:w="1465" w:type="dxa"/>
          </w:tcPr>
          <w:p>
            <w:pPr>
              <w:pStyle w:val="14"/>
              <w:spacing w:before="26"/>
              <w:ind w:left="386" w:right="375"/>
              <w:rPr>
                <w:rFonts w:ascii="Times New Roman"/>
                <w:sz w:val="20"/>
              </w:rPr>
            </w:pPr>
            <w:r>
              <w:rPr>
                <w:rFonts w:ascii="Times New Roman"/>
                <w:sz w:val="20"/>
              </w:rPr>
              <w:t>2.5319</w:t>
            </w:r>
          </w:p>
        </w:tc>
        <w:tc>
          <w:tcPr>
            <w:tcW w:w="145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64" w:type="dxa"/>
            <w:vMerge w:val="restart"/>
          </w:tcPr>
          <w:p>
            <w:pPr>
              <w:pStyle w:val="14"/>
              <w:jc w:val="left"/>
              <w:rPr>
                <w:rFonts w:ascii="仿宋"/>
                <w:b/>
                <w:sz w:val="20"/>
              </w:rPr>
            </w:pPr>
          </w:p>
          <w:p>
            <w:pPr>
              <w:pStyle w:val="14"/>
              <w:spacing w:before="9"/>
              <w:jc w:val="left"/>
              <w:rPr>
                <w:rFonts w:ascii="仿宋"/>
                <w:b/>
                <w:sz w:val="26"/>
              </w:rPr>
            </w:pPr>
          </w:p>
          <w:p>
            <w:pPr>
              <w:pStyle w:val="14"/>
              <w:ind w:left="6"/>
              <w:rPr>
                <w:sz w:val="20"/>
              </w:rPr>
            </w:pPr>
            <w:r>
              <w:rPr>
                <w:w w:val="99"/>
                <w:sz w:val="20"/>
              </w:rPr>
              <w:t>三</w:t>
            </w:r>
          </w:p>
        </w:tc>
        <w:tc>
          <w:tcPr>
            <w:tcW w:w="953" w:type="dxa"/>
            <w:vMerge w:val="restart"/>
          </w:tcPr>
          <w:p>
            <w:pPr>
              <w:pStyle w:val="14"/>
              <w:jc w:val="left"/>
              <w:rPr>
                <w:rFonts w:ascii="仿宋"/>
                <w:b/>
                <w:sz w:val="22"/>
              </w:rPr>
            </w:pPr>
          </w:p>
          <w:p>
            <w:pPr>
              <w:pStyle w:val="14"/>
              <w:spacing w:before="9"/>
              <w:jc w:val="left"/>
              <w:rPr>
                <w:rFonts w:ascii="仿宋"/>
                <w:b/>
                <w:sz w:val="25"/>
              </w:rPr>
            </w:pPr>
          </w:p>
          <w:p>
            <w:pPr>
              <w:pStyle w:val="14"/>
              <w:spacing w:before="1"/>
              <w:ind w:left="149"/>
              <w:jc w:val="left"/>
              <w:rPr>
                <w:rFonts w:ascii="Times New Roman"/>
                <w:sz w:val="20"/>
              </w:rPr>
            </w:pPr>
            <w:r>
              <w:rPr>
                <w:rFonts w:ascii="Times New Roman"/>
                <w:sz w:val="20"/>
              </w:rPr>
              <w:t>13.8833</w:t>
            </w:r>
          </w:p>
        </w:tc>
        <w:tc>
          <w:tcPr>
            <w:tcW w:w="822" w:type="dxa"/>
          </w:tcPr>
          <w:p>
            <w:pPr>
              <w:pStyle w:val="14"/>
              <w:spacing w:before="26"/>
              <w:ind w:left="151" w:right="144"/>
              <w:rPr>
                <w:rFonts w:ascii="Times New Roman"/>
                <w:sz w:val="20"/>
              </w:rPr>
            </w:pPr>
            <w:r>
              <w:rPr>
                <w:rFonts w:ascii="Times New Roman"/>
                <w:sz w:val="20"/>
              </w:rPr>
              <w:t>2031</w:t>
            </w:r>
          </w:p>
        </w:tc>
        <w:tc>
          <w:tcPr>
            <w:tcW w:w="837" w:type="dxa"/>
          </w:tcPr>
          <w:p>
            <w:pPr>
              <w:pStyle w:val="14"/>
              <w:spacing w:before="26"/>
              <w:ind w:left="232" w:right="226"/>
              <w:rPr>
                <w:rFonts w:ascii="Times New Roman"/>
                <w:sz w:val="20"/>
              </w:rPr>
            </w:pPr>
            <w:r>
              <w:rPr>
                <w:rFonts w:ascii="Times New Roman"/>
                <w:sz w:val="20"/>
              </w:rPr>
              <w:t>30</w:t>
            </w:r>
          </w:p>
        </w:tc>
        <w:tc>
          <w:tcPr>
            <w:tcW w:w="866" w:type="dxa"/>
          </w:tcPr>
          <w:p>
            <w:pPr>
              <w:pStyle w:val="14"/>
              <w:spacing w:before="26"/>
              <w:ind w:left="87" w:right="75"/>
              <w:rPr>
                <w:rFonts w:ascii="Times New Roman"/>
                <w:sz w:val="20"/>
              </w:rPr>
            </w:pPr>
            <w:r>
              <w:rPr>
                <w:rFonts w:ascii="Times New Roman"/>
                <w:sz w:val="20"/>
              </w:rPr>
              <w:t>2.6678</w:t>
            </w:r>
          </w:p>
        </w:tc>
        <w:tc>
          <w:tcPr>
            <w:tcW w:w="1463" w:type="dxa"/>
          </w:tcPr>
          <w:p>
            <w:pPr>
              <w:pStyle w:val="14"/>
              <w:spacing w:before="26"/>
              <w:ind w:left="535" w:right="527"/>
              <w:rPr>
                <w:rFonts w:ascii="Times New Roman"/>
                <w:sz w:val="20"/>
              </w:rPr>
            </w:pPr>
            <w:r>
              <w:rPr>
                <w:rFonts w:ascii="Times New Roman"/>
                <w:sz w:val="20"/>
              </w:rPr>
              <w:t>0.08</w:t>
            </w:r>
          </w:p>
        </w:tc>
        <w:tc>
          <w:tcPr>
            <w:tcW w:w="1465" w:type="dxa"/>
          </w:tcPr>
          <w:p>
            <w:pPr>
              <w:pStyle w:val="14"/>
              <w:spacing w:before="26"/>
              <w:ind w:left="386" w:right="375"/>
              <w:rPr>
                <w:rFonts w:ascii="Times New Roman"/>
                <w:sz w:val="20"/>
              </w:rPr>
            </w:pPr>
            <w:r>
              <w:rPr>
                <w:rFonts w:ascii="Times New Roman"/>
                <w:sz w:val="20"/>
              </w:rPr>
              <w:t>2.5319</w:t>
            </w:r>
          </w:p>
        </w:tc>
        <w:tc>
          <w:tcPr>
            <w:tcW w:w="1458" w:type="dxa"/>
            <w:vMerge w:val="restart"/>
          </w:tcPr>
          <w:p>
            <w:pPr>
              <w:pStyle w:val="14"/>
              <w:jc w:val="left"/>
              <w:rPr>
                <w:rFonts w:ascii="仿宋"/>
                <w:b/>
                <w:sz w:val="22"/>
              </w:rPr>
            </w:pPr>
          </w:p>
          <w:p>
            <w:pPr>
              <w:pStyle w:val="14"/>
              <w:spacing w:before="9"/>
              <w:jc w:val="left"/>
              <w:rPr>
                <w:rFonts w:ascii="仿宋"/>
                <w:b/>
                <w:sz w:val="25"/>
              </w:rPr>
            </w:pPr>
          </w:p>
          <w:p>
            <w:pPr>
              <w:pStyle w:val="14"/>
              <w:spacing w:before="1"/>
              <w:ind w:left="403"/>
              <w:jc w:val="left"/>
              <w:rPr>
                <w:rFonts w:ascii="Times New Roman"/>
                <w:sz w:val="20"/>
              </w:rPr>
            </w:pPr>
            <w:r>
              <w:rPr>
                <w:rFonts w:ascii="Times New Roman"/>
                <w:sz w:val="20"/>
              </w:rPr>
              <w:t>10.1277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664" w:type="dxa"/>
            <w:vMerge w:val="continue"/>
            <w:tcBorders>
              <w:top w:val="nil"/>
            </w:tcBorders>
          </w:tcPr>
          <w:p>
            <w:pPr>
              <w:rPr>
                <w:sz w:val="2"/>
                <w:szCs w:val="2"/>
              </w:rPr>
            </w:pPr>
          </w:p>
        </w:tc>
        <w:tc>
          <w:tcPr>
            <w:tcW w:w="953" w:type="dxa"/>
            <w:vMerge w:val="continue"/>
            <w:tcBorders>
              <w:top w:val="nil"/>
            </w:tcBorders>
          </w:tcPr>
          <w:p>
            <w:pPr>
              <w:rPr>
                <w:sz w:val="2"/>
                <w:szCs w:val="2"/>
              </w:rPr>
            </w:pPr>
          </w:p>
        </w:tc>
        <w:tc>
          <w:tcPr>
            <w:tcW w:w="822" w:type="dxa"/>
          </w:tcPr>
          <w:p>
            <w:pPr>
              <w:pStyle w:val="14"/>
              <w:spacing w:before="26"/>
              <w:ind w:left="151" w:right="144"/>
              <w:rPr>
                <w:rFonts w:ascii="Times New Roman"/>
                <w:sz w:val="20"/>
              </w:rPr>
            </w:pPr>
            <w:r>
              <w:rPr>
                <w:rFonts w:ascii="Times New Roman"/>
                <w:sz w:val="20"/>
              </w:rPr>
              <w:t>2032</w:t>
            </w:r>
          </w:p>
        </w:tc>
        <w:tc>
          <w:tcPr>
            <w:tcW w:w="837" w:type="dxa"/>
          </w:tcPr>
          <w:p>
            <w:pPr>
              <w:pStyle w:val="14"/>
              <w:spacing w:before="26"/>
              <w:ind w:left="232" w:right="226"/>
              <w:rPr>
                <w:rFonts w:ascii="Times New Roman"/>
                <w:sz w:val="20"/>
              </w:rPr>
            </w:pPr>
            <w:r>
              <w:rPr>
                <w:rFonts w:ascii="Times New Roman"/>
                <w:sz w:val="20"/>
              </w:rPr>
              <w:t>30</w:t>
            </w:r>
          </w:p>
        </w:tc>
        <w:tc>
          <w:tcPr>
            <w:tcW w:w="866" w:type="dxa"/>
          </w:tcPr>
          <w:p>
            <w:pPr>
              <w:pStyle w:val="14"/>
              <w:spacing w:before="26"/>
              <w:ind w:left="87" w:right="75"/>
              <w:rPr>
                <w:rFonts w:ascii="Times New Roman"/>
                <w:sz w:val="20"/>
              </w:rPr>
            </w:pPr>
            <w:r>
              <w:rPr>
                <w:rFonts w:ascii="Times New Roman"/>
                <w:sz w:val="20"/>
              </w:rPr>
              <w:t>2.7212</w:t>
            </w:r>
          </w:p>
        </w:tc>
        <w:tc>
          <w:tcPr>
            <w:tcW w:w="1463" w:type="dxa"/>
          </w:tcPr>
          <w:p>
            <w:pPr>
              <w:pStyle w:val="14"/>
              <w:spacing w:before="26"/>
              <w:ind w:left="535" w:right="527"/>
              <w:rPr>
                <w:rFonts w:ascii="Times New Roman"/>
                <w:sz w:val="20"/>
              </w:rPr>
            </w:pPr>
            <w:r>
              <w:rPr>
                <w:rFonts w:ascii="Times New Roman"/>
                <w:sz w:val="20"/>
              </w:rPr>
              <w:t>0.08</w:t>
            </w:r>
          </w:p>
        </w:tc>
        <w:tc>
          <w:tcPr>
            <w:tcW w:w="1465" w:type="dxa"/>
          </w:tcPr>
          <w:p>
            <w:pPr>
              <w:pStyle w:val="14"/>
              <w:spacing w:before="26"/>
              <w:ind w:left="386" w:right="375"/>
              <w:rPr>
                <w:rFonts w:ascii="Times New Roman"/>
                <w:sz w:val="20"/>
              </w:rPr>
            </w:pPr>
            <w:r>
              <w:rPr>
                <w:rFonts w:ascii="Times New Roman"/>
                <w:sz w:val="20"/>
              </w:rPr>
              <w:t>2.5319</w:t>
            </w:r>
          </w:p>
        </w:tc>
        <w:tc>
          <w:tcPr>
            <w:tcW w:w="145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64" w:type="dxa"/>
            <w:vMerge w:val="continue"/>
            <w:tcBorders>
              <w:top w:val="nil"/>
            </w:tcBorders>
          </w:tcPr>
          <w:p>
            <w:pPr>
              <w:rPr>
                <w:sz w:val="2"/>
                <w:szCs w:val="2"/>
              </w:rPr>
            </w:pPr>
          </w:p>
        </w:tc>
        <w:tc>
          <w:tcPr>
            <w:tcW w:w="953" w:type="dxa"/>
            <w:vMerge w:val="continue"/>
            <w:tcBorders>
              <w:top w:val="nil"/>
            </w:tcBorders>
          </w:tcPr>
          <w:p>
            <w:pPr>
              <w:rPr>
                <w:sz w:val="2"/>
                <w:szCs w:val="2"/>
              </w:rPr>
            </w:pPr>
          </w:p>
        </w:tc>
        <w:tc>
          <w:tcPr>
            <w:tcW w:w="822" w:type="dxa"/>
          </w:tcPr>
          <w:p>
            <w:pPr>
              <w:pStyle w:val="14"/>
              <w:spacing w:before="26"/>
              <w:ind w:left="151" w:right="144"/>
              <w:rPr>
                <w:rFonts w:ascii="Times New Roman"/>
                <w:sz w:val="20"/>
              </w:rPr>
            </w:pPr>
            <w:r>
              <w:rPr>
                <w:rFonts w:ascii="Times New Roman"/>
                <w:sz w:val="20"/>
              </w:rPr>
              <w:t>2033</w:t>
            </w:r>
          </w:p>
        </w:tc>
        <w:tc>
          <w:tcPr>
            <w:tcW w:w="837" w:type="dxa"/>
          </w:tcPr>
          <w:p>
            <w:pPr>
              <w:pStyle w:val="14"/>
              <w:spacing w:before="26"/>
              <w:ind w:left="232" w:right="226"/>
              <w:rPr>
                <w:rFonts w:ascii="Times New Roman"/>
                <w:sz w:val="20"/>
              </w:rPr>
            </w:pPr>
            <w:r>
              <w:rPr>
                <w:rFonts w:ascii="Times New Roman"/>
                <w:sz w:val="20"/>
              </w:rPr>
              <w:t>30</w:t>
            </w:r>
          </w:p>
        </w:tc>
        <w:tc>
          <w:tcPr>
            <w:tcW w:w="866" w:type="dxa"/>
          </w:tcPr>
          <w:p>
            <w:pPr>
              <w:pStyle w:val="14"/>
              <w:spacing w:before="26"/>
              <w:ind w:left="87" w:right="75"/>
              <w:rPr>
                <w:rFonts w:ascii="Times New Roman"/>
                <w:sz w:val="20"/>
              </w:rPr>
            </w:pPr>
            <w:r>
              <w:rPr>
                <w:rFonts w:ascii="Times New Roman"/>
                <w:sz w:val="20"/>
              </w:rPr>
              <w:t>2.7756</w:t>
            </w:r>
          </w:p>
        </w:tc>
        <w:tc>
          <w:tcPr>
            <w:tcW w:w="1463" w:type="dxa"/>
          </w:tcPr>
          <w:p>
            <w:pPr>
              <w:pStyle w:val="14"/>
              <w:spacing w:before="26"/>
              <w:ind w:left="535" w:right="527"/>
              <w:rPr>
                <w:rFonts w:ascii="Times New Roman"/>
                <w:sz w:val="20"/>
              </w:rPr>
            </w:pPr>
            <w:r>
              <w:rPr>
                <w:rFonts w:ascii="Times New Roman"/>
                <w:sz w:val="20"/>
              </w:rPr>
              <w:t>0.08</w:t>
            </w:r>
          </w:p>
        </w:tc>
        <w:tc>
          <w:tcPr>
            <w:tcW w:w="1465" w:type="dxa"/>
          </w:tcPr>
          <w:p>
            <w:pPr>
              <w:pStyle w:val="14"/>
              <w:spacing w:before="26"/>
              <w:ind w:left="386" w:right="375"/>
              <w:rPr>
                <w:rFonts w:ascii="Times New Roman"/>
                <w:sz w:val="20"/>
              </w:rPr>
            </w:pPr>
            <w:r>
              <w:rPr>
                <w:rFonts w:ascii="Times New Roman"/>
                <w:sz w:val="20"/>
              </w:rPr>
              <w:t>2.5319</w:t>
            </w:r>
          </w:p>
        </w:tc>
        <w:tc>
          <w:tcPr>
            <w:tcW w:w="145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64" w:type="dxa"/>
            <w:vMerge w:val="continue"/>
            <w:tcBorders>
              <w:top w:val="nil"/>
            </w:tcBorders>
          </w:tcPr>
          <w:p>
            <w:pPr>
              <w:rPr>
                <w:sz w:val="2"/>
                <w:szCs w:val="2"/>
              </w:rPr>
            </w:pPr>
          </w:p>
        </w:tc>
        <w:tc>
          <w:tcPr>
            <w:tcW w:w="953" w:type="dxa"/>
            <w:vMerge w:val="continue"/>
            <w:tcBorders>
              <w:top w:val="nil"/>
            </w:tcBorders>
          </w:tcPr>
          <w:p>
            <w:pPr>
              <w:rPr>
                <w:sz w:val="2"/>
                <w:szCs w:val="2"/>
              </w:rPr>
            </w:pPr>
          </w:p>
        </w:tc>
        <w:tc>
          <w:tcPr>
            <w:tcW w:w="822" w:type="dxa"/>
          </w:tcPr>
          <w:p>
            <w:pPr>
              <w:pStyle w:val="14"/>
              <w:spacing w:before="26"/>
              <w:ind w:left="151" w:right="144"/>
              <w:rPr>
                <w:rFonts w:ascii="Times New Roman"/>
                <w:sz w:val="20"/>
              </w:rPr>
            </w:pPr>
            <w:r>
              <w:rPr>
                <w:rFonts w:ascii="Times New Roman"/>
                <w:sz w:val="20"/>
              </w:rPr>
              <w:t>2034</w:t>
            </w:r>
          </w:p>
        </w:tc>
        <w:tc>
          <w:tcPr>
            <w:tcW w:w="837" w:type="dxa"/>
          </w:tcPr>
          <w:p>
            <w:pPr>
              <w:pStyle w:val="14"/>
              <w:spacing w:before="26"/>
              <w:ind w:left="232" w:right="226"/>
              <w:rPr>
                <w:rFonts w:ascii="Times New Roman"/>
                <w:sz w:val="20"/>
              </w:rPr>
            </w:pPr>
            <w:r>
              <w:rPr>
                <w:rFonts w:ascii="Times New Roman"/>
                <w:sz w:val="20"/>
              </w:rPr>
              <w:t>30</w:t>
            </w:r>
          </w:p>
        </w:tc>
        <w:tc>
          <w:tcPr>
            <w:tcW w:w="866" w:type="dxa"/>
          </w:tcPr>
          <w:p>
            <w:pPr>
              <w:pStyle w:val="14"/>
              <w:spacing w:before="26"/>
              <w:ind w:left="87" w:right="75"/>
              <w:rPr>
                <w:rFonts w:ascii="Times New Roman"/>
                <w:sz w:val="20"/>
              </w:rPr>
            </w:pPr>
            <w:r>
              <w:rPr>
                <w:rFonts w:ascii="Times New Roman"/>
                <w:sz w:val="20"/>
              </w:rPr>
              <w:t>2.8311</w:t>
            </w:r>
          </w:p>
        </w:tc>
        <w:tc>
          <w:tcPr>
            <w:tcW w:w="1463" w:type="dxa"/>
          </w:tcPr>
          <w:p>
            <w:pPr>
              <w:pStyle w:val="14"/>
              <w:spacing w:before="26"/>
              <w:ind w:left="535" w:right="527"/>
              <w:rPr>
                <w:rFonts w:ascii="Times New Roman"/>
                <w:sz w:val="20"/>
              </w:rPr>
            </w:pPr>
            <w:r>
              <w:rPr>
                <w:rFonts w:ascii="Times New Roman"/>
                <w:sz w:val="20"/>
              </w:rPr>
              <w:t>0.08</w:t>
            </w:r>
          </w:p>
        </w:tc>
        <w:tc>
          <w:tcPr>
            <w:tcW w:w="1465" w:type="dxa"/>
          </w:tcPr>
          <w:p>
            <w:pPr>
              <w:pStyle w:val="14"/>
              <w:spacing w:before="26"/>
              <w:ind w:left="386" w:right="375"/>
              <w:rPr>
                <w:rFonts w:ascii="Times New Roman"/>
                <w:sz w:val="20"/>
              </w:rPr>
            </w:pPr>
            <w:r>
              <w:rPr>
                <w:rFonts w:ascii="Times New Roman"/>
                <w:sz w:val="20"/>
              </w:rPr>
              <w:t>2.5319</w:t>
            </w:r>
          </w:p>
        </w:tc>
        <w:tc>
          <w:tcPr>
            <w:tcW w:w="145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664" w:type="dxa"/>
            <w:vMerge w:val="continue"/>
            <w:tcBorders>
              <w:top w:val="nil"/>
            </w:tcBorders>
          </w:tcPr>
          <w:p>
            <w:pPr>
              <w:rPr>
                <w:sz w:val="2"/>
                <w:szCs w:val="2"/>
              </w:rPr>
            </w:pPr>
          </w:p>
        </w:tc>
        <w:tc>
          <w:tcPr>
            <w:tcW w:w="953" w:type="dxa"/>
            <w:vMerge w:val="continue"/>
            <w:tcBorders>
              <w:top w:val="nil"/>
            </w:tcBorders>
          </w:tcPr>
          <w:p>
            <w:pPr>
              <w:rPr>
                <w:sz w:val="2"/>
                <w:szCs w:val="2"/>
              </w:rPr>
            </w:pPr>
          </w:p>
        </w:tc>
        <w:tc>
          <w:tcPr>
            <w:tcW w:w="822" w:type="dxa"/>
          </w:tcPr>
          <w:p>
            <w:pPr>
              <w:pStyle w:val="14"/>
              <w:spacing w:before="25"/>
              <w:ind w:left="151" w:right="144"/>
              <w:rPr>
                <w:rFonts w:ascii="Times New Roman"/>
                <w:sz w:val="20"/>
              </w:rPr>
            </w:pPr>
            <w:r>
              <w:rPr>
                <w:rFonts w:ascii="Times New Roman"/>
                <w:sz w:val="20"/>
              </w:rPr>
              <w:t>2035</w:t>
            </w:r>
          </w:p>
        </w:tc>
        <w:tc>
          <w:tcPr>
            <w:tcW w:w="837" w:type="dxa"/>
          </w:tcPr>
          <w:p>
            <w:pPr>
              <w:pStyle w:val="14"/>
              <w:spacing w:before="25"/>
              <w:ind w:left="232" w:right="226"/>
              <w:rPr>
                <w:rFonts w:ascii="Times New Roman"/>
                <w:sz w:val="20"/>
              </w:rPr>
            </w:pPr>
            <w:r>
              <w:rPr>
                <w:rFonts w:ascii="Times New Roman"/>
                <w:sz w:val="20"/>
              </w:rPr>
              <w:t>30</w:t>
            </w:r>
          </w:p>
        </w:tc>
        <w:tc>
          <w:tcPr>
            <w:tcW w:w="866" w:type="dxa"/>
          </w:tcPr>
          <w:p>
            <w:pPr>
              <w:pStyle w:val="14"/>
              <w:spacing w:before="25"/>
              <w:ind w:left="87" w:right="75"/>
              <w:rPr>
                <w:rFonts w:ascii="Times New Roman"/>
                <w:sz w:val="20"/>
              </w:rPr>
            </w:pPr>
            <w:r>
              <w:rPr>
                <w:rFonts w:ascii="Times New Roman"/>
                <w:sz w:val="20"/>
              </w:rPr>
              <w:t>2.8877</w:t>
            </w:r>
          </w:p>
        </w:tc>
        <w:tc>
          <w:tcPr>
            <w:tcW w:w="1463" w:type="dxa"/>
          </w:tcPr>
          <w:p>
            <w:pPr>
              <w:pStyle w:val="14"/>
              <w:spacing w:before="25"/>
              <w:ind w:left="6"/>
              <w:rPr>
                <w:rFonts w:ascii="Times New Roman"/>
                <w:sz w:val="20"/>
              </w:rPr>
            </w:pPr>
            <w:r>
              <w:rPr>
                <w:rFonts w:ascii="Times New Roman"/>
                <w:w w:val="99"/>
                <w:sz w:val="20"/>
              </w:rPr>
              <w:t>-</w:t>
            </w:r>
          </w:p>
        </w:tc>
        <w:tc>
          <w:tcPr>
            <w:tcW w:w="1465" w:type="dxa"/>
          </w:tcPr>
          <w:p>
            <w:pPr>
              <w:pStyle w:val="14"/>
              <w:spacing w:before="25"/>
              <w:ind w:left="6"/>
              <w:rPr>
                <w:rFonts w:ascii="Times New Roman"/>
                <w:sz w:val="20"/>
              </w:rPr>
            </w:pPr>
            <w:r>
              <w:rPr>
                <w:rFonts w:ascii="Times New Roman"/>
                <w:w w:val="99"/>
                <w:sz w:val="20"/>
              </w:rPr>
              <w:t>-</w:t>
            </w:r>
          </w:p>
        </w:tc>
        <w:tc>
          <w:tcPr>
            <w:tcW w:w="145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64" w:type="dxa"/>
            <w:vMerge w:val="restart"/>
          </w:tcPr>
          <w:p>
            <w:pPr>
              <w:pStyle w:val="14"/>
              <w:jc w:val="left"/>
              <w:rPr>
                <w:rFonts w:ascii="仿宋"/>
                <w:b/>
                <w:sz w:val="20"/>
              </w:rPr>
            </w:pPr>
          </w:p>
          <w:p>
            <w:pPr>
              <w:pStyle w:val="14"/>
              <w:spacing w:before="5"/>
              <w:jc w:val="left"/>
              <w:rPr>
                <w:rFonts w:ascii="仿宋"/>
                <w:b/>
                <w:sz w:val="15"/>
              </w:rPr>
            </w:pPr>
          </w:p>
          <w:p>
            <w:pPr>
              <w:pStyle w:val="14"/>
              <w:ind w:left="6"/>
              <w:rPr>
                <w:sz w:val="20"/>
              </w:rPr>
            </w:pPr>
            <w:r>
              <w:rPr>
                <w:w w:val="99"/>
                <w:sz w:val="20"/>
              </w:rPr>
              <w:t>四</w:t>
            </w:r>
          </w:p>
        </w:tc>
        <w:tc>
          <w:tcPr>
            <w:tcW w:w="953" w:type="dxa"/>
            <w:vMerge w:val="restart"/>
          </w:tcPr>
          <w:p>
            <w:pPr>
              <w:pStyle w:val="14"/>
              <w:jc w:val="left"/>
              <w:rPr>
                <w:rFonts w:ascii="仿宋"/>
                <w:b/>
                <w:sz w:val="22"/>
              </w:rPr>
            </w:pPr>
          </w:p>
          <w:p>
            <w:pPr>
              <w:pStyle w:val="14"/>
              <w:spacing w:before="185"/>
              <w:ind w:left="200"/>
              <w:jc w:val="left"/>
              <w:rPr>
                <w:rFonts w:ascii="Times New Roman"/>
                <w:sz w:val="20"/>
              </w:rPr>
            </w:pPr>
            <w:r>
              <w:rPr>
                <w:rFonts w:ascii="Times New Roman"/>
                <w:sz w:val="20"/>
              </w:rPr>
              <w:t>2.7030</w:t>
            </w:r>
          </w:p>
        </w:tc>
        <w:tc>
          <w:tcPr>
            <w:tcW w:w="822" w:type="dxa"/>
          </w:tcPr>
          <w:p>
            <w:pPr>
              <w:pStyle w:val="14"/>
              <w:spacing w:before="25"/>
              <w:ind w:left="151" w:right="144"/>
              <w:rPr>
                <w:rFonts w:ascii="Times New Roman"/>
                <w:sz w:val="20"/>
              </w:rPr>
            </w:pPr>
            <w:r>
              <w:rPr>
                <w:rFonts w:ascii="Times New Roman"/>
                <w:sz w:val="20"/>
              </w:rPr>
              <w:t>2036</w:t>
            </w:r>
          </w:p>
        </w:tc>
        <w:tc>
          <w:tcPr>
            <w:tcW w:w="837" w:type="dxa"/>
          </w:tcPr>
          <w:p>
            <w:pPr>
              <w:pStyle w:val="14"/>
              <w:spacing w:before="25"/>
              <w:ind w:left="232" w:right="226"/>
              <w:rPr>
                <w:rFonts w:ascii="Times New Roman"/>
                <w:sz w:val="20"/>
              </w:rPr>
            </w:pPr>
            <w:r>
              <w:rPr>
                <w:rFonts w:ascii="Times New Roman"/>
                <w:sz w:val="20"/>
              </w:rPr>
              <w:t>12</w:t>
            </w:r>
          </w:p>
        </w:tc>
        <w:tc>
          <w:tcPr>
            <w:tcW w:w="866" w:type="dxa"/>
          </w:tcPr>
          <w:p>
            <w:pPr>
              <w:pStyle w:val="14"/>
              <w:spacing w:before="25"/>
              <w:ind w:left="87" w:right="75"/>
              <w:rPr>
                <w:rFonts w:ascii="Times New Roman"/>
                <w:sz w:val="20"/>
              </w:rPr>
            </w:pPr>
            <w:r>
              <w:rPr>
                <w:rFonts w:ascii="Times New Roman"/>
                <w:sz w:val="20"/>
              </w:rPr>
              <w:t>1.4748</w:t>
            </w:r>
          </w:p>
        </w:tc>
        <w:tc>
          <w:tcPr>
            <w:tcW w:w="1463" w:type="dxa"/>
          </w:tcPr>
          <w:p>
            <w:pPr>
              <w:pStyle w:val="14"/>
              <w:spacing w:before="25"/>
              <w:ind w:left="6"/>
              <w:rPr>
                <w:rFonts w:ascii="Times New Roman"/>
                <w:sz w:val="20"/>
              </w:rPr>
            </w:pPr>
            <w:r>
              <w:rPr>
                <w:rFonts w:ascii="Times New Roman"/>
                <w:w w:val="99"/>
                <w:sz w:val="20"/>
              </w:rPr>
              <w:t>-</w:t>
            </w:r>
          </w:p>
        </w:tc>
        <w:tc>
          <w:tcPr>
            <w:tcW w:w="1465" w:type="dxa"/>
          </w:tcPr>
          <w:p>
            <w:pPr>
              <w:pStyle w:val="14"/>
              <w:spacing w:before="25"/>
              <w:ind w:left="6"/>
              <w:rPr>
                <w:rFonts w:ascii="Times New Roman"/>
                <w:sz w:val="20"/>
              </w:rPr>
            </w:pPr>
            <w:r>
              <w:rPr>
                <w:rFonts w:ascii="Times New Roman"/>
                <w:w w:val="99"/>
                <w:sz w:val="20"/>
              </w:rPr>
              <w:t>-</w:t>
            </w:r>
          </w:p>
        </w:tc>
        <w:tc>
          <w:tcPr>
            <w:tcW w:w="1458" w:type="dxa"/>
            <w:vMerge w:val="restart"/>
          </w:tcPr>
          <w:p>
            <w:pPr>
              <w:pStyle w:val="14"/>
              <w:jc w:val="left"/>
              <w:rPr>
                <w:rFonts w:ascii="仿宋"/>
                <w:b/>
                <w:sz w:val="22"/>
              </w:rPr>
            </w:pPr>
          </w:p>
          <w:p>
            <w:pPr>
              <w:pStyle w:val="14"/>
              <w:spacing w:before="185"/>
              <w:ind w:left="454"/>
              <w:jc w:val="left"/>
              <w:rPr>
                <w:rFonts w:ascii="Times New Roman"/>
                <w:sz w:val="20"/>
              </w:rPr>
            </w:pPr>
            <w:r>
              <w:rPr>
                <w:rFonts w:ascii="Times New Roman"/>
                <w:sz w:val="20"/>
              </w:rPr>
              <w:t>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64" w:type="dxa"/>
            <w:vMerge w:val="continue"/>
            <w:tcBorders>
              <w:top w:val="nil"/>
            </w:tcBorders>
          </w:tcPr>
          <w:p>
            <w:pPr>
              <w:rPr>
                <w:sz w:val="2"/>
                <w:szCs w:val="2"/>
              </w:rPr>
            </w:pPr>
          </w:p>
        </w:tc>
        <w:tc>
          <w:tcPr>
            <w:tcW w:w="953" w:type="dxa"/>
            <w:vMerge w:val="continue"/>
            <w:tcBorders>
              <w:top w:val="nil"/>
            </w:tcBorders>
          </w:tcPr>
          <w:p>
            <w:pPr>
              <w:rPr>
                <w:sz w:val="2"/>
                <w:szCs w:val="2"/>
              </w:rPr>
            </w:pPr>
          </w:p>
        </w:tc>
        <w:tc>
          <w:tcPr>
            <w:tcW w:w="822" w:type="dxa"/>
          </w:tcPr>
          <w:p>
            <w:pPr>
              <w:pStyle w:val="14"/>
              <w:spacing w:before="25"/>
              <w:ind w:left="151" w:right="144"/>
              <w:rPr>
                <w:rFonts w:ascii="Times New Roman"/>
                <w:sz w:val="20"/>
              </w:rPr>
            </w:pPr>
            <w:r>
              <w:rPr>
                <w:rFonts w:ascii="Times New Roman"/>
                <w:sz w:val="20"/>
              </w:rPr>
              <w:t>2037</w:t>
            </w:r>
          </w:p>
        </w:tc>
        <w:tc>
          <w:tcPr>
            <w:tcW w:w="837" w:type="dxa"/>
          </w:tcPr>
          <w:p>
            <w:pPr>
              <w:pStyle w:val="14"/>
              <w:spacing w:before="25"/>
              <w:ind w:left="6"/>
              <w:rPr>
                <w:rFonts w:ascii="Times New Roman"/>
                <w:sz w:val="20"/>
              </w:rPr>
            </w:pPr>
            <w:r>
              <w:rPr>
                <w:rFonts w:ascii="Times New Roman"/>
                <w:w w:val="99"/>
                <w:sz w:val="20"/>
              </w:rPr>
              <w:t>-</w:t>
            </w:r>
          </w:p>
        </w:tc>
        <w:tc>
          <w:tcPr>
            <w:tcW w:w="866" w:type="dxa"/>
          </w:tcPr>
          <w:p>
            <w:pPr>
              <w:pStyle w:val="14"/>
              <w:spacing w:before="25"/>
              <w:ind w:left="87" w:right="75"/>
              <w:rPr>
                <w:rFonts w:ascii="Times New Roman"/>
                <w:sz w:val="20"/>
              </w:rPr>
            </w:pPr>
            <w:r>
              <w:rPr>
                <w:rFonts w:ascii="Times New Roman"/>
                <w:sz w:val="20"/>
              </w:rPr>
              <w:t>0.5042</w:t>
            </w:r>
          </w:p>
        </w:tc>
        <w:tc>
          <w:tcPr>
            <w:tcW w:w="1463" w:type="dxa"/>
          </w:tcPr>
          <w:p>
            <w:pPr>
              <w:pStyle w:val="14"/>
              <w:spacing w:before="25"/>
              <w:ind w:left="6"/>
              <w:rPr>
                <w:rFonts w:ascii="Times New Roman"/>
                <w:sz w:val="20"/>
              </w:rPr>
            </w:pPr>
            <w:r>
              <w:rPr>
                <w:rFonts w:ascii="Times New Roman"/>
                <w:w w:val="99"/>
                <w:sz w:val="20"/>
              </w:rPr>
              <w:t>-</w:t>
            </w:r>
          </w:p>
        </w:tc>
        <w:tc>
          <w:tcPr>
            <w:tcW w:w="1465" w:type="dxa"/>
          </w:tcPr>
          <w:p>
            <w:pPr>
              <w:pStyle w:val="14"/>
              <w:spacing w:before="25"/>
              <w:ind w:left="6"/>
              <w:rPr>
                <w:rFonts w:ascii="Times New Roman"/>
                <w:sz w:val="20"/>
              </w:rPr>
            </w:pPr>
            <w:r>
              <w:rPr>
                <w:rFonts w:ascii="Times New Roman"/>
                <w:w w:val="99"/>
                <w:sz w:val="20"/>
              </w:rPr>
              <w:t>-</w:t>
            </w:r>
          </w:p>
        </w:tc>
        <w:tc>
          <w:tcPr>
            <w:tcW w:w="145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64" w:type="dxa"/>
            <w:vMerge w:val="continue"/>
            <w:tcBorders>
              <w:top w:val="nil"/>
            </w:tcBorders>
          </w:tcPr>
          <w:p>
            <w:pPr>
              <w:rPr>
                <w:sz w:val="2"/>
                <w:szCs w:val="2"/>
              </w:rPr>
            </w:pPr>
          </w:p>
        </w:tc>
        <w:tc>
          <w:tcPr>
            <w:tcW w:w="953" w:type="dxa"/>
            <w:vMerge w:val="continue"/>
            <w:tcBorders>
              <w:top w:val="nil"/>
            </w:tcBorders>
          </w:tcPr>
          <w:p>
            <w:pPr>
              <w:rPr>
                <w:sz w:val="2"/>
                <w:szCs w:val="2"/>
              </w:rPr>
            </w:pPr>
          </w:p>
        </w:tc>
        <w:tc>
          <w:tcPr>
            <w:tcW w:w="822" w:type="dxa"/>
          </w:tcPr>
          <w:p>
            <w:pPr>
              <w:pStyle w:val="14"/>
              <w:spacing w:before="27"/>
              <w:ind w:left="151" w:right="144"/>
              <w:rPr>
                <w:rFonts w:ascii="Times New Roman"/>
                <w:sz w:val="20"/>
              </w:rPr>
            </w:pPr>
            <w:r>
              <w:rPr>
                <w:rFonts w:ascii="Times New Roman"/>
                <w:sz w:val="20"/>
              </w:rPr>
              <w:t>2038</w:t>
            </w:r>
          </w:p>
        </w:tc>
        <w:tc>
          <w:tcPr>
            <w:tcW w:w="837" w:type="dxa"/>
          </w:tcPr>
          <w:p>
            <w:pPr>
              <w:pStyle w:val="14"/>
              <w:spacing w:before="27"/>
              <w:ind w:left="6"/>
              <w:rPr>
                <w:rFonts w:ascii="Times New Roman"/>
                <w:sz w:val="20"/>
              </w:rPr>
            </w:pPr>
            <w:r>
              <w:rPr>
                <w:rFonts w:ascii="Times New Roman"/>
                <w:w w:val="99"/>
                <w:sz w:val="20"/>
              </w:rPr>
              <w:t>-</w:t>
            </w:r>
          </w:p>
        </w:tc>
        <w:tc>
          <w:tcPr>
            <w:tcW w:w="866" w:type="dxa"/>
          </w:tcPr>
          <w:p>
            <w:pPr>
              <w:pStyle w:val="14"/>
              <w:spacing w:before="27"/>
              <w:ind w:left="87" w:right="75"/>
              <w:rPr>
                <w:rFonts w:ascii="Times New Roman"/>
                <w:sz w:val="20"/>
              </w:rPr>
            </w:pPr>
            <w:r>
              <w:rPr>
                <w:rFonts w:ascii="Times New Roman"/>
                <w:sz w:val="20"/>
              </w:rPr>
              <w:t>0.5142</w:t>
            </w:r>
          </w:p>
        </w:tc>
        <w:tc>
          <w:tcPr>
            <w:tcW w:w="1463" w:type="dxa"/>
          </w:tcPr>
          <w:p>
            <w:pPr>
              <w:pStyle w:val="14"/>
              <w:spacing w:before="27"/>
              <w:ind w:left="6"/>
              <w:rPr>
                <w:rFonts w:ascii="Times New Roman"/>
                <w:sz w:val="20"/>
              </w:rPr>
            </w:pPr>
            <w:r>
              <w:rPr>
                <w:rFonts w:ascii="Times New Roman"/>
                <w:w w:val="99"/>
                <w:sz w:val="20"/>
              </w:rPr>
              <w:t>-</w:t>
            </w:r>
          </w:p>
        </w:tc>
        <w:tc>
          <w:tcPr>
            <w:tcW w:w="1465" w:type="dxa"/>
          </w:tcPr>
          <w:p>
            <w:pPr>
              <w:pStyle w:val="14"/>
              <w:spacing w:before="27"/>
              <w:ind w:left="6"/>
              <w:rPr>
                <w:rFonts w:ascii="Times New Roman"/>
                <w:sz w:val="20"/>
              </w:rPr>
            </w:pPr>
            <w:r>
              <w:rPr>
                <w:rFonts w:ascii="Times New Roman"/>
                <w:w w:val="99"/>
                <w:sz w:val="20"/>
              </w:rPr>
              <w:t>-</w:t>
            </w:r>
          </w:p>
        </w:tc>
        <w:tc>
          <w:tcPr>
            <w:tcW w:w="145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64" w:type="dxa"/>
            <w:vMerge w:val="continue"/>
            <w:tcBorders>
              <w:top w:val="nil"/>
            </w:tcBorders>
          </w:tcPr>
          <w:p>
            <w:pPr>
              <w:rPr>
                <w:sz w:val="2"/>
                <w:szCs w:val="2"/>
              </w:rPr>
            </w:pPr>
          </w:p>
        </w:tc>
        <w:tc>
          <w:tcPr>
            <w:tcW w:w="953" w:type="dxa"/>
            <w:vMerge w:val="continue"/>
            <w:tcBorders>
              <w:top w:val="nil"/>
            </w:tcBorders>
          </w:tcPr>
          <w:p>
            <w:pPr>
              <w:rPr>
                <w:sz w:val="2"/>
                <w:szCs w:val="2"/>
              </w:rPr>
            </w:pPr>
          </w:p>
        </w:tc>
        <w:tc>
          <w:tcPr>
            <w:tcW w:w="822" w:type="dxa"/>
          </w:tcPr>
          <w:p>
            <w:pPr>
              <w:pStyle w:val="14"/>
              <w:spacing w:before="27"/>
              <w:ind w:left="151" w:right="144"/>
              <w:rPr>
                <w:rFonts w:ascii="Times New Roman"/>
                <w:sz w:val="20"/>
              </w:rPr>
            </w:pPr>
            <w:r>
              <w:rPr>
                <w:rFonts w:ascii="Times New Roman"/>
                <w:sz w:val="20"/>
              </w:rPr>
              <w:t>2039</w:t>
            </w:r>
          </w:p>
        </w:tc>
        <w:tc>
          <w:tcPr>
            <w:tcW w:w="837" w:type="dxa"/>
          </w:tcPr>
          <w:p>
            <w:pPr>
              <w:pStyle w:val="14"/>
              <w:spacing w:before="27"/>
              <w:ind w:left="6"/>
              <w:rPr>
                <w:rFonts w:ascii="Times New Roman"/>
                <w:sz w:val="20"/>
              </w:rPr>
            </w:pPr>
            <w:r>
              <w:rPr>
                <w:rFonts w:ascii="Times New Roman"/>
                <w:w w:val="99"/>
                <w:sz w:val="20"/>
              </w:rPr>
              <w:t>-</w:t>
            </w:r>
          </w:p>
        </w:tc>
        <w:tc>
          <w:tcPr>
            <w:tcW w:w="866" w:type="dxa"/>
          </w:tcPr>
          <w:p>
            <w:pPr>
              <w:pStyle w:val="14"/>
              <w:spacing w:before="27"/>
              <w:ind w:left="87" w:right="75"/>
              <w:rPr>
                <w:rFonts w:ascii="Times New Roman"/>
                <w:sz w:val="20"/>
              </w:rPr>
            </w:pPr>
            <w:r>
              <w:rPr>
                <w:rFonts w:ascii="Times New Roman"/>
                <w:sz w:val="20"/>
              </w:rPr>
              <w:t>0.2098</w:t>
            </w:r>
          </w:p>
        </w:tc>
        <w:tc>
          <w:tcPr>
            <w:tcW w:w="1463" w:type="dxa"/>
          </w:tcPr>
          <w:p>
            <w:pPr>
              <w:pStyle w:val="14"/>
              <w:spacing w:before="27"/>
              <w:ind w:left="6"/>
              <w:rPr>
                <w:rFonts w:ascii="Times New Roman"/>
                <w:sz w:val="20"/>
              </w:rPr>
            </w:pPr>
            <w:r>
              <w:rPr>
                <w:rFonts w:ascii="Times New Roman"/>
                <w:w w:val="99"/>
                <w:sz w:val="20"/>
              </w:rPr>
              <w:t>-</w:t>
            </w:r>
          </w:p>
        </w:tc>
        <w:tc>
          <w:tcPr>
            <w:tcW w:w="1465" w:type="dxa"/>
          </w:tcPr>
          <w:p>
            <w:pPr>
              <w:pStyle w:val="14"/>
              <w:spacing w:before="27"/>
              <w:ind w:left="6"/>
              <w:rPr>
                <w:rFonts w:ascii="Times New Roman"/>
                <w:sz w:val="20"/>
              </w:rPr>
            </w:pPr>
            <w:r>
              <w:rPr>
                <w:rFonts w:ascii="Times New Roman"/>
                <w:w w:val="99"/>
                <w:sz w:val="20"/>
              </w:rPr>
              <w:t>-</w:t>
            </w:r>
          </w:p>
        </w:tc>
        <w:tc>
          <w:tcPr>
            <w:tcW w:w="145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664" w:type="dxa"/>
          </w:tcPr>
          <w:p>
            <w:pPr>
              <w:pStyle w:val="14"/>
              <w:spacing w:before="11" w:line="252" w:lineRule="exact"/>
              <w:ind w:right="121"/>
              <w:jc w:val="right"/>
              <w:rPr>
                <w:rFonts w:hint="eastAsia" w:ascii="仿宋" w:eastAsia="仿宋"/>
                <w:sz w:val="20"/>
              </w:rPr>
            </w:pPr>
            <w:r>
              <w:rPr>
                <w:rFonts w:hint="eastAsia" w:ascii="仿宋" w:eastAsia="仿宋"/>
                <w:w w:val="95"/>
                <w:sz w:val="20"/>
              </w:rPr>
              <w:t>总计</w:t>
            </w:r>
          </w:p>
        </w:tc>
        <w:tc>
          <w:tcPr>
            <w:tcW w:w="953" w:type="dxa"/>
          </w:tcPr>
          <w:p>
            <w:pPr>
              <w:pStyle w:val="14"/>
              <w:spacing w:before="24"/>
              <w:ind w:left="149"/>
              <w:jc w:val="left"/>
              <w:rPr>
                <w:rFonts w:ascii="Times New Roman"/>
                <w:b/>
                <w:sz w:val="20"/>
              </w:rPr>
            </w:pPr>
            <w:r>
              <w:rPr>
                <w:rFonts w:ascii="Times New Roman"/>
                <w:b/>
                <w:sz w:val="20"/>
              </w:rPr>
              <w:t>41.1417</w:t>
            </w:r>
          </w:p>
        </w:tc>
        <w:tc>
          <w:tcPr>
            <w:tcW w:w="822" w:type="dxa"/>
          </w:tcPr>
          <w:p>
            <w:pPr>
              <w:pStyle w:val="14"/>
              <w:spacing w:before="24"/>
              <w:ind w:left="8"/>
              <w:rPr>
                <w:rFonts w:ascii="Times New Roman" w:hAnsi="Times New Roman"/>
                <w:b/>
                <w:sz w:val="20"/>
              </w:rPr>
            </w:pPr>
            <w:r>
              <w:rPr>
                <w:rFonts w:ascii="Times New Roman" w:hAnsi="Times New Roman"/>
                <w:b/>
                <w:w w:val="99"/>
                <w:sz w:val="20"/>
              </w:rPr>
              <w:t>—</w:t>
            </w:r>
          </w:p>
        </w:tc>
        <w:tc>
          <w:tcPr>
            <w:tcW w:w="837" w:type="dxa"/>
          </w:tcPr>
          <w:p>
            <w:pPr>
              <w:pStyle w:val="14"/>
              <w:spacing w:before="24"/>
              <w:ind w:left="5"/>
              <w:rPr>
                <w:rFonts w:ascii="Times New Roman" w:hAnsi="Times New Roman"/>
                <w:b/>
                <w:sz w:val="20"/>
              </w:rPr>
            </w:pPr>
            <w:r>
              <w:rPr>
                <w:rFonts w:ascii="Times New Roman" w:hAnsi="Times New Roman"/>
                <w:b/>
                <w:w w:val="99"/>
                <w:sz w:val="20"/>
              </w:rPr>
              <w:t>—</w:t>
            </w:r>
          </w:p>
        </w:tc>
        <w:tc>
          <w:tcPr>
            <w:tcW w:w="866" w:type="dxa"/>
          </w:tcPr>
          <w:p>
            <w:pPr>
              <w:pStyle w:val="14"/>
              <w:spacing w:before="24"/>
              <w:ind w:left="87" w:right="78"/>
              <w:rPr>
                <w:rFonts w:ascii="Times New Roman"/>
                <w:b/>
                <w:sz w:val="20"/>
              </w:rPr>
            </w:pPr>
            <w:r>
              <w:rPr>
                <w:rFonts w:ascii="Times New Roman"/>
                <w:b/>
                <w:sz w:val="20"/>
              </w:rPr>
              <w:t>41.1417</w:t>
            </w:r>
          </w:p>
        </w:tc>
        <w:tc>
          <w:tcPr>
            <w:tcW w:w="1463" w:type="dxa"/>
          </w:tcPr>
          <w:p>
            <w:pPr>
              <w:pStyle w:val="14"/>
              <w:spacing w:before="24"/>
              <w:ind w:left="6"/>
              <w:rPr>
                <w:rFonts w:ascii="Times New Roman"/>
                <w:b/>
                <w:sz w:val="20"/>
              </w:rPr>
            </w:pPr>
            <w:r>
              <w:rPr>
                <w:rFonts w:ascii="Times New Roman"/>
                <w:b/>
                <w:w w:val="99"/>
                <w:sz w:val="20"/>
              </w:rPr>
              <w:t>-</w:t>
            </w:r>
          </w:p>
        </w:tc>
        <w:tc>
          <w:tcPr>
            <w:tcW w:w="1465" w:type="dxa"/>
          </w:tcPr>
          <w:p>
            <w:pPr>
              <w:pStyle w:val="14"/>
              <w:spacing w:before="24"/>
              <w:ind w:left="386" w:right="378"/>
              <w:rPr>
                <w:rFonts w:ascii="Times New Roman"/>
                <w:b/>
                <w:sz w:val="20"/>
              </w:rPr>
            </w:pPr>
            <w:r>
              <w:rPr>
                <w:rFonts w:ascii="Times New Roman"/>
                <w:b/>
                <w:sz w:val="20"/>
              </w:rPr>
              <w:t>41.1417</w:t>
            </w:r>
          </w:p>
        </w:tc>
        <w:tc>
          <w:tcPr>
            <w:tcW w:w="1458" w:type="dxa"/>
          </w:tcPr>
          <w:p>
            <w:pPr>
              <w:pStyle w:val="14"/>
              <w:spacing w:before="24"/>
              <w:ind w:left="403"/>
              <w:jc w:val="left"/>
              <w:rPr>
                <w:rFonts w:ascii="Times New Roman"/>
                <w:b/>
                <w:sz w:val="20"/>
              </w:rPr>
            </w:pPr>
            <w:r>
              <w:rPr>
                <w:rFonts w:ascii="Times New Roman"/>
                <w:b/>
                <w:sz w:val="20"/>
              </w:rPr>
              <w:t>41.1417</w:t>
            </w:r>
          </w:p>
        </w:tc>
      </w:tr>
    </w:tbl>
    <w:p>
      <w:pPr>
        <w:pStyle w:val="6"/>
        <w:spacing w:before="79"/>
        <w:ind w:left="1031"/>
      </w:pPr>
      <w:r>
        <w:t>土地复垦费用预存分为四个阶段安排表如下：</w:t>
      </w:r>
    </w:p>
    <w:p>
      <w:pPr>
        <w:pStyle w:val="5"/>
        <w:tabs>
          <w:tab w:val="left" w:pos="1051"/>
        </w:tabs>
        <w:spacing w:before="84" w:after="2"/>
        <w:ind w:left="12"/>
        <w:jc w:val="center"/>
        <w:rPr>
          <w:rFonts w:hint="eastAsia" w:ascii="仿宋" w:eastAsia="仿宋"/>
        </w:rPr>
      </w:pPr>
      <w:r>
        <w:rPr>
          <w:rFonts w:hint="eastAsia" w:ascii="仿宋" w:eastAsia="仿宋"/>
        </w:rPr>
        <w:t>表</w:t>
      </w:r>
      <w:r>
        <w:rPr>
          <w:rFonts w:hint="eastAsia" w:ascii="仿宋" w:eastAsia="仿宋"/>
          <w:spacing w:val="-62"/>
        </w:rPr>
        <w:t xml:space="preserve"> </w:t>
      </w:r>
      <w:r>
        <w:rPr>
          <w:rFonts w:ascii="Times New Roman" w:eastAsia="Times New Roman"/>
        </w:rPr>
        <w:t>5.5-7</w:t>
      </w:r>
      <w:r>
        <w:rPr>
          <w:rFonts w:ascii="Times New Roman" w:eastAsia="Times New Roman"/>
        </w:rPr>
        <w:tab/>
      </w:r>
      <w:r>
        <w:rPr>
          <w:rFonts w:hint="eastAsia" w:ascii="仿宋" w:eastAsia="仿宋"/>
        </w:rPr>
        <w:t>土地复垦费用预存安排表</w:t>
      </w:r>
    </w:p>
    <w:tbl>
      <w:tblPr>
        <w:tblStyle w:val="10"/>
        <w:tblW w:w="0" w:type="auto"/>
        <w:tblInd w:w="4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3"/>
        <w:gridCol w:w="1023"/>
        <w:gridCol w:w="694"/>
        <w:gridCol w:w="831"/>
        <w:gridCol w:w="1056"/>
        <w:gridCol w:w="1447"/>
        <w:gridCol w:w="1453"/>
        <w:gridCol w:w="14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683" w:type="dxa"/>
          </w:tcPr>
          <w:p>
            <w:pPr>
              <w:pStyle w:val="14"/>
              <w:spacing w:before="4"/>
              <w:jc w:val="left"/>
              <w:rPr>
                <w:rFonts w:ascii="仿宋"/>
                <w:b/>
                <w:sz w:val="20"/>
              </w:rPr>
            </w:pPr>
          </w:p>
          <w:p>
            <w:pPr>
              <w:pStyle w:val="14"/>
              <w:ind w:left="140"/>
              <w:jc w:val="left"/>
              <w:rPr>
                <w:sz w:val="20"/>
              </w:rPr>
            </w:pPr>
            <w:r>
              <w:rPr>
                <w:sz w:val="20"/>
              </w:rPr>
              <w:t>阶段</w:t>
            </w:r>
          </w:p>
        </w:tc>
        <w:tc>
          <w:tcPr>
            <w:tcW w:w="1023" w:type="dxa"/>
          </w:tcPr>
          <w:p>
            <w:pPr>
              <w:pStyle w:val="14"/>
              <w:spacing w:before="131"/>
              <w:ind w:left="210"/>
              <w:jc w:val="left"/>
              <w:rPr>
                <w:sz w:val="20"/>
              </w:rPr>
            </w:pPr>
            <w:r>
              <w:rPr>
                <w:w w:val="95"/>
                <w:sz w:val="20"/>
              </w:rPr>
              <w:t>总投资</w:t>
            </w:r>
          </w:p>
          <w:p>
            <w:pPr>
              <w:pStyle w:val="14"/>
              <w:spacing w:before="2"/>
              <w:ind w:left="244"/>
              <w:jc w:val="left"/>
              <w:rPr>
                <w:rFonts w:ascii="Times New Roman" w:eastAsia="Times New Roman"/>
                <w:sz w:val="20"/>
              </w:rPr>
            </w:pPr>
            <w:r>
              <w:rPr>
                <w:rFonts w:ascii="Times New Roman" w:eastAsia="Times New Roman"/>
                <w:w w:val="95"/>
                <w:sz w:val="20"/>
              </w:rPr>
              <w:t>(</w:t>
            </w:r>
            <w:r>
              <w:rPr>
                <w:w w:val="95"/>
                <w:sz w:val="20"/>
              </w:rPr>
              <w:t>万元</w:t>
            </w:r>
            <w:r>
              <w:rPr>
                <w:rFonts w:ascii="Times New Roman" w:eastAsia="Times New Roman"/>
                <w:w w:val="95"/>
                <w:sz w:val="20"/>
              </w:rPr>
              <w:t>)</w:t>
            </w:r>
          </w:p>
        </w:tc>
        <w:tc>
          <w:tcPr>
            <w:tcW w:w="694" w:type="dxa"/>
          </w:tcPr>
          <w:p>
            <w:pPr>
              <w:pStyle w:val="14"/>
              <w:spacing w:before="4"/>
              <w:jc w:val="left"/>
              <w:rPr>
                <w:rFonts w:ascii="仿宋"/>
                <w:b/>
                <w:sz w:val="20"/>
              </w:rPr>
            </w:pPr>
          </w:p>
          <w:p>
            <w:pPr>
              <w:pStyle w:val="14"/>
              <w:ind w:right="138"/>
              <w:jc w:val="right"/>
              <w:rPr>
                <w:sz w:val="20"/>
              </w:rPr>
            </w:pPr>
            <w:r>
              <w:rPr>
                <w:w w:val="95"/>
                <w:sz w:val="20"/>
              </w:rPr>
              <w:t>年份</w:t>
            </w:r>
          </w:p>
        </w:tc>
        <w:tc>
          <w:tcPr>
            <w:tcW w:w="831" w:type="dxa"/>
          </w:tcPr>
          <w:p>
            <w:pPr>
              <w:pStyle w:val="14"/>
              <w:spacing w:before="131"/>
              <w:ind w:left="113"/>
              <w:jc w:val="left"/>
              <w:rPr>
                <w:sz w:val="20"/>
              </w:rPr>
            </w:pPr>
            <w:r>
              <w:rPr>
                <w:sz w:val="20"/>
              </w:rPr>
              <w:t>年产量</w:t>
            </w:r>
          </w:p>
          <w:p>
            <w:pPr>
              <w:pStyle w:val="14"/>
              <w:spacing w:before="2"/>
              <w:ind w:left="106"/>
              <w:jc w:val="left"/>
              <w:rPr>
                <w:sz w:val="20"/>
              </w:rPr>
            </w:pPr>
            <w:r>
              <w:rPr>
                <w:sz w:val="20"/>
              </w:rPr>
              <w:t>（</w:t>
            </w:r>
            <w:r>
              <w:rPr>
                <w:spacing w:val="-26"/>
                <w:sz w:val="20"/>
              </w:rPr>
              <w:t xml:space="preserve">万 </w:t>
            </w:r>
            <w:r>
              <w:rPr>
                <w:rFonts w:ascii="Times New Roman" w:eastAsia="Times New Roman"/>
                <w:sz w:val="20"/>
              </w:rPr>
              <w:t>t</w:t>
            </w:r>
            <w:r>
              <w:rPr>
                <w:sz w:val="20"/>
              </w:rPr>
              <w:t>）</w:t>
            </w:r>
          </w:p>
        </w:tc>
        <w:tc>
          <w:tcPr>
            <w:tcW w:w="1056" w:type="dxa"/>
          </w:tcPr>
          <w:p>
            <w:pPr>
              <w:pStyle w:val="14"/>
              <w:spacing w:before="1" w:line="242" w:lineRule="auto"/>
              <w:ind w:left="127" w:right="117"/>
              <w:rPr>
                <w:sz w:val="20"/>
              </w:rPr>
            </w:pPr>
            <w:r>
              <w:rPr>
                <w:sz w:val="20"/>
              </w:rPr>
              <w:t>年度投资额度</w:t>
            </w:r>
            <w:r>
              <w:rPr>
                <w:rFonts w:ascii="Times New Roman" w:eastAsia="Times New Roman"/>
                <w:sz w:val="20"/>
              </w:rPr>
              <w:t>(</w:t>
            </w:r>
            <w:r>
              <w:rPr>
                <w:sz w:val="20"/>
              </w:rPr>
              <w:t>万</w:t>
            </w:r>
          </w:p>
          <w:p>
            <w:pPr>
              <w:pStyle w:val="14"/>
              <w:spacing w:before="1" w:line="238" w:lineRule="exact"/>
              <w:ind w:left="127" w:right="117"/>
              <w:rPr>
                <w:rFonts w:ascii="Times New Roman" w:eastAsia="Times New Roman"/>
                <w:sz w:val="20"/>
              </w:rPr>
            </w:pPr>
            <w:r>
              <w:rPr>
                <w:sz w:val="20"/>
              </w:rPr>
              <w:t>元</w:t>
            </w:r>
            <w:r>
              <w:rPr>
                <w:rFonts w:ascii="Times New Roman" w:eastAsia="Times New Roman"/>
                <w:sz w:val="20"/>
              </w:rPr>
              <w:t>)</w:t>
            </w:r>
          </w:p>
        </w:tc>
        <w:tc>
          <w:tcPr>
            <w:tcW w:w="1447" w:type="dxa"/>
          </w:tcPr>
          <w:p>
            <w:pPr>
              <w:pStyle w:val="14"/>
              <w:spacing w:before="1" w:line="242" w:lineRule="auto"/>
              <w:ind w:left="122" w:right="112"/>
              <w:rPr>
                <w:sz w:val="20"/>
              </w:rPr>
            </w:pPr>
            <w:r>
              <w:rPr>
                <w:sz w:val="20"/>
              </w:rPr>
              <w:t>单位产量投资复垦费用预存</w:t>
            </w:r>
          </w:p>
          <w:p>
            <w:pPr>
              <w:pStyle w:val="14"/>
              <w:spacing w:before="1" w:line="238" w:lineRule="exact"/>
              <w:ind w:left="120" w:right="112"/>
              <w:rPr>
                <w:rFonts w:ascii="Times New Roman" w:eastAsia="Times New Roman"/>
                <w:sz w:val="20"/>
              </w:rPr>
            </w:pPr>
            <w:r>
              <w:rPr>
                <w:sz w:val="20"/>
              </w:rPr>
              <w:t>额</w:t>
            </w:r>
            <w:r>
              <w:rPr>
                <w:rFonts w:ascii="Times New Roman" w:eastAsia="Times New Roman"/>
                <w:sz w:val="20"/>
              </w:rPr>
              <w:t>(</w:t>
            </w:r>
            <w:r>
              <w:rPr>
                <w:sz w:val="20"/>
              </w:rPr>
              <w:t>元</w:t>
            </w:r>
            <w:r>
              <w:rPr>
                <w:rFonts w:ascii="Times New Roman" w:eastAsia="Times New Roman"/>
                <w:sz w:val="20"/>
              </w:rPr>
              <w:t>/t)</w:t>
            </w:r>
          </w:p>
        </w:tc>
        <w:tc>
          <w:tcPr>
            <w:tcW w:w="1453" w:type="dxa"/>
          </w:tcPr>
          <w:p>
            <w:pPr>
              <w:pStyle w:val="14"/>
              <w:spacing w:before="131" w:line="242" w:lineRule="auto"/>
              <w:ind w:left="108" w:firstLine="16"/>
              <w:jc w:val="left"/>
              <w:rPr>
                <w:sz w:val="20"/>
              </w:rPr>
            </w:pPr>
            <w:r>
              <w:rPr>
                <w:sz w:val="20"/>
              </w:rPr>
              <w:t>年度复垦费用</w:t>
            </w:r>
            <w:r>
              <w:rPr>
                <w:spacing w:val="-22"/>
                <w:sz w:val="20"/>
              </w:rPr>
              <w:t>预存额</w:t>
            </w:r>
            <w:r>
              <w:rPr>
                <w:sz w:val="20"/>
              </w:rPr>
              <w:t>（万元</w:t>
            </w:r>
            <w:r>
              <w:rPr>
                <w:spacing w:val="-17"/>
                <w:sz w:val="20"/>
              </w:rPr>
              <w:t>）</w:t>
            </w:r>
          </w:p>
        </w:tc>
        <w:tc>
          <w:tcPr>
            <w:tcW w:w="1453" w:type="dxa"/>
          </w:tcPr>
          <w:p>
            <w:pPr>
              <w:pStyle w:val="14"/>
              <w:spacing w:before="131" w:line="242" w:lineRule="auto"/>
              <w:ind w:left="107" w:right="-15" w:firstLine="16"/>
              <w:jc w:val="left"/>
              <w:rPr>
                <w:sz w:val="20"/>
              </w:rPr>
            </w:pPr>
            <w:r>
              <w:rPr>
                <w:sz w:val="20"/>
              </w:rPr>
              <w:t>阶段复垦费用</w:t>
            </w:r>
            <w:r>
              <w:rPr>
                <w:spacing w:val="-21"/>
                <w:sz w:val="20"/>
              </w:rPr>
              <w:t>预存额</w:t>
            </w:r>
            <w:r>
              <w:rPr>
                <w:sz w:val="20"/>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83" w:type="dxa"/>
            <w:vMerge w:val="restart"/>
          </w:tcPr>
          <w:p>
            <w:pPr>
              <w:pStyle w:val="14"/>
              <w:jc w:val="left"/>
              <w:rPr>
                <w:rFonts w:ascii="仿宋"/>
                <w:b/>
                <w:sz w:val="20"/>
              </w:rPr>
            </w:pPr>
          </w:p>
          <w:p>
            <w:pPr>
              <w:pStyle w:val="14"/>
              <w:spacing w:before="5"/>
              <w:jc w:val="left"/>
              <w:rPr>
                <w:rFonts w:ascii="仿宋"/>
                <w:b/>
                <w:sz w:val="18"/>
              </w:rPr>
            </w:pPr>
          </w:p>
          <w:p>
            <w:pPr>
              <w:pStyle w:val="14"/>
              <w:ind w:left="8"/>
              <w:rPr>
                <w:sz w:val="20"/>
              </w:rPr>
            </w:pPr>
            <w:r>
              <w:rPr>
                <w:w w:val="99"/>
                <w:sz w:val="20"/>
              </w:rPr>
              <w:t>一</w:t>
            </w:r>
          </w:p>
        </w:tc>
        <w:tc>
          <w:tcPr>
            <w:tcW w:w="1023" w:type="dxa"/>
            <w:vMerge w:val="restart"/>
          </w:tcPr>
          <w:p>
            <w:pPr>
              <w:pStyle w:val="14"/>
              <w:jc w:val="left"/>
              <w:rPr>
                <w:rFonts w:ascii="仿宋"/>
                <w:b/>
                <w:sz w:val="22"/>
              </w:rPr>
            </w:pPr>
          </w:p>
          <w:p>
            <w:pPr>
              <w:pStyle w:val="14"/>
              <w:spacing w:before="5"/>
              <w:jc w:val="left"/>
              <w:rPr>
                <w:rFonts w:ascii="仿宋"/>
                <w:b/>
                <w:sz w:val="17"/>
              </w:rPr>
            </w:pPr>
          </w:p>
          <w:p>
            <w:pPr>
              <w:pStyle w:val="14"/>
              <w:spacing w:before="1"/>
              <w:ind w:left="234"/>
              <w:jc w:val="left"/>
              <w:rPr>
                <w:rFonts w:ascii="Times New Roman"/>
                <w:sz w:val="20"/>
              </w:rPr>
            </w:pPr>
            <w:r>
              <w:rPr>
                <w:rFonts w:ascii="Times New Roman"/>
                <w:sz w:val="20"/>
              </w:rPr>
              <w:t>0.0000</w:t>
            </w:r>
          </w:p>
        </w:tc>
        <w:tc>
          <w:tcPr>
            <w:tcW w:w="694" w:type="dxa"/>
          </w:tcPr>
          <w:p>
            <w:pPr>
              <w:pStyle w:val="14"/>
              <w:spacing w:before="6" w:line="214" w:lineRule="exact"/>
              <w:ind w:right="136"/>
              <w:jc w:val="right"/>
              <w:rPr>
                <w:rFonts w:ascii="Times New Roman"/>
                <w:sz w:val="20"/>
              </w:rPr>
            </w:pPr>
            <w:r>
              <w:rPr>
                <w:rFonts w:ascii="Times New Roman"/>
                <w:w w:val="95"/>
                <w:sz w:val="20"/>
              </w:rPr>
              <w:t>2021</w:t>
            </w:r>
          </w:p>
        </w:tc>
        <w:tc>
          <w:tcPr>
            <w:tcW w:w="831" w:type="dxa"/>
          </w:tcPr>
          <w:p>
            <w:pPr>
              <w:pStyle w:val="14"/>
              <w:spacing w:before="6" w:line="214" w:lineRule="exact"/>
              <w:ind w:left="295" w:right="285"/>
              <w:rPr>
                <w:rFonts w:ascii="Times New Roman"/>
                <w:sz w:val="20"/>
              </w:rPr>
            </w:pPr>
            <w:r>
              <w:rPr>
                <w:rFonts w:ascii="Times New Roman"/>
                <w:sz w:val="20"/>
              </w:rPr>
              <w:t>30</w:t>
            </w:r>
          </w:p>
        </w:tc>
        <w:tc>
          <w:tcPr>
            <w:tcW w:w="1056" w:type="dxa"/>
          </w:tcPr>
          <w:p>
            <w:pPr>
              <w:pStyle w:val="14"/>
              <w:spacing w:before="6" w:line="214" w:lineRule="exact"/>
              <w:ind w:left="126" w:right="117"/>
              <w:rPr>
                <w:rFonts w:ascii="Times New Roman"/>
                <w:sz w:val="20"/>
              </w:rPr>
            </w:pPr>
            <w:r>
              <w:rPr>
                <w:rFonts w:ascii="Times New Roman"/>
                <w:sz w:val="20"/>
              </w:rPr>
              <w:t>0.0000</w:t>
            </w:r>
          </w:p>
        </w:tc>
        <w:tc>
          <w:tcPr>
            <w:tcW w:w="1447" w:type="dxa"/>
          </w:tcPr>
          <w:p>
            <w:pPr>
              <w:pStyle w:val="14"/>
              <w:spacing w:before="6" w:line="214" w:lineRule="exact"/>
              <w:ind w:left="122" w:right="112"/>
              <w:rPr>
                <w:rFonts w:ascii="Times New Roman"/>
                <w:sz w:val="20"/>
              </w:rPr>
            </w:pPr>
            <w:r>
              <w:rPr>
                <w:rFonts w:ascii="Times New Roman"/>
                <w:sz w:val="20"/>
              </w:rPr>
              <w:t>1.18</w:t>
            </w:r>
          </w:p>
        </w:tc>
        <w:tc>
          <w:tcPr>
            <w:tcW w:w="1453" w:type="dxa"/>
          </w:tcPr>
          <w:p>
            <w:pPr>
              <w:pStyle w:val="14"/>
              <w:spacing w:before="6" w:line="214" w:lineRule="exact"/>
              <w:ind w:left="381" w:right="372"/>
              <w:rPr>
                <w:rFonts w:ascii="Times New Roman"/>
                <w:sz w:val="20"/>
              </w:rPr>
            </w:pPr>
            <w:r>
              <w:rPr>
                <w:rFonts w:ascii="Times New Roman"/>
                <w:sz w:val="20"/>
              </w:rPr>
              <w:t>35.5272</w:t>
            </w:r>
          </w:p>
        </w:tc>
        <w:tc>
          <w:tcPr>
            <w:tcW w:w="1453" w:type="dxa"/>
            <w:vMerge w:val="restart"/>
          </w:tcPr>
          <w:p>
            <w:pPr>
              <w:pStyle w:val="14"/>
              <w:jc w:val="left"/>
              <w:rPr>
                <w:rFonts w:ascii="仿宋"/>
                <w:b/>
                <w:sz w:val="22"/>
              </w:rPr>
            </w:pPr>
          </w:p>
          <w:p>
            <w:pPr>
              <w:pStyle w:val="14"/>
              <w:spacing w:before="5"/>
              <w:jc w:val="left"/>
              <w:rPr>
                <w:rFonts w:ascii="仿宋"/>
                <w:b/>
                <w:sz w:val="17"/>
              </w:rPr>
            </w:pPr>
          </w:p>
          <w:p>
            <w:pPr>
              <w:pStyle w:val="14"/>
              <w:spacing w:before="1"/>
              <w:ind w:left="400"/>
              <w:jc w:val="left"/>
              <w:rPr>
                <w:rFonts w:ascii="Times New Roman"/>
                <w:sz w:val="20"/>
              </w:rPr>
            </w:pPr>
            <w:r>
              <w:rPr>
                <w:rFonts w:ascii="Times New Roman"/>
                <w:sz w:val="20"/>
              </w:rPr>
              <w:t>79.2530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83" w:type="dxa"/>
            <w:vMerge w:val="continue"/>
            <w:tcBorders>
              <w:top w:val="nil"/>
            </w:tcBorders>
          </w:tcPr>
          <w:p>
            <w:pPr>
              <w:rPr>
                <w:sz w:val="2"/>
                <w:szCs w:val="2"/>
              </w:rPr>
            </w:pPr>
          </w:p>
        </w:tc>
        <w:tc>
          <w:tcPr>
            <w:tcW w:w="1023" w:type="dxa"/>
            <w:vMerge w:val="continue"/>
            <w:tcBorders>
              <w:top w:val="nil"/>
            </w:tcBorders>
          </w:tcPr>
          <w:p>
            <w:pPr>
              <w:rPr>
                <w:sz w:val="2"/>
                <w:szCs w:val="2"/>
              </w:rPr>
            </w:pPr>
          </w:p>
        </w:tc>
        <w:tc>
          <w:tcPr>
            <w:tcW w:w="694" w:type="dxa"/>
          </w:tcPr>
          <w:p>
            <w:pPr>
              <w:pStyle w:val="14"/>
              <w:spacing w:before="6" w:line="214" w:lineRule="exact"/>
              <w:ind w:right="136"/>
              <w:jc w:val="right"/>
              <w:rPr>
                <w:rFonts w:ascii="Times New Roman"/>
                <w:sz w:val="20"/>
              </w:rPr>
            </w:pPr>
            <w:r>
              <w:rPr>
                <w:rFonts w:ascii="Times New Roman"/>
                <w:w w:val="95"/>
                <w:sz w:val="20"/>
              </w:rPr>
              <w:t>2022</w:t>
            </w:r>
          </w:p>
        </w:tc>
        <w:tc>
          <w:tcPr>
            <w:tcW w:w="831" w:type="dxa"/>
          </w:tcPr>
          <w:p>
            <w:pPr>
              <w:pStyle w:val="14"/>
              <w:spacing w:before="6" w:line="214" w:lineRule="exact"/>
              <w:ind w:left="295" w:right="285"/>
              <w:rPr>
                <w:rFonts w:ascii="Times New Roman"/>
                <w:sz w:val="20"/>
              </w:rPr>
            </w:pPr>
            <w:r>
              <w:rPr>
                <w:rFonts w:ascii="Times New Roman"/>
                <w:sz w:val="20"/>
              </w:rPr>
              <w:t>30</w:t>
            </w:r>
          </w:p>
        </w:tc>
        <w:tc>
          <w:tcPr>
            <w:tcW w:w="1056" w:type="dxa"/>
          </w:tcPr>
          <w:p>
            <w:pPr>
              <w:pStyle w:val="14"/>
              <w:spacing w:before="6" w:line="214" w:lineRule="exact"/>
              <w:ind w:left="126" w:right="117"/>
              <w:rPr>
                <w:rFonts w:ascii="Times New Roman"/>
                <w:sz w:val="20"/>
              </w:rPr>
            </w:pPr>
            <w:r>
              <w:rPr>
                <w:rFonts w:ascii="Times New Roman"/>
                <w:sz w:val="20"/>
              </w:rPr>
              <w:t>0.0000</w:t>
            </w:r>
          </w:p>
        </w:tc>
        <w:tc>
          <w:tcPr>
            <w:tcW w:w="1447" w:type="dxa"/>
          </w:tcPr>
          <w:p>
            <w:pPr>
              <w:pStyle w:val="14"/>
              <w:spacing w:before="6" w:line="214" w:lineRule="exact"/>
              <w:ind w:left="122" w:right="112"/>
              <w:rPr>
                <w:rFonts w:ascii="Times New Roman"/>
                <w:sz w:val="20"/>
              </w:rPr>
            </w:pPr>
            <w:r>
              <w:rPr>
                <w:rFonts w:ascii="Times New Roman"/>
                <w:sz w:val="20"/>
              </w:rPr>
              <w:t>0.36</w:t>
            </w:r>
          </w:p>
        </w:tc>
        <w:tc>
          <w:tcPr>
            <w:tcW w:w="1453" w:type="dxa"/>
          </w:tcPr>
          <w:p>
            <w:pPr>
              <w:pStyle w:val="14"/>
              <w:spacing w:before="6" w:line="214" w:lineRule="exact"/>
              <w:ind w:left="381" w:right="372"/>
              <w:rPr>
                <w:rFonts w:ascii="Times New Roman"/>
                <w:sz w:val="20"/>
              </w:rPr>
            </w:pPr>
            <w:r>
              <w:rPr>
                <w:rFonts w:ascii="Times New Roman"/>
                <w:sz w:val="20"/>
              </w:rPr>
              <w:t>10.9315</w:t>
            </w:r>
          </w:p>
        </w:tc>
        <w:tc>
          <w:tcPr>
            <w:tcW w:w="145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83" w:type="dxa"/>
            <w:vMerge w:val="continue"/>
            <w:tcBorders>
              <w:top w:val="nil"/>
            </w:tcBorders>
          </w:tcPr>
          <w:p>
            <w:pPr>
              <w:rPr>
                <w:sz w:val="2"/>
                <w:szCs w:val="2"/>
              </w:rPr>
            </w:pPr>
          </w:p>
        </w:tc>
        <w:tc>
          <w:tcPr>
            <w:tcW w:w="1023" w:type="dxa"/>
            <w:vMerge w:val="continue"/>
            <w:tcBorders>
              <w:top w:val="nil"/>
            </w:tcBorders>
          </w:tcPr>
          <w:p>
            <w:pPr>
              <w:rPr>
                <w:sz w:val="2"/>
                <w:szCs w:val="2"/>
              </w:rPr>
            </w:pPr>
          </w:p>
        </w:tc>
        <w:tc>
          <w:tcPr>
            <w:tcW w:w="694" w:type="dxa"/>
          </w:tcPr>
          <w:p>
            <w:pPr>
              <w:pStyle w:val="14"/>
              <w:spacing w:before="5" w:line="214" w:lineRule="exact"/>
              <w:ind w:right="136"/>
              <w:jc w:val="right"/>
              <w:rPr>
                <w:rFonts w:ascii="Times New Roman"/>
                <w:sz w:val="20"/>
              </w:rPr>
            </w:pPr>
            <w:r>
              <w:rPr>
                <w:rFonts w:ascii="Times New Roman"/>
                <w:w w:val="95"/>
                <w:sz w:val="20"/>
              </w:rPr>
              <w:t>2023</w:t>
            </w:r>
          </w:p>
        </w:tc>
        <w:tc>
          <w:tcPr>
            <w:tcW w:w="831" w:type="dxa"/>
          </w:tcPr>
          <w:p>
            <w:pPr>
              <w:pStyle w:val="14"/>
              <w:spacing w:before="5" w:line="214" w:lineRule="exact"/>
              <w:ind w:left="295" w:right="285"/>
              <w:rPr>
                <w:rFonts w:ascii="Times New Roman"/>
                <w:sz w:val="20"/>
              </w:rPr>
            </w:pPr>
            <w:r>
              <w:rPr>
                <w:rFonts w:ascii="Times New Roman"/>
                <w:sz w:val="20"/>
              </w:rPr>
              <w:t>30</w:t>
            </w:r>
          </w:p>
        </w:tc>
        <w:tc>
          <w:tcPr>
            <w:tcW w:w="1056" w:type="dxa"/>
          </w:tcPr>
          <w:p>
            <w:pPr>
              <w:pStyle w:val="14"/>
              <w:spacing w:before="5" w:line="214" w:lineRule="exact"/>
              <w:ind w:left="126" w:right="117"/>
              <w:rPr>
                <w:rFonts w:ascii="Times New Roman"/>
                <w:sz w:val="20"/>
              </w:rPr>
            </w:pPr>
            <w:r>
              <w:rPr>
                <w:rFonts w:ascii="Times New Roman"/>
                <w:sz w:val="20"/>
              </w:rPr>
              <w:t>0.0000</w:t>
            </w:r>
          </w:p>
        </w:tc>
        <w:tc>
          <w:tcPr>
            <w:tcW w:w="1447" w:type="dxa"/>
          </w:tcPr>
          <w:p>
            <w:pPr>
              <w:pStyle w:val="14"/>
              <w:spacing w:before="5" w:line="214" w:lineRule="exact"/>
              <w:ind w:left="122" w:right="112"/>
              <w:rPr>
                <w:rFonts w:ascii="Times New Roman"/>
                <w:sz w:val="20"/>
              </w:rPr>
            </w:pPr>
            <w:r>
              <w:rPr>
                <w:rFonts w:ascii="Times New Roman"/>
                <w:sz w:val="20"/>
              </w:rPr>
              <w:t>0.36</w:t>
            </w:r>
          </w:p>
        </w:tc>
        <w:tc>
          <w:tcPr>
            <w:tcW w:w="1453" w:type="dxa"/>
          </w:tcPr>
          <w:p>
            <w:pPr>
              <w:pStyle w:val="14"/>
              <w:spacing w:before="5" w:line="214" w:lineRule="exact"/>
              <w:ind w:left="381" w:right="372"/>
              <w:rPr>
                <w:rFonts w:ascii="Times New Roman"/>
                <w:sz w:val="20"/>
              </w:rPr>
            </w:pPr>
            <w:r>
              <w:rPr>
                <w:rFonts w:ascii="Times New Roman"/>
                <w:sz w:val="20"/>
              </w:rPr>
              <w:t>10.9315</w:t>
            </w:r>
          </w:p>
        </w:tc>
        <w:tc>
          <w:tcPr>
            <w:tcW w:w="145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83" w:type="dxa"/>
            <w:vMerge w:val="continue"/>
            <w:tcBorders>
              <w:top w:val="nil"/>
            </w:tcBorders>
          </w:tcPr>
          <w:p>
            <w:pPr>
              <w:rPr>
                <w:sz w:val="2"/>
                <w:szCs w:val="2"/>
              </w:rPr>
            </w:pPr>
          </w:p>
        </w:tc>
        <w:tc>
          <w:tcPr>
            <w:tcW w:w="1023" w:type="dxa"/>
            <w:vMerge w:val="continue"/>
            <w:tcBorders>
              <w:top w:val="nil"/>
            </w:tcBorders>
          </w:tcPr>
          <w:p>
            <w:pPr>
              <w:rPr>
                <w:sz w:val="2"/>
                <w:szCs w:val="2"/>
              </w:rPr>
            </w:pPr>
          </w:p>
        </w:tc>
        <w:tc>
          <w:tcPr>
            <w:tcW w:w="694" w:type="dxa"/>
          </w:tcPr>
          <w:p>
            <w:pPr>
              <w:pStyle w:val="14"/>
              <w:spacing w:before="5" w:line="215" w:lineRule="exact"/>
              <w:ind w:right="136"/>
              <w:jc w:val="right"/>
              <w:rPr>
                <w:rFonts w:ascii="Times New Roman"/>
                <w:sz w:val="20"/>
              </w:rPr>
            </w:pPr>
            <w:r>
              <w:rPr>
                <w:rFonts w:ascii="Times New Roman"/>
                <w:w w:val="95"/>
                <w:sz w:val="20"/>
              </w:rPr>
              <w:t>2024</w:t>
            </w:r>
          </w:p>
        </w:tc>
        <w:tc>
          <w:tcPr>
            <w:tcW w:w="831" w:type="dxa"/>
          </w:tcPr>
          <w:p>
            <w:pPr>
              <w:pStyle w:val="14"/>
              <w:spacing w:before="5" w:line="215" w:lineRule="exact"/>
              <w:ind w:left="295" w:right="285"/>
              <w:rPr>
                <w:rFonts w:ascii="Times New Roman"/>
                <w:sz w:val="20"/>
              </w:rPr>
            </w:pPr>
            <w:r>
              <w:rPr>
                <w:rFonts w:ascii="Times New Roman"/>
                <w:sz w:val="20"/>
              </w:rPr>
              <w:t>30</w:t>
            </w:r>
          </w:p>
        </w:tc>
        <w:tc>
          <w:tcPr>
            <w:tcW w:w="1056" w:type="dxa"/>
          </w:tcPr>
          <w:p>
            <w:pPr>
              <w:pStyle w:val="14"/>
              <w:spacing w:before="5" w:line="215" w:lineRule="exact"/>
              <w:ind w:left="126" w:right="117"/>
              <w:rPr>
                <w:rFonts w:ascii="Times New Roman"/>
                <w:sz w:val="20"/>
              </w:rPr>
            </w:pPr>
            <w:r>
              <w:rPr>
                <w:rFonts w:ascii="Times New Roman"/>
                <w:sz w:val="20"/>
              </w:rPr>
              <w:t>0.0000</w:t>
            </w:r>
          </w:p>
        </w:tc>
        <w:tc>
          <w:tcPr>
            <w:tcW w:w="1447" w:type="dxa"/>
          </w:tcPr>
          <w:p>
            <w:pPr>
              <w:pStyle w:val="14"/>
              <w:spacing w:before="5" w:line="215" w:lineRule="exact"/>
              <w:ind w:left="122" w:right="112"/>
              <w:rPr>
                <w:rFonts w:ascii="Times New Roman"/>
                <w:sz w:val="20"/>
              </w:rPr>
            </w:pPr>
            <w:r>
              <w:rPr>
                <w:rFonts w:ascii="Times New Roman"/>
                <w:sz w:val="20"/>
              </w:rPr>
              <w:t>0.36</w:t>
            </w:r>
          </w:p>
        </w:tc>
        <w:tc>
          <w:tcPr>
            <w:tcW w:w="1453" w:type="dxa"/>
          </w:tcPr>
          <w:p>
            <w:pPr>
              <w:pStyle w:val="14"/>
              <w:spacing w:before="5" w:line="215" w:lineRule="exact"/>
              <w:ind w:left="381" w:right="372"/>
              <w:rPr>
                <w:rFonts w:ascii="Times New Roman"/>
                <w:sz w:val="20"/>
              </w:rPr>
            </w:pPr>
            <w:r>
              <w:rPr>
                <w:rFonts w:ascii="Times New Roman"/>
                <w:sz w:val="20"/>
              </w:rPr>
              <w:t>10.9315</w:t>
            </w:r>
          </w:p>
        </w:tc>
        <w:tc>
          <w:tcPr>
            <w:tcW w:w="145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683" w:type="dxa"/>
            <w:vMerge w:val="continue"/>
            <w:tcBorders>
              <w:top w:val="nil"/>
            </w:tcBorders>
          </w:tcPr>
          <w:p>
            <w:pPr>
              <w:rPr>
                <w:sz w:val="2"/>
                <w:szCs w:val="2"/>
              </w:rPr>
            </w:pPr>
          </w:p>
        </w:tc>
        <w:tc>
          <w:tcPr>
            <w:tcW w:w="1023" w:type="dxa"/>
            <w:vMerge w:val="continue"/>
            <w:tcBorders>
              <w:top w:val="nil"/>
            </w:tcBorders>
          </w:tcPr>
          <w:p>
            <w:pPr>
              <w:rPr>
                <w:sz w:val="2"/>
                <w:szCs w:val="2"/>
              </w:rPr>
            </w:pPr>
          </w:p>
        </w:tc>
        <w:tc>
          <w:tcPr>
            <w:tcW w:w="694" w:type="dxa"/>
          </w:tcPr>
          <w:p>
            <w:pPr>
              <w:pStyle w:val="14"/>
              <w:spacing w:before="5" w:line="213" w:lineRule="exact"/>
              <w:ind w:right="136"/>
              <w:jc w:val="right"/>
              <w:rPr>
                <w:rFonts w:ascii="Times New Roman"/>
                <w:sz w:val="20"/>
              </w:rPr>
            </w:pPr>
            <w:r>
              <w:rPr>
                <w:rFonts w:ascii="Times New Roman"/>
                <w:w w:val="95"/>
                <w:sz w:val="20"/>
              </w:rPr>
              <w:t>2025</w:t>
            </w:r>
          </w:p>
        </w:tc>
        <w:tc>
          <w:tcPr>
            <w:tcW w:w="831" w:type="dxa"/>
          </w:tcPr>
          <w:p>
            <w:pPr>
              <w:pStyle w:val="14"/>
              <w:spacing w:before="5" w:line="213" w:lineRule="exact"/>
              <w:ind w:left="295" w:right="285"/>
              <w:rPr>
                <w:rFonts w:ascii="Times New Roman"/>
                <w:sz w:val="20"/>
              </w:rPr>
            </w:pPr>
            <w:r>
              <w:rPr>
                <w:rFonts w:ascii="Times New Roman"/>
                <w:sz w:val="20"/>
              </w:rPr>
              <w:t>30</w:t>
            </w:r>
          </w:p>
        </w:tc>
        <w:tc>
          <w:tcPr>
            <w:tcW w:w="1056" w:type="dxa"/>
          </w:tcPr>
          <w:p>
            <w:pPr>
              <w:pStyle w:val="14"/>
              <w:spacing w:before="5" w:line="213" w:lineRule="exact"/>
              <w:ind w:left="126" w:right="117"/>
              <w:rPr>
                <w:rFonts w:ascii="Times New Roman"/>
                <w:sz w:val="20"/>
              </w:rPr>
            </w:pPr>
            <w:r>
              <w:rPr>
                <w:rFonts w:ascii="Times New Roman"/>
                <w:sz w:val="20"/>
              </w:rPr>
              <w:t>0.0000</w:t>
            </w:r>
          </w:p>
        </w:tc>
        <w:tc>
          <w:tcPr>
            <w:tcW w:w="1447" w:type="dxa"/>
          </w:tcPr>
          <w:p>
            <w:pPr>
              <w:pStyle w:val="14"/>
              <w:spacing w:before="5" w:line="213" w:lineRule="exact"/>
              <w:ind w:left="122" w:right="112"/>
              <w:rPr>
                <w:rFonts w:ascii="Times New Roman"/>
                <w:sz w:val="20"/>
              </w:rPr>
            </w:pPr>
            <w:r>
              <w:rPr>
                <w:rFonts w:ascii="Times New Roman"/>
                <w:sz w:val="20"/>
              </w:rPr>
              <w:t>0.36</w:t>
            </w:r>
          </w:p>
        </w:tc>
        <w:tc>
          <w:tcPr>
            <w:tcW w:w="1453" w:type="dxa"/>
          </w:tcPr>
          <w:p>
            <w:pPr>
              <w:pStyle w:val="14"/>
              <w:spacing w:before="5" w:line="213" w:lineRule="exact"/>
              <w:ind w:left="381" w:right="372"/>
              <w:rPr>
                <w:rFonts w:ascii="Times New Roman"/>
                <w:sz w:val="20"/>
              </w:rPr>
            </w:pPr>
            <w:r>
              <w:rPr>
                <w:rFonts w:ascii="Times New Roman"/>
                <w:sz w:val="20"/>
              </w:rPr>
              <w:t>10.9315</w:t>
            </w:r>
          </w:p>
        </w:tc>
        <w:tc>
          <w:tcPr>
            <w:tcW w:w="1453" w:type="dxa"/>
            <w:vMerge w:val="continue"/>
            <w:tcBorders>
              <w:top w:val="nil"/>
            </w:tcBorders>
          </w:tcPr>
          <w:p>
            <w:pPr>
              <w:rPr>
                <w:sz w:val="2"/>
                <w:szCs w:val="2"/>
              </w:rPr>
            </w:pPr>
          </w:p>
        </w:tc>
      </w:tr>
    </w:tbl>
    <w:p>
      <w:pPr>
        <w:spacing w:after="0"/>
        <w:rPr>
          <w:sz w:val="2"/>
          <w:szCs w:val="2"/>
        </w:rPr>
        <w:sectPr>
          <w:pgSz w:w="11910" w:h="16840"/>
          <w:pgMar w:top="1460" w:right="780" w:bottom="1180" w:left="1200" w:header="0" w:footer="997" w:gutter="0"/>
        </w:sectPr>
      </w:pPr>
    </w:p>
    <w:tbl>
      <w:tblPr>
        <w:tblStyle w:val="10"/>
        <w:tblW w:w="0" w:type="auto"/>
        <w:tblInd w:w="4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3"/>
        <w:gridCol w:w="1023"/>
        <w:gridCol w:w="694"/>
        <w:gridCol w:w="831"/>
        <w:gridCol w:w="1056"/>
        <w:gridCol w:w="1447"/>
        <w:gridCol w:w="1453"/>
        <w:gridCol w:w="14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83" w:type="dxa"/>
            <w:vMerge w:val="restart"/>
          </w:tcPr>
          <w:p>
            <w:pPr>
              <w:pStyle w:val="14"/>
              <w:jc w:val="left"/>
              <w:rPr>
                <w:rFonts w:ascii="仿宋"/>
                <w:b/>
                <w:sz w:val="20"/>
              </w:rPr>
            </w:pPr>
          </w:p>
          <w:p>
            <w:pPr>
              <w:pStyle w:val="14"/>
              <w:spacing w:before="5"/>
              <w:jc w:val="left"/>
              <w:rPr>
                <w:rFonts w:ascii="仿宋"/>
                <w:b/>
                <w:sz w:val="18"/>
              </w:rPr>
            </w:pPr>
          </w:p>
          <w:p>
            <w:pPr>
              <w:pStyle w:val="14"/>
              <w:ind w:left="8"/>
              <w:rPr>
                <w:sz w:val="20"/>
              </w:rPr>
            </w:pPr>
            <w:r>
              <w:rPr>
                <w:w w:val="99"/>
                <w:sz w:val="20"/>
              </w:rPr>
              <w:t>二</w:t>
            </w:r>
          </w:p>
        </w:tc>
        <w:tc>
          <w:tcPr>
            <w:tcW w:w="1023" w:type="dxa"/>
            <w:vMerge w:val="restart"/>
          </w:tcPr>
          <w:p>
            <w:pPr>
              <w:pStyle w:val="14"/>
              <w:jc w:val="left"/>
              <w:rPr>
                <w:rFonts w:ascii="仿宋"/>
                <w:b/>
                <w:sz w:val="22"/>
              </w:rPr>
            </w:pPr>
          </w:p>
          <w:p>
            <w:pPr>
              <w:pStyle w:val="14"/>
              <w:spacing w:before="5"/>
              <w:jc w:val="left"/>
              <w:rPr>
                <w:rFonts w:ascii="仿宋"/>
                <w:b/>
                <w:sz w:val="17"/>
              </w:rPr>
            </w:pPr>
          </w:p>
          <w:p>
            <w:pPr>
              <w:pStyle w:val="14"/>
              <w:ind w:left="234"/>
              <w:jc w:val="left"/>
              <w:rPr>
                <w:rFonts w:ascii="Times New Roman"/>
                <w:sz w:val="20"/>
              </w:rPr>
            </w:pPr>
            <w:r>
              <w:rPr>
                <w:rFonts w:ascii="Times New Roman"/>
                <w:sz w:val="20"/>
              </w:rPr>
              <w:t>0.0000</w:t>
            </w:r>
          </w:p>
        </w:tc>
        <w:tc>
          <w:tcPr>
            <w:tcW w:w="694" w:type="dxa"/>
          </w:tcPr>
          <w:p>
            <w:pPr>
              <w:pStyle w:val="14"/>
              <w:spacing w:before="6" w:line="214" w:lineRule="exact"/>
              <w:ind w:left="125" w:right="119"/>
              <w:rPr>
                <w:rFonts w:ascii="Times New Roman"/>
                <w:sz w:val="20"/>
              </w:rPr>
            </w:pPr>
            <w:r>
              <w:rPr>
                <w:rFonts w:ascii="Times New Roman"/>
                <w:sz w:val="20"/>
              </w:rPr>
              <w:t>2026</w:t>
            </w:r>
          </w:p>
        </w:tc>
        <w:tc>
          <w:tcPr>
            <w:tcW w:w="831" w:type="dxa"/>
          </w:tcPr>
          <w:p>
            <w:pPr>
              <w:pStyle w:val="14"/>
              <w:spacing w:before="6" w:line="214" w:lineRule="exact"/>
              <w:ind w:right="303"/>
              <w:jc w:val="right"/>
              <w:rPr>
                <w:rFonts w:ascii="Times New Roman"/>
                <w:sz w:val="20"/>
              </w:rPr>
            </w:pPr>
            <w:r>
              <w:rPr>
                <w:rFonts w:ascii="Times New Roman"/>
                <w:sz w:val="20"/>
              </w:rPr>
              <w:t>30</w:t>
            </w:r>
          </w:p>
        </w:tc>
        <w:tc>
          <w:tcPr>
            <w:tcW w:w="1056" w:type="dxa"/>
          </w:tcPr>
          <w:p>
            <w:pPr>
              <w:pStyle w:val="14"/>
              <w:spacing w:before="6" w:line="214" w:lineRule="exact"/>
              <w:ind w:left="126" w:right="117"/>
              <w:rPr>
                <w:rFonts w:ascii="Times New Roman"/>
                <w:sz w:val="20"/>
              </w:rPr>
            </w:pPr>
            <w:r>
              <w:rPr>
                <w:rFonts w:ascii="Times New Roman"/>
                <w:sz w:val="20"/>
              </w:rPr>
              <w:t>0.0000</w:t>
            </w:r>
          </w:p>
        </w:tc>
        <w:tc>
          <w:tcPr>
            <w:tcW w:w="1447" w:type="dxa"/>
          </w:tcPr>
          <w:p>
            <w:pPr>
              <w:pStyle w:val="14"/>
              <w:spacing w:before="6" w:line="214" w:lineRule="exact"/>
              <w:ind w:left="122" w:right="112"/>
              <w:rPr>
                <w:rFonts w:ascii="Times New Roman"/>
                <w:sz w:val="20"/>
              </w:rPr>
            </w:pPr>
            <w:r>
              <w:rPr>
                <w:rFonts w:ascii="Times New Roman"/>
                <w:sz w:val="20"/>
              </w:rPr>
              <w:t>0.36</w:t>
            </w:r>
          </w:p>
        </w:tc>
        <w:tc>
          <w:tcPr>
            <w:tcW w:w="1453" w:type="dxa"/>
          </w:tcPr>
          <w:p>
            <w:pPr>
              <w:pStyle w:val="14"/>
              <w:spacing w:before="6" w:line="214" w:lineRule="exact"/>
              <w:ind w:right="390"/>
              <w:jc w:val="right"/>
              <w:rPr>
                <w:rFonts w:ascii="Times New Roman"/>
                <w:sz w:val="20"/>
              </w:rPr>
            </w:pPr>
            <w:r>
              <w:rPr>
                <w:rFonts w:ascii="Times New Roman"/>
                <w:sz w:val="20"/>
              </w:rPr>
              <w:t>10.9315</w:t>
            </w:r>
          </w:p>
        </w:tc>
        <w:tc>
          <w:tcPr>
            <w:tcW w:w="1453" w:type="dxa"/>
            <w:vMerge w:val="restart"/>
          </w:tcPr>
          <w:p>
            <w:pPr>
              <w:pStyle w:val="14"/>
              <w:jc w:val="left"/>
              <w:rPr>
                <w:rFonts w:ascii="仿宋"/>
                <w:b/>
                <w:sz w:val="22"/>
              </w:rPr>
            </w:pPr>
          </w:p>
          <w:p>
            <w:pPr>
              <w:pStyle w:val="14"/>
              <w:spacing w:before="5"/>
              <w:jc w:val="left"/>
              <w:rPr>
                <w:rFonts w:ascii="仿宋"/>
                <w:b/>
                <w:sz w:val="17"/>
              </w:rPr>
            </w:pPr>
          </w:p>
          <w:p>
            <w:pPr>
              <w:pStyle w:val="14"/>
              <w:ind w:left="400"/>
              <w:jc w:val="left"/>
              <w:rPr>
                <w:rFonts w:ascii="Times New Roman"/>
                <w:sz w:val="20"/>
              </w:rPr>
            </w:pPr>
            <w:r>
              <w:rPr>
                <w:rFonts w:ascii="Times New Roman"/>
                <w:sz w:val="20"/>
              </w:rPr>
              <w:t>54.6573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83" w:type="dxa"/>
            <w:vMerge w:val="continue"/>
            <w:tcBorders>
              <w:top w:val="nil"/>
            </w:tcBorders>
          </w:tcPr>
          <w:p>
            <w:pPr>
              <w:rPr>
                <w:sz w:val="2"/>
                <w:szCs w:val="2"/>
              </w:rPr>
            </w:pPr>
          </w:p>
        </w:tc>
        <w:tc>
          <w:tcPr>
            <w:tcW w:w="1023" w:type="dxa"/>
            <w:vMerge w:val="continue"/>
            <w:tcBorders>
              <w:top w:val="nil"/>
            </w:tcBorders>
          </w:tcPr>
          <w:p>
            <w:pPr>
              <w:rPr>
                <w:sz w:val="2"/>
                <w:szCs w:val="2"/>
              </w:rPr>
            </w:pPr>
          </w:p>
        </w:tc>
        <w:tc>
          <w:tcPr>
            <w:tcW w:w="694" w:type="dxa"/>
          </w:tcPr>
          <w:p>
            <w:pPr>
              <w:pStyle w:val="14"/>
              <w:spacing w:before="5" w:line="214" w:lineRule="exact"/>
              <w:ind w:left="125" w:right="119"/>
              <w:rPr>
                <w:rFonts w:ascii="Times New Roman"/>
                <w:sz w:val="20"/>
              </w:rPr>
            </w:pPr>
            <w:r>
              <w:rPr>
                <w:rFonts w:ascii="Times New Roman"/>
                <w:sz w:val="20"/>
              </w:rPr>
              <w:t>2027</w:t>
            </w:r>
          </w:p>
        </w:tc>
        <w:tc>
          <w:tcPr>
            <w:tcW w:w="831" w:type="dxa"/>
          </w:tcPr>
          <w:p>
            <w:pPr>
              <w:pStyle w:val="14"/>
              <w:spacing w:before="5" w:line="214" w:lineRule="exact"/>
              <w:ind w:right="303"/>
              <w:jc w:val="right"/>
              <w:rPr>
                <w:rFonts w:ascii="Times New Roman"/>
                <w:sz w:val="20"/>
              </w:rPr>
            </w:pPr>
            <w:r>
              <w:rPr>
                <w:rFonts w:ascii="Times New Roman"/>
                <w:sz w:val="20"/>
              </w:rPr>
              <w:t>30</w:t>
            </w:r>
          </w:p>
        </w:tc>
        <w:tc>
          <w:tcPr>
            <w:tcW w:w="1056" w:type="dxa"/>
          </w:tcPr>
          <w:p>
            <w:pPr>
              <w:pStyle w:val="14"/>
              <w:spacing w:before="5" w:line="214" w:lineRule="exact"/>
              <w:ind w:left="126" w:right="117"/>
              <w:rPr>
                <w:rFonts w:ascii="Times New Roman"/>
                <w:sz w:val="20"/>
              </w:rPr>
            </w:pPr>
            <w:r>
              <w:rPr>
                <w:rFonts w:ascii="Times New Roman"/>
                <w:sz w:val="20"/>
              </w:rPr>
              <w:t>0.0000</w:t>
            </w:r>
          </w:p>
        </w:tc>
        <w:tc>
          <w:tcPr>
            <w:tcW w:w="1447" w:type="dxa"/>
          </w:tcPr>
          <w:p>
            <w:pPr>
              <w:pStyle w:val="14"/>
              <w:spacing w:before="5" w:line="214" w:lineRule="exact"/>
              <w:ind w:left="122" w:right="112"/>
              <w:rPr>
                <w:rFonts w:ascii="Times New Roman"/>
                <w:sz w:val="20"/>
              </w:rPr>
            </w:pPr>
            <w:r>
              <w:rPr>
                <w:rFonts w:ascii="Times New Roman"/>
                <w:sz w:val="20"/>
              </w:rPr>
              <w:t>0.36</w:t>
            </w:r>
          </w:p>
        </w:tc>
        <w:tc>
          <w:tcPr>
            <w:tcW w:w="1453" w:type="dxa"/>
          </w:tcPr>
          <w:p>
            <w:pPr>
              <w:pStyle w:val="14"/>
              <w:spacing w:before="5" w:line="214" w:lineRule="exact"/>
              <w:ind w:right="390"/>
              <w:jc w:val="right"/>
              <w:rPr>
                <w:rFonts w:ascii="Times New Roman"/>
                <w:sz w:val="20"/>
              </w:rPr>
            </w:pPr>
            <w:r>
              <w:rPr>
                <w:rFonts w:ascii="Times New Roman"/>
                <w:sz w:val="20"/>
              </w:rPr>
              <w:t>10.9315</w:t>
            </w:r>
          </w:p>
        </w:tc>
        <w:tc>
          <w:tcPr>
            <w:tcW w:w="145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83" w:type="dxa"/>
            <w:vMerge w:val="continue"/>
            <w:tcBorders>
              <w:top w:val="nil"/>
            </w:tcBorders>
          </w:tcPr>
          <w:p>
            <w:pPr>
              <w:rPr>
                <w:sz w:val="2"/>
                <w:szCs w:val="2"/>
              </w:rPr>
            </w:pPr>
          </w:p>
        </w:tc>
        <w:tc>
          <w:tcPr>
            <w:tcW w:w="1023" w:type="dxa"/>
            <w:vMerge w:val="continue"/>
            <w:tcBorders>
              <w:top w:val="nil"/>
            </w:tcBorders>
          </w:tcPr>
          <w:p>
            <w:pPr>
              <w:rPr>
                <w:sz w:val="2"/>
                <w:szCs w:val="2"/>
              </w:rPr>
            </w:pPr>
          </w:p>
        </w:tc>
        <w:tc>
          <w:tcPr>
            <w:tcW w:w="694" w:type="dxa"/>
          </w:tcPr>
          <w:p>
            <w:pPr>
              <w:pStyle w:val="14"/>
              <w:spacing w:before="5" w:line="215" w:lineRule="exact"/>
              <w:ind w:left="125" w:right="119"/>
              <w:rPr>
                <w:rFonts w:ascii="Times New Roman"/>
                <w:sz w:val="20"/>
              </w:rPr>
            </w:pPr>
            <w:r>
              <w:rPr>
                <w:rFonts w:ascii="Times New Roman"/>
                <w:sz w:val="20"/>
              </w:rPr>
              <w:t>2028</w:t>
            </w:r>
          </w:p>
        </w:tc>
        <w:tc>
          <w:tcPr>
            <w:tcW w:w="831" w:type="dxa"/>
          </w:tcPr>
          <w:p>
            <w:pPr>
              <w:pStyle w:val="14"/>
              <w:spacing w:before="5" w:line="215" w:lineRule="exact"/>
              <w:ind w:right="303"/>
              <w:jc w:val="right"/>
              <w:rPr>
                <w:rFonts w:ascii="Times New Roman"/>
                <w:sz w:val="20"/>
              </w:rPr>
            </w:pPr>
            <w:r>
              <w:rPr>
                <w:rFonts w:ascii="Times New Roman"/>
                <w:sz w:val="20"/>
              </w:rPr>
              <w:t>30</w:t>
            </w:r>
          </w:p>
        </w:tc>
        <w:tc>
          <w:tcPr>
            <w:tcW w:w="1056" w:type="dxa"/>
          </w:tcPr>
          <w:p>
            <w:pPr>
              <w:pStyle w:val="14"/>
              <w:spacing w:before="5" w:line="215" w:lineRule="exact"/>
              <w:ind w:left="126" w:right="117"/>
              <w:rPr>
                <w:rFonts w:ascii="Times New Roman"/>
                <w:sz w:val="20"/>
              </w:rPr>
            </w:pPr>
            <w:r>
              <w:rPr>
                <w:rFonts w:ascii="Times New Roman"/>
                <w:sz w:val="20"/>
              </w:rPr>
              <w:t>0.0000</w:t>
            </w:r>
          </w:p>
        </w:tc>
        <w:tc>
          <w:tcPr>
            <w:tcW w:w="1447" w:type="dxa"/>
          </w:tcPr>
          <w:p>
            <w:pPr>
              <w:pStyle w:val="14"/>
              <w:spacing w:before="5" w:line="215" w:lineRule="exact"/>
              <w:ind w:left="122" w:right="112"/>
              <w:rPr>
                <w:rFonts w:ascii="Times New Roman"/>
                <w:sz w:val="20"/>
              </w:rPr>
            </w:pPr>
            <w:r>
              <w:rPr>
                <w:rFonts w:ascii="Times New Roman"/>
                <w:sz w:val="20"/>
              </w:rPr>
              <w:t>0.36</w:t>
            </w:r>
          </w:p>
        </w:tc>
        <w:tc>
          <w:tcPr>
            <w:tcW w:w="1453" w:type="dxa"/>
          </w:tcPr>
          <w:p>
            <w:pPr>
              <w:pStyle w:val="14"/>
              <w:spacing w:before="5" w:line="215" w:lineRule="exact"/>
              <w:ind w:right="390"/>
              <w:jc w:val="right"/>
              <w:rPr>
                <w:rFonts w:ascii="Times New Roman"/>
                <w:sz w:val="20"/>
              </w:rPr>
            </w:pPr>
            <w:r>
              <w:rPr>
                <w:rFonts w:ascii="Times New Roman"/>
                <w:sz w:val="20"/>
              </w:rPr>
              <w:t>10.9315</w:t>
            </w:r>
          </w:p>
        </w:tc>
        <w:tc>
          <w:tcPr>
            <w:tcW w:w="145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83" w:type="dxa"/>
            <w:vMerge w:val="continue"/>
            <w:tcBorders>
              <w:top w:val="nil"/>
            </w:tcBorders>
          </w:tcPr>
          <w:p>
            <w:pPr>
              <w:rPr>
                <w:sz w:val="2"/>
                <w:szCs w:val="2"/>
              </w:rPr>
            </w:pPr>
          </w:p>
        </w:tc>
        <w:tc>
          <w:tcPr>
            <w:tcW w:w="1023" w:type="dxa"/>
            <w:vMerge w:val="continue"/>
            <w:tcBorders>
              <w:top w:val="nil"/>
            </w:tcBorders>
          </w:tcPr>
          <w:p>
            <w:pPr>
              <w:rPr>
                <w:sz w:val="2"/>
                <w:szCs w:val="2"/>
              </w:rPr>
            </w:pPr>
          </w:p>
        </w:tc>
        <w:tc>
          <w:tcPr>
            <w:tcW w:w="694" w:type="dxa"/>
          </w:tcPr>
          <w:p>
            <w:pPr>
              <w:pStyle w:val="14"/>
              <w:spacing w:before="7" w:line="213" w:lineRule="exact"/>
              <w:ind w:left="125" w:right="119"/>
              <w:rPr>
                <w:rFonts w:ascii="Times New Roman"/>
                <w:sz w:val="20"/>
              </w:rPr>
            </w:pPr>
            <w:r>
              <w:rPr>
                <w:rFonts w:ascii="Times New Roman"/>
                <w:sz w:val="20"/>
              </w:rPr>
              <w:t>2029</w:t>
            </w:r>
          </w:p>
        </w:tc>
        <w:tc>
          <w:tcPr>
            <w:tcW w:w="831" w:type="dxa"/>
          </w:tcPr>
          <w:p>
            <w:pPr>
              <w:pStyle w:val="14"/>
              <w:spacing w:before="7" w:line="213" w:lineRule="exact"/>
              <w:ind w:right="303"/>
              <w:jc w:val="right"/>
              <w:rPr>
                <w:rFonts w:ascii="Times New Roman"/>
                <w:sz w:val="20"/>
              </w:rPr>
            </w:pPr>
            <w:r>
              <w:rPr>
                <w:rFonts w:ascii="Times New Roman"/>
                <w:sz w:val="20"/>
              </w:rPr>
              <w:t>30</w:t>
            </w:r>
          </w:p>
        </w:tc>
        <w:tc>
          <w:tcPr>
            <w:tcW w:w="1056" w:type="dxa"/>
          </w:tcPr>
          <w:p>
            <w:pPr>
              <w:pStyle w:val="14"/>
              <w:spacing w:before="7" w:line="213" w:lineRule="exact"/>
              <w:ind w:left="126" w:right="117"/>
              <w:rPr>
                <w:rFonts w:ascii="Times New Roman"/>
                <w:sz w:val="20"/>
              </w:rPr>
            </w:pPr>
            <w:r>
              <w:rPr>
                <w:rFonts w:ascii="Times New Roman"/>
                <w:sz w:val="20"/>
              </w:rPr>
              <w:t>0.0000</w:t>
            </w:r>
          </w:p>
        </w:tc>
        <w:tc>
          <w:tcPr>
            <w:tcW w:w="1447" w:type="dxa"/>
          </w:tcPr>
          <w:p>
            <w:pPr>
              <w:pStyle w:val="14"/>
              <w:spacing w:before="7" w:line="213" w:lineRule="exact"/>
              <w:ind w:left="122" w:right="112"/>
              <w:rPr>
                <w:rFonts w:ascii="Times New Roman"/>
                <w:sz w:val="20"/>
              </w:rPr>
            </w:pPr>
            <w:r>
              <w:rPr>
                <w:rFonts w:ascii="Times New Roman"/>
                <w:sz w:val="20"/>
              </w:rPr>
              <w:t>0.36</w:t>
            </w:r>
          </w:p>
        </w:tc>
        <w:tc>
          <w:tcPr>
            <w:tcW w:w="1453" w:type="dxa"/>
          </w:tcPr>
          <w:p>
            <w:pPr>
              <w:pStyle w:val="14"/>
              <w:spacing w:before="7" w:line="213" w:lineRule="exact"/>
              <w:ind w:right="390"/>
              <w:jc w:val="right"/>
              <w:rPr>
                <w:rFonts w:ascii="Times New Roman"/>
                <w:sz w:val="20"/>
              </w:rPr>
            </w:pPr>
            <w:r>
              <w:rPr>
                <w:rFonts w:ascii="Times New Roman"/>
                <w:sz w:val="20"/>
              </w:rPr>
              <w:t>10.9315</w:t>
            </w:r>
          </w:p>
        </w:tc>
        <w:tc>
          <w:tcPr>
            <w:tcW w:w="145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83" w:type="dxa"/>
            <w:vMerge w:val="continue"/>
            <w:tcBorders>
              <w:top w:val="nil"/>
            </w:tcBorders>
          </w:tcPr>
          <w:p>
            <w:pPr>
              <w:rPr>
                <w:sz w:val="2"/>
                <w:szCs w:val="2"/>
              </w:rPr>
            </w:pPr>
          </w:p>
        </w:tc>
        <w:tc>
          <w:tcPr>
            <w:tcW w:w="1023" w:type="dxa"/>
            <w:vMerge w:val="continue"/>
            <w:tcBorders>
              <w:top w:val="nil"/>
            </w:tcBorders>
          </w:tcPr>
          <w:p>
            <w:pPr>
              <w:rPr>
                <w:sz w:val="2"/>
                <w:szCs w:val="2"/>
              </w:rPr>
            </w:pPr>
          </w:p>
        </w:tc>
        <w:tc>
          <w:tcPr>
            <w:tcW w:w="694" w:type="dxa"/>
          </w:tcPr>
          <w:p>
            <w:pPr>
              <w:pStyle w:val="14"/>
              <w:spacing w:before="7" w:line="213" w:lineRule="exact"/>
              <w:ind w:left="125" w:right="119"/>
              <w:rPr>
                <w:rFonts w:ascii="Times New Roman"/>
                <w:sz w:val="20"/>
              </w:rPr>
            </w:pPr>
            <w:r>
              <w:rPr>
                <w:rFonts w:ascii="Times New Roman"/>
                <w:sz w:val="20"/>
              </w:rPr>
              <w:t>2030</w:t>
            </w:r>
          </w:p>
        </w:tc>
        <w:tc>
          <w:tcPr>
            <w:tcW w:w="831" w:type="dxa"/>
          </w:tcPr>
          <w:p>
            <w:pPr>
              <w:pStyle w:val="14"/>
              <w:spacing w:before="7" w:line="213" w:lineRule="exact"/>
              <w:ind w:right="303"/>
              <w:jc w:val="right"/>
              <w:rPr>
                <w:rFonts w:ascii="Times New Roman"/>
                <w:sz w:val="20"/>
              </w:rPr>
            </w:pPr>
            <w:r>
              <w:rPr>
                <w:rFonts w:ascii="Times New Roman"/>
                <w:sz w:val="20"/>
              </w:rPr>
              <w:t>30</w:t>
            </w:r>
          </w:p>
        </w:tc>
        <w:tc>
          <w:tcPr>
            <w:tcW w:w="1056" w:type="dxa"/>
          </w:tcPr>
          <w:p>
            <w:pPr>
              <w:pStyle w:val="14"/>
              <w:spacing w:before="7" w:line="213" w:lineRule="exact"/>
              <w:ind w:left="126" w:right="117"/>
              <w:rPr>
                <w:rFonts w:ascii="Times New Roman"/>
                <w:sz w:val="20"/>
              </w:rPr>
            </w:pPr>
            <w:r>
              <w:rPr>
                <w:rFonts w:ascii="Times New Roman"/>
                <w:sz w:val="20"/>
              </w:rPr>
              <w:t>0.0000</w:t>
            </w:r>
          </w:p>
        </w:tc>
        <w:tc>
          <w:tcPr>
            <w:tcW w:w="1447" w:type="dxa"/>
          </w:tcPr>
          <w:p>
            <w:pPr>
              <w:pStyle w:val="14"/>
              <w:spacing w:before="7" w:line="213" w:lineRule="exact"/>
              <w:ind w:left="122" w:right="112"/>
              <w:rPr>
                <w:rFonts w:ascii="Times New Roman"/>
                <w:sz w:val="20"/>
              </w:rPr>
            </w:pPr>
            <w:r>
              <w:rPr>
                <w:rFonts w:ascii="Times New Roman"/>
                <w:sz w:val="20"/>
              </w:rPr>
              <w:t>0.36</w:t>
            </w:r>
          </w:p>
        </w:tc>
        <w:tc>
          <w:tcPr>
            <w:tcW w:w="1453" w:type="dxa"/>
          </w:tcPr>
          <w:p>
            <w:pPr>
              <w:pStyle w:val="14"/>
              <w:spacing w:before="7" w:line="213" w:lineRule="exact"/>
              <w:ind w:right="390"/>
              <w:jc w:val="right"/>
              <w:rPr>
                <w:rFonts w:ascii="Times New Roman"/>
                <w:sz w:val="20"/>
              </w:rPr>
            </w:pPr>
            <w:r>
              <w:rPr>
                <w:rFonts w:ascii="Times New Roman"/>
                <w:sz w:val="20"/>
              </w:rPr>
              <w:t>10.9315</w:t>
            </w:r>
          </w:p>
        </w:tc>
        <w:tc>
          <w:tcPr>
            <w:tcW w:w="145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83" w:type="dxa"/>
            <w:vMerge w:val="restart"/>
          </w:tcPr>
          <w:p>
            <w:pPr>
              <w:pStyle w:val="14"/>
              <w:jc w:val="left"/>
              <w:rPr>
                <w:rFonts w:ascii="仿宋"/>
                <w:b/>
                <w:sz w:val="20"/>
              </w:rPr>
            </w:pPr>
          </w:p>
          <w:p>
            <w:pPr>
              <w:pStyle w:val="14"/>
              <w:spacing w:before="5"/>
              <w:jc w:val="left"/>
              <w:rPr>
                <w:rFonts w:ascii="仿宋"/>
                <w:b/>
                <w:sz w:val="18"/>
              </w:rPr>
            </w:pPr>
          </w:p>
          <w:p>
            <w:pPr>
              <w:pStyle w:val="14"/>
              <w:ind w:left="8"/>
              <w:rPr>
                <w:sz w:val="20"/>
              </w:rPr>
            </w:pPr>
            <w:r>
              <w:rPr>
                <w:w w:val="99"/>
                <w:sz w:val="20"/>
              </w:rPr>
              <w:t>三</w:t>
            </w:r>
          </w:p>
        </w:tc>
        <w:tc>
          <w:tcPr>
            <w:tcW w:w="1023" w:type="dxa"/>
            <w:vMerge w:val="restart"/>
          </w:tcPr>
          <w:p>
            <w:pPr>
              <w:pStyle w:val="14"/>
              <w:jc w:val="left"/>
              <w:rPr>
                <w:rFonts w:ascii="仿宋"/>
                <w:b/>
                <w:sz w:val="22"/>
              </w:rPr>
            </w:pPr>
          </w:p>
          <w:p>
            <w:pPr>
              <w:pStyle w:val="14"/>
              <w:spacing w:before="5"/>
              <w:jc w:val="left"/>
              <w:rPr>
                <w:rFonts w:ascii="仿宋"/>
                <w:b/>
                <w:sz w:val="17"/>
              </w:rPr>
            </w:pPr>
          </w:p>
          <w:p>
            <w:pPr>
              <w:pStyle w:val="14"/>
              <w:spacing w:before="1"/>
              <w:ind w:left="234"/>
              <w:jc w:val="left"/>
              <w:rPr>
                <w:rFonts w:ascii="Times New Roman"/>
                <w:sz w:val="20"/>
              </w:rPr>
            </w:pPr>
            <w:r>
              <w:rPr>
                <w:rFonts w:ascii="Times New Roman"/>
                <w:sz w:val="20"/>
              </w:rPr>
              <w:t>0.0000</w:t>
            </w:r>
          </w:p>
        </w:tc>
        <w:tc>
          <w:tcPr>
            <w:tcW w:w="694" w:type="dxa"/>
          </w:tcPr>
          <w:p>
            <w:pPr>
              <w:pStyle w:val="14"/>
              <w:spacing w:before="6" w:line="214" w:lineRule="exact"/>
              <w:ind w:left="125" w:right="119"/>
              <w:rPr>
                <w:rFonts w:ascii="Times New Roman"/>
                <w:sz w:val="20"/>
              </w:rPr>
            </w:pPr>
            <w:r>
              <w:rPr>
                <w:rFonts w:ascii="Times New Roman"/>
                <w:sz w:val="20"/>
              </w:rPr>
              <w:t>2031</w:t>
            </w:r>
          </w:p>
        </w:tc>
        <w:tc>
          <w:tcPr>
            <w:tcW w:w="831" w:type="dxa"/>
          </w:tcPr>
          <w:p>
            <w:pPr>
              <w:pStyle w:val="14"/>
              <w:spacing w:before="6" w:line="214" w:lineRule="exact"/>
              <w:ind w:right="303"/>
              <w:jc w:val="right"/>
              <w:rPr>
                <w:rFonts w:ascii="Times New Roman"/>
                <w:sz w:val="20"/>
              </w:rPr>
            </w:pPr>
            <w:r>
              <w:rPr>
                <w:rFonts w:ascii="Times New Roman"/>
                <w:sz w:val="20"/>
              </w:rPr>
              <w:t>30</w:t>
            </w:r>
          </w:p>
        </w:tc>
        <w:tc>
          <w:tcPr>
            <w:tcW w:w="1056" w:type="dxa"/>
          </w:tcPr>
          <w:p>
            <w:pPr>
              <w:pStyle w:val="14"/>
              <w:spacing w:before="6" w:line="214" w:lineRule="exact"/>
              <w:ind w:left="126" w:right="117"/>
              <w:rPr>
                <w:rFonts w:ascii="Times New Roman"/>
                <w:sz w:val="20"/>
              </w:rPr>
            </w:pPr>
            <w:r>
              <w:rPr>
                <w:rFonts w:ascii="Times New Roman"/>
                <w:sz w:val="20"/>
              </w:rPr>
              <w:t>0.0000</w:t>
            </w:r>
          </w:p>
        </w:tc>
        <w:tc>
          <w:tcPr>
            <w:tcW w:w="1447" w:type="dxa"/>
          </w:tcPr>
          <w:p>
            <w:pPr>
              <w:pStyle w:val="14"/>
              <w:spacing w:before="6" w:line="214" w:lineRule="exact"/>
              <w:ind w:left="122" w:right="112"/>
              <w:rPr>
                <w:rFonts w:ascii="Times New Roman"/>
                <w:sz w:val="20"/>
              </w:rPr>
            </w:pPr>
            <w:r>
              <w:rPr>
                <w:rFonts w:ascii="Times New Roman"/>
                <w:sz w:val="20"/>
              </w:rPr>
              <w:t>0.36</w:t>
            </w:r>
          </w:p>
        </w:tc>
        <w:tc>
          <w:tcPr>
            <w:tcW w:w="1453" w:type="dxa"/>
          </w:tcPr>
          <w:p>
            <w:pPr>
              <w:pStyle w:val="14"/>
              <w:spacing w:before="6" w:line="214" w:lineRule="exact"/>
              <w:ind w:right="390"/>
              <w:jc w:val="right"/>
              <w:rPr>
                <w:rFonts w:ascii="Times New Roman"/>
                <w:sz w:val="20"/>
              </w:rPr>
            </w:pPr>
            <w:r>
              <w:rPr>
                <w:rFonts w:ascii="Times New Roman"/>
                <w:sz w:val="20"/>
              </w:rPr>
              <w:t>10.9315</w:t>
            </w:r>
          </w:p>
        </w:tc>
        <w:tc>
          <w:tcPr>
            <w:tcW w:w="1453" w:type="dxa"/>
            <w:vMerge w:val="restart"/>
          </w:tcPr>
          <w:p>
            <w:pPr>
              <w:pStyle w:val="14"/>
              <w:jc w:val="left"/>
              <w:rPr>
                <w:rFonts w:ascii="仿宋"/>
                <w:b/>
                <w:sz w:val="22"/>
              </w:rPr>
            </w:pPr>
          </w:p>
          <w:p>
            <w:pPr>
              <w:pStyle w:val="14"/>
              <w:spacing w:before="5"/>
              <w:jc w:val="left"/>
              <w:rPr>
                <w:rFonts w:ascii="仿宋"/>
                <w:b/>
                <w:sz w:val="17"/>
              </w:rPr>
            </w:pPr>
          </w:p>
          <w:p>
            <w:pPr>
              <w:pStyle w:val="14"/>
              <w:spacing w:before="1"/>
              <w:ind w:left="400"/>
              <w:jc w:val="left"/>
              <w:rPr>
                <w:rFonts w:ascii="Times New Roman"/>
                <w:sz w:val="20"/>
              </w:rPr>
            </w:pPr>
            <w:r>
              <w:rPr>
                <w:rFonts w:ascii="Times New Roman"/>
                <w:sz w:val="20"/>
              </w:rPr>
              <w:t>43.7258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83" w:type="dxa"/>
            <w:vMerge w:val="continue"/>
            <w:tcBorders>
              <w:top w:val="nil"/>
            </w:tcBorders>
          </w:tcPr>
          <w:p>
            <w:pPr>
              <w:rPr>
                <w:sz w:val="2"/>
                <w:szCs w:val="2"/>
              </w:rPr>
            </w:pPr>
          </w:p>
        </w:tc>
        <w:tc>
          <w:tcPr>
            <w:tcW w:w="1023" w:type="dxa"/>
            <w:vMerge w:val="continue"/>
            <w:tcBorders>
              <w:top w:val="nil"/>
            </w:tcBorders>
          </w:tcPr>
          <w:p>
            <w:pPr>
              <w:rPr>
                <w:sz w:val="2"/>
                <w:szCs w:val="2"/>
              </w:rPr>
            </w:pPr>
          </w:p>
        </w:tc>
        <w:tc>
          <w:tcPr>
            <w:tcW w:w="694" w:type="dxa"/>
          </w:tcPr>
          <w:p>
            <w:pPr>
              <w:pStyle w:val="14"/>
              <w:spacing w:before="6" w:line="214" w:lineRule="exact"/>
              <w:ind w:left="125" w:right="119"/>
              <w:rPr>
                <w:rFonts w:ascii="Times New Roman"/>
                <w:sz w:val="20"/>
              </w:rPr>
            </w:pPr>
            <w:r>
              <w:rPr>
                <w:rFonts w:ascii="Times New Roman"/>
                <w:sz w:val="20"/>
              </w:rPr>
              <w:t>2032</w:t>
            </w:r>
          </w:p>
        </w:tc>
        <w:tc>
          <w:tcPr>
            <w:tcW w:w="831" w:type="dxa"/>
          </w:tcPr>
          <w:p>
            <w:pPr>
              <w:pStyle w:val="14"/>
              <w:spacing w:before="6" w:line="214" w:lineRule="exact"/>
              <w:ind w:right="303"/>
              <w:jc w:val="right"/>
              <w:rPr>
                <w:rFonts w:ascii="Times New Roman"/>
                <w:sz w:val="20"/>
              </w:rPr>
            </w:pPr>
            <w:r>
              <w:rPr>
                <w:rFonts w:ascii="Times New Roman"/>
                <w:sz w:val="20"/>
              </w:rPr>
              <w:t>30</w:t>
            </w:r>
          </w:p>
        </w:tc>
        <w:tc>
          <w:tcPr>
            <w:tcW w:w="1056" w:type="dxa"/>
          </w:tcPr>
          <w:p>
            <w:pPr>
              <w:pStyle w:val="14"/>
              <w:spacing w:before="6" w:line="214" w:lineRule="exact"/>
              <w:ind w:left="126" w:right="117"/>
              <w:rPr>
                <w:rFonts w:ascii="Times New Roman"/>
                <w:sz w:val="20"/>
              </w:rPr>
            </w:pPr>
            <w:r>
              <w:rPr>
                <w:rFonts w:ascii="Times New Roman"/>
                <w:sz w:val="20"/>
              </w:rPr>
              <w:t>0.0000</w:t>
            </w:r>
          </w:p>
        </w:tc>
        <w:tc>
          <w:tcPr>
            <w:tcW w:w="1447" w:type="dxa"/>
          </w:tcPr>
          <w:p>
            <w:pPr>
              <w:pStyle w:val="14"/>
              <w:spacing w:before="6" w:line="214" w:lineRule="exact"/>
              <w:ind w:left="122" w:right="112"/>
              <w:rPr>
                <w:rFonts w:ascii="Times New Roman"/>
                <w:sz w:val="20"/>
              </w:rPr>
            </w:pPr>
            <w:r>
              <w:rPr>
                <w:rFonts w:ascii="Times New Roman"/>
                <w:sz w:val="20"/>
              </w:rPr>
              <w:t>0.36</w:t>
            </w:r>
          </w:p>
        </w:tc>
        <w:tc>
          <w:tcPr>
            <w:tcW w:w="1453" w:type="dxa"/>
          </w:tcPr>
          <w:p>
            <w:pPr>
              <w:pStyle w:val="14"/>
              <w:spacing w:before="6" w:line="214" w:lineRule="exact"/>
              <w:ind w:right="390"/>
              <w:jc w:val="right"/>
              <w:rPr>
                <w:rFonts w:ascii="Times New Roman"/>
                <w:sz w:val="20"/>
              </w:rPr>
            </w:pPr>
            <w:r>
              <w:rPr>
                <w:rFonts w:ascii="Times New Roman"/>
                <w:sz w:val="20"/>
              </w:rPr>
              <w:t>10.9315</w:t>
            </w:r>
          </w:p>
        </w:tc>
        <w:tc>
          <w:tcPr>
            <w:tcW w:w="145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83" w:type="dxa"/>
            <w:vMerge w:val="continue"/>
            <w:tcBorders>
              <w:top w:val="nil"/>
            </w:tcBorders>
          </w:tcPr>
          <w:p>
            <w:pPr>
              <w:rPr>
                <w:sz w:val="2"/>
                <w:szCs w:val="2"/>
              </w:rPr>
            </w:pPr>
          </w:p>
        </w:tc>
        <w:tc>
          <w:tcPr>
            <w:tcW w:w="1023" w:type="dxa"/>
            <w:vMerge w:val="continue"/>
            <w:tcBorders>
              <w:top w:val="nil"/>
            </w:tcBorders>
          </w:tcPr>
          <w:p>
            <w:pPr>
              <w:rPr>
                <w:sz w:val="2"/>
                <w:szCs w:val="2"/>
              </w:rPr>
            </w:pPr>
          </w:p>
        </w:tc>
        <w:tc>
          <w:tcPr>
            <w:tcW w:w="694" w:type="dxa"/>
          </w:tcPr>
          <w:p>
            <w:pPr>
              <w:pStyle w:val="14"/>
              <w:spacing w:before="5" w:line="214" w:lineRule="exact"/>
              <w:ind w:left="125" w:right="119"/>
              <w:rPr>
                <w:rFonts w:ascii="Times New Roman"/>
                <w:sz w:val="20"/>
              </w:rPr>
            </w:pPr>
            <w:r>
              <w:rPr>
                <w:rFonts w:ascii="Times New Roman"/>
                <w:sz w:val="20"/>
              </w:rPr>
              <w:t>2033</w:t>
            </w:r>
          </w:p>
        </w:tc>
        <w:tc>
          <w:tcPr>
            <w:tcW w:w="831" w:type="dxa"/>
          </w:tcPr>
          <w:p>
            <w:pPr>
              <w:pStyle w:val="14"/>
              <w:spacing w:before="5" w:line="214" w:lineRule="exact"/>
              <w:ind w:right="303"/>
              <w:jc w:val="right"/>
              <w:rPr>
                <w:rFonts w:ascii="Times New Roman"/>
                <w:sz w:val="20"/>
              </w:rPr>
            </w:pPr>
            <w:r>
              <w:rPr>
                <w:rFonts w:ascii="Times New Roman"/>
                <w:sz w:val="20"/>
              </w:rPr>
              <w:t>30</w:t>
            </w:r>
          </w:p>
        </w:tc>
        <w:tc>
          <w:tcPr>
            <w:tcW w:w="1056" w:type="dxa"/>
          </w:tcPr>
          <w:p>
            <w:pPr>
              <w:pStyle w:val="14"/>
              <w:spacing w:before="5" w:line="214" w:lineRule="exact"/>
              <w:ind w:left="126" w:right="117"/>
              <w:rPr>
                <w:rFonts w:ascii="Times New Roman"/>
                <w:sz w:val="20"/>
              </w:rPr>
            </w:pPr>
            <w:r>
              <w:rPr>
                <w:rFonts w:ascii="Times New Roman"/>
                <w:sz w:val="20"/>
              </w:rPr>
              <w:t>0.0000</w:t>
            </w:r>
          </w:p>
        </w:tc>
        <w:tc>
          <w:tcPr>
            <w:tcW w:w="1447" w:type="dxa"/>
          </w:tcPr>
          <w:p>
            <w:pPr>
              <w:pStyle w:val="14"/>
              <w:spacing w:before="5" w:line="214" w:lineRule="exact"/>
              <w:ind w:left="122" w:right="112"/>
              <w:rPr>
                <w:rFonts w:ascii="Times New Roman"/>
                <w:sz w:val="20"/>
              </w:rPr>
            </w:pPr>
            <w:r>
              <w:rPr>
                <w:rFonts w:ascii="Times New Roman"/>
                <w:sz w:val="20"/>
              </w:rPr>
              <w:t>0.36</w:t>
            </w:r>
          </w:p>
        </w:tc>
        <w:tc>
          <w:tcPr>
            <w:tcW w:w="1453" w:type="dxa"/>
          </w:tcPr>
          <w:p>
            <w:pPr>
              <w:pStyle w:val="14"/>
              <w:spacing w:before="5" w:line="214" w:lineRule="exact"/>
              <w:ind w:right="390"/>
              <w:jc w:val="right"/>
              <w:rPr>
                <w:rFonts w:ascii="Times New Roman"/>
                <w:sz w:val="20"/>
              </w:rPr>
            </w:pPr>
            <w:r>
              <w:rPr>
                <w:rFonts w:ascii="Times New Roman"/>
                <w:sz w:val="20"/>
              </w:rPr>
              <w:t>10.9315</w:t>
            </w:r>
          </w:p>
        </w:tc>
        <w:tc>
          <w:tcPr>
            <w:tcW w:w="145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83" w:type="dxa"/>
            <w:vMerge w:val="continue"/>
            <w:tcBorders>
              <w:top w:val="nil"/>
            </w:tcBorders>
          </w:tcPr>
          <w:p>
            <w:pPr>
              <w:rPr>
                <w:sz w:val="2"/>
                <w:szCs w:val="2"/>
              </w:rPr>
            </w:pPr>
          </w:p>
        </w:tc>
        <w:tc>
          <w:tcPr>
            <w:tcW w:w="1023" w:type="dxa"/>
            <w:vMerge w:val="continue"/>
            <w:tcBorders>
              <w:top w:val="nil"/>
            </w:tcBorders>
          </w:tcPr>
          <w:p>
            <w:pPr>
              <w:rPr>
                <w:sz w:val="2"/>
                <w:szCs w:val="2"/>
              </w:rPr>
            </w:pPr>
          </w:p>
        </w:tc>
        <w:tc>
          <w:tcPr>
            <w:tcW w:w="694" w:type="dxa"/>
          </w:tcPr>
          <w:p>
            <w:pPr>
              <w:pStyle w:val="14"/>
              <w:spacing w:before="5" w:line="215" w:lineRule="exact"/>
              <w:ind w:left="125" w:right="119"/>
              <w:rPr>
                <w:rFonts w:ascii="Times New Roman"/>
                <w:sz w:val="20"/>
              </w:rPr>
            </w:pPr>
            <w:r>
              <w:rPr>
                <w:rFonts w:ascii="Times New Roman"/>
                <w:sz w:val="20"/>
              </w:rPr>
              <w:t>2034</w:t>
            </w:r>
          </w:p>
        </w:tc>
        <w:tc>
          <w:tcPr>
            <w:tcW w:w="831" w:type="dxa"/>
          </w:tcPr>
          <w:p>
            <w:pPr>
              <w:pStyle w:val="14"/>
              <w:spacing w:before="5" w:line="215" w:lineRule="exact"/>
              <w:ind w:right="303"/>
              <w:jc w:val="right"/>
              <w:rPr>
                <w:rFonts w:ascii="Times New Roman"/>
                <w:sz w:val="20"/>
              </w:rPr>
            </w:pPr>
            <w:r>
              <w:rPr>
                <w:rFonts w:ascii="Times New Roman"/>
                <w:sz w:val="20"/>
              </w:rPr>
              <w:t>30</w:t>
            </w:r>
          </w:p>
        </w:tc>
        <w:tc>
          <w:tcPr>
            <w:tcW w:w="1056" w:type="dxa"/>
          </w:tcPr>
          <w:p>
            <w:pPr>
              <w:pStyle w:val="14"/>
              <w:spacing w:before="5" w:line="215" w:lineRule="exact"/>
              <w:ind w:left="126" w:right="117"/>
              <w:rPr>
                <w:rFonts w:ascii="Times New Roman"/>
                <w:sz w:val="20"/>
              </w:rPr>
            </w:pPr>
            <w:r>
              <w:rPr>
                <w:rFonts w:ascii="Times New Roman"/>
                <w:sz w:val="20"/>
              </w:rPr>
              <w:t>0.0000</w:t>
            </w:r>
          </w:p>
        </w:tc>
        <w:tc>
          <w:tcPr>
            <w:tcW w:w="1447" w:type="dxa"/>
          </w:tcPr>
          <w:p>
            <w:pPr>
              <w:pStyle w:val="14"/>
              <w:spacing w:before="5" w:line="215" w:lineRule="exact"/>
              <w:ind w:left="122" w:right="112"/>
              <w:rPr>
                <w:rFonts w:ascii="Times New Roman"/>
                <w:sz w:val="20"/>
              </w:rPr>
            </w:pPr>
            <w:r>
              <w:rPr>
                <w:rFonts w:ascii="Times New Roman"/>
                <w:sz w:val="20"/>
              </w:rPr>
              <w:t>0.36</w:t>
            </w:r>
          </w:p>
        </w:tc>
        <w:tc>
          <w:tcPr>
            <w:tcW w:w="1453" w:type="dxa"/>
          </w:tcPr>
          <w:p>
            <w:pPr>
              <w:pStyle w:val="14"/>
              <w:spacing w:before="5" w:line="215" w:lineRule="exact"/>
              <w:ind w:right="390"/>
              <w:jc w:val="right"/>
              <w:rPr>
                <w:rFonts w:ascii="Times New Roman"/>
                <w:sz w:val="20"/>
              </w:rPr>
            </w:pPr>
            <w:r>
              <w:rPr>
                <w:rFonts w:ascii="Times New Roman"/>
                <w:sz w:val="20"/>
              </w:rPr>
              <w:t>10.9315</w:t>
            </w:r>
          </w:p>
        </w:tc>
        <w:tc>
          <w:tcPr>
            <w:tcW w:w="145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83" w:type="dxa"/>
            <w:vMerge w:val="continue"/>
            <w:tcBorders>
              <w:top w:val="nil"/>
            </w:tcBorders>
          </w:tcPr>
          <w:p>
            <w:pPr>
              <w:rPr>
                <w:sz w:val="2"/>
                <w:szCs w:val="2"/>
              </w:rPr>
            </w:pPr>
          </w:p>
        </w:tc>
        <w:tc>
          <w:tcPr>
            <w:tcW w:w="1023" w:type="dxa"/>
            <w:vMerge w:val="continue"/>
            <w:tcBorders>
              <w:top w:val="nil"/>
            </w:tcBorders>
          </w:tcPr>
          <w:p>
            <w:pPr>
              <w:rPr>
                <w:sz w:val="2"/>
                <w:szCs w:val="2"/>
              </w:rPr>
            </w:pPr>
          </w:p>
        </w:tc>
        <w:tc>
          <w:tcPr>
            <w:tcW w:w="694" w:type="dxa"/>
          </w:tcPr>
          <w:p>
            <w:pPr>
              <w:pStyle w:val="14"/>
              <w:spacing w:before="7" w:line="213" w:lineRule="exact"/>
              <w:ind w:left="125" w:right="119"/>
              <w:rPr>
                <w:rFonts w:ascii="Times New Roman"/>
                <w:sz w:val="20"/>
              </w:rPr>
            </w:pPr>
            <w:r>
              <w:rPr>
                <w:rFonts w:ascii="Times New Roman"/>
                <w:sz w:val="20"/>
              </w:rPr>
              <w:t>2035</w:t>
            </w:r>
          </w:p>
        </w:tc>
        <w:tc>
          <w:tcPr>
            <w:tcW w:w="831" w:type="dxa"/>
          </w:tcPr>
          <w:p>
            <w:pPr>
              <w:pStyle w:val="14"/>
              <w:spacing w:before="7" w:line="213" w:lineRule="exact"/>
              <w:ind w:right="303"/>
              <w:jc w:val="right"/>
              <w:rPr>
                <w:rFonts w:ascii="Times New Roman"/>
                <w:sz w:val="20"/>
              </w:rPr>
            </w:pPr>
            <w:r>
              <w:rPr>
                <w:rFonts w:ascii="Times New Roman"/>
                <w:sz w:val="20"/>
              </w:rPr>
              <w:t>30</w:t>
            </w:r>
          </w:p>
        </w:tc>
        <w:tc>
          <w:tcPr>
            <w:tcW w:w="1056" w:type="dxa"/>
          </w:tcPr>
          <w:p>
            <w:pPr>
              <w:pStyle w:val="14"/>
              <w:spacing w:before="7" w:line="213" w:lineRule="exact"/>
              <w:ind w:left="126" w:right="117"/>
              <w:rPr>
                <w:rFonts w:ascii="Times New Roman"/>
                <w:sz w:val="20"/>
              </w:rPr>
            </w:pPr>
            <w:r>
              <w:rPr>
                <w:rFonts w:ascii="Times New Roman"/>
                <w:sz w:val="20"/>
              </w:rPr>
              <w:t>0.0000</w:t>
            </w:r>
          </w:p>
        </w:tc>
        <w:tc>
          <w:tcPr>
            <w:tcW w:w="1447" w:type="dxa"/>
          </w:tcPr>
          <w:p>
            <w:pPr>
              <w:pStyle w:val="14"/>
              <w:spacing w:before="7" w:line="213" w:lineRule="exact"/>
              <w:ind w:left="8"/>
              <w:rPr>
                <w:rFonts w:ascii="Times New Roman"/>
                <w:sz w:val="20"/>
              </w:rPr>
            </w:pPr>
            <w:r>
              <w:rPr>
                <w:rFonts w:ascii="Times New Roman"/>
                <w:w w:val="99"/>
                <w:sz w:val="20"/>
              </w:rPr>
              <w:t>-</w:t>
            </w:r>
          </w:p>
        </w:tc>
        <w:tc>
          <w:tcPr>
            <w:tcW w:w="1453" w:type="dxa"/>
          </w:tcPr>
          <w:p>
            <w:pPr>
              <w:pStyle w:val="14"/>
              <w:spacing w:before="7" w:line="213" w:lineRule="exact"/>
              <w:ind w:left="7"/>
              <w:rPr>
                <w:rFonts w:ascii="Times New Roman"/>
                <w:sz w:val="20"/>
              </w:rPr>
            </w:pPr>
            <w:r>
              <w:rPr>
                <w:rFonts w:ascii="Times New Roman"/>
                <w:w w:val="99"/>
                <w:sz w:val="20"/>
              </w:rPr>
              <w:t>-</w:t>
            </w:r>
          </w:p>
        </w:tc>
        <w:tc>
          <w:tcPr>
            <w:tcW w:w="145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83" w:type="dxa"/>
            <w:vMerge w:val="restart"/>
          </w:tcPr>
          <w:p>
            <w:pPr>
              <w:pStyle w:val="14"/>
              <w:spacing w:before="9"/>
              <w:jc w:val="left"/>
              <w:rPr>
                <w:rFonts w:ascii="仿宋"/>
                <w:b/>
                <w:sz w:val="28"/>
              </w:rPr>
            </w:pPr>
          </w:p>
          <w:p>
            <w:pPr>
              <w:pStyle w:val="14"/>
              <w:ind w:left="8"/>
              <w:rPr>
                <w:sz w:val="20"/>
              </w:rPr>
            </w:pPr>
            <w:r>
              <w:rPr>
                <w:w w:val="99"/>
                <w:sz w:val="20"/>
              </w:rPr>
              <w:t>四</w:t>
            </w:r>
          </w:p>
        </w:tc>
        <w:tc>
          <w:tcPr>
            <w:tcW w:w="1023" w:type="dxa"/>
            <w:vMerge w:val="restart"/>
          </w:tcPr>
          <w:p>
            <w:pPr>
              <w:pStyle w:val="14"/>
              <w:spacing w:before="9"/>
              <w:jc w:val="left"/>
              <w:rPr>
                <w:rFonts w:ascii="仿宋"/>
                <w:b/>
                <w:sz w:val="29"/>
              </w:rPr>
            </w:pPr>
          </w:p>
          <w:p>
            <w:pPr>
              <w:pStyle w:val="14"/>
              <w:ind w:left="136"/>
              <w:jc w:val="left"/>
              <w:rPr>
                <w:rFonts w:ascii="Times New Roman"/>
                <w:sz w:val="20"/>
              </w:rPr>
            </w:pPr>
            <w:r>
              <w:rPr>
                <w:rFonts w:ascii="Times New Roman"/>
                <w:sz w:val="20"/>
              </w:rPr>
              <w:t>177.6361</w:t>
            </w:r>
          </w:p>
        </w:tc>
        <w:tc>
          <w:tcPr>
            <w:tcW w:w="694" w:type="dxa"/>
          </w:tcPr>
          <w:p>
            <w:pPr>
              <w:pStyle w:val="14"/>
              <w:spacing w:before="7" w:line="213" w:lineRule="exact"/>
              <w:ind w:left="125" w:right="119"/>
              <w:rPr>
                <w:rFonts w:ascii="Times New Roman"/>
                <w:sz w:val="20"/>
              </w:rPr>
            </w:pPr>
            <w:r>
              <w:rPr>
                <w:rFonts w:ascii="Times New Roman"/>
                <w:sz w:val="20"/>
              </w:rPr>
              <w:t>2036</w:t>
            </w:r>
          </w:p>
        </w:tc>
        <w:tc>
          <w:tcPr>
            <w:tcW w:w="831" w:type="dxa"/>
          </w:tcPr>
          <w:p>
            <w:pPr>
              <w:pStyle w:val="14"/>
              <w:spacing w:before="7" w:line="213" w:lineRule="exact"/>
              <w:ind w:right="303"/>
              <w:jc w:val="right"/>
              <w:rPr>
                <w:rFonts w:ascii="Times New Roman"/>
                <w:sz w:val="20"/>
              </w:rPr>
            </w:pPr>
            <w:r>
              <w:rPr>
                <w:rFonts w:ascii="Times New Roman"/>
                <w:sz w:val="20"/>
              </w:rPr>
              <w:t>12</w:t>
            </w:r>
          </w:p>
        </w:tc>
        <w:tc>
          <w:tcPr>
            <w:tcW w:w="1056" w:type="dxa"/>
          </w:tcPr>
          <w:p>
            <w:pPr>
              <w:pStyle w:val="14"/>
              <w:spacing w:before="7" w:line="213" w:lineRule="exact"/>
              <w:ind w:left="124" w:right="117"/>
              <w:rPr>
                <w:rFonts w:ascii="Times New Roman"/>
                <w:sz w:val="20"/>
              </w:rPr>
            </w:pPr>
            <w:r>
              <w:rPr>
                <w:rFonts w:ascii="Times New Roman"/>
                <w:sz w:val="20"/>
              </w:rPr>
              <w:t>172.8572</w:t>
            </w:r>
          </w:p>
        </w:tc>
        <w:tc>
          <w:tcPr>
            <w:tcW w:w="1447" w:type="dxa"/>
          </w:tcPr>
          <w:p>
            <w:pPr>
              <w:pStyle w:val="14"/>
              <w:spacing w:before="7" w:line="213" w:lineRule="exact"/>
              <w:ind w:left="8"/>
              <w:rPr>
                <w:rFonts w:ascii="Times New Roman"/>
                <w:sz w:val="20"/>
              </w:rPr>
            </w:pPr>
            <w:r>
              <w:rPr>
                <w:rFonts w:ascii="Times New Roman"/>
                <w:w w:val="99"/>
                <w:sz w:val="20"/>
              </w:rPr>
              <w:t>-</w:t>
            </w:r>
          </w:p>
        </w:tc>
        <w:tc>
          <w:tcPr>
            <w:tcW w:w="1453" w:type="dxa"/>
          </w:tcPr>
          <w:p>
            <w:pPr>
              <w:pStyle w:val="14"/>
              <w:spacing w:before="7" w:line="213" w:lineRule="exact"/>
              <w:ind w:left="7"/>
              <w:rPr>
                <w:rFonts w:ascii="Times New Roman"/>
                <w:sz w:val="20"/>
              </w:rPr>
            </w:pPr>
            <w:r>
              <w:rPr>
                <w:rFonts w:ascii="Times New Roman"/>
                <w:w w:val="99"/>
                <w:sz w:val="20"/>
              </w:rPr>
              <w:t>-</w:t>
            </w:r>
          </w:p>
        </w:tc>
        <w:tc>
          <w:tcPr>
            <w:tcW w:w="1453" w:type="dxa"/>
            <w:vMerge w:val="restart"/>
          </w:tcPr>
          <w:p>
            <w:pPr>
              <w:pStyle w:val="14"/>
              <w:spacing w:before="9"/>
              <w:jc w:val="left"/>
              <w:rPr>
                <w:rFonts w:ascii="仿宋"/>
                <w:b/>
                <w:sz w:val="29"/>
              </w:rPr>
            </w:pPr>
          </w:p>
          <w:p>
            <w:pPr>
              <w:pStyle w:val="14"/>
              <w:ind w:left="450"/>
              <w:jc w:val="left"/>
              <w:rPr>
                <w:rFonts w:ascii="Times New Roman"/>
                <w:sz w:val="20"/>
              </w:rPr>
            </w:pPr>
            <w:r>
              <w:rPr>
                <w:rFonts w:ascii="Times New Roman"/>
                <w:sz w:val="20"/>
              </w:rPr>
              <w:t>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83" w:type="dxa"/>
            <w:vMerge w:val="continue"/>
            <w:tcBorders>
              <w:top w:val="nil"/>
            </w:tcBorders>
          </w:tcPr>
          <w:p>
            <w:pPr>
              <w:rPr>
                <w:sz w:val="2"/>
                <w:szCs w:val="2"/>
              </w:rPr>
            </w:pPr>
          </w:p>
        </w:tc>
        <w:tc>
          <w:tcPr>
            <w:tcW w:w="1023" w:type="dxa"/>
            <w:vMerge w:val="continue"/>
            <w:tcBorders>
              <w:top w:val="nil"/>
            </w:tcBorders>
          </w:tcPr>
          <w:p>
            <w:pPr>
              <w:rPr>
                <w:sz w:val="2"/>
                <w:szCs w:val="2"/>
              </w:rPr>
            </w:pPr>
          </w:p>
        </w:tc>
        <w:tc>
          <w:tcPr>
            <w:tcW w:w="694" w:type="dxa"/>
          </w:tcPr>
          <w:p>
            <w:pPr>
              <w:pStyle w:val="14"/>
              <w:spacing w:before="6" w:line="214" w:lineRule="exact"/>
              <w:ind w:left="125" w:right="119"/>
              <w:rPr>
                <w:rFonts w:ascii="Times New Roman"/>
                <w:sz w:val="20"/>
              </w:rPr>
            </w:pPr>
            <w:r>
              <w:rPr>
                <w:rFonts w:ascii="Times New Roman"/>
                <w:sz w:val="20"/>
              </w:rPr>
              <w:t>2037</w:t>
            </w:r>
          </w:p>
        </w:tc>
        <w:tc>
          <w:tcPr>
            <w:tcW w:w="831" w:type="dxa"/>
          </w:tcPr>
          <w:p>
            <w:pPr>
              <w:pStyle w:val="14"/>
              <w:spacing w:before="6" w:line="214" w:lineRule="exact"/>
              <w:ind w:right="369"/>
              <w:jc w:val="right"/>
              <w:rPr>
                <w:rFonts w:ascii="Times New Roman"/>
                <w:sz w:val="20"/>
              </w:rPr>
            </w:pPr>
            <w:r>
              <w:rPr>
                <w:rFonts w:ascii="Times New Roman"/>
                <w:w w:val="99"/>
                <w:sz w:val="20"/>
              </w:rPr>
              <w:t>-</w:t>
            </w:r>
          </w:p>
        </w:tc>
        <w:tc>
          <w:tcPr>
            <w:tcW w:w="1056" w:type="dxa"/>
          </w:tcPr>
          <w:p>
            <w:pPr>
              <w:pStyle w:val="14"/>
              <w:spacing w:before="6" w:line="214" w:lineRule="exact"/>
              <w:ind w:left="126" w:right="117"/>
              <w:rPr>
                <w:rFonts w:ascii="Times New Roman"/>
                <w:sz w:val="20"/>
              </w:rPr>
            </w:pPr>
            <w:r>
              <w:rPr>
                <w:rFonts w:ascii="Times New Roman"/>
                <w:sz w:val="20"/>
              </w:rPr>
              <w:t>1.8073</w:t>
            </w:r>
          </w:p>
        </w:tc>
        <w:tc>
          <w:tcPr>
            <w:tcW w:w="1447" w:type="dxa"/>
          </w:tcPr>
          <w:p>
            <w:pPr>
              <w:pStyle w:val="14"/>
              <w:spacing w:before="6" w:line="214" w:lineRule="exact"/>
              <w:ind w:left="8"/>
              <w:rPr>
                <w:rFonts w:ascii="Times New Roman"/>
                <w:sz w:val="20"/>
              </w:rPr>
            </w:pPr>
            <w:r>
              <w:rPr>
                <w:rFonts w:ascii="Times New Roman"/>
                <w:w w:val="99"/>
                <w:sz w:val="20"/>
              </w:rPr>
              <w:t>-</w:t>
            </w:r>
          </w:p>
        </w:tc>
        <w:tc>
          <w:tcPr>
            <w:tcW w:w="1453" w:type="dxa"/>
          </w:tcPr>
          <w:p>
            <w:pPr>
              <w:pStyle w:val="14"/>
              <w:spacing w:before="6" w:line="214" w:lineRule="exact"/>
              <w:ind w:left="7"/>
              <w:rPr>
                <w:rFonts w:ascii="Times New Roman"/>
                <w:sz w:val="20"/>
              </w:rPr>
            </w:pPr>
            <w:r>
              <w:rPr>
                <w:rFonts w:ascii="Times New Roman"/>
                <w:w w:val="99"/>
                <w:sz w:val="20"/>
              </w:rPr>
              <w:t>-</w:t>
            </w:r>
          </w:p>
        </w:tc>
        <w:tc>
          <w:tcPr>
            <w:tcW w:w="145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83" w:type="dxa"/>
            <w:vMerge w:val="continue"/>
            <w:tcBorders>
              <w:top w:val="nil"/>
            </w:tcBorders>
          </w:tcPr>
          <w:p>
            <w:pPr>
              <w:rPr>
                <w:sz w:val="2"/>
                <w:szCs w:val="2"/>
              </w:rPr>
            </w:pPr>
          </w:p>
        </w:tc>
        <w:tc>
          <w:tcPr>
            <w:tcW w:w="1023" w:type="dxa"/>
            <w:vMerge w:val="continue"/>
            <w:tcBorders>
              <w:top w:val="nil"/>
            </w:tcBorders>
          </w:tcPr>
          <w:p>
            <w:pPr>
              <w:rPr>
                <w:sz w:val="2"/>
                <w:szCs w:val="2"/>
              </w:rPr>
            </w:pPr>
          </w:p>
        </w:tc>
        <w:tc>
          <w:tcPr>
            <w:tcW w:w="694" w:type="dxa"/>
          </w:tcPr>
          <w:p>
            <w:pPr>
              <w:pStyle w:val="14"/>
              <w:spacing w:before="6" w:line="214" w:lineRule="exact"/>
              <w:ind w:left="125" w:right="119"/>
              <w:rPr>
                <w:rFonts w:ascii="Times New Roman"/>
                <w:sz w:val="20"/>
              </w:rPr>
            </w:pPr>
            <w:r>
              <w:rPr>
                <w:rFonts w:ascii="Times New Roman"/>
                <w:sz w:val="20"/>
              </w:rPr>
              <w:t>2038</w:t>
            </w:r>
          </w:p>
        </w:tc>
        <w:tc>
          <w:tcPr>
            <w:tcW w:w="831" w:type="dxa"/>
          </w:tcPr>
          <w:p>
            <w:pPr>
              <w:pStyle w:val="14"/>
              <w:spacing w:before="6" w:line="214" w:lineRule="exact"/>
              <w:ind w:right="369"/>
              <w:jc w:val="right"/>
              <w:rPr>
                <w:rFonts w:ascii="Times New Roman"/>
                <w:sz w:val="20"/>
              </w:rPr>
            </w:pPr>
            <w:r>
              <w:rPr>
                <w:rFonts w:ascii="Times New Roman"/>
                <w:w w:val="99"/>
                <w:sz w:val="20"/>
              </w:rPr>
              <w:t>-</w:t>
            </w:r>
          </w:p>
        </w:tc>
        <w:tc>
          <w:tcPr>
            <w:tcW w:w="1056" w:type="dxa"/>
          </w:tcPr>
          <w:p>
            <w:pPr>
              <w:pStyle w:val="14"/>
              <w:spacing w:before="6" w:line="214" w:lineRule="exact"/>
              <w:ind w:left="126" w:right="117"/>
              <w:rPr>
                <w:rFonts w:ascii="Times New Roman"/>
                <w:sz w:val="20"/>
              </w:rPr>
            </w:pPr>
            <w:r>
              <w:rPr>
                <w:rFonts w:ascii="Times New Roman"/>
                <w:sz w:val="20"/>
              </w:rPr>
              <w:t>1.8434</w:t>
            </w:r>
          </w:p>
        </w:tc>
        <w:tc>
          <w:tcPr>
            <w:tcW w:w="1447" w:type="dxa"/>
          </w:tcPr>
          <w:p>
            <w:pPr>
              <w:pStyle w:val="14"/>
              <w:spacing w:before="6" w:line="214" w:lineRule="exact"/>
              <w:ind w:left="8"/>
              <w:rPr>
                <w:rFonts w:ascii="Times New Roman"/>
                <w:sz w:val="20"/>
              </w:rPr>
            </w:pPr>
            <w:r>
              <w:rPr>
                <w:rFonts w:ascii="Times New Roman"/>
                <w:w w:val="99"/>
                <w:sz w:val="20"/>
              </w:rPr>
              <w:t>-</w:t>
            </w:r>
          </w:p>
        </w:tc>
        <w:tc>
          <w:tcPr>
            <w:tcW w:w="1453" w:type="dxa"/>
          </w:tcPr>
          <w:p>
            <w:pPr>
              <w:pStyle w:val="14"/>
              <w:spacing w:before="6" w:line="214" w:lineRule="exact"/>
              <w:ind w:left="7"/>
              <w:rPr>
                <w:rFonts w:ascii="Times New Roman"/>
                <w:sz w:val="20"/>
              </w:rPr>
            </w:pPr>
            <w:r>
              <w:rPr>
                <w:rFonts w:ascii="Times New Roman"/>
                <w:w w:val="99"/>
                <w:sz w:val="20"/>
              </w:rPr>
              <w:t>-</w:t>
            </w:r>
          </w:p>
        </w:tc>
        <w:tc>
          <w:tcPr>
            <w:tcW w:w="145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83" w:type="dxa"/>
            <w:vMerge w:val="continue"/>
            <w:tcBorders>
              <w:top w:val="nil"/>
            </w:tcBorders>
          </w:tcPr>
          <w:p>
            <w:pPr>
              <w:rPr>
                <w:sz w:val="2"/>
                <w:szCs w:val="2"/>
              </w:rPr>
            </w:pPr>
          </w:p>
        </w:tc>
        <w:tc>
          <w:tcPr>
            <w:tcW w:w="1023" w:type="dxa"/>
            <w:vMerge w:val="continue"/>
            <w:tcBorders>
              <w:top w:val="nil"/>
            </w:tcBorders>
          </w:tcPr>
          <w:p>
            <w:pPr>
              <w:rPr>
                <w:sz w:val="2"/>
                <w:szCs w:val="2"/>
              </w:rPr>
            </w:pPr>
          </w:p>
        </w:tc>
        <w:tc>
          <w:tcPr>
            <w:tcW w:w="694" w:type="dxa"/>
          </w:tcPr>
          <w:p>
            <w:pPr>
              <w:pStyle w:val="14"/>
              <w:spacing w:before="5" w:line="214" w:lineRule="exact"/>
              <w:ind w:left="125" w:right="119"/>
              <w:rPr>
                <w:rFonts w:ascii="Times New Roman"/>
                <w:sz w:val="20"/>
              </w:rPr>
            </w:pPr>
            <w:r>
              <w:rPr>
                <w:rFonts w:ascii="Times New Roman"/>
                <w:sz w:val="20"/>
              </w:rPr>
              <w:t>2039</w:t>
            </w:r>
          </w:p>
        </w:tc>
        <w:tc>
          <w:tcPr>
            <w:tcW w:w="831" w:type="dxa"/>
          </w:tcPr>
          <w:p>
            <w:pPr>
              <w:pStyle w:val="14"/>
              <w:spacing w:before="5" w:line="214" w:lineRule="exact"/>
              <w:ind w:right="369"/>
              <w:jc w:val="right"/>
              <w:rPr>
                <w:rFonts w:ascii="Times New Roman"/>
                <w:sz w:val="20"/>
              </w:rPr>
            </w:pPr>
            <w:r>
              <w:rPr>
                <w:rFonts w:ascii="Times New Roman"/>
                <w:w w:val="99"/>
                <w:sz w:val="20"/>
              </w:rPr>
              <w:t>-</w:t>
            </w:r>
          </w:p>
        </w:tc>
        <w:tc>
          <w:tcPr>
            <w:tcW w:w="1056" w:type="dxa"/>
          </w:tcPr>
          <w:p>
            <w:pPr>
              <w:pStyle w:val="14"/>
              <w:spacing w:before="5" w:line="214" w:lineRule="exact"/>
              <w:ind w:left="126" w:right="117"/>
              <w:rPr>
                <w:rFonts w:ascii="Times New Roman"/>
                <w:sz w:val="20"/>
              </w:rPr>
            </w:pPr>
            <w:r>
              <w:rPr>
                <w:rFonts w:ascii="Times New Roman"/>
                <w:sz w:val="20"/>
              </w:rPr>
              <w:t>1.1282</w:t>
            </w:r>
          </w:p>
        </w:tc>
        <w:tc>
          <w:tcPr>
            <w:tcW w:w="1447" w:type="dxa"/>
          </w:tcPr>
          <w:p>
            <w:pPr>
              <w:pStyle w:val="14"/>
              <w:spacing w:before="5" w:line="214" w:lineRule="exact"/>
              <w:ind w:left="8"/>
              <w:rPr>
                <w:rFonts w:ascii="Times New Roman"/>
                <w:sz w:val="20"/>
              </w:rPr>
            </w:pPr>
            <w:r>
              <w:rPr>
                <w:rFonts w:ascii="Times New Roman"/>
                <w:w w:val="99"/>
                <w:sz w:val="20"/>
              </w:rPr>
              <w:t>-</w:t>
            </w:r>
          </w:p>
        </w:tc>
        <w:tc>
          <w:tcPr>
            <w:tcW w:w="1453" w:type="dxa"/>
          </w:tcPr>
          <w:p>
            <w:pPr>
              <w:pStyle w:val="14"/>
              <w:spacing w:before="5" w:line="214" w:lineRule="exact"/>
              <w:ind w:left="7"/>
              <w:rPr>
                <w:rFonts w:ascii="Times New Roman"/>
                <w:sz w:val="20"/>
              </w:rPr>
            </w:pPr>
            <w:r>
              <w:rPr>
                <w:rFonts w:ascii="Times New Roman"/>
                <w:w w:val="99"/>
                <w:sz w:val="20"/>
              </w:rPr>
              <w:t>-</w:t>
            </w:r>
          </w:p>
        </w:tc>
        <w:tc>
          <w:tcPr>
            <w:tcW w:w="145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683" w:type="dxa"/>
          </w:tcPr>
          <w:p>
            <w:pPr>
              <w:pStyle w:val="14"/>
              <w:spacing w:before="1" w:line="237" w:lineRule="exact"/>
              <w:ind w:left="140"/>
              <w:jc w:val="left"/>
              <w:rPr>
                <w:sz w:val="20"/>
              </w:rPr>
            </w:pPr>
            <w:r>
              <w:rPr>
                <w:sz w:val="20"/>
              </w:rPr>
              <w:t>总计</w:t>
            </w:r>
          </w:p>
        </w:tc>
        <w:tc>
          <w:tcPr>
            <w:tcW w:w="1023" w:type="dxa"/>
          </w:tcPr>
          <w:p>
            <w:pPr>
              <w:pStyle w:val="14"/>
              <w:spacing w:before="15" w:line="224" w:lineRule="exact"/>
              <w:ind w:left="136"/>
              <w:jc w:val="left"/>
              <w:rPr>
                <w:rFonts w:ascii="Times New Roman"/>
                <w:b/>
                <w:sz w:val="20"/>
              </w:rPr>
            </w:pPr>
            <w:r>
              <w:rPr>
                <w:rFonts w:ascii="Times New Roman"/>
                <w:b/>
                <w:sz w:val="20"/>
              </w:rPr>
              <w:t>177.6361</w:t>
            </w:r>
          </w:p>
        </w:tc>
        <w:tc>
          <w:tcPr>
            <w:tcW w:w="694" w:type="dxa"/>
          </w:tcPr>
          <w:p>
            <w:pPr>
              <w:pStyle w:val="14"/>
              <w:spacing w:before="15" w:line="224" w:lineRule="exact"/>
              <w:ind w:left="7"/>
              <w:rPr>
                <w:rFonts w:ascii="Times New Roman" w:hAnsi="Times New Roman"/>
                <w:b/>
                <w:sz w:val="20"/>
              </w:rPr>
            </w:pPr>
            <w:r>
              <w:rPr>
                <w:rFonts w:ascii="Times New Roman" w:hAnsi="Times New Roman"/>
                <w:b/>
                <w:w w:val="99"/>
                <w:sz w:val="20"/>
              </w:rPr>
              <w:t>—</w:t>
            </w:r>
          </w:p>
        </w:tc>
        <w:tc>
          <w:tcPr>
            <w:tcW w:w="831" w:type="dxa"/>
          </w:tcPr>
          <w:p>
            <w:pPr>
              <w:pStyle w:val="14"/>
              <w:spacing w:before="15" w:line="224" w:lineRule="exact"/>
              <w:ind w:right="304"/>
              <w:jc w:val="right"/>
              <w:rPr>
                <w:rFonts w:ascii="Times New Roman" w:hAnsi="Times New Roman"/>
                <w:b/>
                <w:sz w:val="20"/>
              </w:rPr>
            </w:pPr>
            <w:r>
              <w:rPr>
                <w:rFonts w:ascii="Times New Roman" w:hAnsi="Times New Roman"/>
                <w:b/>
                <w:w w:val="99"/>
                <w:sz w:val="20"/>
              </w:rPr>
              <w:t>—</w:t>
            </w:r>
          </w:p>
        </w:tc>
        <w:tc>
          <w:tcPr>
            <w:tcW w:w="1056" w:type="dxa"/>
          </w:tcPr>
          <w:p>
            <w:pPr>
              <w:pStyle w:val="14"/>
              <w:spacing w:before="15" w:line="224" w:lineRule="exact"/>
              <w:ind w:left="124" w:right="117"/>
              <w:rPr>
                <w:rFonts w:ascii="Times New Roman"/>
                <w:b/>
                <w:sz w:val="20"/>
              </w:rPr>
            </w:pPr>
            <w:r>
              <w:rPr>
                <w:rFonts w:ascii="Times New Roman"/>
                <w:b/>
                <w:sz w:val="20"/>
              </w:rPr>
              <w:t>177.6361</w:t>
            </w:r>
          </w:p>
        </w:tc>
        <w:tc>
          <w:tcPr>
            <w:tcW w:w="1447" w:type="dxa"/>
          </w:tcPr>
          <w:p>
            <w:pPr>
              <w:pStyle w:val="14"/>
              <w:spacing w:before="15" w:line="224" w:lineRule="exact"/>
              <w:ind w:left="8"/>
              <w:rPr>
                <w:rFonts w:ascii="Times New Roman"/>
                <w:b/>
                <w:sz w:val="20"/>
              </w:rPr>
            </w:pPr>
            <w:r>
              <w:rPr>
                <w:rFonts w:ascii="Times New Roman"/>
                <w:b/>
                <w:w w:val="99"/>
                <w:sz w:val="20"/>
              </w:rPr>
              <w:t>-</w:t>
            </w:r>
          </w:p>
        </w:tc>
        <w:tc>
          <w:tcPr>
            <w:tcW w:w="1453" w:type="dxa"/>
          </w:tcPr>
          <w:p>
            <w:pPr>
              <w:pStyle w:val="14"/>
              <w:spacing w:before="15" w:line="224" w:lineRule="exact"/>
              <w:ind w:right="339"/>
              <w:jc w:val="right"/>
              <w:rPr>
                <w:rFonts w:ascii="Times New Roman"/>
                <w:b/>
                <w:sz w:val="20"/>
              </w:rPr>
            </w:pPr>
            <w:r>
              <w:rPr>
                <w:rFonts w:ascii="Times New Roman"/>
                <w:b/>
                <w:w w:val="95"/>
                <w:sz w:val="20"/>
              </w:rPr>
              <w:t>177.6361</w:t>
            </w:r>
          </w:p>
        </w:tc>
        <w:tc>
          <w:tcPr>
            <w:tcW w:w="1453" w:type="dxa"/>
          </w:tcPr>
          <w:p>
            <w:pPr>
              <w:pStyle w:val="14"/>
              <w:spacing w:before="15" w:line="224" w:lineRule="exact"/>
              <w:ind w:left="350"/>
              <w:jc w:val="left"/>
              <w:rPr>
                <w:rFonts w:ascii="Times New Roman"/>
                <w:b/>
                <w:sz w:val="20"/>
              </w:rPr>
            </w:pPr>
            <w:r>
              <w:rPr>
                <w:rFonts w:ascii="Times New Roman"/>
                <w:b/>
                <w:sz w:val="20"/>
              </w:rPr>
              <w:t>177.6361</w:t>
            </w:r>
          </w:p>
        </w:tc>
      </w:tr>
    </w:tbl>
    <w:p>
      <w:pPr>
        <w:pStyle w:val="13"/>
        <w:numPr>
          <w:ilvl w:val="2"/>
          <w:numId w:val="42"/>
        </w:numPr>
        <w:tabs>
          <w:tab w:val="left" w:pos="1181"/>
        </w:tabs>
        <w:spacing w:before="3" w:after="0" w:line="240" w:lineRule="auto"/>
        <w:ind w:left="1180" w:right="0" w:hanging="630"/>
        <w:jc w:val="left"/>
        <w:rPr>
          <w:b/>
          <w:sz w:val="28"/>
        </w:rPr>
      </w:pPr>
      <w:bookmarkStart w:id="194" w:name="5.5.5生态管理及监控目标及内容"/>
      <w:bookmarkEnd w:id="194"/>
      <w:bookmarkStart w:id="195" w:name="5.5.5生态管理及监控目标及内容"/>
      <w:bookmarkEnd w:id="195"/>
      <w:r>
        <w:rPr>
          <w:b/>
          <w:sz w:val="28"/>
        </w:rPr>
        <w:t>生态管理及监控目标及内容</w:t>
      </w:r>
    </w:p>
    <w:p>
      <w:pPr>
        <w:pStyle w:val="6"/>
        <w:spacing w:before="264" w:line="364" w:lineRule="auto"/>
        <w:ind w:left="551" w:right="973" w:firstLine="480"/>
        <w:jc w:val="both"/>
      </w:pPr>
      <w:r>
        <w:t>生态管理和监控是政府环境保护机构依据国家和地方制订的有关自然资源和生态保护的法律、法规、条例、技术规范、标准等所进行的行政工作，应列为本项目日常工作的一个重要组成部分。</w:t>
      </w:r>
    </w:p>
    <w:p>
      <w:pPr>
        <w:pStyle w:val="6"/>
        <w:spacing w:before="2" w:line="364" w:lineRule="auto"/>
        <w:ind w:left="551" w:right="973" w:firstLine="480"/>
      </w:pPr>
      <w:r>
        <w:t>评价根据项目建设的性质、规模、生态影响的程度和范围、项目所在地的自然、经济、社会等因素提出如下生态管理及监控内容：</w:t>
      </w:r>
    </w:p>
    <w:p>
      <w:pPr>
        <w:pStyle w:val="13"/>
        <w:numPr>
          <w:ilvl w:val="0"/>
          <w:numId w:val="47"/>
        </w:numPr>
        <w:tabs>
          <w:tab w:val="left" w:pos="1633"/>
        </w:tabs>
        <w:spacing w:before="1" w:after="0" w:line="364" w:lineRule="auto"/>
        <w:ind w:left="551" w:right="853" w:firstLine="480"/>
        <w:jc w:val="left"/>
        <w:rPr>
          <w:sz w:val="24"/>
        </w:rPr>
      </w:pPr>
      <w:r>
        <w:rPr>
          <w:spacing w:val="-6"/>
          <w:sz w:val="24"/>
        </w:rPr>
        <w:t xml:space="preserve">在采区靠近公路附近 </w:t>
      </w:r>
      <w:r>
        <w:rPr>
          <w:rFonts w:ascii="Times New Roman" w:eastAsia="Times New Roman"/>
          <w:sz w:val="24"/>
        </w:rPr>
        <w:t xml:space="preserve">200m </w:t>
      </w:r>
      <w:r>
        <w:rPr>
          <w:spacing w:val="-3"/>
          <w:sz w:val="24"/>
        </w:rPr>
        <w:t>内设地表移动变形长期观测点，进行地表沉</w:t>
      </w:r>
      <w:r>
        <w:rPr>
          <w:spacing w:val="-12"/>
          <w:sz w:val="24"/>
        </w:rPr>
        <w:t xml:space="preserve">陷的变化观测，监控其下沉速率、时间、裂缝宽度与深度、积水时段、积水面积， </w:t>
      </w:r>
      <w:r>
        <w:rPr>
          <w:sz w:val="24"/>
        </w:rPr>
        <w:t>为后续土地复垦建立可借鉴的数据。</w:t>
      </w:r>
    </w:p>
    <w:p>
      <w:pPr>
        <w:pStyle w:val="13"/>
        <w:numPr>
          <w:ilvl w:val="0"/>
          <w:numId w:val="47"/>
        </w:numPr>
        <w:tabs>
          <w:tab w:val="left" w:pos="1633"/>
        </w:tabs>
        <w:spacing w:before="2" w:after="0" w:line="364" w:lineRule="auto"/>
        <w:ind w:left="551" w:right="973" w:firstLine="480"/>
        <w:jc w:val="left"/>
        <w:rPr>
          <w:sz w:val="24"/>
        </w:rPr>
      </w:pPr>
      <w:r>
        <w:rPr>
          <w:spacing w:val="-3"/>
          <w:sz w:val="24"/>
        </w:rPr>
        <w:t>在采区北部次生林地地段设生态监测点一处，定点进行沉陷区植被的</w:t>
      </w:r>
      <w:r>
        <w:rPr>
          <w:spacing w:val="-5"/>
          <w:sz w:val="24"/>
        </w:rPr>
        <w:t>生长与物种演替，为后续土地复垦提供有益借鉴。</w:t>
      </w:r>
    </w:p>
    <w:p>
      <w:pPr>
        <w:pStyle w:val="4"/>
        <w:numPr>
          <w:ilvl w:val="2"/>
          <w:numId w:val="42"/>
        </w:numPr>
        <w:tabs>
          <w:tab w:val="left" w:pos="1181"/>
        </w:tabs>
        <w:spacing w:before="0" w:after="0" w:line="282" w:lineRule="exact"/>
        <w:ind w:left="1180" w:right="0" w:hanging="630"/>
        <w:jc w:val="left"/>
      </w:pPr>
      <w:bookmarkStart w:id="196" w:name="5.5.6管理计划"/>
      <w:bookmarkEnd w:id="196"/>
      <w:bookmarkStart w:id="197" w:name="5.5.6管理计划"/>
      <w:bookmarkEnd w:id="197"/>
      <w:r>
        <w:rPr>
          <w:spacing w:val="-1"/>
          <w:w w:val="95"/>
        </w:rPr>
        <w:t>管理计划</w:t>
      </w:r>
    </w:p>
    <w:p>
      <w:pPr>
        <w:pStyle w:val="5"/>
        <w:numPr>
          <w:ilvl w:val="3"/>
          <w:numId w:val="42"/>
        </w:numPr>
        <w:tabs>
          <w:tab w:val="left" w:pos="1272"/>
        </w:tabs>
        <w:spacing w:before="265" w:after="0" w:line="240" w:lineRule="auto"/>
        <w:ind w:left="1272" w:right="0" w:hanging="721"/>
        <w:jc w:val="left"/>
      </w:pPr>
      <w:r>
        <w:rPr>
          <w:w w:val="95"/>
        </w:rPr>
        <w:t>管理体系</w:t>
      </w:r>
    </w:p>
    <w:p>
      <w:pPr>
        <w:pStyle w:val="6"/>
        <w:spacing w:before="160" w:line="364" w:lineRule="auto"/>
        <w:ind w:left="551" w:right="973" w:firstLine="480"/>
        <w:jc w:val="both"/>
      </w:pPr>
      <w:r>
        <w:t>矿区建设一套完整的环境管理、监测机构，有一名矿级领导负责环保工作， 形成矿区环保办公室、环保科、车间及施工队三级环境保护管理体系，配有专职环保管理、监测人员，并设有环境监测组。</w:t>
      </w:r>
    </w:p>
    <w:p>
      <w:pPr>
        <w:pStyle w:val="6"/>
        <w:spacing w:before="2"/>
        <w:ind w:left="1031"/>
        <w:jc w:val="both"/>
      </w:pPr>
      <w:r>
        <w:rPr>
          <w:spacing w:val="-4"/>
        </w:rPr>
        <w:t xml:space="preserve">环保办公室设置：专职环保人员 </w:t>
      </w:r>
      <w:r>
        <w:rPr>
          <w:rFonts w:ascii="Times New Roman" w:eastAsia="Times New Roman"/>
        </w:rPr>
        <w:t xml:space="preserve">1 </w:t>
      </w:r>
      <w:r>
        <w:t>名，负责总体环境规划、管理工作；环保</w:t>
      </w:r>
    </w:p>
    <w:p>
      <w:pPr>
        <w:pStyle w:val="6"/>
        <w:spacing w:before="160"/>
        <w:ind w:left="551"/>
      </w:pPr>
      <w:r>
        <w:rPr>
          <w:spacing w:val="-5"/>
        </w:rPr>
        <w:t xml:space="preserve">科专职、兼职环保人员各 </w:t>
      </w:r>
      <w:r>
        <w:rPr>
          <w:rFonts w:ascii="Times New Roman" w:eastAsia="Times New Roman"/>
        </w:rPr>
        <w:t xml:space="preserve">1 </w:t>
      </w:r>
      <w:r>
        <w:t>名，协助环保办公室工作，负责环境工程规划、实施</w:t>
      </w:r>
    </w:p>
    <w:p>
      <w:pPr>
        <w:pStyle w:val="6"/>
        <w:spacing w:before="161" w:line="364" w:lineRule="auto"/>
        <w:ind w:left="551" w:right="906"/>
      </w:pPr>
      <w:r>
        <w:t xml:space="preserve">及监督检查工作；环境监测组专职环保人员 </w:t>
      </w:r>
      <w:r>
        <w:rPr>
          <w:rFonts w:ascii="Times New Roman" w:eastAsia="Times New Roman"/>
        </w:rPr>
        <w:t xml:space="preserve">2 </w:t>
      </w:r>
      <w:r>
        <w:t>名，负责定期排污监测、治理设施运行监测，建立该矿污染排放档案。</w:t>
      </w:r>
    </w:p>
    <w:p>
      <w:pPr>
        <w:pStyle w:val="5"/>
        <w:numPr>
          <w:ilvl w:val="3"/>
          <w:numId w:val="42"/>
        </w:numPr>
        <w:tabs>
          <w:tab w:val="left" w:pos="1272"/>
        </w:tabs>
        <w:spacing w:before="1" w:after="0" w:line="240" w:lineRule="auto"/>
        <w:ind w:left="1272" w:right="0" w:hanging="721"/>
        <w:jc w:val="left"/>
      </w:pPr>
      <w:r>
        <w:t>管理机构的职责</w:t>
      </w:r>
    </w:p>
    <w:p>
      <w:pPr>
        <w:spacing w:after="0" w:line="240" w:lineRule="auto"/>
        <w:jc w:val="left"/>
        <w:sectPr>
          <w:pgSz w:w="11910" w:h="16840"/>
          <w:pgMar w:top="1420" w:right="780" w:bottom="1180" w:left="1200" w:header="0" w:footer="997" w:gutter="0"/>
        </w:sectPr>
      </w:pPr>
    </w:p>
    <w:p>
      <w:pPr>
        <w:pStyle w:val="13"/>
        <w:numPr>
          <w:ilvl w:val="0"/>
          <w:numId w:val="48"/>
        </w:numPr>
        <w:tabs>
          <w:tab w:val="left" w:pos="1633"/>
        </w:tabs>
        <w:spacing w:before="62" w:after="0" w:line="364" w:lineRule="auto"/>
        <w:ind w:left="551" w:right="973" w:firstLine="480"/>
        <w:jc w:val="left"/>
        <w:rPr>
          <w:sz w:val="24"/>
        </w:rPr>
      </w:pPr>
      <w:r>
        <w:rPr>
          <w:spacing w:val="-5"/>
          <w:sz w:val="24"/>
        </w:rPr>
        <w:t>贯彻执行国家及省市各项环保方针、政策和法规，制定本项目的生态</w:t>
      </w:r>
      <w:r>
        <w:rPr>
          <w:spacing w:val="-4"/>
          <w:sz w:val="24"/>
        </w:rPr>
        <w:t>环境管理办法。</w:t>
      </w:r>
    </w:p>
    <w:p>
      <w:pPr>
        <w:pStyle w:val="13"/>
        <w:numPr>
          <w:ilvl w:val="0"/>
          <w:numId w:val="48"/>
        </w:numPr>
        <w:tabs>
          <w:tab w:val="left" w:pos="1633"/>
        </w:tabs>
        <w:spacing w:before="1" w:after="0" w:line="364" w:lineRule="auto"/>
        <w:ind w:left="551" w:right="973" w:firstLine="480"/>
        <w:jc w:val="both"/>
        <w:rPr>
          <w:sz w:val="24"/>
        </w:rPr>
      </w:pPr>
      <w:r>
        <w:rPr>
          <w:spacing w:val="-3"/>
          <w:sz w:val="24"/>
        </w:rPr>
        <w:t>对项目实施涉及的生态环保工作进行监督管理，制定项目的生态环境</w:t>
      </w:r>
      <w:r>
        <w:rPr>
          <w:spacing w:val="-5"/>
          <w:sz w:val="24"/>
        </w:rPr>
        <w:t>管理与工作计划并进行实施，负责项目建设中各项生态环保措施实施的监督和日常管理工作。</w:t>
      </w:r>
    </w:p>
    <w:p>
      <w:pPr>
        <w:pStyle w:val="13"/>
        <w:numPr>
          <w:ilvl w:val="0"/>
          <w:numId w:val="48"/>
        </w:numPr>
        <w:tabs>
          <w:tab w:val="left" w:pos="1633"/>
        </w:tabs>
        <w:spacing w:before="2" w:after="0" w:line="364" w:lineRule="auto"/>
        <w:ind w:left="551" w:right="973" w:firstLine="480"/>
        <w:jc w:val="left"/>
        <w:rPr>
          <w:sz w:val="24"/>
        </w:rPr>
      </w:pPr>
      <w:r>
        <w:rPr>
          <w:spacing w:val="-4"/>
          <w:sz w:val="24"/>
        </w:rPr>
        <w:t>组织开展本项目的生态环保宣传，提高各级管理人员和施工人员的生</w:t>
      </w:r>
      <w:r>
        <w:rPr>
          <w:spacing w:val="-5"/>
          <w:sz w:val="24"/>
        </w:rPr>
        <w:t>态环保意识和管理水平。</w:t>
      </w:r>
    </w:p>
    <w:p>
      <w:pPr>
        <w:pStyle w:val="13"/>
        <w:numPr>
          <w:ilvl w:val="0"/>
          <w:numId w:val="48"/>
        </w:numPr>
        <w:tabs>
          <w:tab w:val="left" w:pos="1633"/>
        </w:tabs>
        <w:spacing w:before="1" w:after="0" w:line="364" w:lineRule="auto"/>
        <w:ind w:left="551" w:right="973" w:firstLine="480"/>
        <w:jc w:val="left"/>
        <w:rPr>
          <w:sz w:val="24"/>
        </w:rPr>
      </w:pPr>
      <w:r>
        <w:rPr>
          <w:spacing w:val="-9"/>
          <w:sz w:val="24"/>
        </w:rPr>
        <w:t>组织、领导项目在施工期、营运期的生态环保科研和信息工作，推广</w:t>
      </w:r>
      <w:r>
        <w:rPr>
          <w:spacing w:val="-4"/>
          <w:sz w:val="24"/>
        </w:rPr>
        <w:t>先进的生态环保经验和技术。</w:t>
      </w:r>
    </w:p>
    <w:p>
      <w:pPr>
        <w:pStyle w:val="13"/>
        <w:numPr>
          <w:ilvl w:val="0"/>
          <w:numId w:val="48"/>
        </w:numPr>
        <w:tabs>
          <w:tab w:val="left" w:pos="1633"/>
        </w:tabs>
        <w:spacing w:before="1" w:after="0" w:line="240" w:lineRule="auto"/>
        <w:ind w:left="1633" w:right="0" w:hanging="602"/>
        <w:jc w:val="left"/>
        <w:rPr>
          <w:sz w:val="24"/>
        </w:rPr>
      </w:pPr>
      <w:r>
        <w:rPr>
          <w:sz w:val="24"/>
        </w:rPr>
        <w:t>下达项目在施工期、营运期的生态环境监测任务。</w:t>
      </w:r>
    </w:p>
    <w:p>
      <w:pPr>
        <w:pStyle w:val="13"/>
        <w:numPr>
          <w:ilvl w:val="0"/>
          <w:numId w:val="48"/>
        </w:numPr>
        <w:tabs>
          <w:tab w:val="left" w:pos="1633"/>
        </w:tabs>
        <w:spacing w:before="161" w:after="0" w:line="240" w:lineRule="auto"/>
        <w:ind w:left="1633" w:right="0" w:hanging="602"/>
        <w:jc w:val="left"/>
        <w:rPr>
          <w:sz w:val="24"/>
        </w:rPr>
      </w:pPr>
      <w:r>
        <w:rPr>
          <w:sz w:val="24"/>
        </w:rPr>
        <w:t>负责项目在施工期、营运期的生态破坏事故的调查和处理。</w:t>
      </w:r>
    </w:p>
    <w:p>
      <w:pPr>
        <w:pStyle w:val="13"/>
        <w:numPr>
          <w:ilvl w:val="0"/>
          <w:numId w:val="48"/>
        </w:numPr>
        <w:tabs>
          <w:tab w:val="left" w:pos="1633"/>
        </w:tabs>
        <w:spacing w:before="160" w:after="0" w:line="364" w:lineRule="auto"/>
        <w:ind w:left="551" w:right="973" w:firstLine="480"/>
        <w:jc w:val="left"/>
        <w:rPr>
          <w:sz w:val="24"/>
        </w:rPr>
      </w:pPr>
      <w:r>
        <w:rPr>
          <w:spacing w:val="-3"/>
          <w:sz w:val="24"/>
        </w:rPr>
        <w:t>做好生态环保工作方面的横向和纵向协调工作，负责生态环境监测和</w:t>
      </w:r>
      <w:r>
        <w:rPr>
          <w:spacing w:val="-5"/>
          <w:sz w:val="24"/>
        </w:rPr>
        <w:t>科研等资料汇总整理工作，及时上报各级环保部门，积极推动项目生态环保工作</w:t>
      </w:r>
      <w:r>
        <w:rPr>
          <w:spacing w:val="-18"/>
          <w:sz w:val="24"/>
        </w:rPr>
        <w:t>。</w:t>
      </w:r>
    </w:p>
    <w:p>
      <w:pPr>
        <w:pStyle w:val="4"/>
        <w:numPr>
          <w:ilvl w:val="2"/>
          <w:numId w:val="42"/>
        </w:numPr>
        <w:tabs>
          <w:tab w:val="left" w:pos="1181"/>
        </w:tabs>
        <w:spacing w:before="0" w:after="0" w:line="282" w:lineRule="exact"/>
        <w:ind w:left="1180" w:right="0" w:hanging="630"/>
        <w:jc w:val="left"/>
      </w:pPr>
      <w:bookmarkStart w:id="198" w:name="5.5.7监测计划"/>
      <w:bookmarkEnd w:id="198"/>
      <w:bookmarkStart w:id="199" w:name="5.5.7监测计划"/>
      <w:bookmarkEnd w:id="199"/>
      <w:r>
        <w:t>监测计划</w:t>
      </w:r>
    </w:p>
    <w:p>
      <w:pPr>
        <w:pStyle w:val="6"/>
        <w:spacing w:before="265" w:line="364" w:lineRule="auto"/>
        <w:ind w:left="551" w:right="973" w:firstLine="480"/>
        <w:jc w:val="both"/>
      </w:pPr>
      <w:r>
        <w:t xml:space="preserve">营运期监测项目的内容、监测频率、监测制度、报告制度、实施单位等生态环境监测计划见表 </w:t>
      </w:r>
      <w:r>
        <w:rPr>
          <w:rFonts w:ascii="Times New Roman" w:eastAsia="Times New Roman"/>
        </w:rPr>
        <w:t>5.5-8</w:t>
      </w:r>
      <w:r>
        <w:t>。</w:t>
      </w:r>
    </w:p>
    <w:p>
      <w:pPr>
        <w:pStyle w:val="5"/>
        <w:tabs>
          <w:tab w:val="left" w:pos="1039"/>
        </w:tabs>
        <w:spacing w:line="230" w:lineRule="exact"/>
        <w:ind w:right="410"/>
        <w:jc w:val="center"/>
      </w:pPr>
      <w:r>
        <w:t>表</w:t>
      </w:r>
      <w:r>
        <w:rPr>
          <w:spacing w:val="-62"/>
        </w:rPr>
        <w:t xml:space="preserve"> </w:t>
      </w:r>
      <w:r>
        <w:rPr>
          <w:rFonts w:ascii="Times New Roman" w:eastAsia="Times New Roman"/>
        </w:rPr>
        <w:t>5.5-8</w:t>
      </w:r>
      <w:r>
        <w:rPr>
          <w:rFonts w:ascii="Times New Roman" w:eastAsia="Times New Roman"/>
        </w:rPr>
        <w:tab/>
      </w:r>
      <w:r>
        <w:t>生态环境监控计划</w:t>
      </w:r>
    </w:p>
    <w:p>
      <w:pPr>
        <w:pStyle w:val="6"/>
        <w:spacing w:before="4" w:after="1"/>
        <w:rPr>
          <w:b/>
          <w:sz w:val="12"/>
        </w:rPr>
      </w:pPr>
    </w:p>
    <w:tbl>
      <w:tblPr>
        <w:tblStyle w:val="10"/>
        <w:tblW w:w="0" w:type="auto"/>
        <w:tblInd w:w="3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9"/>
        <w:gridCol w:w="1690"/>
        <w:gridCol w:w="64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09" w:type="dxa"/>
          </w:tcPr>
          <w:p>
            <w:pPr>
              <w:pStyle w:val="14"/>
              <w:spacing w:before="19"/>
              <w:ind w:left="199"/>
              <w:jc w:val="left"/>
              <w:rPr>
                <w:b/>
                <w:sz w:val="21"/>
              </w:rPr>
            </w:pPr>
            <w:r>
              <w:rPr>
                <w:b/>
                <w:w w:val="99"/>
                <w:sz w:val="21"/>
              </w:rPr>
              <w:t>序</w:t>
            </w:r>
          </w:p>
          <w:p>
            <w:pPr>
              <w:pStyle w:val="14"/>
              <w:spacing w:before="43"/>
              <w:ind w:left="199"/>
              <w:jc w:val="left"/>
              <w:rPr>
                <w:b/>
                <w:sz w:val="21"/>
              </w:rPr>
            </w:pPr>
            <w:r>
              <w:rPr>
                <w:b/>
                <w:w w:val="99"/>
                <w:sz w:val="21"/>
              </w:rPr>
              <w:t>号</w:t>
            </w:r>
          </w:p>
        </w:tc>
        <w:tc>
          <w:tcPr>
            <w:tcW w:w="1690" w:type="dxa"/>
          </w:tcPr>
          <w:p>
            <w:pPr>
              <w:pStyle w:val="14"/>
              <w:spacing w:before="175"/>
              <w:ind w:left="88" w:right="74"/>
              <w:rPr>
                <w:b/>
                <w:sz w:val="21"/>
              </w:rPr>
            </w:pPr>
            <w:r>
              <w:rPr>
                <w:b/>
                <w:sz w:val="21"/>
              </w:rPr>
              <w:t>监测项目</w:t>
            </w:r>
          </w:p>
        </w:tc>
        <w:tc>
          <w:tcPr>
            <w:tcW w:w="6421" w:type="dxa"/>
          </w:tcPr>
          <w:p>
            <w:pPr>
              <w:pStyle w:val="14"/>
              <w:spacing w:before="175"/>
              <w:ind w:left="2559" w:right="2547"/>
              <w:rPr>
                <w:b/>
                <w:sz w:val="21"/>
              </w:rPr>
            </w:pPr>
            <w:r>
              <w:rPr>
                <w:b/>
                <w:sz w:val="21"/>
              </w:rPr>
              <w:t>主要技术要求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609" w:type="dxa"/>
          </w:tcPr>
          <w:p>
            <w:pPr>
              <w:pStyle w:val="14"/>
              <w:jc w:val="left"/>
              <w:rPr>
                <w:b/>
                <w:sz w:val="22"/>
              </w:rPr>
            </w:pPr>
          </w:p>
          <w:p>
            <w:pPr>
              <w:pStyle w:val="14"/>
              <w:spacing w:before="1"/>
              <w:jc w:val="left"/>
              <w:rPr>
                <w:b/>
                <w:sz w:val="17"/>
              </w:rPr>
            </w:pPr>
          </w:p>
          <w:p>
            <w:pPr>
              <w:pStyle w:val="14"/>
              <w:ind w:left="252"/>
              <w:jc w:val="left"/>
              <w:rPr>
                <w:rFonts w:ascii="Times New Roman"/>
                <w:sz w:val="21"/>
              </w:rPr>
            </w:pPr>
            <w:r>
              <w:rPr>
                <w:rFonts w:ascii="Times New Roman"/>
                <w:w w:val="99"/>
                <w:sz w:val="21"/>
              </w:rPr>
              <w:t>1</w:t>
            </w:r>
          </w:p>
        </w:tc>
        <w:tc>
          <w:tcPr>
            <w:tcW w:w="1690" w:type="dxa"/>
          </w:tcPr>
          <w:p>
            <w:pPr>
              <w:pStyle w:val="14"/>
              <w:jc w:val="left"/>
              <w:rPr>
                <w:b/>
                <w:sz w:val="20"/>
              </w:rPr>
            </w:pPr>
          </w:p>
          <w:p>
            <w:pPr>
              <w:pStyle w:val="14"/>
              <w:jc w:val="left"/>
              <w:rPr>
                <w:b/>
                <w:sz w:val="18"/>
              </w:rPr>
            </w:pPr>
          </w:p>
          <w:p>
            <w:pPr>
              <w:pStyle w:val="14"/>
              <w:ind w:left="88" w:right="82"/>
              <w:rPr>
                <w:sz w:val="21"/>
              </w:rPr>
            </w:pPr>
            <w:r>
              <w:rPr>
                <w:sz w:val="21"/>
              </w:rPr>
              <w:t>施工现场清理</w:t>
            </w:r>
          </w:p>
        </w:tc>
        <w:tc>
          <w:tcPr>
            <w:tcW w:w="6421" w:type="dxa"/>
          </w:tcPr>
          <w:p>
            <w:pPr>
              <w:pStyle w:val="14"/>
              <w:numPr>
                <w:ilvl w:val="0"/>
                <w:numId w:val="49"/>
              </w:numPr>
              <w:tabs>
                <w:tab w:val="left" w:pos="268"/>
              </w:tabs>
              <w:spacing w:before="19" w:after="0" w:line="278" w:lineRule="auto"/>
              <w:ind w:left="108" w:right="96" w:firstLine="0"/>
              <w:jc w:val="left"/>
              <w:rPr>
                <w:sz w:val="21"/>
              </w:rPr>
            </w:pPr>
            <w:r>
              <w:rPr>
                <w:spacing w:val="-5"/>
                <w:w w:val="95"/>
                <w:sz w:val="21"/>
              </w:rPr>
              <w:t xml:space="preserve">监测项目：施工结束后，施工现场的弃土、石、渣等固废处理和生 </w:t>
            </w:r>
            <w:r>
              <w:rPr>
                <w:spacing w:val="-5"/>
                <w:sz w:val="21"/>
              </w:rPr>
              <w:t>态环境恢复情况。</w:t>
            </w:r>
          </w:p>
          <w:p>
            <w:pPr>
              <w:pStyle w:val="14"/>
              <w:numPr>
                <w:ilvl w:val="0"/>
                <w:numId w:val="49"/>
              </w:numPr>
              <w:tabs>
                <w:tab w:val="left" w:pos="268"/>
              </w:tabs>
              <w:spacing w:before="0" w:after="0" w:line="269" w:lineRule="exact"/>
              <w:ind w:left="267" w:right="0" w:hanging="160"/>
              <w:jc w:val="left"/>
              <w:rPr>
                <w:sz w:val="21"/>
              </w:rPr>
            </w:pPr>
            <w:r>
              <w:rPr>
                <w:spacing w:val="-5"/>
                <w:sz w:val="21"/>
              </w:rPr>
              <w:t xml:space="preserve">监测频率：施工结束后 </w:t>
            </w:r>
            <w:r>
              <w:rPr>
                <w:rFonts w:ascii="Times New Roman" w:eastAsia="Times New Roman"/>
                <w:sz w:val="21"/>
              </w:rPr>
              <w:t>1</w:t>
            </w:r>
            <w:r>
              <w:rPr>
                <w:rFonts w:ascii="Times New Roman" w:eastAsia="Times New Roman"/>
                <w:spacing w:val="1"/>
                <w:sz w:val="21"/>
              </w:rPr>
              <w:t xml:space="preserve"> </w:t>
            </w:r>
            <w:r>
              <w:rPr>
                <w:sz w:val="21"/>
              </w:rPr>
              <w:t>次。</w:t>
            </w:r>
          </w:p>
          <w:p>
            <w:pPr>
              <w:pStyle w:val="14"/>
              <w:numPr>
                <w:ilvl w:val="0"/>
                <w:numId w:val="49"/>
              </w:numPr>
              <w:tabs>
                <w:tab w:val="left" w:pos="268"/>
              </w:tabs>
              <w:spacing w:before="43" w:after="0" w:line="240" w:lineRule="auto"/>
              <w:ind w:left="267" w:right="0" w:hanging="160"/>
              <w:jc w:val="left"/>
              <w:rPr>
                <w:sz w:val="21"/>
              </w:rPr>
            </w:pPr>
            <w:r>
              <w:rPr>
                <w:sz w:val="21"/>
              </w:rPr>
              <w:t>监测点：各施工区。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609" w:type="dxa"/>
          </w:tcPr>
          <w:p>
            <w:pPr>
              <w:pStyle w:val="14"/>
              <w:spacing w:before="1"/>
              <w:jc w:val="left"/>
              <w:rPr>
                <w:b/>
                <w:sz w:val="27"/>
              </w:rPr>
            </w:pPr>
          </w:p>
          <w:p>
            <w:pPr>
              <w:pStyle w:val="14"/>
              <w:ind w:left="252"/>
              <w:jc w:val="left"/>
              <w:rPr>
                <w:rFonts w:ascii="Times New Roman"/>
                <w:sz w:val="21"/>
              </w:rPr>
            </w:pPr>
            <w:r>
              <w:rPr>
                <w:rFonts w:ascii="Times New Roman"/>
                <w:w w:val="99"/>
                <w:sz w:val="21"/>
              </w:rPr>
              <w:t>2</w:t>
            </w:r>
          </w:p>
        </w:tc>
        <w:tc>
          <w:tcPr>
            <w:tcW w:w="1690" w:type="dxa"/>
          </w:tcPr>
          <w:p>
            <w:pPr>
              <w:pStyle w:val="14"/>
              <w:jc w:val="left"/>
              <w:rPr>
                <w:b/>
                <w:sz w:val="26"/>
              </w:rPr>
            </w:pPr>
          </w:p>
          <w:p>
            <w:pPr>
              <w:pStyle w:val="14"/>
              <w:ind w:left="88" w:right="79"/>
              <w:rPr>
                <w:sz w:val="21"/>
              </w:rPr>
            </w:pPr>
            <w:r>
              <w:rPr>
                <w:sz w:val="21"/>
              </w:rPr>
              <w:t>土壤侵蚀</w:t>
            </w:r>
          </w:p>
        </w:tc>
        <w:tc>
          <w:tcPr>
            <w:tcW w:w="6421" w:type="dxa"/>
          </w:tcPr>
          <w:p>
            <w:pPr>
              <w:pStyle w:val="14"/>
              <w:numPr>
                <w:ilvl w:val="0"/>
                <w:numId w:val="50"/>
              </w:numPr>
              <w:tabs>
                <w:tab w:val="left" w:pos="268"/>
              </w:tabs>
              <w:spacing w:before="21" w:after="0" w:line="240" w:lineRule="auto"/>
              <w:ind w:left="267" w:right="0" w:hanging="160"/>
              <w:jc w:val="left"/>
              <w:rPr>
                <w:sz w:val="21"/>
              </w:rPr>
            </w:pPr>
            <w:r>
              <w:rPr>
                <w:sz w:val="21"/>
              </w:rPr>
              <w:t>监测项目：土壤侵蚀类型、侵蚀量。</w:t>
            </w:r>
          </w:p>
          <w:p>
            <w:pPr>
              <w:pStyle w:val="14"/>
              <w:numPr>
                <w:ilvl w:val="0"/>
                <w:numId w:val="50"/>
              </w:numPr>
              <w:tabs>
                <w:tab w:val="left" w:pos="268"/>
              </w:tabs>
              <w:spacing w:before="43" w:after="0" w:line="240" w:lineRule="auto"/>
              <w:ind w:left="267" w:right="0" w:hanging="160"/>
              <w:jc w:val="left"/>
              <w:rPr>
                <w:sz w:val="21"/>
              </w:rPr>
            </w:pPr>
            <w:r>
              <w:rPr>
                <w:spacing w:val="-7"/>
                <w:sz w:val="21"/>
              </w:rPr>
              <w:t xml:space="preserve">监测频率：每年 </w:t>
            </w:r>
            <w:r>
              <w:rPr>
                <w:rFonts w:ascii="Times New Roman" w:eastAsia="Times New Roman"/>
                <w:sz w:val="21"/>
              </w:rPr>
              <w:t>1</w:t>
            </w:r>
            <w:r>
              <w:rPr>
                <w:rFonts w:ascii="Times New Roman" w:eastAsia="Times New Roman"/>
                <w:spacing w:val="-1"/>
                <w:sz w:val="21"/>
              </w:rPr>
              <w:t xml:space="preserve"> </w:t>
            </w:r>
            <w:r>
              <w:rPr>
                <w:sz w:val="21"/>
              </w:rPr>
              <w:t>次。</w:t>
            </w:r>
          </w:p>
          <w:p>
            <w:pPr>
              <w:pStyle w:val="14"/>
              <w:numPr>
                <w:ilvl w:val="0"/>
                <w:numId w:val="50"/>
              </w:numPr>
              <w:tabs>
                <w:tab w:val="left" w:pos="268"/>
              </w:tabs>
              <w:spacing w:before="43" w:after="0" w:line="240" w:lineRule="auto"/>
              <w:ind w:left="267" w:right="0" w:hanging="160"/>
              <w:jc w:val="left"/>
              <w:rPr>
                <w:sz w:val="21"/>
              </w:rPr>
            </w:pPr>
            <w:r>
              <w:rPr>
                <w:spacing w:val="-6"/>
                <w:sz w:val="21"/>
              </w:rPr>
              <w:t xml:space="preserve">监测点：施工区域 </w:t>
            </w:r>
            <w:r>
              <w:rPr>
                <w:rFonts w:ascii="Times New Roman" w:eastAsia="Times New Roman"/>
                <w:sz w:val="21"/>
              </w:rPr>
              <w:t>3</w:t>
            </w:r>
            <w:r>
              <w:rPr>
                <w:sz w:val="21"/>
              </w:rPr>
              <w:t>～</w:t>
            </w:r>
            <w:r>
              <w:rPr>
                <w:rFonts w:ascii="Times New Roman" w:eastAsia="Times New Roman"/>
                <w:sz w:val="21"/>
              </w:rPr>
              <w:t>5</w:t>
            </w:r>
            <w:r>
              <w:rPr>
                <w:rFonts w:ascii="Times New Roman" w:eastAsia="Times New Roman"/>
                <w:spacing w:val="1"/>
                <w:sz w:val="21"/>
              </w:rPr>
              <w:t xml:space="preserve"> </w:t>
            </w:r>
            <w:r>
              <w:rPr>
                <w:sz w:val="21"/>
              </w:rPr>
              <w:t>个代表点。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609" w:type="dxa"/>
          </w:tcPr>
          <w:p>
            <w:pPr>
              <w:pStyle w:val="14"/>
              <w:jc w:val="left"/>
              <w:rPr>
                <w:b/>
                <w:sz w:val="27"/>
              </w:rPr>
            </w:pPr>
          </w:p>
          <w:p>
            <w:pPr>
              <w:pStyle w:val="14"/>
              <w:spacing w:before="1"/>
              <w:ind w:left="252"/>
              <w:jc w:val="left"/>
              <w:rPr>
                <w:rFonts w:ascii="Times New Roman"/>
                <w:sz w:val="21"/>
              </w:rPr>
            </w:pPr>
            <w:r>
              <w:rPr>
                <w:rFonts w:ascii="Times New Roman"/>
                <w:w w:val="99"/>
                <w:sz w:val="21"/>
              </w:rPr>
              <w:t>3</w:t>
            </w:r>
          </w:p>
        </w:tc>
        <w:tc>
          <w:tcPr>
            <w:tcW w:w="1690" w:type="dxa"/>
          </w:tcPr>
          <w:p>
            <w:pPr>
              <w:pStyle w:val="14"/>
              <w:spacing w:before="12"/>
              <w:jc w:val="left"/>
              <w:rPr>
                <w:b/>
                <w:sz w:val="25"/>
              </w:rPr>
            </w:pPr>
          </w:p>
          <w:p>
            <w:pPr>
              <w:pStyle w:val="14"/>
              <w:ind w:left="88" w:right="82"/>
              <w:rPr>
                <w:sz w:val="21"/>
              </w:rPr>
            </w:pPr>
            <w:r>
              <w:rPr>
                <w:sz w:val="21"/>
              </w:rPr>
              <w:t>植被</w:t>
            </w:r>
          </w:p>
        </w:tc>
        <w:tc>
          <w:tcPr>
            <w:tcW w:w="6421" w:type="dxa"/>
          </w:tcPr>
          <w:p>
            <w:pPr>
              <w:pStyle w:val="14"/>
              <w:numPr>
                <w:ilvl w:val="0"/>
                <w:numId w:val="51"/>
              </w:numPr>
              <w:tabs>
                <w:tab w:val="left" w:pos="268"/>
              </w:tabs>
              <w:spacing w:before="21" w:after="0" w:line="240" w:lineRule="auto"/>
              <w:ind w:left="267" w:right="0" w:hanging="160"/>
              <w:jc w:val="left"/>
              <w:rPr>
                <w:sz w:val="21"/>
              </w:rPr>
            </w:pPr>
            <w:r>
              <w:rPr>
                <w:sz w:val="21"/>
              </w:rPr>
              <w:t>监测项目：植被类型，植物种类、草群高度、盖度、生物量。</w:t>
            </w:r>
          </w:p>
          <w:p>
            <w:pPr>
              <w:pStyle w:val="14"/>
              <w:numPr>
                <w:ilvl w:val="0"/>
                <w:numId w:val="51"/>
              </w:numPr>
              <w:tabs>
                <w:tab w:val="left" w:pos="268"/>
              </w:tabs>
              <w:spacing w:before="42" w:after="0" w:line="240" w:lineRule="auto"/>
              <w:ind w:left="267" w:right="0" w:hanging="160"/>
              <w:jc w:val="left"/>
              <w:rPr>
                <w:sz w:val="21"/>
              </w:rPr>
            </w:pPr>
            <w:r>
              <w:rPr>
                <w:spacing w:val="-7"/>
                <w:sz w:val="21"/>
              </w:rPr>
              <w:t xml:space="preserve">监测频率：每年 </w:t>
            </w:r>
            <w:r>
              <w:rPr>
                <w:rFonts w:ascii="Times New Roman" w:eastAsia="Times New Roman"/>
                <w:sz w:val="21"/>
              </w:rPr>
              <w:t>1</w:t>
            </w:r>
            <w:r>
              <w:rPr>
                <w:rFonts w:ascii="Times New Roman" w:eastAsia="Times New Roman"/>
                <w:spacing w:val="-1"/>
                <w:sz w:val="21"/>
              </w:rPr>
              <w:t xml:space="preserve"> </w:t>
            </w:r>
            <w:r>
              <w:rPr>
                <w:sz w:val="21"/>
              </w:rPr>
              <w:t>次。</w:t>
            </w:r>
          </w:p>
          <w:p>
            <w:pPr>
              <w:pStyle w:val="14"/>
              <w:numPr>
                <w:ilvl w:val="0"/>
                <w:numId w:val="51"/>
              </w:numPr>
              <w:tabs>
                <w:tab w:val="left" w:pos="268"/>
              </w:tabs>
              <w:spacing w:before="43" w:after="0" w:line="240" w:lineRule="auto"/>
              <w:ind w:left="267" w:right="0" w:hanging="160"/>
              <w:jc w:val="left"/>
              <w:rPr>
                <w:sz w:val="21"/>
              </w:rPr>
            </w:pPr>
            <w:r>
              <w:rPr>
                <w:spacing w:val="-6"/>
                <w:sz w:val="21"/>
              </w:rPr>
              <w:t xml:space="preserve">监测点：项目实施区 </w:t>
            </w:r>
            <w:r>
              <w:rPr>
                <w:rFonts w:ascii="Times New Roman" w:eastAsia="Times New Roman"/>
                <w:sz w:val="21"/>
              </w:rPr>
              <w:t>3</w:t>
            </w:r>
            <w:r>
              <w:rPr>
                <w:sz w:val="21"/>
              </w:rPr>
              <w:t>～</w:t>
            </w:r>
            <w:r>
              <w:rPr>
                <w:rFonts w:ascii="Times New Roman" w:eastAsia="Times New Roman"/>
                <w:sz w:val="21"/>
              </w:rPr>
              <w:t>5</w:t>
            </w:r>
            <w:r>
              <w:rPr>
                <w:rFonts w:ascii="Times New Roman" w:eastAsia="Times New Roman"/>
                <w:spacing w:val="-1"/>
                <w:sz w:val="21"/>
              </w:rPr>
              <w:t xml:space="preserve"> </w:t>
            </w:r>
            <w:r>
              <w:rPr>
                <w:sz w:val="21"/>
              </w:rPr>
              <w:t>个点。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609" w:type="dxa"/>
          </w:tcPr>
          <w:p>
            <w:pPr>
              <w:pStyle w:val="14"/>
              <w:jc w:val="left"/>
              <w:rPr>
                <w:b/>
                <w:sz w:val="27"/>
              </w:rPr>
            </w:pPr>
          </w:p>
          <w:p>
            <w:pPr>
              <w:pStyle w:val="14"/>
              <w:ind w:left="252"/>
              <w:jc w:val="left"/>
              <w:rPr>
                <w:rFonts w:ascii="Times New Roman"/>
                <w:sz w:val="21"/>
              </w:rPr>
            </w:pPr>
            <w:r>
              <w:rPr>
                <w:rFonts w:ascii="Times New Roman"/>
                <w:w w:val="99"/>
                <w:sz w:val="21"/>
              </w:rPr>
              <w:t>4</w:t>
            </w:r>
          </w:p>
        </w:tc>
        <w:tc>
          <w:tcPr>
            <w:tcW w:w="1690" w:type="dxa"/>
          </w:tcPr>
          <w:p>
            <w:pPr>
              <w:pStyle w:val="14"/>
              <w:spacing w:before="12"/>
              <w:jc w:val="left"/>
              <w:rPr>
                <w:b/>
                <w:sz w:val="25"/>
              </w:rPr>
            </w:pPr>
          </w:p>
          <w:p>
            <w:pPr>
              <w:pStyle w:val="14"/>
              <w:ind w:left="88" w:right="79"/>
              <w:rPr>
                <w:sz w:val="21"/>
              </w:rPr>
            </w:pPr>
            <w:r>
              <w:rPr>
                <w:sz w:val="21"/>
              </w:rPr>
              <w:t>土壤环境</w:t>
            </w:r>
          </w:p>
        </w:tc>
        <w:tc>
          <w:tcPr>
            <w:tcW w:w="6421" w:type="dxa"/>
          </w:tcPr>
          <w:p>
            <w:pPr>
              <w:pStyle w:val="14"/>
              <w:numPr>
                <w:ilvl w:val="0"/>
                <w:numId w:val="52"/>
              </w:numPr>
              <w:tabs>
                <w:tab w:val="left" w:pos="268"/>
              </w:tabs>
              <w:spacing w:before="20" w:after="0" w:line="240" w:lineRule="auto"/>
              <w:ind w:left="267" w:right="0" w:hanging="160"/>
              <w:jc w:val="left"/>
              <w:rPr>
                <w:sz w:val="21"/>
              </w:rPr>
            </w:pPr>
            <w:r>
              <w:rPr>
                <w:sz w:val="21"/>
              </w:rPr>
              <w:t>监测项目：</w:t>
            </w:r>
            <w:r>
              <w:rPr>
                <w:rFonts w:ascii="Times New Roman" w:eastAsia="Times New Roman"/>
                <w:sz w:val="21"/>
              </w:rPr>
              <w:t>pH</w:t>
            </w:r>
            <w:r>
              <w:rPr>
                <w:spacing w:val="-8"/>
                <w:sz w:val="21"/>
              </w:rPr>
              <w:t xml:space="preserve">、有机质、全 </w:t>
            </w:r>
            <w:r>
              <w:rPr>
                <w:rFonts w:ascii="Times New Roman" w:eastAsia="Times New Roman"/>
                <w:sz w:val="21"/>
              </w:rPr>
              <w:t>N</w:t>
            </w:r>
            <w:r>
              <w:rPr>
                <w:spacing w:val="-14"/>
                <w:sz w:val="21"/>
              </w:rPr>
              <w:t xml:space="preserve">、有效 </w:t>
            </w:r>
            <w:r>
              <w:rPr>
                <w:rFonts w:ascii="Times New Roman" w:eastAsia="Times New Roman"/>
                <w:sz w:val="21"/>
              </w:rPr>
              <w:t>P</w:t>
            </w:r>
            <w:r>
              <w:rPr>
                <w:sz w:val="21"/>
              </w:rPr>
              <w:t>、</w:t>
            </w:r>
            <w:r>
              <w:rPr>
                <w:rFonts w:ascii="Times New Roman" w:eastAsia="Times New Roman"/>
                <w:sz w:val="21"/>
              </w:rPr>
              <w:t>K</w:t>
            </w:r>
            <w:r>
              <w:rPr>
                <w:sz w:val="21"/>
              </w:rPr>
              <w:t>。</w:t>
            </w:r>
          </w:p>
          <w:p>
            <w:pPr>
              <w:pStyle w:val="14"/>
              <w:numPr>
                <w:ilvl w:val="0"/>
                <w:numId w:val="52"/>
              </w:numPr>
              <w:tabs>
                <w:tab w:val="left" w:pos="268"/>
              </w:tabs>
              <w:spacing w:before="43" w:after="0" w:line="240" w:lineRule="auto"/>
              <w:ind w:left="267" w:right="0" w:hanging="160"/>
              <w:jc w:val="left"/>
              <w:rPr>
                <w:sz w:val="21"/>
              </w:rPr>
            </w:pPr>
            <w:r>
              <w:rPr>
                <w:spacing w:val="-7"/>
                <w:sz w:val="21"/>
              </w:rPr>
              <w:t xml:space="preserve">监测频率：每年 </w:t>
            </w:r>
            <w:r>
              <w:rPr>
                <w:rFonts w:ascii="Times New Roman" w:eastAsia="Times New Roman"/>
                <w:sz w:val="21"/>
              </w:rPr>
              <w:t>1</w:t>
            </w:r>
            <w:r>
              <w:rPr>
                <w:rFonts w:ascii="Times New Roman" w:eastAsia="Times New Roman"/>
                <w:spacing w:val="-1"/>
                <w:sz w:val="21"/>
              </w:rPr>
              <w:t xml:space="preserve"> </w:t>
            </w:r>
            <w:r>
              <w:rPr>
                <w:sz w:val="21"/>
              </w:rPr>
              <w:t>次。</w:t>
            </w:r>
          </w:p>
          <w:p>
            <w:pPr>
              <w:pStyle w:val="14"/>
              <w:numPr>
                <w:ilvl w:val="0"/>
                <w:numId w:val="52"/>
              </w:numPr>
              <w:tabs>
                <w:tab w:val="left" w:pos="268"/>
              </w:tabs>
              <w:spacing w:before="43" w:after="0" w:line="240" w:lineRule="auto"/>
              <w:ind w:left="267" w:right="0" w:hanging="160"/>
              <w:jc w:val="left"/>
              <w:rPr>
                <w:sz w:val="21"/>
              </w:rPr>
            </w:pPr>
            <w:r>
              <w:rPr>
                <w:spacing w:val="-6"/>
                <w:sz w:val="21"/>
              </w:rPr>
              <w:t xml:space="preserve">监测点：项目实施区 </w:t>
            </w:r>
            <w:r>
              <w:rPr>
                <w:rFonts w:ascii="Times New Roman" w:eastAsia="Times New Roman"/>
                <w:sz w:val="21"/>
              </w:rPr>
              <w:t>3</w:t>
            </w:r>
            <w:r>
              <w:rPr>
                <w:sz w:val="21"/>
              </w:rPr>
              <w:t>～</w:t>
            </w:r>
            <w:r>
              <w:rPr>
                <w:rFonts w:ascii="Times New Roman" w:eastAsia="Times New Roman"/>
                <w:sz w:val="21"/>
              </w:rPr>
              <w:t>5</w:t>
            </w:r>
            <w:r>
              <w:rPr>
                <w:rFonts w:ascii="Times New Roman" w:eastAsia="Times New Roman"/>
                <w:spacing w:val="-1"/>
                <w:sz w:val="21"/>
              </w:rPr>
              <w:t xml:space="preserve"> </w:t>
            </w:r>
            <w:r>
              <w:rPr>
                <w:sz w:val="21"/>
              </w:rPr>
              <w:t>个点。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609" w:type="dxa"/>
          </w:tcPr>
          <w:p>
            <w:pPr>
              <w:pStyle w:val="14"/>
              <w:jc w:val="left"/>
              <w:rPr>
                <w:b/>
                <w:sz w:val="27"/>
              </w:rPr>
            </w:pPr>
          </w:p>
          <w:p>
            <w:pPr>
              <w:pStyle w:val="14"/>
              <w:ind w:left="252"/>
              <w:jc w:val="left"/>
              <w:rPr>
                <w:rFonts w:ascii="Times New Roman"/>
                <w:sz w:val="21"/>
              </w:rPr>
            </w:pPr>
            <w:r>
              <w:rPr>
                <w:rFonts w:ascii="Times New Roman"/>
                <w:w w:val="99"/>
                <w:sz w:val="21"/>
              </w:rPr>
              <w:t>5</w:t>
            </w:r>
          </w:p>
        </w:tc>
        <w:tc>
          <w:tcPr>
            <w:tcW w:w="1690" w:type="dxa"/>
          </w:tcPr>
          <w:p>
            <w:pPr>
              <w:pStyle w:val="14"/>
              <w:spacing w:before="11"/>
              <w:jc w:val="left"/>
              <w:rPr>
                <w:b/>
                <w:sz w:val="25"/>
              </w:rPr>
            </w:pPr>
          </w:p>
          <w:p>
            <w:pPr>
              <w:pStyle w:val="14"/>
              <w:ind w:left="88" w:right="82"/>
              <w:rPr>
                <w:sz w:val="21"/>
              </w:rPr>
            </w:pPr>
            <w:r>
              <w:rPr>
                <w:sz w:val="21"/>
              </w:rPr>
              <w:t>建筑物变形情况</w:t>
            </w:r>
          </w:p>
        </w:tc>
        <w:tc>
          <w:tcPr>
            <w:tcW w:w="6421" w:type="dxa"/>
          </w:tcPr>
          <w:p>
            <w:pPr>
              <w:pStyle w:val="14"/>
              <w:numPr>
                <w:ilvl w:val="0"/>
                <w:numId w:val="53"/>
              </w:numPr>
              <w:tabs>
                <w:tab w:val="left" w:pos="268"/>
              </w:tabs>
              <w:spacing w:before="20" w:after="0" w:line="240" w:lineRule="auto"/>
              <w:ind w:left="267" w:right="0" w:hanging="160"/>
              <w:jc w:val="left"/>
              <w:rPr>
                <w:sz w:val="21"/>
              </w:rPr>
            </w:pPr>
            <w:r>
              <w:rPr>
                <w:sz w:val="21"/>
              </w:rPr>
              <w:t>监测项目：村民房屋</w:t>
            </w:r>
          </w:p>
          <w:p>
            <w:pPr>
              <w:pStyle w:val="14"/>
              <w:numPr>
                <w:ilvl w:val="0"/>
                <w:numId w:val="53"/>
              </w:numPr>
              <w:tabs>
                <w:tab w:val="left" w:pos="268"/>
              </w:tabs>
              <w:spacing w:before="43" w:after="0" w:line="240" w:lineRule="auto"/>
              <w:ind w:left="267" w:right="0" w:hanging="160"/>
              <w:jc w:val="left"/>
              <w:rPr>
                <w:sz w:val="21"/>
              </w:rPr>
            </w:pPr>
            <w:r>
              <w:rPr>
                <w:spacing w:val="-7"/>
                <w:sz w:val="21"/>
              </w:rPr>
              <w:t xml:space="preserve">监测频率：每年 </w:t>
            </w:r>
            <w:r>
              <w:rPr>
                <w:rFonts w:ascii="Times New Roman" w:eastAsia="Times New Roman"/>
                <w:sz w:val="21"/>
              </w:rPr>
              <w:t>1</w:t>
            </w:r>
            <w:r>
              <w:rPr>
                <w:rFonts w:ascii="Times New Roman" w:eastAsia="Times New Roman"/>
                <w:spacing w:val="-1"/>
                <w:sz w:val="21"/>
              </w:rPr>
              <w:t xml:space="preserve"> </w:t>
            </w:r>
            <w:r>
              <w:rPr>
                <w:sz w:val="21"/>
              </w:rPr>
              <w:t>次。</w:t>
            </w:r>
          </w:p>
          <w:p>
            <w:pPr>
              <w:pStyle w:val="14"/>
              <w:numPr>
                <w:ilvl w:val="0"/>
                <w:numId w:val="53"/>
              </w:numPr>
              <w:tabs>
                <w:tab w:val="left" w:pos="268"/>
              </w:tabs>
              <w:spacing w:before="43" w:after="0" w:line="240" w:lineRule="auto"/>
              <w:ind w:left="267" w:right="0" w:hanging="160"/>
              <w:jc w:val="left"/>
              <w:rPr>
                <w:sz w:val="21"/>
              </w:rPr>
            </w:pPr>
            <w:r>
              <w:rPr>
                <w:sz w:val="21"/>
              </w:rPr>
              <w:t>监测点：周边村庄</w:t>
            </w:r>
          </w:p>
        </w:tc>
      </w:tr>
    </w:tbl>
    <w:p>
      <w:pPr>
        <w:spacing w:after="0" w:line="240" w:lineRule="auto"/>
        <w:jc w:val="left"/>
        <w:rPr>
          <w:sz w:val="21"/>
        </w:rPr>
        <w:sectPr>
          <w:pgSz w:w="11910" w:h="16840"/>
          <w:pgMar w:top="1440" w:right="780" w:bottom="1180" w:left="1200" w:header="0" w:footer="997" w:gutter="0"/>
        </w:sectPr>
      </w:pPr>
    </w:p>
    <w:tbl>
      <w:tblPr>
        <w:tblStyle w:val="10"/>
        <w:tblW w:w="0" w:type="auto"/>
        <w:tblInd w:w="3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9"/>
        <w:gridCol w:w="1690"/>
        <w:gridCol w:w="64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609" w:type="dxa"/>
          </w:tcPr>
          <w:p>
            <w:pPr>
              <w:pStyle w:val="14"/>
              <w:spacing w:before="1"/>
              <w:jc w:val="left"/>
              <w:rPr>
                <w:b/>
                <w:sz w:val="27"/>
              </w:rPr>
            </w:pPr>
          </w:p>
          <w:p>
            <w:pPr>
              <w:pStyle w:val="14"/>
              <w:ind w:left="10"/>
              <w:rPr>
                <w:rFonts w:ascii="Times New Roman"/>
                <w:sz w:val="21"/>
              </w:rPr>
            </w:pPr>
            <w:r>
              <w:rPr>
                <w:rFonts w:ascii="Times New Roman"/>
                <w:w w:val="99"/>
                <w:sz w:val="21"/>
              </w:rPr>
              <w:t>6</w:t>
            </w:r>
          </w:p>
        </w:tc>
        <w:tc>
          <w:tcPr>
            <w:tcW w:w="1690" w:type="dxa"/>
          </w:tcPr>
          <w:p>
            <w:pPr>
              <w:pStyle w:val="14"/>
              <w:spacing w:before="177" w:line="278" w:lineRule="auto"/>
              <w:ind w:left="425" w:right="414"/>
              <w:jc w:val="left"/>
              <w:rPr>
                <w:sz w:val="21"/>
              </w:rPr>
            </w:pPr>
            <w:r>
              <w:rPr>
                <w:sz w:val="21"/>
              </w:rPr>
              <w:t>环保工程竣工验收</w:t>
            </w:r>
          </w:p>
        </w:tc>
        <w:tc>
          <w:tcPr>
            <w:tcW w:w="6421" w:type="dxa"/>
          </w:tcPr>
          <w:p>
            <w:pPr>
              <w:pStyle w:val="14"/>
              <w:numPr>
                <w:ilvl w:val="0"/>
                <w:numId w:val="54"/>
              </w:numPr>
              <w:tabs>
                <w:tab w:val="left" w:pos="268"/>
              </w:tabs>
              <w:spacing w:before="21" w:after="0" w:line="240" w:lineRule="auto"/>
              <w:ind w:left="267" w:right="0" w:hanging="160"/>
              <w:jc w:val="left"/>
              <w:rPr>
                <w:sz w:val="21"/>
              </w:rPr>
            </w:pPr>
            <w:r>
              <w:rPr>
                <w:sz w:val="21"/>
              </w:rPr>
              <w:t>监测项目：植被恢复和建设等生态环保措施落实情况。</w:t>
            </w:r>
          </w:p>
          <w:p>
            <w:pPr>
              <w:pStyle w:val="14"/>
              <w:numPr>
                <w:ilvl w:val="0"/>
                <w:numId w:val="54"/>
              </w:numPr>
              <w:tabs>
                <w:tab w:val="left" w:pos="268"/>
              </w:tabs>
              <w:spacing w:before="43" w:after="0" w:line="240" w:lineRule="auto"/>
              <w:ind w:left="267" w:right="0" w:hanging="160"/>
              <w:jc w:val="left"/>
              <w:rPr>
                <w:sz w:val="21"/>
              </w:rPr>
            </w:pPr>
            <w:r>
              <w:rPr>
                <w:sz w:val="21"/>
              </w:rPr>
              <w:t>监测频率：</w:t>
            </w:r>
            <w:r>
              <w:rPr>
                <w:rFonts w:ascii="Times New Roman" w:eastAsia="Times New Roman"/>
                <w:sz w:val="21"/>
              </w:rPr>
              <w:t>1</w:t>
            </w:r>
            <w:r>
              <w:rPr>
                <w:rFonts w:ascii="Times New Roman" w:eastAsia="Times New Roman"/>
                <w:spacing w:val="-2"/>
                <w:sz w:val="21"/>
              </w:rPr>
              <w:t xml:space="preserve"> </w:t>
            </w:r>
            <w:r>
              <w:rPr>
                <w:sz w:val="21"/>
              </w:rPr>
              <w:t>次。</w:t>
            </w:r>
          </w:p>
          <w:p>
            <w:pPr>
              <w:pStyle w:val="14"/>
              <w:numPr>
                <w:ilvl w:val="0"/>
                <w:numId w:val="54"/>
              </w:numPr>
              <w:tabs>
                <w:tab w:val="left" w:pos="268"/>
              </w:tabs>
              <w:spacing w:before="43" w:after="0" w:line="240" w:lineRule="auto"/>
              <w:ind w:left="267" w:right="0" w:hanging="160"/>
              <w:jc w:val="left"/>
              <w:rPr>
                <w:sz w:val="21"/>
              </w:rPr>
            </w:pPr>
            <w:r>
              <w:rPr>
                <w:sz w:val="21"/>
              </w:rPr>
              <w:t>监测地点：项目所涉及区域。</w:t>
            </w:r>
          </w:p>
        </w:tc>
      </w:tr>
    </w:tbl>
    <w:p>
      <w:pPr>
        <w:pStyle w:val="6"/>
        <w:spacing w:before="82" w:line="364" w:lineRule="auto"/>
        <w:ind w:left="551" w:right="973" w:firstLine="480"/>
        <w:jc w:val="both"/>
      </w:pPr>
      <w:r>
        <w:t>生态环境监管是政府环境保护机构依据国家和地方制订的有关自然资源和生态保护的法律、法规、条例、技术规范、标准等所进行的行政工作，应成为本项目日常工作的一个重要组成部分。</w:t>
      </w:r>
    </w:p>
    <w:p>
      <w:pPr>
        <w:pStyle w:val="4"/>
        <w:numPr>
          <w:ilvl w:val="2"/>
          <w:numId w:val="42"/>
        </w:numPr>
        <w:tabs>
          <w:tab w:val="left" w:pos="1181"/>
        </w:tabs>
        <w:spacing w:before="0" w:after="0" w:line="282" w:lineRule="exact"/>
        <w:ind w:left="1180" w:right="0" w:hanging="630"/>
        <w:jc w:val="left"/>
      </w:pPr>
      <w:bookmarkStart w:id="200" w:name="5.5.8生态管理指标"/>
      <w:bookmarkEnd w:id="200"/>
      <w:bookmarkStart w:id="201" w:name="5.5.8生态管理指标"/>
      <w:bookmarkEnd w:id="201"/>
      <w:r>
        <w:t>生态管理指标</w:t>
      </w:r>
    </w:p>
    <w:p>
      <w:pPr>
        <w:pStyle w:val="6"/>
        <w:spacing w:before="262" w:line="364" w:lineRule="auto"/>
        <w:ind w:left="551" w:right="973" w:firstLine="480"/>
      </w:pPr>
      <w:r>
        <w:t>评价根据项目区自然环境条件以及生态系统各要素的特征，提出如下管理指标：</w:t>
      </w:r>
    </w:p>
    <w:p>
      <w:pPr>
        <w:pStyle w:val="6"/>
        <w:spacing w:before="1"/>
        <w:ind w:left="1031"/>
      </w:pPr>
      <w:bookmarkStart w:id="202" w:name="（1）因项目建设减少的生物量损失在3～4年间完全得到补偿；"/>
      <w:bookmarkEnd w:id="202"/>
      <w:r>
        <w:t>（</w:t>
      </w:r>
      <w:r>
        <w:rPr>
          <w:rFonts w:ascii="Times New Roman" w:eastAsia="Times New Roman"/>
        </w:rPr>
        <w:t>1</w:t>
      </w:r>
      <w:r>
        <w:t xml:space="preserve">）因项目建设减少的生物量损失在 </w:t>
      </w:r>
      <w:r>
        <w:rPr>
          <w:rFonts w:ascii="Times New Roman" w:eastAsia="Times New Roman"/>
        </w:rPr>
        <w:t>3</w:t>
      </w:r>
      <w:r>
        <w:t>～</w:t>
      </w:r>
      <w:r>
        <w:rPr>
          <w:rFonts w:ascii="Times New Roman" w:eastAsia="Times New Roman"/>
        </w:rPr>
        <w:t xml:space="preserve">4 </w:t>
      </w:r>
      <w:r>
        <w:t>年间完全得到补偿；</w:t>
      </w:r>
    </w:p>
    <w:p>
      <w:pPr>
        <w:pStyle w:val="6"/>
        <w:spacing w:before="161"/>
        <w:ind w:left="1031"/>
      </w:pPr>
      <w:r>
        <w:t>（</w:t>
      </w:r>
      <w:r>
        <w:rPr>
          <w:rFonts w:ascii="Times New Roman" w:eastAsia="Times New Roman"/>
        </w:rPr>
        <w:t>2</w:t>
      </w:r>
      <w:r>
        <w:t>）</w:t>
      </w:r>
      <w:r>
        <w:rPr>
          <w:rFonts w:ascii="Times New Roman" w:eastAsia="Times New Roman"/>
        </w:rPr>
        <w:t xml:space="preserve">5 </w:t>
      </w:r>
      <w:r>
        <w:t xml:space="preserve">年后水土流失强度维持现有水平，水土流失总治理度达到 </w:t>
      </w:r>
      <w:r>
        <w:rPr>
          <w:rFonts w:ascii="Times New Roman" w:eastAsia="Times New Roman"/>
        </w:rPr>
        <w:t>100%</w:t>
      </w:r>
      <w:r>
        <w:t>；</w:t>
      </w:r>
    </w:p>
    <w:p>
      <w:pPr>
        <w:pStyle w:val="6"/>
        <w:spacing w:before="160"/>
        <w:ind w:left="1031"/>
      </w:pPr>
      <w:bookmarkStart w:id="203" w:name="（3）沉陷土地整治率达95%以上。"/>
      <w:bookmarkEnd w:id="203"/>
      <w:r>
        <w:t>（</w:t>
      </w:r>
      <w:r>
        <w:rPr>
          <w:rFonts w:ascii="Times New Roman" w:eastAsia="Times New Roman"/>
        </w:rPr>
        <w:t>3</w:t>
      </w:r>
      <w:r>
        <w:t xml:space="preserve">）沉陷土地整治率达 </w:t>
      </w:r>
      <w:r>
        <w:rPr>
          <w:rFonts w:ascii="Times New Roman" w:eastAsia="Times New Roman"/>
        </w:rPr>
        <w:t>95%</w:t>
      </w:r>
      <w:r>
        <w:t>以上。</w:t>
      </w:r>
    </w:p>
    <w:p>
      <w:pPr>
        <w:pStyle w:val="6"/>
        <w:spacing w:before="161"/>
        <w:ind w:left="1031"/>
      </w:pPr>
      <w:r>
        <w:t>定期对井田区域生态现状进行监测分析，优化生态恢复方案。</w:t>
      </w:r>
    </w:p>
    <w:p>
      <w:pPr>
        <w:spacing w:after="0"/>
        <w:sectPr>
          <w:footerReference r:id="rId19" w:type="default"/>
          <w:pgSz w:w="11910" w:h="16840"/>
          <w:pgMar w:top="1420" w:right="780" w:bottom="1100" w:left="1200" w:header="0" w:footer="917" w:gutter="0"/>
          <w:pgNumType w:start="100"/>
        </w:sectPr>
      </w:pPr>
    </w:p>
    <w:p>
      <w:pPr>
        <w:pStyle w:val="2"/>
        <w:spacing w:before="43"/>
        <w:ind w:right="417" w:firstLine="0"/>
        <w:jc w:val="center"/>
      </w:pPr>
      <w:bookmarkStart w:id="204" w:name="_bookmark29"/>
      <w:bookmarkEnd w:id="204"/>
      <w:bookmarkStart w:id="205" w:name="6 .地下水环境影响分析"/>
      <w:bookmarkEnd w:id="205"/>
      <w:r>
        <w:rPr>
          <w:rFonts w:ascii="Times New Roman" w:eastAsia="Times New Roman"/>
        </w:rPr>
        <w:t>6 .</w:t>
      </w:r>
      <w:r>
        <w:t>地下水环境影响分析</w:t>
      </w:r>
    </w:p>
    <w:p>
      <w:pPr>
        <w:pStyle w:val="6"/>
        <w:spacing w:before="7"/>
        <w:rPr>
          <w:b/>
          <w:sz w:val="22"/>
        </w:rPr>
      </w:pPr>
    </w:p>
    <w:p>
      <w:pPr>
        <w:pStyle w:val="3"/>
        <w:numPr>
          <w:ilvl w:val="1"/>
          <w:numId w:val="55"/>
        </w:numPr>
        <w:tabs>
          <w:tab w:val="left" w:pos="1001"/>
        </w:tabs>
        <w:spacing w:before="68" w:after="0" w:line="240" w:lineRule="auto"/>
        <w:ind w:left="1000" w:right="0" w:hanging="450"/>
        <w:jc w:val="left"/>
      </w:pPr>
      <w:bookmarkStart w:id="206" w:name="6.1概述"/>
      <w:bookmarkEnd w:id="206"/>
      <w:bookmarkStart w:id="207" w:name="_bookmark30"/>
      <w:bookmarkEnd w:id="207"/>
      <w:bookmarkStart w:id="208" w:name="_bookmark30"/>
      <w:bookmarkEnd w:id="208"/>
      <w:r>
        <w:t>概述</w:t>
      </w:r>
    </w:p>
    <w:p>
      <w:pPr>
        <w:pStyle w:val="4"/>
        <w:numPr>
          <w:ilvl w:val="2"/>
          <w:numId w:val="55"/>
        </w:numPr>
        <w:tabs>
          <w:tab w:val="left" w:pos="1181"/>
        </w:tabs>
        <w:spacing w:before="279" w:after="0" w:line="240" w:lineRule="auto"/>
        <w:ind w:left="1180" w:right="0" w:hanging="630"/>
        <w:jc w:val="left"/>
      </w:pPr>
      <w:bookmarkStart w:id="209" w:name="6.1.1评价工作等级"/>
      <w:bookmarkEnd w:id="209"/>
      <w:bookmarkStart w:id="210" w:name="6.1.1评价工作等级"/>
      <w:bookmarkEnd w:id="210"/>
      <w:r>
        <w:t>评价工作等级</w:t>
      </w:r>
    </w:p>
    <w:p>
      <w:pPr>
        <w:pStyle w:val="6"/>
        <w:spacing w:before="10"/>
        <w:rPr>
          <w:b/>
          <w:sz w:val="32"/>
        </w:rPr>
      </w:pPr>
    </w:p>
    <w:p>
      <w:pPr>
        <w:pStyle w:val="6"/>
        <w:spacing w:line="364" w:lineRule="auto"/>
        <w:ind w:left="551" w:right="969" w:firstLine="480"/>
        <w:jc w:val="both"/>
      </w:pPr>
      <w:r>
        <w:t>根据《环境影响评价技术导则 地下水环境》（</w:t>
      </w:r>
      <w:r>
        <w:rPr>
          <w:rFonts w:ascii="Times New Roman" w:eastAsia="Times New Roman"/>
        </w:rPr>
        <w:t>HJ 610-2016</w:t>
      </w:r>
      <w:r>
        <w:t xml:space="preserve">）对建设项目地下水评价的要求，根据建设项目行业分类和地下水环境敏感程度分级进行判定， 确定该项目地下水环境影响评价工作等级。详见 </w:t>
      </w:r>
      <w:r>
        <w:rPr>
          <w:rFonts w:ascii="Times New Roman" w:eastAsia="Times New Roman"/>
        </w:rPr>
        <w:t xml:space="preserve">2.4.5 </w:t>
      </w:r>
      <w:r>
        <w:t>章节。</w:t>
      </w:r>
    </w:p>
    <w:p>
      <w:pPr>
        <w:pStyle w:val="4"/>
        <w:numPr>
          <w:ilvl w:val="2"/>
          <w:numId w:val="55"/>
        </w:numPr>
        <w:tabs>
          <w:tab w:val="left" w:pos="1181"/>
        </w:tabs>
        <w:spacing w:before="80" w:after="0" w:line="240" w:lineRule="auto"/>
        <w:ind w:left="1180" w:right="0" w:hanging="630"/>
        <w:jc w:val="left"/>
      </w:pPr>
      <w:bookmarkStart w:id="211" w:name="6.1.2调查评价区范围"/>
      <w:bookmarkEnd w:id="211"/>
      <w:bookmarkStart w:id="212" w:name="6.1.2调查评价区范围"/>
      <w:bookmarkEnd w:id="212"/>
      <w:r>
        <w:t>调查评价区范围</w:t>
      </w:r>
    </w:p>
    <w:p>
      <w:pPr>
        <w:pStyle w:val="6"/>
        <w:spacing w:before="10"/>
        <w:rPr>
          <w:b/>
          <w:sz w:val="32"/>
        </w:rPr>
      </w:pPr>
    </w:p>
    <w:p>
      <w:pPr>
        <w:pStyle w:val="6"/>
        <w:spacing w:line="364" w:lineRule="auto"/>
        <w:ind w:left="551" w:right="973" w:firstLine="480"/>
        <w:jc w:val="both"/>
      </w:pPr>
      <w:r>
        <w:t>参照项目的评价等级，为了说明地下水环境的基本状况，依据项目区周边的地质、水文地质条件和地形、地貌特征，确定项目地下水评价范围，双鸭山大顺矿业有限公司处于低山丘陵地区，矿区地形简单，地势西高东低，井田最高标高</w:t>
      </w:r>
    </w:p>
    <w:p>
      <w:pPr>
        <w:pStyle w:val="6"/>
        <w:spacing w:before="2" w:line="364" w:lineRule="auto"/>
        <w:ind w:left="551" w:right="789"/>
      </w:pPr>
      <w:r>
        <w:rPr>
          <w:rFonts w:ascii="Times New Roman" w:eastAsia="Times New Roman"/>
        </w:rPr>
        <w:t xml:space="preserve">+470 </w:t>
      </w:r>
      <w:r>
        <w:t>米，最低标高</w:t>
      </w:r>
      <w:r>
        <w:rPr>
          <w:rFonts w:ascii="Times New Roman" w:eastAsia="Times New Roman"/>
        </w:rPr>
        <w:t xml:space="preserve">+240 </w:t>
      </w:r>
      <w:r>
        <w:t>米，主井标高</w:t>
      </w:r>
      <w:r>
        <w:rPr>
          <w:rFonts w:ascii="Times New Roman" w:eastAsia="Times New Roman"/>
        </w:rPr>
        <w:t xml:space="preserve">+308.8 </w:t>
      </w:r>
      <w:r>
        <w:t xml:space="preserve">米。安邦河流经矿区范围西部边缘， 为季节性河流。因而本次地下水环境影响评价工作的调查评价范围是以本项目区范围为核心，东西长约 </w:t>
      </w:r>
      <w:r>
        <w:rPr>
          <w:rFonts w:ascii="Times New Roman" w:eastAsia="Times New Roman"/>
        </w:rPr>
        <w:t>7.5km</w:t>
      </w:r>
      <w:r>
        <w:t xml:space="preserve">，南北宽约 </w:t>
      </w:r>
      <w:r>
        <w:rPr>
          <w:rFonts w:ascii="Times New Roman" w:eastAsia="Times New Roman"/>
        </w:rPr>
        <w:t>4km</w:t>
      </w:r>
      <w:r>
        <w:t xml:space="preserve">，面积为 </w:t>
      </w:r>
      <w:r>
        <w:rPr>
          <w:rFonts w:ascii="Times New Roman" w:eastAsia="Times New Roman"/>
        </w:rPr>
        <w:t>30km</w:t>
      </w:r>
      <w:r>
        <w:rPr>
          <w:rFonts w:ascii="Times New Roman" w:eastAsia="Times New Roman"/>
          <w:position w:val="8"/>
          <w:sz w:val="15"/>
        </w:rPr>
        <w:t>2</w:t>
      </w:r>
      <w:r>
        <w:t>。</w:t>
      </w:r>
    </w:p>
    <w:p>
      <w:pPr>
        <w:pStyle w:val="3"/>
        <w:numPr>
          <w:ilvl w:val="1"/>
          <w:numId w:val="55"/>
        </w:numPr>
        <w:tabs>
          <w:tab w:val="left" w:pos="1078"/>
        </w:tabs>
        <w:spacing w:before="40" w:after="0" w:line="240" w:lineRule="auto"/>
        <w:ind w:left="1077" w:right="0" w:hanging="527"/>
        <w:jc w:val="left"/>
      </w:pPr>
      <w:bookmarkStart w:id="213" w:name="6.2 地层和构造"/>
      <w:bookmarkEnd w:id="213"/>
      <w:bookmarkStart w:id="214" w:name="_bookmark31"/>
      <w:bookmarkEnd w:id="214"/>
      <w:bookmarkStart w:id="215" w:name="_bookmark31"/>
      <w:bookmarkEnd w:id="215"/>
      <w:r>
        <w:t>地层和构造</w:t>
      </w:r>
    </w:p>
    <w:p>
      <w:pPr>
        <w:pStyle w:val="4"/>
        <w:numPr>
          <w:ilvl w:val="2"/>
          <w:numId w:val="55"/>
        </w:numPr>
        <w:tabs>
          <w:tab w:val="left" w:pos="1253"/>
        </w:tabs>
        <w:spacing w:before="123" w:after="0" w:line="240" w:lineRule="auto"/>
        <w:ind w:left="1252" w:right="0" w:hanging="702"/>
        <w:jc w:val="left"/>
      </w:pPr>
      <w:bookmarkStart w:id="216" w:name="6.2.1 地层"/>
      <w:bookmarkEnd w:id="216"/>
      <w:bookmarkStart w:id="217" w:name="6.2.1 地层"/>
      <w:bookmarkEnd w:id="217"/>
      <w:r>
        <w:t>地层</w:t>
      </w:r>
    </w:p>
    <w:p>
      <w:pPr>
        <w:pStyle w:val="6"/>
        <w:spacing w:before="185" w:line="362" w:lineRule="auto"/>
        <w:ind w:left="551" w:right="973" w:firstLine="480"/>
      </w:pPr>
      <w:r>
        <w:t>双鸭山煤田西起佳木斯隆起，东止富锦隆起，南起完达山的分水岭，北止松花江南岸。</w:t>
      </w:r>
    </w:p>
    <w:p>
      <w:pPr>
        <w:pStyle w:val="6"/>
        <w:spacing w:before="5" w:line="364" w:lineRule="auto"/>
        <w:ind w:left="551" w:right="964" w:firstLine="480"/>
        <w:jc w:val="both"/>
      </w:pPr>
      <w:r>
        <w:t>其地理坐标：东经</w:t>
      </w:r>
      <w:r>
        <w:rPr>
          <w:rFonts w:ascii="Times New Roman" w:hAnsi="Times New Roman" w:eastAsia="Times New Roman"/>
        </w:rPr>
        <w:t>131°03′—131°45′</w:t>
      </w:r>
      <w:r>
        <w:t>；北纬</w:t>
      </w:r>
      <w:r>
        <w:rPr>
          <w:rFonts w:ascii="Times New Roman" w:hAnsi="Times New Roman" w:eastAsia="Times New Roman"/>
        </w:rPr>
        <w:t>46°22′—46°43′</w:t>
      </w:r>
      <w:r>
        <w:t>煤田东西走向长</w:t>
      </w:r>
      <w:r>
        <w:rPr>
          <w:rFonts w:ascii="Times New Roman" w:hAnsi="Times New Roman" w:eastAsia="Times New Roman"/>
        </w:rPr>
        <w:t xml:space="preserve">50 </w:t>
      </w:r>
      <w:r>
        <w:t>千米，南北宽</w:t>
      </w:r>
      <w:r>
        <w:rPr>
          <w:rFonts w:ascii="Times New Roman" w:hAnsi="Times New Roman" w:eastAsia="Times New Roman"/>
        </w:rPr>
        <w:t>5—20</w:t>
      </w:r>
      <w:r>
        <w:t>千米，面积约</w:t>
      </w:r>
      <w:r>
        <w:rPr>
          <w:rFonts w:ascii="Times New Roman" w:hAnsi="Times New Roman" w:eastAsia="Times New Roman"/>
        </w:rPr>
        <w:t>600</w:t>
      </w:r>
      <w:r>
        <w:t>平方千米，行政区划属黑龙江省双鸭山市、宝清县、友谊县。在第三、第四纪松散半胶结地层掩盖下早白垩世含煤地层广泛分布，其地层系统由老至新见表</w:t>
      </w:r>
      <w:r>
        <w:rPr>
          <w:rFonts w:ascii="Times New Roman" w:hAnsi="Times New Roman" w:eastAsia="Times New Roman"/>
        </w:rPr>
        <w:t>3.3-3</w:t>
      </w:r>
      <w:r>
        <w:t>。</w:t>
      </w:r>
    </w:p>
    <w:p>
      <w:pPr>
        <w:pStyle w:val="6"/>
        <w:spacing w:line="305" w:lineRule="exact"/>
        <w:ind w:left="1031"/>
      </w:pPr>
      <w:r>
        <w:t>地层层序由老至新分述如下：</w:t>
      </w:r>
    </w:p>
    <w:p>
      <w:pPr>
        <w:pStyle w:val="13"/>
        <w:numPr>
          <w:ilvl w:val="3"/>
          <w:numId w:val="55"/>
        </w:numPr>
        <w:tabs>
          <w:tab w:val="left" w:pos="1633"/>
        </w:tabs>
        <w:spacing w:before="161" w:after="0" w:line="240" w:lineRule="auto"/>
        <w:ind w:left="1633" w:right="0" w:hanging="602"/>
        <w:jc w:val="left"/>
        <w:rPr>
          <w:sz w:val="24"/>
        </w:rPr>
      </w:pPr>
      <w:r>
        <w:rPr>
          <w:sz w:val="24"/>
        </w:rPr>
        <w:t>元古界麻山群</w:t>
      </w:r>
    </w:p>
    <w:p>
      <w:pPr>
        <w:pStyle w:val="6"/>
        <w:spacing w:before="158" w:line="364" w:lineRule="auto"/>
        <w:ind w:left="551" w:right="969" w:firstLine="480"/>
      </w:pPr>
      <w:r>
        <w:rPr>
          <w:spacing w:val="-1"/>
        </w:rPr>
        <w:t xml:space="preserve">广泛出露于矿区的南部，构成煤系地层基底，主要岩性为花岗岩、片麻岩， </w:t>
      </w:r>
      <w:r>
        <w:t>其次为黑云母片岩，绿泥石片岩等变质岩类。</w:t>
      </w:r>
    </w:p>
    <w:p>
      <w:pPr>
        <w:pStyle w:val="13"/>
        <w:numPr>
          <w:ilvl w:val="3"/>
          <w:numId w:val="55"/>
        </w:numPr>
        <w:tabs>
          <w:tab w:val="left" w:pos="1633"/>
        </w:tabs>
        <w:spacing w:before="0" w:after="0" w:line="306" w:lineRule="exact"/>
        <w:ind w:left="1633" w:right="0" w:hanging="602"/>
        <w:jc w:val="left"/>
        <w:rPr>
          <w:sz w:val="24"/>
        </w:rPr>
      </w:pPr>
      <w:r>
        <w:rPr>
          <w:sz w:val="24"/>
        </w:rPr>
        <w:t>中生界白垩系鸡西群</w:t>
      </w:r>
    </w:p>
    <w:p>
      <w:pPr>
        <w:pStyle w:val="6"/>
        <w:spacing w:before="160"/>
        <w:ind w:left="1031"/>
        <w:rPr>
          <w:rFonts w:ascii="Times New Roman" w:eastAsia="Times New Roman"/>
        </w:rPr>
      </w:pPr>
      <w:r>
        <w:t>为一套陆相含煤碎屑岩系，不整合于元古界麻山群花岗岩之上，总厚度达</w:t>
      </w:r>
      <w:r>
        <w:rPr>
          <w:rFonts w:ascii="Times New Roman" w:eastAsia="Times New Roman"/>
        </w:rPr>
        <w:t>1000</w:t>
      </w:r>
    </w:p>
    <w:p>
      <w:pPr>
        <w:spacing w:after="0"/>
        <w:rPr>
          <w:rFonts w:ascii="Times New Roman" w:eastAsia="Times New Roman"/>
        </w:rPr>
        <w:sectPr>
          <w:pgSz w:w="11910" w:h="16840"/>
          <w:pgMar w:top="1380" w:right="780" w:bottom="1180" w:left="1200" w:header="0" w:footer="917" w:gutter="0"/>
        </w:sectPr>
      </w:pPr>
    </w:p>
    <w:p>
      <w:pPr>
        <w:pStyle w:val="6"/>
        <w:spacing w:before="43"/>
        <w:ind w:left="551"/>
      </w:pPr>
      <w:r>
        <w:t>米。同时划分为城子河组和穆棱组。</w:t>
      </w:r>
    </w:p>
    <w:p>
      <w:pPr>
        <w:pStyle w:val="6"/>
        <w:spacing w:before="160" w:line="364" w:lineRule="auto"/>
        <w:ind w:left="551" w:right="967" w:firstLine="480"/>
        <w:jc w:val="both"/>
      </w:pPr>
      <w:r>
        <w:rPr>
          <w:spacing w:val="-7"/>
        </w:rPr>
        <w:t>①城子河组：全区发育，从钻孔控制来看，厚度</w:t>
      </w:r>
      <w:r>
        <w:rPr>
          <w:rFonts w:ascii="Times New Roman" w:hAnsi="Times New Roman" w:eastAsia="Times New Roman"/>
        </w:rPr>
        <w:t>300-450</w:t>
      </w:r>
      <w:r>
        <w:rPr>
          <w:spacing w:val="-6"/>
        </w:rPr>
        <w:t>米，其岩性大部分为</w:t>
      </w:r>
      <w:r>
        <w:rPr>
          <w:spacing w:val="-1"/>
        </w:rPr>
        <w:t>灰白色中粒砂岩，灰色粉砂岩及少量泥岩，煤页岩及煤组成。依据岩性、岩相、</w:t>
      </w:r>
      <w:r>
        <w:t>含煤特征，把城子河组分为二段。</w:t>
      </w:r>
    </w:p>
    <w:p>
      <w:pPr>
        <w:pStyle w:val="6"/>
        <w:spacing w:line="364" w:lineRule="auto"/>
        <w:ind w:left="551" w:right="969" w:firstLine="480"/>
        <w:jc w:val="both"/>
      </w:pPr>
      <w:r>
        <w:t>下段：顶部以</w:t>
      </w:r>
      <w:r>
        <w:rPr>
          <w:rFonts w:ascii="Times New Roman" w:eastAsia="Times New Roman"/>
        </w:rPr>
        <w:t>40</w:t>
      </w:r>
      <w:r>
        <w:t>煤层下粗砂岩到城子河组底部砾岩，以粗粒的河床相为主， 含有凝灰质，含煤性较差，几乎无可采层，岩性、岩相均较上段变化大，沉积旋回不完整，反应本段沉积环境相当不稳定。</w:t>
      </w:r>
    </w:p>
    <w:p>
      <w:pPr>
        <w:pStyle w:val="6"/>
        <w:spacing w:line="364" w:lineRule="auto"/>
        <w:ind w:left="551" w:right="969" w:firstLine="480"/>
        <w:jc w:val="both"/>
      </w:pPr>
      <w:r>
        <w:t>上段：顶部以穆棱组底部砂砾岩底界至</w:t>
      </w:r>
      <w:r>
        <w:rPr>
          <w:rFonts w:ascii="Times New Roman" w:eastAsia="Times New Roman"/>
        </w:rPr>
        <w:t>40</w:t>
      </w:r>
      <w:r>
        <w:rPr>
          <w:spacing w:val="-1"/>
        </w:rPr>
        <w:t>煤层下部粗砂岩。以中粗与细粒相</w:t>
      </w:r>
      <w:r>
        <w:t>间的河床相</w:t>
      </w:r>
      <w:r>
        <w:rPr>
          <w:rFonts w:ascii="Times New Roman" w:eastAsia="Times New Roman"/>
        </w:rPr>
        <w:t>-</w:t>
      </w:r>
      <w:r>
        <w:rPr>
          <w:spacing w:val="-9"/>
        </w:rPr>
        <w:t>河漫相，沼泽相互更替为特点，是煤层主要的赋存部位，亦是勘探的</w:t>
      </w:r>
      <w:r>
        <w:t>主要对象。</w:t>
      </w:r>
    </w:p>
    <w:p>
      <w:pPr>
        <w:pStyle w:val="6"/>
        <w:spacing w:line="364" w:lineRule="auto"/>
        <w:ind w:left="551" w:right="892" w:firstLine="480"/>
        <w:jc w:val="both"/>
      </w:pPr>
      <w:r>
        <w:t>②穆棱组：以灰白色中粒砂岩和灰</w:t>
      </w:r>
      <w:r>
        <w:rPr>
          <w:rFonts w:ascii="Times New Roman" w:hAnsi="Times New Roman" w:eastAsia="Times New Roman"/>
        </w:rPr>
        <w:t>-</w:t>
      </w:r>
      <w:r>
        <w:t>深灰色砂岩相间，沉积韵律较频为特色。夹凝灰质岩石、炭页和煤层，是一静水相为主，河床相几乎不见、湖泊相、泥炭沼泽相常见，含不可采煤层</w:t>
      </w:r>
      <w:r>
        <w:rPr>
          <w:rFonts w:ascii="Times New Roman" w:hAnsi="Times New Roman" w:eastAsia="Times New Roman"/>
        </w:rPr>
        <w:t>6</w:t>
      </w:r>
      <w:r>
        <w:t>层，厚度大于</w:t>
      </w:r>
      <w:r>
        <w:rPr>
          <w:rFonts w:ascii="Times New Roman" w:hAnsi="Times New Roman" w:eastAsia="Times New Roman"/>
        </w:rPr>
        <w:t>600</w:t>
      </w:r>
      <w:r>
        <w:t>米。</w:t>
      </w:r>
    </w:p>
    <w:p>
      <w:pPr>
        <w:pStyle w:val="13"/>
        <w:numPr>
          <w:ilvl w:val="3"/>
          <w:numId w:val="55"/>
        </w:numPr>
        <w:tabs>
          <w:tab w:val="left" w:pos="1633"/>
        </w:tabs>
        <w:spacing w:before="0" w:after="0" w:line="307" w:lineRule="exact"/>
        <w:ind w:left="1633" w:right="0" w:hanging="602"/>
        <w:jc w:val="left"/>
        <w:rPr>
          <w:sz w:val="24"/>
        </w:rPr>
      </w:pPr>
      <w:r>
        <w:rPr>
          <w:sz w:val="24"/>
        </w:rPr>
        <w:t>第三系</w:t>
      </w:r>
    </w:p>
    <w:p>
      <w:pPr>
        <w:pStyle w:val="6"/>
        <w:spacing w:before="154"/>
        <w:ind w:left="1031"/>
      </w:pPr>
      <w:r>
        <w:t>主要岩性为玄武岩，不整合覆盖于煤系地层之上，黑色致密，隐晶质结构。</w:t>
      </w:r>
    </w:p>
    <w:p>
      <w:pPr>
        <w:pStyle w:val="13"/>
        <w:numPr>
          <w:ilvl w:val="3"/>
          <w:numId w:val="55"/>
        </w:numPr>
        <w:tabs>
          <w:tab w:val="left" w:pos="1633"/>
        </w:tabs>
        <w:spacing w:before="158" w:after="0" w:line="240" w:lineRule="auto"/>
        <w:ind w:left="1633" w:right="0" w:hanging="602"/>
        <w:jc w:val="left"/>
        <w:rPr>
          <w:sz w:val="24"/>
        </w:rPr>
      </w:pPr>
      <w:r>
        <w:rPr>
          <w:sz w:val="24"/>
        </w:rPr>
        <w:t>第四系</w:t>
      </w:r>
    </w:p>
    <w:p>
      <w:pPr>
        <w:pStyle w:val="6"/>
        <w:spacing w:before="161" w:line="362" w:lineRule="auto"/>
        <w:ind w:left="551" w:right="969" w:firstLine="480"/>
      </w:pPr>
      <w:r>
        <w:t>位于山谷至山麓一带，谷底为冲积层，向上渐变为坡积层，成分多为黏土和风化玄武岩，砂岩碎块，两极厚度为</w:t>
      </w:r>
      <w:r>
        <w:rPr>
          <w:rFonts w:ascii="Times New Roman" w:eastAsia="Times New Roman"/>
        </w:rPr>
        <w:t>2-17</w:t>
      </w:r>
      <w:r>
        <w:t>米，一般厚度</w:t>
      </w:r>
      <w:r>
        <w:rPr>
          <w:rFonts w:ascii="Times New Roman" w:eastAsia="Times New Roman"/>
        </w:rPr>
        <w:t>5</w:t>
      </w:r>
      <w:r>
        <w:t>米。</w:t>
      </w:r>
    </w:p>
    <w:p>
      <w:pPr>
        <w:pStyle w:val="4"/>
        <w:numPr>
          <w:ilvl w:val="2"/>
          <w:numId w:val="55"/>
        </w:numPr>
        <w:tabs>
          <w:tab w:val="left" w:pos="1253"/>
        </w:tabs>
        <w:spacing w:before="5" w:after="0" w:line="240" w:lineRule="auto"/>
        <w:ind w:left="1252" w:right="0" w:hanging="702"/>
        <w:jc w:val="left"/>
      </w:pPr>
      <w:r>
        <w:rPr>
          <w:spacing w:val="-1"/>
          <w:w w:val="95"/>
        </w:rPr>
        <w:t>构造</w:t>
      </w:r>
    </w:p>
    <w:p>
      <w:pPr>
        <w:pStyle w:val="6"/>
        <w:spacing w:before="186" w:line="364" w:lineRule="auto"/>
        <w:ind w:left="551" w:right="847" w:firstLine="480"/>
      </w:pPr>
      <w:r>
        <w:t>该矿处于双鸭山煤田西部，紧靠双鸭山煤田南部逆冲断层北侧。井区内被近东西向的</w:t>
      </w:r>
      <w:r>
        <w:rPr>
          <w:rFonts w:ascii="Times New Roman" w:hAnsi="Times New Roman" w:eastAsia="Times New Roman"/>
        </w:rPr>
        <w:t>F12</w:t>
      </w:r>
      <w:r>
        <w:t>断层分为南北两部分。其中南部为呈一向南东倾伏的向斜构造，轴向</w:t>
      </w:r>
      <w:r>
        <w:rPr>
          <w:rFonts w:ascii="Times New Roman" w:hAnsi="Times New Roman" w:eastAsia="Times New Roman"/>
          <w:spacing w:val="-4"/>
        </w:rPr>
        <w:t>N65°W</w:t>
      </w:r>
      <w:r>
        <w:rPr>
          <w:spacing w:val="-2"/>
        </w:rPr>
        <w:t>；向斜北翼地层走向</w:t>
      </w:r>
      <w:r>
        <w:rPr>
          <w:rFonts w:ascii="Times New Roman" w:hAnsi="Times New Roman" w:eastAsia="Times New Roman"/>
        </w:rPr>
        <w:t>N450</w:t>
      </w:r>
      <w:r>
        <w:t>－</w:t>
      </w:r>
      <w:r>
        <w:rPr>
          <w:rFonts w:ascii="Times New Roman" w:hAnsi="Times New Roman" w:eastAsia="Times New Roman"/>
        </w:rPr>
        <w:t>800E</w:t>
      </w:r>
      <w:r>
        <w:t>，倾角</w:t>
      </w:r>
      <w:r>
        <w:rPr>
          <w:rFonts w:ascii="Times New Roman" w:hAnsi="Times New Roman" w:eastAsia="Times New Roman"/>
        </w:rPr>
        <w:t>30-45</w:t>
      </w:r>
      <w:r>
        <w:rPr>
          <w:spacing w:val="-5"/>
        </w:rPr>
        <w:t xml:space="preserve">°左右；南翼走向近东西， </w:t>
      </w:r>
      <w:r>
        <w:t>地层走向</w:t>
      </w:r>
      <w:r>
        <w:rPr>
          <w:rFonts w:ascii="Times New Roman" w:hAnsi="Times New Roman" w:eastAsia="Times New Roman"/>
        </w:rPr>
        <w:t>70</w:t>
      </w:r>
      <w:r>
        <w:t>°</w:t>
      </w:r>
      <w:r>
        <w:rPr>
          <w:rFonts w:ascii="Times New Roman" w:hAnsi="Times New Roman" w:eastAsia="Times New Roman"/>
        </w:rPr>
        <w:t>-80</w:t>
      </w:r>
      <w:r>
        <w:t>°，倾角</w:t>
      </w:r>
      <w:r>
        <w:rPr>
          <w:rFonts w:ascii="Times New Roman" w:hAnsi="Times New Roman" w:eastAsia="Times New Roman"/>
        </w:rPr>
        <w:t>55</w:t>
      </w:r>
      <w:r>
        <w:t>°左右。</w:t>
      </w:r>
      <w:r>
        <w:rPr>
          <w:rFonts w:ascii="Times New Roman" w:hAnsi="Times New Roman" w:eastAsia="Times New Roman"/>
        </w:rPr>
        <w:t>F12</w:t>
      </w:r>
      <w:r>
        <w:t>断层以北为单斜构造，地层走向</w:t>
      </w:r>
      <w:r>
        <w:rPr>
          <w:rFonts w:ascii="Times New Roman" w:hAnsi="Times New Roman" w:eastAsia="Times New Roman"/>
        </w:rPr>
        <w:t>S800</w:t>
      </w:r>
      <w:r>
        <w:t xml:space="preserve">－ </w:t>
      </w:r>
      <w:r>
        <w:rPr>
          <w:rFonts w:ascii="Times New Roman" w:hAnsi="Times New Roman" w:eastAsia="Times New Roman"/>
        </w:rPr>
        <w:t>880W</w:t>
      </w:r>
      <w:r>
        <w:t>，倾角</w:t>
      </w:r>
      <w:r>
        <w:rPr>
          <w:rFonts w:ascii="Times New Roman" w:hAnsi="Times New Roman" w:eastAsia="Times New Roman"/>
        </w:rPr>
        <w:t>18</w:t>
      </w:r>
      <w:r>
        <w:t>°左右。</w:t>
      </w:r>
    </w:p>
    <w:p>
      <w:pPr>
        <w:pStyle w:val="6"/>
        <w:spacing w:line="364" w:lineRule="auto"/>
        <w:ind w:left="551" w:right="969" w:firstLine="480"/>
      </w:pPr>
      <w:r>
        <w:t>井区内断层以正断层为主，逆断层次之；断层走向分为北东、北西和近东西向三组，其中以北东向为主，北西向较少，近东西向都是大断层。</w:t>
      </w:r>
    </w:p>
    <w:p>
      <w:pPr>
        <w:pStyle w:val="6"/>
        <w:spacing w:line="364" w:lineRule="auto"/>
        <w:ind w:left="551" w:right="967" w:firstLine="480"/>
        <w:jc w:val="both"/>
      </w:pPr>
      <w:r>
        <w:t>《双鸭山煤田岭东煤矿九斜井勘探区地质勘探最终报告》（精查）中有</w:t>
      </w:r>
      <w:r>
        <w:rPr>
          <w:rFonts w:ascii="Times New Roman" w:eastAsia="Times New Roman"/>
        </w:rPr>
        <w:t>11</w:t>
      </w:r>
      <w:r>
        <w:t>条断层，分别是</w:t>
      </w:r>
      <w:r>
        <w:rPr>
          <w:rFonts w:ascii="Times New Roman" w:eastAsia="Times New Roman"/>
        </w:rPr>
        <w:t>R1-R11</w:t>
      </w:r>
      <w:r>
        <w:t>，对矿区影响较大的断层为</w:t>
      </w:r>
      <w:r>
        <w:rPr>
          <w:rFonts w:ascii="Times New Roman" w:eastAsia="Times New Roman"/>
        </w:rPr>
        <w:t>R3</w:t>
      </w:r>
      <w:r>
        <w:t>、</w:t>
      </w:r>
      <w:r>
        <w:rPr>
          <w:rFonts w:ascii="Times New Roman" w:eastAsia="Times New Roman"/>
        </w:rPr>
        <w:t>R4</w:t>
      </w:r>
      <w:r>
        <w:t>、</w:t>
      </w:r>
      <w:r>
        <w:rPr>
          <w:rFonts w:ascii="Times New Roman" w:eastAsia="Times New Roman"/>
        </w:rPr>
        <w:t>R11</w:t>
      </w:r>
      <w:r>
        <w:t>。其中</w:t>
      </w:r>
      <w:r>
        <w:rPr>
          <w:rFonts w:ascii="Times New Roman" w:eastAsia="Times New Roman"/>
        </w:rPr>
        <w:t>R11</w:t>
      </w:r>
      <w:r>
        <w:t>断层为控制边界断层。</w:t>
      </w:r>
    </w:p>
    <w:p>
      <w:pPr>
        <w:pStyle w:val="6"/>
        <w:spacing w:line="307" w:lineRule="exact"/>
        <w:ind w:left="1031"/>
      </w:pPr>
      <w:r>
        <w:t>西北部邻近矿井岭东区顺达煤井位于九斜井勘探区内，顺达煤井井区内发育</w:t>
      </w:r>
    </w:p>
    <w:p>
      <w:pPr>
        <w:spacing w:after="0" w:line="307" w:lineRule="exact"/>
        <w:sectPr>
          <w:pgSz w:w="11910" w:h="16840"/>
          <w:pgMar w:top="1380" w:right="780" w:bottom="1180" w:left="1200" w:header="0" w:footer="917" w:gutter="0"/>
        </w:sectPr>
      </w:pPr>
    </w:p>
    <w:p>
      <w:pPr>
        <w:pStyle w:val="6"/>
        <w:spacing w:before="63"/>
        <w:ind w:left="551"/>
      </w:pPr>
      <w:r>
        <w:rPr>
          <w:rFonts w:ascii="Times New Roman" w:eastAsia="Times New Roman"/>
        </w:rPr>
        <w:t>R5</w:t>
      </w:r>
      <w:r>
        <w:t>、</w:t>
      </w:r>
      <w:r>
        <w:rPr>
          <w:rFonts w:ascii="Times New Roman" w:eastAsia="Times New Roman"/>
        </w:rPr>
        <w:t>R11</w:t>
      </w:r>
      <w:r>
        <w:t>等两条逆断层（详见表</w:t>
      </w:r>
      <w:r>
        <w:rPr>
          <w:rFonts w:ascii="Times New Roman" w:eastAsia="Times New Roman"/>
        </w:rPr>
        <w:t>3.3-5</w:t>
      </w:r>
      <w:r>
        <w:t>）。</w:t>
      </w:r>
    </w:p>
    <w:p>
      <w:pPr>
        <w:pStyle w:val="6"/>
        <w:spacing w:before="160" w:line="364" w:lineRule="auto"/>
        <w:ind w:left="551" w:right="967" w:firstLine="480"/>
        <w:jc w:val="both"/>
      </w:pPr>
      <w:r>
        <w:rPr>
          <w:spacing w:val="-1"/>
        </w:rPr>
        <w:t>《黑龙江省双鸭山市横头山区小井勘探地质报告》中有断层</w:t>
      </w:r>
      <w:r>
        <w:rPr>
          <w:rFonts w:ascii="Times New Roman" w:eastAsia="Times New Roman"/>
        </w:rPr>
        <w:t>12</w:t>
      </w:r>
      <w:r>
        <w:rPr>
          <w:spacing w:val="-2"/>
        </w:rPr>
        <w:t>条，对矿区影</w:t>
      </w:r>
      <w:r>
        <w:t>响较大的断层为</w:t>
      </w:r>
      <w:r>
        <w:rPr>
          <w:rFonts w:ascii="Times New Roman" w:eastAsia="Times New Roman"/>
        </w:rPr>
        <w:t>F1</w:t>
      </w:r>
      <w:r>
        <w:rPr>
          <w:spacing w:val="-15"/>
        </w:rPr>
        <w:t>、</w:t>
      </w:r>
      <w:r>
        <w:rPr>
          <w:rFonts w:ascii="Times New Roman" w:eastAsia="Times New Roman"/>
        </w:rPr>
        <w:t>F2</w:t>
      </w:r>
      <w:r>
        <w:rPr>
          <w:spacing w:val="-15"/>
        </w:rPr>
        <w:t>、</w:t>
      </w:r>
      <w:r>
        <w:rPr>
          <w:rFonts w:ascii="Times New Roman" w:eastAsia="Times New Roman"/>
        </w:rPr>
        <w:t>F3</w:t>
      </w:r>
      <w:r>
        <w:rPr>
          <w:spacing w:val="-15"/>
        </w:rPr>
        <w:t>、</w:t>
      </w:r>
      <w:r>
        <w:rPr>
          <w:rFonts w:ascii="Times New Roman" w:eastAsia="Times New Roman"/>
        </w:rPr>
        <w:t>F4</w:t>
      </w:r>
      <w:r>
        <w:rPr>
          <w:spacing w:val="-17"/>
        </w:rPr>
        <w:t>、</w:t>
      </w:r>
      <w:r>
        <w:rPr>
          <w:rFonts w:ascii="Times New Roman" w:eastAsia="Times New Roman"/>
        </w:rPr>
        <w:t>F5</w:t>
      </w:r>
      <w:r>
        <w:rPr>
          <w:spacing w:val="-15"/>
        </w:rPr>
        <w:t>、</w:t>
      </w:r>
      <w:r>
        <w:rPr>
          <w:rFonts w:ascii="Times New Roman" w:eastAsia="Times New Roman"/>
        </w:rPr>
        <w:t>F6</w:t>
      </w:r>
      <w:r>
        <w:rPr>
          <w:spacing w:val="-15"/>
        </w:rPr>
        <w:t>、</w:t>
      </w:r>
      <w:r>
        <w:rPr>
          <w:rFonts w:ascii="Times New Roman" w:eastAsia="Times New Roman"/>
        </w:rPr>
        <w:t>F7</w:t>
      </w:r>
      <w:r>
        <w:rPr>
          <w:spacing w:val="-4"/>
        </w:rPr>
        <w:t>等断层，其中</w:t>
      </w:r>
      <w:r>
        <w:rPr>
          <w:rFonts w:ascii="Times New Roman" w:eastAsia="Times New Roman"/>
        </w:rPr>
        <w:t>F1</w:t>
      </w:r>
      <w:r>
        <w:rPr>
          <w:spacing w:val="-15"/>
        </w:rPr>
        <w:t>、</w:t>
      </w:r>
      <w:r>
        <w:rPr>
          <w:rFonts w:ascii="Times New Roman" w:eastAsia="Times New Roman"/>
        </w:rPr>
        <w:t>F4</w:t>
      </w:r>
      <w:r>
        <w:t>断层为控制边界断层。</w:t>
      </w:r>
    </w:p>
    <w:p>
      <w:pPr>
        <w:pStyle w:val="6"/>
        <w:spacing w:line="364" w:lineRule="auto"/>
        <w:ind w:left="551" w:right="969" w:firstLine="480"/>
      </w:pPr>
      <w:r>
        <w:t>大顺煤矿原范围位于横头山区小井勘探区内，大顺煤矿矿区范围内断层有</w:t>
      </w:r>
      <w:r>
        <w:rPr>
          <w:rFonts w:ascii="Times New Roman" w:eastAsia="Times New Roman"/>
        </w:rPr>
        <w:t xml:space="preserve">6 </w:t>
      </w:r>
      <w:r>
        <w:t>条，详见表</w:t>
      </w:r>
      <w:r>
        <w:rPr>
          <w:rFonts w:ascii="Times New Roman" w:eastAsia="Times New Roman"/>
        </w:rPr>
        <w:t>3.3-6</w:t>
      </w:r>
      <w:r>
        <w:t>。</w:t>
      </w:r>
    </w:p>
    <w:p>
      <w:pPr>
        <w:pStyle w:val="6"/>
        <w:spacing w:line="364" w:lineRule="auto"/>
        <w:ind w:left="551" w:right="973" w:firstLine="480"/>
        <w:jc w:val="both"/>
      </w:pPr>
      <w:r>
        <w:t>本次扩大区范围内及周边共有断层</w:t>
      </w:r>
      <w:r>
        <w:rPr>
          <w:rFonts w:ascii="Times New Roman" w:eastAsia="Times New Roman"/>
        </w:rPr>
        <w:t>10</w:t>
      </w:r>
      <w:r>
        <w:t>条，分布在西北部邻近矿井岭东区顺达煤井矿区范围内有</w:t>
      </w:r>
      <w:r>
        <w:rPr>
          <w:rFonts w:ascii="Times New Roman" w:eastAsia="Times New Roman"/>
        </w:rPr>
        <w:t>2</w:t>
      </w:r>
      <w:r>
        <w:t>条，分布在原大顺煤矿范围内有</w:t>
      </w:r>
      <w:r>
        <w:rPr>
          <w:rFonts w:ascii="Times New Roman" w:eastAsia="Times New Roman"/>
        </w:rPr>
        <w:t>6</w:t>
      </w:r>
      <w:r>
        <w:t>条，分布在两矿之间边界断层</w:t>
      </w:r>
      <w:r>
        <w:rPr>
          <w:rFonts w:ascii="Times New Roman" w:eastAsia="Times New Roman"/>
        </w:rPr>
        <w:t>1</w:t>
      </w:r>
      <w:r>
        <w:t>条，分布在扩大区与长山六井之间</w:t>
      </w:r>
      <w:r>
        <w:rPr>
          <w:rFonts w:ascii="Times New Roman" w:eastAsia="Times New Roman"/>
        </w:rPr>
        <w:t>1</w:t>
      </w:r>
      <w:r>
        <w:t>条，以及劳教所煤矿向斜。现分别叙述如下：</w:t>
      </w:r>
    </w:p>
    <w:p>
      <w:pPr>
        <w:pStyle w:val="13"/>
        <w:numPr>
          <w:ilvl w:val="0"/>
          <w:numId w:val="56"/>
        </w:numPr>
        <w:tabs>
          <w:tab w:val="left" w:pos="1633"/>
        </w:tabs>
        <w:spacing w:before="0" w:after="0" w:line="364" w:lineRule="auto"/>
        <w:ind w:left="551" w:right="853" w:firstLine="480"/>
        <w:jc w:val="left"/>
        <w:rPr>
          <w:sz w:val="24"/>
        </w:rPr>
      </w:pPr>
      <w:r>
        <w:rPr>
          <w:spacing w:val="-1"/>
          <w:sz w:val="24"/>
        </w:rPr>
        <w:t>劳教所煤矿向斜：为一轴向南东，向南东倾伏，向西北抬起的北翼缓、</w:t>
      </w:r>
      <w:r>
        <w:rPr>
          <w:spacing w:val="-2"/>
          <w:sz w:val="24"/>
        </w:rPr>
        <w:t>南翼陡的不对称向斜。向斜北翼地层走向</w:t>
      </w:r>
      <w:r>
        <w:rPr>
          <w:rFonts w:ascii="Times New Roman" w:hAnsi="Times New Roman" w:eastAsia="Times New Roman"/>
          <w:sz w:val="24"/>
        </w:rPr>
        <w:t>N450</w:t>
      </w:r>
      <w:r>
        <w:rPr>
          <w:sz w:val="24"/>
        </w:rPr>
        <w:t>－</w:t>
      </w:r>
      <w:r>
        <w:rPr>
          <w:rFonts w:ascii="Times New Roman" w:hAnsi="Times New Roman" w:eastAsia="Times New Roman"/>
          <w:sz w:val="24"/>
        </w:rPr>
        <w:t>800E</w:t>
      </w:r>
      <w:r>
        <w:rPr>
          <w:sz w:val="24"/>
        </w:rPr>
        <w:t>，倾角</w:t>
      </w:r>
      <w:r>
        <w:rPr>
          <w:rFonts w:ascii="Times New Roman" w:hAnsi="Times New Roman" w:eastAsia="Times New Roman"/>
          <w:sz w:val="24"/>
        </w:rPr>
        <w:t>30-45o</w:t>
      </w:r>
      <w:r>
        <w:rPr>
          <w:spacing w:val="-3"/>
          <w:sz w:val="24"/>
        </w:rPr>
        <w:t>左右；南翼走向近东西，地层走向</w:t>
      </w:r>
      <w:r>
        <w:rPr>
          <w:rFonts w:ascii="Times New Roman" w:hAnsi="Times New Roman" w:eastAsia="Times New Roman"/>
          <w:spacing w:val="-3"/>
          <w:sz w:val="24"/>
        </w:rPr>
        <w:t>70°-80°</w:t>
      </w:r>
      <w:r>
        <w:rPr>
          <w:spacing w:val="-3"/>
          <w:sz w:val="24"/>
        </w:rPr>
        <w:t>，倾角</w:t>
      </w:r>
      <w:r>
        <w:rPr>
          <w:rFonts w:ascii="Times New Roman" w:hAnsi="Times New Roman" w:eastAsia="Times New Roman"/>
          <w:spacing w:val="-3"/>
          <w:sz w:val="24"/>
        </w:rPr>
        <w:t>55o</w:t>
      </w:r>
      <w:r>
        <w:rPr>
          <w:spacing w:val="-3"/>
          <w:sz w:val="24"/>
        </w:rPr>
        <w:t>左右。</w:t>
      </w:r>
    </w:p>
    <w:p>
      <w:pPr>
        <w:pStyle w:val="13"/>
        <w:numPr>
          <w:ilvl w:val="0"/>
          <w:numId w:val="56"/>
        </w:numPr>
        <w:tabs>
          <w:tab w:val="left" w:pos="1633"/>
        </w:tabs>
        <w:spacing w:before="0" w:after="0" w:line="364" w:lineRule="auto"/>
        <w:ind w:left="551" w:right="964" w:firstLine="480"/>
        <w:jc w:val="left"/>
        <w:rPr>
          <w:sz w:val="24"/>
        </w:rPr>
      </w:pPr>
      <w:r>
        <w:rPr>
          <w:rFonts w:ascii="Times New Roman" w:hAnsi="Times New Roman" w:eastAsia="Times New Roman"/>
          <w:sz w:val="24"/>
        </w:rPr>
        <w:t>F1</w:t>
      </w:r>
      <w:r>
        <w:rPr>
          <w:spacing w:val="-11"/>
          <w:sz w:val="24"/>
        </w:rPr>
        <w:t>号断层：走向北东，倾向南、倾角</w:t>
      </w:r>
      <w:r>
        <w:rPr>
          <w:rFonts w:ascii="Times New Roman" w:hAnsi="Times New Roman" w:eastAsia="Times New Roman"/>
          <w:spacing w:val="-8"/>
          <w:sz w:val="24"/>
        </w:rPr>
        <w:t>70°</w:t>
      </w:r>
      <w:r>
        <w:rPr>
          <w:spacing w:val="-4"/>
          <w:sz w:val="24"/>
        </w:rPr>
        <w:t>，由</w:t>
      </w:r>
      <w:r>
        <w:rPr>
          <w:rFonts w:ascii="Times New Roman" w:hAnsi="Times New Roman" w:eastAsia="Times New Roman"/>
          <w:sz w:val="24"/>
        </w:rPr>
        <w:t>90-4</w:t>
      </w:r>
      <w:r>
        <w:rPr>
          <w:sz w:val="24"/>
        </w:rPr>
        <w:t xml:space="preserve">号钻孔第五勘探线 </w:t>
      </w:r>
      <w:r>
        <w:rPr>
          <w:rFonts w:ascii="Times New Roman" w:hAnsi="Times New Roman" w:eastAsia="Times New Roman"/>
          <w:spacing w:val="-4"/>
          <w:sz w:val="24"/>
        </w:rPr>
        <w:t>90-2</w:t>
      </w:r>
      <w:r>
        <w:rPr>
          <w:sz w:val="24"/>
        </w:rPr>
        <w:t>号孔、</w:t>
      </w:r>
      <w:r>
        <w:rPr>
          <w:rFonts w:ascii="Times New Roman" w:hAnsi="Times New Roman" w:eastAsia="Times New Roman"/>
          <w:sz w:val="24"/>
        </w:rPr>
        <w:t>90-7</w:t>
      </w:r>
      <w:r>
        <w:rPr>
          <w:sz w:val="24"/>
        </w:rPr>
        <w:t>号孔推定。落差大于</w:t>
      </w:r>
      <w:r>
        <w:rPr>
          <w:rFonts w:ascii="Times New Roman" w:hAnsi="Times New Roman" w:eastAsia="Times New Roman"/>
          <w:sz w:val="24"/>
        </w:rPr>
        <w:t>200</w:t>
      </w:r>
      <w:r>
        <w:rPr>
          <w:sz w:val="24"/>
        </w:rPr>
        <w:t>米，属推断断层。</w:t>
      </w:r>
    </w:p>
    <w:p>
      <w:pPr>
        <w:pStyle w:val="13"/>
        <w:numPr>
          <w:ilvl w:val="0"/>
          <w:numId w:val="56"/>
        </w:numPr>
        <w:tabs>
          <w:tab w:val="left" w:pos="1633"/>
        </w:tabs>
        <w:spacing w:before="0" w:after="0" w:line="364" w:lineRule="auto"/>
        <w:ind w:left="551" w:right="969" w:firstLine="480"/>
        <w:jc w:val="left"/>
        <w:rPr>
          <w:sz w:val="24"/>
        </w:rPr>
      </w:pPr>
      <w:r>
        <w:rPr>
          <w:rFonts w:ascii="Times New Roman" w:hAnsi="Times New Roman" w:eastAsia="Times New Roman"/>
          <w:sz w:val="24"/>
        </w:rPr>
        <w:t>F2</w:t>
      </w:r>
      <w:r>
        <w:rPr>
          <w:sz w:val="24"/>
        </w:rPr>
        <w:t>断层：走向近东西，倾向南、倾角</w:t>
      </w:r>
      <w:r>
        <w:rPr>
          <w:rFonts w:ascii="Times New Roman" w:hAnsi="Times New Roman" w:eastAsia="Times New Roman"/>
          <w:sz w:val="24"/>
        </w:rPr>
        <w:t>70°</w:t>
      </w:r>
      <w:r>
        <w:rPr>
          <w:spacing w:val="-2"/>
          <w:sz w:val="24"/>
        </w:rPr>
        <w:t>，为逆冲断层，北盘为城子河</w:t>
      </w:r>
      <w:r>
        <w:rPr>
          <w:sz w:val="24"/>
        </w:rPr>
        <w:t>组、穆棱组地层，南盘为基底花岗岩，落差</w:t>
      </w:r>
      <w:r>
        <w:rPr>
          <w:rFonts w:ascii="Times New Roman" w:hAnsi="Times New Roman" w:eastAsia="Times New Roman"/>
          <w:sz w:val="24"/>
        </w:rPr>
        <w:t>500</w:t>
      </w:r>
      <w:r>
        <w:rPr>
          <w:sz w:val="24"/>
        </w:rPr>
        <w:t>米，属推断断层。</w:t>
      </w:r>
    </w:p>
    <w:p>
      <w:pPr>
        <w:pStyle w:val="13"/>
        <w:numPr>
          <w:ilvl w:val="0"/>
          <w:numId w:val="56"/>
        </w:numPr>
        <w:tabs>
          <w:tab w:val="left" w:pos="1633"/>
        </w:tabs>
        <w:spacing w:before="0" w:after="0" w:line="364" w:lineRule="auto"/>
        <w:ind w:left="551" w:right="849" w:firstLine="480"/>
        <w:jc w:val="both"/>
        <w:rPr>
          <w:sz w:val="24"/>
        </w:rPr>
      </w:pPr>
      <w:r>
        <w:rPr>
          <w:rFonts w:ascii="Times New Roman" w:hAnsi="Times New Roman" w:eastAsia="Times New Roman"/>
          <w:sz w:val="24"/>
        </w:rPr>
        <w:t>F3</w:t>
      </w:r>
      <w:r>
        <w:rPr>
          <w:sz w:val="24"/>
        </w:rPr>
        <w:t>断层：走向北西，倾向北东、倾角</w:t>
      </w:r>
      <w:r>
        <w:rPr>
          <w:rFonts w:ascii="Times New Roman" w:hAnsi="Times New Roman" w:eastAsia="Times New Roman"/>
          <w:sz w:val="24"/>
        </w:rPr>
        <w:t>70°</w:t>
      </w:r>
      <w:r>
        <w:rPr>
          <w:sz w:val="24"/>
        </w:rPr>
        <w:t>，为正断层，落差</w:t>
      </w:r>
      <w:r>
        <w:rPr>
          <w:rFonts w:ascii="Times New Roman" w:hAnsi="Times New Roman" w:eastAsia="Times New Roman"/>
          <w:sz w:val="24"/>
        </w:rPr>
        <w:t>350-380</w:t>
      </w:r>
      <w:r>
        <w:rPr>
          <w:sz w:val="24"/>
        </w:rPr>
        <w:t>米， 东南端由</w:t>
      </w:r>
      <w:r>
        <w:rPr>
          <w:rFonts w:ascii="Times New Roman" w:hAnsi="Times New Roman" w:eastAsia="Times New Roman"/>
          <w:sz w:val="24"/>
        </w:rPr>
        <w:t>2000-4</w:t>
      </w:r>
      <w:r>
        <w:rPr>
          <w:sz w:val="24"/>
        </w:rPr>
        <w:t>和</w:t>
      </w:r>
      <w:r>
        <w:rPr>
          <w:rFonts w:ascii="Times New Roman" w:hAnsi="Times New Roman" w:eastAsia="Times New Roman"/>
          <w:sz w:val="24"/>
        </w:rPr>
        <w:t>90-2</w:t>
      </w:r>
      <w:r>
        <w:rPr>
          <w:spacing w:val="-1"/>
          <w:sz w:val="24"/>
        </w:rPr>
        <w:t>号孔控制，北西端双鸭山矿务局长山六井报告</w:t>
      </w:r>
      <w:r>
        <w:rPr>
          <w:rFonts w:ascii="Times New Roman" w:hAnsi="Times New Roman" w:eastAsia="Times New Roman"/>
          <w:sz w:val="24"/>
        </w:rPr>
        <w:t>87-7</w:t>
      </w:r>
      <w:r>
        <w:rPr>
          <w:spacing w:val="-4"/>
          <w:sz w:val="24"/>
        </w:rPr>
        <w:t>号钻孔、</w:t>
      </w:r>
      <w:r>
        <w:rPr>
          <w:sz w:val="24"/>
        </w:rPr>
        <w:t>顺达补勘</w:t>
      </w:r>
      <w:r>
        <w:rPr>
          <w:rFonts w:ascii="Times New Roman" w:hAnsi="Times New Roman" w:eastAsia="Times New Roman"/>
          <w:sz w:val="24"/>
        </w:rPr>
        <w:t>2000-3</w:t>
      </w:r>
      <w:r>
        <w:rPr>
          <w:sz w:val="24"/>
        </w:rPr>
        <w:t>号钻孔控制，属较可靠。为本次核实新推断断层。</w:t>
      </w:r>
    </w:p>
    <w:p>
      <w:pPr>
        <w:pStyle w:val="13"/>
        <w:numPr>
          <w:ilvl w:val="0"/>
          <w:numId w:val="56"/>
        </w:numPr>
        <w:tabs>
          <w:tab w:val="left" w:pos="1633"/>
        </w:tabs>
        <w:spacing w:before="0" w:after="0" w:line="362" w:lineRule="auto"/>
        <w:ind w:left="551" w:right="964" w:firstLine="480"/>
        <w:jc w:val="left"/>
        <w:rPr>
          <w:sz w:val="24"/>
        </w:rPr>
      </w:pPr>
      <w:r>
        <w:rPr>
          <w:rFonts w:ascii="Times New Roman" w:eastAsia="Times New Roman"/>
          <w:sz w:val="24"/>
        </w:rPr>
        <w:t>F4</w:t>
      </w:r>
      <w:r>
        <w:rPr>
          <w:spacing w:val="-4"/>
          <w:sz w:val="24"/>
        </w:rPr>
        <w:t>号断层：走向北西，倾向东，由</w:t>
      </w:r>
      <w:r>
        <w:rPr>
          <w:rFonts w:ascii="Times New Roman" w:eastAsia="Times New Roman"/>
          <w:sz w:val="24"/>
        </w:rPr>
        <w:t>90-1</w:t>
      </w:r>
      <w:r>
        <w:rPr>
          <w:spacing w:val="-8"/>
          <w:sz w:val="24"/>
        </w:rPr>
        <w:t>、</w:t>
      </w:r>
      <w:r>
        <w:rPr>
          <w:rFonts w:ascii="Times New Roman" w:eastAsia="Times New Roman"/>
          <w:sz w:val="24"/>
        </w:rPr>
        <w:t>90-2</w:t>
      </w:r>
      <w:r>
        <w:rPr>
          <w:spacing w:val="-3"/>
          <w:sz w:val="24"/>
        </w:rPr>
        <w:t>孔推定。同一水平，西盘为城子河组，东盘为穆棱组地层。落差不详，属推断断层。</w:t>
      </w:r>
    </w:p>
    <w:p>
      <w:pPr>
        <w:pStyle w:val="13"/>
        <w:numPr>
          <w:ilvl w:val="0"/>
          <w:numId w:val="56"/>
        </w:numPr>
        <w:tabs>
          <w:tab w:val="left" w:pos="1640"/>
        </w:tabs>
        <w:spacing w:before="0" w:after="0" w:line="364" w:lineRule="auto"/>
        <w:ind w:left="551" w:right="967" w:firstLine="480"/>
        <w:jc w:val="left"/>
        <w:rPr>
          <w:sz w:val="24"/>
        </w:rPr>
      </w:pPr>
      <w:r>
        <w:rPr>
          <w:rFonts w:ascii="Times New Roman" w:eastAsia="Times New Roman"/>
          <w:sz w:val="24"/>
        </w:rPr>
        <w:t>F5</w:t>
      </w:r>
      <w:r>
        <w:rPr>
          <w:sz w:val="24"/>
        </w:rPr>
        <w:t>号地层：走向北东，倾向南东，落差</w:t>
      </w:r>
      <w:r>
        <w:rPr>
          <w:rFonts w:ascii="Times New Roman" w:eastAsia="Times New Roman"/>
          <w:sz w:val="24"/>
        </w:rPr>
        <w:t>15-30</w:t>
      </w:r>
      <w:r>
        <w:rPr>
          <w:sz w:val="24"/>
        </w:rPr>
        <w:t>米，</w:t>
      </w:r>
      <w:r>
        <w:rPr>
          <w:rFonts w:ascii="Times New Roman" w:eastAsia="Times New Roman"/>
          <w:sz w:val="24"/>
        </w:rPr>
        <w:t>90-1</w:t>
      </w:r>
      <w:r>
        <w:rPr>
          <w:sz w:val="24"/>
        </w:rPr>
        <w:t>号钻孔控制，一井东部巷道控制，属较可靠。</w:t>
      </w:r>
    </w:p>
    <w:p>
      <w:pPr>
        <w:pStyle w:val="13"/>
        <w:numPr>
          <w:ilvl w:val="0"/>
          <w:numId w:val="56"/>
        </w:numPr>
        <w:tabs>
          <w:tab w:val="left" w:pos="1635"/>
        </w:tabs>
        <w:spacing w:before="0" w:after="0" w:line="362" w:lineRule="auto"/>
        <w:ind w:left="551" w:right="969" w:firstLine="480"/>
        <w:jc w:val="left"/>
        <w:rPr>
          <w:sz w:val="24"/>
        </w:rPr>
      </w:pPr>
      <w:r>
        <w:rPr>
          <w:rFonts w:ascii="Times New Roman" w:eastAsia="Times New Roman"/>
          <w:sz w:val="24"/>
        </w:rPr>
        <w:t>F6</w:t>
      </w:r>
      <w:r>
        <w:rPr>
          <w:sz w:val="24"/>
        </w:rPr>
        <w:t>号断层： 走向北东，倾向北西、落差</w:t>
      </w:r>
      <w:r>
        <w:rPr>
          <w:rFonts w:ascii="Times New Roman" w:eastAsia="Times New Roman"/>
          <w:sz w:val="24"/>
        </w:rPr>
        <w:t>0-20</w:t>
      </w:r>
      <w:r>
        <w:rPr>
          <w:spacing w:val="-1"/>
          <w:sz w:val="24"/>
        </w:rPr>
        <w:t>米，由长胜井、二井巷道</w:t>
      </w:r>
      <w:r>
        <w:rPr>
          <w:sz w:val="24"/>
        </w:rPr>
        <w:t>实见，属可靠。</w:t>
      </w:r>
    </w:p>
    <w:p>
      <w:pPr>
        <w:pStyle w:val="13"/>
        <w:numPr>
          <w:ilvl w:val="0"/>
          <w:numId w:val="56"/>
        </w:numPr>
        <w:tabs>
          <w:tab w:val="left" w:pos="1642"/>
        </w:tabs>
        <w:spacing w:before="0" w:after="0" w:line="362" w:lineRule="auto"/>
        <w:ind w:left="551" w:right="969" w:firstLine="480"/>
        <w:jc w:val="left"/>
        <w:rPr>
          <w:sz w:val="24"/>
        </w:rPr>
      </w:pPr>
      <w:r>
        <w:rPr>
          <w:rFonts w:ascii="Times New Roman" w:eastAsia="Times New Roman"/>
          <w:sz w:val="24"/>
        </w:rPr>
        <w:t>F7</w:t>
      </w:r>
      <w:r>
        <w:rPr>
          <w:sz w:val="24"/>
        </w:rPr>
        <w:t>号断层：走向北东东，倾向北西、落差</w:t>
      </w:r>
      <w:r>
        <w:rPr>
          <w:rFonts w:ascii="Times New Roman" w:eastAsia="Times New Roman"/>
          <w:sz w:val="24"/>
        </w:rPr>
        <w:t>20</w:t>
      </w:r>
      <w:r>
        <w:rPr>
          <w:sz w:val="24"/>
        </w:rPr>
        <w:t>米，由三井巷道实见，属可靠。</w:t>
      </w:r>
    </w:p>
    <w:p>
      <w:pPr>
        <w:pStyle w:val="13"/>
        <w:numPr>
          <w:ilvl w:val="0"/>
          <w:numId w:val="56"/>
        </w:numPr>
        <w:tabs>
          <w:tab w:val="left" w:pos="1633"/>
        </w:tabs>
        <w:spacing w:before="4" w:after="0" w:line="240" w:lineRule="auto"/>
        <w:ind w:left="1633" w:right="0" w:hanging="602"/>
        <w:jc w:val="left"/>
        <w:rPr>
          <w:sz w:val="24"/>
        </w:rPr>
      </w:pPr>
      <w:r>
        <w:rPr>
          <w:rFonts w:ascii="Times New Roman" w:hAnsi="Times New Roman" w:eastAsia="Times New Roman"/>
          <w:sz w:val="24"/>
        </w:rPr>
        <w:t>R5</w:t>
      </w:r>
      <w:r>
        <w:rPr>
          <w:sz w:val="24"/>
        </w:rPr>
        <w:t>号断层：逆断层，倾向</w:t>
      </w:r>
      <w:r>
        <w:rPr>
          <w:rFonts w:ascii="Times New Roman" w:hAnsi="Times New Roman" w:eastAsia="Times New Roman"/>
          <w:sz w:val="24"/>
        </w:rPr>
        <w:t>60°</w:t>
      </w:r>
      <w:r>
        <w:rPr>
          <w:sz w:val="24"/>
        </w:rPr>
        <w:t>南东，落差</w:t>
      </w:r>
      <w:r>
        <w:rPr>
          <w:rFonts w:ascii="Times New Roman" w:hAnsi="Times New Roman" w:eastAsia="Times New Roman"/>
          <w:sz w:val="24"/>
        </w:rPr>
        <w:t>6</w:t>
      </w:r>
      <w:r>
        <w:rPr>
          <w:sz w:val="24"/>
        </w:rPr>
        <w:t>米，九井实见，属于可靠。</w:t>
      </w:r>
    </w:p>
    <w:p>
      <w:pPr>
        <w:pStyle w:val="13"/>
        <w:numPr>
          <w:ilvl w:val="0"/>
          <w:numId w:val="56"/>
        </w:numPr>
        <w:tabs>
          <w:tab w:val="left" w:pos="1764"/>
        </w:tabs>
        <w:spacing w:before="160" w:after="0" w:line="240" w:lineRule="auto"/>
        <w:ind w:left="1764" w:right="0" w:hanging="733"/>
        <w:jc w:val="left"/>
        <w:rPr>
          <w:sz w:val="24"/>
        </w:rPr>
      </w:pPr>
      <w:r>
        <w:rPr>
          <w:rFonts w:ascii="Times New Roman" w:hAnsi="Times New Roman" w:eastAsia="Times New Roman"/>
          <w:spacing w:val="-3"/>
          <w:sz w:val="24"/>
        </w:rPr>
        <w:t>R11</w:t>
      </w:r>
      <w:r>
        <w:rPr>
          <w:sz w:val="24"/>
        </w:rPr>
        <w:t>号断层：逆断层，倾向南东，倾角</w:t>
      </w:r>
      <w:r>
        <w:rPr>
          <w:rFonts w:ascii="Times New Roman" w:hAnsi="Times New Roman" w:eastAsia="Times New Roman"/>
          <w:sz w:val="24"/>
        </w:rPr>
        <w:t>60°</w:t>
      </w:r>
      <w:r>
        <w:rPr>
          <w:spacing w:val="1"/>
          <w:sz w:val="24"/>
        </w:rPr>
        <w:t>，落差</w:t>
      </w:r>
      <w:r>
        <w:rPr>
          <w:rFonts w:ascii="Times New Roman" w:hAnsi="Times New Roman" w:eastAsia="Times New Roman"/>
          <w:sz w:val="24"/>
        </w:rPr>
        <w:t>100</w:t>
      </w:r>
      <w:r>
        <w:rPr>
          <w:sz w:val="24"/>
        </w:rPr>
        <w:t>米，钻孔控制，</w:t>
      </w:r>
    </w:p>
    <w:p>
      <w:pPr>
        <w:spacing w:after="0" w:line="240" w:lineRule="auto"/>
        <w:jc w:val="left"/>
        <w:rPr>
          <w:sz w:val="24"/>
        </w:rPr>
        <w:sectPr>
          <w:pgSz w:w="11910" w:h="16840"/>
          <w:pgMar w:top="1360" w:right="780" w:bottom="1180" w:left="1200" w:header="0" w:footer="917" w:gutter="0"/>
        </w:sectPr>
      </w:pPr>
    </w:p>
    <w:p>
      <w:pPr>
        <w:pStyle w:val="6"/>
        <w:spacing w:before="43"/>
        <w:ind w:left="551"/>
      </w:pPr>
      <w:r>
        <w:t>较可靠。</w:t>
      </w:r>
    </w:p>
    <w:p>
      <w:pPr>
        <w:pStyle w:val="13"/>
        <w:numPr>
          <w:ilvl w:val="0"/>
          <w:numId w:val="56"/>
        </w:numPr>
        <w:tabs>
          <w:tab w:val="left" w:pos="1744"/>
        </w:tabs>
        <w:spacing w:before="160" w:after="0" w:line="362" w:lineRule="auto"/>
        <w:ind w:left="551" w:right="871" w:firstLine="480"/>
        <w:jc w:val="left"/>
        <w:rPr>
          <w:sz w:val="24"/>
        </w:rPr>
      </w:pPr>
      <w:r>
        <w:rPr>
          <w:rFonts w:ascii="Times New Roman" w:hAnsi="Times New Roman" w:eastAsia="Times New Roman"/>
          <w:sz w:val="24"/>
        </w:rPr>
        <w:t>F12</w:t>
      </w:r>
      <w:r>
        <w:rPr>
          <w:sz w:val="24"/>
        </w:rPr>
        <w:t>号断层：逆断层，倾向南，倾角</w:t>
      </w:r>
      <w:r>
        <w:rPr>
          <w:rFonts w:ascii="Times New Roman" w:hAnsi="Times New Roman" w:eastAsia="Times New Roman"/>
          <w:sz w:val="24"/>
        </w:rPr>
        <w:t>60°</w:t>
      </w:r>
      <w:r>
        <w:rPr>
          <w:sz w:val="24"/>
        </w:rPr>
        <w:t>，落差大于</w:t>
      </w:r>
      <w:r>
        <w:rPr>
          <w:rFonts w:ascii="Times New Roman" w:hAnsi="Times New Roman" w:eastAsia="Times New Roman"/>
          <w:sz w:val="24"/>
        </w:rPr>
        <w:t>500</w:t>
      </w:r>
      <w:r>
        <w:rPr>
          <w:spacing w:val="-3"/>
          <w:sz w:val="24"/>
        </w:rPr>
        <w:t xml:space="preserve">米，钻孔控制， </w:t>
      </w:r>
      <w:r>
        <w:rPr>
          <w:sz w:val="24"/>
        </w:rPr>
        <w:t>较可靠。</w:t>
      </w:r>
    </w:p>
    <w:p>
      <w:pPr>
        <w:pStyle w:val="6"/>
        <w:spacing w:before="5"/>
        <w:ind w:left="1031"/>
      </w:pPr>
      <w:r>
        <w:t>大顺煤矿扩储后，整个井田断层特征见表</w:t>
      </w:r>
      <w:r>
        <w:rPr>
          <w:rFonts w:ascii="Times New Roman" w:eastAsia="Times New Roman"/>
        </w:rPr>
        <w:t>3.3-7</w:t>
      </w:r>
      <w:r>
        <w:t>。</w:t>
      </w:r>
    </w:p>
    <w:p>
      <w:pPr>
        <w:pStyle w:val="4"/>
        <w:numPr>
          <w:ilvl w:val="2"/>
          <w:numId w:val="55"/>
        </w:numPr>
        <w:tabs>
          <w:tab w:val="left" w:pos="1181"/>
        </w:tabs>
        <w:spacing w:before="159" w:after="0" w:line="240" w:lineRule="auto"/>
        <w:ind w:left="1180" w:right="0" w:hanging="630"/>
        <w:jc w:val="left"/>
      </w:pPr>
      <w:bookmarkStart w:id="218" w:name="6.2.3矿区地层"/>
      <w:bookmarkEnd w:id="218"/>
      <w:bookmarkStart w:id="219" w:name="6.2.3矿区地层"/>
      <w:bookmarkEnd w:id="219"/>
      <w:r>
        <w:t>矿区地层</w:t>
      </w:r>
    </w:p>
    <w:p>
      <w:pPr>
        <w:pStyle w:val="6"/>
        <w:spacing w:before="185"/>
        <w:ind w:left="1031"/>
      </w:pPr>
      <w:r>
        <w:t>本井田地层层序由老至新分述如下：</w:t>
      </w:r>
    </w:p>
    <w:p>
      <w:pPr>
        <w:pStyle w:val="13"/>
        <w:numPr>
          <w:ilvl w:val="0"/>
          <w:numId w:val="57"/>
        </w:numPr>
        <w:tabs>
          <w:tab w:val="left" w:pos="1633"/>
        </w:tabs>
        <w:spacing w:before="161" w:after="0" w:line="240" w:lineRule="auto"/>
        <w:ind w:left="1633" w:right="0" w:hanging="602"/>
        <w:jc w:val="left"/>
        <w:rPr>
          <w:sz w:val="24"/>
        </w:rPr>
      </w:pPr>
      <w:r>
        <w:rPr>
          <w:sz w:val="24"/>
        </w:rPr>
        <w:t>元古界麻山群</w:t>
      </w:r>
    </w:p>
    <w:p>
      <w:pPr>
        <w:pStyle w:val="6"/>
        <w:spacing w:before="158" w:line="364" w:lineRule="auto"/>
        <w:ind w:left="551" w:right="969" w:firstLine="480"/>
      </w:pPr>
      <w:r>
        <w:t>广泛出露于矿区的南部，构成煤系地层基底，主要岩性为花岗岩、片麻岩， 其次为黑云母片岩，绿泥石片岩等变质岩类，厚度大于</w:t>
      </w:r>
      <w:r>
        <w:rPr>
          <w:rFonts w:ascii="Times New Roman" w:eastAsia="Times New Roman"/>
        </w:rPr>
        <w:t>800</w:t>
      </w:r>
      <w:r>
        <w:t>米。</w:t>
      </w:r>
    </w:p>
    <w:p>
      <w:pPr>
        <w:pStyle w:val="13"/>
        <w:numPr>
          <w:ilvl w:val="0"/>
          <w:numId w:val="57"/>
        </w:numPr>
        <w:tabs>
          <w:tab w:val="left" w:pos="1633"/>
        </w:tabs>
        <w:spacing w:before="0" w:after="0" w:line="306" w:lineRule="exact"/>
        <w:ind w:left="1633" w:right="0" w:hanging="602"/>
        <w:jc w:val="left"/>
        <w:rPr>
          <w:sz w:val="24"/>
        </w:rPr>
      </w:pPr>
      <w:r>
        <w:rPr>
          <w:sz w:val="24"/>
        </w:rPr>
        <w:t>中生界白垩系鸡西群</w:t>
      </w:r>
    </w:p>
    <w:p>
      <w:pPr>
        <w:pStyle w:val="6"/>
        <w:spacing w:before="160" w:line="362" w:lineRule="auto"/>
        <w:ind w:left="551" w:right="969" w:firstLine="480"/>
      </w:pPr>
      <w:r>
        <w:rPr>
          <w:spacing w:val="-7"/>
        </w:rPr>
        <w:t>为一套陆相含煤碎屑岩系，不整合于元古界麻山群花岗岩之上，总厚度达</w:t>
      </w:r>
      <w:r>
        <w:rPr>
          <w:rFonts w:ascii="Times New Roman" w:eastAsia="Times New Roman"/>
          <w:spacing w:val="-6"/>
        </w:rPr>
        <w:t xml:space="preserve">800 </w:t>
      </w:r>
      <w:r>
        <w:t>米。划分为城子河组和穆棱组。</w:t>
      </w:r>
    </w:p>
    <w:p>
      <w:pPr>
        <w:pStyle w:val="6"/>
        <w:spacing w:before="5" w:line="364" w:lineRule="auto"/>
        <w:ind w:left="551" w:right="969" w:firstLine="480"/>
        <w:jc w:val="both"/>
      </w:pPr>
      <w:r>
        <w:rPr>
          <w:spacing w:val="-1"/>
        </w:rPr>
        <w:t>①城子河组：全区发育，其岩性大部分为灰白色中粒砂岩，灰色粉砂岩及少量泥岩，煤页岩及煤组成。依据岩性、岩相、含煤特征，该组地层在横头山地区</w:t>
      </w:r>
      <w:r>
        <w:t>总厚度</w:t>
      </w:r>
      <w:r>
        <w:rPr>
          <w:rFonts w:ascii="Times New Roman" w:hAnsi="Times New Roman" w:eastAsia="Times New Roman"/>
        </w:rPr>
        <w:t>500</w:t>
      </w:r>
      <w:r>
        <w:rPr>
          <w:spacing w:val="-5"/>
        </w:rPr>
        <w:t>余米，含煤</w:t>
      </w:r>
      <w:r>
        <w:rPr>
          <w:rFonts w:ascii="Times New Roman" w:hAnsi="Times New Roman" w:eastAsia="Times New Roman"/>
        </w:rPr>
        <w:t>20</w:t>
      </w:r>
      <w:r>
        <w:rPr>
          <w:spacing w:val="-5"/>
        </w:rPr>
        <w:t>多层，其中煤厚达工业指标要求的有</w:t>
      </w:r>
      <w:r>
        <w:rPr>
          <w:rFonts w:ascii="Times New Roman" w:hAnsi="Times New Roman" w:eastAsia="Times New Roman"/>
        </w:rPr>
        <w:t>10</w:t>
      </w:r>
      <w:r>
        <w:rPr>
          <w:spacing w:val="-24"/>
        </w:rPr>
        <w:t>、</w:t>
      </w:r>
      <w:r>
        <w:rPr>
          <w:rFonts w:ascii="Times New Roman" w:hAnsi="Times New Roman" w:eastAsia="Times New Roman"/>
        </w:rPr>
        <w:t>15</w:t>
      </w:r>
      <w:r>
        <w:rPr>
          <w:spacing w:val="-25"/>
        </w:rPr>
        <w:t>、</w:t>
      </w:r>
      <w:r>
        <w:rPr>
          <w:rFonts w:ascii="Times New Roman" w:hAnsi="Times New Roman" w:eastAsia="Times New Roman"/>
        </w:rPr>
        <w:t>20</w:t>
      </w:r>
      <w:r>
        <w:rPr>
          <w:spacing w:val="-24"/>
        </w:rPr>
        <w:t>、</w:t>
      </w:r>
      <w:r>
        <w:rPr>
          <w:rFonts w:ascii="Times New Roman" w:hAnsi="Times New Roman" w:eastAsia="Times New Roman"/>
        </w:rPr>
        <w:t>30</w:t>
      </w:r>
      <w:r>
        <w:rPr>
          <w:spacing w:val="-8"/>
        </w:rPr>
        <w:t>等四</w:t>
      </w:r>
      <w:r>
        <w:rPr>
          <w:spacing w:val="-1"/>
        </w:rPr>
        <w:t>个煤层。依据岩性及含煤性等组合特征，将该组地层划分为上、中、下三个含煤</w:t>
      </w:r>
      <w:r>
        <w:t>段。</w:t>
      </w:r>
    </w:p>
    <w:p>
      <w:pPr>
        <w:pStyle w:val="6"/>
        <w:spacing w:line="306" w:lineRule="exact"/>
        <w:ind w:left="1031"/>
      </w:pPr>
      <w:r>
        <w:t>上含煤段</w:t>
      </w:r>
    </w:p>
    <w:p>
      <w:pPr>
        <w:pStyle w:val="6"/>
        <w:spacing w:before="158" w:line="364" w:lineRule="auto"/>
        <w:ind w:left="551" w:right="969" w:firstLine="480"/>
        <w:jc w:val="both"/>
      </w:pPr>
      <w:r>
        <w:t>从穆棱组底界面以下到</w:t>
      </w:r>
      <w:r>
        <w:rPr>
          <w:rFonts w:ascii="Times New Roman" w:eastAsia="Times New Roman"/>
        </w:rPr>
        <w:t>10</w:t>
      </w:r>
      <w:r>
        <w:t>煤层之上</w:t>
      </w:r>
      <w:r>
        <w:rPr>
          <w:rFonts w:ascii="Times New Roman" w:eastAsia="Times New Roman"/>
        </w:rPr>
        <w:t>20</w:t>
      </w:r>
      <w:r>
        <w:rPr>
          <w:spacing w:val="-1"/>
        </w:rPr>
        <w:t>余米处一层灰色含砾中粗砂岩。该段地</w:t>
      </w:r>
      <w:r>
        <w:t>层厚度</w:t>
      </w:r>
      <w:r>
        <w:rPr>
          <w:rFonts w:ascii="Times New Roman" w:eastAsia="Times New Roman"/>
        </w:rPr>
        <w:t>180</w:t>
      </w:r>
      <w:r>
        <w:rPr>
          <w:spacing w:val="-8"/>
        </w:rPr>
        <w:t>余米，含煤</w:t>
      </w:r>
      <w:r>
        <w:rPr>
          <w:rFonts w:ascii="Times New Roman" w:eastAsia="Times New Roman"/>
        </w:rPr>
        <w:t>10</w:t>
      </w:r>
      <w:r>
        <w:rPr>
          <w:spacing w:val="-11"/>
        </w:rPr>
        <w:t>余层，均不可采。该段岩性以深灰色粉砂岩为主，夹有少</w:t>
      </w:r>
      <w:r>
        <w:t>量灰白色中细砂岩组成。</w:t>
      </w:r>
    </w:p>
    <w:p>
      <w:pPr>
        <w:pStyle w:val="6"/>
        <w:spacing w:line="307" w:lineRule="exact"/>
        <w:ind w:left="1031"/>
      </w:pPr>
      <w:r>
        <w:t>中含煤段</w:t>
      </w:r>
    </w:p>
    <w:p>
      <w:pPr>
        <w:pStyle w:val="6"/>
        <w:spacing w:before="159"/>
        <w:ind w:left="1031"/>
      </w:pPr>
      <w:r>
        <w:t>从上含煤段底界面到</w:t>
      </w:r>
      <w:r>
        <w:rPr>
          <w:rFonts w:ascii="Times New Roman" w:eastAsia="Times New Roman"/>
        </w:rPr>
        <w:t>50</w:t>
      </w:r>
      <w:r>
        <w:t>煤层下部</w:t>
      </w:r>
      <w:r>
        <w:rPr>
          <w:rFonts w:ascii="Times New Roman" w:eastAsia="Times New Roman"/>
        </w:rPr>
        <w:t>10</w:t>
      </w:r>
      <w:r>
        <w:rPr>
          <w:spacing w:val="-8"/>
        </w:rPr>
        <w:t>米处粗砂岩。该段地层厚度在</w:t>
      </w:r>
      <w:r>
        <w:rPr>
          <w:rFonts w:ascii="Times New Roman" w:eastAsia="Times New Roman"/>
        </w:rPr>
        <w:t>200</w:t>
      </w:r>
      <w:r>
        <w:rPr>
          <w:spacing w:val="-15"/>
        </w:rPr>
        <w:t>米，含煤</w:t>
      </w:r>
    </w:p>
    <w:p>
      <w:pPr>
        <w:pStyle w:val="6"/>
        <w:spacing w:before="160"/>
        <w:ind w:left="551"/>
      </w:pPr>
      <w:r>
        <w:rPr>
          <w:rFonts w:ascii="Times New Roman" w:eastAsia="Times New Roman"/>
        </w:rPr>
        <w:t>7</w:t>
      </w:r>
      <w:r>
        <w:t>－</w:t>
      </w:r>
      <w:r>
        <w:rPr>
          <w:rFonts w:ascii="Times New Roman" w:eastAsia="Times New Roman"/>
        </w:rPr>
        <w:t>8</w:t>
      </w:r>
      <w:r>
        <w:t>层，其中</w:t>
      </w:r>
      <w:r>
        <w:rPr>
          <w:rFonts w:ascii="Times New Roman" w:eastAsia="Times New Roman"/>
        </w:rPr>
        <w:t>10</w:t>
      </w:r>
      <w:r>
        <w:t>、</w:t>
      </w:r>
      <w:r>
        <w:rPr>
          <w:rFonts w:ascii="Times New Roman" w:eastAsia="Times New Roman"/>
        </w:rPr>
        <w:t>15</w:t>
      </w:r>
      <w:r>
        <w:t>号煤层为主要可采煤层，</w:t>
      </w:r>
      <w:r>
        <w:rPr>
          <w:rFonts w:ascii="Times New Roman" w:eastAsia="Times New Roman"/>
        </w:rPr>
        <w:t>20</w:t>
      </w:r>
      <w:r>
        <w:t>、</w:t>
      </w:r>
      <w:r>
        <w:rPr>
          <w:rFonts w:ascii="Times New Roman" w:eastAsia="Times New Roman"/>
        </w:rPr>
        <w:t>30</w:t>
      </w:r>
      <w:r>
        <w:t>煤层为局部可采煤层。其中</w:t>
      </w:r>
    </w:p>
    <w:p>
      <w:pPr>
        <w:pStyle w:val="6"/>
        <w:spacing w:before="158" w:line="364" w:lineRule="auto"/>
        <w:ind w:left="551" w:right="968"/>
        <w:jc w:val="both"/>
      </w:pPr>
      <w:r>
        <w:rPr>
          <w:rFonts w:ascii="Times New Roman" w:eastAsia="Times New Roman"/>
        </w:rPr>
        <w:t>20</w:t>
      </w:r>
      <w:r>
        <w:rPr>
          <w:spacing w:val="-1"/>
        </w:rPr>
        <w:t>煤层可采范围在大顺煤矿的北部即现在的扩大区范围和原顺达煤矿范围内，</w:t>
      </w:r>
      <w:r>
        <w:rPr>
          <w:rFonts w:ascii="Times New Roman" w:eastAsia="Times New Roman"/>
          <w:spacing w:val="-5"/>
        </w:rPr>
        <w:t xml:space="preserve">30 </w:t>
      </w:r>
      <w:r>
        <w:rPr>
          <w:spacing w:val="-4"/>
        </w:rPr>
        <w:t>煤层可采范围在大顺煤矿的西部及扩大区范围，其它各煤层均不可采。煤层为薄</w:t>
      </w:r>
      <w:r>
        <w:rPr>
          <w:rFonts w:ascii="Times New Roman" w:eastAsia="Times New Roman"/>
          <w:spacing w:val="-15"/>
        </w:rPr>
        <w:t xml:space="preserve">- </w:t>
      </w:r>
      <w:r>
        <w:rPr>
          <w:spacing w:val="-5"/>
        </w:rPr>
        <w:t>中厚煤层，其中</w:t>
      </w:r>
      <w:r>
        <w:rPr>
          <w:rFonts w:ascii="Times New Roman" w:eastAsia="Times New Roman"/>
        </w:rPr>
        <w:t>15</w:t>
      </w:r>
      <w:r>
        <w:t>煤层为薄</w:t>
      </w:r>
      <w:r>
        <w:rPr>
          <w:rFonts w:ascii="Times New Roman" w:eastAsia="Times New Roman"/>
        </w:rPr>
        <w:t>-</w:t>
      </w:r>
      <w:r>
        <w:rPr>
          <w:spacing w:val="-8"/>
        </w:rPr>
        <w:t>中厚煤层，其它煤层为薄煤层。该段岩性以灰白色细</w:t>
      </w:r>
      <w:r>
        <w:t>砂岩为主，夹有深灰色粉砂岩。</w:t>
      </w:r>
    </w:p>
    <w:p>
      <w:pPr>
        <w:pStyle w:val="6"/>
        <w:ind w:left="1031"/>
      </w:pPr>
      <w:r>
        <w:t>下含煤段</w:t>
      </w:r>
    </w:p>
    <w:p>
      <w:pPr>
        <w:pStyle w:val="6"/>
        <w:spacing w:before="158"/>
        <w:ind w:left="1031"/>
      </w:pPr>
      <w:r>
        <w:t>从中含煤段以下到基底之间这段地层。一般厚度在</w:t>
      </w:r>
      <w:r>
        <w:rPr>
          <w:rFonts w:ascii="Times New Roman" w:eastAsia="Times New Roman"/>
        </w:rPr>
        <w:t>100</w:t>
      </w:r>
      <w:r>
        <w:t>余米，含有</w:t>
      </w:r>
      <w:r>
        <w:rPr>
          <w:rFonts w:ascii="Times New Roman" w:eastAsia="Times New Roman"/>
        </w:rPr>
        <w:t>6</w:t>
      </w:r>
      <w:r>
        <w:t>－</w:t>
      </w:r>
      <w:r>
        <w:rPr>
          <w:rFonts w:ascii="Times New Roman" w:eastAsia="Times New Roman"/>
        </w:rPr>
        <w:t>7</w:t>
      </w:r>
      <w:r>
        <w:t>层薄煤</w:t>
      </w:r>
    </w:p>
    <w:p>
      <w:pPr>
        <w:spacing w:after="0"/>
        <w:sectPr>
          <w:pgSz w:w="11910" w:h="16840"/>
          <w:pgMar w:top="1380" w:right="780" w:bottom="1180" w:left="1200" w:header="0" w:footer="917" w:gutter="0"/>
        </w:sectPr>
      </w:pPr>
    </w:p>
    <w:p>
      <w:pPr>
        <w:pStyle w:val="6"/>
        <w:spacing w:before="63" w:line="364" w:lineRule="auto"/>
        <w:ind w:left="551" w:right="972"/>
      </w:pPr>
      <w:r>
        <w:t>层，均无开采价值。该段岩性上部夹有两层浅绿色厚度在</w:t>
      </w:r>
      <w:r>
        <w:rPr>
          <w:rFonts w:ascii="Times New Roman" w:eastAsia="Times New Roman"/>
        </w:rPr>
        <w:t>1.00</w:t>
      </w:r>
      <w:r>
        <w:t>米左右的凝灰岩， 全段以灰－灰白色中砂岩为主，夹有薄层深灰色粉砂岩及灰色含砾粗砂岩。</w:t>
      </w:r>
    </w:p>
    <w:p>
      <w:pPr>
        <w:pStyle w:val="6"/>
        <w:spacing w:line="364" w:lineRule="auto"/>
        <w:ind w:left="551" w:right="849" w:firstLine="480"/>
        <w:jc w:val="both"/>
      </w:pPr>
      <w:r>
        <w:rPr>
          <w:spacing w:val="-8"/>
        </w:rPr>
        <w:t>②穆棱组：整合覆于城子河组之上</w:t>
      </w:r>
      <w:r>
        <w:rPr>
          <w:rFonts w:ascii="Times New Roman" w:hAnsi="Times New Roman" w:eastAsia="Times New Roman"/>
        </w:rPr>
        <w:t>,</w:t>
      </w:r>
      <w:r>
        <w:rPr>
          <w:spacing w:val="-13"/>
        </w:rPr>
        <w:t>主要岩性为灰色、灰白色砂质粉砂岩，细、</w:t>
      </w:r>
      <w:r>
        <w:rPr>
          <w:spacing w:val="-12"/>
        </w:rPr>
        <w:t xml:space="preserve">粉砂岩互层，其次为细砂岩及薄层中粗砂岩。含多层灰绿色凝灰质粉砂岩及薄煤， </w:t>
      </w:r>
      <w:r>
        <w:t>煤厚在</w:t>
      </w:r>
      <w:r>
        <w:rPr>
          <w:rFonts w:ascii="Times New Roman" w:hAnsi="Times New Roman" w:eastAsia="Times New Roman"/>
        </w:rPr>
        <w:t>0.5</w:t>
      </w:r>
      <w:r>
        <w:t>米左右者</w:t>
      </w:r>
      <w:r>
        <w:rPr>
          <w:rFonts w:ascii="Times New Roman" w:hAnsi="Times New Roman" w:eastAsia="Times New Roman"/>
        </w:rPr>
        <w:t>5</w:t>
      </w:r>
      <w:r>
        <w:t>层。在本区东部发育，厚度在</w:t>
      </w:r>
      <w:r>
        <w:rPr>
          <w:rFonts w:ascii="Times New Roman" w:hAnsi="Times New Roman" w:eastAsia="Times New Roman"/>
        </w:rPr>
        <w:t>0-300</w:t>
      </w:r>
      <w:r>
        <w:t>米。</w:t>
      </w:r>
    </w:p>
    <w:p>
      <w:pPr>
        <w:pStyle w:val="13"/>
        <w:numPr>
          <w:ilvl w:val="0"/>
          <w:numId w:val="57"/>
        </w:numPr>
        <w:tabs>
          <w:tab w:val="left" w:pos="1633"/>
        </w:tabs>
        <w:spacing w:before="0" w:after="0" w:line="307" w:lineRule="exact"/>
        <w:ind w:left="1633" w:right="0" w:hanging="602"/>
        <w:jc w:val="left"/>
        <w:rPr>
          <w:sz w:val="24"/>
        </w:rPr>
      </w:pPr>
      <w:r>
        <w:rPr>
          <w:sz w:val="24"/>
        </w:rPr>
        <w:t>新近系</w:t>
      </w:r>
    </w:p>
    <w:p>
      <w:pPr>
        <w:pStyle w:val="6"/>
        <w:spacing w:before="157" w:line="364" w:lineRule="auto"/>
        <w:ind w:left="551" w:right="969" w:firstLine="480"/>
      </w:pPr>
      <w:r>
        <w:t>主要岩性为玄武岩，不整合覆盖于煤系地层之上，黑色致密，隐晶质结构， 厚度一般</w:t>
      </w:r>
      <w:r>
        <w:rPr>
          <w:rFonts w:ascii="Times New Roman" w:eastAsia="Times New Roman"/>
        </w:rPr>
        <w:t>0-40</w:t>
      </w:r>
      <w:r>
        <w:t>米。</w:t>
      </w:r>
    </w:p>
    <w:p>
      <w:pPr>
        <w:pStyle w:val="13"/>
        <w:numPr>
          <w:ilvl w:val="0"/>
          <w:numId w:val="57"/>
        </w:numPr>
        <w:tabs>
          <w:tab w:val="left" w:pos="1633"/>
        </w:tabs>
        <w:spacing w:before="1" w:after="0" w:line="240" w:lineRule="auto"/>
        <w:ind w:left="1633" w:right="0" w:hanging="602"/>
        <w:jc w:val="left"/>
        <w:rPr>
          <w:sz w:val="24"/>
        </w:rPr>
      </w:pPr>
      <w:r>
        <w:rPr>
          <w:sz w:val="24"/>
        </w:rPr>
        <w:t>第四系</w:t>
      </w:r>
    </w:p>
    <w:p>
      <w:pPr>
        <w:pStyle w:val="6"/>
        <w:spacing w:before="158" w:line="362" w:lineRule="auto"/>
        <w:ind w:left="551" w:right="849" w:firstLine="480"/>
      </w:pPr>
      <w:r>
        <w:t>位于山谷至山麓一带，谷底为冲积层，向上渐变为坡积层，成分多为黏土和</w:t>
      </w:r>
      <w:r>
        <w:rPr>
          <w:spacing w:val="-12"/>
        </w:rPr>
        <w:t>风化玄武岩、砂岩碎块，两极厚度为</w:t>
      </w:r>
      <w:r>
        <w:rPr>
          <w:rFonts w:ascii="Times New Roman" w:eastAsia="Times New Roman"/>
        </w:rPr>
        <w:t>2-17</w:t>
      </w:r>
      <w:r>
        <w:rPr>
          <w:spacing w:val="-10"/>
        </w:rPr>
        <w:t>米，一般厚度</w:t>
      </w:r>
      <w:r>
        <w:rPr>
          <w:rFonts w:ascii="Times New Roman" w:eastAsia="Times New Roman"/>
        </w:rPr>
        <w:t>5</w:t>
      </w:r>
      <w:r>
        <w:rPr>
          <w:spacing w:val="-8"/>
        </w:rPr>
        <w:t>米。本井田地层见表</w:t>
      </w:r>
      <w:r>
        <w:rPr>
          <w:rFonts w:ascii="Times New Roman" w:eastAsia="Times New Roman"/>
        </w:rPr>
        <w:t>3.3-4</w:t>
      </w:r>
      <w:r>
        <w:rPr>
          <w:spacing w:val="-13"/>
        </w:rPr>
        <w:t>。</w:t>
      </w:r>
    </w:p>
    <w:p>
      <w:pPr>
        <w:pStyle w:val="4"/>
        <w:numPr>
          <w:ilvl w:val="2"/>
          <w:numId w:val="55"/>
        </w:numPr>
        <w:tabs>
          <w:tab w:val="left" w:pos="1181"/>
        </w:tabs>
        <w:spacing w:before="6" w:after="0" w:line="240" w:lineRule="auto"/>
        <w:ind w:left="1180" w:right="0" w:hanging="630"/>
        <w:jc w:val="left"/>
      </w:pPr>
      <w:bookmarkStart w:id="220" w:name="6.2.4火成岩及岩浆岩活动"/>
      <w:bookmarkEnd w:id="220"/>
      <w:bookmarkStart w:id="221" w:name="6.2.4火成岩及岩浆岩活动"/>
      <w:bookmarkEnd w:id="221"/>
      <w:r>
        <w:t>火成岩及岩浆岩活动</w:t>
      </w:r>
    </w:p>
    <w:p>
      <w:pPr>
        <w:pStyle w:val="6"/>
        <w:spacing w:before="185" w:line="364" w:lineRule="auto"/>
        <w:ind w:left="551" w:right="969" w:firstLine="480"/>
        <w:jc w:val="both"/>
      </w:pPr>
      <w:r>
        <w:rPr>
          <w:spacing w:val="-1"/>
        </w:rPr>
        <w:t>该矿井岩浆岩活动很弱，在已掘进的所有巷道中只在原劳教所三井中见一条</w:t>
      </w:r>
      <w:r>
        <w:rPr>
          <w:spacing w:val="-20"/>
        </w:rPr>
        <w:t xml:space="preserve">北东 </w:t>
      </w:r>
      <w:r>
        <w:rPr>
          <w:rFonts w:ascii="Times New Roman" w:hAnsi="Times New Roman" w:eastAsia="Times New Roman"/>
        </w:rPr>
        <w:t>70°</w:t>
      </w:r>
      <w:r>
        <w:rPr>
          <w:spacing w:val="-12"/>
        </w:rPr>
        <w:t xml:space="preserve">出露宽度 </w:t>
      </w:r>
      <w:r>
        <w:rPr>
          <w:rFonts w:ascii="Times New Roman" w:hAnsi="Times New Roman" w:eastAsia="Times New Roman"/>
        </w:rPr>
        <w:t xml:space="preserve">4 </w:t>
      </w:r>
      <w:r>
        <w:rPr>
          <w:spacing w:val="-3"/>
        </w:rPr>
        <w:t xml:space="preserve">米，呈岩墙侵入到煤层中，岩性为闪长玢岩，岩墙宽度 </w:t>
      </w:r>
      <w:r>
        <w:rPr>
          <w:rFonts w:ascii="Times New Roman" w:hAnsi="Times New Roman" w:eastAsia="Times New Roman"/>
        </w:rPr>
        <w:t>3</w:t>
      </w:r>
      <w:r>
        <w:t>－</w:t>
      </w:r>
      <w:r>
        <w:rPr>
          <w:rFonts w:ascii="Times New Roman" w:hAnsi="Times New Roman" w:eastAsia="Times New Roman"/>
        </w:rPr>
        <w:t xml:space="preserve">5 </w:t>
      </w:r>
      <w:r>
        <w:rPr>
          <w:spacing w:val="-13"/>
        </w:rPr>
        <w:t xml:space="preserve">米，煤层同岩墙接触处有 </w:t>
      </w:r>
      <w:r>
        <w:rPr>
          <w:rFonts w:ascii="Times New Roman" w:hAnsi="Times New Roman" w:eastAsia="Times New Roman"/>
        </w:rPr>
        <w:t>0.5</w:t>
      </w:r>
      <w:r>
        <w:t>－</w:t>
      </w:r>
      <w:r>
        <w:rPr>
          <w:rFonts w:ascii="Times New Roman" w:hAnsi="Times New Roman" w:eastAsia="Times New Roman"/>
        </w:rPr>
        <w:t xml:space="preserve">1.20 </w:t>
      </w:r>
      <w:r>
        <w:rPr>
          <w:spacing w:val="-7"/>
        </w:rPr>
        <w:t>米宽的煤层变为天然焦。对采区的布置及开采</w:t>
      </w:r>
      <w:r>
        <w:t>均有一定影响。</w:t>
      </w:r>
    </w:p>
    <w:p>
      <w:pPr>
        <w:pStyle w:val="6"/>
        <w:spacing w:line="305" w:lineRule="exact"/>
        <w:ind w:left="1031"/>
        <w:jc w:val="both"/>
      </w:pPr>
      <w:r>
        <w:t xml:space="preserve">在 </w:t>
      </w:r>
      <w:r>
        <w:rPr>
          <w:rFonts w:ascii="Times New Roman" w:eastAsia="Times New Roman"/>
        </w:rPr>
        <w:t xml:space="preserve">90-6 </w:t>
      </w:r>
      <w:r>
        <w:t xml:space="preserve">号孔 </w:t>
      </w:r>
      <w:r>
        <w:rPr>
          <w:rFonts w:ascii="Times New Roman" w:eastAsia="Times New Roman"/>
        </w:rPr>
        <w:t xml:space="preserve">15 </w:t>
      </w:r>
      <w:r>
        <w:t xml:space="preserve">煤层以下 </w:t>
      </w:r>
      <w:r>
        <w:rPr>
          <w:rFonts w:ascii="Times New Roman" w:eastAsia="Times New Roman"/>
        </w:rPr>
        <w:t xml:space="preserve">20 </w:t>
      </w:r>
      <w:r>
        <w:t xml:space="preserve">米见 </w:t>
      </w:r>
      <w:r>
        <w:rPr>
          <w:rFonts w:ascii="Times New Roman" w:eastAsia="Times New Roman"/>
        </w:rPr>
        <w:t xml:space="preserve">26 </w:t>
      </w:r>
      <w:r>
        <w:t xml:space="preserve">米的闪长玢岩，在 </w:t>
      </w:r>
      <w:r>
        <w:rPr>
          <w:rFonts w:ascii="Times New Roman" w:eastAsia="Times New Roman"/>
        </w:rPr>
        <w:t xml:space="preserve">90-1 </w:t>
      </w:r>
      <w:r>
        <w:t xml:space="preserve">号孔 </w:t>
      </w:r>
      <w:r>
        <w:rPr>
          <w:rFonts w:ascii="Times New Roman" w:eastAsia="Times New Roman"/>
        </w:rPr>
        <w:t xml:space="preserve">10 </w:t>
      </w:r>
      <w:r>
        <w:t>煤层以</w:t>
      </w:r>
    </w:p>
    <w:p>
      <w:pPr>
        <w:pStyle w:val="6"/>
        <w:spacing w:before="160"/>
        <w:ind w:left="551"/>
      </w:pPr>
      <w:r>
        <w:t xml:space="preserve">上 </w:t>
      </w:r>
      <w:r>
        <w:rPr>
          <w:rFonts w:ascii="Times New Roman" w:eastAsia="Times New Roman"/>
        </w:rPr>
        <w:t xml:space="preserve">30 </w:t>
      </w:r>
      <w:r>
        <w:t xml:space="preserve">米见 </w:t>
      </w:r>
      <w:r>
        <w:rPr>
          <w:rFonts w:ascii="Times New Roman" w:eastAsia="Times New Roman"/>
        </w:rPr>
        <w:t xml:space="preserve">2 </w:t>
      </w:r>
      <w:r>
        <w:t>米厚的闪长玢岩，以岩脉的形式产出。对煤层煤质影响不大。</w:t>
      </w:r>
    </w:p>
    <w:p>
      <w:pPr>
        <w:pStyle w:val="6"/>
        <w:spacing w:before="159" w:line="364" w:lineRule="auto"/>
        <w:ind w:left="551" w:right="786" w:firstLine="480"/>
      </w:pPr>
      <w:r>
        <w:t xml:space="preserve">西北部临近煤井岭东区顺达煤井矿井中岩浆岩发育不频繁，仅见一条贯穿南北的岩墙。南北两侧厚度只有 </w:t>
      </w:r>
      <w:r>
        <w:rPr>
          <w:rFonts w:ascii="Times New Roman" w:hAnsi="Times New Roman" w:eastAsia="Times New Roman"/>
        </w:rPr>
        <w:t xml:space="preserve">0-30 </w:t>
      </w:r>
      <w:r>
        <w:t xml:space="preserve">米，中间较厚，最厚可达 </w:t>
      </w:r>
      <w:r>
        <w:rPr>
          <w:rFonts w:ascii="Times New Roman" w:hAnsi="Times New Roman" w:eastAsia="Times New Roman"/>
        </w:rPr>
        <w:t xml:space="preserve">30 </w:t>
      </w:r>
      <w:r>
        <w:t xml:space="preserve">米，分叉出二条小的岩脉。岩性为中性闪长玢岩类。对煤质有影响，同岩浆岩接触处煤层变成天然焦，或无烟煤，影响范围一般在 </w:t>
      </w:r>
      <w:r>
        <w:rPr>
          <w:rFonts w:ascii="Times New Roman" w:hAnsi="Times New Roman" w:eastAsia="Times New Roman"/>
        </w:rPr>
        <w:t xml:space="preserve">2—3 </w:t>
      </w:r>
      <w:r>
        <w:t>米，在岩浆岩接触处煤厚稍有压薄现象。在右十四片中见有两条岩脉。</w:t>
      </w:r>
    </w:p>
    <w:p>
      <w:pPr>
        <w:pStyle w:val="3"/>
        <w:numPr>
          <w:ilvl w:val="1"/>
          <w:numId w:val="55"/>
        </w:numPr>
        <w:tabs>
          <w:tab w:val="left" w:pos="1001"/>
        </w:tabs>
        <w:spacing w:before="115" w:after="0" w:line="240" w:lineRule="auto"/>
        <w:ind w:left="1000" w:right="0" w:hanging="450"/>
        <w:jc w:val="left"/>
      </w:pPr>
      <w:bookmarkStart w:id="222" w:name="_bookmark32"/>
      <w:bookmarkEnd w:id="222"/>
      <w:bookmarkStart w:id="223" w:name="6.3水文地质条件"/>
      <w:bookmarkEnd w:id="223"/>
      <w:bookmarkStart w:id="224" w:name="_bookmark32"/>
      <w:bookmarkEnd w:id="224"/>
      <w:r>
        <w:t>水文地质条件</w:t>
      </w:r>
    </w:p>
    <w:p>
      <w:pPr>
        <w:pStyle w:val="4"/>
        <w:numPr>
          <w:ilvl w:val="2"/>
          <w:numId w:val="55"/>
        </w:numPr>
        <w:tabs>
          <w:tab w:val="left" w:pos="1253"/>
        </w:tabs>
        <w:spacing w:before="123" w:after="0" w:line="240" w:lineRule="auto"/>
        <w:ind w:left="1252" w:right="0" w:hanging="702"/>
        <w:jc w:val="left"/>
      </w:pPr>
      <w:bookmarkStart w:id="225" w:name="6.3.1 评价区含水层"/>
      <w:bookmarkEnd w:id="225"/>
      <w:bookmarkStart w:id="226" w:name="6.3.1 评价区含水层"/>
      <w:bookmarkEnd w:id="226"/>
      <w:r>
        <w:t>评价区含水层</w:t>
      </w:r>
    </w:p>
    <w:p>
      <w:pPr>
        <w:pStyle w:val="6"/>
        <w:spacing w:before="185" w:line="362" w:lineRule="auto"/>
        <w:ind w:left="551" w:right="969" w:firstLine="480"/>
      </w:pPr>
      <w:r>
        <w:t>矿区内无地表水体，第四系地层很薄，而且都是粘土不含水。大气降水是矿井水主要补给来源。</w:t>
      </w:r>
    </w:p>
    <w:p>
      <w:pPr>
        <w:pStyle w:val="6"/>
        <w:spacing w:before="5"/>
        <w:ind w:left="1031"/>
      </w:pPr>
      <w:r>
        <w:t>①基岩裂隙含水带</w:t>
      </w:r>
    </w:p>
    <w:p>
      <w:pPr>
        <w:pStyle w:val="6"/>
        <w:spacing w:before="158"/>
        <w:ind w:left="1031"/>
      </w:pPr>
      <w:r>
        <w:t>根据裂隙发育程度、埋藏深度、充填情况及含水性和透水性等因素，可将煤</w:t>
      </w:r>
    </w:p>
    <w:p>
      <w:pPr>
        <w:spacing w:after="0"/>
        <w:sectPr>
          <w:pgSz w:w="11910" w:h="16840"/>
          <w:pgMar w:top="1360" w:right="780" w:bottom="1180" w:left="1200" w:header="0" w:footer="917" w:gutter="0"/>
        </w:sectPr>
      </w:pPr>
    </w:p>
    <w:p>
      <w:pPr>
        <w:pStyle w:val="6"/>
        <w:spacing w:before="43"/>
        <w:ind w:left="551"/>
      </w:pPr>
      <w:r>
        <w:t>系裂隙含水带分为风化裂隙含水带和弱裂隙含水带。</w:t>
      </w:r>
    </w:p>
    <w:p>
      <w:pPr>
        <w:pStyle w:val="6"/>
        <w:spacing w:before="160" w:line="364" w:lineRule="auto"/>
        <w:ind w:left="551" w:right="967" w:firstLine="480"/>
        <w:jc w:val="both"/>
      </w:pPr>
      <w:r>
        <w:rPr>
          <w:spacing w:val="-1"/>
        </w:rPr>
        <w:t>浅部强烈风化，岩芯破碎成块状，较松散，多为张裂隙，局部有隐裂隙，局</w:t>
      </w:r>
      <w:r>
        <w:rPr>
          <w:spacing w:val="-3"/>
        </w:rPr>
        <w:t>部被方解石充填，裂隙长度</w:t>
      </w:r>
      <w:r>
        <w:rPr>
          <w:rFonts w:ascii="Times New Roman" w:eastAsia="Times New Roman"/>
          <w:spacing w:val="-3"/>
        </w:rPr>
        <w:t>0.1</w:t>
      </w:r>
      <w:r>
        <w:rPr>
          <w:spacing w:val="-3"/>
        </w:rPr>
        <w:t>～</w:t>
      </w:r>
      <w:r>
        <w:rPr>
          <w:rFonts w:ascii="Times New Roman" w:eastAsia="Times New Roman"/>
          <w:spacing w:val="-3"/>
        </w:rPr>
        <w:t>0.3m</w:t>
      </w:r>
      <w:r>
        <w:rPr>
          <w:spacing w:val="-5"/>
        </w:rPr>
        <w:t>，裂隙含泥质呈铁锈色，近垂直裂隙和斜交</w:t>
      </w:r>
      <w:r>
        <w:rPr>
          <w:spacing w:val="-6"/>
        </w:rPr>
        <w:t>裂隙，为风化裂隙含水带，其厚度一般</w:t>
      </w:r>
      <w:r>
        <w:rPr>
          <w:rFonts w:ascii="Times New Roman" w:eastAsia="Times New Roman"/>
        </w:rPr>
        <w:t>60.00</w:t>
      </w:r>
      <w:r>
        <w:t>～</w:t>
      </w:r>
      <w:r>
        <w:rPr>
          <w:rFonts w:ascii="Times New Roman" w:eastAsia="Times New Roman"/>
        </w:rPr>
        <w:t>80.00m</w:t>
      </w:r>
      <w:r>
        <w:rPr>
          <w:spacing w:val="-7"/>
        </w:rPr>
        <w:t>。其下为弱裂隙含水带，厚</w:t>
      </w:r>
      <w:r>
        <w:t>度一般</w:t>
      </w:r>
      <w:r>
        <w:rPr>
          <w:rFonts w:ascii="Times New Roman" w:eastAsia="Times New Roman"/>
        </w:rPr>
        <w:t>60.00</w:t>
      </w:r>
      <w:r>
        <w:t>～</w:t>
      </w:r>
      <w:r>
        <w:rPr>
          <w:rFonts w:ascii="Times New Roman" w:eastAsia="Times New Roman"/>
        </w:rPr>
        <w:t>100.00m</w:t>
      </w:r>
      <w:r>
        <w:t>。含水性和透水性上部强，下部弱。</w:t>
      </w:r>
    </w:p>
    <w:p>
      <w:pPr>
        <w:pStyle w:val="6"/>
        <w:spacing w:line="305" w:lineRule="exact"/>
        <w:ind w:left="1031"/>
      </w:pPr>
      <w:r>
        <w:t>②风化裂隙含水带</w:t>
      </w:r>
    </w:p>
    <w:p>
      <w:pPr>
        <w:pStyle w:val="6"/>
        <w:spacing w:before="158" w:line="364" w:lineRule="auto"/>
        <w:ind w:left="551" w:right="969" w:firstLine="480"/>
        <w:jc w:val="both"/>
      </w:pPr>
      <w:r>
        <w:t>是本矿区直接充水含水带。岩性为粉砂岩、细砂岩、中砂岩等。厚度一般</w:t>
      </w:r>
      <w:r>
        <w:rPr>
          <w:rFonts w:ascii="Times New Roman" w:eastAsia="Times New Roman"/>
        </w:rPr>
        <w:t>60.00</w:t>
      </w:r>
      <w:r>
        <w:t>～</w:t>
      </w:r>
      <w:r>
        <w:rPr>
          <w:rFonts w:ascii="Times New Roman" w:eastAsia="Times New Roman"/>
        </w:rPr>
        <w:t>80.00m</w:t>
      </w:r>
      <w:r>
        <w:t>，埋深一般</w:t>
      </w:r>
      <w:r>
        <w:rPr>
          <w:rFonts w:ascii="Times New Roman" w:eastAsia="Times New Roman"/>
        </w:rPr>
        <w:t>90.00</w:t>
      </w:r>
      <w:r>
        <w:t>～</w:t>
      </w:r>
      <w:r>
        <w:rPr>
          <w:rFonts w:ascii="Times New Roman" w:eastAsia="Times New Roman"/>
        </w:rPr>
        <w:t>130.00m</w:t>
      </w:r>
      <w:r>
        <w:t>。水力性质为裂隙承压水，是矿床直接充水含水带。补给来源为大气降水和地下水上游侧向补给。</w:t>
      </w:r>
    </w:p>
    <w:p>
      <w:pPr>
        <w:pStyle w:val="6"/>
        <w:spacing w:before="79"/>
        <w:ind w:left="1031"/>
      </w:pPr>
      <w:r>
        <w:t>③弱裂隙含水带</w:t>
      </w:r>
    </w:p>
    <w:p>
      <w:pPr>
        <w:pStyle w:val="6"/>
        <w:spacing w:before="160" w:line="364" w:lineRule="auto"/>
        <w:ind w:left="551" w:right="973" w:firstLine="480"/>
        <w:jc w:val="both"/>
      </w:pPr>
      <w:r>
        <w:t>位于风化裂隙含水带之下，裂隙发育较弱，即使有裂隙，也多数被方解石充填，含水性弱。厚度一般</w:t>
      </w:r>
      <w:r>
        <w:rPr>
          <w:rFonts w:ascii="Times New Roman" w:eastAsia="Times New Roman"/>
        </w:rPr>
        <w:t>60.00</w:t>
      </w:r>
      <w:r>
        <w:t>～</w:t>
      </w:r>
      <w:r>
        <w:rPr>
          <w:rFonts w:ascii="Times New Roman" w:eastAsia="Times New Roman"/>
        </w:rPr>
        <w:t>100.00m</w:t>
      </w:r>
      <w:r>
        <w:t>。水力性质为裂隙承压水，对矿井充水较弱。主要补给来源为上部风化裂隙含水带。</w:t>
      </w:r>
    </w:p>
    <w:p>
      <w:pPr>
        <w:pStyle w:val="6"/>
        <w:spacing w:before="2"/>
        <w:ind w:left="1031"/>
      </w:pPr>
      <w:r>
        <w:t>④构造裂隙含水带</w:t>
      </w:r>
    </w:p>
    <w:p>
      <w:pPr>
        <w:pStyle w:val="6"/>
        <w:spacing w:before="161" w:line="364" w:lineRule="auto"/>
        <w:ind w:left="551" w:right="969" w:firstLine="480"/>
        <w:jc w:val="both"/>
      </w:pPr>
      <w:r>
        <w:rPr>
          <w:spacing w:val="-1"/>
        </w:rPr>
        <w:t>矿区内断裂较发育，在裂隙含水带范围内，裂隙发育程度好，本矿区有多条</w:t>
      </w:r>
      <w:r>
        <w:rPr>
          <w:spacing w:val="-6"/>
        </w:rPr>
        <w:t xml:space="preserve">断层，均为正断层，落差一般在 </w:t>
      </w:r>
      <w:r>
        <w:rPr>
          <w:rFonts w:ascii="Times New Roman" w:eastAsia="Times New Roman"/>
        </w:rPr>
        <w:t>20</w:t>
      </w:r>
      <w:r>
        <w:t>～</w:t>
      </w:r>
      <w:r>
        <w:rPr>
          <w:rFonts w:ascii="Times New Roman" w:eastAsia="Times New Roman"/>
        </w:rPr>
        <w:t>75m</w:t>
      </w:r>
      <w:r>
        <w:rPr>
          <w:spacing w:val="-2"/>
        </w:rPr>
        <w:t>，在断层附近构造裂隙较发育，以构造</w:t>
      </w:r>
      <w:r>
        <w:t>裂隙充水为主，地层的富水程度相对较强。</w:t>
      </w:r>
    </w:p>
    <w:p>
      <w:pPr>
        <w:pStyle w:val="4"/>
        <w:numPr>
          <w:ilvl w:val="2"/>
          <w:numId w:val="55"/>
        </w:numPr>
        <w:tabs>
          <w:tab w:val="left" w:pos="1181"/>
        </w:tabs>
        <w:spacing w:before="0" w:after="0" w:line="282" w:lineRule="exact"/>
        <w:ind w:left="1180" w:right="0" w:hanging="630"/>
        <w:jc w:val="left"/>
      </w:pPr>
      <w:bookmarkStart w:id="227" w:name="6.3.2地下水径流"/>
      <w:bookmarkEnd w:id="227"/>
      <w:bookmarkStart w:id="228" w:name="6.3.2地下水径流"/>
      <w:bookmarkEnd w:id="228"/>
      <w:r>
        <w:t>地下水径流</w:t>
      </w:r>
    </w:p>
    <w:p>
      <w:pPr>
        <w:pStyle w:val="6"/>
        <w:spacing w:before="264"/>
        <w:ind w:left="1031"/>
      </w:pPr>
      <w:r>
        <w:t>①大气降雨主要通过采空区冒落带、导水断层和封孔不良的钻孔等导入井下。</w:t>
      </w:r>
    </w:p>
    <w:p>
      <w:pPr>
        <w:pStyle w:val="6"/>
        <w:spacing w:before="161" w:line="364" w:lineRule="auto"/>
        <w:ind w:left="551" w:right="973" w:firstLine="480"/>
      </w:pPr>
      <w:r>
        <w:t>②第四系孔隙含水岩系水层的水主要通过采空区冒落带、断层带、煤层顶、底板弱含水层孔隙和封孔不良的钻孔等导入井下。</w:t>
      </w:r>
    </w:p>
    <w:p>
      <w:pPr>
        <w:pStyle w:val="4"/>
        <w:numPr>
          <w:ilvl w:val="2"/>
          <w:numId w:val="55"/>
        </w:numPr>
        <w:tabs>
          <w:tab w:val="left" w:pos="1181"/>
        </w:tabs>
        <w:spacing w:before="0" w:after="0" w:line="282" w:lineRule="exact"/>
        <w:ind w:left="1180" w:right="0" w:hanging="630"/>
        <w:jc w:val="left"/>
      </w:pPr>
      <w:bookmarkStart w:id="229" w:name="6.3.3矿区涌水量"/>
      <w:bookmarkEnd w:id="229"/>
      <w:bookmarkStart w:id="230" w:name="6.3.3矿区涌水量"/>
      <w:bookmarkEnd w:id="230"/>
      <w:r>
        <w:t>矿区涌水量</w:t>
      </w:r>
    </w:p>
    <w:p>
      <w:pPr>
        <w:pStyle w:val="6"/>
        <w:spacing w:before="185" w:line="364" w:lineRule="auto"/>
        <w:ind w:left="551" w:right="969" w:firstLine="480"/>
        <w:jc w:val="both"/>
      </w:pPr>
      <w:r>
        <w:rPr>
          <w:spacing w:val="-1"/>
        </w:rPr>
        <w:t>矿井涌水量与开采深度有关，开采越深，涌水量越小；当巷道接近地表时， 淋水、涌水均较大。矿井涌水量与构造有关，巷道遇到张性断层时，涌水较大， 或巷道进入裂隙发育区，淋水也会增大。涌水量与降雨量有关，随着降雨量的增加而增加。雨季涌水量较大，而冬季涌水量较小。根据《双鸭山大顺矿业有限公</w:t>
      </w:r>
      <w:r>
        <w:rPr>
          <w:spacing w:val="-5"/>
        </w:rPr>
        <w:t xml:space="preserve">司改扩建煤炭资源开发利用方案》可知，改扩建后矿井正常涌水量为 </w:t>
      </w:r>
      <w:r>
        <w:rPr>
          <w:rFonts w:ascii="Times New Roman" w:eastAsia="Times New Roman"/>
        </w:rPr>
        <w:t>76m</w:t>
      </w:r>
      <w:r>
        <w:rPr>
          <w:rFonts w:ascii="Times New Roman" w:eastAsia="Times New Roman"/>
          <w:position w:val="8"/>
          <w:sz w:val="15"/>
        </w:rPr>
        <w:t>3</w:t>
      </w:r>
      <w:r>
        <w:rPr>
          <w:rFonts w:ascii="Times New Roman" w:eastAsia="Times New Roman"/>
        </w:rPr>
        <w:t>/h</w:t>
      </w:r>
      <w:r>
        <w:rPr>
          <w:spacing w:val="-7"/>
        </w:rPr>
        <w:t>，最</w:t>
      </w:r>
      <w:r>
        <w:rPr>
          <w:spacing w:val="-10"/>
        </w:rPr>
        <w:t xml:space="preserve">大涌水量为 </w:t>
      </w:r>
      <w:r>
        <w:rPr>
          <w:rFonts w:ascii="Times New Roman" w:eastAsia="Times New Roman"/>
        </w:rPr>
        <w:t>155m</w:t>
      </w:r>
      <w:r>
        <w:rPr>
          <w:rFonts w:ascii="Times New Roman" w:eastAsia="Times New Roman"/>
          <w:position w:val="8"/>
          <w:sz w:val="15"/>
        </w:rPr>
        <w:t>3</w:t>
      </w:r>
      <w:r>
        <w:rPr>
          <w:rFonts w:ascii="Times New Roman" w:eastAsia="Times New Roman"/>
        </w:rPr>
        <w:t>/h</w:t>
      </w:r>
      <w:r>
        <w:t>。</w:t>
      </w:r>
    </w:p>
    <w:p>
      <w:pPr>
        <w:spacing w:after="0" w:line="364" w:lineRule="auto"/>
        <w:jc w:val="both"/>
        <w:sectPr>
          <w:pgSz w:w="11910" w:h="16840"/>
          <w:pgMar w:top="1380" w:right="780" w:bottom="1180" w:left="1200" w:header="0" w:footer="917" w:gutter="0"/>
        </w:sectPr>
      </w:pPr>
    </w:p>
    <w:p>
      <w:pPr>
        <w:pStyle w:val="3"/>
        <w:numPr>
          <w:ilvl w:val="1"/>
          <w:numId w:val="55"/>
        </w:numPr>
        <w:tabs>
          <w:tab w:val="left" w:pos="1001"/>
        </w:tabs>
        <w:spacing w:before="43" w:after="0" w:line="240" w:lineRule="auto"/>
        <w:ind w:left="1000" w:right="0" w:hanging="450"/>
        <w:jc w:val="left"/>
      </w:pPr>
      <w:bookmarkStart w:id="231" w:name="6.4地下水环境质量现状评价"/>
      <w:bookmarkEnd w:id="231"/>
      <w:bookmarkStart w:id="232" w:name="_bookmark33"/>
      <w:bookmarkEnd w:id="232"/>
      <w:bookmarkStart w:id="233" w:name="_bookmark33"/>
      <w:bookmarkEnd w:id="233"/>
      <w:r>
        <w:t>地下水环境质量现状评价</w:t>
      </w:r>
    </w:p>
    <w:p>
      <w:pPr>
        <w:pStyle w:val="4"/>
        <w:numPr>
          <w:ilvl w:val="2"/>
          <w:numId w:val="55"/>
        </w:numPr>
        <w:tabs>
          <w:tab w:val="left" w:pos="1253"/>
        </w:tabs>
        <w:spacing w:before="120" w:after="0" w:line="240" w:lineRule="auto"/>
        <w:ind w:left="1252" w:right="0" w:hanging="702"/>
        <w:jc w:val="left"/>
      </w:pPr>
      <w:bookmarkStart w:id="234" w:name="6.4.1 地下水环境质量现状监测"/>
      <w:bookmarkEnd w:id="234"/>
      <w:bookmarkStart w:id="235" w:name="6.4.1 地下水环境质量现状监测"/>
      <w:bookmarkEnd w:id="235"/>
      <w:r>
        <w:t>地下水环境质量现状监测</w:t>
      </w:r>
    </w:p>
    <w:p>
      <w:pPr>
        <w:pStyle w:val="5"/>
        <w:numPr>
          <w:ilvl w:val="3"/>
          <w:numId w:val="58"/>
        </w:numPr>
        <w:tabs>
          <w:tab w:val="left" w:pos="1272"/>
        </w:tabs>
        <w:spacing w:before="185" w:after="0" w:line="240" w:lineRule="auto"/>
        <w:ind w:left="1272" w:right="0" w:hanging="721"/>
        <w:jc w:val="left"/>
      </w:pPr>
      <w:r>
        <w:t>现状调查及监测点布设</w:t>
      </w:r>
    </w:p>
    <w:p>
      <w:pPr>
        <w:pStyle w:val="6"/>
        <w:spacing w:before="161"/>
        <w:ind w:left="1031"/>
      </w:pPr>
      <w:r>
        <w:rPr>
          <w:rFonts w:ascii="Times New Roman" w:eastAsia="Times New Roman"/>
        </w:rPr>
        <w:t>1</w:t>
      </w:r>
      <w:r>
        <w:t>、监测时间与频率</w:t>
      </w:r>
    </w:p>
    <w:p>
      <w:pPr>
        <w:pStyle w:val="6"/>
        <w:spacing w:before="158"/>
        <w:ind w:left="1031"/>
        <w:rPr>
          <w:rFonts w:ascii="Times New Roman" w:eastAsia="Times New Roman"/>
        </w:rPr>
      </w:pPr>
      <w:r>
        <w:t xml:space="preserve">本项目地下水现状监测委托黑龙江康和检测有限公司完成。监测时间为 </w:t>
      </w:r>
      <w:r>
        <w:rPr>
          <w:rFonts w:ascii="Times New Roman" w:eastAsia="Times New Roman"/>
        </w:rPr>
        <w:t>2020</w:t>
      </w:r>
    </w:p>
    <w:p>
      <w:pPr>
        <w:pStyle w:val="6"/>
        <w:spacing w:before="160"/>
        <w:ind w:left="551"/>
      </w:pPr>
      <w:r>
        <w:t xml:space="preserve">年 </w:t>
      </w:r>
      <w:r>
        <w:rPr>
          <w:rFonts w:ascii="Times New Roman" w:eastAsia="Times New Roman"/>
        </w:rPr>
        <w:t xml:space="preserve">5 </w:t>
      </w:r>
      <w:r>
        <w:t xml:space="preserve">月 </w:t>
      </w:r>
      <w:r>
        <w:rPr>
          <w:rFonts w:ascii="Times New Roman" w:eastAsia="Times New Roman"/>
        </w:rPr>
        <w:t xml:space="preserve">22 </w:t>
      </w:r>
      <w:r>
        <w:t xml:space="preserve">日，监测频率为 </w:t>
      </w:r>
      <w:r>
        <w:rPr>
          <w:rFonts w:ascii="Times New Roman" w:eastAsia="Times New Roman"/>
        </w:rPr>
        <w:t xml:space="preserve">1 </w:t>
      </w:r>
      <w:r>
        <w:t>天。</w:t>
      </w:r>
    </w:p>
    <w:p>
      <w:pPr>
        <w:pStyle w:val="6"/>
        <w:spacing w:before="159"/>
        <w:ind w:left="1031"/>
      </w:pPr>
      <w:r>
        <w:rPr>
          <w:rFonts w:ascii="Times New Roman" w:eastAsia="Times New Roman"/>
        </w:rPr>
        <w:t>2</w:t>
      </w:r>
      <w:r>
        <w:t>、监测点布设</w:t>
      </w:r>
    </w:p>
    <w:p>
      <w:pPr>
        <w:pStyle w:val="6"/>
        <w:spacing w:before="160"/>
        <w:ind w:left="1031"/>
      </w:pPr>
      <w:r>
        <w:t xml:space="preserve">本项目在待建场地周边设置 </w:t>
      </w:r>
      <w:r>
        <w:rPr>
          <w:rFonts w:ascii="Times New Roman" w:eastAsia="Times New Roman"/>
        </w:rPr>
        <w:t xml:space="preserve">5 </w:t>
      </w:r>
      <w:r>
        <w:t xml:space="preserve">个地下水水质和水位监测点，另设 </w:t>
      </w:r>
      <w:r>
        <w:rPr>
          <w:rFonts w:ascii="Times New Roman" w:eastAsia="Times New Roman"/>
        </w:rPr>
        <w:t xml:space="preserve">5 </w:t>
      </w:r>
      <w:r>
        <w:t>个地下水</w:t>
      </w:r>
    </w:p>
    <w:p>
      <w:pPr>
        <w:pStyle w:val="6"/>
        <w:spacing w:before="158" w:line="364" w:lineRule="auto"/>
        <w:ind w:left="551" w:right="973"/>
      </w:pPr>
      <w:r>
        <w:rPr>
          <w:spacing w:val="-8"/>
        </w:rPr>
        <w:t xml:space="preserve">水位监测点，于 </w:t>
      </w:r>
      <w:r>
        <w:rPr>
          <w:rFonts w:ascii="Times New Roman" w:eastAsia="Times New Roman"/>
        </w:rPr>
        <w:t xml:space="preserve">2020 </w:t>
      </w:r>
      <w:r>
        <w:rPr>
          <w:spacing w:val="-30"/>
        </w:rPr>
        <w:t xml:space="preserve">年 </w:t>
      </w:r>
      <w:r>
        <w:rPr>
          <w:rFonts w:ascii="Times New Roman" w:eastAsia="Times New Roman"/>
        </w:rPr>
        <w:t xml:space="preserve">5 </w:t>
      </w:r>
      <w:r>
        <w:rPr>
          <w:spacing w:val="-30"/>
        </w:rPr>
        <w:t xml:space="preserve">月 </w:t>
      </w:r>
      <w:r>
        <w:rPr>
          <w:rFonts w:ascii="Times New Roman" w:eastAsia="Times New Roman"/>
        </w:rPr>
        <w:t xml:space="preserve">22 </w:t>
      </w:r>
      <w:r>
        <w:rPr>
          <w:spacing w:val="-1"/>
        </w:rPr>
        <w:t>日对水质进行了一次取样监测，对各监测点水位</w:t>
      </w:r>
      <w:r>
        <w:rPr>
          <w:spacing w:val="-5"/>
        </w:rPr>
        <w:t xml:space="preserve">进行了测量。监测点概况见表 </w:t>
      </w:r>
      <w:r>
        <w:rPr>
          <w:rFonts w:ascii="Times New Roman" w:eastAsia="Times New Roman"/>
        </w:rPr>
        <w:t>6.4-1</w:t>
      </w:r>
      <w:r>
        <w:rPr>
          <w:spacing w:val="-7"/>
        </w:rPr>
        <w:t xml:space="preserve">，监测点位置见图 </w:t>
      </w:r>
      <w:r>
        <w:rPr>
          <w:rFonts w:ascii="Times New Roman" w:eastAsia="Times New Roman"/>
        </w:rPr>
        <w:t>6.4-1</w:t>
      </w:r>
      <w:r>
        <w:t>。</w:t>
      </w:r>
    </w:p>
    <w:p>
      <w:pPr>
        <w:pStyle w:val="5"/>
        <w:spacing w:after="4" w:line="306" w:lineRule="exact"/>
        <w:ind w:left="2733"/>
      </w:pPr>
      <w:r>
        <w:t xml:space="preserve">表 </w:t>
      </w:r>
      <w:r>
        <w:rPr>
          <w:rFonts w:ascii="Times New Roman" w:eastAsia="Times New Roman"/>
        </w:rPr>
        <w:t xml:space="preserve">6.4-1  </w:t>
      </w:r>
      <w:r>
        <w:t>地下水水质监测点概况表</w:t>
      </w:r>
    </w:p>
    <w:tbl>
      <w:tblPr>
        <w:tblStyle w:val="10"/>
        <w:tblW w:w="0" w:type="auto"/>
        <w:tblInd w:w="4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4"/>
        <w:gridCol w:w="735"/>
        <w:gridCol w:w="1269"/>
        <w:gridCol w:w="928"/>
        <w:gridCol w:w="939"/>
        <w:gridCol w:w="1606"/>
        <w:gridCol w:w="21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24" w:type="dxa"/>
          </w:tcPr>
          <w:p>
            <w:pPr>
              <w:pStyle w:val="14"/>
              <w:spacing w:before="19"/>
              <w:ind w:left="125" w:right="118"/>
              <w:rPr>
                <w:sz w:val="21"/>
              </w:rPr>
            </w:pPr>
            <w:r>
              <w:rPr>
                <w:sz w:val="21"/>
              </w:rPr>
              <w:t>监测点</w:t>
            </w:r>
          </w:p>
          <w:p>
            <w:pPr>
              <w:pStyle w:val="14"/>
              <w:spacing w:before="43"/>
              <w:ind w:left="125" w:right="118"/>
              <w:rPr>
                <w:sz w:val="21"/>
              </w:rPr>
            </w:pPr>
            <w:r>
              <w:rPr>
                <w:sz w:val="21"/>
              </w:rPr>
              <w:t>类型</w:t>
            </w:r>
          </w:p>
        </w:tc>
        <w:tc>
          <w:tcPr>
            <w:tcW w:w="735" w:type="dxa"/>
          </w:tcPr>
          <w:p>
            <w:pPr>
              <w:pStyle w:val="14"/>
              <w:spacing w:before="175"/>
              <w:ind w:left="127" w:right="123"/>
              <w:rPr>
                <w:sz w:val="21"/>
              </w:rPr>
            </w:pPr>
            <w:r>
              <w:rPr>
                <w:sz w:val="21"/>
              </w:rPr>
              <w:t>编号</w:t>
            </w:r>
          </w:p>
        </w:tc>
        <w:tc>
          <w:tcPr>
            <w:tcW w:w="1269" w:type="dxa"/>
          </w:tcPr>
          <w:p>
            <w:pPr>
              <w:pStyle w:val="14"/>
              <w:spacing w:before="175"/>
              <w:ind w:left="423"/>
              <w:jc w:val="left"/>
              <w:rPr>
                <w:sz w:val="21"/>
              </w:rPr>
            </w:pPr>
            <w:r>
              <w:rPr>
                <w:sz w:val="21"/>
              </w:rPr>
              <w:t>坐标</w:t>
            </w:r>
          </w:p>
        </w:tc>
        <w:tc>
          <w:tcPr>
            <w:tcW w:w="928" w:type="dxa"/>
          </w:tcPr>
          <w:p>
            <w:pPr>
              <w:pStyle w:val="14"/>
              <w:spacing w:before="19"/>
              <w:ind w:left="254"/>
              <w:jc w:val="left"/>
              <w:rPr>
                <w:sz w:val="21"/>
              </w:rPr>
            </w:pPr>
            <w:r>
              <w:rPr>
                <w:sz w:val="21"/>
              </w:rPr>
              <w:t>井深</w:t>
            </w:r>
          </w:p>
          <w:p>
            <w:pPr>
              <w:pStyle w:val="14"/>
              <w:spacing w:before="43"/>
              <w:ind w:left="172"/>
              <w:jc w:val="left"/>
              <w:rPr>
                <w:sz w:val="21"/>
              </w:rPr>
            </w:pPr>
            <w:r>
              <w:rPr>
                <w:sz w:val="21"/>
              </w:rPr>
              <w:t>（</w:t>
            </w:r>
            <w:r>
              <w:rPr>
                <w:rFonts w:ascii="Times New Roman" w:eastAsia="Times New Roman"/>
                <w:sz w:val="21"/>
              </w:rPr>
              <w:t>m</w:t>
            </w:r>
            <w:r>
              <w:rPr>
                <w:sz w:val="21"/>
              </w:rPr>
              <w:t>）</w:t>
            </w:r>
          </w:p>
        </w:tc>
        <w:tc>
          <w:tcPr>
            <w:tcW w:w="939" w:type="dxa"/>
          </w:tcPr>
          <w:p>
            <w:pPr>
              <w:pStyle w:val="14"/>
              <w:spacing w:before="19"/>
              <w:ind w:left="259"/>
              <w:jc w:val="left"/>
              <w:rPr>
                <w:sz w:val="21"/>
              </w:rPr>
            </w:pPr>
            <w:r>
              <w:rPr>
                <w:sz w:val="21"/>
              </w:rPr>
              <w:t>水位</w:t>
            </w:r>
          </w:p>
          <w:p>
            <w:pPr>
              <w:pStyle w:val="14"/>
              <w:spacing w:before="57"/>
              <w:ind w:left="319"/>
              <w:jc w:val="left"/>
              <w:rPr>
                <w:rFonts w:ascii="Times New Roman"/>
                <w:sz w:val="21"/>
              </w:rPr>
            </w:pPr>
            <w:r>
              <w:rPr>
                <w:rFonts w:ascii="Times New Roman"/>
                <w:sz w:val="21"/>
              </w:rPr>
              <w:t>(m)</w:t>
            </w:r>
          </w:p>
        </w:tc>
        <w:tc>
          <w:tcPr>
            <w:tcW w:w="1606" w:type="dxa"/>
          </w:tcPr>
          <w:p>
            <w:pPr>
              <w:pStyle w:val="14"/>
              <w:spacing w:before="175"/>
              <w:ind w:left="151" w:right="142"/>
              <w:rPr>
                <w:sz w:val="21"/>
              </w:rPr>
            </w:pPr>
            <w:r>
              <w:rPr>
                <w:sz w:val="21"/>
              </w:rPr>
              <w:t>监测井功能</w:t>
            </w:r>
          </w:p>
        </w:tc>
        <w:tc>
          <w:tcPr>
            <w:tcW w:w="2121" w:type="dxa"/>
          </w:tcPr>
          <w:p>
            <w:pPr>
              <w:pStyle w:val="14"/>
              <w:spacing w:before="175"/>
              <w:ind w:left="619" w:right="612"/>
              <w:rPr>
                <w:sz w:val="21"/>
              </w:rPr>
            </w:pPr>
            <w:r>
              <w:rPr>
                <w:sz w:val="21"/>
              </w:rPr>
              <w:t>监测层位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24" w:type="dxa"/>
            <w:tcBorders>
              <w:bottom w:val="nil"/>
            </w:tcBorders>
          </w:tcPr>
          <w:p>
            <w:pPr>
              <w:pStyle w:val="14"/>
              <w:jc w:val="left"/>
              <w:rPr>
                <w:rFonts w:ascii="Times New Roman"/>
                <w:sz w:val="22"/>
              </w:rPr>
            </w:pPr>
          </w:p>
        </w:tc>
        <w:tc>
          <w:tcPr>
            <w:tcW w:w="735" w:type="dxa"/>
          </w:tcPr>
          <w:p>
            <w:pPr>
              <w:pStyle w:val="14"/>
              <w:spacing w:before="191"/>
              <w:ind w:left="130" w:right="123"/>
              <w:rPr>
                <w:rFonts w:ascii="Times New Roman"/>
                <w:sz w:val="21"/>
              </w:rPr>
            </w:pPr>
            <w:r>
              <w:rPr>
                <w:rFonts w:ascii="Times New Roman"/>
                <w:sz w:val="21"/>
              </w:rPr>
              <w:t>JC01</w:t>
            </w:r>
          </w:p>
        </w:tc>
        <w:tc>
          <w:tcPr>
            <w:tcW w:w="1269" w:type="dxa"/>
          </w:tcPr>
          <w:p>
            <w:pPr>
              <w:pStyle w:val="14"/>
              <w:spacing w:before="35"/>
              <w:ind w:left="107"/>
              <w:jc w:val="left"/>
              <w:rPr>
                <w:rFonts w:ascii="Times New Roman" w:hAnsi="Times New Roman"/>
                <w:sz w:val="21"/>
              </w:rPr>
            </w:pPr>
            <w:r>
              <w:rPr>
                <w:rFonts w:ascii="Times New Roman" w:hAnsi="Times New Roman"/>
                <w:sz w:val="21"/>
              </w:rPr>
              <w:t>131°16'41"</w:t>
            </w:r>
          </w:p>
          <w:p>
            <w:pPr>
              <w:pStyle w:val="14"/>
              <w:spacing w:before="70"/>
              <w:ind w:left="107"/>
              <w:jc w:val="left"/>
              <w:rPr>
                <w:rFonts w:ascii="Times New Roman" w:hAnsi="Times New Roman"/>
                <w:sz w:val="21"/>
              </w:rPr>
            </w:pPr>
            <w:r>
              <w:rPr>
                <w:rFonts w:ascii="Times New Roman" w:hAnsi="Times New Roman"/>
                <w:sz w:val="21"/>
              </w:rPr>
              <w:t>46°31'16"</w:t>
            </w:r>
          </w:p>
        </w:tc>
        <w:tc>
          <w:tcPr>
            <w:tcW w:w="928" w:type="dxa"/>
          </w:tcPr>
          <w:p>
            <w:pPr>
              <w:pStyle w:val="14"/>
              <w:spacing w:before="191"/>
              <w:ind w:left="359"/>
              <w:jc w:val="left"/>
              <w:rPr>
                <w:rFonts w:ascii="Times New Roman"/>
                <w:sz w:val="21"/>
              </w:rPr>
            </w:pPr>
            <w:r>
              <w:rPr>
                <w:rFonts w:ascii="Times New Roman"/>
                <w:sz w:val="21"/>
              </w:rPr>
              <w:t>80</w:t>
            </w:r>
          </w:p>
        </w:tc>
        <w:tc>
          <w:tcPr>
            <w:tcW w:w="939" w:type="dxa"/>
          </w:tcPr>
          <w:p>
            <w:pPr>
              <w:pStyle w:val="14"/>
              <w:spacing w:before="191"/>
              <w:ind w:left="237" w:right="230"/>
              <w:rPr>
                <w:rFonts w:ascii="Times New Roman"/>
                <w:sz w:val="21"/>
              </w:rPr>
            </w:pPr>
            <w:r>
              <w:rPr>
                <w:rFonts w:ascii="Times New Roman"/>
                <w:sz w:val="21"/>
              </w:rPr>
              <w:t>10</w:t>
            </w:r>
          </w:p>
        </w:tc>
        <w:tc>
          <w:tcPr>
            <w:tcW w:w="1606" w:type="dxa"/>
          </w:tcPr>
          <w:p>
            <w:pPr>
              <w:pStyle w:val="14"/>
              <w:spacing w:before="177"/>
              <w:ind w:left="151" w:right="144"/>
              <w:rPr>
                <w:sz w:val="21"/>
              </w:rPr>
            </w:pPr>
            <w:r>
              <w:rPr>
                <w:sz w:val="21"/>
              </w:rPr>
              <w:t>团山村饮用水</w:t>
            </w:r>
          </w:p>
        </w:tc>
        <w:tc>
          <w:tcPr>
            <w:tcW w:w="2121" w:type="dxa"/>
          </w:tcPr>
          <w:p>
            <w:pPr>
              <w:pStyle w:val="14"/>
              <w:spacing w:before="177"/>
              <w:ind w:left="617" w:right="612"/>
              <w:rPr>
                <w:sz w:val="21"/>
              </w:rPr>
            </w:pPr>
            <w:r>
              <w:rPr>
                <w:sz w:val="21"/>
              </w:rPr>
              <w:t>潜水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24" w:type="dxa"/>
            <w:tcBorders>
              <w:top w:val="nil"/>
              <w:bottom w:val="nil"/>
            </w:tcBorders>
          </w:tcPr>
          <w:p>
            <w:pPr>
              <w:pStyle w:val="14"/>
              <w:spacing w:before="10"/>
              <w:jc w:val="left"/>
              <w:rPr>
                <w:b/>
                <w:sz w:val="27"/>
              </w:rPr>
            </w:pPr>
          </w:p>
          <w:p>
            <w:pPr>
              <w:pStyle w:val="14"/>
              <w:spacing w:line="247" w:lineRule="exact"/>
              <w:ind w:left="125" w:right="118"/>
              <w:rPr>
                <w:sz w:val="21"/>
              </w:rPr>
            </w:pPr>
            <w:r>
              <w:rPr>
                <w:sz w:val="21"/>
              </w:rPr>
              <w:t>地下水</w:t>
            </w:r>
          </w:p>
        </w:tc>
        <w:tc>
          <w:tcPr>
            <w:tcW w:w="735" w:type="dxa"/>
          </w:tcPr>
          <w:p>
            <w:pPr>
              <w:pStyle w:val="14"/>
              <w:spacing w:before="190"/>
              <w:ind w:left="130" w:right="123"/>
              <w:rPr>
                <w:rFonts w:ascii="Times New Roman"/>
                <w:sz w:val="21"/>
              </w:rPr>
            </w:pPr>
            <w:r>
              <w:rPr>
                <w:rFonts w:ascii="Times New Roman"/>
                <w:sz w:val="21"/>
              </w:rPr>
              <w:t>JC02</w:t>
            </w:r>
          </w:p>
        </w:tc>
        <w:tc>
          <w:tcPr>
            <w:tcW w:w="1269" w:type="dxa"/>
          </w:tcPr>
          <w:p>
            <w:pPr>
              <w:pStyle w:val="14"/>
              <w:spacing w:before="34"/>
              <w:ind w:left="107"/>
              <w:jc w:val="left"/>
              <w:rPr>
                <w:rFonts w:ascii="Times New Roman" w:hAnsi="Times New Roman"/>
                <w:sz w:val="21"/>
              </w:rPr>
            </w:pPr>
            <w:r>
              <w:rPr>
                <w:rFonts w:ascii="Times New Roman" w:hAnsi="Times New Roman"/>
                <w:sz w:val="21"/>
              </w:rPr>
              <w:t>131°14'46"</w:t>
            </w:r>
          </w:p>
          <w:p>
            <w:pPr>
              <w:pStyle w:val="14"/>
              <w:spacing w:before="71"/>
              <w:ind w:left="217"/>
              <w:jc w:val="left"/>
              <w:rPr>
                <w:rFonts w:ascii="Times New Roman" w:hAnsi="Times New Roman"/>
                <w:sz w:val="21"/>
              </w:rPr>
            </w:pPr>
            <w:r>
              <w:rPr>
                <w:rFonts w:ascii="Times New Roman" w:hAnsi="Times New Roman"/>
                <w:sz w:val="21"/>
              </w:rPr>
              <w:t>46°30'55"</w:t>
            </w:r>
          </w:p>
        </w:tc>
        <w:tc>
          <w:tcPr>
            <w:tcW w:w="928" w:type="dxa"/>
          </w:tcPr>
          <w:p>
            <w:pPr>
              <w:pStyle w:val="14"/>
              <w:spacing w:before="190"/>
              <w:ind w:left="8"/>
              <w:rPr>
                <w:rFonts w:ascii="Times New Roman"/>
                <w:sz w:val="21"/>
              </w:rPr>
            </w:pPr>
            <w:r>
              <w:rPr>
                <w:rFonts w:ascii="Times New Roman"/>
                <w:w w:val="99"/>
                <w:sz w:val="21"/>
              </w:rPr>
              <w:t>/</w:t>
            </w:r>
          </w:p>
        </w:tc>
        <w:tc>
          <w:tcPr>
            <w:tcW w:w="939" w:type="dxa"/>
          </w:tcPr>
          <w:p>
            <w:pPr>
              <w:pStyle w:val="14"/>
              <w:spacing w:before="190"/>
              <w:ind w:left="8"/>
              <w:rPr>
                <w:rFonts w:ascii="Times New Roman"/>
                <w:sz w:val="21"/>
              </w:rPr>
            </w:pPr>
            <w:r>
              <w:rPr>
                <w:rFonts w:ascii="Times New Roman"/>
                <w:w w:val="99"/>
                <w:sz w:val="21"/>
              </w:rPr>
              <w:t>/</w:t>
            </w:r>
          </w:p>
        </w:tc>
        <w:tc>
          <w:tcPr>
            <w:tcW w:w="1606" w:type="dxa"/>
          </w:tcPr>
          <w:p>
            <w:pPr>
              <w:pStyle w:val="14"/>
              <w:spacing w:before="176"/>
              <w:ind w:left="151" w:right="144"/>
              <w:rPr>
                <w:sz w:val="21"/>
              </w:rPr>
            </w:pPr>
            <w:r>
              <w:rPr>
                <w:sz w:val="21"/>
              </w:rPr>
              <w:t>泉水</w:t>
            </w:r>
          </w:p>
        </w:tc>
        <w:tc>
          <w:tcPr>
            <w:tcW w:w="2121" w:type="dxa"/>
          </w:tcPr>
          <w:p>
            <w:pPr>
              <w:pStyle w:val="14"/>
              <w:spacing w:before="176"/>
              <w:ind w:left="617" w:right="612"/>
              <w:rPr>
                <w:sz w:val="21"/>
              </w:rPr>
            </w:pPr>
            <w:r>
              <w:rPr>
                <w:sz w:val="21"/>
              </w:rPr>
              <w:t>潜水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924" w:type="dxa"/>
            <w:tcBorders>
              <w:top w:val="nil"/>
              <w:bottom w:val="nil"/>
            </w:tcBorders>
          </w:tcPr>
          <w:p>
            <w:pPr>
              <w:pStyle w:val="14"/>
              <w:spacing w:before="34"/>
              <w:ind w:left="146"/>
              <w:jc w:val="left"/>
              <w:rPr>
                <w:sz w:val="21"/>
              </w:rPr>
            </w:pPr>
            <w:r>
              <w:rPr>
                <w:w w:val="95"/>
                <w:sz w:val="21"/>
              </w:rPr>
              <w:t>水质、</w:t>
            </w:r>
          </w:p>
          <w:p>
            <w:pPr>
              <w:pStyle w:val="14"/>
              <w:spacing w:before="43"/>
              <w:ind w:left="146"/>
              <w:jc w:val="left"/>
              <w:rPr>
                <w:sz w:val="21"/>
              </w:rPr>
            </w:pPr>
            <w:r>
              <w:rPr>
                <w:w w:val="95"/>
                <w:sz w:val="21"/>
              </w:rPr>
              <w:t>水位监</w:t>
            </w:r>
          </w:p>
        </w:tc>
        <w:tc>
          <w:tcPr>
            <w:tcW w:w="735" w:type="dxa"/>
          </w:tcPr>
          <w:p>
            <w:pPr>
              <w:pStyle w:val="14"/>
              <w:spacing w:before="12"/>
              <w:jc w:val="left"/>
              <w:rPr>
                <w:b/>
                <w:sz w:val="15"/>
              </w:rPr>
            </w:pPr>
          </w:p>
          <w:p>
            <w:pPr>
              <w:pStyle w:val="14"/>
              <w:ind w:left="130" w:right="123"/>
              <w:rPr>
                <w:rFonts w:ascii="Times New Roman"/>
                <w:sz w:val="21"/>
              </w:rPr>
            </w:pPr>
            <w:r>
              <w:rPr>
                <w:rFonts w:ascii="Times New Roman"/>
                <w:sz w:val="21"/>
              </w:rPr>
              <w:t>JC03</w:t>
            </w:r>
          </w:p>
        </w:tc>
        <w:tc>
          <w:tcPr>
            <w:tcW w:w="1269" w:type="dxa"/>
          </w:tcPr>
          <w:p>
            <w:pPr>
              <w:pStyle w:val="14"/>
              <w:spacing w:before="48"/>
              <w:ind w:left="107"/>
              <w:jc w:val="left"/>
              <w:rPr>
                <w:rFonts w:ascii="Times New Roman" w:hAnsi="Times New Roman"/>
                <w:sz w:val="21"/>
              </w:rPr>
            </w:pPr>
            <w:r>
              <w:rPr>
                <w:rFonts w:ascii="Times New Roman" w:hAnsi="Times New Roman"/>
                <w:sz w:val="21"/>
              </w:rPr>
              <w:t>131°14'40"</w:t>
            </w:r>
          </w:p>
          <w:p>
            <w:pPr>
              <w:pStyle w:val="14"/>
              <w:spacing w:before="71"/>
              <w:ind w:left="217"/>
              <w:jc w:val="left"/>
              <w:rPr>
                <w:rFonts w:ascii="Times New Roman" w:hAnsi="Times New Roman"/>
                <w:sz w:val="21"/>
              </w:rPr>
            </w:pPr>
            <w:r>
              <w:rPr>
                <w:rFonts w:ascii="Times New Roman" w:hAnsi="Times New Roman"/>
                <w:sz w:val="21"/>
              </w:rPr>
              <w:t>46°30'53"</w:t>
            </w:r>
          </w:p>
        </w:tc>
        <w:tc>
          <w:tcPr>
            <w:tcW w:w="928" w:type="dxa"/>
          </w:tcPr>
          <w:p>
            <w:pPr>
              <w:pStyle w:val="14"/>
              <w:spacing w:before="12"/>
              <w:jc w:val="left"/>
              <w:rPr>
                <w:b/>
                <w:sz w:val="15"/>
              </w:rPr>
            </w:pPr>
          </w:p>
          <w:p>
            <w:pPr>
              <w:pStyle w:val="14"/>
              <w:ind w:left="6"/>
              <w:rPr>
                <w:rFonts w:ascii="Times New Roman"/>
                <w:sz w:val="21"/>
              </w:rPr>
            </w:pPr>
            <w:r>
              <w:rPr>
                <w:rFonts w:ascii="Times New Roman"/>
                <w:w w:val="99"/>
                <w:sz w:val="21"/>
              </w:rPr>
              <w:t>8</w:t>
            </w:r>
          </w:p>
        </w:tc>
        <w:tc>
          <w:tcPr>
            <w:tcW w:w="939" w:type="dxa"/>
          </w:tcPr>
          <w:p>
            <w:pPr>
              <w:pStyle w:val="14"/>
              <w:spacing w:before="12"/>
              <w:jc w:val="left"/>
              <w:rPr>
                <w:b/>
                <w:sz w:val="15"/>
              </w:rPr>
            </w:pPr>
          </w:p>
          <w:p>
            <w:pPr>
              <w:pStyle w:val="14"/>
              <w:ind w:left="7"/>
              <w:rPr>
                <w:rFonts w:ascii="Times New Roman"/>
                <w:sz w:val="21"/>
              </w:rPr>
            </w:pPr>
            <w:r>
              <w:rPr>
                <w:rFonts w:ascii="Times New Roman"/>
                <w:w w:val="99"/>
                <w:sz w:val="21"/>
              </w:rPr>
              <w:t>5</w:t>
            </w:r>
          </w:p>
        </w:tc>
        <w:tc>
          <w:tcPr>
            <w:tcW w:w="1606" w:type="dxa"/>
          </w:tcPr>
          <w:p>
            <w:pPr>
              <w:pStyle w:val="14"/>
              <w:spacing w:before="11"/>
              <w:jc w:val="left"/>
              <w:rPr>
                <w:b/>
                <w:sz w:val="14"/>
              </w:rPr>
            </w:pPr>
          </w:p>
          <w:p>
            <w:pPr>
              <w:pStyle w:val="14"/>
              <w:ind w:left="151" w:right="144"/>
              <w:rPr>
                <w:sz w:val="21"/>
              </w:rPr>
            </w:pPr>
            <w:r>
              <w:rPr>
                <w:sz w:val="21"/>
              </w:rPr>
              <w:t>青山村饮用水</w:t>
            </w:r>
          </w:p>
        </w:tc>
        <w:tc>
          <w:tcPr>
            <w:tcW w:w="2121" w:type="dxa"/>
          </w:tcPr>
          <w:p>
            <w:pPr>
              <w:pStyle w:val="14"/>
              <w:spacing w:before="11"/>
              <w:jc w:val="left"/>
              <w:rPr>
                <w:b/>
                <w:sz w:val="14"/>
              </w:rPr>
            </w:pPr>
          </w:p>
          <w:p>
            <w:pPr>
              <w:pStyle w:val="14"/>
              <w:ind w:left="617" w:right="612"/>
              <w:rPr>
                <w:sz w:val="21"/>
              </w:rPr>
            </w:pPr>
            <w:r>
              <w:rPr>
                <w:sz w:val="21"/>
              </w:rPr>
              <w:t>潜水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24" w:type="dxa"/>
            <w:tcBorders>
              <w:top w:val="nil"/>
              <w:bottom w:val="nil"/>
            </w:tcBorders>
          </w:tcPr>
          <w:p>
            <w:pPr>
              <w:pStyle w:val="14"/>
              <w:spacing w:line="265" w:lineRule="exact"/>
              <w:ind w:left="125" w:right="118"/>
              <w:rPr>
                <w:sz w:val="21"/>
              </w:rPr>
            </w:pPr>
            <w:r>
              <w:rPr>
                <w:sz w:val="21"/>
              </w:rPr>
              <w:t>测点</w:t>
            </w:r>
          </w:p>
        </w:tc>
        <w:tc>
          <w:tcPr>
            <w:tcW w:w="735" w:type="dxa"/>
          </w:tcPr>
          <w:p>
            <w:pPr>
              <w:pStyle w:val="14"/>
              <w:spacing w:before="189"/>
              <w:ind w:left="130" w:right="123"/>
              <w:rPr>
                <w:rFonts w:ascii="Times New Roman"/>
                <w:sz w:val="21"/>
              </w:rPr>
            </w:pPr>
            <w:r>
              <w:rPr>
                <w:rFonts w:ascii="Times New Roman"/>
                <w:sz w:val="21"/>
              </w:rPr>
              <w:t>JC04</w:t>
            </w:r>
          </w:p>
        </w:tc>
        <w:tc>
          <w:tcPr>
            <w:tcW w:w="1269" w:type="dxa"/>
          </w:tcPr>
          <w:p>
            <w:pPr>
              <w:pStyle w:val="14"/>
              <w:spacing w:before="33"/>
              <w:ind w:left="107"/>
              <w:jc w:val="left"/>
              <w:rPr>
                <w:rFonts w:ascii="Times New Roman" w:hAnsi="Times New Roman"/>
                <w:sz w:val="21"/>
              </w:rPr>
            </w:pPr>
            <w:r>
              <w:rPr>
                <w:rFonts w:ascii="Times New Roman" w:hAnsi="Times New Roman"/>
                <w:sz w:val="21"/>
              </w:rPr>
              <w:t>131°11'24"</w:t>
            </w:r>
          </w:p>
          <w:p>
            <w:pPr>
              <w:pStyle w:val="14"/>
              <w:spacing w:before="71"/>
              <w:ind w:left="107"/>
              <w:jc w:val="left"/>
              <w:rPr>
                <w:rFonts w:ascii="Times New Roman" w:hAnsi="Times New Roman"/>
                <w:sz w:val="21"/>
              </w:rPr>
            </w:pPr>
            <w:r>
              <w:rPr>
                <w:rFonts w:ascii="Times New Roman" w:hAnsi="Times New Roman"/>
                <w:sz w:val="21"/>
              </w:rPr>
              <w:t>46°29'39"</w:t>
            </w:r>
          </w:p>
        </w:tc>
        <w:tc>
          <w:tcPr>
            <w:tcW w:w="928" w:type="dxa"/>
          </w:tcPr>
          <w:p>
            <w:pPr>
              <w:pStyle w:val="14"/>
              <w:spacing w:before="189"/>
              <w:ind w:left="304"/>
              <w:jc w:val="left"/>
              <w:rPr>
                <w:rFonts w:ascii="Times New Roman"/>
                <w:sz w:val="21"/>
              </w:rPr>
            </w:pPr>
            <w:r>
              <w:rPr>
                <w:rFonts w:ascii="Times New Roman"/>
                <w:sz w:val="21"/>
              </w:rPr>
              <w:t>200</w:t>
            </w:r>
          </w:p>
        </w:tc>
        <w:tc>
          <w:tcPr>
            <w:tcW w:w="939" w:type="dxa"/>
          </w:tcPr>
          <w:p>
            <w:pPr>
              <w:pStyle w:val="14"/>
              <w:spacing w:before="189"/>
              <w:ind w:left="237" w:right="230"/>
              <w:rPr>
                <w:rFonts w:ascii="Times New Roman"/>
                <w:sz w:val="21"/>
              </w:rPr>
            </w:pPr>
            <w:r>
              <w:rPr>
                <w:rFonts w:ascii="Times New Roman"/>
                <w:sz w:val="21"/>
              </w:rPr>
              <w:t>20</w:t>
            </w:r>
          </w:p>
        </w:tc>
        <w:tc>
          <w:tcPr>
            <w:tcW w:w="1606" w:type="dxa"/>
          </w:tcPr>
          <w:p>
            <w:pPr>
              <w:pStyle w:val="14"/>
              <w:spacing w:before="19"/>
              <w:ind w:left="151" w:right="144"/>
              <w:rPr>
                <w:sz w:val="21"/>
              </w:rPr>
            </w:pPr>
            <w:r>
              <w:rPr>
                <w:sz w:val="21"/>
              </w:rPr>
              <w:t>青山林场饮用</w:t>
            </w:r>
          </w:p>
          <w:p>
            <w:pPr>
              <w:pStyle w:val="14"/>
              <w:spacing w:before="43"/>
              <w:ind w:left="9"/>
              <w:rPr>
                <w:sz w:val="21"/>
              </w:rPr>
            </w:pPr>
            <w:r>
              <w:rPr>
                <w:w w:val="99"/>
                <w:sz w:val="21"/>
              </w:rPr>
              <w:t>水</w:t>
            </w:r>
          </w:p>
        </w:tc>
        <w:tc>
          <w:tcPr>
            <w:tcW w:w="2121" w:type="dxa"/>
          </w:tcPr>
          <w:p>
            <w:pPr>
              <w:pStyle w:val="14"/>
              <w:spacing w:before="175"/>
              <w:ind w:left="617" w:right="612"/>
              <w:rPr>
                <w:sz w:val="21"/>
              </w:rPr>
            </w:pPr>
            <w:r>
              <w:rPr>
                <w:sz w:val="21"/>
              </w:rPr>
              <w:t>承压水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24" w:type="dxa"/>
            <w:tcBorders>
              <w:top w:val="nil"/>
            </w:tcBorders>
          </w:tcPr>
          <w:p>
            <w:pPr>
              <w:pStyle w:val="14"/>
              <w:jc w:val="left"/>
              <w:rPr>
                <w:rFonts w:ascii="Times New Roman"/>
                <w:sz w:val="22"/>
              </w:rPr>
            </w:pPr>
          </w:p>
        </w:tc>
        <w:tc>
          <w:tcPr>
            <w:tcW w:w="735" w:type="dxa"/>
          </w:tcPr>
          <w:p>
            <w:pPr>
              <w:pStyle w:val="14"/>
              <w:spacing w:before="189"/>
              <w:ind w:left="130" w:right="123"/>
              <w:rPr>
                <w:rFonts w:ascii="Times New Roman"/>
                <w:sz w:val="21"/>
              </w:rPr>
            </w:pPr>
            <w:r>
              <w:rPr>
                <w:rFonts w:ascii="Times New Roman"/>
                <w:sz w:val="21"/>
              </w:rPr>
              <w:t>JC05</w:t>
            </w:r>
          </w:p>
        </w:tc>
        <w:tc>
          <w:tcPr>
            <w:tcW w:w="1269" w:type="dxa"/>
          </w:tcPr>
          <w:p>
            <w:pPr>
              <w:pStyle w:val="14"/>
              <w:spacing w:before="33"/>
              <w:ind w:right="207"/>
              <w:jc w:val="right"/>
              <w:rPr>
                <w:rFonts w:ascii="Times New Roman" w:hAnsi="Times New Roman"/>
                <w:sz w:val="21"/>
              </w:rPr>
            </w:pPr>
            <w:r>
              <w:rPr>
                <w:rFonts w:ascii="Times New Roman" w:hAnsi="Times New Roman"/>
                <w:w w:val="95"/>
                <w:sz w:val="21"/>
              </w:rPr>
              <w:t>131°10'29"</w:t>
            </w:r>
          </w:p>
          <w:p>
            <w:pPr>
              <w:pStyle w:val="14"/>
              <w:spacing w:before="70"/>
              <w:ind w:right="258"/>
              <w:jc w:val="right"/>
              <w:rPr>
                <w:rFonts w:ascii="Times New Roman" w:hAnsi="Times New Roman"/>
                <w:sz w:val="21"/>
              </w:rPr>
            </w:pPr>
            <w:r>
              <w:rPr>
                <w:rFonts w:ascii="Times New Roman" w:hAnsi="Times New Roman"/>
                <w:w w:val="95"/>
                <w:sz w:val="21"/>
              </w:rPr>
              <w:t>46°30'3"</w:t>
            </w:r>
          </w:p>
        </w:tc>
        <w:tc>
          <w:tcPr>
            <w:tcW w:w="928" w:type="dxa"/>
          </w:tcPr>
          <w:p>
            <w:pPr>
              <w:pStyle w:val="14"/>
              <w:spacing w:before="189"/>
              <w:ind w:left="8"/>
              <w:rPr>
                <w:rFonts w:ascii="Times New Roman"/>
                <w:sz w:val="21"/>
              </w:rPr>
            </w:pPr>
            <w:r>
              <w:rPr>
                <w:rFonts w:ascii="Times New Roman"/>
                <w:w w:val="99"/>
                <w:sz w:val="21"/>
              </w:rPr>
              <w:t>/</w:t>
            </w:r>
          </w:p>
        </w:tc>
        <w:tc>
          <w:tcPr>
            <w:tcW w:w="939" w:type="dxa"/>
          </w:tcPr>
          <w:p>
            <w:pPr>
              <w:pStyle w:val="14"/>
              <w:spacing w:before="189"/>
              <w:ind w:left="8"/>
              <w:rPr>
                <w:rFonts w:ascii="Times New Roman"/>
                <w:sz w:val="21"/>
              </w:rPr>
            </w:pPr>
            <w:r>
              <w:rPr>
                <w:rFonts w:ascii="Times New Roman"/>
                <w:w w:val="99"/>
                <w:sz w:val="21"/>
              </w:rPr>
              <w:t>/</w:t>
            </w:r>
          </w:p>
        </w:tc>
        <w:tc>
          <w:tcPr>
            <w:tcW w:w="1606" w:type="dxa"/>
          </w:tcPr>
          <w:p>
            <w:pPr>
              <w:pStyle w:val="14"/>
              <w:spacing w:before="175"/>
              <w:ind w:left="151" w:right="142"/>
              <w:rPr>
                <w:sz w:val="21"/>
              </w:rPr>
            </w:pPr>
            <w:r>
              <w:rPr>
                <w:sz w:val="21"/>
              </w:rPr>
              <w:t>矿区生活水</w:t>
            </w:r>
          </w:p>
        </w:tc>
        <w:tc>
          <w:tcPr>
            <w:tcW w:w="2121" w:type="dxa"/>
          </w:tcPr>
          <w:p>
            <w:pPr>
              <w:pStyle w:val="14"/>
              <w:spacing w:before="175"/>
              <w:ind w:left="617" w:right="612"/>
              <w:rPr>
                <w:sz w:val="21"/>
              </w:rPr>
            </w:pPr>
            <w:r>
              <w:rPr>
                <w:sz w:val="21"/>
              </w:rPr>
              <w:t>潜水</w:t>
            </w:r>
          </w:p>
        </w:tc>
      </w:tr>
    </w:tbl>
    <w:p>
      <w:pPr>
        <w:pStyle w:val="13"/>
        <w:numPr>
          <w:ilvl w:val="3"/>
          <w:numId w:val="58"/>
        </w:numPr>
        <w:tabs>
          <w:tab w:val="left" w:pos="1272"/>
        </w:tabs>
        <w:spacing w:before="1" w:after="0" w:line="240" w:lineRule="auto"/>
        <w:ind w:left="1272" w:right="0" w:hanging="721"/>
        <w:jc w:val="left"/>
        <w:rPr>
          <w:b/>
          <w:sz w:val="24"/>
        </w:rPr>
      </w:pPr>
      <w:r>
        <w:rPr>
          <w:b/>
          <w:sz w:val="24"/>
        </w:rPr>
        <w:t>监测项目</w:t>
      </w:r>
    </w:p>
    <w:p>
      <w:pPr>
        <w:pStyle w:val="6"/>
        <w:spacing w:before="160" w:line="364" w:lineRule="auto"/>
        <w:ind w:left="551" w:right="832" w:firstLine="480"/>
      </w:pPr>
      <w:r>
        <mc:AlternateContent>
          <mc:Choice Requires="wps">
            <w:drawing>
              <wp:anchor distT="0" distB="0" distL="114300" distR="114300" simplePos="0" relativeHeight="214331392" behindDoc="1" locked="0" layoutInCell="1" allowOverlap="1">
                <wp:simplePos x="0" y="0"/>
                <wp:positionH relativeFrom="page">
                  <wp:posOffset>1636395</wp:posOffset>
                </wp:positionH>
                <wp:positionV relativeFrom="paragraph">
                  <wp:posOffset>1066165</wp:posOffset>
                </wp:positionV>
                <wp:extent cx="49530" cy="109855"/>
                <wp:effectExtent l="0" t="0" r="0" b="0"/>
                <wp:wrapNone/>
                <wp:docPr id="26" name="文本框 118"/>
                <wp:cNvGraphicFramePr/>
                <a:graphic xmlns:a="http://schemas.openxmlformats.org/drawingml/2006/main">
                  <a:graphicData uri="http://schemas.microsoft.com/office/word/2010/wordprocessingShape">
                    <wps:wsp>
                      <wps:cNvSpPr txBox="1"/>
                      <wps:spPr>
                        <a:xfrm>
                          <a:off x="0" y="0"/>
                          <a:ext cx="49530" cy="109855"/>
                        </a:xfrm>
                        <a:prstGeom prst="rect">
                          <a:avLst/>
                        </a:prstGeom>
                        <a:noFill/>
                        <a:ln>
                          <a:noFill/>
                        </a:ln>
                      </wps:spPr>
                      <wps:txbx>
                        <w:txbxContent>
                          <w:p>
                            <w:pPr>
                              <w:spacing w:before="0" w:line="171" w:lineRule="exact"/>
                              <w:ind w:left="0" w:right="0" w:firstLine="0"/>
                              <w:jc w:val="left"/>
                              <w:rPr>
                                <w:rFonts w:ascii="Times New Roman"/>
                                <w:sz w:val="15"/>
                              </w:rPr>
                            </w:pPr>
                            <w:r>
                              <w:rPr>
                                <w:rFonts w:ascii="Times New Roman"/>
                                <w:w w:val="104"/>
                                <w:sz w:val="15"/>
                              </w:rPr>
                              <w:t>4</w:t>
                            </w:r>
                          </w:p>
                        </w:txbxContent>
                      </wps:txbx>
                      <wps:bodyPr lIns="0" tIns="0" rIns="0" bIns="0" upright="1"/>
                    </wps:wsp>
                  </a:graphicData>
                </a:graphic>
              </wp:anchor>
            </w:drawing>
          </mc:Choice>
          <mc:Fallback>
            <w:pict>
              <v:shape id="文本框 118" o:spid="_x0000_s1026" o:spt="202" type="#_x0000_t202" style="position:absolute;left:0pt;margin-left:128.85pt;margin-top:83.95pt;height:8.65pt;width:3.9pt;mso-position-horizontal-relative:page;z-index:-288985088;mso-width-relative:page;mso-height-relative:page;" filled="f" stroked="f" coordsize="21600,21600" o:gfxdata="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Lq+/SnaAAAACwEAAA8AAAAA&#10;AAAAAQAgAAAAIgAAAGRycy9kb3ducmV2LnhtbFBLAQIUABQAAAAIAIdO4kCmW8UwoAEAACUDAAAO&#10;AAAAAAAAAAEAIAAAACkBAABkcnMvZTJvRG9jLnhtbFBLBQYAAAAABgAGAFkBAAA7BQAAAAA=&#10;">
                <v:fill on="f" focussize="0,0"/>
                <v:stroke on="f"/>
                <v:imagedata o:title=""/>
                <o:lock v:ext="edit" aspectratio="f"/>
                <v:textbox inset="0mm,0mm,0mm,0mm">
                  <w:txbxContent>
                    <w:p>
                      <w:pPr>
                        <w:spacing w:before="0" w:line="171" w:lineRule="exact"/>
                        <w:ind w:left="0" w:right="0" w:firstLine="0"/>
                        <w:jc w:val="left"/>
                        <w:rPr>
                          <w:rFonts w:ascii="Times New Roman"/>
                          <w:sz w:val="15"/>
                        </w:rPr>
                      </w:pPr>
                      <w:r>
                        <w:rPr>
                          <w:rFonts w:ascii="Times New Roman"/>
                          <w:w w:val="104"/>
                          <w:sz w:val="15"/>
                        </w:rPr>
                        <w:t>4</w:t>
                      </w:r>
                    </w:p>
                  </w:txbxContent>
                </v:textbox>
              </v:shape>
            </w:pict>
          </mc:Fallback>
        </mc:AlternateContent>
      </w:r>
      <w:r>
        <mc:AlternateContent>
          <mc:Choice Requires="wps">
            <w:drawing>
              <wp:anchor distT="0" distB="0" distL="114300" distR="114300" simplePos="0" relativeHeight="214332416" behindDoc="1" locked="0" layoutInCell="1" allowOverlap="1">
                <wp:simplePos x="0" y="0"/>
                <wp:positionH relativeFrom="page">
                  <wp:posOffset>5720715</wp:posOffset>
                </wp:positionH>
                <wp:positionV relativeFrom="paragraph">
                  <wp:posOffset>768985</wp:posOffset>
                </wp:positionV>
                <wp:extent cx="630555" cy="109855"/>
                <wp:effectExtent l="0" t="0" r="0" b="0"/>
                <wp:wrapNone/>
                <wp:docPr id="28" name="文本框 119"/>
                <wp:cNvGraphicFramePr/>
                <a:graphic xmlns:a="http://schemas.openxmlformats.org/drawingml/2006/main">
                  <a:graphicData uri="http://schemas.microsoft.com/office/word/2010/wordprocessingShape">
                    <wps:wsp>
                      <wps:cNvSpPr txBox="1"/>
                      <wps:spPr>
                        <a:xfrm>
                          <a:off x="0" y="0"/>
                          <a:ext cx="630555" cy="109855"/>
                        </a:xfrm>
                        <a:prstGeom prst="rect">
                          <a:avLst/>
                        </a:prstGeom>
                        <a:noFill/>
                        <a:ln>
                          <a:noFill/>
                        </a:ln>
                      </wps:spPr>
                      <wps:txbx>
                        <w:txbxContent>
                          <w:p>
                            <w:pPr>
                              <w:tabs>
                                <w:tab w:val="left" w:pos="914"/>
                              </w:tabs>
                              <w:spacing w:before="0" w:line="171" w:lineRule="exact"/>
                              <w:ind w:left="0" w:right="0" w:firstLine="0"/>
                              <w:jc w:val="left"/>
                              <w:rPr>
                                <w:rFonts w:ascii="Times New Roman"/>
                                <w:sz w:val="15"/>
                              </w:rPr>
                            </w:pPr>
                            <w:r>
                              <w:rPr>
                                <w:rFonts w:ascii="Times New Roman"/>
                                <w:w w:val="105"/>
                                <w:sz w:val="15"/>
                              </w:rPr>
                              <w:t>3</w:t>
                            </w:r>
                            <w:r>
                              <w:rPr>
                                <w:rFonts w:ascii="Times New Roman"/>
                                <w:w w:val="105"/>
                                <w:sz w:val="15"/>
                              </w:rPr>
                              <w:tab/>
                            </w:r>
                            <w:r>
                              <w:rPr>
                                <w:rFonts w:ascii="Times New Roman"/>
                                <w:spacing w:val="-20"/>
                                <w:w w:val="105"/>
                                <w:sz w:val="15"/>
                              </w:rPr>
                              <w:t>3</w:t>
                            </w:r>
                          </w:p>
                        </w:txbxContent>
                      </wps:txbx>
                      <wps:bodyPr lIns="0" tIns="0" rIns="0" bIns="0" upright="1"/>
                    </wps:wsp>
                  </a:graphicData>
                </a:graphic>
              </wp:anchor>
            </w:drawing>
          </mc:Choice>
          <mc:Fallback>
            <w:pict>
              <v:shape id="文本框 119" o:spid="_x0000_s1026" o:spt="202" type="#_x0000_t202" style="position:absolute;left:0pt;margin-left:450.45pt;margin-top:60.55pt;height:8.65pt;width:49.65pt;mso-position-horizontal-relative:page;z-index:-288984064;mso-width-relative:page;mso-height-relative:page;" filled="f" stroked="f" coordsize="21600,21600" o:gfxdata="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fMerttkAAAAMAQAADwAAAAAA&#10;AAABACAAAAAiAAAAZHJzL2Rvd25yZXYueG1sUEsBAhQAFAAAAAgAh07iQFK5l9qgAQAAJgMAAA4A&#10;AAAAAAAAAQAgAAAAKAEAAGRycy9lMm9Eb2MueG1sUEsFBgAAAAAGAAYAWQEAADoFAAAAAA==&#10;">
                <v:fill on="f" focussize="0,0"/>
                <v:stroke on="f"/>
                <v:imagedata o:title=""/>
                <o:lock v:ext="edit" aspectratio="f"/>
                <v:textbox inset="0mm,0mm,0mm,0mm">
                  <w:txbxContent>
                    <w:p>
                      <w:pPr>
                        <w:tabs>
                          <w:tab w:val="left" w:pos="914"/>
                        </w:tabs>
                        <w:spacing w:before="0" w:line="171" w:lineRule="exact"/>
                        <w:ind w:left="0" w:right="0" w:firstLine="0"/>
                        <w:jc w:val="left"/>
                        <w:rPr>
                          <w:rFonts w:ascii="Times New Roman"/>
                          <w:sz w:val="15"/>
                        </w:rPr>
                      </w:pPr>
                      <w:r>
                        <w:rPr>
                          <w:rFonts w:ascii="Times New Roman"/>
                          <w:w w:val="105"/>
                          <w:sz w:val="15"/>
                        </w:rPr>
                        <w:t>3</w:t>
                      </w:r>
                      <w:r>
                        <w:rPr>
                          <w:rFonts w:ascii="Times New Roman"/>
                          <w:w w:val="105"/>
                          <w:sz w:val="15"/>
                        </w:rPr>
                        <w:tab/>
                      </w:r>
                      <w:r>
                        <w:rPr>
                          <w:rFonts w:ascii="Times New Roman"/>
                          <w:spacing w:val="-20"/>
                          <w:w w:val="105"/>
                          <w:sz w:val="15"/>
                        </w:rPr>
                        <w:t>3</w:t>
                      </w:r>
                    </w:p>
                  </w:txbxContent>
                </v:textbox>
              </v:shape>
            </w:pict>
          </mc:Fallback>
        </mc:AlternateContent>
      </w:r>
      <w:r>
        <w:rPr>
          <w:spacing w:val="-1"/>
        </w:rPr>
        <w:t>水质监测项目：</w:t>
      </w:r>
      <w:r>
        <w:rPr>
          <w:rFonts w:ascii="Times New Roman" w:eastAsia="Times New Roman"/>
          <w:spacing w:val="-3"/>
        </w:rPr>
        <w:t>pH</w:t>
      </w:r>
      <w:r>
        <w:rPr>
          <w:spacing w:val="-8"/>
        </w:rPr>
        <w:t>、氨氮、硝酸盐、亚硝酸盐、总硬度、高锰酸盐指数、溶解性总固体、铁、锰、铅、六价铬、氯化物、硫酸盐、细菌总数、总大肠菌群、</w:t>
      </w:r>
      <w:r>
        <w:rPr>
          <w:spacing w:val="-19"/>
        </w:rPr>
        <w:t>挥发性酚类、氰化物、砷、汞、氟化物、镉、</w:t>
      </w:r>
      <w:r>
        <w:rPr>
          <w:rFonts w:ascii="Times New Roman" w:eastAsia="Times New Roman"/>
        </w:rPr>
        <w:t>K</w:t>
      </w:r>
      <w:r>
        <w:rPr>
          <w:rFonts w:ascii="Times New Roman" w:eastAsia="Times New Roman"/>
          <w:position w:val="8"/>
          <w:sz w:val="15"/>
        </w:rPr>
        <w:t>+</w:t>
      </w:r>
      <w:r>
        <w:rPr>
          <w:spacing w:val="-41"/>
        </w:rPr>
        <w:t>、</w:t>
      </w:r>
      <w:r>
        <w:rPr>
          <w:rFonts w:ascii="Times New Roman" w:eastAsia="Times New Roman"/>
        </w:rPr>
        <w:t>Na</w:t>
      </w:r>
      <w:r>
        <w:rPr>
          <w:rFonts w:ascii="Times New Roman" w:eastAsia="Times New Roman"/>
          <w:position w:val="8"/>
          <w:sz w:val="15"/>
        </w:rPr>
        <w:t>+</w:t>
      </w:r>
      <w:r>
        <w:rPr>
          <w:spacing w:val="-39"/>
        </w:rPr>
        <w:t>、</w:t>
      </w:r>
      <w:r>
        <w:rPr>
          <w:rFonts w:ascii="Times New Roman" w:eastAsia="Times New Roman"/>
        </w:rPr>
        <w:t>Ca</w:t>
      </w:r>
      <w:r>
        <w:rPr>
          <w:rFonts w:ascii="Times New Roman" w:eastAsia="Times New Roman"/>
          <w:position w:val="8"/>
          <w:sz w:val="15"/>
        </w:rPr>
        <w:t>2+</w:t>
      </w:r>
      <w:r>
        <w:rPr>
          <w:spacing w:val="-41"/>
        </w:rPr>
        <w:t>、</w:t>
      </w:r>
      <w:r>
        <w:rPr>
          <w:rFonts w:ascii="Times New Roman" w:eastAsia="Times New Roman"/>
        </w:rPr>
        <w:t>Mg</w:t>
      </w:r>
      <w:r>
        <w:rPr>
          <w:rFonts w:ascii="Times New Roman" w:eastAsia="Times New Roman"/>
          <w:position w:val="8"/>
          <w:sz w:val="15"/>
        </w:rPr>
        <w:t>2+</w:t>
      </w:r>
      <w:r>
        <w:rPr>
          <w:spacing w:val="-41"/>
        </w:rPr>
        <w:t>、</w:t>
      </w:r>
      <w:r>
        <w:rPr>
          <w:rFonts w:ascii="Times New Roman" w:eastAsia="Times New Roman"/>
        </w:rPr>
        <w:t xml:space="preserve">CO </w:t>
      </w:r>
      <w:r>
        <w:rPr>
          <w:rFonts w:ascii="Times New Roman" w:eastAsia="Times New Roman"/>
          <w:position w:val="8"/>
          <w:sz w:val="15"/>
        </w:rPr>
        <w:t>2-</w:t>
      </w:r>
      <w:r>
        <w:rPr>
          <w:spacing w:val="-41"/>
        </w:rPr>
        <w:t>、</w:t>
      </w:r>
      <w:r>
        <w:rPr>
          <w:rFonts w:ascii="Times New Roman" w:eastAsia="Times New Roman"/>
        </w:rPr>
        <w:t xml:space="preserve">HCO </w:t>
      </w:r>
      <w:r>
        <w:rPr>
          <w:rFonts w:ascii="Times New Roman" w:eastAsia="Times New Roman"/>
          <w:position w:val="8"/>
          <w:sz w:val="15"/>
        </w:rPr>
        <w:t>-</w:t>
      </w:r>
      <w:r>
        <w:t>、</w:t>
      </w:r>
      <w:r>
        <w:rPr>
          <w:rFonts w:ascii="Times New Roman" w:eastAsia="Times New Roman"/>
        </w:rPr>
        <w:t>Cl</w:t>
      </w:r>
      <w:r>
        <w:rPr>
          <w:rFonts w:ascii="Times New Roman" w:eastAsia="Times New Roman"/>
          <w:position w:val="8"/>
          <w:sz w:val="15"/>
        </w:rPr>
        <w:t>-</w:t>
      </w:r>
      <w:r>
        <w:t>、</w:t>
      </w:r>
      <w:r>
        <w:rPr>
          <w:rFonts w:ascii="Times New Roman" w:eastAsia="Times New Roman"/>
        </w:rPr>
        <w:t xml:space="preserve">SO </w:t>
      </w:r>
      <w:r>
        <w:rPr>
          <w:rFonts w:ascii="Times New Roman" w:eastAsia="Times New Roman"/>
          <w:position w:val="8"/>
          <w:sz w:val="15"/>
        </w:rPr>
        <w:t>2-</w:t>
      </w:r>
      <w:r>
        <w:rPr>
          <w:spacing w:val="-30"/>
        </w:rPr>
        <w:t xml:space="preserve">共 </w:t>
      </w:r>
      <w:r>
        <w:rPr>
          <w:rFonts w:ascii="Times New Roman" w:eastAsia="Times New Roman"/>
        </w:rPr>
        <w:t xml:space="preserve">29 </w:t>
      </w:r>
      <w:r>
        <w:t>项。</w:t>
      </w:r>
    </w:p>
    <w:p>
      <w:pPr>
        <w:pStyle w:val="5"/>
        <w:numPr>
          <w:ilvl w:val="3"/>
          <w:numId w:val="58"/>
        </w:numPr>
        <w:tabs>
          <w:tab w:val="left" w:pos="1272"/>
        </w:tabs>
        <w:spacing w:before="0" w:after="0" w:line="305" w:lineRule="exact"/>
        <w:ind w:left="1272" w:right="0" w:hanging="721"/>
        <w:jc w:val="left"/>
      </w:pPr>
      <w:r>
        <w:t>监测分析方法</w:t>
      </w:r>
    </w:p>
    <w:p>
      <w:pPr>
        <w:pStyle w:val="6"/>
        <w:spacing w:before="161" w:line="362" w:lineRule="auto"/>
        <w:ind w:left="551" w:right="893" w:firstLine="480"/>
      </w:pPr>
      <w:r>
        <w:t>采样和分析方法按照《地下水环境监测技术规范》（</w:t>
      </w:r>
      <w:r>
        <w:rPr>
          <w:rFonts w:ascii="Times New Roman" w:eastAsia="Times New Roman"/>
        </w:rPr>
        <w:t>HJ/T64-2004</w:t>
      </w:r>
      <w:r>
        <w:t>）和《生活饮用水标准检验方法》（</w:t>
      </w:r>
      <w:r>
        <w:rPr>
          <w:rFonts w:ascii="Times New Roman" w:eastAsia="Times New Roman"/>
        </w:rPr>
        <w:t>GB5750-2006</w:t>
      </w:r>
      <w:r>
        <w:t xml:space="preserve">）执行，监测分析方法见表 </w:t>
      </w:r>
      <w:r>
        <w:rPr>
          <w:rFonts w:ascii="Times New Roman" w:eastAsia="Times New Roman"/>
        </w:rPr>
        <w:t>6.4-2</w:t>
      </w:r>
      <w:r>
        <w:t>。</w:t>
      </w:r>
    </w:p>
    <w:p>
      <w:pPr>
        <w:pStyle w:val="5"/>
        <w:tabs>
          <w:tab w:val="left" w:pos="4672"/>
        </w:tabs>
        <w:spacing w:before="81"/>
        <w:ind w:left="3633"/>
      </w:pPr>
      <w:r>
        <w:t>表</w:t>
      </w:r>
      <w:r>
        <w:rPr>
          <w:spacing w:val="-62"/>
        </w:rPr>
        <w:t xml:space="preserve"> </w:t>
      </w:r>
      <w:r>
        <w:rPr>
          <w:rFonts w:ascii="Times New Roman" w:eastAsia="Times New Roman"/>
        </w:rPr>
        <w:t>6.4-2</w:t>
      </w:r>
      <w:r>
        <w:rPr>
          <w:rFonts w:ascii="Times New Roman" w:eastAsia="Times New Roman"/>
        </w:rPr>
        <w:tab/>
      </w:r>
      <w:r>
        <w:t>地下水检测方法</w:t>
      </w:r>
    </w:p>
    <w:p>
      <w:pPr>
        <w:pStyle w:val="6"/>
        <w:spacing w:before="5"/>
        <w:rPr>
          <w:b/>
          <w:sz w:val="6"/>
        </w:rPr>
      </w:pPr>
    </w:p>
    <w:tbl>
      <w:tblPr>
        <w:tblStyle w:val="10"/>
        <w:tblW w:w="0" w:type="auto"/>
        <w:tblInd w:w="4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6"/>
        <w:gridCol w:w="69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1566" w:type="dxa"/>
          </w:tcPr>
          <w:p>
            <w:pPr>
              <w:pStyle w:val="14"/>
              <w:spacing w:before="75"/>
              <w:ind w:left="362"/>
              <w:jc w:val="left"/>
              <w:rPr>
                <w:sz w:val="21"/>
              </w:rPr>
            </w:pPr>
            <w:r>
              <w:rPr>
                <w:sz w:val="21"/>
              </w:rPr>
              <w:t>检测项目</w:t>
            </w:r>
          </w:p>
        </w:tc>
        <w:tc>
          <w:tcPr>
            <w:tcW w:w="6956" w:type="dxa"/>
          </w:tcPr>
          <w:p>
            <w:pPr>
              <w:pStyle w:val="14"/>
              <w:spacing w:before="75"/>
              <w:ind w:left="29" w:right="21"/>
              <w:rPr>
                <w:sz w:val="21"/>
              </w:rPr>
            </w:pPr>
            <w:r>
              <w:rPr>
                <w:sz w:val="21"/>
              </w:rPr>
              <w:t>检测依据</w:t>
            </w:r>
          </w:p>
        </w:tc>
      </w:tr>
    </w:tbl>
    <w:p>
      <w:pPr>
        <w:spacing w:after="0"/>
        <w:rPr>
          <w:sz w:val="21"/>
        </w:rPr>
        <w:sectPr>
          <w:pgSz w:w="11910" w:h="16840"/>
          <w:pgMar w:top="1500" w:right="780" w:bottom="1180" w:left="1200" w:header="0" w:footer="917" w:gutter="0"/>
        </w:sectPr>
      </w:pPr>
    </w:p>
    <w:tbl>
      <w:tblPr>
        <w:tblStyle w:val="10"/>
        <w:tblW w:w="0" w:type="auto"/>
        <w:tblInd w:w="4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6"/>
        <w:gridCol w:w="69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566" w:type="dxa"/>
          </w:tcPr>
          <w:p>
            <w:pPr>
              <w:pStyle w:val="14"/>
              <w:spacing w:before="76"/>
              <w:ind w:left="130" w:right="124"/>
              <w:rPr>
                <w:sz w:val="21"/>
              </w:rPr>
            </w:pPr>
            <w:r>
              <w:rPr>
                <w:sz w:val="21"/>
              </w:rPr>
              <w:t>检测项目</w:t>
            </w:r>
          </w:p>
        </w:tc>
        <w:tc>
          <w:tcPr>
            <w:tcW w:w="6956" w:type="dxa"/>
          </w:tcPr>
          <w:p>
            <w:pPr>
              <w:pStyle w:val="14"/>
              <w:spacing w:before="76"/>
              <w:ind w:left="29" w:right="21"/>
              <w:rPr>
                <w:sz w:val="21"/>
              </w:rPr>
            </w:pPr>
            <w:r>
              <w:rPr>
                <w:sz w:val="21"/>
              </w:rPr>
              <w:t>检测依据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566" w:type="dxa"/>
          </w:tcPr>
          <w:p>
            <w:pPr>
              <w:pStyle w:val="14"/>
              <w:spacing w:before="92"/>
              <w:ind w:left="132" w:right="122"/>
              <w:rPr>
                <w:rFonts w:ascii="Times New Roman"/>
                <w:sz w:val="21"/>
              </w:rPr>
            </w:pPr>
            <w:r>
              <w:rPr>
                <w:rFonts w:ascii="Times New Roman"/>
                <w:sz w:val="21"/>
              </w:rPr>
              <w:t>pH</w:t>
            </w:r>
          </w:p>
        </w:tc>
        <w:tc>
          <w:tcPr>
            <w:tcW w:w="6956" w:type="dxa"/>
          </w:tcPr>
          <w:p>
            <w:pPr>
              <w:pStyle w:val="14"/>
              <w:spacing w:before="78"/>
              <w:ind w:left="31" w:right="21"/>
              <w:rPr>
                <w:rFonts w:ascii="Times New Roman" w:eastAsia="Times New Roman"/>
                <w:sz w:val="21"/>
              </w:rPr>
            </w:pPr>
            <w:r>
              <w:rPr>
                <w:sz w:val="21"/>
              </w:rPr>
              <w:t xml:space="preserve">水质 </w:t>
            </w:r>
            <w:r>
              <w:rPr>
                <w:rFonts w:ascii="Times New Roman" w:eastAsia="Times New Roman"/>
                <w:sz w:val="21"/>
              </w:rPr>
              <w:t xml:space="preserve">pH </w:t>
            </w:r>
            <w:r>
              <w:rPr>
                <w:sz w:val="21"/>
              </w:rPr>
              <w:t xml:space="preserve">值的测定玻璃电极法 </w:t>
            </w:r>
            <w:r>
              <w:rPr>
                <w:rFonts w:ascii="Times New Roman" w:eastAsia="Times New Roman"/>
                <w:sz w:val="21"/>
              </w:rPr>
              <w:t>GB/T 6920-1986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566" w:type="dxa"/>
          </w:tcPr>
          <w:p>
            <w:pPr>
              <w:pStyle w:val="14"/>
              <w:spacing w:before="77"/>
              <w:ind w:left="132" w:right="124"/>
              <w:rPr>
                <w:sz w:val="21"/>
              </w:rPr>
            </w:pPr>
            <w:r>
              <w:rPr>
                <w:sz w:val="21"/>
              </w:rPr>
              <w:t>氨氮</w:t>
            </w:r>
          </w:p>
        </w:tc>
        <w:tc>
          <w:tcPr>
            <w:tcW w:w="6956" w:type="dxa"/>
          </w:tcPr>
          <w:p>
            <w:pPr>
              <w:pStyle w:val="14"/>
              <w:spacing w:before="77"/>
              <w:ind w:left="31" w:right="21"/>
              <w:rPr>
                <w:rFonts w:ascii="Times New Roman" w:eastAsia="Times New Roman"/>
                <w:sz w:val="21"/>
              </w:rPr>
            </w:pPr>
            <w:r>
              <w:rPr>
                <w:sz w:val="21"/>
              </w:rPr>
              <w:t xml:space="preserve">水质 氨氮的测定 纳氏试剂分光光度法 </w:t>
            </w:r>
            <w:r>
              <w:rPr>
                <w:rFonts w:ascii="Times New Roman" w:eastAsia="Times New Roman"/>
                <w:sz w:val="21"/>
              </w:rPr>
              <w:t>HJ 535-2009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566" w:type="dxa"/>
          </w:tcPr>
          <w:p>
            <w:pPr>
              <w:pStyle w:val="14"/>
              <w:spacing w:before="177"/>
              <w:ind w:left="132" w:right="124"/>
              <w:rPr>
                <w:sz w:val="21"/>
              </w:rPr>
            </w:pPr>
            <w:r>
              <w:rPr>
                <w:sz w:val="21"/>
              </w:rPr>
              <w:t>硝酸盐</w:t>
            </w:r>
          </w:p>
        </w:tc>
        <w:tc>
          <w:tcPr>
            <w:tcW w:w="6956" w:type="dxa"/>
          </w:tcPr>
          <w:p>
            <w:pPr>
              <w:pStyle w:val="14"/>
              <w:spacing w:before="21"/>
              <w:ind w:left="29" w:right="21"/>
              <w:rPr>
                <w:sz w:val="21"/>
              </w:rPr>
            </w:pPr>
            <w:r>
              <w:rPr>
                <w:sz w:val="21"/>
              </w:rPr>
              <w:t>生活饮用水标准检验方法无机非金属指标（</w:t>
            </w:r>
            <w:r>
              <w:rPr>
                <w:rFonts w:ascii="Times New Roman" w:eastAsia="Times New Roman"/>
                <w:sz w:val="21"/>
              </w:rPr>
              <w:t xml:space="preserve">5.2 </w:t>
            </w:r>
            <w:r>
              <w:rPr>
                <w:sz w:val="21"/>
              </w:rPr>
              <w:t>紫外分光光度法）</w:t>
            </w:r>
          </w:p>
          <w:p>
            <w:pPr>
              <w:pStyle w:val="14"/>
              <w:spacing w:before="57"/>
              <w:ind w:left="33" w:right="21"/>
              <w:rPr>
                <w:rFonts w:ascii="Times New Roman"/>
                <w:sz w:val="21"/>
              </w:rPr>
            </w:pPr>
            <w:r>
              <w:rPr>
                <w:rFonts w:ascii="Times New Roman"/>
                <w:sz w:val="21"/>
              </w:rPr>
              <w:t>GB/T 5750.5-2006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566" w:type="dxa"/>
          </w:tcPr>
          <w:p>
            <w:pPr>
              <w:pStyle w:val="14"/>
              <w:spacing w:before="76"/>
              <w:ind w:left="130" w:right="124"/>
              <w:rPr>
                <w:sz w:val="21"/>
              </w:rPr>
            </w:pPr>
            <w:r>
              <w:rPr>
                <w:sz w:val="21"/>
              </w:rPr>
              <w:t>亚硝酸盐</w:t>
            </w:r>
          </w:p>
        </w:tc>
        <w:tc>
          <w:tcPr>
            <w:tcW w:w="6956" w:type="dxa"/>
          </w:tcPr>
          <w:p>
            <w:pPr>
              <w:pStyle w:val="14"/>
              <w:spacing w:before="76"/>
              <w:ind w:left="33" w:right="21"/>
              <w:rPr>
                <w:rFonts w:ascii="Times New Roman" w:eastAsia="Times New Roman"/>
                <w:sz w:val="21"/>
              </w:rPr>
            </w:pPr>
            <w:r>
              <w:rPr>
                <w:sz w:val="21"/>
              </w:rPr>
              <w:t xml:space="preserve">水质亚硝酸盐氮的测定分光光度法 </w:t>
            </w:r>
            <w:r>
              <w:rPr>
                <w:rFonts w:ascii="Times New Roman" w:eastAsia="Times New Roman"/>
                <w:sz w:val="21"/>
              </w:rPr>
              <w:t>GB/T 7493-1987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566" w:type="dxa"/>
          </w:tcPr>
          <w:p>
            <w:pPr>
              <w:pStyle w:val="14"/>
              <w:spacing w:before="76"/>
              <w:ind w:left="132" w:right="124"/>
              <w:rPr>
                <w:sz w:val="21"/>
              </w:rPr>
            </w:pPr>
            <w:r>
              <w:rPr>
                <w:sz w:val="21"/>
              </w:rPr>
              <w:t>总硬度</w:t>
            </w:r>
          </w:p>
        </w:tc>
        <w:tc>
          <w:tcPr>
            <w:tcW w:w="6956" w:type="dxa"/>
          </w:tcPr>
          <w:p>
            <w:pPr>
              <w:pStyle w:val="14"/>
              <w:spacing w:before="76"/>
              <w:ind w:left="35" w:right="21"/>
              <w:rPr>
                <w:rFonts w:ascii="Times New Roman" w:eastAsia="Times New Roman"/>
                <w:sz w:val="21"/>
              </w:rPr>
            </w:pPr>
            <w:r>
              <w:rPr>
                <w:sz w:val="21"/>
              </w:rPr>
              <w:t xml:space="preserve">水质钙和镁总量的测定 </w:t>
            </w:r>
            <w:r>
              <w:rPr>
                <w:rFonts w:ascii="Times New Roman" w:eastAsia="Times New Roman"/>
                <w:sz w:val="21"/>
              </w:rPr>
              <w:t xml:space="preserve">EDTA </w:t>
            </w:r>
            <w:r>
              <w:rPr>
                <w:sz w:val="21"/>
              </w:rPr>
              <w:t xml:space="preserve">滴定法 </w:t>
            </w:r>
            <w:r>
              <w:rPr>
                <w:rFonts w:ascii="Times New Roman" w:eastAsia="Times New Roman"/>
                <w:sz w:val="21"/>
              </w:rPr>
              <w:t>GB/T 7477-1987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566" w:type="dxa"/>
          </w:tcPr>
          <w:p>
            <w:pPr>
              <w:pStyle w:val="14"/>
              <w:spacing w:before="77"/>
              <w:ind w:left="132" w:right="124"/>
              <w:rPr>
                <w:sz w:val="21"/>
              </w:rPr>
            </w:pPr>
            <w:r>
              <w:rPr>
                <w:sz w:val="21"/>
              </w:rPr>
              <w:t>高锰酸盐指数</w:t>
            </w:r>
          </w:p>
        </w:tc>
        <w:tc>
          <w:tcPr>
            <w:tcW w:w="6956" w:type="dxa"/>
          </w:tcPr>
          <w:p>
            <w:pPr>
              <w:pStyle w:val="14"/>
              <w:spacing w:before="77"/>
              <w:ind w:left="31" w:right="21"/>
              <w:rPr>
                <w:rFonts w:ascii="Times New Roman" w:eastAsia="Times New Roman"/>
                <w:sz w:val="21"/>
              </w:rPr>
            </w:pPr>
            <w:r>
              <w:rPr>
                <w:sz w:val="21"/>
              </w:rPr>
              <w:t xml:space="preserve">水质高锰酸盐指数的测定 </w:t>
            </w:r>
            <w:r>
              <w:rPr>
                <w:rFonts w:ascii="Times New Roman" w:eastAsia="Times New Roman"/>
                <w:sz w:val="21"/>
              </w:rPr>
              <w:t>GB 11892-1989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566" w:type="dxa"/>
          </w:tcPr>
          <w:p>
            <w:pPr>
              <w:pStyle w:val="14"/>
              <w:spacing w:before="178"/>
              <w:ind w:left="132" w:right="124"/>
              <w:rPr>
                <w:sz w:val="21"/>
              </w:rPr>
            </w:pPr>
            <w:r>
              <w:rPr>
                <w:sz w:val="21"/>
              </w:rPr>
              <w:t>溶解性总固体</w:t>
            </w:r>
          </w:p>
        </w:tc>
        <w:tc>
          <w:tcPr>
            <w:tcW w:w="6956" w:type="dxa"/>
          </w:tcPr>
          <w:p>
            <w:pPr>
              <w:pStyle w:val="14"/>
              <w:spacing w:before="22"/>
              <w:ind w:left="27" w:right="21"/>
              <w:rPr>
                <w:sz w:val="21"/>
              </w:rPr>
            </w:pPr>
            <w:r>
              <w:rPr>
                <w:sz w:val="21"/>
              </w:rPr>
              <w:t>生活饮用水标准检验方法感官性状和物理指标（</w:t>
            </w:r>
            <w:r>
              <w:rPr>
                <w:rFonts w:ascii="Times New Roman" w:eastAsia="Times New Roman"/>
                <w:sz w:val="21"/>
              </w:rPr>
              <w:t xml:space="preserve">8.1 </w:t>
            </w:r>
            <w:r>
              <w:rPr>
                <w:sz w:val="21"/>
              </w:rPr>
              <w:t>称量法）</w:t>
            </w:r>
          </w:p>
          <w:p>
            <w:pPr>
              <w:pStyle w:val="14"/>
              <w:spacing w:before="57"/>
              <w:ind w:left="33" w:right="21"/>
              <w:rPr>
                <w:rFonts w:ascii="Times New Roman"/>
                <w:sz w:val="21"/>
              </w:rPr>
            </w:pPr>
            <w:r>
              <w:rPr>
                <w:rFonts w:ascii="Times New Roman"/>
                <w:sz w:val="21"/>
              </w:rPr>
              <w:t>GB/T 5750.4-2006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566" w:type="dxa"/>
          </w:tcPr>
          <w:p>
            <w:pPr>
              <w:pStyle w:val="14"/>
              <w:spacing w:before="77"/>
              <w:ind w:left="6"/>
              <w:rPr>
                <w:sz w:val="21"/>
              </w:rPr>
            </w:pPr>
            <w:r>
              <w:rPr>
                <w:w w:val="99"/>
                <w:sz w:val="21"/>
              </w:rPr>
              <w:t>铁</w:t>
            </w:r>
          </w:p>
        </w:tc>
        <w:tc>
          <w:tcPr>
            <w:tcW w:w="6956" w:type="dxa"/>
          </w:tcPr>
          <w:p>
            <w:pPr>
              <w:pStyle w:val="14"/>
              <w:spacing w:before="77"/>
              <w:ind w:left="31" w:right="21"/>
              <w:rPr>
                <w:rFonts w:ascii="Times New Roman" w:eastAsia="Times New Roman"/>
                <w:sz w:val="21"/>
              </w:rPr>
            </w:pPr>
            <w:r>
              <w:rPr>
                <w:sz w:val="21"/>
              </w:rPr>
              <w:t xml:space="preserve">水质铁、锰的测定火焰原子吸收分光光度法 </w:t>
            </w:r>
            <w:r>
              <w:rPr>
                <w:rFonts w:ascii="Times New Roman" w:eastAsia="Times New Roman"/>
                <w:sz w:val="21"/>
              </w:rPr>
              <w:t>GB 11911-1989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566" w:type="dxa"/>
          </w:tcPr>
          <w:p>
            <w:pPr>
              <w:pStyle w:val="14"/>
              <w:spacing w:before="76"/>
              <w:ind w:left="6"/>
              <w:rPr>
                <w:sz w:val="21"/>
              </w:rPr>
            </w:pPr>
            <w:r>
              <w:rPr>
                <w:w w:val="99"/>
                <w:sz w:val="21"/>
              </w:rPr>
              <w:t>锰</w:t>
            </w:r>
          </w:p>
        </w:tc>
        <w:tc>
          <w:tcPr>
            <w:tcW w:w="6956" w:type="dxa"/>
          </w:tcPr>
          <w:p>
            <w:pPr>
              <w:pStyle w:val="14"/>
              <w:spacing w:before="76"/>
              <w:ind w:left="31" w:right="21"/>
              <w:rPr>
                <w:rFonts w:ascii="Times New Roman" w:eastAsia="Times New Roman"/>
                <w:sz w:val="21"/>
              </w:rPr>
            </w:pPr>
            <w:r>
              <w:rPr>
                <w:sz w:val="21"/>
              </w:rPr>
              <w:t xml:space="preserve">水质铁、锰的测定火焰原子吸收分光光度法 </w:t>
            </w:r>
            <w:r>
              <w:rPr>
                <w:rFonts w:ascii="Times New Roman" w:eastAsia="Times New Roman"/>
                <w:sz w:val="21"/>
              </w:rPr>
              <w:t>GB 11911-1989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566" w:type="dxa"/>
          </w:tcPr>
          <w:p>
            <w:pPr>
              <w:pStyle w:val="14"/>
              <w:spacing w:before="176"/>
              <w:ind w:left="6"/>
              <w:rPr>
                <w:sz w:val="21"/>
              </w:rPr>
            </w:pPr>
            <w:r>
              <w:rPr>
                <w:w w:val="99"/>
                <w:sz w:val="21"/>
              </w:rPr>
              <w:t>铅</w:t>
            </w:r>
          </w:p>
        </w:tc>
        <w:tc>
          <w:tcPr>
            <w:tcW w:w="6956" w:type="dxa"/>
          </w:tcPr>
          <w:p>
            <w:pPr>
              <w:pStyle w:val="14"/>
              <w:spacing w:before="20"/>
              <w:ind w:left="29" w:right="21"/>
              <w:rPr>
                <w:sz w:val="21"/>
              </w:rPr>
            </w:pPr>
            <w:r>
              <w:rPr>
                <w:sz w:val="21"/>
              </w:rPr>
              <w:t>生活饮用水标准检验方法金属指标 （</w:t>
            </w:r>
            <w:r>
              <w:rPr>
                <w:rFonts w:ascii="Times New Roman" w:eastAsia="Times New Roman"/>
                <w:sz w:val="21"/>
              </w:rPr>
              <w:t xml:space="preserve">11.1 </w:t>
            </w:r>
            <w:r>
              <w:rPr>
                <w:sz w:val="21"/>
              </w:rPr>
              <w:t>无火焰原子吸收分光光度法）</w:t>
            </w:r>
          </w:p>
          <w:p>
            <w:pPr>
              <w:pStyle w:val="14"/>
              <w:spacing w:before="57"/>
              <w:ind w:left="33" w:right="21"/>
              <w:rPr>
                <w:rFonts w:ascii="Times New Roman"/>
                <w:sz w:val="21"/>
              </w:rPr>
            </w:pPr>
            <w:r>
              <w:rPr>
                <w:rFonts w:ascii="Times New Roman"/>
                <w:sz w:val="21"/>
              </w:rPr>
              <w:t>GB/T 5750.6-2006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566" w:type="dxa"/>
          </w:tcPr>
          <w:p>
            <w:pPr>
              <w:pStyle w:val="14"/>
              <w:spacing w:before="77"/>
              <w:ind w:left="132" w:right="124"/>
              <w:rPr>
                <w:sz w:val="21"/>
              </w:rPr>
            </w:pPr>
            <w:r>
              <w:rPr>
                <w:sz w:val="21"/>
              </w:rPr>
              <w:t>六价铬</w:t>
            </w:r>
          </w:p>
        </w:tc>
        <w:tc>
          <w:tcPr>
            <w:tcW w:w="6956" w:type="dxa"/>
          </w:tcPr>
          <w:p>
            <w:pPr>
              <w:pStyle w:val="14"/>
              <w:spacing w:before="77"/>
              <w:ind w:left="33" w:right="21"/>
              <w:rPr>
                <w:rFonts w:ascii="Times New Roman" w:eastAsia="Times New Roman"/>
                <w:sz w:val="21"/>
              </w:rPr>
            </w:pPr>
            <w:r>
              <w:rPr>
                <w:sz w:val="21"/>
              </w:rPr>
              <w:t xml:space="preserve">水质六价铬的测定二苯碳酰二肼分光光度法 </w:t>
            </w:r>
            <w:r>
              <w:rPr>
                <w:rFonts w:ascii="Times New Roman" w:eastAsia="Times New Roman"/>
                <w:sz w:val="21"/>
              </w:rPr>
              <w:t>GB/T 7467-1987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566" w:type="dxa"/>
          </w:tcPr>
          <w:p>
            <w:pPr>
              <w:pStyle w:val="14"/>
              <w:spacing w:before="77"/>
              <w:ind w:left="132" w:right="124"/>
              <w:rPr>
                <w:sz w:val="21"/>
              </w:rPr>
            </w:pPr>
            <w:r>
              <w:rPr>
                <w:sz w:val="21"/>
              </w:rPr>
              <w:t>氯化物</w:t>
            </w:r>
          </w:p>
        </w:tc>
        <w:tc>
          <w:tcPr>
            <w:tcW w:w="6956" w:type="dxa"/>
          </w:tcPr>
          <w:p>
            <w:pPr>
              <w:pStyle w:val="14"/>
              <w:spacing w:before="77"/>
              <w:ind w:left="31" w:right="21"/>
              <w:rPr>
                <w:rFonts w:ascii="Times New Roman" w:eastAsia="Times New Roman"/>
                <w:sz w:val="21"/>
              </w:rPr>
            </w:pPr>
            <w:r>
              <w:rPr>
                <w:sz w:val="21"/>
              </w:rPr>
              <w:t xml:space="preserve">水质氯化物的测定硝酸银滴定法 </w:t>
            </w:r>
            <w:r>
              <w:rPr>
                <w:rFonts w:ascii="Times New Roman" w:eastAsia="Times New Roman"/>
                <w:sz w:val="21"/>
              </w:rPr>
              <w:t>GB 11896-1989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566" w:type="dxa"/>
          </w:tcPr>
          <w:p>
            <w:pPr>
              <w:pStyle w:val="14"/>
              <w:spacing w:before="76"/>
              <w:ind w:left="132" w:right="124"/>
              <w:rPr>
                <w:sz w:val="21"/>
              </w:rPr>
            </w:pPr>
            <w:r>
              <w:rPr>
                <w:sz w:val="21"/>
              </w:rPr>
              <w:t>硫酸盐</w:t>
            </w:r>
          </w:p>
        </w:tc>
        <w:tc>
          <w:tcPr>
            <w:tcW w:w="6956" w:type="dxa"/>
          </w:tcPr>
          <w:p>
            <w:pPr>
              <w:pStyle w:val="14"/>
              <w:spacing w:before="76"/>
              <w:ind w:left="33" w:right="21"/>
              <w:rPr>
                <w:rFonts w:ascii="Times New Roman" w:eastAsia="Times New Roman"/>
                <w:sz w:val="21"/>
              </w:rPr>
            </w:pPr>
            <w:r>
              <w:rPr>
                <w:sz w:val="21"/>
              </w:rPr>
              <w:t>水质硫酸盐的测定铬酸钡分光光度法（试行）</w:t>
            </w:r>
            <w:r>
              <w:rPr>
                <w:rFonts w:ascii="Times New Roman" w:eastAsia="Times New Roman"/>
                <w:sz w:val="21"/>
              </w:rPr>
              <w:t>HJ/T 342-2007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1566" w:type="dxa"/>
          </w:tcPr>
          <w:p>
            <w:pPr>
              <w:pStyle w:val="14"/>
              <w:spacing w:before="83"/>
              <w:ind w:left="130" w:right="124"/>
              <w:rPr>
                <w:sz w:val="21"/>
              </w:rPr>
            </w:pPr>
            <w:r>
              <w:rPr>
                <w:sz w:val="21"/>
              </w:rPr>
              <w:t>细菌总数</w:t>
            </w:r>
          </w:p>
        </w:tc>
        <w:tc>
          <w:tcPr>
            <w:tcW w:w="6956" w:type="dxa"/>
          </w:tcPr>
          <w:p>
            <w:pPr>
              <w:pStyle w:val="14"/>
              <w:spacing w:before="83"/>
              <w:ind w:left="35" w:right="21"/>
              <w:rPr>
                <w:rFonts w:ascii="Times New Roman" w:eastAsia="Times New Roman"/>
                <w:sz w:val="21"/>
              </w:rPr>
            </w:pPr>
            <w:r>
              <w:rPr>
                <w:sz w:val="21"/>
              </w:rPr>
              <w:t>生活饮用水标准检验方法微生物指标（</w:t>
            </w:r>
            <w:r>
              <w:rPr>
                <w:rFonts w:ascii="Times New Roman" w:eastAsia="Times New Roman"/>
                <w:sz w:val="21"/>
              </w:rPr>
              <w:t xml:space="preserve">1.1 </w:t>
            </w:r>
            <w:r>
              <w:rPr>
                <w:sz w:val="21"/>
              </w:rPr>
              <w:t>平皿计数法）</w:t>
            </w:r>
            <w:r>
              <w:rPr>
                <w:rFonts w:ascii="Times New Roman" w:eastAsia="Times New Roman"/>
                <w:sz w:val="21"/>
              </w:rPr>
              <w:t>GB/T 5750.12-2006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566" w:type="dxa"/>
          </w:tcPr>
          <w:p>
            <w:pPr>
              <w:pStyle w:val="14"/>
              <w:spacing w:before="76"/>
              <w:ind w:left="130" w:right="124"/>
              <w:rPr>
                <w:sz w:val="21"/>
              </w:rPr>
            </w:pPr>
            <w:r>
              <w:rPr>
                <w:sz w:val="21"/>
              </w:rPr>
              <w:t>总大肠菌群</w:t>
            </w:r>
          </w:p>
        </w:tc>
        <w:tc>
          <w:tcPr>
            <w:tcW w:w="6956" w:type="dxa"/>
          </w:tcPr>
          <w:p>
            <w:pPr>
              <w:pStyle w:val="14"/>
              <w:spacing w:before="76"/>
              <w:ind w:left="35" w:right="21"/>
              <w:rPr>
                <w:rFonts w:ascii="Times New Roman" w:eastAsia="Times New Roman"/>
                <w:sz w:val="21"/>
              </w:rPr>
            </w:pPr>
            <w:r>
              <w:rPr>
                <w:sz w:val="21"/>
              </w:rPr>
              <w:t>生活饮用水标准检验方法微生物指标（</w:t>
            </w:r>
            <w:r>
              <w:rPr>
                <w:rFonts w:ascii="Times New Roman" w:eastAsia="Times New Roman"/>
                <w:sz w:val="21"/>
              </w:rPr>
              <w:t xml:space="preserve">2.1 </w:t>
            </w:r>
            <w:r>
              <w:rPr>
                <w:sz w:val="21"/>
              </w:rPr>
              <w:t>多管发酵法）</w:t>
            </w:r>
            <w:r>
              <w:rPr>
                <w:rFonts w:ascii="Times New Roman" w:eastAsia="Times New Roman"/>
                <w:sz w:val="21"/>
              </w:rPr>
              <w:t>GB/T 5750.12-2006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566" w:type="dxa"/>
          </w:tcPr>
          <w:p>
            <w:pPr>
              <w:pStyle w:val="14"/>
              <w:spacing w:before="78"/>
              <w:ind w:left="130" w:right="124"/>
              <w:rPr>
                <w:sz w:val="21"/>
              </w:rPr>
            </w:pPr>
            <w:r>
              <w:rPr>
                <w:sz w:val="21"/>
              </w:rPr>
              <w:t>挥发性酚类</w:t>
            </w:r>
          </w:p>
        </w:tc>
        <w:tc>
          <w:tcPr>
            <w:tcW w:w="6956" w:type="dxa"/>
          </w:tcPr>
          <w:p>
            <w:pPr>
              <w:pStyle w:val="14"/>
              <w:spacing w:before="78"/>
              <w:ind w:left="33" w:right="21"/>
              <w:rPr>
                <w:rFonts w:ascii="Times New Roman" w:eastAsia="Times New Roman"/>
                <w:sz w:val="21"/>
              </w:rPr>
            </w:pPr>
            <w:r>
              <w:rPr>
                <w:sz w:val="21"/>
              </w:rPr>
              <w:t xml:space="preserve">水质挥发酚的测定 </w:t>
            </w:r>
            <w:r>
              <w:rPr>
                <w:rFonts w:ascii="Times New Roman" w:eastAsia="Times New Roman"/>
                <w:sz w:val="21"/>
              </w:rPr>
              <w:t>4-</w:t>
            </w:r>
            <w:r>
              <w:rPr>
                <w:sz w:val="21"/>
              </w:rPr>
              <w:t xml:space="preserve">氨基安替比林分光光度法 </w:t>
            </w:r>
            <w:r>
              <w:rPr>
                <w:rFonts w:ascii="Times New Roman" w:eastAsia="Times New Roman"/>
                <w:sz w:val="21"/>
              </w:rPr>
              <w:t>HJ 503-2009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566" w:type="dxa"/>
          </w:tcPr>
          <w:p>
            <w:pPr>
              <w:pStyle w:val="14"/>
              <w:spacing w:before="178"/>
              <w:ind w:left="132" w:right="124"/>
              <w:rPr>
                <w:sz w:val="21"/>
              </w:rPr>
            </w:pPr>
            <w:r>
              <w:rPr>
                <w:sz w:val="21"/>
              </w:rPr>
              <w:t>氰化物</w:t>
            </w:r>
          </w:p>
        </w:tc>
        <w:tc>
          <w:tcPr>
            <w:tcW w:w="6956" w:type="dxa"/>
          </w:tcPr>
          <w:p>
            <w:pPr>
              <w:pStyle w:val="14"/>
              <w:spacing w:before="22"/>
              <w:ind w:left="27" w:right="21"/>
              <w:rPr>
                <w:sz w:val="21"/>
              </w:rPr>
            </w:pPr>
            <w:r>
              <w:rPr>
                <w:sz w:val="21"/>
              </w:rPr>
              <w:t>生活饮用水标准检验方法无机非金属指标（</w:t>
            </w:r>
            <w:r>
              <w:rPr>
                <w:rFonts w:ascii="Times New Roman" w:eastAsia="Times New Roman"/>
                <w:sz w:val="21"/>
              </w:rPr>
              <w:t xml:space="preserve">4.2 </w:t>
            </w:r>
            <w:r>
              <w:rPr>
                <w:sz w:val="21"/>
              </w:rPr>
              <w:t>异烟酸</w:t>
            </w:r>
            <w:r>
              <w:rPr>
                <w:rFonts w:ascii="Times New Roman" w:eastAsia="Times New Roman"/>
                <w:sz w:val="21"/>
              </w:rPr>
              <w:t>-</w:t>
            </w:r>
            <w:r>
              <w:rPr>
                <w:sz w:val="21"/>
              </w:rPr>
              <w:t>巴比妥酸分光光度</w:t>
            </w:r>
          </w:p>
          <w:p>
            <w:pPr>
              <w:pStyle w:val="14"/>
              <w:spacing w:before="43"/>
              <w:ind w:left="31" w:right="21"/>
              <w:rPr>
                <w:rFonts w:ascii="Times New Roman" w:eastAsia="Times New Roman"/>
                <w:sz w:val="21"/>
              </w:rPr>
            </w:pPr>
            <w:r>
              <w:rPr>
                <w:sz w:val="21"/>
              </w:rPr>
              <w:t>法）</w:t>
            </w:r>
            <w:r>
              <w:rPr>
                <w:rFonts w:ascii="Times New Roman" w:eastAsia="Times New Roman"/>
                <w:sz w:val="21"/>
              </w:rPr>
              <w:t>GB/T 5750.5-2006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566" w:type="dxa"/>
          </w:tcPr>
          <w:p>
            <w:pPr>
              <w:pStyle w:val="14"/>
              <w:spacing w:before="77"/>
              <w:ind w:left="6"/>
              <w:rPr>
                <w:sz w:val="21"/>
              </w:rPr>
            </w:pPr>
            <w:r>
              <w:rPr>
                <w:w w:val="99"/>
                <w:sz w:val="21"/>
              </w:rPr>
              <w:t>砷</w:t>
            </w:r>
          </w:p>
        </w:tc>
        <w:tc>
          <w:tcPr>
            <w:tcW w:w="6956" w:type="dxa"/>
          </w:tcPr>
          <w:p>
            <w:pPr>
              <w:pStyle w:val="14"/>
              <w:spacing w:before="77"/>
              <w:ind w:left="33" w:right="21"/>
              <w:rPr>
                <w:rFonts w:ascii="Times New Roman" w:eastAsia="Times New Roman"/>
                <w:sz w:val="21"/>
              </w:rPr>
            </w:pPr>
            <w:r>
              <w:rPr>
                <w:sz w:val="21"/>
              </w:rPr>
              <w:t xml:space="preserve">水质汞、砷、硒、铋和锑的测定原子荧光法 </w:t>
            </w:r>
            <w:r>
              <w:rPr>
                <w:rFonts w:ascii="Times New Roman" w:eastAsia="Times New Roman"/>
                <w:sz w:val="21"/>
              </w:rPr>
              <w:t>HJ 694-2014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566" w:type="dxa"/>
          </w:tcPr>
          <w:p>
            <w:pPr>
              <w:pStyle w:val="14"/>
              <w:spacing w:before="76"/>
              <w:ind w:left="6"/>
              <w:rPr>
                <w:sz w:val="21"/>
              </w:rPr>
            </w:pPr>
            <w:r>
              <w:rPr>
                <w:w w:val="99"/>
                <w:sz w:val="21"/>
              </w:rPr>
              <w:t>汞</w:t>
            </w:r>
          </w:p>
        </w:tc>
        <w:tc>
          <w:tcPr>
            <w:tcW w:w="6956" w:type="dxa"/>
          </w:tcPr>
          <w:p>
            <w:pPr>
              <w:pStyle w:val="14"/>
              <w:spacing w:before="76"/>
              <w:ind w:left="33" w:right="21"/>
              <w:rPr>
                <w:rFonts w:ascii="Times New Roman" w:eastAsia="Times New Roman"/>
                <w:sz w:val="21"/>
              </w:rPr>
            </w:pPr>
            <w:r>
              <w:rPr>
                <w:sz w:val="21"/>
              </w:rPr>
              <w:t xml:space="preserve">水质汞、砷、硒、铋和锑的测定原子荧光法 </w:t>
            </w:r>
            <w:r>
              <w:rPr>
                <w:rFonts w:ascii="Times New Roman" w:eastAsia="Times New Roman"/>
                <w:sz w:val="21"/>
              </w:rPr>
              <w:t>HJ 694-2014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566" w:type="dxa"/>
          </w:tcPr>
          <w:p>
            <w:pPr>
              <w:pStyle w:val="14"/>
              <w:spacing w:before="78"/>
              <w:ind w:left="132" w:right="124"/>
              <w:rPr>
                <w:sz w:val="21"/>
              </w:rPr>
            </w:pPr>
            <w:r>
              <w:rPr>
                <w:sz w:val="21"/>
              </w:rPr>
              <w:t>氟化物</w:t>
            </w:r>
          </w:p>
        </w:tc>
        <w:tc>
          <w:tcPr>
            <w:tcW w:w="6956" w:type="dxa"/>
          </w:tcPr>
          <w:p>
            <w:pPr>
              <w:pStyle w:val="14"/>
              <w:spacing w:before="78"/>
              <w:ind w:left="31" w:right="21"/>
              <w:rPr>
                <w:rFonts w:ascii="Times New Roman" w:eastAsia="Times New Roman"/>
                <w:sz w:val="21"/>
              </w:rPr>
            </w:pPr>
            <w:r>
              <w:rPr>
                <w:sz w:val="21"/>
              </w:rPr>
              <w:t xml:space="preserve">水质氟化物的测定离子选择电极法 </w:t>
            </w:r>
            <w:r>
              <w:rPr>
                <w:rFonts w:ascii="Times New Roman" w:eastAsia="Times New Roman"/>
                <w:sz w:val="21"/>
              </w:rPr>
              <w:t>GB7484-1987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566" w:type="dxa"/>
          </w:tcPr>
          <w:p>
            <w:pPr>
              <w:pStyle w:val="14"/>
              <w:spacing w:before="176"/>
              <w:ind w:left="6"/>
              <w:rPr>
                <w:sz w:val="21"/>
              </w:rPr>
            </w:pPr>
            <w:r>
              <w:rPr>
                <w:w w:val="99"/>
                <w:sz w:val="21"/>
              </w:rPr>
              <w:t>镉</w:t>
            </w:r>
          </w:p>
        </w:tc>
        <w:tc>
          <w:tcPr>
            <w:tcW w:w="6956" w:type="dxa"/>
          </w:tcPr>
          <w:p>
            <w:pPr>
              <w:pStyle w:val="14"/>
              <w:spacing w:before="20"/>
              <w:ind w:left="29" w:right="21"/>
              <w:rPr>
                <w:sz w:val="21"/>
              </w:rPr>
            </w:pPr>
            <w:r>
              <w:rPr>
                <w:sz w:val="21"/>
              </w:rPr>
              <w:t>生活饮用水标准检验方法金属指标（</w:t>
            </w:r>
            <w:r>
              <w:rPr>
                <w:rFonts w:ascii="Times New Roman" w:eastAsia="Times New Roman"/>
                <w:sz w:val="21"/>
              </w:rPr>
              <w:t xml:space="preserve">9.1 </w:t>
            </w:r>
            <w:r>
              <w:rPr>
                <w:sz w:val="21"/>
              </w:rPr>
              <w:t>无火焰原子吸收分光光度法）</w:t>
            </w:r>
          </w:p>
          <w:p>
            <w:pPr>
              <w:pStyle w:val="14"/>
              <w:spacing w:before="57"/>
              <w:ind w:left="33" w:right="21"/>
              <w:rPr>
                <w:rFonts w:ascii="Times New Roman"/>
                <w:sz w:val="21"/>
              </w:rPr>
            </w:pPr>
            <w:r>
              <w:rPr>
                <w:rFonts w:ascii="Times New Roman"/>
                <w:sz w:val="21"/>
              </w:rPr>
              <w:t>GB/T 5750.6-2006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566" w:type="dxa"/>
          </w:tcPr>
          <w:p>
            <w:pPr>
              <w:pStyle w:val="14"/>
              <w:spacing w:before="192"/>
              <w:ind w:left="132" w:right="121"/>
              <w:rPr>
                <w:rFonts w:ascii="Times New Roman"/>
                <w:sz w:val="13"/>
              </w:rPr>
            </w:pPr>
            <w:r>
              <w:rPr>
                <w:rFonts w:ascii="Times New Roman"/>
                <w:position w:val="-6"/>
                <w:sz w:val="21"/>
              </w:rPr>
              <w:t>K</w:t>
            </w:r>
            <w:r>
              <w:rPr>
                <w:rFonts w:ascii="Times New Roman"/>
                <w:sz w:val="13"/>
              </w:rPr>
              <w:t>+</w:t>
            </w:r>
          </w:p>
        </w:tc>
        <w:tc>
          <w:tcPr>
            <w:tcW w:w="6956" w:type="dxa"/>
          </w:tcPr>
          <w:p>
            <w:pPr>
              <w:pStyle w:val="14"/>
              <w:spacing w:before="22" w:line="181" w:lineRule="exact"/>
              <w:ind w:left="34" w:right="21"/>
              <w:rPr>
                <w:sz w:val="21"/>
              </w:rPr>
            </w:pPr>
            <w:r>
              <w:rPr>
                <w:sz w:val="21"/>
              </w:rPr>
              <w:t>水质可溶性阳离子（</w:t>
            </w:r>
            <w:r>
              <w:rPr>
                <w:rFonts w:ascii="Times New Roman" w:eastAsia="Times New Roman"/>
                <w:sz w:val="21"/>
              </w:rPr>
              <w:t>Li</w:t>
            </w:r>
            <w:r>
              <w:rPr>
                <w:rFonts w:ascii="Times New Roman" w:eastAsia="Times New Roman"/>
                <w:position w:val="7"/>
                <w:sz w:val="13"/>
              </w:rPr>
              <w:t>+</w:t>
            </w:r>
            <w:r>
              <w:rPr>
                <w:sz w:val="21"/>
              </w:rPr>
              <w:t>、</w:t>
            </w:r>
            <w:r>
              <w:rPr>
                <w:rFonts w:ascii="Times New Roman" w:eastAsia="Times New Roman"/>
                <w:sz w:val="21"/>
              </w:rPr>
              <w:t>Na</w:t>
            </w:r>
            <w:r>
              <w:rPr>
                <w:rFonts w:ascii="Times New Roman" w:eastAsia="Times New Roman"/>
                <w:position w:val="7"/>
                <w:sz w:val="13"/>
              </w:rPr>
              <w:t>+</w:t>
            </w:r>
            <w:r>
              <w:rPr>
                <w:sz w:val="21"/>
              </w:rPr>
              <w:t>、</w:t>
            </w:r>
            <w:r>
              <w:rPr>
                <w:rFonts w:ascii="Times New Roman" w:eastAsia="Times New Roman"/>
                <w:sz w:val="21"/>
              </w:rPr>
              <w:t xml:space="preserve">NH </w:t>
            </w:r>
            <w:r>
              <w:rPr>
                <w:rFonts w:ascii="Times New Roman" w:eastAsia="Times New Roman"/>
                <w:position w:val="7"/>
                <w:sz w:val="13"/>
              </w:rPr>
              <w:t>+</w:t>
            </w:r>
            <w:r>
              <w:rPr>
                <w:sz w:val="21"/>
              </w:rPr>
              <w:t>、</w:t>
            </w:r>
            <w:r>
              <w:rPr>
                <w:rFonts w:ascii="Times New Roman" w:eastAsia="Times New Roman"/>
                <w:sz w:val="21"/>
              </w:rPr>
              <w:t>K</w:t>
            </w:r>
            <w:r>
              <w:rPr>
                <w:rFonts w:ascii="Times New Roman" w:eastAsia="Times New Roman"/>
                <w:position w:val="7"/>
                <w:sz w:val="13"/>
              </w:rPr>
              <w:t>+</w:t>
            </w:r>
            <w:r>
              <w:rPr>
                <w:sz w:val="21"/>
              </w:rPr>
              <w:t>、</w:t>
            </w:r>
            <w:r>
              <w:rPr>
                <w:rFonts w:ascii="Times New Roman" w:eastAsia="Times New Roman"/>
                <w:sz w:val="21"/>
              </w:rPr>
              <w:t>Ca</w:t>
            </w:r>
            <w:r>
              <w:rPr>
                <w:rFonts w:ascii="Times New Roman" w:eastAsia="Times New Roman"/>
                <w:position w:val="7"/>
                <w:sz w:val="13"/>
              </w:rPr>
              <w:t>2+</w:t>
            </w:r>
            <w:r>
              <w:rPr>
                <w:sz w:val="21"/>
              </w:rPr>
              <w:t>、</w:t>
            </w:r>
            <w:r>
              <w:rPr>
                <w:rFonts w:ascii="Times New Roman" w:eastAsia="Times New Roman"/>
                <w:sz w:val="21"/>
              </w:rPr>
              <w:t>Mg</w:t>
            </w:r>
            <w:r>
              <w:rPr>
                <w:rFonts w:ascii="Times New Roman" w:eastAsia="Times New Roman"/>
                <w:position w:val="7"/>
                <w:sz w:val="13"/>
              </w:rPr>
              <w:t>2+</w:t>
            </w:r>
            <w:r>
              <w:rPr>
                <w:sz w:val="21"/>
              </w:rPr>
              <w:t>）的测定离子色谱</w:t>
            </w:r>
          </w:p>
          <w:p>
            <w:pPr>
              <w:pStyle w:val="14"/>
              <w:spacing w:line="74" w:lineRule="exact"/>
              <w:ind w:right="211"/>
              <w:rPr>
                <w:rFonts w:ascii="Times New Roman"/>
                <w:sz w:val="13"/>
              </w:rPr>
            </w:pPr>
            <w:r>
              <w:rPr>
                <w:rFonts w:ascii="Times New Roman"/>
                <w:w w:val="105"/>
                <w:sz w:val="13"/>
              </w:rPr>
              <w:t>4</w:t>
            </w:r>
          </w:p>
          <w:p>
            <w:pPr>
              <w:pStyle w:val="14"/>
              <w:spacing w:before="57"/>
              <w:ind w:left="31" w:right="21"/>
              <w:rPr>
                <w:rFonts w:ascii="Times New Roman" w:eastAsia="Times New Roman"/>
                <w:sz w:val="21"/>
              </w:rPr>
            </w:pPr>
            <w:r>
              <w:rPr>
                <w:sz w:val="21"/>
              </w:rPr>
              <w:t xml:space="preserve">法 </w:t>
            </w:r>
            <w:r>
              <w:rPr>
                <w:rFonts w:ascii="Times New Roman" w:eastAsia="Times New Roman"/>
                <w:sz w:val="21"/>
              </w:rPr>
              <w:t>HJ812-2016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566" w:type="dxa"/>
          </w:tcPr>
          <w:p>
            <w:pPr>
              <w:pStyle w:val="14"/>
              <w:spacing w:before="191"/>
              <w:ind w:left="132" w:right="121"/>
              <w:rPr>
                <w:rFonts w:ascii="Times New Roman"/>
                <w:sz w:val="13"/>
              </w:rPr>
            </w:pPr>
            <w:r>
              <w:rPr>
                <w:rFonts w:ascii="Times New Roman"/>
                <w:sz w:val="21"/>
              </w:rPr>
              <w:t>Na</w:t>
            </w:r>
            <w:r>
              <w:rPr>
                <w:rFonts w:ascii="Times New Roman"/>
                <w:position w:val="7"/>
                <w:sz w:val="13"/>
              </w:rPr>
              <w:t>+</w:t>
            </w:r>
          </w:p>
        </w:tc>
        <w:tc>
          <w:tcPr>
            <w:tcW w:w="6956" w:type="dxa"/>
          </w:tcPr>
          <w:p>
            <w:pPr>
              <w:pStyle w:val="14"/>
              <w:spacing w:before="21" w:line="181" w:lineRule="exact"/>
              <w:ind w:left="34" w:right="21"/>
              <w:rPr>
                <w:sz w:val="21"/>
              </w:rPr>
            </w:pPr>
            <w:r>
              <w:rPr>
                <w:sz w:val="21"/>
              </w:rPr>
              <w:t>水质可溶性阳离子（</w:t>
            </w:r>
            <w:r>
              <w:rPr>
                <w:rFonts w:ascii="Times New Roman" w:eastAsia="Times New Roman"/>
                <w:sz w:val="21"/>
              </w:rPr>
              <w:t>Li</w:t>
            </w:r>
            <w:r>
              <w:rPr>
                <w:rFonts w:ascii="Times New Roman" w:eastAsia="Times New Roman"/>
                <w:position w:val="7"/>
                <w:sz w:val="13"/>
              </w:rPr>
              <w:t>+</w:t>
            </w:r>
            <w:r>
              <w:rPr>
                <w:sz w:val="21"/>
              </w:rPr>
              <w:t>、</w:t>
            </w:r>
            <w:r>
              <w:rPr>
                <w:rFonts w:ascii="Times New Roman" w:eastAsia="Times New Roman"/>
                <w:sz w:val="21"/>
              </w:rPr>
              <w:t>Na</w:t>
            </w:r>
            <w:r>
              <w:rPr>
                <w:rFonts w:ascii="Times New Roman" w:eastAsia="Times New Roman"/>
                <w:position w:val="7"/>
                <w:sz w:val="13"/>
              </w:rPr>
              <w:t>+</w:t>
            </w:r>
            <w:r>
              <w:rPr>
                <w:sz w:val="21"/>
              </w:rPr>
              <w:t>、</w:t>
            </w:r>
            <w:r>
              <w:rPr>
                <w:rFonts w:ascii="Times New Roman" w:eastAsia="Times New Roman"/>
                <w:sz w:val="21"/>
              </w:rPr>
              <w:t xml:space="preserve">NH </w:t>
            </w:r>
            <w:r>
              <w:rPr>
                <w:rFonts w:ascii="Times New Roman" w:eastAsia="Times New Roman"/>
                <w:position w:val="7"/>
                <w:sz w:val="13"/>
              </w:rPr>
              <w:t>+</w:t>
            </w:r>
            <w:r>
              <w:rPr>
                <w:sz w:val="21"/>
              </w:rPr>
              <w:t>、</w:t>
            </w:r>
            <w:r>
              <w:rPr>
                <w:rFonts w:ascii="Times New Roman" w:eastAsia="Times New Roman"/>
                <w:sz w:val="21"/>
              </w:rPr>
              <w:t>K</w:t>
            </w:r>
            <w:r>
              <w:rPr>
                <w:rFonts w:ascii="Times New Roman" w:eastAsia="Times New Roman"/>
                <w:position w:val="7"/>
                <w:sz w:val="13"/>
              </w:rPr>
              <w:t>+</w:t>
            </w:r>
            <w:r>
              <w:rPr>
                <w:sz w:val="21"/>
              </w:rPr>
              <w:t>、</w:t>
            </w:r>
            <w:r>
              <w:rPr>
                <w:rFonts w:ascii="Times New Roman" w:eastAsia="Times New Roman"/>
                <w:sz w:val="21"/>
              </w:rPr>
              <w:t>Ca</w:t>
            </w:r>
            <w:r>
              <w:rPr>
                <w:rFonts w:ascii="Times New Roman" w:eastAsia="Times New Roman"/>
                <w:position w:val="7"/>
                <w:sz w:val="13"/>
              </w:rPr>
              <w:t>2+</w:t>
            </w:r>
            <w:r>
              <w:rPr>
                <w:sz w:val="21"/>
              </w:rPr>
              <w:t>、</w:t>
            </w:r>
            <w:r>
              <w:rPr>
                <w:rFonts w:ascii="Times New Roman" w:eastAsia="Times New Roman"/>
                <w:sz w:val="21"/>
              </w:rPr>
              <w:t>Mg</w:t>
            </w:r>
            <w:r>
              <w:rPr>
                <w:rFonts w:ascii="Times New Roman" w:eastAsia="Times New Roman"/>
                <w:position w:val="7"/>
                <w:sz w:val="13"/>
              </w:rPr>
              <w:t>2+</w:t>
            </w:r>
            <w:r>
              <w:rPr>
                <w:sz w:val="21"/>
              </w:rPr>
              <w:t>）的测定离子色谱</w:t>
            </w:r>
          </w:p>
          <w:p>
            <w:pPr>
              <w:pStyle w:val="14"/>
              <w:spacing w:line="74" w:lineRule="exact"/>
              <w:ind w:right="211"/>
              <w:rPr>
                <w:rFonts w:ascii="Times New Roman"/>
                <w:sz w:val="13"/>
              </w:rPr>
            </w:pPr>
            <w:r>
              <w:rPr>
                <w:rFonts w:ascii="Times New Roman"/>
                <w:w w:val="105"/>
                <w:sz w:val="13"/>
              </w:rPr>
              <w:t>4</w:t>
            </w:r>
          </w:p>
          <w:p>
            <w:pPr>
              <w:pStyle w:val="14"/>
              <w:spacing w:before="57"/>
              <w:ind w:left="31" w:right="21"/>
              <w:rPr>
                <w:rFonts w:ascii="Times New Roman" w:eastAsia="Times New Roman"/>
                <w:sz w:val="21"/>
              </w:rPr>
            </w:pPr>
            <w:r>
              <w:rPr>
                <w:sz w:val="21"/>
              </w:rPr>
              <w:t xml:space="preserve">法 </w:t>
            </w:r>
            <w:r>
              <w:rPr>
                <w:rFonts w:ascii="Times New Roman" w:eastAsia="Times New Roman"/>
                <w:sz w:val="21"/>
              </w:rPr>
              <w:t>HJ812-2016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566" w:type="dxa"/>
          </w:tcPr>
          <w:p>
            <w:pPr>
              <w:pStyle w:val="14"/>
              <w:spacing w:before="191"/>
              <w:ind w:left="132" w:right="124"/>
              <w:rPr>
                <w:rFonts w:ascii="Times New Roman"/>
                <w:sz w:val="13"/>
              </w:rPr>
            </w:pPr>
            <w:r>
              <w:rPr>
                <w:rFonts w:ascii="Times New Roman"/>
                <w:position w:val="-6"/>
                <w:sz w:val="21"/>
              </w:rPr>
              <w:t>Ca</w:t>
            </w:r>
            <w:r>
              <w:rPr>
                <w:rFonts w:ascii="Times New Roman"/>
                <w:sz w:val="13"/>
              </w:rPr>
              <w:t>2+</w:t>
            </w:r>
          </w:p>
        </w:tc>
        <w:tc>
          <w:tcPr>
            <w:tcW w:w="6956" w:type="dxa"/>
          </w:tcPr>
          <w:p>
            <w:pPr>
              <w:pStyle w:val="14"/>
              <w:spacing w:before="21" w:line="181" w:lineRule="exact"/>
              <w:ind w:left="34" w:right="21"/>
              <w:rPr>
                <w:sz w:val="21"/>
              </w:rPr>
            </w:pPr>
            <w:r>
              <w:rPr>
                <w:sz w:val="21"/>
              </w:rPr>
              <w:t>水质可溶性阳离子（</w:t>
            </w:r>
            <w:r>
              <w:rPr>
                <w:rFonts w:ascii="Times New Roman" w:eastAsia="Times New Roman"/>
                <w:sz w:val="21"/>
              </w:rPr>
              <w:t>Li</w:t>
            </w:r>
            <w:r>
              <w:rPr>
                <w:rFonts w:ascii="Times New Roman" w:eastAsia="Times New Roman"/>
                <w:position w:val="7"/>
                <w:sz w:val="13"/>
              </w:rPr>
              <w:t>+</w:t>
            </w:r>
            <w:r>
              <w:rPr>
                <w:sz w:val="21"/>
              </w:rPr>
              <w:t>、</w:t>
            </w:r>
            <w:r>
              <w:rPr>
                <w:rFonts w:ascii="Times New Roman" w:eastAsia="Times New Roman"/>
                <w:sz w:val="21"/>
              </w:rPr>
              <w:t>Na</w:t>
            </w:r>
            <w:r>
              <w:rPr>
                <w:rFonts w:ascii="Times New Roman" w:eastAsia="Times New Roman"/>
                <w:position w:val="7"/>
                <w:sz w:val="13"/>
              </w:rPr>
              <w:t>+</w:t>
            </w:r>
            <w:r>
              <w:rPr>
                <w:sz w:val="21"/>
              </w:rPr>
              <w:t>、</w:t>
            </w:r>
            <w:r>
              <w:rPr>
                <w:rFonts w:ascii="Times New Roman" w:eastAsia="Times New Roman"/>
                <w:sz w:val="21"/>
              </w:rPr>
              <w:t xml:space="preserve">NH </w:t>
            </w:r>
            <w:r>
              <w:rPr>
                <w:rFonts w:ascii="Times New Roman" w:eastAsia="Times New Roman"/>
                <w:position w:val="7"/>
                <w:sz w:val="13"/>
              </w:rPr>
              <w:t>+</w:t>
            </w:r>
            <w:r>
              <w:rPr>
                <w:sz w:val="21"/>
              </w:rPr>
              <w:t>、</w:t>
            </w:r>
            <w:r>
              <w:rPr>
                <w:rFonts w:ascii="Times New Roman" w:eastAsia="Times New Roman"/>
                <w:sz w:val="21"/>
              </w:rPr>
              <w:t>K</w:t>
            </w:r>
            <w:r>
              <w:rPr>
                <w:rFonts w:ascii="Times New Roman" w:eastAsia="Times New Roman"/>
                <w:position w:val="7"/>
                <w:sz w:val="13"/>
              </w:rPr>
              <w:t>+</w:t>
            </w:r>
            <w:r>
              <w:rPr>
                <w:sz w:val="21"/>
              </w:rPr>
              <w:t>、</w:t>
            </w:r>
            <w:r>
              <w:rPr>
                <w:rFonts w:ascii="Times New Roman" w:eastAsia="Times New Roman"/>
                <w:sz w:val="21"/>
              </w:rPr>
              <w:t>Ca</w:t>
            </w:r>
            <w:r>
              <w:rPr>
                <w:rFonts w:ascii="Times New Roman" w:eastAsia="Times New Roman"/>
                <w:position w:val="7"/>
                <w:sz w:val="13"/>
              </w:rPr>
              <w:t>2+</w:t>
            </w:r>
            <w:r>
              <w:rPr>
                <w:sz w:val="21"/>
              </w:rPr>
              <w:t>、</w:t>
            </w:r>
            <w:r>
              <w:rPr>
                <w:rFonts w:ascii="Times New Roman" w:eastAsia="Times New Roman"/>
                <w:sz w:val="21"/>
              </w:rPr>
              <w:t>Mg</w:t>
            </w:r>
            <w:r>
              <w:rPr>
                <w:rFonts w:ascii="Times New Roman" w:eastAsia="Times New Roman"/>
                <w:position w:val="7"/>
                <w:sz w:val="13"/>
              </w:rPr>
              <w:t>2+</w:t>
            </w:r>
            <w:r>
              <w:rPr>
                <w:sz w:val="21"/>
              </w:rPr>
              <w:t>）的测定离子色谱</w:t>
            </w:r>
          </w:p>
          <w:p>
            <w:pPr>
              <w:pStyle w:val="14"/>
              <w:spacing w:line="74" w:lineRule="exact"/>
              <w:ind w:right="211"/>
              <w:rPr>
                <w:rFonts w:ascii="Times New Roman"/>
                <w:sz w:val="13"/>
              </w:rPr>
            </w:pPr>
            <w:r>
              <w:rPr>
                <w:rFonts w:ascii="Times New Roman"/>
                <w:w w:val="105"/>
                <w:sz w:val="13"/>
              </w:rPr>
              <w:t>4</w:t>
            </w:r>
          </w:p>
          <w:p>
            <w:pPr>
              <w:pStyle w:val="14"/>
              <w:spacing w:before="57"/>
              <w:ind w:left="31" w:right="21"/>
              <w:rPr>
                <w:rFonts w:ascii="Times New Roman" w:eastAsia="Times New Roman"/>
                <w:sz w:val="21"/>
              </w:rPr>
            </w:pPr>
            <w:r>
              <w:rPr>
                <w:sz w:val="21"/>
              </w:rPr>
              <w:t xml:space="preserve">法 </w:t>
            </w:r>
            <w:r>
              <w:rPr>
                <w:rFonts w:ascii="Times New Roman" w:eastAsia="Times New Roman"/>
                <w:sz w:val="21"/>
              </w:rPr>
              <w:t>HJ812-2016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566" w:type="dxa"/>
          </w:tcPr>
          <w:p>
            <w:pPr>
              <w:pStyle w:val="14"/>
              <w:spacing w:before="191"/>
              <w:ind w:left="132" w:right="124"/>
              <w:rPr>
                <w:rFonts w:ascii="Times New Roman"/>
                <w:sz w:val="13"/>
              </w:rPr>
            </w:pPr>
            <w:r>
              <w:rPr>
                <w:rFonts w:ascii="Times New Roman"/>
                <w:position w:val="-6"/>
                <w:sz w:val="21"/>
              </w:rPr>
              <w:t>Mg</w:t>
            </w:r>
            <w:r>
              <w:rPr>
                <w:rFonts w:ascii="Times New Roman"/>
                <w:sz w:val="13"/>
              </w:rPr>
              <w:t>2+</w:t>
            </w:r>
          </w:p>
        </w:tc>
        <w:tc>
          <w:tcPr>
            <w:tcW w:w="6956" w:type="dxa"/>
          </w:tcPr>
          <w:p>
            <w:pPr>
              <w:pStyle w:val="14"/>
              <w:spacing w:before="20" w:line="181" w:lineRule="exact"/>
              <w:ind w:left="34" w:right="21"/>
              <w:rPr>
                <w:sz w:val="21"/>
              </w:rPr>
            </w:pPr>
            <w:r>
              <w:rPr>
                <w:sz w:val="21"/>
              </w:rPr>
              <w:t>水质可溶性阳离子（</w:t>
            </w:r>
            <w:r>
              <w:rPr>
                <w:rFonts w:ascii="Times New Roman" w:eastAsia="Times New Roman"/>
                <w:sz w:val="21"/>
              </w:rPr>
              <w:t>Li</w:t>
            </w:r>
            <w:r>
              <w:rPr>
                <w:rFonts w:ascii="Times New Roman" w:eastAsia="Times New Roman"/>
                <w:position w:val="7"/>
                <w:sz w:val="13"/>
              </w:rPr>
              <w:t>+</w:t>
            </w:r>
            <w:r>
              <w:rPr>
                <w:sz w:val="21"/>
              </w:rPr>
              <w:t>、</w:t>
            </w:r>
            <w:r>
              <w:rPr>
                <w:rFonts w:ascii="Times New Roman" w:eastAsia="Times New Roman"/>
                <w:sz w:val="21"/>
              </w:rPr>
              <w:t>Na</w:t>
            </w:r>
            <w:r>
              <w:rPr>
                <w:rFonts w:ascii="Times New Roman" w:eastAsia="Times New Roman"/>
                <w:position w:val="7"/>
                <w:sz w:val="13"/>
              </w:rPr>
              <w:t>+</w:t>
            </w:r>
            <w:r>
              <w:rPr>
                <w:sz w:val="21"/>
              </w:rPr>
              <w:t>、</w:t>
            </w:r>
            <w:r>
              <w:rPr>
                <w:rFonts w:ascii="Times New Roman" w:eastAsia="Times New Roman"/>
                <w:sz w:val="21"/>
              </w:rPr>
              <w:t xml:space="preserve">NH </w:t>
            </w:r>
            <w:r>
              <w:rPr>
                <w:rFonts w:ascii="Times New Roman" w:eastAsia="Times New Roman"/>
                <w:position w:val="7"/>
                <w:sz w:val="13"/>
              </w:rPr>
              <w:t>+</w:t>
            </w:r>
            <w:r>
              <w:rPr>
                <w:sz w:val="21"/>
              </w:rPr>
              <w:t>、</w:t>
            </w:r>
            <w:r>
              <w:rPr>
                <w:rFonts w:ascii="Times New Roman" w:eastAsia="Times New Roman"/>
                <w:sz w:val="21"/>
              </w:rPr>
              <w:t>K</w:t>
            </w:r>
            <w:r>
              <w:rPr>
                <w:rFonts w:ascii="Times New Roman" w:eastAsia="Times New Roman"/>
                <w:position w:val="7"/>
                <w:sz w:val="13"/>
              </w:rPr>
              <w:t>+</w:t>
            </w:r>
            <w:r>
              <w:rPr>
                <w:sz w:val="21"/>
              </w:rPr>
              <w:t>、</w:t>
            </w:r>
            <w:r>
              <w:rPr>
                <w:rFonts w:ascii="Times New Roman" w:eastAsia="Times New Roman"/>
                <w:sz w:val="21"/>
              </w:rPr>
              <w:t>Ca</w:t>
            </w:r>
            <w:r>
              <w:rPr>
                <w:rFonts w:ascii="Times New Roman" w:eastAsia="Times New Roman"/>
                <w:position w:val="7"/>
                <w:sz w:val="13"/>
              </w:rPr>
              <w:t>2+</w:t>
            </w:r>
            <w:r>
              <w:rPr>
                <w:sz w:val="21"/>
              </w:rPr>
              <w:t>、</w:t>
            </w:r>
            <w:r>
              <w:rPr>
                <w:rFonts w:ascii="Times New Roman" w:eastAsia="Times New Roman"/>
                <w:sz w:val="21"/>
              </w:rPr>
              <w:t>Mg</w:t>
            </w:r>
            <w:r>
              <w:rPr>
                <w:rFonts w:ascii="Times New Roman" w:eastAsia="Times New Roman"/>
                <w:position w:val="7"/>
                <w:sz w:val="13"/>
              </w:rPr>
              <w:t>2+</w:t>
            </w:r>
            <w:r>
              <w:rPr>
                <w:sz w:val="21"/>
              </w:rPr>
              <w:t>）的测定离子色谱</w:t>
            </w:r>
          </w:p>
          <w:p>
            <w:pPr>
              <w:pStyle w:val="14"/>
              <w:spacing w:line="74" w:lineRule="exact"/>
              <w:ind w:right="211"/>
              <w:rPr>
                <w:rFonts w:ascii="Times New Roman"/>
                <w:sz w:val="13"/>
              </w:rPr>
            </w:pPr>
            <w:r>
              <w:rPr>
                <w:rFonts w:ascii="Times New Roman"/>
                <w:w w:val="105"/>
                <w:sz w:val="13"/>
              </w:rPr>
              <w:t>4</w:t>
            </w:r>
          </w:p>
          <w:p>
            <w:pPr>
              <w:pStyle w:val="14"/>
              <w:spacing w:before="58"/>
              <w:ind w:left="31" w:right="21"/>
              <w:rPr>
                <w:rFonts w:ascii="Times New Roman" w:eastAsia="Times New Roman"/>
                <w:sz w:val="21"/>
              </w:rPr>
            </w:pPr>
            <w:r>
              <w:rPr>
                <w:sz w:val="21"/>
              </w:rPr>
              <w:t xml:space="preserve">法 </w:t>
            </w:r>
            <w:r>
              <w:rPr>
                <w:rFonts w:ascii="Times New Roman" w:eastAsia="Times New Roman"/>
                <w:sz w:val="21"/>
              </w:rPr>
              <w:t>HJ812-2016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566" w:type="dxa"/>
          </w:tcPr>
          <w:p>
            <w:pPr>
              <w:pStyle w:val="14"/>
              <w:spacing w:before="193" w:line="164" w:lineRule="exact"/>
              <w:ind w:left="132" w:right="122"/>
              <w:rPr>
                <w:rFonts w:ascii="Times New Roman"/>
                <w:sz w:val="13"/>
              </w:rPr>
            </w:pPr>
            <w:r>
              <w:rPr>
                <w:rFonts w:ascii="Times New Roman"/>
                <w:position w:val="-6"/>
                <w:sz w:val="21"/>
              </w:rPr>
              <w:t xml:space="preserve">CO </w:t>
            </w:r>
            <w:r>
              <w:rPr>
                <w:rFonts w:ascii="Times New Roman"/>
                <w:sz w:val="13"/>
              </w:rPr>
              <w:t>2-</w:t>
            </w:r>
          </w:p>
          <w:p>
            <w:pPr>
              <w:pStyle w:val="14"/>
              <w:spacing w:line="74" w:lineRule="exact"/>
              <w:ind w:left="187"/>
              <w:rPr>
                <w:rFonts w:ascii="Times New Roman"/>
                <w:sz w:val="13"/>
              </w:rPr>
            </w:pPr>
            <w:r>
              <w:rPr>
                <w:rFonts w:ascii="Times New Roman"/>
                <w:w w:val="105"/>
                <w:sz w:val="13"/>
              </w:rPr>
              <w:t>3</w:t>
            </w:r>
          </w:p>
        </w:tc>
        <w:tc>
          <w:tcPr>
            <w:tcW w:w="6956" w:type="dxa"/>
          </w:tcPr>
          <w:p>
            <w:pPr>
              <w:pStyle w:val="14"/>
              <w:spacing w:before="20"/>
              <w:ind w:left="32" w:right="21"/>
              <w:rPr>
                <w:sz w:val="21"/>
              </w:rPr>
            </w:pPr>
            <w:r>
              <w:rPr>
                <w:sz w:val="21"/>
              </w:rPr>
              <w:t>酸度酸碱指示剂滴定法 《水和废水监测分析方法》</w:t>
            </w:r>
            <w:r>
              <w:rPr>
                <w:rFonts w:ascii="Times New Roman" w:eastAsia="Times New Roman"/>
                <w:sz w:val="21"/>
              </w:rPr>
              <w:t>(</w:t>
            </w:r>
            <w:r>
              <w:rPr>
                <w:sz w:val="21"/>
              </w:rPr>
              <w:t>第四版增补版</w:t>
            </w:r>
            <w:r>
              <w:rPr>
                <w:rFonts w:ascii="Times New Roman" w:eastAsia="Times New Roman"/>
                <w:sz w:val="21"/>
              </w:rPr>
              <w:t>)</w:t>
            </w:r>
            <w:r>
              <w:rPr>
                <w:sz w:val="21"/>
              </w:rPr>
              <w:t>国家环</w:t>
            </w:r>
          </w:p>
          <w:p>
            <w:pPr>
              <w:pStyle w:val="14"/>
              <w:spacing w:before="43"/>
              <w:ind w:left="33" w:right="21"/>
              <w:rPr>
                <w:rFonts w:ascii="Times New Roman" w:eastAsia="Times New Roman"/>
                <w:sz w:val="21"/>
              </w:rPr>
            </w:pPr>
            <w:r>
              <w:rPr>
                <w:sz w:val="21"/>
              </w:rPr>
              <w:t>境保护总局</w:t>
            </w:r>
            <w:r>
              <w:rPr>
                <w:rFonts w:ascii="Times New Roman" w:eastAsia="Times New Roman"/>
                <w:sz w:val="21"/>
              </w:rPr>
              <w:t xml:space="preserve">(2002 </w:t>
            </w:r>
            <w:r>
              <w:rPr>
                <w:sz w:val="21"/>
              </w:rPr>
              <w:t>年</w:t>
            </w:r>
            <w:r>
              <w:rPr>
                <w:rFonts w:ascii="Times New Roman" w:eastAsia="Times New Roman"/>
                <w:sz w:val="21"/>
              </w:rPr>
              <w:t>) P116</w:t>
            </w:r>
          </w:p>
        </w:tc>
      </w:tr>
    </w:tbl>
    <w:p>
      <w:pPr>
        <w:spacing w:after="0"/>
        <w:rPr>
          <w:rFonts w:ascii="Times New Roman" w:eastAsia="Times New Roman"/>
          <w:sz w:val="21"/>
        </w:rPr>
        <w:sectPr>
          <w:pgSz w:w="11910" w:h="16840"/>
          <w:pgMar w:top="1420" w:right="780" w:bottom="1100" w:left="1200" w:header="0" w:footer="917" w:gutter="0"/>
        </w:sectPr>
      </w:pPr>
    </w:p>
    <w:tbl>
      <w:tblPr>
        <w:tblStyle w:val="10"/>
        <w:tblW w:w="0" w:type="auto"/>
        <w:tblInd w:w="4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6"/>
        <w:gridCol w:w="69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566" w:type="dxa"/>
          </w:tcPr>
          <w:p>
            <w:pPr>
              <w:pStyle w:val="14"/>
              <w:spacing w:before="76"/>
              <w:ind w:left="130" w:right="124"/>
              <w:rPr>
                <w:sz w:val="21"/>
              </w:rPr>
            </w:pPr>
            <w:r>
              <w:rPr>
                <w:sz w:val="21"/>
              </w:rPr>
              <w:t>检测项目</w:t>
            </w:r>
          </w:p>
        </w:tc>
        <w:tc>
          <w:tcPr>
            <w:tcW w:w="6956" w:type="dxa"/>
          </w:tcPr>
          <w:p>
            <w:pPr>
              <w:pStyle w:val="14"/>
              <w:spacing w:before="76"/>
              <w:ind w:left="29" w:right="21"/>
              <w:rPr>
                <w:sz w:val="21"/>
              </w:rPr>
            </w:pPr>
            <w:r>
              <w:rPr>
                <w:sz w:val="21"/>
              </w:rPr>
              <w:t>检测依据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566" w:type="dxa"/>
          </w:tcPr>
          <w:p>
            <w:pPr>
              <w:pStyle w:val="14"/>
              <w:spacing w:before="190" w:line="166" w:lineRule="exact"/>
              <w:ind w:left="503"/>
              <w:jc w:val="left"/>
              <w:rPr>
                <w:rFonts w:ascii="Times New Roman"/>
                <w:sz w:val="13"/>
              </w:rPr>
            </w:pPr>
            <w:r>
              <w:rPr>
                <w:rFonts w:ascii="Times New Roman"/>
                <w:sz w:val="21"/>
              </w:rPr>
              <w:t xml:space="preserve">HCO </w:t>
            </w:r>
            <w:r>
              <w:rPr>
                <w:rFonts w:ascii="Times New Roman"/>
                <w:position w:val="7"/>
                <w:sz w:val="13"/>
              </w:rPr>
              <w:t>-</w:t>
            </w:r>
          </w:p>
          <w:p>
            <w:pPr>
              <w:pStyle w:val="14"/>
              <w:spacing w:line="74" w:lineRule="exact"/>
              <w:ind w:left="408"/>
              <w:rPr>
                <w:rFonts w:ascii="Times New Roman"/>
                <w:sz w:val="13"/>
              </w:rPr>
            </w:pPr>
            <w:r>
              <w:rPr>
                <w:rFonts w:ascii="Times New Roman"/>
                <w:w w:val="105"/>
                <w:sz w:val="13"/>
              </w:rPr>
              <w:t>3</w:t>
            </w:r>
          </w:p>
        </w:tc>
        <w:tc>
          <w:tcPr>
            <w:tcW w:w="6956" w:type="dxa"/>
          </w:tcPr>
          <w:p>
            <w:pPr>
              <w:pStyle w:val="14"/>
              <w:spacing w:before="20"/>
              <w:ind w:left="32" w:right="21"/>
              <w:rPr>
                <w:sz w:val="21"/>
              </w:rPr>
            </w:pPr>
            <w:r>
              <w:rPr>
                <w:sz w:val="21"/>
              </w:rPr>
              <w:t>酸度酸碱指示剂滴定法 《水和废水监测分析方法》</w:t>
            </w:r>
            <w:r>
              <w:rPr>
                <w:rFonts w:ascii="Times New Roman" w:eastAsia="Times New Roman"/>
                <w:sz w:val="21"/>
              </w:rPr>
              <w:t>(</w:t>
            </w:r>
            <w:r>
              <w:rPr>
                <w:sz w:val="21"/>
              </w:rPr>
              <w:t>第四版增补版</w:t>
            </w:r>
            <w:r>
              <w:rPr>
                <w:rFonts w:ascii="Times New Roman" w:eastAsia="Times New Roman"/>
                <w:sz w:val="21"/>
              </w:rPr>
              <w:t>)</w:t>
            </w:r>
            <w:r>
              <w:rPr>
                <w:sz w:val="21"/>
              </w:rPr>
              <w:t>国家环</w:t>
            </w:r>
          </w:p>
          <w:p>
            <w:pPr>
              <w:pStyle w:val="14"/>
              <w:spacing w:before="43"/>
              <w:ind w:left="31" w:right="21"/>
              <w:rPr>
                <w:rFonts w:ascii="Times New Roman" w:eastAsia="Times New Roman"/>
                <w:sz w:val="21"/>
              </w:rPr>
            </w:pPr>
            <w:r>
              <w:rPr>
                <w:sz w:val="21"/>
              </w:rPr>
              <w:t>境保护总局</w:t>
            </w:r>
            <w:r>
              <w:rPr>
                <w:rFonts w:ascii="Times New Roman" w:eastAsia="Times New Roman"/>
                <w:sz w:val="21"/>
              </w:rPr>
              <w:t xml:space="preserve">(2002 </w:t>
            </w:r>
            <w:r>
              <w:rPr>
                <w:sz w:val="21"/>
              </w:rPr>
              <w:t>年</w:t>
            </w:r>
            <w:r>
              <w:rPr>
                <w:rFonts w:ascii="Times New Roman" w:eastAsia="Times New Roman"/>
                <w:sz w:val="21"/>
              </w:rPr>
              <w:t>) P121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566" w:type="dxa"/>
          </w:tcPr>
          <w:p>
            <w:pPr>
              <w:pStyle w:val="14"/>
              <w:spacing w:before="190"/>
              <w:ind w:left="132" w:right="124"/>
              <w:rPr>
                <w:rFonts w:ascii="Times New Roman"/>
                <w:sz w:val="13"/>
              </w:rPr>
            </w:pPr>
            <w:r>
              <w:rPr>
                <w:rFonts w:ascii="Times New Roman"/>
                <w:sz w:val="21"/>
              </w:rPr>
              <w:t>Cl</w:t>
            </w:r>
            <w:r>
              <w:rPr>
                <w:rFonts w:ascii="Times New Roman"/>
                <w:position w:val="7"/>
                <w:sz w:val="13"/>
              </w:rPr>
              <w:t>-</w:t>
            </w:r>
          </w:p>
        </w:tc>
        <w:tc>
          <w:tcPr>
            <w:tcW w:w="6956" w:type="dxa"/>
          </w:tcPr>
          <w:p>
            <w:pPr>
              <w:pStyle w:val="14"/>
              <w:spacing w:before="20" w:line="181" w:lineRule="exact"/>
              <w:ind w:left="35" w:right="10"/>
              <w:rPr>
                <w:sz w:val="21"/>
              </w:rPr>
            </w:pPr>
            <w:r>
              <w:rPr>
                <w:sz w:val="21"/>
              </w:rPr>
              <w:t>水质无机阴离子（</w:t>
            </w:r>
            <w:r>
              <w:rPr>
                <w:rFonts w:ascii="Times New Roman" w:eastAsia="Times New Roman"/>
                <w:sz w:val="21"/>
              </w:rPr>
              <w:t>F</w:t>
            </w:r>
            <w:r>
              <w:rPr>
                <w:rFonts w:ascii="Times New Roman" w:eastAsia="Times New Roman"/>
                <w:position w:val="7"/>
                <w:sz w:val="13"/>
              </w:rPr>
              <w:t>-</w:t>
            </w:r>
            <w:r>
              <w:rPr>
                <w:sz w:val="21"/>
              </w:rPr>
              <w:t>、</w:t>
            </w:r>
            <w:r>
              <w:rPr>
                <w:rFonts w:ascii="Times New Roman" w:eastAsia="Times New Roman"/>
                <w:sz w:val="21"/>
              </w:rPr>
              <w:t>Cl</w:t>
            </w:r>
            <w:r>
              <w:rPr>
                <w:rFonts w:ascii="Times New Roman" w:eastAsia="Times New Roman"/>
                <w:position w:val="7"/>
                <w:sz w:val="13"/>
              </w:rPr>
              <w:t>-</w:t>
            </w:r>
            <w:r>
              <w:rPr>
                <w:sz w:val="21"/>
              </w:rPr>
              <w:t>、</w:t>
            </w:r>
            <w:r>
              <w:rPr>
                <w:rFonts w:ascii="Times New Roman" w:eastAsia="Times New Roman"/>
                <w:sz w:val="21"/>
              </w:rPr>
              <w:t xml:space="preserve">NO </w:t>
            </w:r>
            <w:r>
              <w:rPr>
                <w:rFonts w:ascii="Times New Roman" w:eastAsia="Times New Roman"/>
                <w:position w:val="7"/>
                <w:sz w:val="13"/>
              </w:rPr>
              <w:t>-</w:t>
            </w:r>
            <w:r>
              <w:rPr>
                <w:sz w:val="21"/>
              </w:rPr>
              <w:t>、</w:t>
            </w:r>
            <w:r>
              <w:rPr>
                <w:rFonts w:ascii="Times New Roman" w:eastAsia="Times New Roman"/>
                <w:sz w:val="21"/>
              </w:rPr>
              <w:t>Br</w:t>
            </w:r>
            <w:r>
              <w:rPr>
                <w:rFonts w:ascii="Times New Roman" w:eastAsia="Times New Roman"/>
                <w:position w:val="7"/>
                <w:sz w:val="13"/>
              </w:rPr>
              <w:t>-</w:t>
            </w:r>
            <w:r>
              <w:rPr>
                <w:sz w:val="21"/>
              </w:rPr>
              <w:t>、</w:t>
            </w:r>
            <w:r>
              <w:rPr>
                <w:rFonts w:ascii="Times New Roman" w:eastAsia="Times New Roman"/>
                <w:sz w:val="21"/>
              </w:rPr>
              <w:t xml:space="preserve">NO </w:t>
            </w:r>
            <w:r>
              <w:rPr>
                <w:rFonts w:ascii="Times New Roman" w:eastAsia="Times New Roman"/>
                <w:position w:val="7"/>
                <w:sz w:val="13"/>
              </w:rPr>
              <w:t>-</w:t>
            </w:r>
            <w:r>
              <w:rPr>
                <w:sz w:val="21"/>
              </w:rPr>
              <w:t>、</w:t>
            </w:r>
            <w:r>
              <w:rPr>
                <w:rFonts w:ascii="Times New Roman" w:eastAsia="Times New Roman"/>
                <w:sz w:val="21"/>
              </w:rPr>
              <w:t xml:space="preserve">PO </w:t>
            </w:r>
            <w:r>
              <w:rPr>
                <w:rFonts w:ascii="Times New Roman" w:eastAsia="Times New Roman"/>
                <w:position w:val="7"/>
                <w:sz w:val="13"/>
              </w:rPr>
              <w:t>3-</w:t>
            </w:r>
            <w:r>
              <w:rPr>
                <w:sz w:val="21"/>
              </w:rPr>
              <w:t>、</w:t>
            </w:r>
            <w:r>
              <w:rPr>
                <w:rFonts w:ascii="Times New Roman" w:eastAsia="Times New Roman"/>
                <w:sz w:val="21"/>
              </w:rPr>
              <w:t xml:space="preserve">SO </w:t>
            </w:r>
            <w:r>
              <w:rPr>
                <w:rFonts w:ascii="Times New Roman" w:eastAsia="Times New Roman"/>
                <w:position w:val="7"/>
                <w:sz w:val="13"/>
              </w:rPr>
              <w:t>2-</w:t>
            </w:r>
            <w:r>
              <w:rPr>
                <w:sz w:val="21"/>
              </w:rPr>
              <w:t>、</w:t>
            </w:r>
            <w:r>
              <w:rPr>
                <w:rFonts w:ascii="Times New Roman" w:eastAsia="Times New Roman"/>
                <w:sz w:val="21"/>
              </w:rPr>
              <w:t xml:space="preserve">SO </w:t>
            </w:r>
            <w:r>
              <w:rPr>
                <w:rFonts w:ascii="Times New Roman" w:eastAsia="Times New Roman"/>
                <w:position w:val="7"/>
                <w:sz w:val="13"/>
              </w:rPr>
              <w:t>2-</w:t>
            </w:r>
            <w:r>
              <w:rPr>
                <w:sz w:val="21"/>
              </w:rPr>
              <w:t>）的测定</w:t>
            </w:r>
          </w:p>
          <w:p>
            <w:pPr>
              <w:pStyle w:val="14"/>
              <w:tabs>
                <w:tab w:val="left" w:pos="3965"/>
                <w:tab w:val="left" w:pos="4546"/>
                <w:tab w:val="left" w:pos="5194"/>
                <w:tab w:val="left" w:pos="5844"/>
              </w:tabs>
              <w:spacing w:line="74" w:lineRule="exact"/>
              <w:ind w:left="2892"/>
              <w:jc w:val="left"/>
              <w:rPr>
                <w:rFonts w:ascii="Times New Roman"/>
                <w:sz w:val="13"/>
              </w:rPr>
            </w:pPr>
            <w:r>
              <w:rPr>
                <w:rFonts w:ascii="Times New Roman"/>
                <w:w w:val="105"/>
                <w:sz w:val="13"/>
              </w:rPr>
              <w:t>2</w:t>
            </w:r>
            <w:r>
              <w:rPr>
                <w:rFonts w:ascii="Times New Roman"/>
                <w:w w:val="105"/>
                <w:sz w:val="13"/>
              </w:rPr>
              <w:tab/>
            </w:r>
            <w:r>
              <w:rPr>
                <w:rFonts w:ascii="Times New Roman"/>
                <w:w w:val="105"/>
                <w:sz w:val="13"/>
              </w:rPr>
              <w:t>3</w:t>
            </w:r>
            <w:r>
              <w:rPr>
                <w:rFonts w:ascii="Times New Roman"/>
                <w:w w:val="105"/>
                <w:sz w:val="13"/>
              </w:rPr>
              <w:tab/>
            </w:r>
            <w:r>
              <w:rPr>
                <w:rFonts w:ascii="Times New Roman"/>
                <w:w w:val="105"/>
                <w:sz w:val="13"/>
              </w:rPr>
              <w:t>4</w:t>
            </w:r>
            <w:r>
              <w:rPr>
                <w:rFonts w:ascii="Times New Roman"/>
                <w:w w:val="105"/>
                <w:sz w:val="13"/>
              </w:rPr>
              <w:tab/>
            </w:r>
            <w:r>
              <w:rPr>
                <w:rFonts w:ascii="Times New Roman"/>
                <w:w w:val="105"/>
                <w:sz w:val="13"/>
              </w:rPr>
              <w:t>3</w:t>
            </w:r>
            <w:r>
              <w:rPr>
                <w:rFonts w:ascii="Times New Roman"/>
                <w:w w:val="105"/>
                <w:sz w:val="13"/>
              </w:rPr>
              <w:tab/>
            </w:r>
            <w:r>
              <w:rPr>
                <w:rFonts w:ascii="Times New Roman"/>
                <w:w w:val="105"/>
                <w:sz w:val="13"/>
              </w:rPr>
              <w:t>4</w:t>
            </w:r>
          </w:p>
          <w:p>
            <w:pPr>
              <w:pStyle w:val="14"/>
              <w:spacing w:before="57"/>
              <w:ind w:left="31" w:right="21"/>
              <w:rPr>
                <w:rFonts w:ascii="Times New Roman" w:eastAsia="Times New Roman"/>
                <w:sz w:val="21"/>
              </w:rPr>
            </w:pPr>
            <w:r>
              <w:rPr>
                <w:sz w:val="21"/>
              </w:rPr>
              <w:t xml:space="preserve">离子色谱法 </w:t>
            </w:r>
            <w:r>
              <w:rPr>
                <w:rFonts w:ascii="Times New Roman" w:eastAsia="Times New Roman"/>
                <w:sz w:val="21"/>
              </w:rPr>
              <w:t>HJ 84-2016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566" w:type="dxa"/>
          </w:tcPr>
          <w:p>
            <w:pPr>
              <w:pStyle w:val="14"/>
              <w:spacing w:before="192" w:line="166" w:lineRule="exact"/>
              <w:ind w:left="132" w:right="119"/>
              <w:rPr>
                <w:rFonts w:ascii="Times New Roman"/>
                <w:sz w:val="13"/>
              </w:rPr>
            </w:pPr>
            <w:r>
              <w:rPr>
                <w:rFonts w:ascii="Times New Roman"/>
                <w:position w:val="-6"/>
                <w:sz w:val="21"/>
              </w:rPr>
              <w:t xml:space="preserve">SO </w:t>
            </w:r>
            <w:r>
              <w:rPr>
                <w:rFonts w:ascii="Times New Roman"/>
                <w:sz w:val="13"/>
              </w:rPr>
              <w:t>2-</w:t>
            </w:r>
          </w:p>
          <w:p>
            <w:pPr>
              <w:pStyle w:val="14"/>
              <w:spacing w:line="74" w:lineRule="exact"/>
              <w:ind w:left="168"/>
              <w:rPr>
                <w:rFonts w:ascii="Times New Roman"/>
                <w:sz w:val="13"/>
              </w:rPr>
            </w:pPr>
            <w:r>
              <w:rPr>
                <w:rFonts w:ascii="Times New Roman"/>
                <w:w w:val="105"/>
                <w:sz w:val="13"/>
              </w:rPr>
              <w:t>4</w:t>
            </w:r>
          </w:p>
        </w:tc>
        <w:tc>
          <w:tcPr>
            <w:tcW w:w="6956" w:type="dxa"/>
          </w:tcPr>
          <w:p>
            <w:pPr>
              <w:pStyle w:val="14"/>
              <w:spacing w:before="22" w:line="181" w:lineRule="exact"/>
              <w:ind w:left="35" w:right="10"/>
              <w:rPr>
                <w:sz w:val="21"/>
              </w:rPr>
            </w:pPr>
            <w:r>
              <w:rPr>
                <w:sz w:val="21"/>
              </w:rPr>
              <w:t>水质无机阴离子（</w:t>
            </w:r>
            <w:r>
              <w:rPr>
                <w:rFonts w:ascii="Times New Roman" w:eastAsia="Times New Roman"/>
                <w:sz w:val="21"/>
              </w:rPr>
              <w:t>F</w:t>
            </w:r>
            <w:r>
              <w:rPr>
                <w:rFonts w:ascii="Times New Roman" w:eastAsia="Times New Roman"/>
                <w:position w:val="7"/>
                <w:sz w:val="13"/>
              </w:rPr>
              <w:t>-</w:t>
            </w:r>
            <w:r>
              <w:rPr>
                <w:sz w:val="21"/>
              </w:rPr>
              <w:t>、</w:t>
            </w:r>
            <w:r>
              <w:rPr>
                <w:rFonts w:ascii="Times New Roman" w:eastAsia="Times New Roman"/>
                <w:sz w:val="21"/>
              </w:rPr>
              <w:t>Cl</w:t>
            </w:r>
            <w:r>
              <w:rPr>
                <w:rFonts w:ascii="Times New Roman" w:eastAsia="Times New Roman"/>
                <w:position w:val="7"/>
                <w:sz w:val="13"/>
              </w:rPr>
              <w:t>-</w:t>
            </w:r>
            <w:r>
              <w:rPr>
                <w:sz w:val="21"/>
              </w:rPr>
              <w:t>、</w:t>
            </w:r>
            <w:r>
              <w:rPr>
                <w:rFonts w:ascii="Times New Roman" w:eastAsia="Times New Roman"/>
                <w:sz w:val="21"/>
              </w:rPr>
              <w:t xml:space="preserve">NO </w:t>
            </w:r>
            <w:r>
              <w:rPr>
                <w:rFonts w:ascii="Times New Roman" w:eastAsia="Times New Roman"/>
                <w:position w:val="7"/>
                <w:sz w:val="13"/>
              </w:rPr>
              <w:t>-</w:t>
            </w:r>
            <w:r>
              <w:rPr>
                <w:sz w:val="21"/>
              </w:rPr>
              <w:t>、</w:t>
            </w:r>
            <w:r>
              <w:rPr>
                <w:rFonts w:ascii="Times New Roman" w:eastAsia="Times New Roman"/>
                <w:sz w:val="21"/>
              </w:rPr>
              <w:t>Br</w:t>
            </w:r>
            <w:r>
              <w:rPr>
                <w:rFonts w:ascii="Times New Roman" w:eastAsia="Times New Roman"/>
                <w:position w:val="7"/>
                <w:sz w:val="13"/>
              </w:rPr>
              <w:t>-</w:t>
            </w:r>
            <w:r>
              <w:rPr>
                <w:sz w:val="21"/>
              </w:rPr>
              <w:t>、</w:t>
            </w:r>
            <w:r>
              <w:rPr>
                <w:rFonts w:ascii="Times New Roman" w:eastAsia="Times New Roman"/>
                <w:sz w:val="21"/>
              </w:rPr>
              <w:t xml:space="preserve">NO </w:t>
            </w:r>
            <w:r>
              <w:rPr>
                <w:rFonts w:ascii="Times New Roman" w:eastAsia="Times New Roman"/>
                <w:position w:val="7"/>
                <w:sz w:val="13"/>
              </w:rPr>
              <w:t>-</w:t>
            </w:r>
            <w:r>
              <w:rPr>
                <w:sz w:val="21"/>
              </w:rPr>
              <w:t>、</w:t>
            </w:r>
            <w:r>
              <w:rPr>
                <w:rFonts w:ascii="Times New Roman" w:eastAsia="Times New Roman"/>
                <w:sz w:val="21"/>
              </w:rPr>
              <w:t xml:space="preserve">PO </w:t>
            </w:r>
            <w:r>
              <w:rPr>
                <w:rFonts w:ascii="Times New Roman" w:eastAsia="Times New Roman"/>
                <w:position w:val="7"/>
                <w:sz w:val="13"/>
              </w:rPr>
              <w:t>3-</w:t>
            </w:r>
            <w:r>
              <w:rPr>
                <w:sz w:val="21"/>
              </w:rPr>
              <w:t>、</w:t>
            </w:r>
            <w:r>
              <w:rPr>
                <w:rFonts w:ascii="Times New Roman" w:eastAsia="Times New Roman"/>
                <w:sz w:val="21"/>
              </w:rPr>
              <w:t xml:space="preserve">SO </w:t>
            </w:r>
            <w:r>
              <w:rPr>
                <w:rFonts w:ascii="Times New Roman" w:eastAsia="Times New Roman"/>
                <w:position w:val="7"/>
                <w:sz w:val="13"/>
              </w:rPr>
              <w:t>2-</w:t>
            </w:r>
            <w:r>
              <w:rPr>
                <w:sz w:val="21"/>
              </w:rPr>
              <w:t>、</w:t>
            </w:r>
            <w:r>
              <w:rPr>
                <w:rFonts w:ascii="Times New Roman" w:eastAsia="Times New Roman"/>
                <w:sz w:val="21"/>
              </w:rPr>
              <w:t xml:space="preserve">SO </w:t>
            </w:r>
            <w:r>
              <w:rPr>
                <w:rFonts w:ascii="Times New Roman" w:eastAsia="Times New Roman"/>
                <w:position w:val="7"/>
                <w:sz w:val="13"/>
              </w:rPr>
              <w:t>2-</w:t>
            </w:r>
            <w:r>
              <w:rPr>
                <w:sz w:val="21"/>
              </w:rPr>
              <w:t>）的测定</w:t>
            </w:r>
          </w:p>
          <w:p>
            <w:pPr>
              <w:pStyle w:val="14"/>
              <w:tabs>
                <w:tab w:val="left" w:pos="3965"/>
                <w:tab w:val="left" w:pos="4546"/>
                <w:tab w:val="left" w:pos="5194"/>
                <w:tab w:val="left" w:pos="5844"/>
              </w:tabs>
              <w:spacing w:line="74" w:lineRule="exact"/>
              <w:ind w:left="2892"/>
              <w:jc w:val="left"/>
              <w:rPr>
                <w:rFonts w:ascii="Times New Roman"/>
                <w:sz w:val="13"/>
              </w:rPr>
            </w:pPr>
            <w:r>
              <w:rPr>
                <w:rFonts w:ascii="Times New Roman"/>
                <w:w w:val="105"/>
                <w:sz w:val="13"/>
              </w:rPr>
              <w:t>2</w:t>
            </w:r>
            <w:r>
              <w:rPr>
                <w:rFonts w:ascii="Times New Roman"/>
                <w:w w:val="105"/>
                <w:sz w:val="13"/>
              </w:rPr>
              <w:tab/>
            </w:r>
            <w:r>
              <w:rPr>
                <w:rFonts w:ascii="Times New Roman"/>
                <w:w w:val="105"/>
                <w:sz w:val="13"/>
              </w:rPr>
              <w:t>3</w:t>
            </w:r>
            <w:r>
              <w:rPr>
                <w:rFonts w:ascii="Times New Roman"/>
                <w:w w:val="105"/>
                <w:sz w:val="13"/>
              </w:rPr>
              <w:tab/>
            </w:r>
            <w:r>
              <w:rPr>
                <w:rFonts w:ascii="Times New Roman"/>
                <w:w w:val="105"/>
                <w:sz w:val="13"/>
              </w:rPr>
              <w:t>4</w:t>
            </w:r>
            <w:r>
              <w:rPr>
                <w:rFonts w:ascii="Times New Roman"/>
                <w:w w:val="105"/>
                <w:sz w:val="13"/>
              </w:rPr>
              <w:tab/>
            </w:r>
            <w:r>
              <w:rPr>
                <w:rFonts w:ascii="Times New Roman"/>
                <w:w w:val="105"/>
                <w:sz w:val="13"/>
              </w:rPr>
              <w:t>3</w:t>
            </w:r>
            <w:r>
              <w:rPr>
                <w:rFonts w:ascii="Times New Roman"/>
                <w:w w:val="105"/>
                <w:sz w:val="13"/>
              </w:rPr>
              <w:tab/>
            </w:r>
            <w:r>
              <w:rPr>
                <w:rFonts w:ascii="Times New Roman"/>
                <w:w w:val="105"/>
                <w:sz w:val="13"/>
              </w:rPr>
              <w:t>4</w:t>
            </w:r>
          </w:p>
          <w:p>
            <w:pPr>
              <w:pStyle w:val="14"/>
              <w:spacing w:before="57"/>
              <w:ind w:left="31" w:right="21"/>
              <w:rPr>
                <w:rFonts w:ascii="Times New Roman" w:eastAsia="Times New Roman"/>
                <w:sz w:val="21"/>
              </w:rPr>
            </w:pPr>
            <w:r>
              <w:rPr>
                <w:sz w:val="21"/>
              </w:rPr>
              <w:t xml:space="preserve">离子色谱法 </w:t>
            </w:r>
            <w:r>
              <w:rPr>
                <w:rFonts w:ascii="Times New Roman" w:eastAsia="Times New Roman"/>
                <w:sz w:val="21"/>
              </w:rPr>
              <w:t>HJ 84-2016</w:t>
            </w:r>
          </w:p>
        </w:tc>
      </w:tr>
    </w:tbl>
    <w:p>
      <w:pPr>
        <w:pStyle w:val="13"/>
        <w:numPr>
          <w:ilvl w:val="2"/>
          <w:numId w:val="55"/>
        </w:numPr>
        <w:tabs>
          <w:tab w:val="left" w:pos="1253"/>
        </w:tabs>
        <w:spacing w:before="2" w:after="0" w:line="240" w:lineRule="auto"/>
        <w:ind w:left="1252" w:right="0" w:hanging="702"/>
        <w:jc w:val="left"/>
        <w:rPr>
          <w:b/>
          <w:sz w:val="28"/>
        </w:rPr>
      </w:pPr>
      <w:bookmarkStart w:id="236" w:name="6.4.2 地下水环境质量现状评价"/>
      <w:bookmarkEnd w:id="236"/>
      <w:bookmarkStart w:id="237" w:name="6.4.2 地下水环境质量现状评价"/>
      <w:bookmarkEnd w:id="237"/>
      <w:r>
        <w:rPr>
          <w:b/>
          <w:sz w:val="28"/>
        </w:rPr>
        <w:t>地下水环境质量现状评价</w:t>
      </w:r>
    </w:p>
    <w:p>
      <w:pPr>
        <w:spacing w:before="185"/>
        <w:ind w:left="551" w:right="0" w:firstLine="0"/>
        <w:jc w:val="left"/>
        <w:rPr>
          <w:b/>
          <w:sz w:val="24"/>
        </w:rPr>
      </w:pPr>
      <w:r>
        <w:rPr>
          <w:rFonts w:ascii="Times New Roman" w:eastAsia="Times New Roman"/>
          <w:b/>
          <w:sz w:val="24"/>
        </w:rPr>
        <w:t xml:space="preserve">6.4.2.1 </w:t>
      </w:r>
      <w:r>
        <w:rPr>
          <w:b/>
          <w:sz w:val="24"/>
        </w:rPr>
        <w:t>地下水化学类型评价方法</w:t>
      </w:r>
    </w:p>
    <w:p>
      <w:pPr>
        <w:pStyle w:val="6"/>
        <w:spacing w:before="161"/>
        <w:ind w:left="1031"/>
      </w:pPr>
      <w:r>
        <w:rPr>
          <w:spacing w:val="-3"/>
        </w:rPr>
        <w:t xml:space="preserve">地下水化学类型的舒卡列夫分类是根据地下水中 </w:t>
      </w:r>
      <w:r>
        <w:rPr>
          <w:rFonts w:ascii="Times New Roman" w:eastAsia="Times New Roman"/>
        </w:rPr>
        <w:t>6</w:t>
      </w:r>
      <w:r>
        <w:rPr>
          <w:rFonts w:ascii="Times New Roman" w:eastAsia="Times New Roman"/>
          <w:spacing w:val="4"/>
        </w:rPr>
        <w:t xml:space="preserve"> </w:t>
      </w:r>
      <w:r>
        <w:t>种主要离子（</w:t>
      </w:r>
      <w:r>
        <w:rPr>
          <w:rFonts w:ascii="Times New Roman" w:eastAsia="Times New Roman"/>
        </w:rPr>
        <w:t>Na</w:t>
      </w:r>
      <w:r>
        <w:rPr>
          <w:rFonts w:ascii="Times New Roman" w:eastAsia="Times New Roman"/>
          <w:position w:val="8"/>
          <w:sz w:val="15"/>
        </w:rPr>
        <w:t>+</w:t>
      </w:r>
      <w:r>
        <w:t>、</w:t>
      </w:r>
      <w:r>
        <w:rPr>
          <w:rFonts w:ascii="Times New Roman" w:eastAsia="Times New Roman"/>
        </w:rPr>
        <w:t>Ca</w:t>
      </w:r>
      <w:r>
        <w:rPr>
          <w:rFonts w:ascii="Times New Roman" w:eastAsia="Times New Roman"/>
          <w:position w:val="8"/>
          <w:sz w:val="15"/>
        </w:rPr>
        <w:t>2+</w:t>
      </w:r>
      <w:r>
        <w:t>、</w:t>
      </w:r>
    </w:p>
    <w:p>
      <w:pPr>
        <w:pStyle w:val="6"/>
        <w:spacing w:before="158" w:line="364" w:lineRule="auto"/>
        <w:ind w:left="1031" w:right="969" w:hanging="480"/>
      </w:pPr>
      <w:r>
        <mc:AlternateContent>
          <mc:Choice Requires="wps">
            <w:drawing>
              <wp:anchor distT="0" distB="0" distL="114300" distR="114300" simplePos="0" relativeHeight="214335488" behindDoc="1" locked="0" layoutInCell="1" allowOverlap="1">
                <wp:simplePos x="0" y="0"/>
                <wp:positionH relativeFrom="page">
                  <wp:posOffset>1903095</wp:posOffset>
                </wp:positionH>
                <wp:positionV relativeFrom="paragraph">
                  <wp:posOffset>174625</wp:posOffset>
                </wp:positionV>
                <wp:extent cx="478155" cy="109855"/>
                <wp:effectExtent l="0" t="0" r="0" b="0"/>
                <wp:wrapNone/>
                <wp:docPr id="34" name="文本框 120"/>
                <wp:cNvGraphicFramePr/>
                <a:graphic xmlns:a="http://schemas.openxmlformats.org/drawingml/2006/main">
                  <a:graphicData uri="http://schemas.microsoft.com/office/word/2010/wordprocessingShape">
                    <wps:wsp>
                      <wps:cNvSpPr txBox="1"/>
                      <wps:spPr>
                        <a:xfrm>
                          <a:off x="0" y="0"/>
                          <a:ext cx="478155" cy="109855"/>
                        </a:xfrm>
                        <a:prstGeom prst="rect">
                          <a:avLst/>
                        </a:prstGeom>
                        <a:noFill/>
                        <a:ln>
                          <a:noFill/>
                        </a:ln>
                      </wps:spPr>
                      <wps:txbx>
                        <w:txbxContent>
                          <w:p>
                            <w:pPr>
                              <w:tabs>
                                <w:tab w:val="left" w:pos="674"/>
                              </w:tabs>
                              <w:spacing w:before="0" w:line="171" w:lineRule="exact"/>
                              <w:ind w:left="0" w:right="0" w:firstLine="0"/>
                              <w:jc w:val="left"/>
                              <w:rPr>
                                <w:rFonts w:ascii="Times New Roman"/>
                                <w:sz w:val="15"/>
                              </w:rPr>
                            </w:pPr>
                            <w:r>
                              <w:rPr>
                                <w:rFonts w:ascii="Times New Roman"/>
                                <w:w w:val="105"/>
                                <w:sz w:val="15"/>
                              </w:rPr>
                              <w:t>3</w:t>
                            </w:r>
                            <w:r>
                              <w:rPr>
                                <w:rFonts w:ascii="Times New Roman"/>
                                <w:w w:val="105"/>
                                <w:sz w:val="15"/>
                              </w:rPr>
                              <w:tab/>
                            </w:r>
                            <w:r>
                              <w:rPr>
                                <w:rFonts w:ascii="Times New Roman"/>
                                <w:spacing w:val="-20"/>
                                <w:w w:val="105"/>
                                <w:sz w:val="15"/>
                              </w:rPr>
                              <w:t>4</w:t>
                            </w:r>
                          </w:p>
                        </w:txbxContent>
                      </wps:txbx>
                      <wps:bodyPr lIns="0" tIns="0" rIns="0" bIns="0" upright="1"/>
                    </wps:wsp>
                  </a:graphicData>
                </a:graphic>
              </wp:anchor>
            </w:drawing>
          </mc:Choice>
          <mc:Fallback>
            <w:pict>
              <v:shape id="文本框 120" o:spid="_x0000_s1026" o:spt="202" type="#_x0000_t202" style="position:absolute;left:0pt;margin-left:149.85pt;margin-top:13.75pt;height:8.65pt;width:37.65pt;mso-position-horizontal-relative:page;z-index:-288980992;mso-width-relative:page;mso-height-relative:page;" filled="f" stroked="f" coordsize="21600,21600" o:gfxdata="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gPQoYdkAAAAJAQAADwAAAAAA&#10;AAABACAAAAAiAAAAZHJzL2Rvd25yZXYueG1sUEsBAhQAFAAAAAgAh07iQFzbKLygAQAAJgMAAA4A&#10;AAAAAAAAAQAgAAAAKAEAAGRycy9lMm9Eb2MueG1sUEsFBgAAAAAGAAYAWQEAADoFAAAAAA==&#10;">
                <v:fill on="f" focussize="0,0"/>
                <v:stroke on="f"/>
                <v:imagedata o:title=""/>
                <o:lock v:ext="edit" aspectratio="f"/>
                <v:textbox inset="0mm,0mm,0mm,0mm">
                  <w:txbxContent>
                    <w:p>
                      <w:pPr>
                        <w:tabs>
                          <w:tab w:val="left" w:pos="674"/>
                        </w:tabs>
                        <w:spacing w:before="0" w:line="171" w:lineRule="exact"/>
                        <w:ind w:left="0" w:right="0" w:firstLine="0"/>
                        <w:jc w:val="left"/>
                        <w:rPr>
                          <w:rFonts w:ascii="Times New Roman"/>
                          <w:sz w:val="15"/>
                        </w:rPr>
                      </w:pPr>
                      <w:r>
                        <w:rPr>
                          <w:rFonts w:ascii="Times New Roman"/>
                          <w:w w:val="105"/>
                          <w:sz w:val="15"/>
                        </w:rPr>
                        <w:t>3</w:t>
                      </w:r>
                      <w:r>
                        <w:rPr>
                          <w:rFonts w:ascii="Times New Roman"/>
                          <w:w w:val="105"/>
                          <w:sz w:val="15"/>
                        </w:rPr>
                        <w:tab/>
                      </w:r>
                      <w:r>
                        <w:rPr>
                          <w:rFonts w:ascii="Times New Roman"/>
                          <w:spacing w:val="-20"/>
                          <w:w w:val="105"/>
                          <w:sz w:val="15"/>
                        </w:rPr>
                        <w:t>4</w:t>
                      </w:r>
                    </w:p>
                  </w:txbxContent>
                </v:textbox>
              </v:shape>
            </w:pict>
          </mc:Fallback>
        </mc:AlternateContent>
      </w:r>
      <w:r>
        <w:rPr>
          <w:rFonts w:ascii="Times New Roman" w:eastAsia="Times New Roman"/>
        </w:rPr>
        <w:t>Mg</w:t>
      </w:r>
      <w:r>
        <w:rPr>
          <w:rFonts w:ascii="Times New Roman" w:eastAsia="Times New Roman"/>
          <w:position w:val="8"/>
          <w:sz w:val="15"/>
        </w:rPr>
        <w:t>2+</w:t>
      </w:r>
      <w:r>
        <w:t>、</w:t>
      </w:r>
      <w:r>
        <w:rPr>
          <w:rFonts w:ascii="Times New Roman" w:eastAsia="Times New Roman"/>
        </w:rPr>
        <w:t>HCO</w:t>
      </w:r>
      <w:r>
        <w:rPr>
          <w:rFonts w:ascii="Times New Roman" w:eastAsia="Times New Roman"/>
          <w:spacing w:val="36"/>
        </w:rPr>
        <w:t xml:space="preserve"> </w:t>
      </w:r>
      <w:r>
        <w:rPr>
          <w:rFonts w:ascii="Times New Roman" w:eastAsia="Times New Roman"/>
          <w:position w:val="8"/>
          <w:sz w:val="15"/>
        </w:rPr>
        <w:t>-</w:t>
      </w:r>
      <w:r>
        <w:t>、</w:t>
      </w:r>
      <w:r>
        <w:rPr>
          <w:rFonts w:ascii="Times New Roman" w:eastAsia="Times New Roman"/>
        </w:rPr>
        <w:t>SO</w:t>
      </w:r>
      <w:r>
        <w:rPr>
          <w:rFonts w:ascii="Times New Roman" w:eastAsia="Times New Roman"/>
          <w:spacing w:val="35"/>
        </w:rPr>
        <w:t xml:space="preserve"> </w:t>
      </w:r>
      <w:r>
        <w:rPr>
          <w:rFonts w:ascii="Times New Roman" w:eastAsia="Times New Roman"/>
          <w:position w:val="8"/>
          <w:sz w:val="15"/>
        </w:rPr>
        <w:t>2-</w:t>
      </w:r>
      <w:r>
        <w:t>、</w:t>
      </w:r>
      <w:r>
        <w:rPr>
          <w:rFonts w:ascii="Times New Roman" w:eastAsia="Times New Roman"/>
        </w:rPr>
        <w:t>Cl</w:t>
      </w:r>
      <w:r>
        <w:rPr>
          <w:rFonts w:ascii="Times New Roman" w:eastAsia="Times New Roman"/>
          <w:position w:val="8"/>
          <w:sz w:val="15"/>
        </w:rPr>
        <w:t>-</w:t>
      </w:r>
      <w:r>
        <w:t>，</w:t>
      </w:r>
      <w:r>
        <w:rPr>
          <w:rFonts w:ascii="Times New Roman" w:eastAsia="Times New Roman"/>
        </w:rPr>
        <w:t>K</w:t>
      </w:r>
      <w:r>
        <w:rPr>
          <w:rFonts w:ascii="Times New Roman" w:eastAsia="Times New Roman"/>
          <w:position w:val="8"/>
          <w:sz w:val="15"/>
        </w:rPr>
        <w:t>+</w:t>
      </w:r>
      <w:r>
        <w:rPr>
          <w:spacing w:val="-11"/>
        </w:rPr>
        <w:t xml:space="preserve">合并于 </w:t>
      </w:r>
      <w:r>
        <w:rPr>
          <w:rFonts w:ascii="Times New Roman" w:eastAsia="Times New Roman"/>
        </w:rPr>
        <w:t>Na</w:t>
      </w:r>
      <w:r>
        <w:rPr>
          <w:rFonts w:ascii="Times New Roman" w:eastAsia="Times New Roman"/>
          <w:position w:val="8"/>
          <w:sz w:val="15"/>
        </w:rPr>
        <w:t>+</w:t>
      </w:r>
      <w:r>
        <w:t xml:space="preserve">）及矿化度划分的。具体步骤如下： </w:t>
      </w:r>
      <w:r>
        <w:rPr>
          <w:spacing w:val="-12"/>
        </w:rPr>
        <w:t xml:space="preserve">第一步，根据水质分析结果，将 </w:t>
      </w:r>
      <w:r>
        <w:rPr>
          <w:rFonts w:ascii="Times New Roman" w:eastAsia="Times New Roman"/>
        </w:rPr>
        <w:t xml:space="preserve">6 </w:t>
      </w:r>
      <w:r>
        <w:rPr>
          <w:spacing w:val="-6"/>
        </w:rPr>
        <w:t xml:space="preserve">种主要离子中含量大于 </w:t>
      </w:r>
      <w:r>
        <w:rPr>
          <w:rFonts w:ascii="Times New Roman" w:eastAsia="Times New Roman"/>
        </w:rPr>
        <w:t>25</w:t>
      </w:r>
      <w:r>
        <w:rPr>
          <w:spacing w:val="-3"/>
        </w:rPr>
        <w:t>％毫克当量的阴</w:t>
      </w:r>
    </w:p>
    <w:p>
      <w:pPr>
        <w:pStyle w:val="6"/>
        <w:spacing w:line="306" w:lineRule="exact"/>
        <w:ind w:left="551"/>
      </w:pPr>
      <w:r>
        <w:t xml:space="preserve">离子和阳离子进行组合，可组合出 </w:t>
      </w:r>
      <w:r>
        <w:rPr>
          <w:rFonts w:ascii="Times New Roman" w:eastAsia="Times New Roman"/>
        </w:rPr>
        <w:t xml:space="preserve">49 </w:t>
      </w:r>
      <w:r>
        <w:t>型水，并将每型用一个阿拉伯数字作为代号。</w:t>
      </w:r>
    </w:p>
    <w:p>
      <w:pPr>
        <w:pStyle w:val="5"/>
        <w:spacing w:before="160" w:after="3"/>
        <w:ind w:left="106" w:right="1"/>
        <w:jc w:val="center"/>
      </w:pPr>
      <w:r>
        <w:t xml:space="preserve">表 </w:t>
      </w:r>
      <w:r>
        <w:rPr>
          <w:rFonts w:ascii="Times New Roman" w:eastAsia="Times New Roman"/>
        </w:rPr>
        <w:t xml:space="preserve">6.4-3  </w:t>
      </w:r>
      <w:r>
        <w:t>舒卡列夫分类图表</w:t>
      </w:r>
    </w:p>
    <w:tbl>
      <w:tblPr>
        <w:tblStyle w:val="10"/>
        <w:tblW w:w="0" w:type="auto"/>
        <w:tblInd w:w="2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68"/>
        <w:gridCol w:w="834"/>
        <w:gridCol w:w="1134"/>
        <w:gridCol w:w="1635"/>
        <w:gridCol w:w="1355"/>
        <w:gridCol w:w="979"/>
        <w:gridCol w:w="1134"/>
        <w:gridCol w:w="6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268" w:type="dxa"/>
          </w:tcPr>
          <w:p>
            <w:pPr>
              <w:pStyle w:val="14"/>
              <w:ind w:left="18" w:right="-44"/>
              <w:rPr>
                <w:sz w:val="21"/>
              </w:rPr>
            </w:pPr>
            <w:r>
              <w:rPr>
                <w:spacing w:val="-20"/>
                <w:sz w:val="21"/>
              </w:rPr>
              <w:t>超过</w:t>
            </w:r>
            <w:r>
              <w:rPr>
                <w:rFonts w:ascii="Times New Roman" w:eastAsia="Times New Roman"/>
                <w:spacing w:val="-26"/>
                <w:sz w:val="21"/>
              </w:rPr>
              <w:t>25</w:t>
            </w:r>
            <w:r>
              <w:rPr>
                <w:spacing w:val="-27"/>
                <w:sz w:val="21"/>
              </w:rPr>
              <w:t>％毫克当</w:t>
            </w:r>
          </w:p>
          <w:p>
            <w:pPr>
              <w:pStyle w:val="14"/>
              <w:spacing w:before="3" w:line="253" w:lineRule="exact"/>
              <w:ind w:left="123" w:right="75"/>
              <w:rPr>
                <w:sz w:val="21"/>
              </w:rPr>
            </w:pPr>
            <w:r>
              <w:rPr>
                <w:sz w:val="21"/>
              </w:rPr>
              <w:t>量的离子</w:t>
            </w:r>
          </w:p>
        </w:tc>
        <w:tc>
          <w:tcPr>
            <w:tcW w:w="834" w:type="dxa"/>
          </w:tcPr>
          <w:p>
            <w:pPr>
              <w:pStyle w:val="14"/>
              <w:spacing w:before="148"/>
              <w:ind w:left="141" w:right="130"/>
              <w:rPr>
                <w:rFonts w:ascii="Times New Roman"/>
                <w:sz w:val="21"/>
              </w:rPr>
            </w:pPr>
            <w:r>
              <w:rPr>
                <w:rFonts w:ascii="Times New Roman"/>
                <w:position w:val="2"/>
                <w:sz w:val="21"/>
              </w:rPr>
              <w:t>HCO</w:t>
            </w:r>
            <w:r>
              <w:rPr>
                <w:rFonts w:ascii="Times New Roman"/>
                <w:position w:val="2"/>
                <w:sz w:val="21"/>
                <w:vertAlign w:val="subscript"/>
              </w:rPr>
              <w:t>3</w:t>
            </w:r>
          </w:p>
        </w:tc>
        <w:tc>
          <w:tcPr>
            <w:tcW w:w="1134" w:type="dxa"/>
          </w:tcPr>
          <w:p>
            <w:pPr>
              <w:pStyle w:val="14"/>
              <w:spacing w:before="148"/>
              <w:ind w:left="64" w:right="53"/>
              <w:rPr>
                <w:rFonts w:ascii="Times New Roman"/>
                <w:sz w:val="21"/>
              </w:rPr>
            </w:pPr>
            <w:r>
              <w:rPr>
                <w:rFonts w:ascii="Times New Roman"/>
                <w:position w:val="2"/>
                <w:sz w:val="21"/>
              </w:rPr>
              <w:t>HCO</w:t>
            </w:r>
            <w:r>
              <w:rPr>
                <w:rFonts w:ascii="Times New Roman"/>
                <w:position w:val="2"/>
                <w:sz w:val="21"/>
                <w:vertAlign w:val="subscript"/>
              </w:rPr>
              <w:t>3</w:t>
            </w:r>
            <w:r>
              <w:rPr>
                <w:rFonts w:ascii="Times New Roman"/>
                <w:position w:val="2"/>
                <w:sz w:val="21"/>
                <w:vertAlign w:val="baseline"/>
              </w:rPr>
              <w:t>+SO</w:t>
            </w:r>
            <w:r>
              <w:rPr>
                <w:rFonts w:ascii="Times New Roman"/>
                <w:position w:val="2"/>
                <w:sz w:val="21"/>
                <w:vertAlign w:val="subscript"/>
              </w:rPr>
              <w:t>4</w:t>
            </w:r>
          </w:p>
        </w:tc>
        <w:tc>
          <w:tcPr>
            <w:tcW w:w="1635" w:type="dxa"/>
          </w:tcPr>
          <w:p>
            <w:pPr>
              <w:pStyle w:val="14"/>
              <w:spacing w:before="148"/>
              <w:ind w:left="156" w:right="145"/>
              <w:rPr>
                <w:rFonts w:ascii="Times New Roman"/>
                <w:sz w:val="21"/>
              </w:rPr>
            </w:pPr>
            <w:r>
              <w:rPr>
                <w:rFonts w:ascii="Times New Roman"/>
                <w:position w:val="2"/>
                <w:sz w:val="21"/>
              </w:rPr>
              <w:t>HCO</w:t>
            </w:r>
            <w:r>
              <w:rPr>
                <w:rFonts w:ascii="Times New Roman"/>
                <w:position w:val="2"/>
                <w:sz w:val="21"/>
                <w:vertAlign w:val="subscript"/>
              </w:rPr>
              <w:t>3</w:t>
            </w:r>
            <w:r>
              <w:rPr>
                <w:rFonts w:ascii="Times New Roman"/>
                <w:position w:val="2"/>
                <w:sz w:val="21"/>
                <w:vertAlign w:val="baseline"/>
              </w:rPr>
              <w:t>+SO</w:t>
            </w:r>
            <w:r>
              <w:rPr>
                <w:rFonts w:ascii="Times New Roman"/>
                <w:position w:val="2"/>
                <w:sz w:val="21"/>
                <w:vertAlign w:val="subscript"/>
              </w:rPr>
              <w:t>4</w:t>
            </w:r>
            <w:r>
              <w:rPr>
                <w:rFonts w:ascii="Times New Roman"/>
                <w:position w:val="2"/>
                <w:sz w:val="21"/>
                <w:vertAlign w:val="baseline"/>
              </w:rPr>
              <w:t>+Cl</w:t>
            </w:r>
          </w:p>
        </w:tc>
        <w:tc>
          <w:tcPr>
            <w:tcW w:w="1355" w:type="dxa"/>
          </w:tcPr>
          <w:p>
            <w:pPr>
              <w:pStyle w:val="14"/>
              <w:spacing w:before="148"/>
              <w:ind w:left="242" w:right="233"/>
              <w:rPr>
                <w:rFonts w:ascii="Times New Roman"/>
                <w:sz w:val="21"/>
              </w:rPr>
            </w:pPr>
            <w:r>
              <w:rPr>
                <w:rFonts w:ascii="Times New Roman"/>
                <w:position w:val="2"/>
                <w:sz w:val="21"/>
              </w:rPr>
              <w:t>HCO</w:t>
            </w:r>
            <w:r>
              <w:rPr>
                <w:rFonts w:ascii="Times New Roman"/>
                <w:position w:val="2"/>
                <w:sz w:val="21"/>
                <w:vertAlign w:val="subscript"/>
              </w:rPr>
              <w:t>3</w:t>
            </w:r>
            <w:r>
              <w:rPr>
                <w:rFonts w:ascii="Times New Roman"/>
                <w:position w:val="2"/>
                <w:sz w:val="21"/>
                <w:vertAlign w:val="baseline"/>
              </w:rPr>
              <w:t>+Cl</w:t>
            </w:r>
          </w:p>
        </w:tc>
        <w:tc>
          <w:tcPr>
            <w:tcW w:w="979" w:type="dxa"/>
          </w:tcPr>
          <w:p>
            <w:pPr>
              <w:pStyle w:val="14"/>
              <w:spacing w:before="148"/>
              <w:ind w:left="154" w:right="143"/>
              <w:rPr>
                <w:rFonts w:ascii="Times New Roman"/>
                <w:sz w:val="21"/>
              </w:rPr>
            </w:pPr>
            <w:r>
              <w:rPr>
                <w:rFonts w:ascii="Times New Roman"/>
                <w:position w:val="2"/>
                <w:sz w:val="21"/>
              </w:rPr>
              <w:t>SO</w:t>
            </w:r>
            <w:r>
              <w:rPr>
                <w:rFonts w:ascii="Times New Roman"/>
                <w:position w:val="2"/>
                <w:sz w:val="21"/>
                <w:vertAlign w:val="subscript"/>
              </w:rPr>
              <w:t>4</w:t>
            </w:r>
          </w:p>
        </w:tc>
        <w:tc>
          <w:tcPr>
            <w:tcW w:w="1134" w:type="dxa"/>
          </w:tcPr>
          <w:p>
            <w:pPr>
              <w:pStyle w:val="14"/>
              <w:spacing w:before="148"/>
              <w:ind w:left="62" w:right="53"/>
              <w:rPr>
                <w:rFonts w:ascii="Times New Roman"/>
                <w:sz w:val="21"/>
              </w:rPr>
            </w:pPr>
            <w:r>
              <w:rPr>
                <w:rFonts w:ascii="Times New Roman"/>
                <w:position w:val="2"/>
                <w:sz w:val="21"/>
              </w:rPr>
              <w:t>SO</w:t>
            </w:r>
            <w:r>
              <w:rPr>
                <w:rFonts w:ascii="Times New Roman"/>
                <w:position w:val="2"/>
                <w:sz w:val="21"/>
                <w:vertAlign w:val="subscript"/>
              </w:rPr>
              <w:t>4</w:t>
            </w:r>
            <w:r>
              <w:rPr>
                <w:rFonts w:ascii="Times New Roman"/>
                <w:position w:val="2"/>
                <w:sz w:val="21"/>
                <w:vertAlign w:val="baseline"/>
              </w:rPr>
              <w:t>+Cl</w:t>
            </w:r>
          </w:p>
        </w:tc>
        <w:tc>
          <w:tcPr>
            <w:tcW w:w="681" w:type="dxa"/>
          </w:tcPr>
          <w:p>
            <w:pPr>
              <w:pStyle w:val="14"/>
              <w:spacing w:before="151"/>
              <w:ind w:left="212" w:right="206"/>
              <w:rPr>
                <w:rFonts w:ascii="Times New Roman"/>
                <w:sz w:val="21"/>
              </w:rPr>
            </w:pPr>
            <w:r>
              <w:rPr>
                <w:rFonts w:ascii="Times New Roman"/>
                <w:sz w:val="21"/>
              </w:rPr>
              <w:t>Cl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1268" w:type="dxa"/>
          </w:tcPr>
          <w:p>
            <w:pPr>
              <w:pStyle w:val="14"/>
              <w:spacing w:line="221" w:lineRule="exact"/>
              <w:ind w:left="18" w:right="9"/>
              <w:rPr>
                <w:rFonts w:ascii="Times New Roman"/>
                <w:sz w:val="21"/>
              </w:rPr>
            </w:pPr>
            <w:r>
              <w:rPr>
                <w:rFonts w:ascii="Times New Roman"/>
                <w:sz w:val="21"/>
              </w:rPr>
              <w:t>Ca</w:t>
            </w:r>
          </w:p>
        </w:tc>
        <w:tc>
          <w:tcPr>
            <w:tcW w:w="834" w:type="dxa"/>
          </w:tcPr>
          <w:p>
            <w:pPr>
              <w:pStyle w:val="14"/>
              <w:spacing w:line="221" w:lineRule="exact"/>
              <w:ind w:left="6"/>
              <w:rPr>
                <w:rFonts w:ascii="Times New Roman"/>
                <w:sz w:val="21"/>
              </w:rPr>
            </w:pPr>
            <w:r>
              <w:rPr>
                <w:rFonts w:ascii="Times New Roman"/>
                <w:w w:val="99"/>
                <w:sz w:val="21"/>
              </w:rPr>
              <w:t>1</w:t>
            </w:r>
          </w:p>
        </w:tc>
        <w:tc>
          <w:tcPr>
            <w:tcW w:w="1134" w:type="dxa"/>
          </w:tcPr>
          <w:p>
            <w:pPr>
              <w:pStyle w:val="14"/>
              <w:spacing w:line="221" w:lineRule="exact"/>
              <w:ind w:left="6"/>
              <w:rPr>
                <w:rFonts w:ascii="Times New Roman"/>
                <w:sz w:val="21"/>
              </w:rPr>
            </w:pPr>
            <w:r>
              <w:rPr>
                <w:rFonts w:ascii="Times New Roman"/>
                <w:w w:val="99"/>
                <w:sz w:val="21"/>
              </w:rPr>
              <w:t>8</w:t>
            </w:r>
          </w:p>
        </w:tc>
        <w:tc>
          <w:tcPr>
            <w:tcW w:w="1635" w:type="dxa"/>
          </w:tcPr>
          <w:p>
            <w:pPr>
              <w:pStyle w:val="14"/>
              <w:spacing w:line="221" w:lineRule="exact"/>
              <w:ind w:left="152" w:right="145"/>
              <w:rPr>
                <w:rFonts w:ascii="Times New Roman"/>
                <w:sz w:val="21"/>
              </w:rPr>
            </w:pPr>
            <w:r>
              <w:rPr>
                <w:rFonts w:ascii="Times New Roman"/>
                <w:sz w:val="21"/>
              </w:rPr>
              <w:t>15</w:t>
            </w:r>
          </w:p>
        </w:tc>
        <w:tc>
          <w:tcPr>
            <w:tcW w:w="1355" w:type="dxa"/>
          </w:tcPr>
          <w:p>
            <w:pPr>
              <w:pStyle w:val="14"/>
              <w:spacing w:line="221" w:lineRule="exact"/>
              <w:ind w:left="240" w:right="233"/>
              <w:rPr>
                <w:rFonts w:ascii="Times New Roman"/>
                <w:sz w:val="21"/>
              </w:rPr>
            </w:pPr>
            <w:r>
              <w:rPr>
                <w:rFonts w:ascii="Times New Roman"/>
                <w:sz w:val="21"/>
              </w:rPr>
              <w:t>22</w:t>
            </w:r>
          </w:p>
        </w:tc>
        <w:tc>
          <w:tcPr>
            <w:tcW w:w="979" w:type="dxa"/>
          </w:tcPr>
          <w:p>
            <w:pPr>
              <w:pStyle w:val="14"/>
              <w:spacing w:line="221" w:lineRule="exact"/>
              <w:ind w:left="151" w:right="145"/>
              <w:rPr>
                <w:rFonts w:ascii="Times New Roman"/>
                <w:sz w:val="21"/>
              </w:rPr>
            </w:pPr>
            <w:r>
              <w:rPr>
                <w:rFonts w:ascii="Times New Roman"/>
                <w:sz w:val="21"/>
              </w:rPr>
              <w:t>29</w:t>
            </w:r>
          </w:p>
        </w:tc>
        <w:tc>
          <w:tcPr>
            <w:tcW w:w="1134" w:type="dxa"/>
          </w:tcPr>
          <w:p>
            <w:pPr>
              <w:pStyle w:val="14"/>
              <w:spacing w:line="221" w:lineRule="exact"/>
              <w:ind w:left="63" w:right="53"/>
              <w:rPr>
                <w:rFonts w:ascii="Times New Roman"/>
                <w:sz w:val="21"/>
              </w:rPr>
            </w:pPr>
            <w:r>
              <w:rPr>
                <w:rFonts w:ascii="Times New Roman"/>
                <w:sz w:val="21"/>
              </w:rPr>
              <w:t>36</w:t>
            </w:r>
          </w:p>
        </w:tc>
        <w:tc>
          <w:tcPr>
            <w:tcW w:w="681" w:type="dxa"/>
          </w:tcPr>
          <w:p>
            <w:pPr>
              <w:pStyle w:val="14"/>
              <w:spacing w:line="221" w:lineRule="exact"/>
              <w:ind w:left="215" w:right="206"/>
              <w:rPr>
                <w:rFonts w:ascii="Times New Roman"/>
                <w:sz w:val="21"/>
              </w:rPr>
            </w:pPr>
            <w:r>
              <w:rPr>
                <w:rFonts w:ascii="Times New Roman"/>
                <w:sz w:val="21"/>
              </w:rPr>
              <w:t>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1268" w:type="dxa"/>
          </w:tcPr>
          <w:p>
            <w:pPr>
              <w:pStyle w:val="14"/>
              <w:spacing w:line="221" w:lineRule="exact"/>
              <w:ind w:left="18" w:right="7"/>
              <w:rPr>
                <w:rFonts w:ascii="Times New Roman"/>
                <w:sz w:val="21"/>
              </w:rPr>
            </w:pPr>
            <w:r>
              <w:rPr>
                <w:rFonts w:ascii="Times New Roman"/>
                <w:sz w:val="21"/>
              </w:rPr>
              <w:t>Ca+Mg</w:t>
            </w:r>
          </w:p>
        </w:tc>
        <w:tc>
          <w:tcPr>
            <w:tcW w:w="834" w:type="dxa"/>
          </w:tcPr>
          <w:p>
            <w:pPr>
              <w:pStyle w:val="14"/>
              <w:spacing w:line="221" w:lineRule="exact"/>
              <w:ind w:left="6"/>
              <w:rPr>
                <w:rFonts w:ascii="Times New Roman"/>
                <w:sz w:val="21"/>
              </w:rPr>
            </w:pPr>
            <w:r>
              <w:rPr>
                <w:rFonts w:ascii="Times New Roman"/>
                <w:w w:val="99"/>
                <w:sz w:val="21"/>
              </w:rPr>
              <w:t>2</w:t>
            </w:r>
          </w:p>
        </w:tc>
        <w:tc>
          <w:tcPr>
            <w:tcW w:w="1134" w:type="dxa"/>
          </w:tcPr>
          <w:p>
            <w:pPr>
              <w:pStyle w:val="14"/>
              <w:spacing w:line="221" w:lineRule="exact"/>
              <w:ind w:left="6"/>
              <w:rPr>
                <w:rFonts w:ascii="Times New Roman"/>
                <w:sz w:val="21"/>
              </w:rPr>
            </w:pPr>
            <w:r>
              <w:rPr>
                <w:rFonts w:ascii="Times New Roman"/>
                <w:w w:val="99"/>
                <w:sz w:val="21"/>
              </w:rPr>
              <w:t>9</w:t>
            </w:r>
          </w:p>
        </w:tc>
        <w:tc>
          <w:tcPr>
            <w:tcW w:w="1635" w:type="dxa"/>
          </w:tcPr>
          <w:p>
            <w:pPr>
              <w:pStyle w:val="14"/>
              <w:spacing w:line="221" w:lineRule="exact"/>
              <w:ind w:left="152" w:right="145"/>
              <w:rPr>
                <w:rFonts w:ascii="Times New Roman"/>
                <w:sz w:val="21"/>
              </w:rPr>
            </w:pPr>
            <w:r>
              <w:rPr>
                <w:rFonts w:ascii="Times New Roman"/>
                <w:sz w:val="21"/>
              </w:rPr>
              <w:t>16</w:t>
            </w:r>
          </w:p>
        </w:tc>
        <w:tc>
          <w:tcPr>
            <w:tcW w:w="1355" w:type="dxa"/>
          </w:tcPr>
          <w:p>
            <w:pPr>
              <w:pStyle w:val="14"/>
              <w:spacing w:line="221" w:lineRule="exact"/>
              <w:ind w:left="240" w:right="233"/>
              <w:rPr>
                <w:rFonts w:ascii="Times New Roman"/>
                <w:sz w:val="21"/>
              </w:rPr>
            </w:pPr>
            <w:r>
              <w:rPr>
                <w:rFonts w:ascii="Times New Roman"/>
                <w:sz w:val="21"/>
              </w:rPr>
              <w:t>23</w:t>
            </w:r>
          </w:p>
        </w:tc>
        <w:tc>
          <w:tcPr>
            <w:tcW w:w="979" w:type="dxa"/>
          </w:tcPr>
          <w:p>
            <w:pPr>
              <w:pStyle w:val="14"/>
              <w:spacing w:line="221" w:lineRule="exact"/>
              <w:ind w:left="151" w:right="145"/>
              <w:rPr>
                <w:rFonts w:ascii="Times New Roman"/>
                <w:sz w:val="21"/>
              </w:rPr>
            </w:pPr>
            <w:r>
              <w:rPr>
                <w:rFonts w:ascii="Times New Roman"/>
                <w:sz w:val="21"/>
              </w:rPr>
              <w:t>30</w:t>
            </w:r>
          </w:p>
        </w:tc>
        <w:tc>
          <w:tcPr>
            <w:tcW w:w="1134" w:type="dxa"/>
          </w:tcPr>
          <w:p>
            <w:pPr>
              <w:pStyle w:val="14"/>
              <w:spacing w:line="221" w:lineRule="exact"/>
              <w:ind w:left="63" w:right="53"/>
              <w:rPr>
                <w:rFonts w:ascii="Times New Roman"/>
                <w:sz w:val="21"/>
              </w:rPr>
            </w:pPr>
            <w:r>
              <w:rPr>
                <w:rFonts w:ascii="Times New Roman"/>
                <w:sz w:val="21"/>
              </w:rPr>
              <w:t>37</w:t>
            </w:r>
          </w:p>
        </w:tc>
        <w:tc>
          <w:tcPr>
            <w:tcW w:w="681" w:type="dxa"/>
          </w:tcPr>
          <w:p>
            <w:pPr>
              <w:pStyle w:val="14"/>
              <w:spacing w:line="221" w:lineRule="exact"/>
              <w:ind w:left="215" w:right="206"/>
              <w:rPr>
                <w:rFonts w:ascii="Times New Roman"/>
                <w:sz w:val="21"/>
              </w:rPr>
            </w:pPr>
            <w:r>
              <w:rPr>
                <w:rFonts w:ascii="Times New Roman"/>
                <w:sz w:val="21"/>
              </w:rPr>
              <w:t>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268" w:type="dxa"/>
          </w:tcPr>
          <w:p>
            <w:pPr>
              <w:pStyle w:val="14"/>
              <w:spacing w:line="221" w:lineRule="exact"/>
              <w:ind w:left="18" w:right="10"/>
              <w:rPr>
                <w:rFonts w:ascii="Times New Roman"/>
                <w:sz w:val="21"/>
              </w:rPr>
            </w:pPr>
            <w:r>
              <w:rPr>
                <w:rFonts w:ascii="Times New Roman"/>
                <w:sz w:val="21"/>
              </w:rPr>
              <w:t>Mg</w:t>
            </w:r>
          </w:p>
        </w:tc>
        <w:tc>
          <w:tcPr>
            <w:tcW w:w="834" w:type="dxa"/>
          </w:tcPr>
          <w:p>
            <w:pPr>
              <w:pStyle w:val="14"/>
              <w:spacing w:line="221" w:lineRule="exact"/>
              <w:ind w:left="6"/>
              <w:rPr>
                <w:rFonts w:ascii="Times New Roman"/>
                <w:sz w:val="21"/>
              </w:rPr>
            </w:pPr>
            <w:r>
              <w:rPr>
                <w:rFonts w:ascii="Times New Roman"/>
                <w:w w:val="99"/>
                <w:sz w:val="21"/>
              </w:rPr>
              <w:t>3</w:t>
            </w:r>
          </w:p>
        </w:tc>
        <w:tc>
          <w:tcPr>
            <w:tcW w:w="1134" w:type="dxa"/>
          </w:tcPr>
          <w:p>
            <w:pPr>
              <w:pStyle w:val="14"/>
              <w:spacing w:line="221" w:lineRule="exact"/>
              <w:ind w:left="64" w:right="53"/>
              <w:rPr>
                <w:rFonts w:ascii="Times New Roman"/>
                <w:sz w:val="21"/>
              </w:rPr>
            </w:pPr>
            <w:r>
              <w:rPr>
                <w:rFonts w:ascii="Times New Roman"/>
                <w:sz w:val="21"/>
              </w:rPr>
              <w:t>10</w:t>
            </w:r>
          </w:p>
        </w:tc>
        <w:tc>
          <w:tcPr>
            <w:tcW w:w="1635" w:type="dxa"/>
          </w:tcPr>
          <w:p>
            <w:pPr>
              <w:pStyle w:val="14"/>
              <w:spacing w:line="221" w:lineRule="exact"/>
              <w:ind w:left="152" w:right="145"/>
              <w:rPr>
                <w:rFonts w:ascii="Times New Roman"/>
                <w:sz w:val="21"/>
              </w:rPr>
            </w:pPr>
            <w:r>
              <w:rPr>
                <w:rFonts w:ascii="Times New Roman"/>
                <w:sz w:val="21"/>
              </w:rPr>
              <w:t>17</w:t>
            </w:r>
          </w:p>
        </w:tc>
        <w:tc>
          <w:tcPr>
            <w:tcW w:w="1355" w:type="dxa"/>
          </w:tcPr>
          <w:p>
            <w:pPr>
              <w:pStyle w:val="14"/>
              <w:spacing w:line="221" w:lineRule="exact"/>
              <w:ind w:left="240" w:right="233"/>
              <w:rPr>
                <w:rFonts w:ascii="Times New Roman"/>
                <w:sz w:val="21"/>
              </w:rPr>
            </w:pPr>
            <w:r>
              <w:rPr>
                <w:rFonts w:ascii="Times New Roman"/>
                <w:sz w:val="21"/>
              </w:rPr>
              <w:t>24</w:t>
            </w:r>
          </w:p>
        </w:tc>
        <w:tc>
          <w:tcPr>
            <w:tcW w:w="979" w:type="dxa"/>
          </w:tcPr>
          <w:p>
            <w:pPr>
              <w:pStyle w:val="14"/>
              <w:spacing w:line="221" w:lineRule="exact"/>
              <w:ind w:left="151" w:right="145"/>
              <w:rPr>
                <w:rFonts w:ascii="Times New Roman"/>
                <w:sz w:val="21"/>
              </w:rPr>
            </w:pPr>
            <w:r>
              <w:rPr>
                <w:rFonts w:ascii="Times New Roman"/>
                <w:sz w:val="21"/>
              </w:rPr>
              <w:t>31</w:t>
            </w:r>
          </w:p>
        </w:tc>
        <w:tc>
          <w:tcPr>
            <w:tcW w:w="1134" w:type="dxa"/>
          </w:tcPr>
          <w:p>
            <w:pPr>
              <w:pStyle w:val="14"/>
              <w:spacing w:line="221" w:lineRule="exact"/>
              <w:ind w:left="63" w:right="53"/>
              <w:rPr>
                <w:rFonts w:ascii="Times New Roman"/>
                <w:sz w:val="21"/>
              </w:rPr>
            </w:pPr>
            <w:r>
              <w:rPr>
                <w:rFonts w:ascii="Times New Roman"/>
                <w:sz w:val="21"/>
              </w:rPr>
              <w:t>38</w:t>
            </w:r>
          </w:p>
        </w:tc>
        <w:tc>
          <w:tcPr>
            <w:tcW w:w="681" w:type="dxa"/>
          </w:tcPr>
          <w:p>
            <w:pPr>
              <w:pStyle w:val="14"/>
              <w:spacing w:line="221" w:lineRule="exact"/>
              <w:ind w:left="215" w:right="206"/>
              <w:rPr>
                <w:rFonts w:ascii="Times New Roman"/>
                <w:sz w:val="21"/>
              </w:rPr>
            </w:pPr>
            <w:r>
              <w:rPr>
                <w:rFonts w:ascii="Times New Roman"/>
                <w:sz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1268" w:type="dxa"/>
          </w:tcPr>
          <w:p>
            <w:pPr>
              <w:pStyle w:val="14"/>
              <w:spacing w:line="222" w:lineRule="exact"/>
              <w:ind w:left="18" w:right="12"/>
              <w:rPr>
                <w:rFonts w:ascii="Times New Roman"/>
                <w:sz w:val="21"/>
              </w:rPr>
            </w:pPr>
            <w:r>
              <w:rPr>
                <w:rFonts w:ascii="Times New Roman"/>
                <w:sz w:val="21"/>
              </w:rPr>
              <w:t>Na+Ca</w:t>
            </w:r>
          </w:p>
        </w:tc>
        <w:tc>
          <w:tcPr>
            <w:tcW w:w="834" w:type="dxa"/>
          </w:tcPr>
          <w:p>
            <w:pPr>
              <w:pStyle w:val="14"/>
              <w:spacing w:line="222" w:lineRule="exact"/>
              <w:ind w:left="6"/>
              <w:rPr>
                <w:rFonts w:ascii="Times New Roman"/>
                <w:sz w:val="21"/>
              </w:rPr>
            </w:pPr>
            <w:r>
              <w:rPr>
                <w:rFonts w:ascii="Times New Roman"/>
                <w:w w:val="99"/>
                <w:sz w:val="21"/>
              </w:rPr>
              <w:t>4</w:t>
            </w:r>
          </w:p>
        </w:tc>
        <w:tc>
          <w:tcPr>
            <w:tcW w:w="1134" w:type="dxa"/>
          </w:tcPr>
          <w:p>
            <w:pPr>
              <w:pStyle w:val="14"/>
              <w:spacing w:line="222" w:lineRule="exact"/>
              <w:ind w:left="64" w:right="53"/>
              <w:rPr>
                <w:rFonts w:ascii="Times New Roman"/>
                <w:sz w:val="21"/>
              </w:rPr>
            </w:pPr>
            <w:r>
              <w:rPr>
                <w:rFonts w:ascii="Times New Roman"/>
                <w:sz w:val="21"/>
              </w:rPr>
              <w:t>11</w:t>
            </w:r>
          </w:p>
        </w:tc>
        <w:tc>
          <w:tcPr>
            <w:tcW w:w="1635" w:type="dxa"/>
          </w:tcPr>
          <w:p>
            <w:pPr>
              <w:pStyle w:val="14"/>
              <w:spacing w:line="222" w:lineRule="exact"/>
              <w:ind w:left="152" w:right="145"/>
              <w:rPr>
                <w:rFonts w:ascii="Times New Roman"/>
                <w:sz w:val="21"/>
              </w:rPr>
            </w:pPr>
            <w:r>
              <w:rPr>
                <w:rFonts w:ascii="Times New Roman"/>
                <w:sz w:val="21"/>
              </w:rPr>
              <w:t>18</w:t>
            </w:r>
          </w:p>
        </w:tc>
        <w:tc>
          <w:tcPr>
            <w:tcW w:w="1355" w:type="dxa"/>
          </w:tcPr>
          <w:p>
            <w:pPr>
              <w:pStyle w:val="14"/>
              <w:spacing w:line="222" w:lineRule="exact"/>
              <w:ind w:left="240" w:right="233"/>
              <w:rPr>
                <w:rFonts w:ascii="Times New Roman"/>
                <w:sz w:val="21"/>
              </w:rPr>
            </w:pPr>
            <w:r>
              <w:rPr>
                <w:rFonts w:ascii="Times New Roman"/>
                <w:sz w:val="21"/>
              </w:rPr>
              <w:t>25</w:t>
            </w:r>
          </w:p>
        </w:tc>
        <w:tc>
          <w:tcPr>
            <w:tcW w:w="979" w:type="dxa"/>
          </w:tcPr>
          <w:p>
            <w:pPr>
              <w:pStyle w:val="14"/>
              <w:spacing w:line="222" w:lineRule="exact"/>
              <w:ind w:left="151" w:right="145"/>
              <w:rPr>
                <w:rFonts w:ascii="Times New Roman"/>
                <w:sz w:val="21"/>
              </w:rPr>
            </w:pPr>
            <w:r>
              <w:rPr>
                <w:rFonts w:ascii="Times New Roman"/>
                <w:sz w:val="21"/>
              </w:rPr>
              <w:t>32</w:t>
            </w:r>
          </w:p>
        </w:tc>
        <w:tc>
          <w:tcPr>
            <w:tcW w:w="1134" w:type="dxa"/>
          </w:tcPr>
          <w:p>
            <w:pPr>
              <w:pStyle w:val="14"/>
              <w:spacing w:line="222" w:lineRule="exact"/>
              <w:ind w:left="63" w:right="53"/>
              <w:rPr>
                <w:rFonts w:ascii="Times New Roman"/>
                <w:sz w:val="21"/>
              </w:rPr>
            </w:pPr>
            <w:r>
              <w:rPr>
                <w:rFonts w:ascii="Times New Roman"/>
                <w:sz w:val="21"/>
              </w:rPr>
              <w:t>39</w:t>
            </w:r>
          </w:p>
        </w:tc>
        <w:tc>
          <w:tcPr>
            <w:tcW w:w="681" w:type="dxa"/>
          </w:tcPr>
          <w:p>
            <w:pPr>
              <w:pStyle w:val="14"/>
              <w:spacing w:line="222" w:lineRule="exact"/>
              <w:ind w:left="215" w:right="206"/>
              <w:rPr>
                <w:rFonts w:ascii="Times New Roman"/>
                <w:sz w:val="21"/>
              </w:rPr>
            </w:pPr>
            <w:r>
              <w:rPr>
                <w:rFonts w:ascii="Times New Roman"/>
                <w:sz w:val="21"/>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1268" w:type="dxa"/>
          </w:tcPr>
          <w:p>
            <w:pPr>
              <w:pStyle w:val="14"/>
              <w:spacing w:line="221" w:lineRule="exact"/>
              <w:ind w:left="123" w:right="88"/>
              <w:rPr>
                <w:rFonts w:ascii="Times New Roman"/>
                <w:sz w:val="21"/>
              </w:rPr>
            </w:pPr>
            <w:r>
              <w:rPr>
                <w:rFonts w:ascii="Times New Roman"/>
                <w:sz w:val="21"/>
              </w:rPr>
              <w:t>Na+Ca+Mg</w:t>
            </w:r>
          </w:p>
        </w:tc>
        <w:tc>
          <w:tcPr>
            <w:tcW w:w="834" w:type="dxa"/>
          </w:tcPr>
          <w:p>
            <w:pPr>
              <w:pStyle w:val="14"/>
              <w:spacing w:line="221" w:lineRule="exact"/>
              <w:ind w:left="6"/>
              <w:rPr>
                <w:rFonts w:ascii="Times New Roman"/>
                <w:sz w:val="21"/>
              </w:rPr>
            </w:pPr>
            <w:r>
              <w:rPr>
                <w:rFonts w:ascii="Times New Roman"/>
                <w:w w:val="99"/>
                <w:sz w:val="21"/>
              </w:rPr>
              <w:t>5</w:t>
            </w:r>
          </w:p>
        </w:tc>
        <w:tc>
          <w:tcPr>
            <w:tcW w:w="1134" w:type="dxa"/>
          </w:tcPr>
          <w:p>
            <w:pPr>
              <w:pStyle w:val="14"/>
              <w:spacing w:line="221" w:lineRule="exact"/>
              <w:ind w:left="64" w:right="53"/>
              <w:rPr>
                <w:rFonts w:ascii="Times New Roman"/>
                <w:sz w:val="21"/>
              </w:rPr>
            </w:pPr>
            <w:r>
              <w:rPr>
                <w:rFonts w:ascii="Times New Roman"/>
                <w:sz w:val="21"/>
              </w:rPr>
              <w:t>12</w:t>
            </w:r>
          </w:p>
        </w:tc>
        <w:tc>
          <w:tcPr>
            <w:tcW w:w="1635" w:type="dxa"/>
          </w:tcPr>
          <w:p>
            <w:pPr>
              <w:pStyle w:val="14"/>
              <w:spacing w:line="221" w:lineRule="exact"/>
              <w:ind w:left="152" w:right="145"/>
              <w:rPr>
                <w:rFonts w:ascii="Times New Roman"/>
                <w:sz w:val="21"/>
              </w:rPr>
            </w:pPr>
            <w:r>
              <w:rPr>
                <w:rFonts w:ascii="Times New Roman"/>
                <w:sz w:val="21"/>
              </w:rPr>
              <w:t>19</w:t>
            </w:r>
          </w:p>
        </w:tc>
        <w:tc>
          <w:tcPr>
            <w:tcW w:w="1355" w:type="dxa"/>
          </w:tcPr>
          <w:p>
            <w:pPr>
              <w:pStyle w:val="14"/>
              <w:spacing w:line="221" w:lineRule="exact"/>
              <w:ind w:left="240" w:right="233"/>
              <w:rPr>
                <w:rFonts w:ascii="Times New Roman"/>
                <w:sz w:val="21"/>
              </w:rPr>
            </w:pPr>
            <w:r>
              <w:rPr>
                <w:rFonts w:ascii="Times New Roman"/>
                <w:sz w:val="21"/>
              </w:rPr>
              <w:t>26</w:t>
            </w:r>
          </w:p>
        </w:tc>
        <w:tc>
          <w:tcPr>
            <w:tcW w:w="979" w:type="dxa"/>
          </w:tcPr>
          <w:p>
            <w:pPr>
              <w:pStyle w:val="14"/>
              <w:spacing w:line="221" w:lineRule="exact"/>
              <w:ind w:left="151" w:right="145"/>
              <w:rPr>
                <w:rFonts w:ascii="Times New Roman"/>
                <w:sz w:val="21"/>
              </w:rPr>
            </w:pPr>
            <w:r>
              <w:rPr>
                <w:rFonts w:ascii="Times New Roman"/>
                <w:sz w:val="21"/>
              </w:rPr>
              <w:t>33</w:t>
            </w:r>
          </w:p>
        </w:tc>
        <w:tc>
          <w:tcPr>
            <w:tcW w:w="1134" w:type="dxa"/>
          </w:tcPr>
          <w:p>
            <w:pPr>
              <w:pStyle w:val="14"/>
              <w:spacing w:line="221" w:lineRule="exact"/>
              <w:ind w:left="63" w:right="53"/>
              <w:rPr>
                <w:rFonts w:ascii="Times New Roman"/>
                <w:sz w:val="21"/>
              </w:rPr>
            </w:pPr>
            <w:r>
              <w:rPr>
                <w:rFonts w:ascii="Times New Roman"/>
                <w:sz w:val="21"/>
              </w:rPr>
              <w:t>40</w:t>
            </w:r>
          </w:p>
        </w:tc>
        <w:tc>
          <w:tcPr>
            <w:tcW w:w="681" w:type="dxa"/>
          </w:tcPr>
          <w:p>
            <w:pPr>
              <w:pStyle w:val="14"/>
              <w:spacing w:line="221" w:lineRule="exact"/>
              <w:ind w:left="215" w:right="206"/>
              <w:rPr>
                <w:rFonts w:ascii="Times New Roman"/>
                <w:sz w:val="21"/>
              </w:rPr>
            </w:pPr>
            <w:r>
              <w:rPr>
                <w:rFonts w:ascii="Times New Roman"/>
                <w:sz w:val="21"/>
              </w:rPr>
              <w:t>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1268" w:type="dxa"/>
          </w:tcPr>
          <w:p>
            <w:pPr>
              <w:pStyle w:val="14"/>
              <w:spacing w:line="222" w:lineRule="exact"/>
              <w:ind w:left="18" w:right="10"/>
              <w:rPr>
                <w:rFonts w:ascii="Times New Roman"/>
                <w:sz w:val="21"/>
              </w:rPr>
            </w:pPr>
            <w:r>
              <w:rPr>
                <w:rFonts w:ascii="Times New Roman"/>
                <w:sz w:val="21"/>
              </w:rPr>
              <w:t>Na+Mg</w:t>
            </w:r>
          </w:p>
        </w:tc>
        <w:tc>
          <w:tcPr>
            <w:tcW w:w="834" w:type="dxa"/>
          </w:tcPr>
          <w:p>
            <w:pPr>
              <w:pStyle w:val="14"/>
              <w:spacing w:line="222" w:lineRule="exact"/>
              <w:ind w:left="6"/>
              <w:rPr>
                <w:rFonts w:ascii="Times New Roman"/>
                <w:sz w:val="21"/>
              </w:rPr>
            </w:pPr>
            <w:r>
              <w:rPr>
                <w:rFonts w:ascii="Times New Roman"/>
                <w:w w:val="99"/>
                <w:sz w:val="21"/>
              </w:rPr>
              <w:t>6</w:t>
            </w:r>
          </w:p>
        </w:tc>
        <w:tc>
          <w:tcPr>
            <w:tcW w:w="1134" w:type="dxa"/>
          </w:tcPr>
          <w:p>
            <w:pPr>
              <w:pStyle w:val="14"/>
              <w:spacing w:line="222" w:lineRule="exact"/>
              <w:ind w:left="64" w:right="53"/>
              <w:rPr>
                <w:rFonts w:ascii="Times New Roman"/>
                <w:sz w:val="21"/>
              </w:rPr>
            </w:pPr>
            <w:r>
              <w:rPr>
                <w:rFonts w:ascii="Times New Roman"/>
                <w:sz w:val="21"/>
              </w:rPr>
              <w:t>13</w:t>
            </w:r>
          </w:p>
        </w:tc>
        <w:tc>
          <w:tcPr>
            <w:tcW w:w="1635" w:type="dxa"/>
          </w:tcPr>
          <w:p>
            <w:pPr>
              <w:pStyle w:val="14"/>
              <w:spacing w:line="222" w:lineRule="exact"/>
              <w:ind w:left="152" w:right="145"/>
              <w:rPr>
                <w:rFonts w:ascii="Times New Roman"/>
                <w:sz w:val="21"/>
              </w:rPr>
            </w:pPr>
            <w:r>
              <w:rPr>
                <w:rFonts w:ascii="Times New Roman"/>
                <w:sz w:val="21"/>
              </w:rPr>
              <w:t>20</w:t>
            </w:r>
          </w:p>
        </w:tc>
        <w:tc>
          <w:tcPr>
            <w:tcW w:w="1355" w:type="dxa"/>
          </w:tcPr>
          <w:p>
            <w:pPr>
              <w:pStyle w:val="14"/>
              <w:spacing w:line="222" w:lineRule="exact"/>
              <w:ind w:left="240" w:right="233"/>
              <w:rPr>
                <w:rFonts w:ascii="Times New Roman"/>
                <w:sz w:val="21"/>
              </w:rPr>
            </w:pPr>
            <w:r>
              <w:rPr>
                <w:rFonts w:ascii="Times New Roman"/>
                <w:sz w:val="21"/>
              </w:rPr>
              <w:t>27</w:t>
            </w:r>
          </w:p>
        </w:tc>
        <w:tc>
          <w:tcPr>
            <w:tcW w:w="979" w:type="dxa"/>
          </w:tcPr>
          <w:p>
            <w:pPr>
              <w:pStyle w:val="14"/>
              <w:spacing w:line="222" w:lineRule="exact"/>
              <w:ind w:left="151" w:right="145"/>
              <w:rPr>
                <w:rFonts w:ascii="Times New Roman"/>
                <w:sz w:val="21"/>
              </w:rPr>
            </w:pPr>
            <w:r>
              <w:rPr>
                <w:rFonts w:ascii="Times New Roman"/>
                <w:sz w:val="21"/>
              </w:rPr>
              <w:t>34</w:t>
            </w:r>
          </w:p>
        </w:tc>
        <w:tc>
          <w:tcPr>
            <w:tcW w:w="1134" w:type="dxa"/>
          </w:tcPr>
          <w:p>
            <w:pPr>
              <w:pStyle w:val="14"/>
              <w:spacing w:line="222" w:lineRule="exact"/>
              <w:ind w:left="63" w:right="53"/>
              <w:rPr>
                <w:rFonts w:ascii="Times New Roman"/>
                <w:sz w:val="21"/>
              </w:rPr>
            </w:pPr>
            <w:r>
              <w:rPr>
                <w:rFonts w:ascii="Times New Roman"/>
                <w:sz w:val="21"/>
              </w:rPr>
              <w:t>41</w:t>
            </w:r>
          </w:p>
        </w:tc>
        <w:tc>
          <w:tcPr>
            <w:tcW w:w="681" w:type="dxa"/>
          </w:tcPr>
          <w:p>
            <w:pPr>
              <w:pStyle w:val="14"/>
              <w:spacing w:line="222" w:lineRule="exact"/>
              <w:ind w:left="215" w:right="206"/>
              <w:rPr>
                <w:rFonts w:ascii="Times New Roman"/>
                <w:sz w:val="21"/>
              </w:rPr>
            </w:pPr>
            <w:r>
              <w:rPr>
                <w:rFonts w:ascii="Times New Roman"/>
                <w:sz w:val="21"/>
              </w:rPr>
              <w:t>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1268" w:type="dxa"/>
          </w:tcPr>
          <w:p>
            <w:pPr>
              <w:pStyle w:val="14"/>
              <w:spacing w:line="221" w:lineRule="exact"/>
              <w:ind w:left="18" w:right="7"/>
              <w:rPr>
                <w:rFonts w:ascii="Times New Roman"/>
                <w:sz w:val="21"/>
              </w:rPr>
            </w:pPr>
            <w:r>
              <w:rPr>
                <w:rFonts w:ascii="Times New Roman"/>
                <w:sz w:val="21"/>
              </w:rPr>
              <w:t>Na</w:t>
            </w:r>
          </w:p>
        </w:tc>
        <w:tc>
          <w:tcPr>
            <w:tcW w:w="834" w:type="dxa"/>
          </w:tcPr>
          <w:p>
            <w:pPr>
              <w:pStyle w:val="14"/>
              <w:spacing w:line="221" w:lineRule="exact"/>
              <w:ind w:left="6"/>
              <w:rPr>
                <w:rFonts w:ascii="Times New Roman"/>
                <w:sz w:val="21"/>
              </w:rPr>
            </w:pPr>
            <w:r>
              <w:rPr>
                <w:rFonts w:ascii="Times New Roman"/>
                <w:w w:val="99"/>
                <w:sz w:val="21"/>
              </w:rPr>
              <w:t>7</w:t>
            </w:r>
          </w:p>
        </w:tc>
        <w:tc>
          <w:tcPr>
            <w:tcW w:w="1134" w:type="dxa"/>
          </w:tcPr>
          <w:p>
            <w:pPr>
              <w:pStyle w:val="14"/>
              <w:spacing w:line="221" w:lineRule="exact"/>
              <w:ind w:left="64" w:right="53"/>
              <w:rPr>
                <w:rFonts w:ascii="Times New Roman"/>
                <w:sz w:val="21"/>
              </w:rPr>
            </w:pPr>
            <w:r>
              <w:rPr>
                <w:rFonts w:ascii="Times New Roman"/>
                <w:sz w:val="21"/>
              </w:rPr>
              <w:t>14</w:t>
            </w:r>
          </w:p>
        </w:tc>
        <w:tc>
          <w:tcPr>
            <w:tcW w:w="1635" w:type="dxa"/>
          </w:tcPr>
          <w:p>
            <w:pPr>
              <w:pStyle w:val="14"/>
              <w:spacing w:line="221" w:lineRule="exact"/>
              <w:ind w:left="152" w:right="145"/>
              <w:rPr>
                <w:rFonts w:ascii="Times New Roman"/>
                <w:sz w:val="21"/>
              </w:rPr>
            </w:pPr>
            <w:r>
              <w:rPr>
                <w:rFonts w:ascii="Times New Roman"/>
                <w:sz w:val="21"/>
              </w:rPr>
              <w:t>21</w:t>
            </w:r>
          </w:p>
        </w:tc>
        <w:tc>
          <w:tcPr>
            <w:tcW w:w="1355" w:type="dxa"/>
          </w:tcPr>
          <w:p>
            <w:pPr>
              <w:pStyle w:val="14"/>
              <w:spacing w:line="221" w:lineRule="exact"/>
              <w:ind w:left="240" w:right="233"/>
              <w:rPr>
                <w:rFonts w:ascii="Times New Roman"/>
                <w:sz w:val="21"/>
              </w:rPr>
            </w:pPr>
            <w:r>
              <w:rPr>
                <w:rFonts w:ascii="Times New Roman"/>
                <w:sz w:val="21"/>
              </w:rPr>
              <w:t>28</w:t>
            </w:r>
          </w:p>
        </w:tc>
        <w:tc>
          <w:tcPr>
            <w:tcW w:w="979" w:type="dxa"/>
          </w:tcPr>
          <w:p>
            <w:pPr>
              <w:pStyle w:val="14"/>
              <w:spacing w:line="221" w:lineRule="exact"/>
              <w:ind w:left="151" w:right="145"/>
              <w:rPr>
                <w:rFonts w:ascii="Times New Roman"/>
                <w:sz w:val="21"/>
              </w:rPr>
            </w:pPr>
            <w:r>
              <w:rPr>
                <w:rFonts w:ascii="Times New Roman"/>
                <w:sz w:val="21"/>
              </w:rPr>
              <w:t>35</w:t>
            </w:r>
          </w:p>
        </w:tc>
        <w:tc>
          <w:tcPr>
            <w:tcW w:w="1134" w:type="dxa"/>
          </w:tcPr>
          <w:p>
            <w:pPr>
              <w:pStyle w:val="14"/>
              <w:spacing w:line="221" w:lineRule="exact"/>
              <w:ind w:left="63" w:right="53"/>
              <w:rPr>
                <w:rFonts w:ascii="Times New Roman"/>
                <w:sz w:val="21"/>
              </w:rPr>
            </w:pPr>
            <w:r>
              <w:rPr>
                <w:rFonts w:ascii="Times New Roman"/>
                <w:sz w:val="21"/>
              </w:rPr>
              <w:t>42</w:t>
            </w:r>
          </w:p>
        </w:tc>
        <w:tc>
          <w:tcPr>
            <w:tcW w:w="681" w:type="dxa"/>
          </w:tcPr>
          <w:p>
            <w:pPr>
              <w:pStyle w:val="14"/>
              <w:spacing w:line="221" w:lineRule="exact"/>
              <w:ind w:left="215" w:right="206"/>
              <w:rPr>
                <w:rFonts w:ascii="Times New Roman"/>
                <w:sz w:val="21"/>
              </w:rPr>
            </w:pPr>
            <w:r>
              <w:rPr>
                <w:rFonts w:ascii="Times New Roman"/>
                <w:sz w:val="21"/>
              </w:rPr>
              <w:t>49</w:t>
            </w:r>
          </w:p>
        </w:tc>
      </w:tr>
    </w:tbl>
    <w:p>
      <w:pPr>
        <w:pStyle w:val="6"/>
        <w:spacing w:before="82"/>
        <w:ind w:left="1070"/>
      </w:pPr>
      <w:r>
        <w:t>第二步，对水文资料进行整理：</w:t>
      </w:r>
    </w:p>
    <w:p>
      <w:pPr>
        <w:pStyle w:val="6"/>
        <w:spacing w:before="161"/>
        <w:ind w:left="1070"/>
      </w:pPr>
      <w:r>
        <w:t>换算毫克</w:t>
      </w:r>
      <w:r>
        <w:rPr>
          <w:rFonts w:ascii="Calibri" w:eastAsia="Calibri"/>
        </w:rPr>
        <w:t>/</w:t>
      </w:r>
      <w:r>
        <w:t>升为毫克当量</w:t>
      </w:r>
      <w:r>
        <w:rPr>
          <w:rFonts w:ascii="Calibri" w:eastAsia="Calibri"/>
        </w:rPr>
        <w:t>/</w:t>
      </w:r>
      <w:r>
        <w:t>升及毫克当量百分数</w:t>
      </w:r>
    </w:p>
    <w:p>
      <w:pPr>
        <w:pStyle w:val="6"/>
        <w:spacing w:before="160"/>
        <w:ind w:left="1070"/>
      </w:pPr>
      <w:r>
        <w:t>按照化学原理，毫克数与毫克当量数的关系如下式：</w:t>
      </w:r>
    </w:p>
    <w:p>
      <w:pPr>
        <w:pStyle w:val="6"/>
        <w:spacing w:before="88" w:line="398" w:lineRule="exact"/>
        <w:ind w:left="1056"/>
      </w:pPr>
      <w:r>
        <mc:AlternateContent>
          <mc:Choice Requires="wps">
            <w:drawing>
              <wp:anchor distT="0" distB="0" distL="114300" distR="114300" simplePos="0" relativeHeight="214333440" behindDoc="1" locked="0" layoutInCell="1" allowOverlap="1">
                <wp:simplePos x="0" y="0"/>
                <wp:positionH relativeFrom="page">
                  <wp:posOffset>2807335</wp:posOffset>
                </wp:positionH>
                <wp:positionV relativeFrom="paragraph">
                  <wp:posOffset>264795</wp:posOffset>
                </wp:positionV>
                <wp:extent cx="923290" cy="0"/>
                <wp:effectExtent l="0" t="0" r="0" b="0"/>
                <wp:wrapNone/>
                <wp:docPr id="30" name="直线 121"/>
                <wp:cNvGraphicFramePr/>
                <a:graphic xmlns:a="http://schemas.openxmlformats.org/drawingml/2006/main">
                  <a:graphicData uri="http://schemas.microsoft.com/office/word/2010/wordprocessingShape">
                    <wps:wsp>
                      <wps:cNvSpPr/>
                      <wps:spPr>
                        <a:xfrm>
                          <a:off x="0" y="0"/>
                          <a:ext cx="923290" cy="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121" o:spid="_x0000_s1026" o:spt="20" style="position:absolute;left:0pt;margin-left:221.05pt;margin-top:20.85pt;height:0pt;width:72.7pt;mso-position-horizontal-relative:page;z-index:-288983040;mso-width-relative:page;mso-height-relative:page;" filled="f" stroked="t" coordsize="21600,21600" o:gfxdata="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Hmag11QAAAAkBAAAPAAAAAAAAAAEAIAAAACIAAABkcnMv&#10;ZG93bnJldi54bWxQSwECFAAUAAAACACHTuJAJEuOT80BAACPAwAADgAAAAAAAAABACAAAAAkAQAA&#10;ZHJzL2Uyb0RvYy54bWxQSwUGAAAAAAYABgBZAQAAYwUAAAAA&#10;">
                <v:fill on="f" focussize="0,0"/>
                <v:stroke weight="0.5pt" color="#000000" joinstyle="round"/>
                <v:imagedata o:title=""/>
                <o:lock v:ext="edit" aspectratio="f"/>
              </v:line>
            </w:pict>
          </mc:Fallback>
        </mc:AlternateContent>
      </w:r>
      <w:r>
        <w:t xml:space="preserve">离子的毫克当量数 </w:t>
      </w:r>
      <w:r>
        <w:rPr>
          <w:rFonts w:ascii="Symbol" w:hAnsi="Symbol" w:eastAsia="Symbol"/>
        </w:rPr>
        <w:t></w:t>
      </w:r>
      <w:r>
        <w:rPr>
          <w:rFonts w:ascii="Times New Roman" w:hAnsi="Times New Roman" w:eastAsia="Times New Roman"/>
        </w:rPr>
        <w:t xml:space="preserve"> </w:t>
      </w:r>
      <w:r>
        <w:rPr>
          <w:position w:val="15"/>
        </w:rPr>
        <w:t>离子的毫克数</w:t>
      </w:r>
    </w:p>
    <w:p>
      <w:pPr>
        <w:pStyle w:val="6"/>
        <w:spacing w:line="248" w:lineRule="exact"/>
        <w:ind w:right="2040"/>
        <w:jc w:val="center"/>
      </w:pPr>
      <w:r>
        <w:t>离子的当量</w:t>
      </w:r>
    </w:p>
    <w:p>
      <w:pPr>
        <w:pStyle w:val="6"/>
        <w:spacing w:before="11"/>
        <w:rPr>
          <w:sz w:val="12"/>
        </w:rPr>
      </w:pPr>
    </w:p>
    <w:p>
      <w:pPr>
        <w:pStyle w:val="6"/>
        <w:spacing w:before="67"/>
        <w:ind w:left="1070"/>
      </w:pPr>
      <w:r>
        <w:t>知道了离子在水中的毫克当量数以后，则可根据下式计算其毫克当量百分</w:t>
      </w:r>
    </w:p>
    <w:p>
      <w:pPr>
        <w:pStyle w:val="6"/>
        <w:spacing w:before="160"/>
        <w:ind w:left="551"/>
      </w:pPr>
      <w:r>
        <w:t>数：</w:t>
      </w:r>
    </w:p>
    <w:p>
      <w:pPr>
        <w:pStyle w:val="6"/>
        <w:spacing w:before="3"/>
        <w:rPr>
          <w:sz w:val="12"/>
        </w:rPr>
      </w:pPr>
    </w:p>
    <w:p>
      <w:pPr>
        <w:spacing w:after="0"/>
        <w:rPr>
          <w:sz w:val="12"/>
        </w:rPr>
        <w:sectPr>
          <w:pgSz w:w="11910" w:h="16840"/>
          <w:pgMar w:top="1420" w:right="780" w:bottom="1100" w:left="1200" w:header="0" w:footer="917" w:gutter="0"/>
        </w:sectPr>
      </w:pPr>
    </w:p>
    <w:p>
      <w:pPr>
        <w:pStyle w:val="6"/>
        <w:spacing w:before="222"/>
        <w:ind w:left="1098"/>
        <w:rPr>
          <w:rFonts w:ascii="Symbol" w:hAnsi="Symbol"/>
        </w:rPr>
      </w:pPr>
      <w:r>
        <mc:AlternateContent>
          <mc:Choice Requires="wps">
            <w:drawing>
              <wp:anchor distT="0" distB="0" distL="114300" distR="114300" simplePos="0" relativeHeight="214334464" behindDoc="1" locked="0" layoutInCell="1" allowOverlap="1">
                <wp:simplePos x="0" y="0"/>
                <wp:positionH relativeFrom="page">
                  <wp:posOffset>3442335</wp:posOffset>
                </wp:positionH>
                <wp:positionV relativeFrom="paragraph">
                  <wp:posOffset>255270</wp:posOffset>
                </wp:positionV>
                <wp:extent cx="1565275" cy="0"/>
                <wp:effectExtent l="0" t="0" r="0" b="0"/>
                <wp:wrapNone/>
                <wp:docPr id="32" name="直线 122"/>
                <wp:cNvGraphicFramePr/>
                <a:graphic xmlns:a="http://schemas.openxmlformats.org/drawingml/2006/main">
                  <a:graphicData uri="http://schemas.microsoft.com/office/word/2010/wordprocessingShape">
                    <wps:wsp>
                      <wps:cNvSpPr/>
                      <wps:spPr>
                        <a:xfrm>
                          <a:off x="0" y="0"/>
                          <a:ext cx="1565275" cy="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122" o:spid="_x0000_s1026" o:spt="20" style="position:absolute;left:0pt;margin-left:271.05pt;margin-top:20.1pt;height:0pt;width:123.25pt;mso-position-horizontal-relative:page;z-index:-288982016;mso-width-relative:page;mso-height-relative:page;" filled="f" stroked="t" coordsize="21600,21600" o:gfxdata="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rTx/o1QAAAAkBAAAPAAAAAAAAAAEAIAAAACIAAABk&#10;cnMvZG93bnJldi54bWxQSwECFAAUAAAACACHTuJADHj0ptABAACQAwAADgAAAAAAAAABACAAAAAk&#10;AQAAZHJzL2Uyb0RvYy54bWxQSwUGAAAAAAYABgBZAQAAZgUAAAAA&#10;">
                <v:fill on="f" focussize="0,0"/>
                <v:stroke weight="0.5pt" color="#000000" joinstyle="round"/>
                <v:imagedata o:title=""/>
                <o:lock v:ext="edit" aspectratio="f"/>
              </v:line>
            </w:pict>
          </mc:Fallback>
        </mc:AlternateContent>
      </w:r>
      <w:r>
        <w:rPr>
          <w:w w:val="95"/>
        </w:rPr>
        <w:t>某阴离子的毫克当量百分数</w:t>
      </w:r>
      <w:r>
        <w:rPr>
          <w:rFonts w:ascii="Symbol" w:hAnsi="Symbol"/>
          <w:w w:val="95"/>
        </w:rPr>
        <w:t></w:t>
      </w:r>
    </w:p>
    <w:p>
      <w:pPr>
        <w:pStyle w:val="6"/>
        <w:spacing w:before="72" w:line="264" w:lineRule="auto"/>
        <w:ind w:left="14" w:firstLine="245"/>
      </w:pPr>
      <w:r>
        <w:br w:type="column"/>
      </w:r>
      <w:r>
        <w:t>该离子毫克当量</w:t>
      </w:r>
      <w:r>
        <w:rPr>
          <w:rFonts w:ascii="Times New Roman" w:eastAsia="Times New Roman"/>
        </w:rPr>
        <w:t>/</w:t>
      </w:r>
      <w:r>
        <w:t>升</w:t>
      </w:r>
      <w:r>
        <w:rPr>
          <w:w w:val="95"/>
        </w:rPr>
        <w:t>阴离子毫克当量总数</w:t>
      </w:r>
      <w:r>
        <w:rPr>
          <w:rFonts w:ascii="Times New Roman" w:eastAsia="Times New Roman"/>
          <w:w w:val="95"/>
        </w:rPr>
        <w:t>/</w:t>
      </w:r>
      <w:r>
        <w:rPr>
          <w:w w:val="95"/>
        </w:rPr>
        <w:t>升</w:t>
      </w:r>
    </w:p>
    <w:p>
      <w:pPr>
        <w:pStyle w:val="6"/>
        <w:spacing w:before="222"/>
        <w:rPr>
          <w:rFonts w:ascii="Times New Roman" w:hAnsi="Times New Roman"/>
        </w:rPr>
      </w:pPr>
      <w:r>
        <w:br w:type="column"/>
      </w:r>
      <w:r>
        <w:rPr>
          <w:rFonts w:ascii="Symbol" w:hAnsi="Symbol"/>
        </w:rPr>
        <w:t></w:t>
      </w:r>
      <w:r>
        <w:rPr>
          <w:rFonts w:ascii="Times New Roman" w:hAnsi="Times New Roman"/>
        </w:rPr>
        <w:t>100%</w:t>
      </w:r>
    </w:p>
    <w:p>
      <w:pPr>
        <w:spacing w:after="0"/>
        <w:rPr>
          <w:rFonts w:ascii="Times New Roman" w:hAnsi="Times New Roman"/>
        </w:rPr>
        <w:sectPr>
          <w:type w:val="continuous"/>
          <w:pgSz w:w="11910" w:h="16840"/>
          <w:pgMar w:top="1580" w:right="780" w:bottom="280" w:left="1200" w:header="720" w:footer="720" w:gutter="0"/>
          <w:cols w:equalWidth="0" w:num="3">
            <w:col w:w="4161" w:space="40"/>
            <w:col w:w="2480" w:space="39"/>
            <w:col w:w="3210"/>
          </w:cols>
        </w:sectPr>
      </w:pPr>
    </w:p>
    <w:p>
      <w:pPr>
        <w:pStyle w:val="6"/>
        <w:spacing w:before="3"/>
        <w:rPr>
          <w:rFonts w:ascii="Times New Roman"/>
          <w:sz w:val="10"/>
        </w:rPr>
      </w:pPr>
    </w:p>
    <w:p>
      <w:pPr>
        <w:pStyle w:val="6"/>
        <w:spacing w:before="74" w:line="364" w:lineRule="auto"/>
        <w:ind w:left="1070" w:right="4045"/>
        <w:jc w:val="both"/>
      </w:pPr>
      <w:r>
        <w:t>第三步，按矿化度（</w:t>
      </w:r>
      <w:r>
        <w:rPr>
          <w:rFonts w:ascii="Times New Roman" w:hAnsi="Times New Roman" w:eastAsia="Times New Roman"/>
        </w:rPr>
        <w:t>M</w:t>
      </w:r>
      <w:r>
        <w:t>）</w:t>
      </w:r>
      <w:r>
        <w:rPr>
          <w:spacing w:val="-9"/>
        </w:rPr>
        <w:t xml:space="preserve">的大小划分为 </w:t>
      </w:r>
      <w:r>
        <w:rPr>
          <w:rFonts w:ascii="Times New Roman" w:hAnsi="Times New Roman" w:eastAsia="Times New Roman"/>
        </w:rPr>
        <w:t xml:space="preserve">4 </w:t>
      </w:r>
      <w:r>
        <w:t>组。</w:t>
      </w:r>
      <w:r>
        <w:rPr>
          <w:rFonts w:ascii="Times New Roman" w:hAnsi="Times New Roman" w:eastAsia="Times New Roman"/>
        </w:rPr>
        <w:t xml:space="preserve">A </w:t>
      </w:r>
      <w:r>
        <w:t>组</w:t>
      </w:r>
      <w:r>
        <w:rPr>
          <w:rFonts w:ascii="Times New Roman" w:hAnsi="Times New Roman" w:eastAsia="Times New Roman"/>
        </w:rPr>
        <w:t>——M≤1.5g/L</w:t>
      </w:r>
      <w:r>
        <w:t>；</w:t>
      </w:r>
      <w:r>
        <w:rPr>
          <w:rFonts w:ascii="Times New Roman" w:hAnsi="Times New Roman" w:eastAsia="Times New Roman"/>
        </w:rPr>
        <w:t xml:space="preserve">B </w:t>
      </w:r>
      <w:r>
        <w:t>组</w:t>
      </w:r>
      <w:r>
        <w:rPr>
          <w:rFonts w:ascii="Times New Roman" w:hAnsi="Times New Roman" w:eastAsia="Times New Roman"/>
        </w:rPr>
        <w:t>——1.5</w:t>
      </w:r>
      <w:r>
        <w:t>＜</w:t>
      </w:r>
      <w:r>
        <w:rPr>
          <w:rFonts w:ascii="Times New Roman" w:hAnsi="Times New Roman" w:eastAsia="Times New Roman"/>
        </w:rPr>
        <w:t>M≤10g/L</w:t>
      </w:r>
      <w:r>
        <w:t xml:space="preserve">； </w:t>
      </w:r>
      <w:r>
        <w:rPr>
          <w:rFonts w:ascii="Times New Roman" w:hAnsi="Times New Roman" w:eastAsia="Times New Roman"/>
        </w:rPr>
        <w:t xml:space="preserve">C </w:t>
      </w:r>
      <w:r>
        <w:t>组</w:t>
      </w:r>
      <w:r>
        <w:rPr>
          <w:rFonts w:ascii="Times New Roman" w:hAnsi="Times New Roman" w:eastAsia="Times New Roman"/>
        </w:rPr>
        <w:t>——10</w:t>
      </w:r>
      <w:r>
        <w:t>＜</w:t>
      </w:r>
      <w:r>
        <w:rPr>
          <w:rFonts w:ascii="Times New Roman" w:hAnsi="Times New Roman" w:eastAsia="Times New Roman"/>
        </w:rPr>
        <w:t>M≤40g/L</w:t>
      </w:r>
      <w:r>
        <w:t>；</w:t>
      </w:r>
      <w:r>
        <w:rPr>
          <w:rFonts w:ascii="Times New Roman" w:hAnsi="Times New Roman" w:eastAsia="Times New Roman"/>
        </w:rPr>
        <w:t xml:space="preserve">D </w:t>
      </w:r>
      <w:r>
        <w:t>组</w:t>
      </w:r>
      <w:r>
        <w:rPr>
          <w:rFonts w:ascii="Times New Roman" w:hAnsi="Times New Roman" w:eastAsia="Times New Roman"/>
        </w:rPr>
        <w:t>——M</w:t>
      </w:r>
      <w:r>
        <w:t>＞</w:t>
      </w:r>
      <w:r>
        <w:rPr>
          <w:rFonts w:ascii="Times New Roman" w:hAnsi="Times New Roman" w:eastAsia="Times New Roman"/>
        </w:rPr>
        <w:t>40g/L</w:t>
      </w:r>
      <w:r>
        <w:t>。</w:t>
      </w:r>
    </w:p>
    <w:p>
      <w:pPr>
        <w:pStyle w:val="6"/>
        <w:spacing w:before="1"/>
        <w:ind w:left="1070"/>
      </w:pPr>
      <w:r>
        <w:t>矿化度的计算采用《用主要阴离子含量计算水的矿化度》（高仁先</w:t>
      </w:r>
      <w:r>
        <w:rPr>
          <w:rFonts w:ascii="Times New Roman" w:eastAsia="Times New Roman"/>
        </w:rPr>
        <w:t>.</w:t>
      </w:r>
      <w:r>
        <w:t>山东省水</w:t>
      </w:r>
    </w:p>
    <w:p>
      <w:pPr>
        <w:spacing w:after="0"/>
        <w:sectPr>
          <w:type w:val="continuous"/>
          <w:pgSz w:w="11910" w:h="16840"/>
          <w:pgMar w:top="1580" w:right="780" w:bottom="280" w:left="1200" w:header="720" w:footer="720" w:gutter="0"/>
        </w:sectPr>
      </w:pPr>
    </w:p>
    <w:p>
      <w:pPr>
        <w:pStyle w:val="6"/>
        <w:spacing w:before="42" w:line="362" w:lineRule="auto"/>
        <w:ind w:left="1070" w:right="5766" w:hanging="519"/>
        <w:rPr>
          <w:rFonts w:ascii="Times New Roman" w:hAnsi="Times New Roman" w:eastAsia="Times New Roman"/>
        </w:rPr>
      </w:pPr>
      <w:r>
        <w:drawing>
          <wp:anchor distT="0" distB="0" distL="0" distR="0" simplePos="0" relativeHeight="214336512" behindDoc="1" locked="0" layoutInCell="1" allowOverlap="1">
            <wp:simplePos x="0" y="0"/>
            <wp:positionH relativeFrom="page">
              <wp:posOffset>2039620</wp:posOffset>
            </wp:positionH>
            <wp:positionV relativeFrom="paragraph">
              <wp:posOffset>695960</wp:posOffset>
            </wp:positionV>
            <wp:extent cx="739775" cy="318135"/>
            <wp:effectExtent l="0" t="0" r="0" b="0"/>
            <wp:wrapNone/>
            <wp:docPr id="4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7.png"/>
                    <pic:cNvPicPr>
                      <a:picLocks noChangeAspect="1"/>
                    </pic:cNvPicPr>
                  </pic:nvPicPr>
                  <pic:blipFill>
                    <a:blip r:embed="rId62" cstate="print"/>
                    <a:stretch>
                      <a:fillRect/>
                    </a:stretch>
                  </pic:blipFill>
                  <pic:spPr>
                    <a:xfrm>
                      <a:off x="0" y="0"/>
                      <a:ext cx="739711" cy="318126"/>
                    </a:xfrm>
                    <a:prstGeom prst="rect">
                      <a:avLst/>
                    </a:prstGeom>
                  </pic:spPr>
                </pic:pic>
              </a:graphicData>
            </a:graphic>
          </wp:anchor>
        </w:drawing>
      </w:r>
      <w:r>
        <w:drawing>
          <wp:anchor distT="0" distB="0" distL="0" distR="0" simplePos="0" relativeHeight="251747328" behindDoc="0" locked="0" layoutInCell="1" allowOverlap="1">
            <wp:simplePos x="0" y="0"/>
            <wp:positionH relativeFrom="page">
              <wp:posOffset>3265805</wp:posOffset>
            </wp:positionH>
            <wp:positionV relativeFrom="paragraph">
              <wp:posOffset>715645</wp:posOffset>
            </wp:positionV>
            <wp:extent cx="782955" cy="269875"/>
            <wp:effectExtent l="0" t="0" r="0" b="0"/>
            <wp:wrapNone/>
            <wp:docPr id="5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8.png"/>
                    <pic:cNvPicPr>
                      <a:picLocks noChangeAspect="1"/>
                    </pic:cNvPicPr>
                  </pic:nvPicPr>
                  <pic:blipFill>
                    <a:blip r:embed="rId63" cstate="print"/>
                    <a:stretch>
                      <a:fillRect/>
                    </a:stretch>
                  </pic:blipFill>
                  <pic:spPr>
                    <a:xfrm>
                      <a:off x="0" y="0"/>
                      <a:ext cx="782919" cy="269925"/>
                    </a:xfrm>
                    <a:prstGeom prst="rect">
                      <a:avLst/>
                    </a:prstGeom>
                  </pic:spPr>
                </pic:pic>
              </a:graphicData>
            </a:graphic>
          </wp:anchor>
        </w:drawing>
      </w:r>
      <w:r>
        <w:t xml:space="preserve">利科学研究院），计算方法如下： </w:t>
      </w:r>
      <w:r>
        <w:rPr>
          <w:position w:val="2"/>
        </w:rPr>
        <w:t>矿化度（</w:t>
      </w:r>
      <w:r>
        <w:rPr>
          <w:rFonts w:ascii="Times New Roman" w:hAnsi="Times New Roman" w:eastAsia="Times New Roman"/>
          <w:position w:val="2"/>
        </w:rPr>
        <w:t>g/L</w:t>
      </w:r>
      <w:r>
        <w:rPr>
          <w:position w:val="2"/>
        </w:rPr>
        <w:t>）</w:t>
      </w:r>
      <w:r>
        <w:rPr>
          <w:rFonts w:ascii="Times New Roman" w:hAnsi="Times New Roman" w:eastAsia="Times New Roman"/>
          <w:position w:val="2"/>
        </w:rPr>
        <w:t>=C</w:t>
      </w:r>
      <w:r>
        <w:rPr>
          <w:position w:val="2"/>
        </w:rPr>
        <w:t>（</w:t>
      </w:r>
      <w:r>
        <w:rPr>
          <w:rFonts w:ascii="Times New Roman" w:hAnsi="Times New Roman" w:eastAsia="Times New Roman"/>
          <w:position w:val="2"/>
        </w:rPr>
        <w:t>∑A</w:t>
      </w:r>
      <w:r>
        <w:rPr>
          <w:position w:val="2"/>
        </w:rPr>
        <w:t>）</w:t>
      </w:r>
      <w:r>
        <w:rPr>
          <w:rFonts w:ascii="Times New Roman" w:hAnsi="Times New Roman" w:eastAsia="Times New Roman"/>
          <w:position w:val="2"/>
        </w:rPr>
        <w:t>×M</w:t>
      </w:r>
      <w:r>
        <w:rPr>
          <w:rFonts w:ascii="Times New Roman" w:hAnsi="Times New Roman" w:eastAsia="Times New Roman"/>
          <w:position w:val="2"/>
          <w:vertAlign w:val="subscript"/>
        </w:rPr>
        <w:t>S</w:t>
      </w:r>
    </w:p>
    <w:p>
      <w:pPr>
        <w:pStyle w:val="6"/>
        <w:spacing w:before="5"/>
        <w:rPr>
          <w:rFonts w:ascii="Times New Roman"/>
          <w:sz w:val="38"/>
        </w:rPr>
      </w:pPr>
    </w:p>
    <w:p>
      <w:pPr>
        <w:pStyle w:val="6"/>
        <w:tabs>
          <w:tab w:val="left" w:pos="3177"/>
        </w:tabs>
        <w:ind w:left="1070"/>
      </w:pPr>
      <w:r>
        <w:drawing>
          <wp:anchor distT="0" distB="0" distL="0" distR="0" simplePos="0" relativeHeight="251748352" behindDoc="0" locked="0" layoutInCell="1" allowOverlap="1">
            <wp:simplePos x="0" y="0"/>
            <wp:positionH relativeFrom="page">
              <wp:posOffset>2165350</wp:posOffset>
            </wp:positionH>
            <wp:positionV relativeFrom="paragraph">
              <wp:posOffset>381000</wp:posOffset>
            </wp:positionV>
            <wp:extent cx="1063625" cy="347345"/>
            <wp:effectExtent l="0" t="0" r="0" b="0"/>
            <wp:wrapNone/>
            <wp:docPr id="5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9.png"/>
                    <pic:cNvPicPr>
                      <a:picLocks noChangeAspect="1"/>
                    </pic:cNvPicPr>
                  </pic:nvPicPr>
                  <pic:blipFill>
                    <a:blip r:embed="rId64" cstate="print"/>
                    <a:stretch>
                      <a:fillRect/>
                    </a:stretch>
                  </pic:blipFill>
                  <pic:spPr>
                    <a:xfrm>
                      <a:off x="0" y="0"/>
                      <a:ext cx="1063647" cy="347046"/>
                    </a:xfrm>
                    <a:prstGeom prst="rect">
                      <a:avLst/>
                    </a:prstGeom>
                  </pic:spPr>
                </pic:pic>
              </a:graphicData>
            </a:graphic>
          </wp:anchor>
        </w:drawing>
      </w:r>
      <w:r>
        <w:rPr>
          <w:rFonts w:ascii="Times New Roman" w:eastAsia="Times New Roman"/>
        </w:rPr>
        <w:t>SB</w:t>
      </w:r>
      <w:r>
        <w:rPr>
          <w:rFonts w:ascii="Calibri" w:eastAsia="Calibri"/>
        </w:rPr>
        <w:t>=</w:t>
      </w:r>
      <w:r>
        <w:rPr>
          <w:rFonts w:ascii="Calibri" w:eastAsia="Calibri"/>
        </w:rPr>
        <w:tab/>
      </w:r>
      <w:r>
        <w:t>或</w:t>
      </w:r>
    </w:p>
    <w:p>
      <w:pPr>
        <w:pStyle w:val="6"/>
        <w:rPr>
          <w:sz w:val="26"/>
        </w:rPr>
      </w:pPr>
    </w:p>
    <w:p>
      <w:pPr>
        <w:pStyle w:val="6"/>
        <w:spacing w:before="2"/>
      </w:pPr>
    </w:p>
    <w:p>
      <w:pPr>
        <w:pStyle w:val="6"/>
        <w:ind w:left="1070"/>
        <w:rPr>
          <w:rFonts w:ascii="Calibri"/>
        </w:rPr>
      </w:pPr>
      <w:r>
        <w:rPr>
          <w:rFonts w:ascii="Times New Roman"/>
        </w:rPr>
        <w:t>HCB</w:t>
      </w:r>
      <w:r>
        <w:rPr>
          <w:rFonts w:ascii="Calibri"/>
        </w:rPr>
        <w:t>=</w:t>
      </w:r>
    </w:p>
    <w:p>
      <w:pPr>
        <w:pStyle w:val="6"/>
        <w:spacing w:before="190"/>
        <w:ind w:left="1070"/>
      </w:pPr>
      <w:r>
        <w:t>注：</w:t>
      </w:r>
      <w:r>
        <w:rPr>
          <w:rFonts w:ascii="Times New Roman" w:eastAsia="Times New Roman"/>
        </w:rPr>
        <w:t xml:space="preserve">Ms </w:t>
      </w:r>
      <w:r>
        <w:t xml:space="preserve">是在计算出 </w:t>
      </w:r>
      <w:r>
        <w:rPr>
          <w:rFonts w:ascii="Times New Roman" w:eastAsia="Times New Roman"/>
        </w:rPr>
        <w:t xml:space="preserve">SB </w:t>
      </w:r>
      <w:r>
        <w:t xml:space="preserve">值和 </w:t>
      </w:r>
      <w:r>
        <w:rPr>
          <w:rFonts w:ascii="Times New Roman" w:eastAsia="Times New Roman"/>
        </w:rPr>
        <w:t xml:space="preserve">HCB </w:t>
      </w:r>
      <w:r>
        <w:t>值后查下表得出。</w:t>
      </w:r>
    </w:p>
    <w:p>
      <w:pPr>
        <w:pStyle w:val="5"/>
        <w:tabs>
          <w:tab w:val="left" w:pos="1145"/>
        </w:tabs>
        <w:spacing w:before="83"/>
        <w:ind w:left="106"/>
        <w:jc w:val="center"/>
      </w:pPr>
      <w:r>
        <w:t>表</w:t>
      </w:r>
      <w:r>
        <w:rPr>
          <w:spacing w:val="-62"/>
        </w:rPr>
        <w:t xml:space="preserve"> </w:t>
      </w:r>
      <w:r>
        <w:rPr>
          <w:rFonts w:ascii="Times New Roman" w:eastAsia="Times New Roman"/>
        </w:rPr>
        <w:t>6.4-4</w:t>
      </w:r>
      <w:r>
        <w:rPr>
          <w:rFonts w:ascii="Times New Roman" w:eastAsia="Times New Roman"/>
        </w:rPr>
        <w:tab/>
      </w:r>
      <w:r>
        <w:rPr>
          <w:rFonts w:ascii="Times New Roman" w:eastAsia="Times New Roman"/>
        </w:rPr>
        <w:t>SB</w:t>
      </w:r>
      <w:r>
        <w:t>、</w:t>
      </w:r>
      <w:r>
        <w:rPr>
          <w:rFonts w:ascii="Times New Roman" w:eastAsia="Times New Roman"/>
        </w:rPr>
        <w:t>HCB</w:t>
      </w:r>
      <w:r>
        <w:t>、</w:t>
      </w:r>
      <w:r>
        <w:rPr>
          <w:rFonts w:ascii="Times New Roman" w:eastAsia="Times New Roman"/>
        </w:rPr>
        <w:t xml:space="preserve">Ms </w:t>
      </w:r>
      <w:r>
        <w:t>关系表</w:t>
      </w:r>
    </w:p>
    <w:p>
      <w:pPr>
        <w:pStyle w:val="6"/>
        <w:ind w:left="972"/>
        <w:rPr>
          <w:sz w:val="20"/>
        </w:rPr>
      </w:pPr>
      <w:r>
        <w:rPr>
          <w:sz w:val="20"/>
        </w:rPr>
        <w:drawing>
          <wp:inline distT="0" distB="0" distL="0" distR="0">
            <wp:extent cx="5318125" cy="3354070"/>
            <wp:effectExtent l="0" t="0" r="0" b="0"/>
            <wp:docPr id="5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0.jpeg"/>
                    <pic:cNvPicPr>
                      <a:picLocks noChangeAspect="1"/>
                    </pic:cNvPicPr>
                  </pic:nvPicPr>
                  <pic:blipFill>
                    <a:blip r:embed="rId65" cstate="print"/>
                    <a:stretch>
                      <a:fillRect/>
                    </a:stretch>
                  </pic:blipFill>
                  <pic:spPr>
                    <a:xfrm>
                      <a:off x="0" y="0"/>
                      <a:ext cx="5318240" cy="3354419"/>
                    </a:xfrm>
                    <a:prstGeom prst="rect">
                      <a:avLst/>
                    </a:prstGeom>
                  </pic:spPr>
                </pic:pic>
              </a:graphicData>
            </a:graphic>
          </wp:inline>
        </w:drawing>
      </w:r>
    </w:p>
    <w:p>
      <w:pPr>
        <w:pStyle w:val="6"/>
        <w:spacing w:before="233" w:line="364" w:lineRule="auto"/>
        <w:ind w:left="551" w:right="847" w:firstLine="518"/>
        <w:jc w:val="both"/>
      </w:pPr>
      <w:r>
        <w:rPr>
          <w:spacing w:val="-5"/>
        </w:rPr>
        <w:t>第四步，将地下水化学类型用阿拉伯数字</w:t>
      </w:r>
      <w:r>
        <w:rPr>
          <w:spacing w:val="-3"/>
        </w:rPr>
        <w:t>（</w:t>
      </w:r>
      <w:r>
        <w:rPr>
          <w:rFonts w:ascii="Times New Roman" w:eastAsia="Times New Roman"/>
          <w:spacing w:val="-3"/>
        </w:rPr>
        <w:t>1</w:t>
      </w:r>
      <w:r>
        <w:rPr>
          <w:spacing w:val="-3"/>
        </w:rPr>
        <w:t>～</w:t>
      </w:r>
      <w:r>
        <w:rPr>
          <w:rFonts w:ascii="Times New Roman" w:eastAsia="Times New Roman"/>
          <w:spacing w:val="-3"/>
        </w:rPr>
        <w:t>49</w:t>
      </w:r>
      <w:r>
        <w:rPr>
          <w:spacing w:val="-3"/>
        </w:rPr>
        <w:t>）</w:t>
      </w:r>
      <w:r>
        <w:rPr>
          <w:spacing w:val="-6"/>
        </w:rPr>
        <w:t>与字母</w:t>
      </w:r>
      <w:r>
        <w:t>（</w:t>
      </w:r>
      <w:r>
        <w:rPr>
          <w:rFonts w:ascii="Times New Roman" w:eastAsia="Times New Roman"/>
        </w:rPr>
        <w:t>A</w:t>
      </w:r>
      <w:r>
        <w:rPr>
          <w:spacing w:val="-17"/>
        </w:rPr>
        <w:t>、</w:t>
      </w:r>
      <w:r>
        <w:rPr>
          <w:rFonts w:ascii="Times New Roman" w:eastAsia="Times New Roman"/>
        </w:rPr>
        <w:t>B</w:t>
      </w:r>
      <w:r>
        <w:rPr>
          <w:spacing w:val="-17"/>
        </w:rPr>
        <w:t>、</w:t>
      </w:r>
      <w:r>
        <w:rPr>
          <w:rFonts w:ascii="Times New Roman" w:eastAsia="Times New Roman"/>
        </w:rPr>
        <w:t xml:space="preserve">C </w:t>
      </w:r>
      <w:r>
        <w:rPr>
          <w:spacing w:val="-30"/>
        </w:rPr>
        <w:t xml:space="preserve">或 </w:t>
      </w:r>
      <w:r>
        <w:rPr>
          <w:rFonts w:ascii="Times New Roman" w:eastAsia="Times New Roman"/>
          <w:spacing w:val="-7"/>
        </w:rPr>
        <w:t>D</w:t>
      </w:r>
      <w:r>
        <w:rPr>
          <w:spacing w:val="-7"/>
        </w:rPr>
        <w:t xml:space="preserve">） </w:t>
      </w:r>
      <w:r>
        <w:t>组合在一起的表达式表示。</w:t>
      </w:r>
    </w:p>
    <w:p>
      <w:pPr>
        <w:pStyle w:val="5"/>
        <w:numPr>
          <w:ilvl w:val="3"/>
          <w:numId w:val="59"/>
        </w:numPr>
        <w:tabs>
          <w:tab w:val="left" w:pos="1272"/>
        </w:tabs>
        <w:spacing w:before="0" w:after="0" w:line="230" w:lineRule="exact"/>
        <w:ind w:left="1272" w:right="0" w:hanging="721"/>
        <w:jc w:val="left"/>
      </w:pPr>
      <w:r>
        <w:t>水质现状评价方法及评价标准</w:t>
      </w:r>
    </w:p>
    <w:p>
      <w:pPr>
        <w:pStyle w:val="6"/>
        <w:spacing w:before="9"/>
        <w:rPr>
          <w:b/>
          <w:sz w:val="18"/>
        </w:rPr>
      </w:pPr>
    </w:p>
    <w:p>
      <w:pPr>
        <w:pStyle w:val="6"/>
        <w:ind w:left="1031"/>
      </w:pPr>
      <w:r>
        <w:rPr>
          <w:rFonts w:ascii="Times New Roman" w:eastAsia="Times New Roman"/>
        </w:rPr>
        <w:t>1</w:t>
      </w:r>
      <w:r>
        <w:t>、评价方法</w:t>
      </w:r>
    </w:p>
    <w:p>
      <w:pPr>
        <w:pStyle w:val="6"/>
        <w:spacing w:before="160" w:line="364" w:lineRule="auto"/>
        <w:ind w:left="551" w:right="904" w:firstLine="480"/>
        <w:jc w:val="both"/>
      </w:pPr>
      <w:r>
        <w:rPr>
          <w:rFonts w:ascii="Times New Roman" w:eastAsia="Times New Roman"/>
        </w:rPr>
        <w:t xml:space="preserve">GB/T14848 </w:t>
      </w:r>
      <w:r>
        <w:rPr>
          <w:spacing w:val="6"/>
        </w:rPr>
        <w:t>和有关法规及当地的环保要求是地下水环境现状评价的基本依</w:t>
      </w:r>
      <w:r>
        <w:rPr>
          <w:spacing w:val="-17"/>
        </w:rPr>
        <w:t xml:space="preserve">据。对属于 </w:t>
      </w:r>
      <w:r>
        <w:rPr>
          <w:rFonts w:ascii="Times New Roman" w:eastAsia="Times New Roman"/>
        </w:rPr>
        <w:t xml:space="preserve">GB/T14848 </w:t>
      </w:r>
      <w:r>
        <w:rPr>
          <w:spacing w:val="-4"/>
        </w:rPr>
        <w:t>水质指标的评价因子，应按其规定的水质分类标准值进行</w:t>
      </w:r>
      <w:r>
        <w:rPr>
          <w:spacing w:val="-11"/>
        </w:rPr>
        <w:t xml:space="preserve">评价；对于不属于 </w:t>
      </w:r>
      <w:r>
        <w:rPr>
          <w:rFonts w:ascii="Times New Roman" w:eastAsia="Times New Roman"/>
        </w:rPr>
        <w:t xml:space="preserve">GB/T14848 </w:t>
      </w:r>
      <w:r>
        <w:t>水质指标的评价因子，可参照国家（</w:t>
      </w:r>
      <w:r>
        <w:rPr>
          <w:spacing w:val="-1"/>
        </w:rPr>
        <w:t>行业、地方</w:t>
      </w:r>
      <w:r>
        <w:rPr>
          <w:spacing w:val="-13"/>
        </w:rPr>
        <w:t xml:space="preserve">） </w:t>
      </w:r>
      <w:r>
        <w:t>相关标准（</w:t>
      </w:r>
      <w:r>
        <w:rPr>
          <w:spacing w:val="-31"/>
        </w:rPr>
        <w:t xml:space="preserve">如 </w:t>
      </w:r>
      <w:r>
        <w:rPr>
          <w:rFonts w:ascii="Times New Roman" w:eastAsia="Times New Roman"/>
        </w:rPr>
        <w:t>GB3838</w:t>
      </w:r>
      <w:r>
        <w:t>、</w:t>
      </w:r>
      <w:r>
        <w:rPr>
          <w:rFonts w:ascii="Times New Roman" w:eastAsia="Times New Roman"/>
        </w:rPr>
        <w:t>GB5749</w:t>
      </w:r>
      <w:r>
        <w:t>、</w:t>
      </w:r>
      <w:r>
        <w:rPr>
          <w:rFonts w:ascii="Times New Roman" w:eastAsia="Times New Roman"/>
        </w:rPr>
        <w:t xml:space="preserve">DZ/T0290 </w:t>
      </w:r>
      <w:r>
        <w:t>等）进行评价。</w:t>
      </w:r>
    </w:p>
    <w:p>
      <w:pPr>
        <w:pStyle w:val="6"/>
        <w:spacing w:before="3"/>
        <w:ind w:left="551"/>
      </w:pPr>
      <w:r>
        <w:t>评价模式：</w:t>
      </w:r>
    </w:p>
    <w:p>
      <w:pPr>
        <w:pStyle w:val="13"/>
        <w:numPr>
          <w:ilvl w:val="4"/>
          <w:numId w:val="59"/>
        </w:numPr>
        <w:tabs>
          <w:tab w:val="left" w:pos="1672"/>
        </w:tabs>
        <w:spacing w:before="160" w:after="0" w:line="240" w:lineRule="auto"/>
        <w:ind w:left="1671" w:right="0" w:hanging="602"/>
        <w:jc w:val="left"/>
        <w:rPr>
          <w:sz w:val="24"/>
        </w:rPr>
      </w:pPr>
      <w:r>
        <w:rPr>
          <w:spacing w:val="-6"/>
          <w:sz w:val="24"/>
        </w:rPr>
        <w:t xml:space="preserve">地下水现状评价采用标准指数法。标准指数计算结果大于 </w:t>
      </w:r>
      <w:r>
        <w:rPr>
          <w:rFonts w:ascii="Times New Roman" w:eastAsia="Times New Roman"/>
          <w:spacing w:val="-17"/>
          <w:sz w:val="24"/>
        </w:rPr>
        <w:t>1</w:t>
      </w:r>
      <w:r>
        <w:rPr>
          <w:spacing w:val="-4"/>
          <w:sz w:val="24"/>
        </w:rPr>
        <w:t>，表明该水</w:t>
      </w:r>
    </w:p>
    <w:p>
      <w:pPr>
        <w:spacing w:after="0" w:line="240" w:lineRule="auto"/>
        <w:jc w:val="left"/>
        <w:rPr>
          <w:sz w:val="24"/>
        </w:rPr>
        <w:sectPr>
          <w:footerReference r:id="rId20" w:type="default"/>
          <w:pgSz w:w="11910" w:h="16840"/>
          <w:pgMar w:top="1460" w:right="780" w:bottom="1180" w:left="1200" w:header="0" w:footer="997" w:gutter="0"/>
          <w:pgNumType w:start="110"/>
        </w:sectPr>
      </w:pPr>
    </w:p>
    <w:p>
      <w:pPr>
        <w:pStyle w:val="6"/>
        <w:spacing w:before="42"/>
        <w:ind w:left="551"/>
      </w:pPr>
      <w:r>
        <w:t>质因子已经超标，标准指数越大，超标越严重。标准指数法计算公式如下：</w:t>
      </w:r>
    </w:p>
    <w:p>
      <w:pPr>
        <w:pStyle w:val="6"/>
        <w:spacing w:before="9"/>
        <w:rPr>
          <w:sz w:val="11"/>
        </w:rPr>
      </w:pPr>
    </w:p>
    <w:p>
      <w:pPr>
        <w:spacing w:before="59" w:line="341" w:lineRule="exact"/>
        <w:ind w:left="1088" w:right="0" w:firstLine="0"/>
        <w:jc w:val="left"/>
        <w:rPr>
          <w:i/>
          <w:sz w:val="14"/>
        </w:rPr>
      </w:pPr>
      <w:r>
        <w:rPr>
          <w:i/>
          <w:sz w:val="25"/>
        </w:rPr>
        <w:t xml:space="preserve">P </w:t>
      </w:r>
      <w:r>
        <w:rPr>
          <w:rFonts w:ascii="Symbol" w:hAnsi="Symbol"/>
          <w:sz w:val="24"/>
        </w:rPr>
        <w:t></w:t>
      </w:r>
      <w:r>
        <w:rPr>
          <w:rFonts w:ascii="Times New Roman" w:hAnsi="Times New Roman"/>
          <w:sz w:val="24"/>
        </w:rPr>
        <w:t xml:space="preserve"> </w:t>
      </w:r>
      <w:r>
        <w:rPr>
          <w:i/>
          <w:position w:val="15"/>
          <w:sz w:val="25"/>
        </w:rPr>
        <w:t>C</w:t>
      </w:r>
      <w:r>
        <w:rPr>
          <w:i/>
          <w:position w:val="9"/>
          <w:sz w:val="14"/>
        </w:rPr>
        <w:t>i</w:t>
      </w:r>
    </w:p>
    <w:p>
      <w:pPr>
        <w:pStyle w:val="6"/>
        <w:spacing w:line="20" w:lineRule="exact"/>
        <w:ind w:left="1724"/>
        <w:rPr>
          <w:sz w:val="2"/>
        </w:rPr>
      </w:pPr>
      <w:r>
        <w:rPr>
          <w:sz w:val="2"/>
        </w:rPr>
        <mc:AlternateContent>
          <mc:Choice Requires="wpg">
            <w:drawing>
              <wp:inline distT="0" distB="0" distL="114300" distR="114300">
                <wp:extent cx="219710" cy="6985"/>
                <wp:effectExtent l="0" t="0" r="0" b="0"/>
                <wp:docPr id="161" name="组合 123"/>
                <wp:cNvGraphicFramePr/>
                <a:graphic xmlns:a="http://schemas.openxmlformats.org/drawingml/2006/main">
                  <a:graphicData uri="http://schemas.microsoft.com/office/word/2010/wordprocessingGroup">
                    <wpg:wgp>
                      <wpg:cNvGrpSpPr/>
                      <wpg:grpSpPr>
                        <a:xfrm>
                          <a:off x="0" y="0"/>
                          <a:ext cx="219710" cy="6985"/>
                          <a:chOff x="0" y="0"/>
                          <a:chExt cx="346" cy="11"/>
                        </a:xfrm>
                      </wpg:grpSpPr>
                      <wps:wsp>
                        <wps:cNvPr id="160" name="直线 124"/>
                        <wps:cNvSpPr/>
                        <wps:spPr>
                          <a:xfrm>
                            <a:off x="0" y="5"/>
                            <a:ext cx="346" cy="0"/>
                          </a:xfrm>
                          <a:prstGeom prst="line">
                            <a:avLst/>
                          </a:prstGeom>
                          <a:ln w="6452" cap="flat" cmpd="sng">
                            <a:solidFill>
                              <a:srgbClr val="000000"/>
                            </a:solidFill>
                            <a:prstDash val="solid"/>
                            <a:headEnd type="none" w="med" len="med"/>
                            <a:tailEnd type="none" w="med" len="med"/>
                          </a:ln>
                        </wps:spPr>
                        <wps:bodyPr upright="1"/>
                      </wps:wsp>
                    </wpg:wgp>
                  </a:graphicData>
                </a:graphic>
              </wp:inline>
            </w:drawing>
          </mc:Choice>
          <mc:Fallback>
            <w:pict>
              <v:group id="组合 123" o:spid="_x0000_s1026" o:spt="203" style="height:0.55pt;width:17.3pt;" coordsize="346,11" o:gfxdata="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37/r3TAAAAAgEAAA8AAAAAAAAAAQAgAAAAIgAAAGRycy9kb3ducmV2LnhtbFBLAQIU&#10;ABQAAAAIAIdO4kDuUPZzMQIAALUEAAAOAAAAAAAAAAEAIAAAACIBAABkcnMvZTJvRG9jLnhtbFBL&#10;BQYAAAAABgAGAFkBAADFBQAAAAA=&#10;">
                <o:lock v:ext="edit" aspectratio="f"/>
                <v:line id="直线 124" o:spid="_x0000_s1026" o:spt="20" style="position:absolute;left:0;top:5;height:0;width:346;" filled="f" stroked="t" coordsize="21600,21600" o:gfxdata="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TVJJ7sAAADc&#10;AAAADwAAAAAAAAABACAAAAAiAAAAZHJzL2Rvd25yZXYueG1sUEsBAhQAFAAAAAgAh07iQDMvBZ47&#10;AAAAOQAAABAAAAAAAAAAAQAgAAAACgEAAGRycy9zaGFwZXhtbC54bWxQSwUGAAAAAAYABgBbAQAA&#10;tAMAAAAA&#10;">
                  <v:fill on="f" focussize="0,0"/>
                  <v:stroke weight="0.508031496062992pt" color="#000000" joinstyle="round"/>
                  <v:imagedata o:title=""/>
                  <o:lock v:ext="edit" aspectratio="f"/>
                </v:line>
                <w10:wrap type="none"/>
                <w10:anchorlock/>
              </v:group>
            </w:pict>
          </mc:Fallback>
        </mc:AlternateContent>
      </w:r>
    </w:p>
    <w:p>
      <w:pPr>
        <w:spacing w:before="0" w:line="139" w:lineRule="exact"/>
        <w:ind w:left="1211" w:right="0" w:firstLine="0"/>
        <w:jc w:val="left"/>
        <w:rPr>
          <w:i/>
          <w:sz w:val="14"/>
        </w:rPr>
      </w:pPr>
      <w:r>
        <mc:AlternateContent>
          <mc:Choice Requires="wps">
            <w:drawing>
              <wp:anchor distT="0" distB="0" distL="114300" distR="114300" simplePos="0" relativeHeight="251754496" behindDoc="0" locked="0" layoutInCell="1" allowOverlap="1">
                <wp:simplePos x="0" y="0"/>
                <wp:positionH relativeFrom="page">
                  <wp:posOffset>1849120</wp:posOffset>
                </wp:positionH>
                <wp:positionV relativeFrom="paragraph">
                  <wp:posOffset>13335</wp:posOffset>
                </wp:positionV>
                <wp:extent cx="124460" cy="151765"/>
                <wp:effectExtent l="0" t="0" r="0" b="0"/>
                <wp:wrapNone/>
                <wp:docPr id="252" name="文本框 125"/>
                <wp:cNvGraphicFramePr/>
                <a:graphic xmlns:a="http://schemas.openxmlformats.org/drawingml/2006/main">
                  <a:graphicData uri="http://schemas.microsoft.com/office/word/2010/wordprocessingShape">
                    <wps:wsp>
                      <wps:cNvSpPr txBox="1"/>
                      <wps:spPr>
                        <a:xfrm>
                          <a:off x="0" y="0"/>
                          <a:ext cx="124460" cy="151765"/>
                        </a:xfrm>
                        <a:prstGeom prst="rect">
                          <a:avLst/>
                        </a:prstGeom>
                        <a:noFill/>
                        <a:ln>
                          <a:noFill/>
                        </a:ln>
                      </wps:spPr>
                      <wps:txbx>
                        <w:txbxContent>
                          <w:p>
                            <w:pPr>
                              <w:spacing w:before="0" w:line="238" w:lineRule="exact"/>
                              <w:ind w:left="0" w:right="0" w:firstLine="0"/>
                              <w:jc w:val="left"/>
                              <w:rPr>
                                <w:i/>
                                <w:sz w:val="25"/>
                              </w:rPr>
                            </w:pPr>
                            <w:r>
                              <w:rPr>
                                <w:i/>
                                <w:w w:val="95"/>
                                <w:sz w:val="25"/>
                              </w:rPr>
                              <w:t>C</w:t>
                            </w:r>
                          </w:p>
                        </w:txbxContent>
                      </wps:txbx>
                      <wps:bodyPr lIns="0" tIns="0" rIns="0" bIns="0" upright="1"/>
                    </wps:wsp>
                  </a:graphicData>
                </a:graphic>
              </wp:anchor>
            </w:drawing>
          </mc:Choice>
          <mc:Fallback>
            <w:pict>
              <v:shape id="文本框 125" o:spid="_x0000_s1026" o:spt="202" type="#_x0000_t202" style="position:absolute;left:0pt;margin-left:145.6pt;margin-top:1.05pt;height:11.95pt;width:9.8pt;mso-position-horizontal-relative:page;z-index:251754496;mso-width-relative:page;mso-height-relative:page;" filled="f" stroked="f" coordsize="21600,21600" o:gfxdata="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K4xvHzWAAAACAEAAA8AAAAAAAAA&#10;AQAgAAAAIgAAAGRycy9kb3ducmV2LnhtbFBLAQIUABQAAAAIAIdO4kAT/DEioQEAACcDAAAOAAAA&#10;AAAAAAEAIAAAACUBAABkcnMvZTJvRG9jLnhtbFBLBQYAAAAABgAGAFkBAAA4BQAAAAA=&#10;">
                <v:fill on="f" focussize="0,0"/>
                <v:stroke on="f"/>
                <v:imagedata o:title=""/>
                <o:lock v:ext="edit" aspectratio="f"/>
                <v:textbox inset="0mm,0mm,0mm,0mm">
                  <w:txbxContent>
                    <w:p>
                      <w:pPr>
                        <w:spacing w:before="0" w:line="238" w:lineRule="exact"/>
                        <w:ind w:left="0" w:right="0" w:firstLine="0"/>
                        <w:jc w:val="left"/>
                        <w:rPr>
                          <w:i/>
                          <w:sz w:val="25"/>
                        </w:rPr>
                      </w:pPr>
                      <w:r>
                        <w:rPr>
                          <w:i/>
                          <w:w w:val="95"/>
                          <w:sz w:val="25"/>
                        </w:rPr>
                        <w:t>C</w:t>
                      </w:r>
                    </w:p>
                  </w:txbxContent>
                </v:textbox>
              </v:shape>
            </w:pict>
          </mc:Fallback>
        </mc:AlternateContent>
      </w:r>
      <w:r>
        <w:rPr>
          <w:i/>
          <w:w w:val="99"/>
          <w:sz w:val="14"/>
        </w:rPr>
        <w:t>i</w:t>
      </w:r>
    </w:p>
    <w:p>
      <w:pPr>
        <w:spacing w:before="7"/>
        <w:ind w:left="1871" w:right="0" w:firstLine="0"/>
        <w:jc w:val="left"/>
        <w:rPr>
          <w:i/>
          <w:sz w:val="14"/>
        </w:rPr>
      </w:pPr>
      <w:r>
        <w:rPr>
          <w:i/>
          <w:sz w:val="14"/>
        </w:rPr>
        <w:t>si</w:t>
      </w:r>
    </w:p>
    <w:p>
      <w:pPr>
        <w:pStyle w:val="6"/>
        <w:spacing w:before="6"/>
        <w:rPr>
          <w:i/>
          <w:sz w:val="15"/>
        </w:rPr>
      </w:pPr>
    </w:p>
    <w:p>
      <w:pPr>
        <w:pStyle w:val="6"/>
        <w:spacing w:line="362" w:lineRule="auto"/>
        <w:ind w:left="1632" w:right="3623" w:hanging="562"/>
      </w:pPr>
      <w:r>
        <w:rPr>
          <w:position w:val="2"/>
        </w:rPr>
        <w:t>式中：</w:t>
      </w:r>
      <w:r>
        <w:rPr>
          <w:rFonts w:ascii="Times New Roman" w:eastAsia="Times New Roman"/>
          <w:position w:val="2"/>
        </w:rPr>
        <w:t>P</w:t>
      </w:r>
      <w:r>
        <w:rPr>
          <w:rFonts w:ascii="Times New Roman" w:eastAsia="Times New Roman"/>
          <w:position w:val="2"/>
          <w:vertAlign w:val="subscript"/>
        </w:rPr>
        <w:t>i</w:t>
      </w:r>
      <w:r>
        <w:rPr>
          <w:position w:val="2"/>
          <w:vertAlign w:val="baseline"/>
        </w:rPr>
        <w:t xml:space="preserve">－第 </w:t>
      </w:r>
      <w:r>
        <w:rPr>
          <w:rFonts w:ascii="Times New Roman" w:eastAsia="Times New Roman"/>
          <w:position w:val="2"/>
          <w:vertAlign w:val="baseline"/>
        </w:rPr>
        <w:t xml:space="preserve">i </w:t>
      </w:r>
      <w:r>
        <w:rPr>
          <w:position w:val="2"/>
          <w:vertAlign w:val="baseline"/>
        </w:rPr>
        <w:t xml:space="preserve">个水质因子的标准指数，无量纲； </w:t>
      </w:r>
      <w:r>
        <w:rPr>
          <w:rFonts w:ascii="Times New Roman" w:eastAsia="Times New Roman"/>
          <w:position w:val="2"/>
          <w:vertAlign w:val="baseline"/>
        </w:rPr>
        <w:t>C</w:t>
      </w:r>
      <w:r>
        <w:rPr>
          <w:rFonts w:ascii="Times New Roman" w:eastAsia="Times New Roman"/>
          <w:position w:val="2"/>
          <w:vertAlign w:val="subscript"/>
        </w:rPr>
        <w:t>i</w:t>
      </w:r>
      <w:r>
        <w:rPr>
          <w:position w:val="2"/>
          <w:vertAlign w:val="baseline"/>
        </w:rPr>
        <w:t xml:space="preserve">－第 </w:t>
      </w:r>
      <w:r>
        <w:rPr>
          <w:rFonts w:ascii="Times New Roman" w:eastAsia="Times New Roman"/>
          <w:position w:val="2"/>
          <w:vertAlign w:val="baseline"/>
        </w:rPr>
        <w:t xml:space="preserve">i </w:t>
      </w:r>
      <w:r>
        <w:rPr>
          <w:position w:val="2"/>
          <w:vertAlign w:val="baseline"/>
        </w:rPr>
        <w:t>个水质因子的监测浓度值，</w:t>
      </w:r>
      <w:r>
        <w:rPr>
          <w:rFonts w:ascii="Times New Roman" w:eastAsia="Times New Roman"/>
          <w:position w:val="2"/>
          <w:vertAlign w:val="baseline"/>
        </w:rPr>
        <w:t>mg/L</w:t>
      </w:r>
      <w:r>
        <w:rPr>
          <w:position w:val="2"/>
          <w:vertAlign w:val="baseline"/>
        </w:rPr>
        <w:t xml:space="preserve">； </w:t>
      </w:r>
      <w:r>
        <w:rPr>
          <w:rFonts w:ascii="Times New Roman" w:eastAsia="Times New Roman"/>
          <w:position w:val="2"/>
          <w:vertAlign w:val="baseline"/>
        </w:rPr>
        <w:t>C</w:t>
      </w:r>
      <w:r>
        <w:rPr>
          <w:rFonts w:ascii="Times New Roman" w:eastAsia="Times New Roman"/>
          <w:position w:val="2"/>
          <w:vertAlign w:val="subscript"/>
        </w:rPr>
        <w:t>si</w:t>
      </w:r>
      <w:r>
        <w:rPr>
          <w:position w:val="2"/>
          <w:vertAlign w:val="baseline"/>
        </w:rPr>
        <w:t xml:space="preserve">－第 </w:t>
      </w:r>
      <w:r>
        <w:rPr>
          <w:rFonts w:ascii="Times New Roman" w:eastAsia="Times New Roman"/>
          <w:position w:val="2"/>
          <w:vertAlign w:val="baseline"/>
        </w:rPr>
        <w:t xml:space="preserve">i </w:t>
      </w:r>
      <w:r>
        <w:rPr>
          <w:position w:val="2"/>
          <w:vertAlign w:val="baseline"/>
        </w:rPr>
        <w:t>个水质因子的标准浓度值，</w:t>
      </w:r>
      <w:r>
        <w:rPr>
          <w:rFonts w:ascii="Times New Roman" w:eastAsia="Times New Roman"/>
          <w:position w:val="2"/>
          <w:vertAlign w:val="baseline"/>
        </w:rPr>
        <w:t>mg/L</w:t>
      </w:r>
      <w:r>
        <w:rPr>
          <w:position w:val="2"/>
          <w:vertAlign w:val="baseline"/>
        </w:rPr>
        <w:t>。</w:t>
      </w:r>
    </w:p>
    <w:p>
      <w:pPr>
        <w:pStyle w:val="13"/>
        <w:numPr>
          <w:ilvl w:val="4"/>
          <w:numId w:val="59"/>
        </w:numPr>
        <w:tabs>
          <w:tab w:val="left" w:pos="1672"/>
        </w:tabs>
        <w:spacing w:before="1" w:after="0" w:line="364" w:lineRule="auto"/>
        <w:ind w:left="551" w:right="969" w:firstLine="518"/>
        <w:jc w:val="left"/>
        <w:rPr>
          <w:sz w:val="24"/>
        </w:rPr>
      </w:pPr>
      <w:r>
        <w:drawing>
          <wp:anchor distT="0" distB="0" distL="0" distR="0" simplePos="0" relativeHeight="214340608" behindDoc="1" locked="0" layoutInCell="1" allowOverlap="1">
            <wp:simplePos x="0" y="0"/>
            <wp:positionH relativeFrom="page">
              <wp:posOffset>2068195</wp:posOffset>
            </wp:positionH>
            <wp:positionV relativeFrom="paragraph">
              <wp:posOffset>708660</wp:posOffset>
            </wp:positionV>
            <wp:extent cx="488950" cy="250825"/>
            <wp:effectExtent l="0" t="0" r="0" b="0"/>
            <wp:wrapNone/>
            <wp:docPr id="5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1.png"/>
                    <pic:cNvPicPr>
                      <a:picLocks noChangeAspect="1"/>
                    </pic:cNvPicPr>
                  </pic:nvPicPr>
                  <pic:blipFill>
                    <a:blip r:embed="rId66" cstate="print"/>
                    <a:stretch>
                      <a:fillRect/>
                    </a:stretch>
                  </pic:blipFill>
                  <pic:spPr>
                    <a:xfrm>
                      <a:off x="0" y="0"/>
                      <a:ext cx="488938" cy="250644"/>
                    </a:xfrm>
                    <a:prstGeom prst="rect">
                      <a:avLst/>
                    </a:prstGeom>
                  </pic:spPr>
                </pic:pic>
              </a:graphicData>
            </a:graphic>
          </wp:anchor>
        </w:drawing>
      </w:r>
      <w:r>
        <w:rPr>
          <w:spacing w:val="-2"/>
          <w:sz w:val="24"/>
        </w:rPr>
        <w:t>对于评价标准为区间值的水质因子</w:t>
      </w:r>
      <w:r>
        <w:rPr>
          <w:sz w:val="24"/>
        </w:rPr>
        <w:t>（</w:t>
      </w:r>
      <w:r>
        <w:rPr>
          <w:spacing w:val="-30"/>
          <w:sz w:val="24"/>
        </w:rPr>
        <w:t xml:space="preserve">如 </w:t>
      </w:r>
      <w:r>
        <w:rPr>
          <w:rFonts w:ascii="Times New Roman" w:eastAsia="Times New Roman"/>
          <w:sz w:val="24"/>
        </w:rPr>
        <w:t>pH</w:t>
      </w:r>
      <w:r>
        <w:rPr>
          <w:rFonts w:ascii="Times New Roman" w:eastAsia="Times New Roman"/>
          <w:spacing w:val="1"/>
          <w:sz w:val="24"/>
        </w:rPr>
        <w:t xml:space="preserve"> </w:t>
      </w:r>
      <w:r>
        <w:rPr>
          <w:sz w:val="24"/>
        </w:rPr>
        <w:t>值</w:t>
      </w:r>
      <w:r>
        <w:rPr>
          <w:spacing w:val="-23"/>
          <w:sz w:val="24"/>
        </w:rPr>
        <w:t>）</w:t>
      </w:r>
      <w:r>
        <w:rPr>
          <w:spacing w:val="-5"/>
          <w:sz w:val="24"/>
        </w:rPr>
        <w:t>，其标准指数计算方法如下：</w:t>
      </w:r>
    </w:p>
    <w:p>
      <w:pPr>
        <w:pStyle w:val="6"/>
        <w:spacing w:before="1"/>
        <w:rPr>
          <w:sz w:val="34"/>
        </w:rPr>
      </w:pPr>
    </w:p>
    <w:p>
      <w:pPr>
        <w:pStyle w:val="6"/>
        <w:tabs>
          <w:tab w:val="left" w:pos="3184"/>
        </w:tabs>
        <w:spacing w:before="1"/>
        <w:ind w:left="1070"/>
      </w:pPr>
      <w:r>
        <w:rPr>
          <w:rFonts w:ascii="Times New Roman" w:hAnsi="Times New Roman" w:eastAsia="Times New Roman"/>
          <w:position w:val="2"/>
        </w:rPr>
        <w:t>P</w:t>
      </w:r>
      <w:r>
        <w:rPr>
          <w:rFonts w:ascii="Times New Roman" w:hAnsi="Times New Roman" w:eastAsia="Times New Roman"/>
          <w:position w:val="2"/>
          <w:vertAlign w:val="subscript"/>
        </w:rPr>
        <w:t>pH</w:t>
      </w:r>
      <w:r>
        <w:rPr>
          <w:rFonts w:ascii="Times New Roman" w:hAnsi="Times New Roman" w:eastAsia="Times New Roman"/>
          <w:position w:val="2"/>
          <w:vertAlign w:val="baseline"/>
        </w:rPr>
        <w:t>=</w:t>
      </w:r>
      <w:r>
        <w:rPr>
          <w:rFonts w:ascii="Times New Roman" w:hAnsi="Times New Roman" w:eastAsia="Times New Roman"/>
          <w:position w:val="2"/>
          <w:vertAlign w:val="baseline"/>
        </w:rPr>
        <w:tab/>
      </w:r>
      <w:r>
        <w:rPr>
          <w:rFonts w:ascii="Times New Roman" w:hAnsi="Times New Roman" w:eastAsia="Times New Roman"/>
          <w:position w:val="2"/>
          <w:vertAlign w:val="baseline"/>
        </w:rPr>
        <w:t xml:space="preserve">pH≤7 </w:t>
      </w:r>
      <w:r>
        <w:rPr>
          <w:position w:val="2"/>
          <w:vertAlign w:val="baseline"/>
        </w:rPr>
        <w:t>时</w:t>
      </w:r>
    </w:p>
    <w:p>
      <w:pPr>
        <w:pStyle w:val="6"/>
        <w:rPr>
          <w:sz w:val="26"/>
        </w:rPr>
      </w:pPr>
    </w:p>
    <w:p>
      <w:pPr>
        <w:pStyle w:val="6"/>
        <w:spacing w:before="9"/>
        <w:rPr>
          <w:sz w:val="22"/>
        </w:rPr>
      </w:pPr>
    </w:p>
    <w:p>
      <w:pPr>
        <w:pStyle w:val="6"/>
        <w:tabs>
          <w:tab w:val="left" w:pos="3184"/>
        </w:tabs>
        <w:ind w:left="1070"/>
      </w:pPr>
      <w:r>
        <w:drawing>
          <wp:anchor distT="0" distB="0" distL="0" distR="0" simplePos="0" relativeHeight="214341632" behindDoc="1" locked="0" layoutInCell="1" allowOverlap="1">
            <wp:simplePos x="0" y="0"/>
            <wp:positionH relativeFrom="page">
              <wp:posOffset>2068195</wp:posOffset>
            </wp:positionH>
            <wp:positionV relativeFrom="paragraph">
              <wp:posOffset>-162560</wp:posOffset>
            </wp:positionV>
            <wp:extent cx="488950" cy="250825"/>
            <wp:effectExtent l="0" t="0" r="0" b="0"/>
            <wp:wrapNone/>
            <wp:docPr id="5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2.png"/>
                    <pic:cNvPicPr>
                      <a:picLocks noChangeAspect="1"/>
                    </pic:cNvPicPr>
                  </pic:nvPicPr>
                  <pic:blipFill>
                    <a:blip r:embed="rId67" cstate="print"/>
                    <a:stretch>
                      <a:fillRect/>
                    </a:stretch>
                  </pic:blipFill>
                  <pic:spPr>
                    <a:xfrm>
                      <a:off x="0" y="0"/>
                      <a:ext cx="488938" cy="250644"/>
                    </a:xfrm>
                    <a:prstGeom prst="rect">
                      <a:avLst/>
                    </a:prstGeom>
                  </pic:spPr>
                </pic:pic>
              </a:graphicData>
            </a:graphic>
          </wp:anchor>
        </w:drawing>
      </w:r>
      <w:r>
        <w:rPr>
          <w:rFonts w:ascii="Times New Roman" w:eastAsia="Times New Roman"/>
          <w:position w:val="2"/>
        </w:rPr>
        <w:t>P</w:t>
      </w:r>
      <w:r>
        <w:rPr>
          <w:rFonts w:ascii="Times New Roman" w:eastAsia="Times New Roman"/>
          <w:position w:val="2"/>
          <w:vertAlign w:val="subscript"/>
        </w:rPr>
        <w:t>pH</w:t>
      </w:r>
      <w:r>
        <w:rPr>
          <w:rFonts w:ascii="Times New Roman" w:eastAsia="Times New Roman"/>
          <w:position w:val="2"/>
          <w:vertAlign w:val="baseline"/>
        </w:rPr>
        <w:t>=</w:t>
      </w:r>
      <w:r>
        <w:rPr>
          <w:rFonts w:ascii="Times New Roman" w:eastAsia="Times New Roman"/>
          <w:position w:val="2"/>
          <w:vertAlign w:val="baseline"/>
        </w:rPr>
        <w:tab/>
      </w:r>
      <w:r>
        <w:rPr>
          <w:rFonts w:ascii="Times New Roman" w:eastAsia="Times New Roman"/>
          <w:position w:val="2"/>
          <w:vertAlign w:val="baseline"/>
        </w:rPr>
        <w:t>pH</w:t>
      </w:r>
      <w:r>
        <w:rPr>
          <w:position w:val="2"/>
          <w:vertAlign w:val="baseline"/>
        </w:rPr>
        <w:t>＞</w:t>
      </w:r>
      <w:r>
        <w:rPr>
          <w:rFonts w:ascii="Times New Roman" w:eastAsia="Times New Roman"/>
          <w:position w:val="2"/>
          <w:vertAlign w:val="baseline"/>
        </w:rPr>
        <w:t xml:space="preserve">7 </w:t>
      </w:r>
      <w:r>
        <w:rPr>
          <w:position w:val="2"/>
          <w:vertAlign w:val="baseline"/>
        </w:rPr>
        <w:t>时</w:t>
      </w:r>
    </w:p>
    <w:p>
      <w:pPr>
        <w:pStyle w:val="6"/>
        <w:spacing w:before="185"/>
        <w:ind w:left="1070"/>
      </w:pPr>
      <w:r>
        <w:rPr>
          <w:position w:val="2"/>
        </w:rPr>
        <w:t>式中：</w:t>
      </w:r>
      <w:r>
        <w:rPr>
          <w:rFonts w:ascii="Times New Roman" w:hAnsi="Times New Roman" w:eastAsia="Times New Roman"/>
          <w:position w:val="2"/>
        </w:rPr>
        <w:t>P</w:t>
      </w:r>
      <w:r>
        <w:rPr>
          <w:rFonts w:ascii="Times New Roman" w:hAnsi="Times New Roman" w:eastAsia="Times New Roman"/>
          <w:position w:val="2"/>
          <w:vertAlign w:val="subscript"/>
        </w:rPr>
        <w:t>pH</w:t>
      </w:r>
      <w:r>
        <w:rPr>
          <w:rFonts w:ascii="Times New Roman" w:hAnsi="Times New Roman" w:eastAsia="Times New Roman"/>
          <w:position w:val="2"/>
          <w:vertAlign w:val="baseline"/>
        </w:rPr>
        <w:t>—</w:t>
      </w:r>
      <w:r>
        <w:rPr>
          <w:position w:val="2"/>
          <w:vertAlign w:val="baseline"/>
        </w:rPr>
        <w:t>的标准指数，无量纲；</w:t>
      </w:r>
    </w:p>
    <w:p>
      <w:pPr>
        <w:pStyle w:val="6"/>
        <w:spacing w:before="159"/>
        <w:ind w:left="1670"/>
      </w:pPr>
      <w:r>
        <w:rPr>
          <w:rFonts w:ascii="Times New Roman" w:hAnsi="Times New Roman" w:eastAsia="Times New Roman"/>
        </w:rPr>
        <w:t xml:space="preserve">pH—pH </w:t>
      </w:r>
      <w:r>
        <w:t>监测值；</w:t>
      </w:r>
    </w:p>
    <w:p>
      <w:pPr>
        <w:pStyle w:val="6"/>
        <w:spacing w:before="3"/>
        <w:rPr>
          <w:sz w:val="28"/>
        </w:rPr>
      </w:pPr>
    </w:p>
    <w:p>
      <w:pPr>
        <w:pStyle w:val="6"/>
        <w:ind w:left="2700"/>
      </w:pPr>
      <w:r>
        <w:drawing>
          <wp:anchor distT="0" distB="0" distL="0" distR="0" simplePos="0" relativeHeight="251752448" behindDoc="0" locked="0" layoutInCell="1" allowOverlap="1">
            <wp:simplePos x="0" y="0"/>
            <wp:positionH relativeFrom="page">
              <wp:posOffset>2159000</wp:posOffset>
            </wp:positionH>
            <wp:positionV relativeFrom="paragraph">
              <wp:posOffset>-42545</wp:posOffset>
            </wp:positionV>
            <wp:extent cx="317500" cy="126365"/>
            <wp:effectExtent l="0" t="0" r="0" b="0"/>
            <wp:wrapNone/>
            <wp:docPr id="6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3.png"/>
                    <pic:cNvPicPr>
                      <a:picLocks noChangeAspect="1"/>
                    </pic:cNvPicPr>
                  </pic:nvPicPr>
                  <pic:blipFill>
                    <a:blip r:embed="rId68" cstate="print"/>
                    <a:stretch>
                      <a:fillRect/>
                    </a:stretch>
                  </pic:blipFill>
                  <pic:spPr>
                    <a:xfrm>
                      <a:off x="0" y="0"/>
                      <a:ext cx="317283" cy="126301"/>
                    </a:xfrm>
                    <a:prstGeom prst="rect">
                      <a:avLst/>
                    </a:prstGeom>
                  </pic:spPr>
                </pic:pic>
              </a:graphicData>
            </a:graphic>
          </wp:anchor>
        </w:drawing>
      </w:r>
      <w:r>
        <w:rPr>
          <w:rFonts w:ascii="Times New Roman" w:hAnsi="Times New Roman" w:eastAsia="Times New Roman"/>
        </w:rPr>
        <w:t>—</w:t>
      </w:r>
      <w:r>
        <w:rPr>
          <w:spacing w:val="-12"/>
        </w:rPr>
        <w:t xml:space="preserve">标准值中 </w:t>
      </w:r>
      <w:r>
        <w:rPr>
          <w:rFonts w:ascii="Times New Roman" w:hAnsi="Times New Roman" w:eastAsia="Times New Roman"/>
        </w:rPr>
        <w:t>pH</w:t>
      </w:r>
      <w:r>
        <w:rPr>
          <w:rFonts w:ascii="Times New Roman" w:hAnsi="Times New Roman" w:eastAsia="Times New Roman"/>
          <w:spacing w:val="-1"/>
        </w:rPr>
        <w:t xml:space="preserve"> </w:t>
      </w:r>
      <w:r>
        <w:t>的上限值；</w:t>
      </w:r>
    </w:p>
    <w:p>
      <w:pPr>
        <w:pStyle w:val="6"/>
        <w:spacing w:before="12"/>
        <w:rPr>
          <w:sz w:val="18"/>
        </w:rPr>
      </w:pPr>
    </w:p>
    <w:p>
      <w:pPr>
        <w:pStyle w:val="6"/>
        <w:spacing w:before="74"/>
        <w:ind w:left="2700"/>
      </w:pPr>
      <w:r>
        <w:drawing>
          <wp:anchor distT="0" distB="0" distL="0" distR="0" simplePos="0" relativeHeight="251753472" behindDoc="0" locked="0" layoutInCell="1" allowOverlap="1">
            <wp:simplePos x="0" y="0"/>
            <wp:positionH relativeFrom="page">
              <wp:posOffset>2159000</wp:posOffset>
            </wp:positionH>
            <wp:positionV relativeFrom="paragraph">
              <wp:posOffset>4445</wp:posOffset>
            </wp:positionV>
            <wp:extent cx="317500" cy="126365"/>
            <wp:effectExtent l="0" t="0" r="0" b="0"/>
            <wp:wrapNone/>
            <wp:docPr id="6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4.png"/>
                    <pic:cNvPicPr>
                      <a:picLocks noChangeAspect="1"/>
                    </pic:cNvPicPr>
                  </pic:nvPicPr>
                  <pic:blipFill>
                    <a:blip r:embed="rId69" cstate="print"/>
                    <a:stretch>
                      <a:fillRect/>
                    </a:stretch>
                  </pic:blipFill>
                  <pic:spPr>
                    <a:xfrm>
                      <a:off x="0" y="0"/>
                      <a:ext cx="317283" cy="126301"/>
                    </a:xfrm>
                    <a:prstGeom prst="rect">
                      <a:avLst/>
                    </a:prstGeom>
                  </pic:spPr>
                </pic:pic>
              </a:graphicData>
            </a:graphic>
          </wp:anchor>
        </w:drawing>
      </w:r>
      <w:r>
        <w:rPr>
          <w:rFonts w:ascii="Times New Roman" w:hAnsi="Times New Roman" w:eastAsia="Times New Roman"/>
        </w:rPr>
        <w:t>—</w:t>
      </w:r>
      <w:r>
        <w:rPr>
          <w:spacing w:val="-12"/>
        </w:rPr>
        <w:t xml:space="preserve">标准值中 </w:t>
      </w:r>
      <w:r>
        <w:rPr>
          <w:rFonts w:ascii="Times New Roman" w:hAnsi="Times New Roman" w:eastAsia="Times New Roman"/>
        </w:rPr>
        <w:t>pH</w:t>
      </w:r>
      <w:r>
        <w:rPr>
          <w:rFonts w:ascii="Times New Roman" w:hAnsi="Times New Roman" w:eastAsia="Times New Roman"/>
          <w:spacing w:val="-1"/>
        </w:rPr>
        <w:t xml:space="preserve"> </w:t>
      </w:r>
      <w:r>
        <w:t>的下限值。</w:t>
      </w:r>
    </w:p>
    <w:p>
      <w:pPr>
        <w:pStyle w:val="6"/>
        <w:spacing w:before="36"/>
        <w:ind w:left="1031"/>
      </w:pPr>
      <w:r>
        <w:rPr>
          <w:rFonts w:ascii="Times New Roman" w:eastAsia="Times New Roman"/>
        </w:rPr>
        <w:t>2</w:t>
      </w:r>
      <w:r>
        <w:t>、评价标准</w:t>
      </w:r>
    </w:p>
    <w:p>
      <w:pPr>
        <w:pStyle w:val="6"/>
        <w:spacing w:before="160" w:line="364" w:lineRule="auto"/>
        <w:ind w:left="551" w:right="849" w:firstLine="480"/>
      </w:pPr>
      <w:r>
        <w:rPr>
          <w:spacing w:val="-8"/>
        </w:rPr>
        <w:t>根据评价区地下水水质状况和使用功能，地下水评价执行《地下水质量标准》</w:t>
      </w:r>
      <w:r>
        <w:rPr>
          <w:rFonts w:ascii="Times New Roman" w:hAnsi="Times New Roman" w:eastAsia="Times New Roman"/>
        </w:rPr>
        <w:t>(GB/T14848-2017)</w:t>
      </w:r>
      <w:r>
        <w:t>Ⅲ类标准，Ⅲ类以人体健康基准值为依据，具体指标的评价标</w:t>
      </w:r>
      <w:r>
        <w:rPr>
          <w:spacing w:val="-15"/>
        </w:rPr>
        <w:t xml:space="preserve">准见表 </w:t>
      </w:r>
      <w:r>
        <w:rPr>
          <w:rFonts w:ascii="Times New Roman" w:hAnsi="Times New Roman" w:eastAsia="Times New Roman"/>
        </w:rPr>
        <w:t>6.4-5</w:t>
      </w:r>
      <w:r>
        <w:t>。</w:t>
      </w:r>
    </w:p>
    <w:p>
      <w:pPr>
        <w:pStyle w:val="5"/>
        <w:spacing w:before="77"/>
        <w:ind w:left="3573"/>
      </w:pPr>
      <w:r>
        <w:t xml:space="preserve">表 </w:t>
      </w:r>
      <w:r>
        <w:rPr>
          <w:rFonts w:ascii="Times New Roman" w:eastAsia="Times New Roman"/>
        </w:rPr>
        <w:t xml:space="preserve">6.4-5  </w:t>
      </w:r>
      <w:r>
        <w:t>地下水质量标准表</w:t>
      </w:r>
    </w:p>
    <w:p>
      <w:pPr>
        <w:pStyle w:val="6"/>
        <w:spacing w:before="4"/>
        <w:rPr>
          <w:b/>
          <w:sz w:val="6"/>
        </w:rPr>
      </w:pPr>
    </w:p>
    <w:tbl>
      <w:tblPr>
        <w:tblStyle w:val="10"/>
        <w:tblW w:w="0" w:type="auto"/>
        <w:tblInd w:w="4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63"/>
        <w:gridCol w:w="1218"/>
        <w:gridCol w:w="1216"/>
        <w:gridCol w:w="1224"/>
        <w:gridCol w:w="1683"/>
        <w:gridCol w:w="12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63" w:type="dxa"/>
          </w:tcPr>
          <w:p>
            <w:pPr>
              <w:pStyle w:val="14"/>
              <w:jc w:val="left"/>
              <w:rPr>
                <w:rFonts w:ascii="Times New Roman"/>
                <w:sz w:val="22"/>
              </w:rPr>
            </w:pPr>
          </w:p>
        </w:tc>
        <w:tc>
          <w:tcPr>
            <w:tcW w:w="1218" w:type="dxa"/>
          </w:tcPr>
          <w:p>
            <w:pPr>
              <w:pStyle w:val="14"/>
              <w:spacing w:before="97"/>
              <w:ind w:left="179" w:right="170"/>
              <w:rPr>
                <w:sz w:val="21"/>
              </w:rPr>
            </w:pPr>
            <w:r>
              <w:rPr>
                <w:sz w:val="21"/>
              </w:rPr>
              <w:t>Ⅰ类</w:t>
            </w:r>
          </w:p>
        </w:tc>
        <w:tc>
          <w:tcPr>
            <w:tcW w:w="1216" w:type="dxa"/>
          </w:tcPr>
          <w:p>
            <w:pPr>
              <w:pStyle w:val="14"/>
              <w:spacing w:before="97"/>
              <w:ind w:left="397"/>
              <w:jc w:val="left"/>
              <w:rPr>
                <w:sz w:val="21"/>
              </w:rPr>
            </w:pPr>
            <w:r>
              <w:rPr>
                <w:sz w:val="21"/>
              </w:rPr>
              <w:t>Ⅱ类</w:t>
            </w:r>
          </w:p>
        </w:tc>
        <w:tc>
          <w:tcPr>
            <w:tcW w:w="1224" w:type="dxa"/>
          </w:tcPr>
          <w:p>
            <w:pPr>
              <w:pStyle w:val="14"/>
              <w:spacing w:before="97"/>
              <w:ind w:left="297" w:right="288"/>
              <w:rPr>
                <w:b/>
                <w:sz w:val="21"/>
              </w:rPr>
            </w:pPr>
            <w:r>
              <w:rPr>
                <w:b/>
                <w:sz w:val="21"/>
              </w:rPr>
              <w:t>Ⅲ类</w:t>
            </w:r>
          </w:p>
        </w:tc>
        <w:tc>
          <w:tcPr>
            <w:tcW w:w="1683" w:type="dxa"/>
          </w:tcPr>
          <w:p>
            <w:pPr>
              <w:pStyle w:val="14"/>
              <w:spacing w:before="97"/>
              <w:ind w:left="399" w:right="393"/>
              <w:rPr>
                <w:sz w:val="21"/>
              </w:rPr>
            </w:pPr>
            <w:r>
              <w:rPr>
                <w:sz w:val="21"/>
              </w:rPr>
              <w:t>Ⅳ类</w:t>
            </w:r>
          </w:p>
        </w:tc>
        <w:tc>
          <w:tcPr>
            <w:tcW w:w="1218" w:type="dxa"/>
          </w:tcPr>
          <w:p>
            <w:pPr>
              <w:pStyle w:val="14"/>
              <w:spacing w:before="97"/>
              <w:ind w:left="179" w:right="170"/>
              <w:rPr>
                <w:sz w:val="21"/>
              </w:rPr>
            </w:pPr>
            <w:r>
              <w:rPr>
                <w:rFonts w:ascii="Times New Roman" w:eastAsia="Times New Roman"/>
                <w:sz w:val="21"/>
              </w:rPr>
              <w:t xml:space="preserve">V </w:t>
            </w:r>
            <w:r>
              <w:rPr>
                <w:sz w:val="21"/>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963" w:type="dxa"/>
          </w:tcPr>
          <w:p>
            <w:pPr>
              <w:pStyle w:val="14"/>
              <w:spacing w:before="176"/>
              <w:ind w:left="329" w:right="319"/>
              <w:rPr>
                <w:sz w:val="21"/>
              </w:rPr>
            </w:pPr>
            <w:r>
              <w:rPr>
                <w:rFonts w:ascii="Times New Roman" w:eastAsia="Times New Roman"/>
                <w:sz w:val="21"/>
              </w:rPr>
              <w:t xml:space="preserve">pH </w:t>
            </w:r>
            <w:r>
              <w:rPr>
                <w:sz w:val="21"/>
              </w:rPr>
              <w:t>值</w:t>
            </w:r>
          </w:p>
        </w:tc>
        <w:tc>
          <w:tcPr>
            <w:tcW w:w="3658" w:type="dxa"/>
            <w:gridSpan w:val="3"/>
          </w:tcPr>
          <w:p>
            <w:pPr>
              <w:pStyle w:val="14"/>
              <w:spacing w:before="176"/>
              <w:ind w:left="1439" w:right="1433"/>
              <w:rPr>
                <w:rFonts w:ascii="Times New Roman" w:eastAsia="Times New Roman"/>
                <w:b/>
                <w:sz w:val="21"/>
              </w:rPr>
            </w:pPr>
            <w:r>
              <w:rPr>
                <w:rFonts w:ascii="Times New Roman" w:eastAsia="Times New Roman"/>
                <w:b/>
                <w:sz w:val="21"/>
              </w:rPr>
              <w:t>6.5</w:t>
            </w:r>
            <w:r>
              <w:rPr>
                <w:b/>
                <w:sz w:val="21"/>
              </w:rPr>
              <w:t>～</w:t>
            </w:r>
            <w:r>
              <w:rPr>
                <w:rFonts w:ascii="Times New Roman" w:eastAsia="Times New Roman"/>
                <w:b/>
                <w:sz w:val="21"/>
              </w:rPr>
              <w:t>8.5</w:t>
            </w:r>
          </w:p>
        </w:tc>
        <w:tc>
          <w:tcPr>
            <w:tcW w:w="1683" w:type="dxa"/>
          </w:tcPr>
          <w:p>
            <w:pPr>
              <w:pStyle w:val="14"/>
              <w:spacing w:before="20"/>
              <w:ind w:left="472"/>
              <w:jc w:val="left"/>
              <w:rPr>
                <w:rFonts w:ascii="Times New Roman" w:eastAsia="Times New Roman"/>
                <w:sz w:val="21"/>
              </w:rPr>
            </w:pPr>
            <w:r>
              <w:rPr>
                <w:rFonts w:ascii="Times New Roman" w:eastAsia="Times New Roman"/>
                <w:sz w:val="21"/>
              </w:rPr>
              <w:t>5.5</w:t>
            </w:r>
            <w:r>
              <w:rPr>
                <w:sz w:val="21"/>
              </w:rPr>
              <w:t>～</w:t>
            </w:r>
            <w:r>
              <w:rPr>
                <w:rFonts w:ascii="Times New Roman" w:eastAsia="Times New Roman"/>
                <w:sz w:val="21"/>
              </w:rPr>
              <w:t>6.5</w:t>
            </w:r>
          </w:p>
          <w:p>
            <w:pPr>
              <w:pStyle w:val="14"/>
              <w:spacing w:before="43"/>
              <w:ind w:left="551"/>
              <w:jc w:val="left"/>
              <w:rPr>
                <w:rFonts w:ascii="Times New Roman" w:eastAsia="Times New Roman"/>
                <w:sz w:val="21"/>
              </w:rPr>
            </w:pPr>
            <w:r>
              <w:rPr>
                <w:rFonts w:ascii="Times New Roman" w:eastAsia="Times New Roman"/>
                <w:sz w:val="21"/>
              </w:rPr>
              <w:t>8.5</w:t>
            </w:r>
            <w:r>
              <w:rPr>
                <w:sz w:val="21"/>
              </w:rPr>
              <w:t>～</w:t>
            </w:r>
            <w:r>
              <w:rPr>
                <w:rFonts w:ascii="Times New Roman" w:eastAsia="Times New Roman"/>
                <w:sz w:val="21"/>
              </w:rPr>
              <w:t>9</w:t>
            </w:r>
          </w:p>
        </w:tc>
        <w:tc>
          <w:tcPr>
            <w:tcW w:w="1218" w:type="dxa"/>
          </w:tcPr>
          <w:p>
            <w:pPr>
              <w:pStyle w:val="14"/>
              <w:spacing w:before="176"/>
              <w:ind w:left="179" w:right="174"/>
              <w:rPr>
                <w:rFonts w:ascii="Times New Roman" w:eastAsia="Times New Roman"/>
                <w:sz w:val="21"/>
              </w:rPr>
            </w:pPr>
            <w:r>
              <w:rPr>
                <w:rFonts w:ascii="Times New Roman" w:eastAsia="Times New Roman"/>
                <w:sz w:val="21"/>
              </w:rPr>
              <w:t>&lt;5.5</w:t>
            </w:r>
            <w:r>
              <w:rPr>
                <w:sz w:val="21"/>
              </w:rPr>
              <w:t>，</w:t>
            </w:r>
            <w:r>
              <w:rPr>
                <w:rFonts w:ascii="Times New Roman" w:eastAsia="Times New Roman"/>
                <w:sz w:val="21"/>
              </w:rPr>
              <w:t>&gt;9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963" w:type="dxa"/>
          </w:tcPr>
          <w:p>
            <w:pPr>
              <w:pStyle w:val="14"/>
              <w:spacing w:before="19"/>
              <w:ind w:left="329" w:right="324"/>
              <w:rPr>
                <w:sz w:val="21"/>
              </w:rPr>
            </w:pPr>
            <w:r>
              <w:rPr>
                <w:sz w:val="21"/>
              </w:rPr>
              <w:t>氨氮</w:t>
            </w:r>
          </w:p>
        </w:tc>
        <w:tc>
          <w:tcPr>
            <w:tcW w:w="1218" w:type="dxa"/>
          </w:tcPr>
          <w:p>
            <w:pPr>
              <w:pStyle w:val="14"/>
              <w:spacing w:before="33"/>
              <w:ind w:left="179" w:right="174"/>
              <w:rPr>
                <w:rFonts w:ascii="Times New Roman" w:hAnsi="Times New Roman"/>
                <w:sz w:val="21"/>
              </w:rPr>
            </w:pPr>
            <w:r>
              <w:rPr>
                <w:rFonts w:ascii="Times New Roman" w:hAnsi="Times New Roman"/>
                <w:sz w:val="21"/>
              </w:rPr>
              <w:t>≤0.02</w:t>
            </w:r>
          </w:p>
        </w:tc>
        <w:tc>
          <w:tcPr>
            <w:tcW w:w="1216" w:type="dxa"/>
          </w:tcPr>
          <w:p>
            <w:pPr>
              <w:pStyle w:val="14"/>
              <w:spacing w:before="33"/>
              <w:ind w:right="356"/>
              <w:jc w:val="right"/>
              <w:rPr>
                <w:rFonts w:ascii="Times New Roman" w:hAnsi="Times New Roman"/>
                <w:sz w:val="21"/>
              </w:rPr>
            </w:pPr>
            <w:r>
              <w:rPr>
                <w:rFonts w:ascii="Times New Roman" w:hAnsi="Times New Roman"/>
                <w:w w:val="95"/>
                <w:sz w:val="21"/>
              </w:rPr>
              <w:t>≤0.10</w:t>
            </w:r>
          </w:p>
        </w:tc>
        <w:tc>
          <w:tcPr>
            <w:tcW w:w="1224" w:type="dxa"/>
          </w:tcPr>
          <w:p>
            <w:pPr>
              <w:pStyle w:val="14"/>
              <w:spacing w:before="33"/>
              <w:ind w:left="298" w:right="288"/>
              <w:rPr>
                <w:rFonts w:ascii="Times New Roman" w:hAnsi="Times New Roman"/>
                <w:b/>
                <w:sz w:val="21"/>
              </w:rPr>
            </w:pPr>
            <w:r>
              <w:rPr>
                <w:rFonts w:ascii="Times New Roman" w:hAnsi="Times New Roman"/>
                <w:b/>
                <w:sz w:val="21"/>
              </w:rPr>
              <w:t>≤0.50</w:t>
            </w:r>
          </w:p>
        </w:tc>
        <w:tc>
          <w:tcPr>
            <w:tcW w:w="1683" w:type="dxa"/>
          </w:tcPr>
          <w:p>
            <w:pPr>
              <w:pStyle w:val="14"/>
              <w:spacing w:before="33"/>
              <w:ind w:left="399" w:right="394"/>
              <w:rPr>
                <w:rFonts w:ascii="Times New Roman" w:hAnsi="Times New Roman"/>
                <w:sz w:val="21"/>
              </w:rPr>
            </w:pPr>
            <w:r>
              <w:rPr>
                <w:rFonts w:ascii="Times New Roman" w:hAnsi="Times New Roman"/>
                <w:sz w:val="21"/>
              </w:rPr>
              <w:t>≤1.5</w:t>
            </w:r>
          </w:p>
        </w:tc>
        <w:tc>
          <w:tcPr>
            <w:tcW w:w="1218" w:type="dxa"/>
          </w:tcPr>
          <w:p>
            <w:pPr>
              <w:pStyle w:val="14"/>
              <w:spacing w:before="33"/>
              <w:ind w:left="179" w:right="174"/>
              <w:rPr>
                <w:rFonts w:ascii="Times New Roman"/>
                <w:sz w:val="21"/>
              </w:rPr>
            </w:pPr>
            <w:r>
              <w:rPr>
                <w:rFonts w:ascii="Times New Roman"/>
                <w:sz w:val="21"/>
              </w:rPr>
              <w:t>&gt;1.5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963" w:type="dxa"/>
          </w:tcPr>
          <w:p>
            <w:pPr>
              <w:pStyle w:val="14"/>
              <w:spacing w:before="19"/>
              <w:ind w:left="329" w:right="322"/>
              <w:rPr>
                <w:sz w:val="21"/>
              </w:rPr>
            </w:pPr>
            <w:r>
              <w:rPr>
                <w:sz w:val="21"/>
              </w:rPr>
              <w:t>硝酸盐氮</w:t>
            </w:r>
          </w:p>
        </w:tc>
        <w:tc>
          <w:tcPr>
            <w:tcW w:w="1218" w:type="dxa"/>
          </w:tcPr>
          <w:p>
            <w:pPr>
              <w:pStyle w:val="14"/>
              <w:spacing w:before="33"/>
              <w:ind w:left="179" w:right="174"/>
              <w:rPr>
                <w:rFonts w:ascii="Times New Roman" w:hAnsi="Times New Roman"/>
                <w:sz w:val="21"/>
              </w:rPr>
            </w:pPr>
            <w:r>
              <w:rPr>
                <w:rFonts w:ascii="Times New Roman" w:hAnsi="Times New Roman"/>
                <w:sz w:val="21"/>
              </w:rPr>
              <w:t>≤2.0</w:t>
            </w:r>
          </w:p>
        </w:tc>
        <w:tc>
          <w:tcPr>
            <w:tcW w:w="1216" w:type="dxa"/>
          </w:tcPr>
          <w:p>
            <w:pPr>
              <w:pStyle w:val="14"/>
              <w:spacing w:before="33"/>
              <w:ind w:left="270" w:right="263"/>
              <w:rPr>
                <w:rFonts w:ascii="Times New Roman" w:hAnsi="Times New Roman"/>
                <w:sz w:val="21"/>
              </w:rPr>
            </w:pPr>
            <w:r>
              <w:rPr>
                <w:rFonts w:ascii="Times New Roman" w:hAnsi="Times New Roman"/>
                <w:sz w:val="21"/>
              </w:rPr>
              <w:t>≤5.0</w:t>
            </w:r>
          </w:p>
        </w:tc>
        <w:tc>
          <w:tcPr>
            <w:tcW w:w="1224" w:type="dxa"/>
          </w:tcPr>
          <w:p>
            <w:pPr>
              <w:pStyle w:val="14"/>
              <w:spacing w:before="33"/>
              <w:ind w:left="296" w:right="288"/>
              <w:rPr>
                <w:rFonts w:ascii="Times New Roman" w:hAnsi="Times New Roman"/>
                <w:b/>
                <w:sz w:val="21"/>
              </w:rPr>
            </w:pPr>
            <w:r>
              <w:rPr>
                <w:rFonts w:ascii="Times New Roman" w:hAnsi="Times New Roman"/>
                <w:b/>
                <w:sz w:val="21"/>
              </w:rPr>
              <w:t>≤20</w:t>
            </w:r>
          </w:p>
        </w:tc>
        <w:tc>
          <w:tcPr>
            <w:tcW w:w="1683" w:type="dxa"/>
          </w:tcPr>
          <w:p>
            <w:pPr>
              <w:pStyle w:val="14"/>
              <w:spacing w:before="33"/>
              <w:ind w:left="399" w:right="394"/>
              <w:rPr>
                <w:rFonts w:ascii="Times New Roman" w:hAnsi="Times New Roman"/>
                <w:sz w:val="21"/>
              </w:rPr>
            </w:pPr>
            <w:r>
              <w:rPr>
                <w:rFonts w:ascii="Times New Roman" w:hAnsi="Times New Roman"/>
                <w:sz w:val="21"/>
              </w:rPr>
              <w:t>≤30</w:t>
            </w:r>
          </w:p>
        </w:tc>
        <w:tc>
          <w:tcPr>
            <w:tcW w:w="1218" w:type="dxa"/>
          </w:tcPr>
          <w:p>
            <w:pPr>
              <w:pStyle w:val="14"/>
              <w:spacing w:before="33"/>
              <w:ind w:left="179" w:right="174"/>
              <w:rPr>
                <w:rFonts w:ascii="Times New Roman"/>
                <w:sz w:val="21"/>
              </w:rPr>
            </w:pPr>
            <w:r>
              <w:rPr>
                <w:rFonts w:ascii="Times New Roman"/>
                <w:sz w:val="21"/>
              </w:rPr>
              <w:t>&gt;30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963" w:type="dxa"/>
          </w:tcPr>
          <w:p>
            <w:pPr>
              <w:pStyle w:val="14"/>
              <w:spacing w:before="21"/>
              <w:ind w:left="329" w:right="322"/>
              <w:rPr>
                <w:sz w:val="21"/>
              </w:rPr>
            </w:pPr>
            <w:r>
              <w:rPr>
                <w:sz w:val="21"/>
              </w:rPr>
              <w:t>亚硝酸盐氮</w:t>
            </w:r>
          </w:p>
        </w:tc>
        <w:tc>
          <w:tcPr>
            <w:tcW w:w="1218" w:type="dxa"/>
          </w:tcPr>
          <w:p>
            <w:pPr>
              <w:pStyle w:val="14"/>
              <w:spacing w:before="35"/>
              <w:ind w:left="179" w:right="174"/>
              <w:rPr>
                <w:rFonts w:ascii="Times New Roman" w:hAnsi="Times New Roman"/>
                <w:sz w:val="21"/>
              </w:rPr>
            </w:pPr>
            <w:r>
              <w:rPr>
                <w:rFonts w:ascii="Times New Roman" w:hAnsi="Times New Roman"/>
                <w:sz w:val="21"/>
              </w:rPr>
              <w:t>≤0.01</w:t>
            </w:r>
          </w:p>
        </w:tc>
        <w:tc>
          <w:tcPr>
            <w:tcW w:w="1216" w:type="dxa"/>
          </w:tcPr>
          <w:p>
            <w:pPr>
              <w:pStyle w:val="14"/>
              <w:spacing w:before="35"/>
              <w:ind w:right="356"/>
              <w:jc w:val="right"/>
              <w:rPr>
                <w:rFonts w:ascii="Times New Roman" w:hAnsi="Times New Roman"/>
                <w:sz w:val="21"/>
              </w:rPr>
            </w:pPr>
            <w:r>
              <w:rPr>
                <w:rFonts w:ascii="Times New Roman" w:hAnsi="Times New Roman"/>
                <w:w w:val="95"/>
                <w:sz w:val="21"/>
              </w:rPr>
              <w:t>≤0.10</w:t>
            </w:r>
          </w:p>
        </w:tc>
        <w:tc>
          <w:tcPr>
            <w:tcW w:w="1224" w:type="dxa"/>
          </w:tcPr>
          <w:p>
            <w:pPr>
              <w:pStyle w:val="14"/>
              <w:spacing w:before="35"/>
              <w:ind w:left="298" w:right="288"/>
              <w:rPr>
                <w:rFonts w:ascii="Times New Roman" w:hAnsi="Times New Roman"/>
                <w:b/>
                <w:sz w:val="21"/>
              </w:rPr>
            </w:pPr>
            <w:r>
              <w:rPr>
                <w:rFonts w:ascii="Times New Roman" w:hAnsi="Times New Roman"/>
                <w:b/>
                <w:sz w:val="21"/>
              </w:rPr>
              <w:t>≤1.00</w:t>
            </w:r>
          </w:p>
        </w:tc>
        <w:tc>
          <w:tcPr>
            <w:tcW w:w="1683" w:type="dxa"/>
          </w:tcPr>
          <w:p>
            <w:pPr>
              <w:pStyle w:val="14"/>
              <w:spacing w:before="35"/>
              <w:ind w:left="399" w:right="392"/>
              <w:rPr>
                <w:rFonts w:ascii="Times New Roman" w:hAnsi="Times New Roman"/>
                <w:sz w:val="21"/>
              </w:rPr>
            </w:pPr>
            <w:r>
              <w:rPr>
                <w:rFonts w:ascii="Times New Roman" w:hAnsi="Times New Roman"/>
                <w:sz w:val="21"/>
              </w:rPr>
              <w:t>≤4.80</w:t>
            </w:r>
          </w:p>
        </w:tc>
        <w:tc>
          <w:tcPr>
            <w:tcW w:w="1218" w:type="dxa"/>
          </w:tcPr>
          <w:p>
            <w:pPr>
              <w:pStyle w:val="14"/>
              <w:spacing w:before="35"/>
              <w:ind w:left="179" w:right="174"/>
              <w:rPr>
                <w:rFonts w:ascii="Times New Roman"/>
                <w:sz w:val="21"/>
              </w:rPr>
            </w:pPr>
            <w:r>
              <w:rPr>
                <w:rFonts w:ascii="Times New Roman"/>
                <w:sz w:val="21"/>
              </w:rPr>
              <w:t>&gt;4.80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963" w:type="dxa"/>
          </w:tcPr>
          <w:p>
            <w:pPr>
              <w:pStyle w:val="14"/>
              <w:spacing w:before="21"/>
              <w:ind w:left="329" w:right="324"/>
              <w:rPr>
                <w:sz w:val="21"/>
              </w:rPr>
            </w:pPr>
            <w:r>
              <w:rPr>
                <w:sz w:val="21"/>
              </w:rPr>
              <w:t>挥发酚</w:t>
            </w:r>
          </w:p>
        </w:tc>
        <w:tc>
          <w:tcPr>
            <w:tcW w:w="1218" w:type="dxa"/>
          </w:tcPr>
          <w:p>
            <w:pPr>
              <w:pStyle w:val="14"/>
              <w:spacing w:before="34"/>
              <w:ind w:left="179" w:right="172"/>
              <w:rPr>
                <w:rFonts w:ascii="Times New Roman" w:hAnsi="Times New Roman"/>
                <w:sz w:val="21"/>
              </w:rPr>
            </w:pPr>
            <w:r>
              <w:rPr>
                <w:rFonts w:ascii="Times New Roman" w:hAnsi="Times New Roman"/>
                <w:sz w:val="21"/>
              </w:rPr>
              <w:t>≤0.001</w:t>
            </w:r>
          </w:p>
        </w:tc>
        <w:tc>
          <w:tcPr>
            <w:tcW w:w="1216" w:type="dxa"/>
          </w:tcPr>
          <w:p>
            <w:pPr>
              <w:pStyle w:val="14"/>
              <w:spacing w:before="34"/>
              <w:ind w:right="303"/>
              <w:jc w:val="right"/>
              <w:rPr>
                <w:rFonts w:ascii="Times New Roman" w:hAnsi="Times New Roman"/>
                <w:sz w:val="21"/>
              </w:rPr>
            </w:pPr>
            <w:r>
              <w:rPr>
                <w:rFonts w:ascii="Times New Roman" w:hAnsi="Times New Roman"/>
                <w:w w:val="95"/>
                <w:sz w:val="21"/>
              </w:rPr>
              <w:t>≤0.001</w:t>
            </w:r>
          </w:p>
        </w:tc>
        <w:tc>
          <w:tcPr>
            <w:tcW w:w="1224" w:type="dxa"/>
          </w:tcPr>
          <w:p>
            <w:pPr>
              <w:pStyle w:val="14"/>
              <w:spacing w:before="34"/>
              <w:ind w:left="298" w:right="288"/>
              <w:rPr>
                <w:rFonts w:ascii="Times New Roman" w:hAnsi="Times New Roman"/>
                <w:b/>
                <w:sz w:val="21"/>
              </w:rPr>
            </w:pPr>
            <w:r>
              <w:rPr>
                <w:rFonts w:ascii="Times New Roman" w:hAnsi="Times New Roman"/>
                <w:b/>
                <w:sz w:val="21"/>
              </w:rPr>
              <w:t>≤0.002</w:t>
            </w:r>
          </w:p>
        </w:tc>
        <w:tc>
          <w:tcPr>
            <w:tcW w:w="1683" w:type="dxa"/>
          </w:tcPr>
          <w:p>
            <w:pPr>
              <w:pStyle w:val="14"/>
              <w:spacing w:before="34"/>
              <w:ind w:left="399" w:right="392"/>
              <w:rPr>
                <w:rFonts w:ascii="Times New Roman" w:hAnsi="Times New Roman"/>
                <w:sz w:val="21"/>
              </w:rPr>
            </w:pPr>
            <w:r>
              <w:rPr>
                <w:rFonts w:ascii="Times New Roman" w:hAnsi="Times New Roman"/>
                <w:sz w:val="21"/>
              </w:rPr>
              <w:t>≤0.01</w:t>
            </w:r>
          </w:p>
        </w:tc>
        <w:tc>
          <w:tcPr>
            <w:tcW w:w="1218" w:type="dxa"/>
          </w:tcPr>
          <w:p>
            <w:pPr>
              <w:pStyle w:val="14"/>
              <w:spacing w:before="34"/>
              <w:ind w:left="179" w:right="174"/>
              <w:rPr>
                <w:rFonts w:ascii="Times New Roman"/>
                <w:sz w:val="21"/>
              </w:rPr>
            </w:pPr>
            <w:r>
              <w:rPr>
                <w:rFonts w:ascii="Times New Roman"/>
                <w:sz w:val="21"/>
              </w:rPr>
              <w:t>&gt;0.01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963" w:type="dxa"/>
          </w:tcPr>
          <w:p>
            <w:pPr>
              <w:pStyle w:val="14"/>
              <w:spacing w:before="20"/>
              <w:ind w:left="329" w:right="324"/>
              <w:rPr>
                <w:sz w:val="21"/>
              </w:rPr>
            </w:pPr>
            <w:r>
              <w:rPr>
                <w:sz w:val="21"/>
              </w:rPr>
              <w:t>氟化物</w:t>
            </w:r>
          </w:p>
        </w:tc>
        <w:tc>
          <w:tcPr>
            <w:tcW w:w="1218" w:type="dxa"/>
          </w:tcPr>
          <w:p>
            <w:pPr>
              <w:pStyle w:val="14"/>
              <w:spacing w:before="34"/>
              <w:ind w:left="179" w:right="169"/>
              <w:rPr>
                <w:rFonts w:ascii="Times New Roman" w:hAnsi="Times New Roman"/>
                <w:sz w:val="21"/>
              </w:rPr>
            </w:pPr>
            <w:r>
              <w:rPr>
                <w:rFonts w:ascii="Times New Roman" w:hAnsi="Times New Roman"/>
                <w:sz w:val="21"/>
              </w:rPr>
              <w:t>≤1.0</w:t>
            </w:r>
          </w:p>
        </w:tc>
        <w:tc>
          <w:tcPr>
            <w:tcW w:w="1216" w:type="dxa"/>
          </w:tcPr>
          <w:p>
            <w:pPr>
              <w:pStyle w:val="14"/>
              <w:spacing w:before="34"/>
              <w:ind w:left="270" w:right="263"/>
              <w:rPr>
                <w:rFonts w:ascii="Times New Roman" w:hAnsi="Times New Roman"/>
                <w:sz w:val="21"/>
              </w:rPr>
            </w:pPr>
            <w:r>
              <w:rPr>
                <w:rFonts w:ascii="Times New Roman" w:hAnsi="Times New Roman"/>
                <w:sz w:val="21"/>
              </w:rPr>
              <w:t>≤1.0</w:t>
            </w:r>
          </w:p>
        </w:tc>
        <w:tc>
          <w:tcPr>
            <w:tcW w:w="1224" w:type="dxa"/>
          </w:tcPr>
          <w:p>
            <w:pPr>
              <w:pStyle w:val="14"/>
              <w:spacing w:before="34"/>
              <w:ind w:left="296" w:right="288"/>
              <w:rPr>
                <w:rFonts w:ascii="Times New Roman" w:hAnsi="Times New Roman"/>
                <w:b/>
                <w:sz w:val="21"/>
              </w:rPr>
            </w:pPr>
            <w:r>
              <w:rPr>
                <w:rFonts w:ascii="Times New Roman" w:hAnsi="Times New Roman"/>
                <w:b/>
                <w:sz w:val="21"/>
              </w:rPr>
              <w:t>≤1.0</w:t>
            </w:r>
          </w:p>
        </w:tc>
        <w:tc>
          <w:tcPr>
            <w:tcW w:w="1683" w:type="dxa"/>
          </w:tcPr>
          <w:p>
            <w:pPr>
              <w:pStyle w:val="14"/>
              <w:spacing w:before="34"/>
              <w:ind w:left="399" w:right="394"/>
              <w:rPr>
                <w:rFonts w:ascii="Times New Roman" w:hAnsi="Times New Roman"/>
                <w:sz w:val="21"/>
              </w:rPr>
            </w:pPr>
            <w:r>
              <w:rPr>
                <w:rFonts w:ascii="Times New Roman" w:hAnsi="Times New Roman"/>
                <w:sz w:val="21"/>
              </w:rPr>
              <w:t>≤2.0</w:t>
            </w:r>
          </w:p>
        </w:tc>
        <w:tc>
          <w:tcPr>
            <w:tcW w:w="1218" w:type="dxa"/>
          </w:tcPr>
          <w:p>
            <w:pPr>
              <w:pStyle w:val="14"/>
              <w:spacing w:before="34"/>
              <w:ind w:left="179" w:right="174"/>
              <w:rPr>
                <w:rFonts w:ascii="Times New Roman"/>
                <w:sz w:val="21"/>
              </w:rPr>
            </w:pPr>
            <w:r>
              <w:rPr>
                <w:rFonts w:ascii="Times New Roman"/>
                <w:sz w:val="21"/>
              </w:rPr>
              <w:t>&gt;2.0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963" w:type="dxa"/>
          </w:tcPr>
          <w:p>
            <w:pPr>
              <w:pStyle w:val="14"/>
              <w:spacing w:before="20"/>
              <w:ind w:left="7"/>
              <w:rPr>
                <w:sz w:val="21"/>
              </w:rPr>
            </w:pPr>
            <w:r>
              <w:rPr>
                <w:w w:val="99"/>
                <w:sz w:val="21"/>
              </w:rPr>
              <w:t>钠</w:t>
            </w:r>
          </w:p>
        </w:tc>
        <w:tc>
          <w:tcPr>
            <w:tcW w:w="1218" w:type="dxa"/>
          </w:tcPr>
          <w:p>
            <w:pPr>
              <w:pStyle w:val="14"/>
              <w:spacing w:before="34"/>
              <w:ind w:left="179" w:right="174"/>
              <w:rPr>
                <w:rFonts w:ascii="Times New Roman" w:hAnsi="Times New Roman"/>
                <w:sz w:val="21"/>
              </w:rPr>
            </w:pPr>
            <w:r>
              <w:rPr>
                <w:rFonts w:ascii="Times New Roman" w:hAnsi="Times New Roman"/>
                <w:sz w:val="21"/>
              </w:rPr>
              <w:t>≤100</w:t>
            </w:r>
          </w:p>
        </w:tc>
        <w:tc>
          <w:tcPr>
            <w:tcW w:w="1216" w:type="dxa"/>
          </w:tcPr>
          <w:p>
            <w:pPr>
              <w:pStyle w:val="14"/>
              <w:spacing w:before="34"/>
              <w:ind w:left="389"/>
              <w:jc w:val="left"/>
              <w:rPr>
                <w:rFonts w:ascii="Times New Roman" w:hAnsi="Times New Roman"/>
                <w:sz w:val="21"/>
              </w:rPr>
            </w:pPr>
            <w:r>
              <w:rPr>
                <w:rFonts w:ascii="Times New Roman" w:hAnsi="Times New Roman"/>
                <w:sz w:val="21"/>
              </w:rPr>
              <w:t>≤150</w:t>
            </w:r>
          </w:p>
        </w:tc>
        <w:tc>
          <w:tcPr>
            <w:tcW w:w="1224" w:type="dxa"/>
          </w:tcPr>
          <w:p>
            <w:pPr>
              <w:pStyle w:val="14"/>
              <w:spacing w:before="34"/>
              <w:ind w:left="296" w:right="288"/>
              <w:rPr>
                <w:rFonts w:ascii="Times New Roman" w:hAnsi="Times New Roman"/>
                <w:b/>
                <w:sz w:val="21"/>
              </w:rPr>
            </w:pPr>
            <w:r>
              <w:rPr>
                <w:rFonts w:ascii="Times New Roman" w:hAnsi="Times New Roman"/>
                <w:b/>
                <w:sz w:val="21"/>
              </w:rPr>
              <w:t>≤200</w:t>
            </w:r>
          </w:p>
        </w:tc>
        <w:tc>
          <w:tcPr>
            <w:tcW w:w="1683" w:type="dxa"/>
          </w:tcPr>
          <w:p>
            <w:pPr>
              <w:pStyle w:val="14"/>
              <w:spacing w:before="34"/>
              <w:ind w:left="399" w:right="394"/>
              <w:rPr>
                <w:rFonts w:ascii="Times New Roman" w:hAnsi="Times New Roman"/>
                <w:sz w:val="21"/>
              </w:rPr>
            </w:pPr>
            <w:r>
              <w:rPr>
                <w:rFonts w:ascii="Times New Roman" w:hAnsi="Times New Roman"/>
                <w:sz w:val="21"/>
              </w:rPr>
              <w:t>≤400</w:t>
            </w:r>
          </w:p>
        </w:tc>
        <w:tc>
          <w:tcPr>
            <w:tcW w:w="1218" w:type="dxa"/>
          </w:tcPr>
          <w:p>
            <w:pPr>
              <w:pStyle w:val="14"/>
              <w:spacing w:before="34"/>
              <w:ind w:left="179" w:right="174"/>
              <w:rPr>
                <w:rFonts w:ascii="Times New Roman"/>
                <w:sz w:val="21"/>
              </w:rPr>
            </w:pPr>
            <w:r>
              <w:rPr>
                <w:rFonts w:ascii="Times New Roman"/>
                <w:sz w:val="21"/>
              </w:rPr>
              <w:t>&gt;400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963" w:type="dxa"/>
          </w:tcPr>
          <w:p>
            <w:pPr>
              <w:pStyle w:val="14"/>
              <w:spacing w:before="19"/>
              <w:ind w:left="7"/>
              <w:rPr>
                <w:sz w:val="21"/>
              </w:rPr>
            </w:pPr>
            <w:r>
              <w:rPr>
                <w:w w:val="99"/>
                <w:sz w:val="21"/>
              </w:rPr>
              <w:t>汞</w:t>
            </w:r>
          </w:p>
        </w:tc>
        <w:tc>
          <w:tcPr>
            <w:tcW w:w="1218" w:type="dxa"/>
          </w:tcPr>
          <w:p>
            <w:pPr>
              <w:pStyle w:val="14"/>
              <w:spacing w:before="33"/>
              <w:ind w:left="179" w:right="172"/>
              <w:rPr>
                <w:rFonts w:ascii="Times New Roman" w:hAnsi="Times New Roman"/>
                <w:sz w:val="21"/>
              </w:rPr>
            </w:pPr>
            <w:r>
              <w:rPr>
                <w:rFonts w:ascii="Times New Roman" w:hAnsi="Times New Roman"/>
                <w:sz w:val="21"/>
              </w:rPr>
              <w:t>≤0.0001</w:t>
            </w:r>
          </w:p>
        </w:tc>
        <w:tc>
          <w:tcPr>
            <w:tcW w:w="1216" w:type="dxa"/>
          </w:tcPr>
          <w:p>
            <w:pPr>
              <w:pStyle w:val="14"/>
              <w:spacing w:before="33"/>
              <w:ind w:right="251"/>
              <w:jc w:val="right"/>
              <w:rPr>
                <w:rFonts w:ascii="Times New Roman" w:hAnsi="Times New Roman"/>
                <w:sz w:val="21"/>
              </w:rPr>
            </w:pPr>
            <w:r>
              <w:rPr>
                <w:rFonts w:ascii="Times New Roman" w:hAnsi="Times New Roman"/>
                <w:w w:val="95"/>
                <w:sz w:val="21"/>
              </w:rPr>
              <w:t>≤0.0001</w:t>
            </w:r>
          </w:p>
        </w:tc>
        <w:tc>
          <w:tcPr>
            <w:tcW w:w="1224" w:type="dxa"/>
          </w:tcPr>
          <w:p>
            <w:pPr>
              <w:pStyle w:val="14"/>
              <w:spacing w:before="33"/>
              <w:ind w:left="298" w:right="288"/>
              <w:rPr>
                <w:rFonts w:ascii="Times New Roman" w:hAnsi="Times New Roman"/>
                <w:b/>
                <w:sz w:val="21"/>
              </w:rPr>
            </w:pPr>
            <w:r>
              <w:rPr>
                <w:rFonts w:ascii="Times New Roman" w:hAnsi="Times New Roman"/>
                <w:b/>
                <w:sz w:val="21"/>
              </w:rPr>
              <w:t>≤0.001</w:t>
            </w:r>
          </w:p>
        </w:tc>
        <w:tc>
          <w:tcPr>
            <w:tcW w:w="1683" w:type="dxa"/>
          </w:tcPr>
          <w:p>
            <w:pPr>
              <w:pStyle w:val="14"/>
              <w:spacing w:before="33"/>
              <w:ind w:left="399" w:right="392"/>
              <w:rPr>
                <w:rFonts w:ascii="Times New Roman" w:hAnsi="Times New Roman"/>
                <w:sz w:val="21"/>
              </w:rPr>
            </w:pPr>
            <w:r>
              <w:rPr>
                <w:rFonts w:ascii="Times New Roman" w:hAnsi="Times New Roman"/>
                <w:sz w:val="21"/>
              </w:rPr>
              <w:t>≤0.002</w:t>
            </w:r>
          </w:p>
        </w:tc>
        <w:tc>
          <w:tcPr>
            <w:tcW w:w="1218" w:type="dxa"/>
          </w:tcPr>
          <w:p>
            <w:pPr>
              <w:pStyle w:val="14"/>
              <w:spacing w:before="33"/>
              <w:ind w:left="179" w:right="174"/>
              <w:rPr>
                <w:rFonts w:ascii="Times New Roman"/>
                <w:sz w:val="21"/>
              </w:rPr>
            </w:pPr>
            <w:r>
              <w:rPr>
                <w:rFonts w:ascii="Times New Roman"/>
                <w:sz w:val="21"/>
              </w:rPr>
              <w:t>&gt;0.002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963" w:type="dxa"/>
          </w:tcPr>
          <w:p>
            <w:pPr>
              <w:pStyle w:val="14"/>
              <w:spacing w:before="19"/>
              <w:ind w:left="7"/>
              <w:rPr>
                <w:sz w:val="21"/>
              </w:rPr>
            </w:pPr>
            <w:r>
              <w:rPr>
                <w:w w:val="99"/>
                <w:sz w:val="21"/>
              </w:rPr>
              <w:t>砷</w:t>
            </w:r>
          </w:p>
        </w:tc>
        <w:tc>
          <w:tcPr>
            <w:tcW w:w="1218" w:type="dxa"/>
          </w:tcPr>
          <w:p>
            <w:pPr>
              <w:pStyle w:val="14"/>
              <w:spacing w:before="33"/>
              <w:ind w:left="179" w:right="172"/>
              <w:rPr>
                <w:rFonts w:ascii="Times New Roman" w:hAnsi="Times New Roman"/>
                <w:sz w:val="21"/>
              </w:rPr>
            </w:pPr>
            <w:r>
              <w:rPr>
                <w:rFonts w:ascii="Times New Roman" w:hAnsi="Times New Roman"/>
                <w:sz w:val="21"/>
              </w:rPr>
              <w:t>≤0.001</w:t>
            </w:r>
          </w:p>
        </w:tc>
        <w:tc>
          <w:tcPr>
            <w:tcW w:w="1216" w:type="dxa"/>
          </w:tcPr>
          <w:p>
            <w:pPr>
              <w:pStyle w:val="14"/>
              <w:spacing w:before="33"/>
              <w:ind w:right="303"/>
              <w:jc w:val="right"/>
              <w:rPr>
                <w:rFonts w:ascii="Times New Roman" w:hAnsi="Times New Roman"/>
                <w:sz w:val="21"/>
              </w:rPr>
            </w:pPr>
            <w:r>
              <w:rPr>
                <w:rFonts w:ascii="Times New Roman" w:hAnsi="Times New Roman"/>
                <w:w w:val="95"/>
                <w:sz w:val="21"/>
              </w:rPr>
              <w:t>≤0.001</w:t>
            </w:r>
          </w:p>
        </w:tc>
        <w:tc>
          <w:tcPr>
            <w:tcW w:w="1224" w:type="dxa"/>
          </w:tcPr>
          <w:p>
            <w:pPr>
              <w:pStyle w:val="14"/>
              <w:spacing w:before="33"/>
              <w:ind w:left="298" w:right="288"/>
              <w:rPr>
                <w:rFonts w:ascii="Times New Roman" w:hAnsi="Times New Roman"/>
                <w:b/>
                <w:sz w:val="21"/>
              </w:rPr>
            </w:pPr>
            <w:r>
              <w:rPr>
                <w:rFonts w:ascii="Times New Roman" w:hAnsi="Times New Roman"/>
                <w:b/>
                <w:sz w:val="21"/>
              </w:rPr>
              <w:t>≤0.01</w:t>
            </w:r>
          </w:p>
        </w:tc>
        <w:tc>
          <w:tcPr>
            <w:tcW w:w="1683" w:type="dxa"/>
          </w:tcPr>
          <w:p>
            <w:pPr>
              <w:pStyle w:val="14"/>
              <w:spacing w:before="33"/>
              <w:ind w:left="399" w:right="392"/>
              <w:rPr>
                <w:rFonts w:ascii="Times New Roman" w:hAnsi="Times New Roman"/>
                <w:sz w:val="21"/>
              </w:rPr>
            </w:pPr>
            <w:r>
              <w:rPr>
                <w:rFonts w:ascii="Times New Roman" w:hAnsi="Times New Roman"/>
                <w:sz w:val="21"/>
              </w:rPr>
              <w:t>≤0.05</w:t>
            </w:r>
          </w:p>
        </w:tc>
        <w:tc>
          <w:tcPr>
            <w:tcW w:w="1218" w:type="dxa"/>
          </w:tcPr>
          <w:p>
            <w:pPr>
              <w:pStyle w:val="14"/>
              <w:spacing w:before="33"/>
              <w:ind w:left="179" w:right="174"/>
              <w:rPr>
                <w:rFonts w:ascii="Times New Roman"/>
                <w:sz w:val="21"/>
              </w:rPr>
            </w:pPr>
            <w:r>
              <w:rPr>
                <w:rFonts w:ascii="Times New Roman"/>
                <w:sz w:val="21"/>
              </w:rPr>
              <w:t>&gt;0.05</w:t>
            </w:r>
          </w:p>
        </w:tc>
      </w:tr>
    </w:tbl>
    <w:p>
      <w:pPr>
        <w:spacing w:after="0"/>
        <w:rPr>
          <w:rFonts w:ascii="Times New Roman"/>
          <w:sz w:val="21"/>
        </w:rPr>
        <w:sectPr>
          <w:pgSz w:w="11910" w:h="16840"/>
          <w:pgMar w:top="1460" w:right="780" w:bottom="1180" w:left="1200" w:header="0" w:footer="997" w:gutter="0"/>
        </w:sectPr>
      </w:pPr>
    </w:p>
    <w:tbl>
      <w:tblPr>
        <w:tblStyle w:val="10"/>
        <w:tblW w:w="0" w:type="auto"/>
        <w:tblInd w:w="4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63"/>
        <w:gridCol w:w="1218"/>
        <w:gridCol w:w="1216"/>
        <w:gridCol w:w="1224"/>
        <w:gridCol w:w="1683"/>
        <w:gridCol w:w="12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63" w:type="dxa"/>
          </w:tcPr>
          <w:p>
            <w:pPr>
              <w:pStyle w:val="14"/>
              <w:jc w:val="left"/>
              <w:rPr>
                <w:rFonts w:ascii="Times New Roman"/>
                <w:sz w:val="20"/>
              </w:rPr>
            </w:pPr>
          </w:p>
        </w:tc>
        <w:tc>
          <w:tcPr>
            <w:tcW w:w="1218" w:type="dxa"/>
          </w:tcPr>
          <w:p>
            <w:pPr>
              <w:pStyle w:val="14"/>
              <w:spacing w:before="98"/>
              <w:ind w:left="179" w:right="170"/>
              <w:rPr>
                <w:sz w:val="21"/>
              </w:rPr>
            </w:pPr>
            <w:r>
              <w:rPr>
                <w:sz w:val="21"/>
              </w:rPr>
              <w:t>Ⅰ类</w:t>
            </w:r>
          </w:p>
        </w:tc>
        <w:tc>
          <w:tcPr>
            <w:tcW w:w="1216" w:type="dxa"/>
          </w:tcPr>
          <w:p>
            <w:pPr>
              <w:pStyle w:val="14"/>
              <w:spacing w:before="98"/>
              <w:ind w:left="271" w:right="263"/>
              <w:rPr>
                <w:sz w:val="21"/>
              </w:rPr>
            </w:pPr>
            <w:r>
              <w:rPr>
                <w:sz w:val="21"/>
              </w:rPr>
              <w:t>Ⅱ类</w:t>
            </w:r>
          </w:p>
        </w:tc>
        <w:tc>
          <w:tcPr>
            <w:tcW w:w="1224" w:type="dxa"/>
          </w:tcPr>
          <w:p>
            <w:pPr>
              <w:pStyle w:val="14"/>
              <w:spacing w:before="98"/>
              <w:ind w:left="297" w:right="288"/>
              <w:rPr>
                <w:b/>
                <w:sz w:val="21"/>
              </w:rPr>
            </w:pPr>
            <w:r>
              <w:rPr>
                <w:b/>
                <w:sz w:val="21"/>
              </w:rPr>
              <w:t>Ⅲ类</w:t>
            </w:r>
          </w:p>
        </w:tc>
        <w:tc>
          <w:tcPr>
            <w:tcW w:w="1683" w:type="dxa"/>
          </w:tcPr>
          <w:p>
            <w:pPr>
              <w:pStyle w:val="14"/>
              <w:spacing w:before="98"/>
              <w:ind w:left="630"/>
              <w:jc w:val="left"/>
              <w:rPr>
                <w:sz w:val="21"/>
              </w:rPr>
            </w:pPr>
            <w:r>
              <w:rPr>
                <w:sz w:val="21"/>
              </w:rPr>
              <w:t>Ⅳ类</w:t>
            </w:r>
          </w:p>
        </w:tc>
        <w:tc>
          <w:tcPr>
            <w:tcW w:w="1218" w:type="dxa"/>
          </w:tcPr>
          <w:p>
            <w:pPr>
              <w:pStyle w:val="14"/>
              <w:spacing w:before="98"/>
              <w:ind w:left="179" w:right="170"/>
              <w:rPr>
                <w:sz w:val="21"/>
              </w:rPr>
            </w:pPr>
            <w:r>
              <w:rPr>
                <w:rFonts w:ascii="Times New Roman" w:eastAsia="Times New Roman"/>
                <w:sz w:val="21"/>
              </w:rPr>
              <w:t xml:space="preserve">V </w:t>
            </w:r>
            <w:r>
              <w:rPr>
                <w:sz w:val="21"/>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963" w:type="dxa"/>
          </w:tcPr>
          <w:p>
            <w:pPr>
              <w:pStyle w:val="14"/>
              <w:spacing w:before="21"/>
              <w:ind w:left="7"/>
              <w:rPr>
                <w:sz w:val="21"/>
              </w:rPr>
            </w:pPr>
            <w:r>
              <w:rPr>
                <w:w w:val="99"/>
                <w:sz w:val="21"/>
              </w:rPr>
              <w:t>铁</w:t>
            </w:r>
          </w:p>
        </w:tc>
        <w:tc>
          <w:tcPr>
            <w:tcW w:w="1218" w:type="dxa"/>
          </w:tcPr>
          <w:p>
            <w:pPr>
              <w:pStyle w:val="14"/>
              <w:spacing w:before="34"/>
              <w:ind w:left="179" w:right="174"/>
              <w:rPr>
                <w:rFonts w:ascii="Times New Roman" w:hAnsi="Times New Roman"/>
                <w:sz w:val="21"/>
              </w:rPr>
            </w:pPr>
            <w:r>
              <w:rPr>
                <w:rFonts w:ascii="Times New Roman" w:hAnsi="Times New Roman"/>
                <w:sz w:val="21"/>
              </w:rPr>
              <w:t>≤0.1</w:t>
            </w:r>
          </w:p>
        </w:tc>
        <w:tc>
          <w:tcPr>
            <w:tcW w:w="1216" w:type="dxa"/>
          </w:tcPr>
          <w:p>
            <w:pPr>
              <w:pStyle w:val="14"/>
              <w:spacing w:before="34"/>
              <w:ind w:left="270" w:right="263"/>
              <w:rPr>
                <w:rFonts w:ascii="Times New Roman" w:hAnsi="Times New Roman"/>
                <w:sz w:val="21"/>
              </w:rPr>
            </w:pPr>
            <w:r>
              <w:rPr>
                <w:rFonts w:ascii="Times New Roman" w:hAnsi="Times New Roman"/>
                <w:sz w:val="21"/>
              </w:rPr>
              <w:t>≤0.2</w:t>
            </w:r>
          </w:p>
        </w:tc>
        <w:tc>
          <w:tcPr>
            <w:tcW w:w="1224" w:type="dxa"/>
          </w:tcPr>
          <w:p>
            <w:pPr>
              <w:pStyle w:val="14"/>
              <w:spacing w:before="34"/>
              <w:ind w:left="296" w:right="288"/>
              <w:rPr>
                <w:rFonts w:ascii="Times New Roman" w:hAnsi="Times New Roman"/>
                <w:b/>
                <w:sz w:val="21"/>
              </w:rPr>
            </w:pPr>
            <w:r>
              <w:rPr>
                <w:rFonts w:ascii="Times New Roman" w:hAnsi="Times New Roman"/>
                <w:b/>
                <w:sz w:val="21"/>
              </w:rPr>
              <w:t>≤0.3</w:t>
            </w:r>
          </w:p>
        </w:tc>
        <w:tc>
          <w:tcPr>
            <w:tcW w:w="1683" w:type="dxa"/>
          </w:tcPr>
          <w:p>
            <w:pPr>
              <w:pStyle w:val="14"/>
              <w:spacing w:before="34"/>
              <w:ind w:left="649"/>
              <w:jc w:val="left"/>
              <w:rPr>
                <w:rFonts w:ascii="Times New Roman" w:hAnsi="Times New Roman"/>
                <w:sz w:val="21"/>
              </w:rPr>
            </w:pPr>
            <w:r>
              <w:rPr>
                <w:rFonts w:ascii="Times New Roman" w:hAnsi="Times New Roman"/>
                <w:sz w:val="21"/>
              </w:rPr>
              <w:t>≤2.0</w:t>
            </w:r>
          </w:p>
        </w:tc>
        <w:tc>
          <w:tcPr>
            <w:tcW w:w="1218" w:type="dxa"/>
          </w:tcPr>
          <w:p>
            <w:pPr>
              <w:pStyle w:val="14"/>
              <w:spacing w:before="34"/>
              <w:ind w:left="179" w:right="174"/>
              <w:rPr>
                <w:rFonts w:ascii="Times New Roman"/>
                <w:sz w:val="21"/>
              </w:rPr>
            </w:pPr>
            <w:r>
              <w:rPr>
                <w:rFonts w:ascii="Times New Roman"/>
                <w:sz w:val="21"/>
              </w:rPr>
              <w:t>&gt;2.0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963" w:type="dxa"/>
          </w:tcPr>
          <w:p>
            <w:pPr>
              <w:pStyle w:val="14"/>
              <w:spacing w:before="20"/>
              <w:ind w:left="7"/>
              <w:rPr>
                <w:sz w:val="21"/>
              </w:rPr>
            </w:pPr>
            <w:r>
              <w:rPr>
                <w:w w:val="99"/>
                <w:sz w:val="21"/>
              </w:rPr>
              <w:t>锰</w:t>
            </w:r>
          </w:p>
        </w:tc>
        <w:tc>
          <w:tcPr>
            <w:tcW w:w="1218" w:type="dxa"/>
          </w:tcPr>
          <w:p>
            <w:pPr>
              <w:pStyle w:val="14"/>
              <w:spacing w:before="34"/>
              <w:ind w:left="179" w:right="174"/>
              <w:rPr>
                <w:rFonts w:ascii="Times New Roman" w:hAnsi="Times New Roman"/>
                <w:sz w:val="21"/>
              </w:rPr>
            </w:pPr>
            <w:r>
              <w:rPr>
                <w:rFonts w:ascii="Times New Roman" w:hAnsi="Times New Roman"/>
                <w:sz w:val="21"/>
              </w:rPr>
              <w:t>≤0.05</w:t>
            </w:r>
          </w:p>
        </w:tc>
        <w:tc>
          <w:tcPr>
            <w:tcW w:w="1216" w:type="dxa"/>
          </w:tcPr>
          <w:p>
            <w:pPr>
              <w:pStyle w:val="14"/>
              <w:spacing w:before="34"/>
              <w:ind w:left="267" w:right="263"/>
              <w:rPr>
                <w:rFonts w:ascii="Times New Roman" w:hAnsi="Times New Roman"/>
                <w:sz w:val="21"/>
              </w:rPr>
            </w:pPr>
            <w:r>
              <w:rPr>
                <w:rFonts w:ascii="Times New Roman" w:hAnsi="Times New Roman"/>
                <w:sz w:val="21"/>
              </w:rPr>
              <w:t>≤0.05</w:t>
            </w:r>
          </w:p>
        </w:tc>
        <w:tc>
          <w:tcPr>
            <w:tcW w:w="1224" w:type="dxa"/>
          </w:tcPr>
          <w:p>
            <w:pPr>
              <w:pStyle w:val="14"/>
              <w:spacing w:before="34"/>
              <w:ind w:left="298" w:right="288"/>
              <w:rPr>
                <w:rFonts w:ascii="Times New Roman" w:hAnsi="Times New Roman"/>
                <w:b/>
                <w:sz w:val="21"/>
              </w:rPr>
            </w:pPr>
            <w:r>
              <w:rPr>
                <w:rFonts w:ascii="Times New Roman" w:hAnsi="Times New Roman"/>
                <w:b/>
                <w:sz w:val="21"/>
              </w:rPr>
              <w:t>≤0.10</w:t>
            </w:r>
          </w:p>
        </w:tc>
        <w:tc>
          <w:tcPr>
            <w:tcW w:w="1683" w:type="dxa"/>
          </w:tcPr>
          <w:p>
            <w:pPr>
              <w:pStyle w:val="14"/>
              <w:spacing w:before="34"/>
              <w:ind w:left="599"/>
              <w:jc w:val="left"/>
              <w:rPr>
                <w:rFonts w:ascii="Times New Roman" w:hAnsi="Times New Roman"/>
                <w:sz w:val="21"/>
              </w:rPr>
            </w:pPr>
            <w:r>
              <w:rPr>
                <w:rFonts w:ascii="Times New Roman" w:hAnsi="Times New Roman"/>
                <w:sz w:val="21"/>
              </w:rPr>
              <w:t>≤1.50</w:t>
            </w:r>
          </w:p>
        </w:tc>
        <w:tc>
          <w:tcPr>
            <w:tcW w:w="1218" w:type="dxa"/>
          </w:tcPr>
          <w:p>
            <w:pPr>
              <w:pStyle w:val="14"/>
              <w:spacing w:before="34"/>
              <w:ind w:left="179" w:right="174"/>
              <w:rPr>
                <w:rFonts w:ascii="Times New Roman"/>
                <w:sz w:val="21"/>
              </w:rPr>
            </w:pPr>
            <w:r>
              <w:rPr>
                <w:rFonts w:ascii="Times New Roman"/>
                <w:sz w:val="21"/>
              </w:rPr>
              <w:t>&gt;1.50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963" w:type="dxa"/>
          </w:tcPr>
          <w:p>
            <w:pPr>
              <w:pStyle w:val="14"/>
              <w:spacing w:before="20"/>
              <w:ind w:left="7"/>
              <w:rPr>
                <w:sz w:val="21"/>
              </w:rPr>
            </w:pPr>
            <w:r>
              <w:rPr>
                <w:w w:val="99"/>
                <w:sz w:val="21"/>
              </w:rPr>
              <w:t>铅</w:t>
            </w:r>
          </w:p>
        </w:tc>
        <w:tc>
          <w:tcPr>
            <w:tcW w:w="1218" w:type="dxa"/>
          </w:tcPr>
          <w:p>
            <w:pPr>
              <w:pStyle w:val="14"/>
              <w:spacing w:before="34"/>
              <w:ind w:left="179" w:right="172"/>
              <w:rPr>
                <w:rFonts w:ascii="Times New Roman" w:hAnsi="Times New Roman"/>
                <w:sz w:val="21"/>
              </w:rPr>
            </w:pPr>
            <w:r>
              <w:rPr>
                <w:rFonts w:ascii="Times New Roman" w:hAnsi="Times New Roman"/>
                <w:sz w:val="21"/>
              </w:rPr>
              <w:t>≤0.005</w:t>
            </w:r>
          </w:p>
        </w:tc>
        <w:tc>
          <w:tcPr>
            <w:tcW w:w="1216" w:type="dxa"/>
          </w:tcPr>
          <w:p>
            <w:pPr>
              <w:pStyle w:val="14"/>
              <w:spacing w:before="34"/>
              <w:ind w:left="270" w:right="263"/>
              <w:rPr>
                <w:rFonts w:ascii="Times New Roman" w:hAnsi="Times New Roman"/>
                <w:sz w:val="21"/>
              </w:rPr>
            </w:pPr>
            <w:r>
              <w:rPr>
                <w:rFonts w:ascii="Times New Roman" w:hAnsi="Times New Roman"/>
                <w:sz w:val="21"/>
              </w:rPr>
              <w:t>≤0.005</w:t>
            </w:r>
          </w:p>
        </w:tc>
        <w:tc>
          <w:tcPr>
            <w:tcW w:w="1224" w:type="dxa"/>
          </w:tcPr>
          <w:p>
            <w:pPr>
              <w:pStyle w:val="14"/>
              <w:spacing w:before="34"/>
              <w:ind w:left="298" w:right="288"/>
              <w:rPr>
                <w:rFonts w:ascii="Times New Roman" w:hAnsi="Times New Roman"/>
                <w:b/>
                <w:sz w:val="21"/>
              </w:rPr>
            </w:pPr>
            <w:r>
              <w:rPr>
                <w:rFonts w:ascii="Times New Roman" w:hAnsi="Times New Roman"/>
                <w:b/>
                <w:sz w:val="21"/>
              </w:rPr>
              <w:t>≤0.01</w:t>
            </w:r>
          </w:p>
        </w:tc>
        <w:tc>
          <w:tcPr>
            <w:tcW w:w="1683" w:type="dxa"/>
          </w:tcPr>
          <w:p>
            <w:pPr>
              <w:pStyle w:val="14"/>
              <w:spacing w:before="34"/>
              <w:ind w:left="599"/>
              <w:jc w:val="left"/>
              <w:rPr>
                <w:rFonts w:ascii="Times New Roman" w:hAnsi="Times New Roman"/>
                <w:sz w:val="21"/>
              </w:rPr>
            </w:pPr>
            <w:r>
              <w:rPr>
                <w:rFonts w:ascii="Times New Roman" w:hAnsi="Times New Roman"/>
                <w:sz w:val="21"/>
              </w:rPr>
              <w:t>≤0.10</w:t>
            </w:r>
          </w:p>
        </w:tc>
        <w:tc>
          <w:tcPr>
            <w:tcW w:w="1218" w:type="dxa"/>
          </w:tcPr>
          <w:p>
            <w:pPr>
              <w:pStyle w:val="14"/>
              <w:spacing w:before="34"/>
              <w:ind w:left="179" w:right="174"/>
              <w:rPr>
                <w:rFonts w:ascii="Times New Roman"/>
                <w:sz w:val="21"/>
              </w:rPr>
            </w:pPr>
            <w:r>
              <w:rPr>
                <w:rFonts w:ascii="Times New Roman"/>
                <w:sz w:val="21"/>
              </w:rPr>
              <w:t>&gt;0.10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963" w:type="dxa"/>
          </w:tcPr>
          <w:p>
            <w:pPr>
              <w:pStyle w:val="14"/>
              <w:spacing w:before="22"/>
              <w:ind w:left="7"/>
              <w:rPr>
                <w:sz w:val="21"/>
              </w:rPr>
            </w:pPr>
            <w:r>
              <w:rPr>
                <w:w w:val="99"/>
                <w:sz w:val="21"/>
              </w:rPr>
              <w:t>镉</w:t>
            </w:r>
          </w:p>
        </w:tc>
        <w:tc>
          <w:tcPr>
            <w:tcW w:w="1218" w:type="dxa"/>
          </w:tcPr>
          <w:p>
            <w:pPr>
              <w:pStyle w:val="14"/>
              <w:spacing w:before="36"/>
              <w:ind w:left="179" w:right="172"/>
              <w:rPr>
                <w:rFonts w:ascii="Times New Roman" w:hAnsi="Times New Roman"/>
                <w:sz w:val="21"/>
              </w:rPr>
            </w:pPr>
            <w:r>
              <w:rPr>
                <w:rFonts w:ascii="Times New Roman" w:hAnsi="Times New Roman"/>
                <w:sz w:val="21"/>
              </w:rPr>
              <w:t>≤0.0001</w:t>
            </w:r>
          </w:p>
        </w:tc>
        <w:tc>
          <w:tcPr>
            <w:tcW w:w="1216" w:type="dxa"/>
          </w:tcPr>
          <w:p>
            <w:pPr>
              <w:pStyle w:val="14"/>
              <w:spacing w:before="36"/>
              <w:ind w:left="270" w:right="263"/>
              <w:rPr>
                <w:rFonts w:ascii="Times New Roman" w:hAnsi="Times New Roman"/>
                <w:sz w:val="21"/>
              </w:rPr>
            </w:pPr>
            <w:r>
              <w:rPr>
                <w:rFonts w:ascii="Times New Roman" w:hAnsi="Times New Roman"/>
                <w:sz w:val="21"/>
              </w:rPr>
              <w:t>≤0.001</w:t>
            </w:r>
          </w:p>
        </w:tc>
        <w:tc>
          <w:tcPr>
            <w:tcW w:w="1224" w:type="dxa"/>
          </w:tcPr>
          <w:p>
            <w:pPr>
              <w:pStyle w:val="14"/>
              <w:spacing w:before="36"/>
              <w:ind w:left="298" w:right="288"/>
              <w:rPr>
                <w:rFonts w:ascii="Times New Roman" w:hAnsi="Times New Roman"/>
                <w:b/>
                <w:sz w:val="21"/>
              </w:rPr>
            </w:pPr>
            <w:r>
              <w:rPr>
                <w:rFonts w:ascii="Times New Roman" w:hAnsi="Times New Roman"/>
                <w:b/>
                <w:sz w:val="21"/>
              </w:rPr>
              <w:t>≤0.005</w:t>
            </w:r>
          </w:p>
        </w:tc>
        <w:tc>
          <w:tcPr>
            <w:tcW w:w="1683" w:type="dxa"/>
          </w:tcPr>
          <w:p>
            <w:pPr>
              <w:pStyle w:val="14"/>
              <w:spacing w:before="36"/>
              <w:ind w:left="599"/>
              <w:jc w:val="left"/>
              <w:rPr>
                <w:rFonts w:ascii="Times New Roman" w:hAnsi="Times New Roman"/>
                <w:sz w:val="21"/>
              </w:rPr>
            </w:pPr>
            <w:r>
              <w:rPr>
                <w:rFonts w:ascii="Times New Roman" w:hAnsi="Times New Roman"/>
                <w:sz w:val="21"/>
              </w:rPr>
              <w:t>≤0.01</w:t>
            </w:r>
          </w:p>
        </w:tc>
        <w:tc>
          <w:tcPr>
            <w:tcW w:w="1218" w:type="dxa"/>
          </w:tcPr>
          <w:p>
            <w:pPr>
              <w:pStyle w:val="14"/>
              <w:spacing w:before="36"/>
              <w:ind w:left="179" w:right="174"/>
              <w:rPr>
                <w:rFonts w:ascii="Times New Roman"/>
                <w:sz w:val="21"/>
              </w:rPr>
            </w:pPr>
            <w:r>
              <w:rPr>
                <w:rFonts w:ascii="Times New Roman"/>
                <w:sz w:val="21"/>
              </w:rPr>
              <w:t>&gt;0.01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963" w:type="dxa"/>
          </w:tcPr>
          <w:p>
            <w:pPr>
              <w:pStyle w:val="14"/>
              <w:spacing w:before="21"/>
              <w:ind w:left="329" w:right="324"/>
              <w:rPr>
                <w:sz w:val="21"/>
              </w:rPr>
            </w:pPr>
            <w:r>
              <w:rPr>
                <w:sz w:val="21"/>
              </w:rPr>
              <w:t>氰化物</w:t>
            </w:r>
          </w:p>
        </w:tc>
        <w:tc>
          <w:tcPr>
            <w:tcW w:w="1218" w:type="dxa"/>
          </w:tcPr>
          <w:p>
            <w:pPr>
              <w:pStyle w:val="14"/>
              <w:spacing w:before="35"/>
              <w:ind w:left="179" w:right="172"/>
              <w:rPr>
                <w:rFonts w:ascii="Times New Roman" w:hAnsi="Times New Roman"/>
                <w:sz w:val="21"/>
              </w:rPr>
            </w:pPr>
            <w:r>
              <w:rPr>
                <w:rFonts w:ascii="Times New Roman" w:hAnsi="Times New Roman"/>
                <w:sz w:val="21"/>
              </w:rPr>
              <w:t>≤0.001</w:t>
            </w:r>
          </w:p>
        </w:tc>
        <w:tc>
          <w:tcPr>
            <w:tcW w:w="1216" w:type="dxa"/>
          </w:tcPr>
          <w:p>
            <w:pPr>
              <w:pStyle w:val="14"/>
              <w:spacing w:before="35"/>
              <w:ind w:left="267" w:right="263"/>
              <w:rPr>
                <w:rFonts w:ascii="Times New Roman" w:hAnsi="Times New Roman"/>
                <w:sz w:val="21"/>
              </w:rPr>
            </w:pPr>
            <w:r>
              <w:rPr>
                <w:rFonts w:ascii="Times New Roman" w:hAnsi="Times New Roman"/>
                <w:sz w:val="21"/>
              </w:rPr>
              <w:t>≤0.01</w:t>
            </w:r>
          </w:p>
        </w:tc>
        <w:tc>
          <w:tcPr>
            <w:tcW w:w="1224" w:type="dxa"/>
          </w:tcPr>
          <w:p>
            <w:pPr>
              <w:pStyle w:val="14"/>
              <w:spacing w:before="35"/>
              <w:ind w:left="298" w:right="288"/>
              <w:rPr>
                <w:rFonts w:ascii="Times New Roman" w:hAnsi="Times New Roman"/>
                <w:b/>
                <w:sz w:val="21"/>
              </w:rPr>
            </w:pPr>
            <w:r>
              <w:rPr>
                <w:rFonts w:ascii="Times New Roman" w:hAnsi="Times New Roman"/>
                <w:b/>
                <w:sz w:val="21"/>
              </w:rPr>
              <w:t>≤0.05</w:t>
            </w:r>
          </w:p>
        </w:tc>
        <w:tc>
          <w:tcPr>
            <w:tcW w:w="1683" w:type="dxa"/>
          </w:tcPr>
          <w:p>
            <w:pPr>
              <w:pStyle w:val="14"/>
              <w:spacing w:before="35"/>
              <w:ind w:left="649"/>
              <w:jc w:val="left"/>
              <w:rPr>
                <w:rFonts w:ascii="Times New Roman" w:hAnsi="Times New Roman"/>
                <w:sz w:val="21"/>
              </w:rPr>
            </w:pPr>
            <w:r>
              <w:rPr>
                <w:rFonts w:ascii="Times New Roman" w:hAnsi="Times New Roman"/>
                <w:sz w:val="21"/>
              </w:rPr>
              <w:t>≤0.1</w:t>
            </w:r>
          </w:p>
        </w:tc>
        <w:tc>
          <w:tcPr>
            <w:tcW w:w="1218" w:type="dxa"/>
          </w:tcPr>
          <w:p>
            <w:pPr>
              <w:pStyle w:val="14"/>
              <w:spacing w:before="35"/>
              <w:ind w:left="179" w:right="174"/>
              <w:rPr>
                <w:rFonts w:ascii="Times New Roman"/>
                <w:sz w:val="21"/>
              </w:rPr>
            </w:pPr>
            <w:r>
              <w:rPr>
                <w:rFonts w:ascii="Times New Roman"/>
                <w:sz w:val="21"/>
              </w:rPr>
              <w:t>&gt;0.1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963" w:type="dxa"/>
          </w:tcPr>
          <w:p>
            <w:pPr>
              <w:pStyle w:val="14"/>
              <w:spacing w:before="21"/>
              <w:ind w:left="329" w:right="324"/>
              <w:rPr>
                <w:sz w:val="21"/>
              </w:rPr>
            </w:pPr>
            <w:r>
              <w:rPr>
                <w:sz w:val="21"/>
              </w:rPr>
              <w:t>总硬度</w:t>
            </w:r>
          </w:p>
        </w:tc>
        <w:tc>
          <w:tcPr>
            <w:tcW w:w="1218" w:type="dxa"/>
          </w:tcPr>
          <w:p>
            <w:pPr>
              <w:pStyle w:val="14"/>
              <w:spacing w:before="35"/>
              <w:ind w:left="179" w:right="174"/>
              <w:rPr>
                <w:rFonts w:ascii="Times New Roman" w:hAnsi="Times New Roman"/>
                <w:sz w:val="21"/>
              </w:rPr>
            </w:pPr>
            <w:r>
              <w:rPr>
                <w:rFonts w:ascii="Times New Roman" w:hAnsi="Times New Roman"/>
                <w:sz w:val="21"/>
              </w:rPr>
              <w:t>≤150</w:t>
            </w:r>
          </w:p>
        </w:tc>
        <w:tc>
          <w:tcPr>
            <w:tcW w:w="1216" w:type="dxa"/>
          </w:tcPr>
          <w:p>
            <w:pPr>
              <w:pStyle w:val="14"/>
              <w:spacing w:before="35"/>
              <w:ind w:left="267" w:right="263"/>
              <w:rPr>
                <w:rFonts w:ascii="Times New Roman" w:hAnsi="Times New Roman"/>
                <w:sz w:val="21"/>
              </w:rPr>
            </w:pPr>
            <w:r>
              <w:rPr>
                <w:rFonts w:ascii="Times New Roman" w:hAnsi="Times New Roman"/>
                <w:sz w:val="21"/>
              </w:rPr>
              <w:t>≤300</w:t>
            </w:r>
          </w:p>
        </w:tc>
        <w:tc>
          <w:tcPr>
            <w:tcW w:w="1224" w:type="dxa"/>
          </w:tcPr>
          <w:p>
            <w:pPr>
              <w:pStyle w:val="14"/>
              <w:spacing w:before="35"/>
              <w:ind w:left="296" w:right="288"/>
              <w:rPr>
                <w:rFonts w:ascii="Times New Roman" w:hAnsi="Times New Roman"/>
                <w:b/>
                <w:sz w:val="21"/>
              </w:rPr>
            </w:pPr>
            <w:r>
              <w:rPr>
                <w:rFonts w:ascii="Times New Roman" w:hAnsi="Times New Roman"/>
                <w:b/>
                <w:sz w:val="21"/>
              </w:rPr>
              <w:t>≤450</w:t>
            </w:r>
          </w:p>
        </w:tc>
        <w:tc>
          <w:tcPr>
            <w:tcW w:w="1683" w:type="dxa"/>
          </w:tcPr>
          <w:p>
            <w:pPr>
              <w:pStyle w:val="14"/>
              <w:spacing w:before="35"/>
              <w:ind w:left="623"/>
              <w:jc w:val="left"/>
              <w:rPr>
                <w:rFonts w:ascii="Times New Roman" w:hAnsi="Times New Roman"/>
                <w:sz w:val="21"/>
              </w:rPr>
            </w:pPr>
            <w:r>
              <w:rPr>
                <w:rFonts w:ascii="Times New Roman" w:hAnsi="Times New Roman"/>
                <w:sz w:val="21"/>
              </w:rPr>
              <w:t>≤650</w:t>
            </w:r>
          </w:p>
        </w:tc>
        <w:tc>
          <w:tcPr>
            <w:tcW w:w="1218" w:type="dxa"/>
          </w:tcPr>
          <w:p>
            <w:pPr>
              <w:pStyle w:val="14"/>
              <w:spacing w:before="35"/>
              <w:ind w:left="179" w:right="174"/>
              <w:rPr>
                <w:rFonts w:ascii="Times New Roman"/>
                <w:sz w:val="21"/>
              </w:rPr>
            </w:pPr>
            <w:r>
              <w:rPr>
                <w:rFonts w:ascii="Times New Roman"/>
                <w:sz w:val="21"/>
              </w:rPr>
              <w:t>&gt;650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963" w:type="dxa"/>
          </w:tcPr>
          <w:p>
            <w:pPr>
              <w:pStyle w:val="14"/>
              <w:spacing w:before="21"/>
              <w:ind w:left="329" w:right="324"/>
              <w:rPr>
                <w:sz w:val="21"/>
              </w:rPr>
            </w:pPr>
            <w:r>
              <w:rPr>
                <w:sz w:val="21"/>
              </w:rPr>
              <w:t>硫酸盐</w:t>
            </w:r>
          </w:p>
        </w:tc>
        <w:tc>
          <w:tcPr>
            <w:tcW w:w="1218" w:type="dxa"/>
          </w:tcPr>
          <w:p>
            <w:pPr>
              <w:pStyle w:val="14"/>
              <w:spacing w:before="34"/>
              <w:ind w:left="179" w:right="174"/>
              <w:rPr>
                <w:rFonts w:ascii="Times New Roman" w:hAnsi="Times New Roman"/>
                <w:sz w:val="21"/>
              </w:rPr>
            </w:pPr>
            <w:r>
              <w:rPr>
                <w:rFonts w:ascii="Times New Roman" w:hAnsi="Times New Roman"/>
                <w:sz w:val="21"/>
              </w:rPr>
              <w:t>≤50</w:t>
            </w:r>
          </w:p>
        </w:tc>
        <w:tc>
          <w:tcPr>
            <w:tcW w:w="1216" w:type="dxa"/>
          </w:tcPr>
          <w:p>
            <w:pPr>
              <w:pStyle w:val="14"/>
              <w:spacing w:before="34"/>
              <w:ind w:left="267" w:right="263"/>
              <w:rPr>
                <w:rFonts w:ascii="Times New Roman" w:hAnsi="Times New Roman"/>
                <w:sz w:val="21"/>
              </w:rPr>
            </w:pPr>
            <w:r>
              <w:rPr>
                <w:rFonts w:ascii="Times New Roman" w:hAnsi="Times New Roman"/>
                <w:sz w:val="21"/>
              </w:rPr>
              <w:t>≤150</w:t>
            </w:r>
          </w:p>
        </w:tc>
        <w:tc>
          <w:tcPr>
            <w:tcW w:w="1224" w:type="dxa"/>
          </w:tcPr>
          <w:p>
            <w:pPr>
              <w:pStyle w:val="14"/>
              <w:spacing w:before="34"/>
              <w:ind w:left="296" w:right="288"/>
              <w:rPr>
                <w:rFonts w:ascii="Times New Roman" w:hAnsi="Times New Roman"/>
                <w:b/>
                <w:sz w:val="21"/>
              </w:rPr>
            </w:pPr>
            <w:r>
              <w:rPr>
                <w:rFonts w:ascii="Times New Roman" w:hAnsi="Times New Roman"/>
                <w:b/>
                <w:sz w:val="21"/>
              </w:rPr>
              <w:t>≤250</w:t>
            </w:r>
          </w:p>
        </w:tc>
        <w:tc>
          <w:tcPr>
            <w:tcW w:w="1683" w:type="dxa"/>
          </w:tcPr>
          <w:p>
            <w:pPr>
              <w:pStyle w:val="14"/>
              <w:spacing w:before="34"/>
              <w:ind w:left="623"/>
              <w:jc w:val="left"/>
              <w:rPr>
                <w:rFonts w:ascii="Times New Roman" w:hAnsi="Times New Roman"/>
                <w:sz w:val="21"/>
              </w:rPr>
            </w:pPr>
            <w:r>
              <w:rPr>
                <w:rFonts w:ascii="Times New Roman" w:hAnsi="Times New Roman"/>
                <w:sz w:val="21"/>
              </w:rPr>
              <w:t>≤350</w:t>
            </w:r>
          </w:p>
        </w:tc>
        <w:tc>
          <w:tcPr>
            <w:tcW w:w="1218" w:type="dxa"/>
          </w:tcPr>
          <w:p>
            <w:pPr>
              <w:pStyle w:val="14"/>
              <w:spacing w:before="34"/>
              <w:ind w:left="179" w:right="174"/>
              <w:rPr>
                <w:rFonts w:ascii="Times New Roman"/>
                <w:sz w:val="21"/>
              </w:rPr>
            </w:pPr>
            <w:r>
              <w:rPr>
                <w:rFonts w:ascii="Times New Roman"/>
                <w:sz w:val="21"/>
              </w:rPr>
              <w:t>&gt;350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963" w:type="dxa"/>
          </w:tcPr>
          <w:p>
            <w:pPr>
              <w:pStyle w:val="14"/>
              <w:spacing w:before="20"/>
              <w:ind w:left="329" w:right="324"/>
              <w:rPr>
                <w:sz w:val="21"/>
              </w:rPr>
            </w:pPr>
            <w:r>
              <w:rPr>
                <w:sz w:val="21"/>
              </w:rPr>
              <w:t>六价铬</w:t>
            </w:r>
          </w:p>
        </w:tc>
        <w:tc>
          <w:tcPr>
            <w:tcW w:w="1218" w:type="dxa"/>
          </w:tcPr>
          <w:p>
            <w:pPr>
              <w:pStyle w:val="14"/>
              <w:spacing w:before="34"/>
              <w:ind w:left="179" w:right="172"/>
              <w:rPr>
                <w:rFonts w:ascii="Times New Roman" w:hAnsi="Times New Roman"/>
                <w:sz w:val="21"/>
              </w:rPr>
            </w:pPr>
            <w:r>
              <w:rPr>
                <w:rFonts w:ascii="Times New Roman" w:hAnsi="Times New Roman"/>
                <w:sz w:val="21"/>
              </w:rPr>
              <w:t>≤0.005</w:t>
            </w:r>
          </w:p>
        </w:tc>
        <w:tc>
          <w:tcPr>
            <w:tcW w:w="1216" w:type="dxa"/>
          </w:tcPr>
          <w:p>
            <w:pPr>
              <w:pStyle w:val="14"/>
              <w:spacing w:before="34"/>
              <w:ind w:left="267" w:right="263"/>
              <w:rPr>
                <w:rFonts w:ascii="Times New Roman" w:hAnsi="Times New Roman"/>
                <w:sz w:val="21"/>
              </w:rPr>
            </w:pPr>
            <w:r>
              <w:rPr>
                <w:rFonts w:ascii="Times New Roman" w:hAnsi="Times New Roman"/>
                <w:sz w:val="21"/>
              </w:rPr>
              <w:t>≤0.01</w:t>
            </w:r>
          </w:p>
        </w:tc>
        <w:tc>
          <w:tcPr>
            <w:tcW w:w="1224" w:type="dxa"/>
          </w:tcPr>
          <w:p>
            <w:pPr>
              <w:pStyle w:val="14"/>
              <w:spacing w:before="34"/>
              <w:ind w:left="298" w:right="288"/>
              <w:rPr>
                <w:rFonts w:ascii="Times New Roman" w:hAnsi="Times New Roman"/>
                <w:b/>
                <w:sz w:val="21"/>
              </w:rPr>
            </w:pPr>
            <w:r>
              <w:rPr>
                <w:rFonts w:ascii="Times New Roman" w:hAnsi="Times New Roman"/>
                <w:b/>
                <w:sz w:val="21"/>
              </w:rPr>
              <w:t>≤0.05</w:t>
            </w:r>
          </w:p>
        </w:tc>
        <w:tc>
          <w:tcPr>
            <w:tcW w:w="1683" w:type="dxa"/>
          </w:tcPr>
          <w:p>
            <w:pPr>
              <w:pStyle w:val="14"/>
              <w:spacing w:before="34"/>
              <w:ind w:left="599"/>
              <w:jc w:val="left"/>
              <w:rPr>
                <w:rFonts w:ascii="Times New Roman" w:hAnsi="Times New Roman"/>
                <w:sz w:val="21"/>
              </w:rPr>
            </w:pPr>
            <w:r>
              <w:rPr>
                <w:rFonts w:ascii="Times New Roman" w:hAnsi="Times New Roman"/>
                <w:sz w:val="21"/>
              </w:rPr>
              <w:t>≤0.10</w:t>
            </w:r>
          </w:p>
        </w:tc>
        <w:tc>
          <w:tcPr>
            <w:tcW w:w="1218" w:type="dxa"/>
          </w:tcPr>
          <w:p>
            <w:pPr>
              <w:pStyle w:val="14"/>
              <w:spacing w:before="34"/>
              <w:ind w:left="179" w:right="174"/>
              <w:rPr>
                <w:rFonts w:ascii="Times New Roman"/>
                <w:sz w:val="21"/>
              </w:rPr>
            </w:pPr>
            <w:r>
              <w:rPr>
                <w:rFonts w:ascii="Times New Roman"/>
                <w:sz w:val="21"/>
              </w:rPr>
              <w:t>&gt;0.10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963" w:type="dxa"/>
          </w:tcPr>
          <w:p>
            <w:pPr>
              <w:pStyle w:val="14"/>
              <w:spacing w:before="20"/>
              <w:ind w:left="329" w:right="324"/>
              <w:rPr>
                <w:sz w:val="21"/>
              </w:rPr>
            </w:pPr>
            <w:r>
              <w:rPr>
                <w:sz w:val="21"/>
              </w:rPr>
              <w:t>氯化物</w:t>
            </w:r>
          </w:p>
        </w:tc>
        <w:tc>
          <w:tcPr>
            <w:tcW w:w="1218" w:type="dxa"/>
          </w:tcPr>
          <w:p>
            <w:pPr>
              <w:pStyle w:val="14"/>
              <w:spacing w:before="34"/>
              <w:ind w:left="179" w:right="174"/>
              <w:rPr>
                <w:rFonts w:ascii="Times New Roman" w:hAnsi="Times New Roman"/>
                <w:sz w:val="21"/>
              </w:rPr>
            </w:pPr>
            <w:r>
              <w:rPr>
                <w:rFonts w:ascii="Times New Roman" w:hAnsi="Times New Roman"/>
                <w:sz w:val="21"/>
              </w:rPr>
              <w:t>≤50</w:t>
            </w:r>
          </w:p>
        </w:tc>
        <w:tc>
          <w:tcPr>
            <w:tcW w:w="1216" w:type="dxa"/>
          </w:tcPr>
          <w:p>
            <w:pPr>
              <w:pStyle w:val="14"/>
              <w:spacing w:before="34"/>
              <w:ind w:left="267" w:right="263"/>
              <w:rPr>
                <w:rFonts w:ascii="Times New Roman" w:hAnsi="Times New Roman"/>
                <w:sz w:val="21"/>
              </w:rPr>
            </w:pPr>
            <w:r>
              <w:rPr>
                <w:rFonts w:ascii="Times New Roman" w:hAnsi="Times New Roman"/>
                <w:sz w:val="21"/>
              </w:rPr>
              <w:t>≤150</w:t>
            </w:r>
          </w:p>
        </w:tc>
        <w:tc>
          <w:tcPr>
            <w:tcW w:w="1224" w:type="dxa"/>
          </w:tcPr>
          <w:p>
            <w:pPr>
              <w:pStyle w:val="14"/>
              <w:spacing w:before="34"/>
              <w:ind w:left="296" w:right="288"/>
              <w:rPr>
                <w:rFonts w:ascii="Times New Roman" w:hAnsi="Times New Roman"/>
                <w:b/>
                <w:sz w:val="21"/>
              </w:rPr>
            </w:pPr>
            <w:r>
              <w:rPr>
                <w:rFonts w:ascii="Times New Roman" w:hAnsi="Times New Roman"/>
                <w:b/>
                <w:sz w:val="21"/>
              </w:rPr>
              <w:t>≤250</w:t>
            </w:r>
          </w:p>
        </w:tc>
        <w:tc>
          <w:tcPr>
            <w:tcW w:w="1683" w:type="dxa"/>
          </w:tcPr>
          <w:p>
            <w:pPr>
              <w:pStyle w:val="14"/>
              <w:spacing w:before="34"/>
              <w:ind w:left="623"/>
              <w:jc w:val="left"/>
              <w:rPr>
                <w:rFonts w:ascii="Times New Roman" w:hAnsi="Times New Roman"/>
                <w:sz w:val="21"/>
              </w:rPr>
            </w:pPr>
            <w:r>
              <w:rPr>
                <w:rFonts w:ascii="Times New Roman" w:hAnsi="Times New Roman"/>
                <w:sz w:val="21"/>
              </w:rPr>
              <w:t>≤350</w:t>
            </w:r>
          </w:p>
        </w:tc>
        <w:tc>
          <w:tcPr>
            <w:tcW w:w="1218" w:type="dxa"/>
          </w:tcPr>
          <w:p>
            <w:pPr>
              <w:pStyle w:val="14"/>
              <w:spacing w:before="34"/>
              <w:ind w:left="179" w:right="174"/>
              <w:rPr>
                <w:rFonts w:ascii="Times New Roman"/>
                <w:sz w:val="21"/>
              </w:rPr>
            </w:pPr>
            <w:r>
              <w:rPr>
                <w:rFonts w:ascii="Times New Roman"/>
                <w:sz w:val="21"/>
              </w:rPr>
              <w:t>&gt;350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963" w:type="dxa"/>
          </w:tcPr>
          <w:p>
            <w:pPr>
              <w:pStyle w:val="14"/>
              <w:spacing w:before="22"/>
              <w:ind w:left="329" w:right="324"/>
              <w:rPr>
                <w:sz w:val="21"/>
              </w:rPr>
            </w:pPr>
            <w:r>
              <w:rPr>
                <w:sz w:val="21"/>
              </w:rPr>
              <w:t>溶解性总固体</w:t>
            </w:r>
          </w:p>
        </w:tc>
        <w:tc>
          <w:tcPr>
            <w:tcW w:w="1218" w:type="dxa"/>
          </w:tcPr>
          <w:p>
            <w:pPr>
              <w:pStyle w:val="14"/>
              <w:spacing w:before="36"/>
              <w:ind w:left="179" w:right="174"/>
              <w:rPr>
                <w:rFonts w:ascii="Times New Roman" w:hAnsi="Times New Roman"/>
                <w:sz w:val="21"/>
              </w:rPr>
            </w:pPr>
            <w:r>
              <w:rPr>
                <w:rFonts w:ascii="Times New Roman" w:hAnsi="Times New Roman"/>
                <w:sz w:val="21"/>
              </w:rPr>
              <w:t>≤300</w:t>
            </w:r>
          </w:p>
        </w:tc>
        <w:tc>
          <w:tcPr>
            <w:tcW w:w="1216" w:type="dxa"/>
          </w:tcPr>
          <w:p>
            <w:pPr>
              <w:pStyle w:val="14"/>
              <w:spacing w:before="36"/>
              <w:ind w:left="267" w:right="263"/>
              <w:rPr>
                <w:rFonts w:ascii="Times New Roman" w:hAnsi="Times New Roman"/>
                <w:sz w:val="21"/>
              </w:rPr>
            </w:pPr>
            <w:r>
              <w:rPr>
                <w:rFonts w:ascii="Times New Roman" w:hAnsi="Times New Roman"/>
                <w:sz w:val="21"/>
              </w:rPr>
              <w:t>≤500</w:t>
            </w:r>
          </w:p>
        </w:tc>
        <w:tc>
          <w:tcPr>
            <w:tcW w:w="1224" w:type="dxa"/>
          </w:tcPr>
          <w:p>
            <w:pPr>
              <w:pStyle w:val="14"/>
              <w:spacing w:before="36"/>
              <w:ind w:left="296" w:right="288"/>
              <w:rPr>
                <w:rFonts w:ascii="Times New Roman" w:hAnsi="Times New Roman"/>
                <w:b/>
                <w:sz w:val="21"/>
              </w:rPr>
            </w:pPr>
            <w:r>
              <w:rPr>
                <w:rFonts w:ascii="Times New Roman" w:hAnsi="Times New Roman"/>
                <w:b/>
                <w:sz w:val="21"/>
              </w:rPr>
              <w:t>≤1000</w:t>
            </w:r>
          </w:p>
        </w:tc>
        <w:tc>
          <w:tcPr>
            <w:tcW w:w="1683" w:type="dxa"/>
          </w:tcPr>
          <w:p>
            <w:pPr>
              <w:pStyle w:val="14"/>
              <w:spacing w:before="36"/>
              <w:ind w:left="570"/>
              <w:jc w:val="left"/>
              <w:rPr>
                <w:rFonts w:ascii="Times New Roman" w:hAnsi="Times New Roman"/>
                <w:sz w:val="21"/>
              </w:rPr>
            </w:pPr>
            <w:r>
              <w:rPr>
                <w:rFonts w:ascii="Times New Roman" w:hAnsi="Times New Roman"/>
                <w:sz w:val="21"/>
              </w:rPr>
              <w:t>≤2000</w:t>
            </w:r>
          </w:p>
        </w:tc>
        <w:tc>
          <w:tcPr>
            <w:tcW w:w="1218" w:type="dxa"/>
          </w:tcPr>
          <w:p>
            <w:pPr>
              <w:pStyle w:val="14"/>
              <w:spacing w:before="36"/>
              <w:ind w:left="179" w:right="174"/>
              <w:rPr>
                <w:rFonts w:ascii="Times New Roman"/>
                <w:sz w:val="21"/>
              </w:rPr>
            </w:pPr>
            <w:r>
              <w:rPr>
                <w:rFonts w:ascii="Times New Roman"/>
                <w:sz w:val="21"/>
              </w:rPr>
              <w:t>&gt;2000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963" w:type="dxa"/>
          </w:tcPr>
          <w:p>
            <w:pPr>
              <w:pStyle w:val="14"/>
              <w:spacing w:before="21"/>
              <w:ind w:left="329" w:right="324"/>
              <w:rPr>
                <w:sz w:val="21"/>
              </w:rPr>
            </w:pPr>
            <w:r>
              <w:rPr>
                <w:sz w:val="21"/>
              </w:rPr>
              <w:t>高锰酸盐指数</w:t>
            </w:r>
          </w:p>
        </w:tc>
        <w:tc>
          <w:tcPr>
            <w:tcW w:w="1218" w:type="dxa"/>
          </w:tcPr>
          <w:p>
            <w:pPr>
              <w:pStyle w:val="14"/>
              <w:spacing w:before="35"/>
              <w:ind w:left="179" w:right="174"/>
              <w:rPr>
                <w:rFonts w:ascii="Times New Roman" w:hAnsi="Times New Roman"/>
                <w:sz w:val="21"/>
              </w:rPr>
            </w:pPr>
            <w:r>
              <w:rPr>
                <w:rFonts w:ascii="Times New Roman" w:hAnsi="Times New Roman"/>
                <w:sz w:val="21"/>
              </w:rPr>
              <w:t>≤1.0</w:t>
            </w:r>
          </w:p>
        </w:tc>
        <w:tc>
          <w:tcPr>
            <w:tcW w:w="1216" w:type="dxa"/>
          </w:tcPr>
          <w:p>
            <w:pPr>
              <w:pStyle w:val="14"/>
              <w:spacing w:before="35"/>
              <w:ind w:left="270" w:right="263"/>
              <w:rPr>
                <w:rFonts w:ascii="Times New Roman" w:hAnsi="Times New Roman"/>
                <w:sz w:val="21"/>
              </w:rPr>
            </w:pPr>
            <w:r>
              <w:rPr>
                <w:rFonts w:ascii="Times New Roman" w:hAnsi="Times New Roman"/>
                <w:sz w:val="21"/>
              </w:rPr>
              <w:t>≤2.0</w:t>
            </w:r>
          </w:p>
        </w:tc>
        <w:tc>
          <w:tcPr>
            <w:tcW w:w="1224" w:type="dxa"/>
          </w:tcPr>
          <w:p>
            <w:pPr>
              <w:pStyle w:val="14"/>
              <w:spacing w:before="35"/>
              <w:ind w:left="296" w:right="288"/>
              <w:rPr>
                <w:rFonts w:ascii="Times New Roman" w:hAnsi="Times New Roman"/>
                <w:b/>
                <w:sz w:val="21"/>
              </w:rPr>
            </w:pPr>
            <w:r>
              <w:rPr>
                <w:rFonts w:ascii="Times New Roman" w:hAnsi="Times New Roman"/>
                <w:b/>
                <w:sz w:val="21"/>
              </w:rPr>
              <w:t>≤3.0</w:t>
            </w:r>
          </w:p>
        </w:tc>
        <w:tc>
          <w:tcPr>
            <w:tcW w:w="1683" w:type="dxa"/>
          </w:tcPr>
          <w:p>
            <w:pPr>
              <w:pStyle w:val="14"/>
              <w:spacing w:before="35"/>
              <w:ind w:left="676"/>
              <w:jc w:val="left"/>
              <w:rPr>
                <w:rFonts w:ascii="Times New Roman" w:hAnsi="Times New Roman"/>
                <w:sz w:val="21"/>
              </w:rPr>
            </w:pPr>
            <w:r>
              <w:rPr>
                <w:rFonts w:ascii="Times New Roman" w:hAnsi="Times New Roman"/>
                <w:sz w:val="21"/>
              </w:rPr>
              <w:t>≤10</w:t>
            </w:r>
          </w:p>
        </w:tc>
        <w:tc>
          <w:tcPr>
            <w:tcW w:w="1218" w:type="dxa"/>
          </w:tcPr>
          <w:p>
            <w:pPr>
              <w:pStyle w:val="14"/>
              <w:spacing w:before="35"/>
              <w:ind w:left="179" w:right="174"/>
              <w:rPr>
                <w:rFonts w:ascii="Times New Roman"/>
                <w:sz w:val="21"/>
              </w:rPr>
            </w:pPr>
            <w:r>
              <w:rPr>
                <w:rFonts w:ascii="Times New Roman"/>
                <w:sz w:val="21"/>
              </w:rPr>
              <w:t>&gt;10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963" w:type="dxa"/>
          </w:tcPr>
          <w:p>
            <w:pPr>
              <w:pStyle w:val="14"/>
              <w:spacing w:before="21"/>
              <w:ind w:left="329" w:right="322"/>
              <w:rPr>
                <w:sz w:val="21"/>
              </w:rPr>
            </w:pPr>
            <w:r>
              <w:rPr>
                <w:sz w:val="21"/>
              </w:rPr>
              <w:t>总大肠菌群</w:t>
            </w:r>
          </w:p>
        </w:tc>
        <w:tc>
          <w:tcPr>
            <w:tcW w:w="1218" w:type="dxa"/>
          </w:tcPr>
          <w:p>
            <w:pPr>
              <w:pStyle w:val="14"/>
              <w:spacing w:before="35"/>
              <w:ind w:left="179" w:right="174"/>
              <w:rPr>
                <w:rFonts w:ascii="Times New Roman" w:hAnsi="Times New Roman"/>
                <w:sz w:val="21"/>
              </w:rPr>
            </w:pPr>
            <w:r>
              <w:rPr>
                <w:rFonts w:ascii="Times New Roman" w:hAnsi="Times New Roman"/>
                <w:sz w:val="21"/>
              </w:rPr>
              <w:t>≤3.0</w:t>
            </w:r>
          </w:p>
        </w:tc>
        <w:tc>
          <w:tcPr>
            <w:tcW w:w="1216" w:type="dxa"/>
          </w:tcPr>
          <w:p>
            <w:pPr>
              <w:pStyle w:val="14"/>
              <w:spacing w:before="35"/>
              <w:ind w:left="270" w:right="263"/>
              <w:rPr>
                <w:rFonts w:ascii="Times New Roman" w:hAnsi="Times New Roman"/>
                <w:sz w:val="21"/>
              </w:rPr>
            </w:pPr>
            <w:r>
              <w:rPr>
                <w:rFonts w:ascii="Times New Roman" w:hAnsi="Times New Roman"/>
                <w:sz w:val="21"/>
              </w:rPr>
              <w:t>≤3.0</w:t>
            </w:r>
          </w:p>
        </w:tc>
        <w:tc>
          <w:tcPr>
            <w:tcW w:w="1224" w:type="dxa"/>
          </w:tcPr>
          <w:p>
            <w:pPr>
              <w:pStyle w:val="14"/>
              <w:spacing w:before="35"/>
              <w:ind w:left="296" w:right="288"/>
              <w:rPr>
                <w:rFonts w:ascii="Times New Roman" w:hAnsi="Times New Roman"/>
                <w:b/>
                <w:sz w:val="21"/>
              </w:rPr>
            </w:pPr>
            <w:r>
              <w:rPr>
                <w:rFonts w:ascii="Times New Roman" w:hAnsi="Times New Roman"/>
                <w:b/>
                <w:sz w:val="21"/>
              </w:rPr>
              <w:t>≤3.0</w:t>
            </w:r>
          </w:p>
        </w:tc>
        <w:tc>
          <w:tcPr>
            <w:tcW w:w="1683" w:type="dxa"/>
          </w:tcPr>
          <w:p>
            <w:pPr>
              <w:pStyle w:val="14"/>
              <w:spacing w:before="35"/>
              <w:ind w:left="623"/>
              <w:jc w:val="left"/>
              <w:rPr>
                <w:rFonts w:ascii="Times New Roman" w:hAnsi="Times New Roman"/>
                <w:sz w:val="21"/>
              </w:rPr>
            </w:pPr>
            <w:r>
              <w:rPr>
                <w:rFonts w:ascii="Times New Roman" w:hAnsi="Times New Roman"/>
                <w:sz w:val="21"/>
              </w:rPr>
              <w:t>≤100</w:t>
            </w:r>
          </w:p>
        </w:tc>
        <w:tc>
          <w:tcPr>
            <w:tcW w:w="1218" w:type="dxa"/>
          </w:tcPr>
          <w:p>
            <w:pPr>
              <w:pStyle w:val="14"/>
              <w:spacing w:before="35"/>
              <w:ind w:left="179" w:right="174"/>
              <w:rPr>
                <w:rFonts w:ascii="Times New Roman"/>
                <w:sz w:val="21"/>
              </w:rPr>
            </w:pPr>
            <w:r>
              <w:rPr>
                <w:rFonts w:ascii="Times New Roman"/>
                <w:sz w:val="21"/>
              </w:rPr>
              <w:t>&gt;100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963" w:type="dxa"/>
          </w:tcPr>
          <w:p>
            <w:pPr>
              <w:pStyle w:val="14"/>
              <w:spacing w:before="20"/>
              <w:ind w:left="329" w:right="322"/>
              <w:rPr>
                <w:sz w:val="21"/>
              </w:rPr>
            </w:pPr>
            <w:r>
              <w:rPr>
                <w:sz w:val="21"/>
              </w:rPr>
              <w:t>细菌总数</w:t>
            </w:r>
          </w:p>
        </w:tc>
        <w:tc>
          <w:tcPr>
            <w:tcW w:w="1218" w:type="dxa"/>
          </w:tcPr>
          <w:p>
            <w:pPr>
              <w:pStyle w:val="14"/>
              <w:spacing w:before="34"/>
              <w:ind w:left="179" w:right="174"/>
              <w:rPr>
                <w:rFonts w:ascii="Times New Roman" w:hAnsi="Times New Roman"/>
                <w:sz w:val="21"/>
              </w:rPr>
            </w:pPr>
            <w:r>
              <w:rPr>
                <w:rFonts w:ascii="Times New Roman" w:hAnsi="Times New Roman"/>
                <w:sz w:val="21"/>
              </w:rPr>
              <w:t>≤100</w:t>
            </w:r>
          </w:p>
        </w:tc>
        <w:tc>
          <w:tcPr>
            <w:tcW w:w="1216" w:type="dxa"/>
          </w:tcPr>
          <w:p>
            <w:pPr>
              <w:pStyle w:val="14"/>
              <w:spacing w:before="34"/>
              <w:ind w:left="267" w:right="263"/>
              <w:rPr>
                <w:rFonts w:ascii="Times New Roman" w:hAnsi="Times New Roman"/>
                <w:sz w:val="21"/>
              </w:rPr>
            </w:pPr>
            <w:r>
              <w:rPr>
                <w:rFonts w:ascii="Times New Roman" w:hAnsi="Times New Roman"/>
                <w:sz w:val="21"/>
              </w:rPr>
              <w:t>≤100</w:t>
            </w:r>
          </w:p>
        </w:tc>
        <w:tc>
          <w:tcPr>
            <w:tcW w:w="1224" w:type="dxa"/>
          </w:tcPr>
          <w:p>
            <w:pPr>
              <w:pStyle w:val="14"/>
              <w:spacing w:before="34"/>
              <w:ind w:left="296" w:right="288"/>
              <w:rPr>
                <w:rFonts w:ascii="Times New Roman" w:hAnsi="Times New Roman"/>
                <w:b/>
                <w:sz w:val="21"/>
              </w:rPr>
            </w:pPr>
            <w:r>
              <w:rPr>
                <w:rFonts w:ascii="Times New Roman" w:hAnsi="Times New Roman"/>
                <w:b/>
                <w:sz w:val="21"/>
              </w:rPr>
              <w:t>≤100</w:t>
            </w:r>
          </w:p>
        </w:tc>
        <w:tc>
          <w:tcPr>
            <w:tcW w:w="1683" w:type="dxa"/>
          </w:tcPr>
          <w:p>
            <w:pPr>
              <w:pStyle w:val="14"/>
              <w:spacing w:before="34"/>
              <w:ind w:left="570"/>
              <w:jc w:val="left"/>
              <w:rPr>
                <w:rFonts w:ascii="Times New Roman" w:hAnsi="Times New Roman"/>
                <w:sz w:val="21"/>
              </w:rPr>
            </w:pPr>
            <w:r>
              <w:rPr>
                <w:rFonts w:ascii="Times New Roman" w:hAnsi="Times New Roman"/>
                <w:sz w:val="21"/>
              </w:rPr>
              <w:t>≤1000</w:t>
            </w:r>
          </w:p>
        </w:tc>
        <w:tc>
          <w:tcPr>
            <w:tcW w:w="1218" w:type="dxa"/>
          </w:tcPr>
          <w:p>
            <w:pPr>
              <w:pStyle w:val="14"/>
              <w:spacing w:before="34"/>
              <w:ind w:left="179" w:right="174"/>
              <w:rPr>
                <w:rFonts w:ascii="Times New Roman"/>
                <w:sz w:val="21"/>
              </w:rPr>
            </w:pPr>
            <w:r>
              <w:rPr>
                <w:rFonts w:ascii="Times New Roman"/>
                <w:sz w:val="21"/>
              </w:rPr>
              <w:t>&gt;1000</w:t>
            </w:r>
          </w:p>
        </w:tc>
      </w:tr>
    </w:tbl>
    <w:p>
      <w:pPr>
        <w:spacing w:before="20"/>
        <w:ind w:left="551" w:right="0" w:firstLine="0"/>
        <w:jc w:val="left"/>
        <w:rPr>
          <w:sz w:val="21"/>
        </w:rPr>
      </w:pPr>
      <w:r>
        <w:rPr>
          <w:spacing w:val="-1"/>
          <w:w w:val="99"/>
          <w:sz w:val="21"/>
        </w:rPr>
        <w:t>（</w:t>
      </w:r>
      <w:r>
        <w:rPr>
          <w:spacing w:val="-13"/>
          <w:w w:val="99"/>
          <w:sz w:val="21"/>
        </w:rPr>
        <w:t>注：单位为</w:t>
      </w:r>
      <w:r>
        <w:rPr>
          <w:spacing w:val="-53"/>
          <w:sz w:val="21"/>
        </w:rPr>
        <w:t xml:space="preserve"> </w:t>
      </w:r>
      <w:r>
        <w:rPr>
          <w:rFonts w:ascii="Times New Roman" w:eastAsia="Times New Roman"/>
          <w:w w:val="99"/>
          <w:sz w:val="21"/>
        </w:rPr>
        <w:t>m</w:t>
      </w:r>
      <w:r>
        <w:rPr>
          <w:rFonts w:ascii="Times New Roman" w:eastAsia="Times New Roman"/>
          <w:spacing w:val="-2"/>
          <w:w w:val="99"/>
          <w:sz w:val="21"/>
        </w:rPr>
        <w:t>g</w:t>
      </w:r>
      <w:r>
        <w:rPr>
          <w:rFonts w:ascii="Times New Roman" w:eastAsia="Times New Roman"/>
          <w:spacing w:val="1"/>
          <w:w w:val="99"/>
          <w:sz w:val="21"/>
        </w:rPr>
        <w:t>/L</w:t>
      </w:r>
      <w:r>
        <w:rPr>
          <w:spacing w:val="-61"/>
          <w:w w:val="99"/>
          <w:sz w:val="21"/>
        </w:rPr>
        <w:t>，</w:t>
      </w:r>
      <w:r>
        <w:rPr>
          <w:rFonts w:ascii="Times New Roman" w:eastAsia="Times New Roman"/>
          <w:spacing w:val="1"/>
          <w:w w:val="99"/>
          <w:sz w:val="21"/>
        </w:rPr>
        <w:t>p</w:t>
      </w:r>
      <w:r>
        <w:rPr>
          <w:rFonts w:ascii="Times New Roman" w:eastAsia="Times New Roman"/>
          <w:w w:val="99"/>
          <w:sz w:val="21"/>
        </w:rPr>
        <w:t>H</w:t>
      </w:r>
      <w:r>
        <w:rPr>
          <w:rFonts w:ascii="Times New Roman" w:eastAsia="Times New Roman"/>
          <w:sz w:val="21"/>
        </w:rPr>
        <w:t xml:space="preserve"> </w:t>
      </w:r>
      <w:r>
        <w:rPr>
          <w:spacing w:val="-8"/>
          <w:w w:val="99"/>
          <w:sz w:val="21"/>
        </w:rPr>
        <w:t>无量纲，总大肠菌群单位为</w:t>
      </w:r>
      <w:r>
        <w:rPr>
          <w:spacing w:val="-50"/>
          <w:sz w:val="21"/>
        </w:rPr>
        <w:t xml:space="preserve"> </w:t>
      </w:r>
      <w:r>
        <w:rPr>
          <w:rFonts w:ascii="Times New Roman" w:eastAsia="Times New Roman"/>
          <w:spacing w:val="-2"/>
          <w:w w:val="99"/>
          <w:sz w:val="21"/>
        </w:rPr>
        <w:t>M</w:t>
      </w:r>
      <w:r>
        <w:rPr>
          <w:rFonts w:ascii="Times New Roman" w:eastAsia="Times New Roman"/>
          <w:spacing w:val="1"/>
          <w:w w:val="99"/>
          <w:sz w:val="21"/>
        </w:rPr>
        <w:t>P</w:t>
      </w:r>
      <w:r>
        <w:rPr>
          <w:rFonts w:ascii="Times New Roman" w:eastAsia="Times New Roman"/>
          <w:w w:val="99"/>
          <w:sz w:val="21"/>
        </w:rPr>
        <w:t>N</w:t>
      </w:r>
      <w:r>
        <w:rPr>
          <w:rFonts w:ascii="Times New Roman" w:eastAsia="Times New Roman"/>
          <w:spacing w:val="1"/>
          <w:w w:val="105"/>
          <w:position w:val="7"/>
          <w:sz w:val="13"/>
        </w:rPr>
        <w:t>b</w:t>
      </w:r>
      <w:r>
        <w:rPr>
          <w:rFonts w:ascii="Times New Roman" w:eastAsia="Times New Roman"/>
          <w:spacing w:val="-1"/>
          <w:w w:val="99"/>
          <w:sz w:val="21"/>
        </w:rPr>
        <w:t>/</w:t>
      </w:r>
      <w:r>
        <w:rPr>
          <w:rFonts w:ascii="Times New Roman" w:eastAsia="Times New Roman"/>
          <w:spacing w:val="1"/>
          <w:w w:val="99"/>
          <w:sz w:val="21"/>
        </w:rPr>
        <w:t>100</w:t>
      </w:r>
      <w:r>
        <w:rPr>
          <w:rFonts w:ascii="Times New Roman" w:eastAsia="Times New Roman"/>
          <w:spacing w:val="-2"/>
          <w:w w:val="99"/>
          <w:sz w:val="21"/>
        </w:rPr>
        <w:t>m</w:t>
      </w:r>
      <w:r>
        <w:rPr>
          <w:rFonts w:ascii="Times New Roman" w:eastAsia="Times New Roman"/>
          <w:spacing w:val="1"/>
          <w:w w:val="99"/>
          <w:sz w:val="21"/>
        </w:rPr>
        <w:t>L</w:t>
      </w:r>
      <w:r>
        <w:rPr>
          <w:spacing w:val="-9"/>
          <w:w w:val="99"/>
          <w:sz w:val="21"/>
        </w:rPr>
        <w:t>，细菌总数单位为</w:t>
      </w:r>
      <w:r>
        <w:rPr>
          <w:spacing w:val="-53"/>
          <w:sz w:val="21"/>
        </w:rPr>
        <w:t xml:space="preserve"> </w:t>
      </w:r>
      <w:r>
        <w:rPr>
          <w:rFonts w:ascii="Times New Roman" w:eastAsia="Times New Roman"/>
          <w:spacing w:val="-1"/>
          <w:w w:val="99"/>
          <w:sz w:val="21"/>
        </w:rPr>
        <w:t>C</w:t>
      </w:r>
      <w:r>
        <w:rPr>
          <w:rFonts w:ascii="Times New Roman" w:eastAsia="Times New Roman"/>
          <w:spacing w:val="-2"/>
          <w:w w:val="99"/>
          <w:sz w:val="21"/>
        </w:rPr>
        <w:t>F</w:t>
      </w:r>
      <w:r>
        <w:rPr>
          <w:rFonts w:ascii="Times New Roman" w:eastAsia="Times New Roman"/>
          <w:spacing w:val="2"/>
          <w:w w:val="99"/>
          <w:sz w:val="21"/>
        </w:rPr>
        <w:t>U</w:t>
      </w:r>
      <w:r>
        <w:rPr>
          <w:rFonts w:ascii="Times New Roman" w:eastAsia="Times New Roman"/>
          <w:spacing w:val="-1"/>
          <w:w w:val="99"/>
          <w:sz w:val="21"/>
        </w:rPr>
        <w:t>/</w:t>
      </w:r>
      <w:r>
        <w:rPr>
          <w:rFonts w:ascii="Times New Roman" w:eastAsia="Times New Roman"/>
          <w:w w:val="99"/>
          <w:sz w:val="21"/>
        </w:rPr>
        <w:t>m</w:t>
      </w:r>
      <w:r>
        <w:rPr>
          <w:rFonts w:ascii="Times New Roman" w:eastAsia="Times New Roman"/>
          <w:spacing w:val="4"/>
          <w:w w:val="99"/>
          <w:sz w:val="21"/>
        </w:rPr>
        <w:t>L</w:t>
      </w:r>
      <w:r>
        <w:rPr>
          <w:w w:val="99"/>
          <w:sz w:val="21"/>
        </w:rPr>
        <w:t>）</w:t>
      </w:r>
    </w:p>
    <w:p>
      <w:pPr>
        <w:pStyle w:val="5"/>
        <w:spacing w:before="25"/>
        <w:ind w:left="551"/>
      </w:pPr>
      <w:r>
        <w:rPr>
          <w:rFonts w:ascii="Times New Roman" w:eastAsia="Times New Roman"/>
        </w:rPr>
        <w:t xml:space="preserve">6.4.2.3 </w:t>
      </w:r>
      <w:r>
        <w:t>评价结果及分析</w:t>
      </w:r>
    </w:p>
    <w:p>
      <w:pPr>
        <w:pStyle w:val="6"/>
        <w:spacing w:before="7"/>
        <w:rPr>
          <w:b/>
          <w:sz w:val="18"/>
        </w:rPr>
      </w:pPr>
    </w:p>
    <w:p>
      <w:pPr>
        <w:pStyle w:val="6"/>
        <w:spacing w:line="364" w:lineRule="auto"/>
        <w:ind w:left="1070" w:right="5653" w:hanging="39"/>
      </w:pPr>
      <w:r>
        <w:t>（</w:t>
      </w:r>
      <w:r>
        <w:rPr>
          <w:rFonts w:ascii="Calibri" w:eastAsia="Calibri"/>
        </w:rPr>
        <w:t>1</w:t>
      </w:r>
      <w:r>
        <w:t>）地下水化学类型评价结果首先对水文资料进行整理：</w:t>
      </w:r>
    </w:p>
    <w:p>
      <w:pPr>
        <w:pStyle w:val="6"/>
        <w:spacing w:before="1"/>
        <w:ind w:left="1070"/>
      </w:pPr>
      <w:r>
        <w:t>换算毫克</w:t>
      </w:r>
      <w:r>
        <w:rPr>
          <w:rFonts w:ascii="Calibri" w:eastAsia="Calibri"/>
        </w:rPr>
        <w:t>/</w:t>
      </w:r>
      <w:r>
        <w:t>升为毫克当量</w:t>
      </w:r>
      <w:r>
        <w:rPr>
          <w:rFonts w:ascii="Calibri" w:eastAsia="Calibri"/>
        </w:rPr>
        <w:t>/</w:t>
      </w:r>
      <w:r>
        <w:t>升及毫克当量百分数</w:t>
      </w:r>
    </w:p>
    <w:p>
      <w:pPr>
        <w:pStyle w:val="6"/>
        <w:spacing w:before="161"/>
        <w:ind w:left="1070"/>
      </w:pPr>
      <w:r>
        <w:t>按照化学原理，毫克数与毫克当量数的关系如下式：</w:t>
      </w:r>
    </w:p>
    <w:p>
      <w:pPr>
        <w:pStyle w:val="6"/>
        <w:spacing w:before="91" w:line="398" w:lineRule="exact"/>
        <w:ind w:left="1056"/>
      </w:pPr>
      <w:r>
        <mc:AlternateContent>
          <mc:Choice Requires="wps">
            <w:drawing>
              <wp:anchor distT="0" distB="0" distL="114300" distR="114300" simplePos="0" relativeHeight="214345728" behindDoc="1" locked="0" layoutInCell="1" allowOverlap="1">
                <wp:simplePos x="0" y="0"/>
                <wp:positionH relativeFrom="page">
                  <wp:posOffset>2807335</wp:posOffset>
                </wp:positionH>
                <wp:positionV relativeFrom="paragraph">
                  <wp:posOffset>266700</wp:posOffset>
                </wp:positionV>
                <wp:extent cx="923290" cy="0"/>
                <wp:effectExtent l="0" t="0" r="0" b="0"/>
                <wp:wrapNone/>
                <wp:docPr id="36" name="直线 126"/>
                <wp:cNvGraphicFramePr/>
                <a:graphic xmlns:a="http://schemas.openxmlformats.org/drawingml/2006/main">
                  <a:graphicData uri="http://schemas.microsoft.com/office/word/2010/wordprocessingShape">
                    <wps:wsp>
                      <wps:cNvSpPr/>
                      <wps:spPr>
                        <a:xfrm>
                          <a:off x="0" y="0"/>
                          <a:ext cx="923290" cy="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126" o:spid="_x0000_s1026" o:spt="20" style="position:absolute;left:0pt;margin-left:221.05pt;margin-top:21pt;height:0pt;width:72.7pt;mso-position-horizontal-relative:page;z-index:-288970752;mso-width-relative:page;mso-height-relative:page;" filled="f" stroked="t" coordsize="21600,21600" o:gfxdata="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D0Pu1tUAAAAJAQAADwAAAAAAAAABACAAAAAiAAAAZHJz&#10;L2Rvd25yZXYueG1sUEsBAhQAFAAAAAgAh07iQAfxEZvOAQAAjwMAAA4AAAAAAAAAAQAgAAAAJAEA&#10;AGRycy9lMm9Eb2MueG1sUEsFBgAAAAAGAAYAWQEAAGQFAAAAAA==&#10;">
                <v:fill on="f" focussize="0,0"/>
                <v:stroke weight="0.5pt" color="#000000" joinstyle="round"/>
                <v:imagedata o:title=""/>
                <o:lock v:ext="edit" aspectratio="f"/>
              </v:line>
            </w:pict>
          </mc:Fallback>
        </mc:AlternateContent>
      </w:r>
      <w:r>
        <w:t xml:space="preserve">离子的毫克当量数 </w:t>
      </w:r>
      <w:r>
        <w:rPr>
          <w:rFonts w:ascii="Symbol" w:hAnsi="Symbol" w:eastAsia="Symbol"/>
        </w:rPr>
        <w:t></w:t>
      </w:r>
      <w:r>
        <w:rPr>
          <w:rFonts w:ascii="Times New Roman" w:hAnsi="Times New Roman" w:eastAsia="Times New Roman"/>
        </w:rPr>
        <w:t xml:space="preserve"> </w:t>
      </w:r>
      <w:r>
        <w:rPr>
          <w:position w:val="15"/>
        </w:rPr>
        <w:t>离子的毫克数</w:t>
      </w:r>
    </w:p>
    <w:p>
      <w:pPr>
        <w:pStyle w:val="6"/>
        <w:spacing w:line="248" w:lineRule="exact"/>
        <w:ind w:right="2040"/>
        <w:jc w:val="center"/>
      </w:pPr>
      <w:r>
        <w:t>离子的当量</w:t>
      </w:r>
    </w:p>
    <w:p>
      <w:pPr>
        <w:pStyle w:val="6"/>
        <w:spacing w:before="10"/>
        <w:rPr>
          <w:sz w:val="12"/>
        </w:rPr>
      </w:pPr>
    </w:p>
    <w:p>
      <w:pPr>
        <w:pStyle w:val="6"/>
        <w:spacing w:before="67"/>
        <w:ind w:left="1070"/>
      </w:pPr>
      <w:r>
        <w:t>知道了离子在水中的毫克当量数以后，则可根据下式计算其毫克当量百分</w:t>
      </w:r>
    </w:p>
    <w:p>
      <w:pPr>
        <w:pStyle w:val="6"/>
        <w:spacing w:before="160"/>
        <w:ind w:left="551"/>
      </w:pPr>
      <w:r>
        <w:t>数：</w:t>
      </w:r>
    </w:p>
    <w:p>
      <w:pPr>
        <w:pStyle w:val="6"/>
        <w:spacing w:before="1"/>
        <w:rPr>
          <w:sz w:val="12"/>
        </w:rPr>
      </w:pPr>
    </w:p>
    <w:p>
      <w:pPr>
        <w:spacing w:after="0"/>
        <w:rPr>
          <w:sz w:val="12"/>
        </w:rPr>
        <w:sectPr>
          <w:pgSz w:w="11910" w:h="16840"/>
          <w:pgMar w:top="1420" w:right="780" w:bottom="1180" w:left="1200" w:header="0" w:footer="997" w:gutter="0"/>
        </w:sectPr>
      </w:pPr>
    </w:p>
    <w:p>
      <w:pPr>
        <w:pStyle w:val="6"/>
        <w:spacing w:before="222"/>
        <w:ind w:left="1098"/>
        <w:rPr>
          <w:rFonts w:ascii="Symbol" w:hAnsi="Symbol"/>
        </w:rPr>
      </w:pPr>
      <w:r>
        <mc:AlternateContent>
          <mc:Choice Requires="wps">
            <w:drawing>
              <wp:anchor distT="0" distB="0" distL="114300" distR="114300" simplePos="0" relativeHeight="214346752" behindDoc="1" locked="0" layoutInCell="1" allowOverlap="1">
                <wp:simplePos x="0" y="0"/>
                <wp:positionH relativeFrom="page">
                  <wp:posOffset>3442335</wp:posOffset>
                </wp:positionH>
                <wp:positionV relativeFrom="paragraph">
                  <wp:posOffset>255270</wp:posOffset>
                </wp:positionV>
                <wp:extent cx="1565275" cy="0"/>
                <wp:effectExtent l="0" t="0" r="0" b="0"/>
                <wp:wrapNone/>
                <wp:docPr id="38" name="直线 127"/>
                <wp:cNvGraphicFramePr/>
                <a:graphic xmlns:a="http://schemas.openxmlformats.org/drawingml/2006/main">
                  <a:graphicData uri="http://schemas.microsoft.com/office/word/2010/wordprocessingShape">
                    <wps:wsp>
                      <wps:cNvSpPr/>
                      <wps:spPr>
                        <a:xfrm>
                          <a:off x="0" y="0"/>
                          <a:ext cx="1565275" cy="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127" o:spid="_x0000_s1026" o:spt="20" style="position:absolute;left:0pt;margin-left:271.05pt;margin-top:20.1pt;height:0pt;width:123.25pt;mso-position-horizontal-relative:page;z-index:-288969728;mso-width-relative:page;mso-height-relative:page;" filled="f" stroked="t" coordsize="21600,21600" o:gfxdata="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rTx/o1QAAAAkBAAAPAAAAAAAAAAEAIAAAACIAAABk&#10;cnMvZG93bnJldi54bWxQSwECFAAUAAAACACHTuJAHUN+B9ABAACQAwAADgAAAAAAAAABACAAAAAk&#10;AQAAZHJzL2Uyb0RvYy54bWxQSwUGAAAAAAYABgBZAQAAZgUAAAAA&#10;">
                <v:fill on="f" focussize="0,0"/>
                <v:stroke weight="0.5pt" color="#000000" joinstyle="round"/>
                <v:imagedata o:title=""/>
                <o:lock v:ext="edit" aspectratio="f"/>
              </v:line>
            </w:pict>
          </mc:Fallback>
        </mc:AlternateContent>
      </w:r>
      <w:r>
        <w:rPr>
          <w:w w:val="95"/>
        </w:rPr>
        <w:t>某阴离子的毫克当量百分数</w:t>
      </w:r>
      <w:r>
        <w:rPr>
          <w:rFonts w:ascii="Symbol" w:hAnsi="Symbol"/>
          <w:w w:val="95"/>
        </w:rPr>
        <w:t></w:t>
      </w:r>
    </w:p>
    <w:p>
      <w:pPr>
        <w:pStyle w:val="6"/>
        <w:spacing w:before="72" w:line="264" w:lineRule="auto"/>
        <w:ind w:left="14" w:firstLine="245"/>
      </w:pPr>
      <w:r>
        <w:br w:type="column"/>
      </w:r>
      <w:r>
        <w:t>该离子毫克当量</w:t>
      </w:r>
      <w:r>
        <w:rPr>
          <w:rFonts w:ascii="Times New Roman" w:eastAsia="Times New Roman"/>
        </w:rPr>
        <w:t>/</w:t>
      </w:r>
      <w:r>
        <w:t>升</w:t>
      </w:r>
      <w:r>
        <w:rPr>
          <w:w w:val="95"/>
        </w:rPr>
        <w:t>阴离子毫克当量总数</w:t>
      </w:r>
      <w:r>
        <w:rPr>
          <w:rFonts w:ascii="Times New Roman" w:eastAsia="Times New Roman"/>
          <w:w w:val="95"/>
        </w:rPr>
        <w:t>/</w:t>
      </w:r>
      <w:r>
        <w:rPr>
          <w:w w:val="95"/>
        </w:rPr>
        <w:t>升</w:t>
      </w:r>
    </w:p>
    <w:p>
      <w:pPr>
        <w:pStyle w:val="6"/>
        <w:spacing w:before="222"/>
        <w:rPr>
          <w:rFonts w:ascii="Times New Roman" w:hAnsi="Times New Roman"/>
        </w:rPr>
      </w:pPr>
      <w:r>
        <w:br w:type="column"/>
      </w:r>
      <w:r>
        <w:rPr>
          <w:rFonts w:ascii="Symbol" w:hAnsi="Symbol"/>
        </w:rPr>
        <w:t></w:t>
      </w:r>
      <w:r>
        <w:rPr>
          <w:rFonts w:ascii="Times New Roman" w:hAnsi="Times New Roman"/>
        </w:rPr>
        <w:t>100%</w:t>
      </w:r>
    </w:p>
    <w:p>
      <w:pPr>
        <w:spacing w:after="0"/>
        <w:rPr>
          <w:rFonts w:ascii="Times New Roman" w:hAnsi="Times New Roman"/>
        </w:rPr>
        <w:sectPr>
          <w:type w:val="continuous"/>
          <w:pgSz w:w="11910" w:h="16840"/>
          <w:pgMar w:top="1580" w:right="780" w:bottom="280" w:left="1200" w:header="720" w:footer="720" w:gutter="0"/>
          <w:cols w:equalWidth="0" w:num="3">
            <w:col w:w="4161" w:space="40"/>
            <w:col w:w="2480" w:space="39"/>
            <w:col w:w="3210"/>
          </w:cols>
        </w:sectPr>
      </w:pPr>
    </w:p>
    <w:p>
      <w:pPr>
        <w:pStyle w:val="6"/>
        <w:spacing w:before="1"/>
        <w:rPr>
          <w:rFonts w:ascii="Times New Roman"/>
          <w:sz w:val="11"/>
        </w:rPr>
      </w:pPr>
    </w:p>
    <w:p>
      <w:pPr>
        <w:pStyle w:val="6"/>
        <w:spacing w:before="66"/>
        <w:ind w:right="2743"/>
        <w:jc w:val="center"/>
      </w:pPr>
      <w:r>
        <w:t>本次监测离子毫克当量百分比计算结果见下表。</w:t>
      </w:r>
    </w:p>
    <w:p>
      <w:pPr>
        <w:pStyle w:val="5"/>
        <w:spacing w:before="84"/>
        <w:ind w:right="405"/>
        <w:jc w:val="center"/>
      </w:pPr>
      <w:r>
        <w:t xml:space="preserve">表 </w:t>
      </w:r>
      <w:r>
        <w:rPr>
          <w:rFonts w:ascii="Times New Roman" w:eastAsia="Times New Roman"/>
        </w:rPr>
        <w:t xml:space="preserve">6.4-6  </w:t>
      </w:r>
      <w:r>
        <w:t>离子毫克当量百分比计算结果</w:t>
      </w:r>
    </w:p>
    <w:tbl>
      <w:tblPr>
        <w:tblStyle w:val="10"/>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56"/>
        <w:gridCol w:w="1856"/>
        <w:gridCol w:w="1858"/>
        <w:gridCol w:w="1858"/>
        <w:gridCol w:w="18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712" w:type="dxa"/>
            <w:gridSpan w:val="2"/>
          </w:tcPr>
          <w:p>
            <w:pPr>
              <w:pStyle w:val="14"/>
              <w:spacing w:before="21"/>
              <w:ind w:left="1519" w:right="1511"/>
              <w:rPr>
                <w:b/>
                <w:sz w:val="21"/>
              </w:rPr>
            </w:pPr>
            <w:r>
              <w:rPr>
                <w:rFonts w:ascii="Times New Roman" w:eastAsia="Times New Roman"/>
                <w:b/>
                <w:sz w:val="21"/>
              </w:rPr>
              <w:t>1#</w:t>
            </w:r>
            <w:r>
              <w:rPr>
                <w:b/>
                <w:sz w:val="21"/>
              </w:rPr>
              <w:t>离子</w:t>
            </w:r>
          </w:p>
        </w:tc>
        <w:tc>
          <w:tcPr>
            <w:tcW w:w="1858" w:type="dxa"/>
          </w:tcPr>
          <w:p>
            <w:pPr>
              <w:pStyle w:val="14"/>
              <w:spacing w:before="35"/>
              <w:ind w:right="680"/>
              <w:jc w:val="right"/>
              <w:rPr>
                <w:rFonts w:ascii="Times New Roman"/>
                <w:b/>
                <w:sz w:val="21"/>
              </w:rPr>
            </w:pPr>
            <w:r>
              <w:rPr>
                <w:rFonts w:ascii="Times New Roman"/>
                <w:b/>
                <w:w w:val="95"/>
                <w:sz w:val="21"/>
              </w:rPr>
              <w:t>mg/L</w:t>
            </w:r>
          </w:p>
        </w:tc>
        <w:tc>
          <w:tcPr>
            <w:tcW w:w="1858" w:type="dxa"/>
          </w:tcPr>
          <w:p>
            <w:pPr>
              <w:pStyle w:val="14"/>
              <w:spacing w:before="35"/>
              <w:ind w:left="609" w:right="603"/>
              <w:rPr>
                <w:rFonts w:ascii="Times New Roman"/>
                <w:b/>
                <w:sz w:val="21"/>
              </w:rPr>
            </w:pPr>
            <w:r>
              <w:rPr>
                <w:rFonts w:ascii="Times New Roman"/>
                <w:b/>
                <w:sz w:val="21"/>
              </w:rPr>
              <w:t>meq/L</w:t>
            </w:r>
          </w:p>
        </w:tc>
        <w:tc>
          <w:tcPr>
            <w:tcW w:w="1858" w:type="dxa"/>
          </w:tcPr>
          <w:p>
            <w:pPr>
              <w:pStyle w:val="14"/>
              <w:spacing w:before="35"/>
              <w:ind w:left="610" w:right="603"/>
              <w:rPr>
                <w:rFonts w:ascii="Times New Roman"/>
                <w:b/>
                <w:sz w:val="21"/>
              </w:rPr>
            </w:pPr>
            <w:r>
              <w:rPr>
                <w:rFonts w:ascii="Times New Roman"/>
                <w:b/>
                <w:sz w:val="21"/>
              </w:rPr>
              <w:t>meq%</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856" w:type="dxa"/>
            <w:vMerge w:val="restart"/>
          </w:tcPr>
          <w:p>
            <w:pPr>
              <w:pStyle w:val="14"/>
              <w:spacing w:before="12"/>
              <w:jc w:val="left"/>
              <w:rPr>
                <w:b/>
                <w:sz w:val="14"/>
              </w:rPr>
            </w:pPr>
          </w:p>
          <w:p>
            <w:pPr>
              <w:pStyle w:val="14"/>
              <w:spacing w:line="278" w:lineRule="auto"/>
              <w:ind w:left="823" w:right="811"/>
              <w:jc w:val="both"/>
              <w:rPr>
                <w:b/>
                <w:sz w:val="21"/>
              </w:rPr>
            </w:pPr>
            <w:r>
              <w:rPr>
                <w:b/>
                <w:sz w:val="21"/>
              </w:rPr>
              <w:t>阳离子</w:t>
            </w:r>
          </w:p>
        </w:tc>
        <w:tc>
          <w:tcPr>
            <w:tcW w:w="1856" w:type="dxa"/>
          </w:tcPr>
          <w:p>
            <w:pPr>
              <w:pStyle w:val="14"/>
              <w:spacing w:before="35"/>
              <w:ind w:left="577" w:right="567"/>
              <w:rPr>
                <w:rFonts w:ascii="Times New Roman"/>
                <w:sz w:val="13"/>
              </w:rPr>
            </w:pPr>
            <w:r>
              <w:rPr>
                <w:rFonts w:ascii="Times New Roman"/>
                <w:sz w:val="21"/>
              </w:rPr>
              <w:t>K</w:t>
            </w:r>
            <w:r>
              <w:rPr>
                <w:rFonts w:ascii="Times New Roman"/>
                <w:position w:val="7"/>
                <w:sz w:val="13"/>
              </w:rPr>
              <w:t>+</w:t>
            </w:r>
            <w:r>
              <w:rPr>
                <w:rFonts w:ascii="Times New Roman"/>
                <w:sz w:val="21"/>
              </w:rPr>
              <w:t>+Na</w:t>
            </w:r>
            <w:r>
              <w:rPr>
                <w:rFonts w:ascii="Times New Roman"/>
                <w:position w:val="7"/>
                <w:sz w:val="13"/>
              </w:rPr>
              <w:t>+</w:t>
            </w:r>
          </w:p>
        </w:tc>
        <w:tc>
          <w:tcPr>
            <w:tcW w:w="1858" w:type="dxa"/>
          </w:tcPr>
          <w:p>
            <w:pPr>
              <w:pStyle w:val="14"/>
              <w:spacing w:before="35"/>
              <w:ind w:right="732"/>
              <w:jc w:val="right"/>
              <w:rPr>
                <w:rFonts w:ascii="Times New Roman"/>
                <w:sz w:val="21"/>
              </w:rPr>
            </w:pPr>
            <w:r>
              <w:rPr>
                <w:rFonts w:ascii="Times New Roman"/>
                <w:sz w:val="21"/>
              </w:rPr>
              <w:t>21.3</w:t>
            </w:r>
          </w:p>
        </w:tc>
        <w:tc>
          <w:tcPr>
            <w:tcW w:w="1858" w:type="dxa"/>
          </w:tcPr>
          <w:p>
            <w:pPr>
              <w:pStyle w:val="14"/>
              <w:spacing w:before="35"/>
              <w:ind w:left="610" w:right="601"/>
              <w:rPr>
                <w:rFonts w:ascii="Times New Roman"/>
                <w:sz w:val="21"/>
              </w:rPr>
            </w:pPr>
            <w:r>
              <w:rPr>
                <w:rFonts w:ascii="Times New Roman"/>
                <w:sz w:val="21"/>
              </w:rPr>
              <w:t>0.909</w:t>
            </w:r>
          </w:p>
        </w:tc>
        <w:tc>
          <w:tcPr>
            <w:tcW w:w="1858" w:type="dxa"/>
          </w:tcPr>
          <w:p>
            <w:pPr>
              <w:pStyle w:val="14"/>
              <w:spacing w:before="35"/>
              <w:ind w:left="610" w:right="599"/>
              <w:rPr>
                <w:rFonts w:ascii="Times New Roman"/>
                <w:sz w:val="21"/>
              </w:rPr>
            </w:pPr>
            <w:r>
              <w:rPr>
                <w:rFonts w:ascii="Times New Roman"/>
                <w:sz w:val="21"/>
              </w:rPr>
              <w:t>17.31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856" w:type="dxa"/>
            <w:vMerge w:val="continue"/>
            <w:tcBorders>
              <w:top w:val="nil"/>
            </w:tcBorders>
          </w:tcPr>
          <w:p>
            <w:pPr>
              <w:rPr>
                <w:sz w:val="2"/>
                <w:szCs w:val="2"/>
              </w:rPr>
            </w:pPr>
          </w:p>
        </w:tc>
        <w:tc>
          <w:tcPr>
            <w:tcW w:w="1856" w:type="dxa"/>
          </w:tcPr>
          <w:p>
            <w:pPr>
              <w:pStyle w:val="14"/>
              <w:spacing w:before="35"/>
              <w:ind w:left="577" w:right="567"/>
              <w:rPr>
                <w:rFonts w:ascii="Times New Roman"/>
                <w:sz w:val="13"/>
              </w:rPr>
            </w:pPr>
            <w:r>
              <w:rPr>
                <w:rFonts w:ascii="Times New Roman"/>
                <w:position w:val="-6"/>
                <w:sz w:val="21"/>
              </w:rPr>
              <w:t>Ca</w:t>
            </w:r>
            <w:r>
              <w:rPr>
                <w:rFonts w:ascii="Times New Roman"/>
                <w:sz w:val="13"/>
              </w:rPr>
              <w:t>2+</w:t>
            </w:r>
          </w:p>
        </w:tc>
        <w:tc>
          <w:tcPr>
            <w:tcW w:w="1858" w:type="dxa"/>
          </w:tcPr>
          <w:p>
            <w:pPr>
              <w:pStyle w:val="14"/>
              <w:spacing w:before="34"/>
              <w:ind w:right="732"/>
              <w:jc w:val="right"/>
              <w:rPr>
                <w:rFonts w:ascii="Times New Roman"/>
                <w:sz w:val="21"/>
              </w:rPr>
            </w:pPr>
            <w:r>
              <w:rPr>
                <w:rFonts w:ascii="Times New Roman"/>
                <w:sz w:val="21"/>
              </w:rPr>
              <w:t>43.6</w:t>
            </w:r>
          </w:p>
        </w:tc>
        <w:tc>
          <w:tcPr>
            <w:tcW w:w="1858" w:type="dxa"/>
          </w:tcPr>
          <w:p>
            <w:pPr>
              <w:pStyle w:val="14"/>
              <w:spacing w:before="34"/>
              <w:ind w:left="610" w:right="601"/>
              <w:rPr>
                <w:rFonts w:ascii="Times New Roman"/>
                <w:sz w:val="21"/>
              </w:rPr>
            </w:pPr>
            <w:r>
              <w:rPr>
                <w:rFonts w:ascii="Times New Roman"/>
                <w:sz w:val="21"/>
              </w:rPr>
              <w:t>2.180</w:t>
            </w:r>
          </w:p>
        </w:tc>
        <w:tc>
          <w:tcPr>
            <w:tcW w:w="1858" w:type="dxa"/>
          </w:tcPr>
          <w:p>
            <w:pPr>
              <w:pStyle w:val="14"/>
              <w:spacing w:before="34"/>
              <w:ind w:left="610" w:right="599"/>
              <w:rPr>
                <w:rFonts w:ascii="Times New Roman"/>
                <w:sz w:val="21"/>
              </w:rPr>
            </w:pPr>
            <w:r>
              <w:rPr>
                <w:rFonts w:ascii="Times New Roman"/>
                <w:sz w:val="21"/>
              </w:rPr>
              <w:t>41.55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856" w:type="dxa"/>
            <w:vMerge w:val="continue"/>
            <w:tcBorders>
              <w:top w:val="nil"/>
            </w:tcBorders>
          </w:tcPr>
          <w:p>
            <w:pPr>
              <w:rPr>
                <w:sz w:val="2"/>
                <w:szCs w:val="2"/>
              </w:rPr>
            </w:pPr>
          </w:p>
        </w:tc>
        <w:tc>
          <w:tcPr>
            <w:tcW w:w="1856" w:type="dxa"/>
          </w:tcPr>
          <w:p>
            <w:pPr>
              <w:pStyle w:val="14"/>
              <w:spacing w:before="37"/>
              <w:ind w:left="577" w:right="567"/>
              <w:rPr>
                <w:rFonts w:ascii="Times New Roman"/>
                <w:sz w:val="13"/>
              </w:rPr>
            </w:pPr>
            <w:r>
              <w:rPr>
                <w:rFonts w:ascii="Times New Roman"/>
                <w:position w:val="-6"/>
                <w:sz w:val="21"/>
              </w:rPr>
              <w:t>Mg</w:t>
            </w:r>
            <w:r>
              <w:rPr>
                <w:rFonts w:ascii="Times New Roman"/>
                <w:sz w:val="13"/>
              </w:rPr>
              <w:t>2+</w:t>
            </w:r>
          </w:p>
        </w:tc>
        <w:tc>
          <w:tcPr>
            <w:tcW w:w="1858" w:type="dxa"/>
          </w:tcPr>
          <w:p>
            <w:pPr>
              <w:pStyle w:val="14"/>
              <w:spacing w:before="34"/>
              <w:ind w:right="732"/>
              <w:jc w:val="right"/>
              <w:rPr>
                <w:rFonts w:ascii="Times New Roman"/>
                <w:sz w:val="21"/>
              </w:rPr>
            </w:pPr>
            <w:r>
              <w:rPr>
                <w:rFonts w:ascii="Times New Roman"/>
                <w:sz w:val="21"/>
              </w:rPr>
              <w:t>25.9</w:t>
            </w:r>
          </w:p>
        </w:tc>
        <w:tc>
          <w:tcPr>
            <w:tcW w:w="1858" w:type="dxa"/>
          </w:tcPr>
          <w:p>
            <w:pPr>
              <w:pStyle w:val="14"/>
              <w:spacing w:before="34"/>
              <w:ind w:left="610" w:right="601"/>
              <w:rPr>
                <w:rFonts w:ascii="Times New Roman"/>
                <w:sz w:val="21"/>
              </w:rPr>
            </w:pPr>
            <w:r>
              <w:rPr>
                <w:rFonts w:ascii="Times New Roman"/>
                <w:sz w:val="21"/>
              </w:rPr>
              <w:t>2.158</w:t>
            </w:r>
          </w:p>
        </w:tc>
        <w:tc>
          <w:tcPr>
            <w:tcW w:w="1858" w:type="dxa"/>
          </w:tcPr>
          <w:p>
            <w:pPr>
              <w:pStyle w:val="14"/>
              <w:spacing w:before="34"/>
              <w:ind w:left="610" w:right="599"/>
              <w:rPr>
                <w:rFonts w:ascii="Times New Roman"/>
                <w:sz w:val="21"/>
              </w:rPr>
            </w:pPr>
            <w:r>
              <w:rPr>
                <w:rFonts w:ascii="Times New Roman"/>
                <w:sz w:val="21"/>
              </w:rPr>
              <w:t>41.14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856" w:type="dxa"/>
            <w:vMerge w:val="continue"/>
            <w:tcBorders>
              <w:top w:val="nil"/>
            </w:tcBorders>
          </w:tcPr>
          <w:p>
            <w:pPr>
              <w:rPr>
                <w:sz w:val="2"/>
                <w:szCs w:val="2"/>
              </w:rPr>
            </w:pPr>
          </w:p>
        </w:tc>
        <w:tc>
          <w:tcPr>
            <w:tcW w:w="1856" w:type="dxa"/>
          </w:tcPr>
          <w:p>
            <w:pPr>
              <w:pStyle w:val="14"/>
              <w:spacing w:before="22"/>
              <w:ind w:left="572" w:right="567"/>
              <w:rPr>
                <w:sz w:val="21"/>
              </w:rPr>
            </w:pPr>
            <w:r>
              <w:rPr>
                <w:sz w:val="21"/>
              </w:rPr>
              <w:t>总计</w:t>
            </w:r>
          </w:p>
        </w:tc>
        <w:tc>
          <w:tcPr>
            <w:tcW w:w="1858" w:type="dxa"/>
          </w:tcPr>
          <w:p>
            <w:pPr>
              <w:pStyle w:val="14"/>
              <w:spacing w:before="36"/>
              <w:ind w:right="732"/>
              <w:jc w:val="right"/>
              <w:rPr>
                <w:rFonts w:ascii="Times New Roman"/>
                <w:sz w:val="21"/>
              </w:rPr>
            </w:pPr>
            <w:r>
              <w:rPr>
                <w:rFonts w:ascii="Times New Roman"/>
                <w:sz w:val="21"/>
              </w:rPr>
              <w:t>90.8</w:t>
            </w:r>
          </w:p>
        </w:tc>
        <w:tc>
          <w:tcPr>
            <w:tcW w:w="1858" w:type="dxa"/>
          </w:tcPr>
          <w:p>
            <w:pPr>
              <w:pStyle w:val="14"/>
              <w:spacing w:before="36"/>
              <w:ind w:left="610" w:right="601"/>
              <w:rPr>
                <w:rFonts w:ascii="Times New Roman"/>
                <w:sz w:val="21"/>
              </w:rPr>
            </w:pPr>
            <w:r>
              <w:rPr>
                <w:rFonts w:ascii="Times New Roman"/>
                <w:sz w:val="21"/>
              </w:rPr>
              <w:t>5.247</w:t>
            </w:r>
          </w:p>
        </w:tc>
        <w:tc>
          <w:tcPr>
            <w:tcW w:w="1858" w:type="dxa"/>
          </w:tcPr>
          <w:p>
            <w:pPr>
              <w:pStyle w:val="14"/>
              <w:spacing w:before="36"/>
              <w:ind w:left="609" w:right="603"/>
              <w:rPr>
                <w:rFonts w:ascii="Times New Roman"/>
                <w:sz w:val="21"/>
              </w:rPr>
            </w:pPr>
            <w:r>
              <w:rPr>
                <w:rFonts w:ascii="Times New Roman"/>
                <w:sz w:val="21"/>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856" w:type="dxa"/>
            <w:vMerge w:val="restart"/>
          </w:tcPr>
          <w:p>
            <w:pPr>
              <w:pStyle w:val="14"/>
              <w:jc w:val="left"/>
              <w:rPr>
                <w:b/>
                <w:sz w:val="15"/>
              </w:rPr>
            </w:pPr>
          </w:p>
          <w:p>
            <w:pPr>
              <w:pStyle w:val="14"/>
              <w:spacing w:line="278" w:lineRule="auto"/>
              <w:ind w:left="823" w:right="811"/>
              <w:jc w:val="both"/>
              <w:rPr>
                <w:b/>
                <w:sz w:val="21"/>
              </w:rPr>
            </w:pPr>
            <w:r>
              <w:rPr>
                <w:b/>
                <w:sz w:val="21"/>
              </w:rPr>
              <w:t>阴离子</w:t>
            </w:r>
          </w:p>
        </w:tc>
        <w:tc>
          <w:tcPr>
            <w:tcW w:w="1856" w:type="dxa"/>
          </w:tcPr>
          <w:p>
            <w:pPr>
              <w:pStyle w:val="14"/>
              <w:spacing w:before="35" w:line="166" w:lineRule="exact"/>
              <w:ind w:left="577" w:right="567"/>
              <w:rPr>
                <w:rFonts w:ascii="Times New Roman"/>
                <w:sz w:val="13"/>
              </w:rPr>
            </w:pPr>
            <w:r>
              <w:rPr>
                <w:rFonts w:ascii="Times New Roman"/>
                <w:sz w:val="21"/>
              </w:rPr>
              <w:t xml:space="preserve">HCO </w:t>
            </w:r>
            <w:r>
              <w:rPr>
                <w:rFonts w:ascii="Times New Roman"/>
                <w:position w:val="7"/>
                <w:sz w:val="13"/>
              </w:rPr>
              <w:t>-</w:t>
            </w:r>
          </w:p>
          <w:p>
            <w:pPr>
              <w:pStyle w:val="14"/>
              <w:spacing w:line="74" w:lineRule="exact"/>
              <w:ind w:left="410"/>
              <w:rPr>
                <w:rFonts w:ascii="Times New Roman"/>
                <w:sz w:val="13"/>
              </w:rPr>
            </w:pPr>
            <w:r>
              <w:rPr>
                <w:rFonts w:ascii="Times New Roman"/>
                <w:w w:val="105"/>
                <w:sz w:val="13"/>
              </w:rPr>
              <w:t>3</w:t>
            </w:r>
          </w:p>
        </w:tc>
        <w:tc>
          <w:tcPr>
            <w:tcW w:w="1858" w:type="dxa"/>
          </w:tcPr>
          <w:p>
            <w:pPr>
              <w:pStyle w:val="14"/>
              <w:spacing w:before="35"/>
              <w:ind w:right="679"/>
              <w:jc w:val="right"/>
              <w:rPr>
                <w:rFonts w:ascii="Times New Roman"/>
                <w:sz w:val="21"/>
              </w:rPr>
            </w:pPr>
            <w:r>
              <w:rPr>
                <w:rFonts w:ascii="Times New Roman"/>
                <w:sz w:val="21"/>
              </w:rPr>
              <w:t>280.3</w:t>
            </w:r>
          </w:p>
        </w:tc>
        <w:tc>
          <w:tcPr>
            <w:tcW w:w="1858" w:type="dxa"/>
          </w:tcPr>
          <w:p>
            <w:pPr>
              <w:pStyle w:val="14"/>
              <w:spacing w:before="35"/>
              <w:ind w:left="610" w:right="601"/>
              <w:rPr>
                <w:rFonts w:ascii="Times New Roman"/>
                <w:sz w:val="21"/>
              </w:rPr>
            </w:pPr>
            <w:r>
              <w:rPr>
                <w:rFonts w:ascii="Times New Roman"/>
                <w:sz w:val="21"/>
              </w:rPr>
              <w:t>4.595</w:t>
            </w:r>
          </w:p>
        </w:tc>
        <w:tc>
          <w:tcPr>
            <w:tcW w:w="1858" w:type="dxa"/>
          </w:tcPr>
          <w:p>
            <w:pPr>
              <w:pStyle w:val="14"/>
              <w:spacing w:before="35"/>
              <w:ind w:left="610" w:right="599"/>
              <w:rPr>
                <w:rFonts w:ascii="Times New Roman"/>
                <w:sz w:val="21"/>
              </w:rPr>
            </w:pPr>
            <w:r>
              <w:rPr>
                <w:rFonts w:ascii="Times New Roman"/>
                <w:sz w:val="21"/>
              </w:rPr>
              <w:t>89.26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856" w:type="dxa"/>
            <w:vMerge w:val="continue"/>
            <w:tcBorders>
              <w:top w:val="nil"/>
            </w:tcBorders>
          </w:tcPr>
          <w:p>
            <w:pPr>
              <w:rPr>
                <w:sz w:val="2"/>
                <w:szCs w:val="2"/>
              </w:rPr>
            </w:pPr>
          </w:p>
        </w:tc>
        <w:tc>
          <w:tcPr>
            <w:tcW w:w="1856" w:type="dxa"/>
          </w:tcPr>
          <w:p>
            <w:pPr>
              <w:pStyle w:val="14"/>
              <w:spacing w:before="35"/>
              <w:ind w:left="575" w:right="567"/>
              <w:rPr>
                <w:rFonts w:ascii="Times New Roman"/>
                <w:sz w:val="13"/>
              </w:rPr>
            </w:pPr>
            <w:r>
              <w:rPr>
                <w:rFonts w:ascii="Times New Roman"/>
                <w:sz w:val="21"/>
              </w:rPr>
              <w:t>Cl</w:t>
            </w:r>
            <w:r>
              <w:rPr>
                <w:rFonts w:ascii="Times New Roman"/>
                <w:position w:val="7"/>
                <w:sz w:val="13"/>
              </w:rPr>
              <w:t>-</w:t>
            </w:r>
          </w:p>
        </w:tc>
        <w:tc>
          <w:tcPr>
            <w:tcW w:w="1858" w:type="dxa"/>
          </w:tcPr>
          <w:p>
            <w:pPr>
              <w:pStyle w:val="14"/>
              <w:spacing w:before="35"/>
              <w:ind w:right="732"/>
              <w:jc w:val="right"/>
              <w:rPr>
                <w:rFonts w:ascii="Times New Roman"/>
                <w:sz w:val="21"/>
              </w:rPr>
            </w:pPr>
            <w:r>
              <w:rPr>
                <w:rFonts w:ascii="Times New Roman"/>
                <w:sz w:val="21"/>
              </w:rPr>
              <w:t>10.3</w:t>
            </w:r>
          </w:p>
        </w:tc>
        <w:tc>
          <w:tcPr>
            <w:tcW w:w="1858" w:type="dxa"/>
          </w:tcPr>
          <w:p>
            <w:pPr>
              <w:pStyle w:val="14"/>
              <w:spacing w:before="35"/>
              <w:ind w:left="610" w:right="601"/>
              <w:rPr>
                <w:rFonts w:ascii="Times New Roman"/>
                <w:sz w:val="21"/>
              </w:rPr>
            </w:pPr>
            <w:r>
              <w:rPr>
                <w:rFonts w:ascii="Times New Roman"/>
                <w:sz w:val="21"/>
              </w:rPr>
              <w:t>0.290</w:t>
            </w:r>
          </w:p>
        </w:tc>
        <w:tc>
          <w:tcPr>
            <w:tcW w:w="1858" w:type="dxa"/>
          </w:tcPr>
          <w:p>
            <w:pPr>
              <w:pStyle w:val="14"/>
              <w:spacing w:before="35"/>
              <w:ind w:left="610" w:right="602"/>
              <w:rPr>
                <w:rFonts w:ascii="Times New Roman"/>
                <w:sz w:val="21"/>
              </w:rPr>
            </w:pPr>
            <w:r>
              <w:rPr>
                <w:rFonts w:ascii="Times New Roman"/>
                <w:sz w:val="21"/>
              </w:rPr>
              <w:t>5.64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856" w:type="dxa"/>
            <w:vMerge w:val="continue"/>
            <w:tcBorders>
              <w:top w:val="nil"/>
            </w:tcBorders>
          </w:tcPr>
          <w:p>
            <w:pPr>
              <w:rPr>
                <w:sz w:val="2"/>
                <w:szCs w:val="2"/>
              </w:rPr>
            </w:pPr>
          </w:p>
        </w:tc>
        <w:tc>
          <w:tcPr>
            <w:tcW w:w="1856" w:type="dxa"/>
          </w:tcPr>
          <w:p>
            <w:pPr>
              <w:pStyle w:val="14"/>
              <w:spacing w:before="35" w:line="166" w:lineRule="exact"/>
              <w:ind w:left="577" w:right="567"/>
              <w:rPr>
                <w:rFonts w:ascii="Times New Roman"/>
                <w:sz w:val="13"/>
              </w:rPr>
            </w:pPr>
            <w:r>
              <w:rPr>
                <w:rFonts w:ascii="Times New Roman"/>
                <w:position w:val="-6"/>
                <w:sz w:val="21"/>
              </w:rPr>
              <w:t xml:space="preserve">SO </w:t>
            </w:r>
            <w:r>
              <w:rPr>
                <w:rFonts w:ascii="Times New Roman"/>
                <w:sz w:val="13"/>
              </w:rPr>
              <w:t>2-</w:t>
            </w:r>
          </w:p>
          <w:p>
            <w:pPr>
              <w:pStyle w:val="14"/>
              <w:spacing w:line="74" w:lineRule="exact"/>
              <w:ind w:left="165"/>
              <w:rPr>
                <w:rFonts w:ascii="Times New Roman"/>
                <w:sz w:val="13"/>
              </w:rPr>
            </w:pPr>
            <w:r>
              <w:rPr>
                <w:rFonts w:ascii="Times New Roman"/>
                <w:w w:val="105"/>
                <w:sz w:val="13"/>
              </w:rPr>
              <w:t>4</w:t>
            </w:r>
          </w:p>
        </w:tc>
        <w:tc>
          <w:tcPr>
            <w:tcW w:w="1858" w:type="dxa"/>
          </w:tcPr>
          <w:p>
            <w:pPr>
              <w:pStyle w:val="14"/>
              <w:spacing w:before="35"/>
              <w:ind w:right="732"/>
              <w:jc w:val="right"/>
              <w:rPr>
                <w:rFonts w:ascii="Times New Roman"/>
                <w:sz w:val="21"/>
              </w:rPr>
            </w:pPr>
            <w:r>
              <w:rPr>
                <w:rFonts w:ascii="Times New Roman"/>
                <w:sz w:val="21"/>
              </w:rPr>
              <w:t>12.6</w:t>
            </w:r>
          </w:p>
        </w:tc>
        <w:tc>
          <w:tcPr>
            <w:tcW w:w="1858" w:type="dxa"/>
          </w:tcPr>
          <w:p>
            <w:pPr>
              <w:pStyle w:val="14"/>
              <w:spacing w:before="35"/>
              <w:ind w:left="610" w:right="601"/>
              <w:rPr>
                <w:rFonts w:ascii="Times New Roman"/>
                <w:sz w:val="21"/>
              </w:rPr>
            </w:pPr>
            <w:r>
              <w:rPr>
                <w:rFonts w:ascii="Times New Roman"/>
                <w:sz w:val="21"/>
              </w:rPr>
              <w:t>0.263</w:t>
            </w:r>
          </w:p>
        </w:tc>
        <w:tc>
          <w:tcPr>
            <w:tcW w:w="1858" w:type="dxa"/>
          </w:tcPr>
          <w:p>
            <w:pPr>
              <w:pStyle w:val="14"/>
              <w:spacing w:before="35"/>
              <w:ind w:left="610" w:right="602"/>
              <w:rPr>
                <w:rFonts w:ascii="Times New Roman"/>
                <w:sz w:val="21"/>
              </w:rPr>
            </w:pPr>
            <w:r>
              <w:rPr>
                <w:rFonts w:ascii="Times New Roman"/>
                <w:sz w:val="21"/>
              </w:rPr>
              <w:t>5.10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856" w:type="dxa"/>
            <w:vMerge w:val="continue"/>
            <w:tcBorders>
              <w:top w:val="nil"/>
            </w:tcBorders>
          </w:tcPr>
          <w:p>
            <w:pPr>
              <w:rPr>
                <w:sz w:val="2"/>
                <w:szCs w:val="2"/>
              </w:rPr>
            </w:pPr>
          </w:p>
        </w:tc>
        <w:tc>
          <w:tcPr>
            <w:tcW w:w="1856" w:type="dxa"/>
          </w:tcPr>
          <w:p>
            <w:pPr>
              <w:pStyle w:val="14"/>
              <w:spacing w:before="20"/>
              <w:ind w:left="572" w:right="567"/>
              <w:rPr>
                <w:sz w:val="21"/>
              </w:rPr>
            </w:pPr>
            <w:r>
              <w:rPr>
                <w:sz w:val="21"/>
              </w:rPr>
              <w:t>总计</w:t>
            </w:r>
          </w:p>
        </w:tc>
        <w:tc>
          <w:tcPr>
            <w:tcW w:w="1858" w:type="dxa"/>
          </w:tcPr>
          <w:p>
            <w:pPr>
              <w:pStyle w:val="14"/>
              <w:spacing w:before="34"/>
              <w:ind w:right="679"/>
              <w:jc w:val="right"/>
              <w:rPr>
                <w:rFonts w:ascii="Times New Roman"/>
                <w:sz w:val="21"/>
              </w:rPr>
            </w:pPr>
            <w:r>
              <w:rPr>
                <w:rFonts w:ascii="Times New Roman"/>
                <w:sz w:val="21"/>
              </w:rPr>
              <w:t>303.2</w:t>
            </w:r>
          </w:p>
        </w:tc>
        <w:tc>
          <w:tcPr>
            <w:tcW w:w="1858" w:type="dxa"/>
          </w:tcPr>
          <w:p>
            <w:pPr>
              <w:pStyle w:val="14"/>
              <w:spacing w:before="34"/>
              <w:ind w:left="610" w:right="601"/>
              <w:rPr>
                <w:rFonts w:ascii="Times New Roman"/>
                <w:sz w:val="21"/>
              </w:rPr>
            </w:pPr>
            <w:r>
              <w:rPr>
                <w:rFonts w:ascii="Times New Roman"/>
                <w:sz w:val="21"/>
              </w:rPr>
              <w:t>5.148</w:t>
            </w:r>
          </w:p>
        </w:tc>
        <w:tc>
          <w:tcPr>
            <w:tcW w:w="1858" w:type="dxa"/>
          </w:tcPr>
          <w:p>
            <w:pPr>
              <w:pStyle w:val="14"/>
              <w:spacing w:before="34"/>
              <w:ind w:left="609" w:right="603"/>
              <w:rPr>
                <w:rFonts w:ascii="Times New Roman"/>
                <w:sz w:val="21"/>
              </w:rPr>
            </w:pPr>
            <w:r>
              <w:rPr>
                <w:rFonts w:ascii="Times New Roman"/>
                <w:sz w:val="21"/>
              </w:rPr>
              <w:t>100.00</w:t>
            </w:r>
          </w:p>
        </w:tc>
      </w:tr>
    </w:tbl>
    <w:p>
      <w:pPr>
        <w:spacing w:after="0"/>
        <w:rPr>
          <w:rFonts w:ascii="Times New Roman"/>
          <w:sz w:val="21"/>
        </w:rPr>
        <w:sectPr>
          <w:type w:val="continuous"/>
          <w:pgSz w:w="11910" w:h="16840"/>
          <w:pgMar w:top="1580" w:right="780" w:bottom="280" w:left="1200" w:header="720" w:footer="720" w:gutter="0"/>
        </w:sectPr>
      </w:pPr>
    </w:p>
    <w:tbl>
      <w:tblPr>
        <w:tblStyle w:val="10"/>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56"/>
        <w:gridCol w:w="1856"/>
        <w:gridCol w:w="1858"/>
        <w:gridCol w:w="1858"/>
        <w:gridCol w:w="18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712" w:type="dxa"/>
            <w:gridSpan w:val="2"/>
          </w:tcPr>
          <w:p>
            <w:pPr>
              <w:pStyle w:val="14"/>
              <w:spacing w:before="21"/>
              <w:ind w:left="1519" w:right="1511"/>
              <w:rPr>
                <w:b/>
                <w:sz w:val="21"/>
              </w:rPr>
            </w:pPr>
            <w:r>
              <w:rPr>
                <w:rFonts w:ascii="Times New Roman" w:eastAsia="Times New Roman"/>
                <w:b/>
                <w:sz w:val="21"/>
              </w:rPr>
              <w:t>2#</w:t>
            </w:r>
            <w:r>
              <w:rPr>
                <w:b/>
                <w:sz w:val="21"/>
              </w:rPr>
              <w:t>离子</w:t>
            </w:r>
          </w:p>
        </w:tc>
        <w:tc>
          <w:tcPr>
            <w:tcW w:w="1858" w:type="dxa"/>
          </w:tcPr>
          <w:p>
            <w:pPr>
              <w:pStyle w:val="14"/>
              <w:spacing w:before="35"/>
              <w:ind w:right="680"/>
              <w:jc w:val="right"/>
              <w:rPr>
                <w:rFonts w:ascii="Times New Roman"/>
                <w:b/>
                <w:sz w:val="21"/>
              </w:rPr>
            </w:pPr>
            <w:r>
              <w:rPr>
                <w:rFonts w:ascii="Times New Roman"/>
                <w:b/>
                <w:w w:val="95"/>
                <w:sz w:val="21"/>
              </w:rPr>
              <w:t>mg/L</w:t>
            </w:r>
          </w:p>
        </w:tc>
        <w:tc>
          <w:tcPr>
            <w:tcW w:w="1858" w:type="dxa"/>
          </w:tcPr>
          <w:p>
            <w:pPr>
              <w:pStyle w:val="14"/>
              <w:spacing w:before="35"/>
              <w:ind w:left="609" w:right="603"/>
              <w:rPr>
                <w:rFonts w:ascii="Times New Roman"/>
                <w:b/>
                <w:sz w:val="21"/>
              </w:rPr>
            </w:pPr>
            <w:r>
              <w:rPr>
                <w:rFonts w:ascii="Times New Roman"/>
                <w:b/>
                <w:sz w:val="21"/>
              </w:rPr>
              <w:t>meq/L</w:t>
            </w:r>
          </w:p>
        </w:tc>
        <w:tc>
          <w:tcPr>
            <w:tcW w:w="1858" w:type="dxa"/>
          </w:tcPr>
          <w:p>
            <w:pPr>
              <w:pStyle w:val="14"/>
              <w:spacing w:before="35"/>
              <w:ind w:left="610" w:right="603"/>
              <w:rPr>
                <w:rFonts w:ascii="Times New Roman"/>
                <w:b/>
                <w:sz w:val="21"/>
              </w:rPr>
            </w:pPr>
            <w:r>
              <w:rPr>
                <w:rFonts w:ascii="Times New Roman"/>
                <w:b/>
                <w:sz w:val="21"/>
              </w:rPr>
              <w:t>meq%</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856" w:type="dxa"/>
            <w:vMerge w:val="restart"/>
          </w:tcPr>
          <w:p>
            <w:pPr>
              <w:pStyle w:val="14"/>
              <w:spacing w:before="11"/>
              <w:jc w:val="left"/>
              <w:rPr>
                <w:b/>
                <w:sz w:val="14"/>
              </w:rPr>
            </w:pPr>
          </w:p>
          <w:p>
            <w:pPr>
              <w:pStyle w:val="14"/>
              <w:spacing w:before="1" w:line="278" w:lineRule="auto"/>
              <w:ind w:left="823" w:right="811"/>
              <w:jc w:val="both"/>
              <w:rPr>
                <w:b/>
                <w:sz w:val="21"/>
              </w:rPr>
            </w:pPr>
            <w:r>
              <w:rPr>
                <w:b/>
                <w:sz w:val="21"/>
              </w:rPr>
              <w:t>阳离子</w:t>
            </w:r>
          </w:p>
        </w:tc>
        <w:tc>
          <w:tcPr>
            <w:tcW w:w="1856" w:type="dxa"/>
          </w:tcPr>
          <w:p>
            <w:pPr>
              <w:pStyle w:val="14"/>
              <w:spacing w:before="34"/>
              <w:ind w:left="577" w:right="567"/>
              <w:rPr>
                <w:rFonts w:ascii="Times New Roman"/>
                <w:sz w:val="13"/>
              </w:rPr>
            </w:pPr>
            <w:r>
              <w:rPr>
                <w:rFonts w:ascii="Times New Roman"/>
                <w:sz w:val="21"/>
              </w:rPr>
              <w:t>K</w:t>
            </w:r>
            <w:r>
              <w:rPr>
                <w:rFonts w:ascii="Times New Roman"/>
                <w:position w:val="7"/>
                <w:sz w:val="13"/>
              </w:rPr>
              <w:t>+</w:t>
            </w:r>
            <w:r>
              <w:rPr>
                <w:rFonts w:ascii="Times New Roman"/>
                <w:sz w:val="21"/>
              </w:rPr>
              <w:t>+Na</w:t>
            </w:r>
            <w:r>
              <w:rPr>
                <w:rFonts w:ascii="Times New Roman"/>
                <w:position w:val="7"/>
                <w:sz w:val="13"/>
              </w:rPr>
              <w:t>+</w:t>
            </w:r>
          </w:p>
        </w:tc>
        <w:tc>
          <w:tcPr>
            <w:tcW w:w="1858" w:type="dxa"/>
          </w:tcPr>
          <w:p>
            <w:pPr>
              <w:pStyle w:val="14"/>
              <w:spacing w:before="34"/>
              <w:ind w:right="732"/>
              <w:jc w:val="right"/>
              <w:rPr>
                <w:rFonts w:ascii="Times New Roman"/>
                <w:sz w:val="21"/>
              </w:rPr>
            </w:pPr>
            <w:r>
              <w:rPr>
                <w:rFonts w:ascii="Times New Roman"/>
                <w:sz w:val="21"/>
              </w:rPr>
              <w:t>8.71</w:t>
            </w:r>
          </w:p>
        </w:tc>
        <w:tc>
          <w:tcPr>
            <w:tcW w:w="1858" w:type="dxa"/>
          </w:tcPr>
          <w:p>
            <w:pPr>
              <w:pStyle w:val="14"/>
              <w:spacing w:before="34"/>
              <w:ind w:left="610" w:right="601"/>
              <w:rPr>
                <w:rFonts w:ascii="Times New Roman"/>
                <w:sz w:val="21"/>
              </w:rPr>
            </w:pPr>
            <w:r>
              <w:rPr>
                <w:rFonts w:ascii="Times New Roman"/>
                <w:sz w:val="21"/>
              </w:rPr>
              <w:t>0.365</w:t>
            </w:r>
          </w:p>
        </w:tc>
        <w:tc>
          <w:tcPr>
            <w:tcW w:w="1858" w:type="dxa"/>
          </w:tcPr>
          <w:p>
            <w:pPr>
              <w:pStyle w:val="14"/>
              <w:spacing w:before="34"/>
              <w:ind w:left="610" w:right="599"/>
              <w:rPr>
                <w:rFonts w:ascii="Times New Roman"/>
                <w:sz w:val="21"/>
              </w:rPr>
            </w:pPr>
            <w:r>
              <w:rPr>
                <w:rFonts w:ascii="Times New Roman"/>
                <w:sz w:val="21"/>
              </w:rPr>
              <w:t>14.04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856" w:type="dxa"/>
            <w:vMerge w:val="continue"/>
            <w:tcBorders>
              <w:top w:val="nil"/>
            </w:tcBorders>
          </w:tcPr>
          <w:p>
            <w:pPr>
              <w:rPr>
                <w:sz w:val="2"/>
                <w:szCs w:val="2"/>
              </w:rPr>
            </w:pPr>
          </w:p>
        </w:tc>
        <w:tc>
          <w:tcPr>
            <w:tcW w:w="1856" w:type="dxa"/>
          </w:tcPr>
          <w:p>
            <w:pPr>
              <w:pStyle w:val="14"/>
              <w:spacing w:before="37"/>
              <w:ind w:left="577" w:right="567"/>
              <w:rPr>
                <w:rFonts w:ascii="Times New Roman"/>
                <w:sz w:val="13"/>
              </w:rPr>
            </w:pPr>
            <w:r>
              <w:rPr>
                <w:rFonts w:ascii="Times New Roman"/>
                <w:position w:val="-6"/>
                <w:sz w:val="21"/>
              </w:rPr>
              <w:t>Ca</w:t>
            </w:r>
            <w:r>
              <w:rPr>
                <w:rFonts w:ascii="Times New Roman"/>
                <w:sz w:val="13"/>
              </w:rPr>
              <w:t>2+</w:t>
            </w:r>
          </w:p>
        </w:tc>
        <w:tc>
          <w:tcPr>
            <w:tcW w:w="1858" w:type="dxa"/>
          </w:tcPr>
          <w:p>
            <w:pPr>
              <w:pStyle w:val="14"/>
              <w:spacing w:before="34"/>
              <w:ind w:right="732"/>
              <w:jc w:val="right"/>
              <w:rPr>
                <w:rFonts w:ascii="Times New Roman"/>
                <w:sz w:val="21"/>
              </w:rPr>
            </w:pPr>
            <w:r>
              <w:rPr>
                <w:rFonts w:ascii="Times New Roman"/>
                <w:sz w:val="21"/>
              </w:rPr>
              <w:t>27.8</w:t>
            </w:r>
          </w:p>
        </w:tc>
        <w:tc>
          <w:tcPr>
            <w:tcW w:w="1858" w:type="dxa"/>
          </w:tcPr>
          <w:p>
            <w:pPr>
              <w:pStyle w:val="14"/>
              <w:spacing w:before="34"/>
              <w:ind w:left="610" w:right="601"/>
              <w:rPr>
                <w:rFonts w:ascii="Times New Roman"/>
                <w:sz w:val="21"/>
              </w:rPr>
            </w:pPr>
            <w:r>
              <w:rPr>
                <w:rFonts w:ascii="Times New Roman"/>
                <w:sz w:val="21"/>
              </w:rPr>
              <w:t>1.390</w:t>
            </w:r>
          </w:p>
        </w:tc>
        <w:tc>
          <w:tcPr>
            <w:tcW w:w="1858" w:type="dxa"/>
          </w:tcPr>
          <w:p>
            <w:pPr>
              <w:pStyle w:val="14"/>
              <w:spacing w:before="34"/>
              <w:ind w:left="610" w:right="599"/>
              <w:rPr>
                <w:rFonts w:ascii="Times New Roman"/>
                <w:sz w:val="21"/>
              </w:rPr>
            </w:pPr>
            <w:r>
              <w:rPr>
                <w:rFonts w:ascii="Times New Roman"/>
                <w:sz w:val="21"/>
              </w:rPr>
              <w:t>53.34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856" w:type="dxa"/>
            <w:vMerge w:val="continue"/>
            <w:tcBorders>
              <w:top w:val="nil"/>
            </w:tcBorders>
          </w:tcPr>
          <w:p>
            <w:pPr>
              <w:rPr>
                <w:sz w:val="2"/>
                <w:szCs w:val="2"/>
              </w:rPr>
            </w:pPr>
          </w:p>
        </w:tc>
        <w:tc>
          <w:tcPr>
            <w:tcW w:w="1856" w:type="dxa"/>
          </w:tcPr>
          <w:p>
            <w:pPr>
              <w:pStyle w:val="14"/>
              <w:spacing w:before="36"/>
              <w:ind w:left="577" w:right="567"/>
              <w:rPr>
                <w:rFonts w:ascii="Times New Roman"/>
                <w:sz w:val="13"/>
              </w:rPr>
            </w:pPr>
            <w:r>
              <w:rPr>
                <w:rFonts w:ascii="Times New Roman"/>
                <w:position w:val="-6"/>
                <w:sz w:val="21"/>
              </w:rPr>
              <w:t>Mg</w:t>
            </w:r>
            <w:r>
              <w:rPr>
                <w:rFonts w:ascii="Times New Roman"/>
                <w:sz w:val="13"/>
              </w:rPr>
              <w:t>2+</w:t>
            </w:r>
          </w:p>
        </w:tc>
        <w:tc>
          <w:tcPr>
            <w:tcW w:w="1858" w:type="dxa"/>
          </w:tcPr>
          <w:p>
            <w:pPr>
              <w:pStyle w:val="14"/>
              <w:spacing w:before="34"/>
              <w:ind w:right="732"/>
              <w:jc w:val="right"/>
              <w:rPr>
                <w:rFonts w:ascii="Times New Roman"/>
                <w:sz w:val="21"/>
              </w:rPr>
            </w:pPr>
            <w:r>
              <w:rPr>
                <w:rFonts w:ascii="Times New Roman"/>
                <w:sz w:val="21"/>
              </w:rPr>
              <w:t>10.2</w:t>
            </w:r>
          </w:p>
        </w:tc>
        <w:tc>
          <w:tcPr>
            <w:tcW w:w="1858" w:type="dxa"/>
          </w:tcPr>
          <w:p>
            <w:pPr>
              <w:pStyle w:val="14"/>
              <w:spacing w:before="34"/>
              <w:ind w:left="610" w:right="601"/>
              <w:rPr>
                <w:rFonts w:ascii="Times New Roman"/>
                <w:sz w:val="21"/>
              </w:rPr>
            </w:pPr>
            <w:r>
              <w:rPr>
                <w:rFonts w:ascii="Times New Roman"/>
                <w:sz w:val="21"/>
              </w:rPr>
              <w:t>0.850</w:t>
            </w:r>
          </w:p>
        </w:tc>
        <w:tc>
          <w:tcPr>
            <w:tcW w:w="1858" w:type="dxa"/>
          </w:tcPr>
          <w:p>
            <w:pPr>
              <w:pStyle w:val="14"/>
              <w:spacing w:before="34"/>
              <w:ind w:left="610" w:right="599"/>
              <w:rPr>
                <w:rFonts w:ascii="Times New Roman"/>
                <w:sz w:val="21"/>
              </w:rPr>
            </w:pPr>
            <w:r>
              <w:rPr>
                <w:rFonts w:ascii="Times New Roman"/>
                <w:sz w:val="21"/>
              </w:rPr>
              <w:t>32.62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856" w:type="dxa"/>
            <w:vMerge w:val="continue"/>
            <w:tcBorders>
              <w:top w:val="nil"/>
            </w:tcBorders>
          </w:tcPr>
          <w:p>
            <w:pPr>
              <w:rPr>
                <w:sz w:val="2"/>
                <w:szCs w:val="2"/>
              </w:rPr>
            </w:pPr>
          </w:p>
        </w:tc>
        <w:tc>
          <w:tcPr>
            <w:tcW w:w="1856" w:type="dxa"/>
          </w:tcPr>
          <w:p>
            <w:pPr>
              <w:pStyle w:val="14"/>
              <w:spacing w:before="22"/>
              <w:ind w:left="572" w:right="567"/>
              <w:rPr>
                <w:sz w:val="21"/>
              </w:rPr>
            </w:pPr>
            <w:r>
              <w:rPr>
                <w:sz w:val="21"/>
              </w:rPr>
              <w:t>总计</w:t>
            </w:r>
          </w:p>
        </w:tc>
        <w:tc>
          <w:tcPr>
            <w:tcW w:w="1858" w:type="dxa"/>
          </w:tcPr>
          <w:p>
            <w:pPr>
              <w:pStyle w:val="14"/>
              <w:spacing w:before="36"/>
              <w:ind w:right="679"/>
              <w:jc w:val="right"/>
              <w:rPr>
                <w:rFonts w:ascii="Times New Roman"/>
                <w:sz w:val="21"/>
              </w:rPr>
            </w:pPr>
            <w:r>
              <w:rPr>
                <w:rFonts w:ascii="Times New Roman"/>
                <w:sz w:val="21"/>
              </w:rPr>
              <w:t>46.71</w:t>
            </w:r>
          </w:p>
        </w:tc>
        <w:tc>
          <w:tcPr>
            <w:tcW w:w="1858" w:type="dxa"/>
          </w:tcPr>
          <w:p>
            <w:pPr>
              <w:pStyle w:val="14"/>
              <w:spacing w:before="36"/>
              <w:ind w:left="610" w:right="601"/>
              <w:rPr>
                <w:rFonts w:ascii="Times New Roman"/>
                <w:sz w:val="21"/>
              </w:rPr>
            </w:pPr>
            <w:r>
              <w:rPr>
                <w:rFonts w:ascii="Times New Roman"/>
                <w:sz w:val="21"/>
              </w:rPr>
              <w:t>2.606</w:t>
            </w:r>
          </w:p>
        </w:tc>
        <w:tc>
          <w:tcPr>
            <w:tcW w:w="1858" w:type="dxa"/>
          </w:tcPr>
          <w:p>
            <w:pPr>
              <w:pStyle w:val="14"/>
              <w:spacing w:before="36"/>
              <w:ind w:left="609" w:right="603"/>
              <w:rPr>
                <w:rFonts w:ascii="Times New Roman"/>
                <w:sz w:val="21"/>
              </w:rPr>
            </w:pPr>
            <w:r>
              <w:rPr>
                <w:rFonts w:ascii="Times New Roman"/>
                <w:sz w:val="21"/>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856" w:type="dxa"/>
            <w:vMerge w:val="restart"/>
          </w:tcPr>
          <w:p>
            <w:pPr>
              <w:pStyle w:val="14"/>
              <w:spacing w:before="12"/>
              <w:jc w:val="left"/>
              <w:rPr>
                <w:b/>
                <w:sz w:val="14"/>
              </w:rPr>
            </w:pPr>
          </w:p>
          <w:p>
            <w:pPr>
              <w:pStyle w:val="14"/>
              <w:spacing w:line="278" w:lineRule="auto"/>
              <w:ind w:left="823" w:right="811"/>
              <w:jc w:val="both"/>
              <w:rPr>
                <w:b/>
                <w:sz w:val="21"/>
              </w:rPr>
            </w:pPr>
            <w:r>
              <w:rPr>
                <w:b/>
                <w:sz w:val="21"/>
              </w:rPr>
              <w:t>阴离子</w:t>
            </w:r>
          </w:p>
        </w:tc>
        <w:tc>
          <w:tcPr>
            <w:tcW w:w="1856" w:type="dxa"/>
          </w:tcPr>
          <w:p>
            <w:pPr>
              <w:pStyle w:val="14"/>
              <w:spacing w:before="35" w:line="166" w:lineRule="exact"/>
              <w:ind w:left="577" w:right="567"/>
              <w:rPr>
                <w:rFonts w:ascii="Times New Roman"/>
                <w:sz w:val="13"/>
              </w:rPr>
            </w:pPr>
            <w:r>
              <w:rPr>
                <w:rFonts w:ascii="Times New Roman"/>
                <w:sz w:val="21"/>
              </w:rPr>
              <w:t xml:space="preserve">HCO </w:t>
            </w:r>
            <w:r>
              <w:rPr>
                <w:rFonts w:ascii="Times New Roman"/>
                <w:position w:val="7"/>
                <w:sz w:val="13"/>
              </w:rPr>
              <w:t>-</w:t>
            </w:r>
          </w:p>
          <w:p>
            <w:pPr>
              <w:pStyle w:val="14"/>
              <w:spacing w:line="74" w:lineRule="exact"/>
              <w:ind w:left="410"/>
              <w:rPr>
                <w:rFonts w:ascii="Times New Roman"/>
                <w:sz w:val="13"/>
              </w:rPr>
            </w:pPr>
            <w:r>
              <w:rPr>
                <w:rFonts w:ascii="Times New Roman"/>
                <w:w w:val="105"/>
                <w:sz w:val="13"/>
              </w:rPr>
              <w:t>3</w:t>
            </w:r>
          </w:p>
        </w:tc>
        <w:tc>
          <w:tcPr>
            <w:tcW w:w="1858" w:type="dxa"/>
          </w:tcPr>
          <w:p>
            <w:pPr>
              <w:pStyle w:val="14"/>
              <w:spacing w:before="35"/>
              <w:ind w:right="679"/>
              <w:jc w:val="right"/>
              <w:rPr>
                <w:rFonts w:ascii="Times New Roman"/>
                <w:sz w:val="21"/>
              </w:rPr>
            </w:pPr>
            <w:r>
              <w:rPr>
                <w:rFonts w:ascii="Times New Roman"/>
                <w:sz w:val="21"/>
              </w:rPr>
              <w:t>121.4</w:t>
            </w:r>
          </w:p>
        </w:tc>
        <w:tc>
          <w:tcPr>
            <w:tcW w:w="1858" w:type="dxa"/>
          </w:tcPr>
          <w:p>
            <w:pPr>
              <w:pStyle w:val="14"/>
              <w:spacing w:before="35"/>
              <w:ind w:left="610" w:right="601"/>
              <w:rPr>
                <w:rFonts w:ascii="Times New Roman"/>
                <w:sz w:val="21"/>
              </w:rPr>
            </w:pPr>
            <w:r>
              <w:rPr>
                <w:rFonts w:ascii="Times New Roman"/>
                <w:sz w:val="21"/>
              </w:rPr>
              <w:t>1.990</w:t>
            </w:r>
          </w:p>
        </w:tc>
        <w:tc>
          <w:tcPr>
            <w:tcW w:w="1858" w:type="dxa"/>
          </w:tcPr>
          <w:p>
            <w:pPr>
              <w:pStyle w:val="14"/>
              <w:spacing w:before="35"/>
              <w:ind w:left="610" w:right="599"/>
              <w:rPr>
                <w:rFonts w:ascii="Times New Roman"/>
                <w:sz w:val="21"/>
              </w:rPr>
            </w:pPr>
            <w:r>
              <w:rPr>
                <w:rFonts w:ascii="Times New Roman"/>
                <w:sz w:val="21"/>
              </w:rPr>
              <w:t>78.63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856" w:type="dxa"/>
            <w:vMerge w:val="continue"/>
            <w:tcBorders>
              <w:top w:val="nil"/>
            </w:tcBorders>
          </w:tcPr>
          <w:p>
            <w:pPr>
              <w:rPr>
                <w:sz w:val="2"/>
                <w:szCs w:val="2"/>
              </w:rPr>
            </w:pPr>
          </w:p>
        </w:tc>
        <w:tc>
          <w:tcPr>
            <w:tcW w:w="1856" w:type="dxa"/>
          </w:tcPr>
          <w:p>
            <w:pPr>
              <w:pStyle w:val="14"/>
              <w:spacing w:before="35"/>
              <w:ind w:left="575" w:right="567"/>
              <w:rPr>
                <w:rFonts w:ascii="Times New Roman"/>
                <w:sz w:val="13"/>
              </w:rPr>
            </w:pPr>
            <w:r>
              <w:rPr>
                <w:rFonts w:ascii="Times New Roman"/>
                <w:sz w:val="21"/>
              </w:rPr>
              <w:t>Cl</w:t>
            </w:r>
            <w:r>
              <w:rPr>
                <w:rFonts w:ascii="Times New Roman"/>
                <w:position w:val="7"/>
                <w:sz w:val="13"/>
              </w:rPr>
              <w:t>-</w:t>
            </w:r>
          </w:p>
        </w:tc>
        <w:tc>
          <w:tcPr>
            <w:tcW w:w="1858" w:type="dxa"/>
          </w:tcPr>
          <w:p>
            <w:pPr>
              <w:pStyle w:val="14"/>
              <w:spacing w:before="35"/>
              <w:ind w:right="732"/>
              <w:jc w:val="right"/>
              <w:rPr>
                <w:rFonts w:ascii="Times New Roman"/>
                <w:sz w:val="21"/>
              </w:rPr>
            </w:pPr>
            <w:r>
              <w:rPr>
                <w:rFonts w:ascii="Times New Roman"/>
                <w:sz w:val="21"/>
              </w:rPr>
              <w:t>10.1</w:t>
            </w:r>
          </w:p>
        </w:tc>
        <w:tc>
          <w:tcPr>
            <w:tcW w:w="1858" w:type="dxa"/>
          </w:tcPr>
          <w:p>
            <w:pPr>
              <w:pStyle w:val="14"/>
              <w:spacing w:before="35"/>
              <w:ind w:left="610" w:right="601"/>
              <w:rPr>
                <w:rFonts w:ascii="Times New Roman"/>
                <w:sz w:val="21"/>
              </w:rPr>
            </w:pPr>
            <w:r>
              <w:rPr>
                <w:rFonts w:ascii="Times New Roman"/>
                <w:sz w:val="21"/>
              </w:rPr>
              <w:t>0.256</w:t>
            </w:r>
          </w:p>
        </w:tc>
        <w:tc>
          <w:tcPr>
            <w:tcW w:w="1858" w:type="dxa"/>
          </w:tcPr>
          <w:p>
            <w:pPr>
              <w:pStyle w:val="14"/>
              <w:spacing w:before="35"/>
              <w:ind w:left="610" w:right="599"/>
              <w:rPr>
                <w:rFonts w:ascii="Times New Roman"/>
                <w:sz w:val="21"/>
              </w:rPr>
            </w:pPr>
            <w:r>
              <w:rPr>
                <w:rFonts w:ascii="Times New Roman"/>
                <w:sz w:val="21"/>
              </w:rPr>
              <w:t>10.11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856" w:type="dxa"/>
            <w:vMerge w:val="continue"/>
            <w:tcBorders>
              <w:top w:val="nil"/>
            </w:tcBorders>
          </w:tcPr>
          <w:p>
            <w:pPr>
              <w:rPr>
                <w:sz w:val="2"/>
                <w:szCs w:val="2"/>
              </w:rPr>
            </w:pPr>
          </w:p>
        </w:tc>
        <w:tc>
          <w:tcPr>
            <w:tcW w:w="1856" w:type="dxa"/>
          </w:tcPr>
          <w:p>
            <w:pPr>
              <w:pStyle w:val="14"/>
              <w:spacing w:before="35" w:line="166" w:lineRule="exact"/>
              <w:ind w:left="577" w:right="567"/>
              <w:rPr>
                <w:rFonts w:ascii="Times New Roman"/>
                <w:sz w:val="13"/>
              </w:rPr>
            </w:pPr>
            <w:r>
              <w:rPr>
                <w:rFonts w:ascii="Times New Roman"/>
                <w:position w:val="-6"/>
                <w:sz w:val="21"/>
              </w:rPr>
              <w:t xml:space="preserve">SO </w:t>
            </w:r>
            <w:r>
              <w:rPr>
                <w:rFonts w:ascii="Times New Roman"/>
                <w:sz w:val="13"/>
              </w:rPr>
              <w:t>2-</w:t>
            </w:r>
          </w:p>
          <w:p>
            <w:pPr>
              <w:pStyle w:val="14"/>
              <w:spacing w:line="74" w:lineRule="exact"/>
              <w:ind w:left="165"/>
              <w:rPr>
                <w:rFonts w:ascii="Times New Roman"/>
                <w:sz w:val="13"/>
              </w:rPr>
            </w:pPr>
            <w:r>
              <w:rPr>
                <w:rFonts w:ascii="Times New Roman"/>
                <w:w w:val="105"/>
                <w:sz w:val="13"/>
              </w:rPr>
              <w:t>4</w:t>
            </w:r>
          </w:p>
        </w:tc>
        <w:tc>
          <w:tcPr>
            <w:tcW w:w="1858" w:type="dxa"/>
          </w:tcPr>
          <w:p>
            <w:pPr>
              <w:pStyle w:val="14"/>
              <w:spacing w:before="34"/>
              <w:ind w:right="732"/>
              <w:jc w:val="right"/>
              <w:rPr>
                <w:rFonts w:ascii="Times New Roman"/>
                <w:sz w:val="21"/>
              </w:rPr>
            </w:pPr>
            <w:r>
              <w:rPr>
                <w:rFonts w:ascii="Times New Roman"/>
                <w:sz w:val="21"/>
              </w:rPr>
              <w:t>12.3</w:t>
            </w:r>
          </w:p>
        </w:tc>
        <w:tc>
          <w:tcPr>
            <w:tcW w:w="1858" w:type="dxa"/>
          </w:tcPr>
          <w:p>
            <w:pPr>
              <w:pStyle w:val="14"/>
              <w:spacing w:before="34"/>
              <w:ind w:left="610" w:right="601"/>
              <w:rPr>
                <w:rFonts w:ascii="Times New Roman"/>
                <w:sz w:val="21"/>
              </w:rPr>
            </w:pPr>
            <w:r>
              <w:rPr>
                <w:rFonts w:ascii="Times New Roman"/>
                <w:sz w:val="21"/>
              </w:rPr>
              <w:t>0.285</w:t>
            </w:r>
          </w:p>
        </w:tc>
        <w:tc>
          <w:tcPr>
            <w:tcW w:w="1858" w:type="dxa"/>
          </w:tcPr>
          <w:p>
            <w:pPr>
              <w:pStyle w:val="14"/>
              <w:spacing w:before="34"/>
              <w:ind w:left="610" w:right="602"/>
              <w:rPr>
                <w:rFonts w:ascii="Times New Roman"/>
                <w:sz w:val="21"/>
              </w:rPr>
            </w:pPr>
            <w:r>
              <w:rPr>
                <w:rFonts w:ascii="Times New Roman"/>
                <w:sz w:val="21"/>
              </w:rPr>
              <w:t>11.26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856" w:type="dxa"/>
            <w:vMerge w:val="continue"/>
            <w:tcBorders>
              <w:top w:val="nil"/>
            </w:tcBorders>
          </w:tcPr>
          <w:p>
            <w:pPr>
              <w:rPr>
                <w:sz w:val="2"/>
                <w:szCs w:val="2"/>
              </w:rPr>
            </w:pPr>
          </w:p>
        </w:tc>
        <w:tc>
          <w:tcPr>
            <w:tcW w:w="1856" w:type="dxa"/>
          </w:tcPr>
          <w:p>
            <w:pPr>
              <w:pStyle w:val="14"/>
              <w:spacing w:before="20"/>
              <w:ind w:left="572" w:right="567"/>
              <w:rPr>
                <w:sz w:val="21"/>
              </w:rPr>
            </w:pPr>
            <w:r>
              <w:rPr>
                <w:sz w:val="21"/>
              </w:rPr>
              <w:t>总计</w:t>
            </w:r>
          </w:p>
        </w:tc>
        <w:tc>
          <w:tcPr>
            <w:tcW w:w="1858" w:type="dxa"/>
          </w:tcPr>
          <w:p>
            <w:pPr>
              <w:pStyle w:val="14"/>
              <w:spacing w:before="34"/>
              <w:ind w:right="679"/>
              <w:jc w:val="right"/>
              <w:rPr>
                <w:rFonts w:ascii="Times New Roman"/>
                <w:sz w:val="21"/>
              </w:rPr>
            </w:pPr>
            <w:r>
              <w:rPr>
                <w:rFonts w:ascii="Times New Roman"/>
                <w:sz w:val="21"/>
              </w:rPr>
              <w:t>143.8</w:t>
            </w:r>
          </w:p>
        </w:tc>
        <w:tc>
          <w:tcPr>
            <w:tcW w:w="1858" w:type="dxa"/>
          </w:tcPr>
          <w:p>
            <w:pPr>
              <w:pStyle w:val="14"/>
              <w:spacing w:before="34"/>
              <w:ind w:left="610" w:right="601"/>
              <w:rPr>
                <w:rFonts w:ascii="Times New Roman"/>
                <w:sz w:val="21"/>
              </w:rPr>
            </w:pPr>
            <w:r>
              <w:rPr>
                <w:rFonts w:ascii="Times New Roman"/>
                <w:sz w:val="21"/>
              </w:rPr>
              <w:t>2.531</w:t>
            </w:r>
          </w:p>
        </w:tc>
        <w:tc>
          <w:tcPr>
            <w:tcW w:w="1858" w:type="dxa"/>
          </w:tcPr>
          <w:p>
            <w:pPr>
              <w:pStyle w:val="14"/>
              <w:spacing w:before="34"/>
              <w:ind w:left="609" w:right="603"/>
              <w:rPr>
                <w:rFonts w:ascii="Times New Roman"/>
                <w:sz w:val="21"/>
              </w:rPr>
            </w:pPr>
            <w:r>
              <w:rPr>
                <w:rFonts w:ascii="Times New Roman"/>
                <w:sz w:val="21"/>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3712" w:type="dxa"/>
            <w:gridSpan w:val="2"/>
          </w:tcPr>
          <w:p>
            <w:pPr>
              <w:pStyle w:val="14"/>
              <w:spacing w:before="1" w:line="251" w:lineRule="exact"/>
              <w:ind w:left="1519" w:right="1511"/>
              <w:rPr>
                <w:b/>
                <w:sz w:val="21"/>
              </w:rPr>
            </w:pPr>
            <w:r>
              <w:rPr>
                <w:rFonts w:ascii="Times New Roman" w:eastAsia="Times New Roman"/>
                <w:b/>
                <w:sz w:val="21"/>
              </w:rPr>
              <w:t>3#</w:t>
            </w:r>
            <w:r>
              <w:rPr>
                <w:b/>
                <w:sz w:val="21"/>
              </w:rPr>
              <w:t>离子</w:t>
            </w:r>
          </w:p>
        </w:tc>
        <w:tc>
          <w:tcPr>
            <w:tcW w:w="1858" w:type="dxa"/>
          </w:tcPr>
          <w:p>
            <w:pPr>
              <w:pStyle w:val="14"/>
              <w:spacing w:before="14" w:line="237" w:lineRule="exact"/>
              <w:ind w:right="680"/>
              <w:jc w:val="right"/>
              <w:rPr>
                <w:rFonts w:ascii="Times New Roman"/>
                <w:b/>
                <w:sz w:val="21"/>
              </w:rPr>
            </w:pPr>
            <w:r>
              <w:rPr>
                <w:rFonts w:ascii="Times New Roman"/>
                <w:b/>
                <w:w w:val="95"/>
                <w:sz w:val="21"/>
              </w:rPr>
              <w:t>mg/L</w:t>
            </w:r>
          </w:p>
        </w:tc>
        <w:tc>
          <w:tcPr>
            <w:tcW w:w="1858" w:type="dxa"/>
          </w:tcPr>
          <w:p>
            <w:pPr>
              <w:pStyle w:val="14"/>
              <w:spacing w:before="14" w:line="237" w:lineRule="exact"/>
              <w:ind w:left="609" w:right="603"/>
              <w:rPr>
                <w:rFonts w:ascii="Times New Roman"/>
                <w:b/>
                <w:sz w:val="21"/>
              </w:rPr>
            </w:pPr>
            <w:r>
              <w:rPr>
                <w:rFonts w:ascii="Times New Roman"/>
                <w:b/>
                <w:sz w:val="21"/>
              </w:rPr>
              <w:t>meq/L</w:t>
            </w:r>
          </w:p>
        </w:tc>
        <w:tc>
          <w:tcPr>
            <w:tcW w:w="1858" w:type="dxa"/>
          </w:tcPr>
          <w:p>
            <w:pPr>
              <w:pStyle w:val="14"/>
              <w:spacing w:before="14" w:line="237" w:lineRule="exact"/>
              <w:ind w:left="610" w:right="603"/>
              <w:rPr>
                <w:rFonts w:ascii="Times New Roman"/>
                <w:b/>
                <w:sz w:val="21"/>
              </w:rPr>
            </w:pPr>
            <w:r>
              <w:rPr>
                <w:rFonts w:ascii="Times New Roman"/>
                <w:b/>
                <w:sz w:val="21"/>
              </w:rPr>
              <w:t>meq%</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1856" w:type="dxa"/>
            <w:vMerge w:val="restart"/>
          </w:tcPr>
          <w:p>
            <w:pPr>
              <w:pStyle w:val="14"/>
              <w:spacing w:before="4"/>
              <w:jc w:val="left"/>
              <w:rPr>
                <w:b/>
                <w:sz w:val="15"/>
              </w:rPr>
            </w:pPr>
          </w:p>
          <w:p>
            <w:pPr>
              <w:pStyle w:val="14"/>
              <w:spacing w:line="242" w:lineRule="auto"/>
              <w:ind w:left="823" w:right="811"/>
              <w:jc w:val="both"/>
              <w:rPr>
                <w:b/>
                <w:sz w:val="21"/>
              </w:rPr>
            </w:pPr>
            <w:r>
              <w:rPr>
                <w:b/>
                <w:sz w:val="21"/>
              </w:rPr>
              <w:t>阳离子</w:t>
            </w:r>
          </w:p>
        </w:tc>
        <w:tc>
          <w:tcPr>
            <w:tcW w:w="1856" w:type="dxa"/>
          </w:tcPr>
          <w:p>
            <w:pPr>
              <w:pStyle w:val="14"/>
              <w:spacing w:before="32"/>
              <w:ind w:left="577" w:right="567"/>
              <w:rPr>
                <w:rFonts w:ascii="Times New Roman"/>
                <w:sz w:val="13"/>
              </w:rPr>
            </w:pPr>
            <w:r>
              <w:rPr>
                <w:rFonts w:ascii="Times New Roman"/>
                <w:sz w:val="21"/>
              </w:rPr>
              <w:t>K</w:t>
            </w:r>
            <w:r>
              <w:rPr>
                <w:rFonts w:ascii="Times New Roman"/>
                <w:position w:val="7"/>
                <w:sz w:val="13"/>
              </w:rPr>
              <w:t>+</w:t>
            </w:r>
            <w:r>
              <w:rPr>
                <w:rFonts w:ascii="Times New Roman"/>
                <w:sz w:val="21"/>
              </w:rPr>
              <w:t>+Na</w:t>
            </w:r>
            <w:r>
              <w:rPr>
                <w:rFonts w:ascii="Times New Roman"/>
                <w:position w:val="7"/>
                <w:sz w:val="13"/>
              </w:rPr>
              <w:t>+</w:t>
            </w:r>
          </w:p>
        </w:tc>
        <w:tc>
          <w:tcPr>
            <w:tcW w:w="1858" w:type="dxa"/>
          </w:tcPr>
          <w:p>
            <w:pPr>
              <w:pStyle w:val="14"/>
              <w:spacing w:before="32"/>
              <w:ind w:right="679"/>
              <w:jc w:val="right"/>
              <w:rPr>
                <w:rFonts w:ascii="Times New Roman"/>
                <w:sz w:val="21"/>
              </w:rPr>
            </w:pPr>
            <w:r>
              <w:rPr>
                <w:rFonts w:ascii="Times New Roman"/>
                <w:sz w:val="21"/>
              </w:rPr>
              <w:t>21.53</w:t>
            </w:r>
          </w:p>
        </w:tc>
        <w:tc>
          <w:tcPr>
            <w:tcW w:w="1858" w:type="dxa"/>
          </w:tcPr>
          <w:p>
            <w:pPr>
              <w:pStyle w:val="14"/>
              <w:spacing w:before="32"/>
              <w:ind w:left="610" w:right="601"/>
              <w:rPr>
                <w:rFonts w:ascii="Times New Roman"/>
                <w:sz w:val="21"/>
              </w:rPr>
            </w:pPr>
            <w:r>
              <w:rPr>
                <w:rFonts w:ascii="Times New Roman"/>
                <w:sz w:val="21"/>
              </w:rPr>
              <w:t>0.923</w:t>
            </w:r>
          </w:p>
        </w:tc>
        <w:tc>
          <w:tcPr>
            <w:tcW w:w="1858" w:type="dxa"/>
          </w:tcPr>
          <w:p>
            <w:pPr>
              <w:pStyle w:val="14"/>
              <w:spacing w:before="32"/>
              <w:ind w:left="610" w:right="599"/>
              <w:rPr>
                <w:rFonts w:ascii="Times New Roman"/>
                <w:sz w:val="21"/>
              </w:rPr>
            </w:pPr>
            <w:r>
              <w:rPr>
                <w:rFonts w:ascii="Times New Roman"/>
                <w:sz w:val="21"/>
              </w:rPr>
              <w:t>16.76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1856" w:type="dxa"/>
            <w:vMerge w:val="continue"/>
            <w:tcBorders>
              <w:top w:val="nil"/>
            </w:tcBorders>
          </w:tcPr>
          <w:p>
            <w:pPr>
              <w:rPr>
                <w:sz w:val="2"/>
                <w:szCs w:val="2"/>
              </w:rPr>
            </w:pPr>
          </w:p>
        </w:tc>
        <w:tc>
          <w:tcPr>
            <w:tcW w:w="1856" w:type="dxa"/>
          </w:tcPr>
          <w:p>
            <w:pPr>
              <w:pStyle w:val="14"/>
              <w:spacing w:before="19"/>
              <w:ind w:left="577" w:right="567"/>
              <w:rPr>
                <w:rFonts w:ascii="Times New Roman"/>
                <w:sz w:val="13"/>
              </w:rPr>
            </w:pPr>
            <w:r>
              <w:rPr>
                <w:rFonts w:ascii="Times New Roman"/>
                <w:position w:val="-6"/>
                <w:sz w:val="21"/>
              </w:rPr>
              <w:t>Ca</w:t>
            </w:r>
            <w:r>
              <w:rPr>
                <w:rFonts w:ascii="Times New Roman"/>
                <w:sz w:val="13"/>
              </w:rPr>
              <w:t>2+</w:t>
            </w:r>
          </w:p>
        </w:tc>
        <w:tc>
          <w:tcPr>
            <w:tcW w:w="1858" w:type="dxa"/>
          </w:tcPr>
          <w:p>
            <w:pPr>
              <w:pStyle w:val="14"/>
              <w:spacing w:before="19"/>
              <w:ind w:right="732"/>
              <w:jc w:val="right"/>
              <w:rPr>
                <w:rFonts w:ascii="Times New Roman"/>
                <w:sz w:val="21"/>
              </w:rPr>
            </w:pPr>
            <w:r>
              <w:rPr>
                <w:rFonts w:ascii="Times New Roman"/>
                <w:sz w:val="21"/>
              </w:rPr>
              <w:t>59.5</w:t>
            </w:r>
          </w:p>
        </w:tc>
        <w:tc>
          <w:tcPr>
            <w:tcW w:w="1858" w:type="dxa"/>
          </w:tcPr>
          <w:p>
            <w:pPr>
              <w:pStyle w:val="14"/>
              <w:spacing w:before="19"/>
              <w:ind w:left="610" w:right="601"/>
              <w:rPr>
                <w:rFonts w:ascii="Times New Roman"/>
                <w:sz w:val="21"/>
              </w:rPr>
            </w:pPr>
            <w:r>
              <w:rPr>
                <w:rFonts w:ascii="Times New Roman"/>
                <w:sz w:val="21"/>
              </w:rPr>
              <w:t>2.975</w:t>
            </w:r>
          </w:p>
        </w:tc>
        <w:tc>
          <w:tcPr>
            <w:tcW w:w="1858" w:type="dxa"/>
          </w:tcPr>
          <w:p>
            <w:pPr>
              <w:pStyle w:val="14"/>
              <w:spacing w:before="19"/>
              <w:ind w:left="610" w:right="599"/>
              <w:rPr>
                <w:rFonts w:ascii="Times New Roman"/>
                <w:sz w:val="21"/>
              </w:rPr>
            </w:pPr>
            <w:r>
              <w:rPr>
                <w:rFonts w:ascii="Times New Roman"/>
                <w:sz w:val="21"/>
              </w:rPr>
              <w:t>54.03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856" w:type="dxa"/>
            <w:vMerge w:val="continue"/>
            <w:tcBorders>
              <w:top w:val="nil"/>
            </w:tcBorders>
          </w:tcPr>
          <w:p>
            <w:pPr>
              <w:rPr>
                <w:sz w:val="2"/>
                <w:szCs w:val="2"/>
              </w:rPr>
            </w:pPr>
          </w:p>
        </w:tc>
        <w:tc>
          <w:tcPr>
            <w:tcW w:w="1856" w:type="dxa"/>
          </w:tcPr>
          <w:p>
            <w:pPr>
              <w:pStyle w:val="14"/>
              <w:spacing w:before="16" w:line="236" w:lineRule="exact"/>
              <w:ind w:left="577" w:right="567"/>
              <w:rPr>
                <w:rFonts w:ascii="Times New Roman"/>
                <w:sz w:val="13"/>
              </w:rPr>
            </w:pPr>
            <w:r>
              <w:rPr>
                <w:rFonts w:ascii="Times New Roman"/>
                <w:position w:val="-6"/>
                <w:sz w:val="21"/>
              </w:rPr>
              <w:t>Mg</w:t>
            </w:r>
            <w:r>
              <w:rPr>
                <w:rFonts w:ascii="Times New Roman"/>
                <w:sz w:val="13"/>
              </w:rPr>
              <w:t>2+</w:t>
            </w:r>
          </w:p>
        </w:tc>
        <w:tc>
          <w:tcPr>
            <w:tcW w:w="1858" w:type="dxa"/>
          </w:tcPr>
          <w:p>
            <w:pPr>
              <w:pStyle w:val="14"/>
              <w:spacing w:before="16" w:line="237" w:lineRule="exact"/>
              <w:ind w:right="732"/>
              <w:jc w:val="right"/>
              <w:rPr>
                <w:rFonts w:ascii="Times New Roman"/>
                <w:sz w:val="21"/>
              </w:rPr>
            </w:pPr>
            <w:r>
              <w:rPr>
                <w:rFonts w:ascii="Times New Roman"/>
                <w:sz w:val="21"/>
              </w:rPr>
              <w:t>19.3</w:t>
            </w:r>
          </w:p>
        </w:tc>
        <w:tc>
          <w:tcPr>
            <w:tcW w:w="1858" w:type="dxa"/>
          </w:tcPr>
          <w:p>
            <w:pPr>
              <w:pStyle w:val="14"/>
              <w:spacing w:before="16" w:line="237" w:lineRule="exact"/>
              <w:ind w:left="610" w:right="601"/>
              <w:rPr>
                <w:rFonts w:ascii="Times New Roman"/>
                <w:sz w:val="21"/>
              </w:rPr>
            </w:pPr>
            <w:r>
              <w:rPr>
                <w:rFonts w:ascii="Times New Roman"/>
                <w:sz w:val="21"/>
              </w:rPr>
              <w:t>1.608</w:t>
            </w:r>
          </w:p>
        </w:tc>
        <w:tc>
          <w:tcPr>
            <w:tcW w:w="1858" w:type="dxa"/>
          </w:tcPr>
          <w:p>
            <w:pPr>
              <w:pStyle w:val="14"/>
              <w:spacing w:before="16" w:line="237" w:lineRule="exact"/>
              <w:ind w:left="610" w:right="599"/>
              <w:rPr>
                <w:rFonts w:ascii="Times New Roman"/>
                <w:sz w:val="21"/>
              </w:rPr>
            </w:pPr>
            <w:r>
              <w:rPr>
                <w:rFonts w:ascii="Times New Roman"/>
                <w:sz w:val="21"/>
              </w:rPr>
              <w:t>29.21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856" w:type="dxa"/>
            <w:vMerge w:val="continue"/>
            <w:tcBorders>
              <w:top w:val="nil"/>
            </w:tcBorders>
          </w:tcPr>
          <w:p>
            <w:pPr>
              <w:rPr>
                <w:sz w:val="2"/>
                <w:szCs w:val="2"/>
              </w:rPr>
            </w:pPr>
          </w:p>
        </w:tc>
        <w:tc>
          <w:tcPr>
            <w:tcW w:w="1856" w:type="dxa"/>
          </w:tcPr>
          <w:p>
            <w:pPr>
              <w:pStyle w:val="14"/>
              <w:spacing w:before="24"/>
              <w:ind w:left="572" w:right="567"/>
              <w:rPr>
                <w:sz w:val="21"/>
              </w:rPr>
            </w:pPr>
            <w:r>
              <w:rPr>
                <w:sz w:val="21"/>
              </w:rPr>
              <w:t>总计</w:t>
            </w:r>
          </w:p>
        </w:tc>
        <w:tc>
          <w:tcPr>
            <w:tcW w:w="1858" w:type="dxa"/>
          </w:tcPr>
          <w:p>
            <w:pPr>
              <w:pStyle w:val="14"/>
              <w:spacing w:before="38"/>
              <w:ind w:right="679"/>
              <w:jc w:val="right"/>
              <w:rPr>
                <w:rFonts w:ascii="Times New Roman"/>
                <w:sz w:val="21"/>
              </w:rPr>
            </w:pPr>
            <w:r>
              <w:rPr>
                <w:rFonts w:ascii="Times New Roman"/>
                <w:sz w:val="21"/>
              </w:rPr>
              <w:t>10.33</w:t>
            </w:r>
          </w:p>
        </w:tc>
        <w:tc>
          <w:tcPr>
            <w:tcW w:w="1858" w:type="dxa"/>
          </w:tcPr>
          <w:p>
            <w:pPr>
              <w:pStyle w:val="14"/>
              <w:spacing w:before="38"/>
              <w:ind w:left="610" w:right="601"/>
              <w:rPr>
                <w:rFonts w:ascii="Times New Roman"/>
                <w:sz w:val="21"/>
              </w:rPr>
            </w:pPr>
            <w:r>
              <w:rPr>
                <w:rFonts w:ascii="Times New Roman"/>
                <w:sz w:val="21"/>
              </w:rPr>
              <w:t>5.506</w:t>
            </w:r>
          </w:p>
        </w:tc>
        <w:tc>
          <w:tcPr>
            <w:tcW w:w="1858" w:type="dxa"/>
          </w:tcPr>
          <w:p>
            <w:pPr>
              <w:pStyle w:val="14"/>
              <w:spacing w:before="38"/>
              <w:ind w:left="609" w:right="603"/>
              <w:rPr>
                <w:rFonts w:ascii="Times New Roman"/>
                <w:sz w:val="21"/>
              </w:rPr>
            </w:pPr>
            <w:r>
              <w:rPr>
                <w:rFonts w:ascii="Times New Roman"/>
                <w:sz w:val="21"/>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856" w:type="dxa"/>
            <w:vMerge w:val="restart"/>
          </w:tcPr>
          <w:p>
            <w:pPr>
              <w:pStyle w:val="14"/>
              <w:spacing w:before="161" w:line="242" w:lineRule="auto"/>
              <w:ind w:left="823" w:right="811"/>
              <w:jc w:val="both"/>
              <w:rPr>
                <w:b/>
                <w:sz w:val="21"/>
              </w:rPr>
            </w:pPr>
            <w:r>
              <w:rPr>
                <w:b/>
                <w:sz w:val="21"/>
              </w:rPr>
              <w:t>阴离子</w:t>
            </w:r>
          </w:p>
        </w:tc>
        <w:tc>
          <w:tcPr>
            <w:tcW w:w="1856" w:type="dxa"/>
          </w:tcPr>
          <w:p>
            <w:pPr>
              <w:pStyle w:val="14"/>
              <w:spacing w:before="14" w:line="166" w:lineRule="exact"/>
              <w:ind w:left="577" w:right="567"/>
              <w:rPr>
                <w:rFonts w:ascii="Times New Roman"/>
                <w:sz w:val="13"/>
              </w:rPr>
            </w:pPr>
            <w:r>
              <w:rPr>
                <w:rFonts w:ascii="Times New Roman"/>
                <w:sz w:val="21"/>
              </w:rPr>
              <w:t xml:space="preserve">HCO </w:t>
            </w:r>
            <w:r>
              <w:rPr>
                <w:rFonts w:ascii="Times New Roman"/>
                <w:position w:val="7"/>
                <w:sz w:val="13"/>
              </w:rPr>
              <w:t>-</w:t>
            </w:r>
          </w:p>
          <w:p>
            <w:pPr>
              <w:pStyle w:val="14"/>
              <w:spacing w:line="72" w:lineRule="exact"/>
              <w:ind w:left="410"/>
              <w:rPr>
                <w:rFonts w:ascii="Times New Roman"/>
                <w:sz w:val="13"/>
              </w:rPr>
            </w:pPr>
            <w:r>
              <w:rPr>
                <w:rFonts w:ascii="Times New Roman"/>
                <w:w w:val="105"/>
                <w:sz w:val="13"/>
              </w:rPr>
              <w:t>3</w:t>
            </w:r>
          </w:p>
        </w:tc>
        <w:tc>
          <w:tcPr>
            <w:tcW w:w="1858" w:type="dxa"/>
          </w:tcPr>
          <w:p>
            <w:pPr>
              <w:pStyle w:val="14"/>
              <w:spacing w:before="14" w:line="239" w:lineRule="exact"/>
              <w:ind w:right="679"/>
              <w:jc w:val="right"/>
              <w:rPr>
                <w:rFonts w:ascii="Times New Roman"/>
                <w:sz w:val="21"/>
              </w:rPr>
            </w:pPr>
            <w:r>
              <w:rPr>
                <w:rFonts w:ascii="Times New Roman"/>
                <w:sz w:val="21"/>
              </w:rPr>
              <w:t>188.7</w:t>
            </w:r>
          </w:p>
        </w:tc>
        <w:tc>
          <w:tcPr>
            <w:tcW w:w="1858" w:type="dxa"/>
          </w:tcPr>
          <w:p>
            <w:pPr>
              <w:pStyle w:val="14"/>
              <w:spacing w:before="14" w:line="239" w:lineRule="exact"/>
              <w:ind w:left="610" w:right="601"/>
              <w:rPr>
                <w:rFonts w:ascii="Times New Roman"/>
                <w:sz w:val="21"/>
              </w:rPr>
            </w:pPr>
            <w:r>
              <w:rPr>
                <w:rFonts w:ascii="Times New Roman"/>
                <w:sz w:val="21"/>
              </w:rPr>
              <w:t>3.093</w:t>
            </w:r>
          </w:p>
        </w:tc>
        <w:tc>
          <w:tcPr>
            <w:tcW w:w="1858" w:type="dxa"/>
          </w:tcPr>
          <w:p>
            <w:pPr>
              <w:pStyle w:val="14"/>
              <w:spacing w:before="14" w:line="239" w:lineRule="exact"/>
              <w:ind w:left="610" w:right="599"/>
              <w:rPr>
                <w:rFonts w:ascii="Times New Roman"/>
                <w:sz w:val="21"/>
              </w:rPr>
            </w:pPr>
            <w:r>
              <w:rPr>
                <w:rFonts w:ascii="Times New Roman"/>
                <w:sz w:val="21"/>
              </w:rPr>
              <w:t>58.88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1856" w:type="dxa"/>
            <w:vMerge w:val="continue"/>
            <w:tcBorders>
              <w:top w:val="nil"/>
            </w:tcBorders>
          </w:tcPr>
          <w:p>
            <w:pPr>
              <w:rPr>
                <w:sz w:val="2"/>
                <w:szCs w:val="2"/>
              </w:rPr>
            </w:pPr>
          </w:p>
        </w:tc>
        <w:tc>
          <w:tcPr>
            <w:tcW w:w="1856" w:type="dxa"/>
          </w:tcPr>
          <w:p>
            <w:pPr>
              <w:pStyle w:val="14"/>
              <w:spacing w:before="19"/>
              <w:ind w:left="575" w:right="567"/>
              <w:rPr>
                <w:rFonts w:ascii="Times New Roman"/>
                <w:sz w:val="13"/>
              </w:rPr>
            </w:pPr>
            <w:r>
              <w:rPr>
                <w:rFonts w:ascii="Times New Roman"/>
                <w:sz w:val="21"/>
              </w:rPr>
              <w:t>Cl</w:t>
            </w:r>
            <w:r>
              <w:rPr>
                <w:rFonts w:ascii="Times New Roman"/>
                <w:position w:val="7"/>
                <w:sz w:val="13"/>
              </w:rPr>
              <w:t>-</w:t>
            </w:r>
          </w:p>
        </w:tc>
        <w:tc>
          <w:tcPr>
            <w:tcW w:w="1858" w:type="dxa"/>
          </w:tcPr>
          <w:p>
            <w:pPr>
              <w:pStyle w:val="14"/>
              <w:spacing w:before="13" w:line="248" w:lineRule="exact"/>
              <w:ind w:right="733"/>
              <w:jc w:val="right"/>
              <w:rPr>
                <w:rFonts w:ascii="Calibri"/>
                <w:sz w:val="21"/>
              </w:rPr>
            </w:pPr>
            <w:r>
              <w:rPr>
                <w:rFonts w:ascii="Calibri"/>
                <w:sz w:val="21"/>
              </w:rPr>
              <w:t>32.4</w:t>
            </w:r>
          </w:p>
        </w:tc>
        <w:tc>
          <w:tcPr>
            <w:tcW w:w="1858" w:type="dxa"/>
          </w:tcPr>
          <w:p>
            <w:pPr>
              <w:pStyle w:val="14"/>
              <w:spacing w:before="19"/>
              <w:ind w:left="610" w:right="601"/>
              <w:rPr>
                <w:rFonts w:ascii="Times New Roman"/>
                <w:sz w:val="21"/>
              </w:rPr>
            </w:pPr>
            <w:r>
              <w:rPr>
                <w:rFonts w:ascii="Times New Roman"/>
                <w:sz w:val="21"/>
              </w:rPr>
              <w:t>0.913</w:t>
            </w:r>
          </w:p>
        </w:tc>
        <w:tc>
          <w:tcPr>
            <w:tcW w:w="1858" w:type="dxa"/>
          </w:tcPr>
          <w:p>
            <w:pPr>
              <w:pStyle w:val="14"/>
              <w:spacing w:before="19"/>
              <w:ind w:left="610" w:right="599"/>
              <w:rPr>
                <w:rFonts w:ascii="Times New Roman"/>
                <w:sz w:val="21"/>
              </w:rPr>
            </w:pPr>
            <w:r>
              <w:rPr>
                <w:rFonts w:ascii="Times New Roman"/>
                <w:sz w:val="21"/>
              </w:rPr>
              <w:t>17.37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1856" w:type="dxa"/>
            <w:vMerge w:val="continue"/>
            <w:tcBorders>
              <w:top w:val="nil"/>
            </w:tcBorders>
          </w:tcPr>
          <w:p>
            <w:pPr>
              <w:rPr>
                <w:sz w:val="2"/>
                <w:szCs w:val="2"/>
              </w:rPr>
            </w:pPr>
          </w:p>
        </w:tc>
        <w:tc>
          <w:tcPr>
            <w:tcW w:w="1856" w:type="dxa"/>
          </w:tcPr>
          <w:p>
            <w:pPr>
              <w:pStyle w:val="14"/>
              <w:spacing w:before="19" w:line="166" w:lineRule="exact"/>
              <w:ind w:left="577" w:right="567"/>
              <w:rPr>
                <w:rFonts w:ascii="Times New Roman"/>
                <w:sz w:val="13"/>
              </w:rPr>
            </w:pPr>
            <w:r>
              <w:rPr>
                <w:rFonts w:ascii="Times New Roman"/>
                <w:position w:val="-6"/>
                <w:sz w:val="21"/>
              </w:rPr>
              <w:t xml:space="preserve">SO </w:t>
            </w:r>
            <w:r>
              <w:rPr>
                <w:rFonts w:ascii="Times New Roman"/>
                <w:sz w:val="13"/>
              </w:rPr>
              <w:t>2-</w:t>
            </w:r>
          </w:p>
          <w:p>
            <w:pPr>
              <w:pStyle w:val="14"/>
              <w:spacing w:line="74" w:lineRule="exact"/>
              <w:ind w:left="165"/>
              <w:rPr>
                <w:rFonts w:ascii="Times New Roman"/>
                <w:sz w:val="13"/>
              </w:rPr>
            </w:pPr>
            <w:r>
              <w:rPr>
                <w:rFonts w:ascii="Times New Roman"/>
                <w:w w:val="105"/>
                <w:sz w:val="13"/>
              </w:rPr>
              <w:t>4</w:t>
            </w:r>
          </w:p>
        </w:tc>
        <w:tc>
          <w:tcPr>
            <w:tcW w:w="1858" w:type="dxa"/>
          </w:tcPr>
          <w:p>
            <w:pPr>
              <w:pStyle w:val="14"/>
              <w:spacing w:before="12" w:line="249" w:lineRule="exact"/>
              <w:ind w:right="733"/>
              <w:jc w:val="right"/>
              <w:rPr>
                <w:rFonts w:ascii="Calibri"/>
                <w:sz w:val="21"/>
              </w:rPr>
            </w:pPr>
            <w:r>
              <w:rPr>
                <w:rFonts w:ascii="Calibri"/>
                <w:sz w:val="21"/>
              </w:rPr>
              <w:t>59.9</w:t>
            </w:r>
          </w:p>
        </w:tc>
        <w:tc>
          <w:tcPr>
            <w:tcW w:w="1858" w:type="dxa"/>
          </w:tcPr>
          <w:p>
            <w:pPr>
              <w:pStyle w:val="14"/>
              <w:spacing w:before="18"/>
              <w:ind w:left="610" w:right="601"/>
              <w:rPr>
                <w:rFonts w:ascii="Times New Roman"/>
                <w:sz w:val="21"/>
              </w:rPr>
            </w:pPr>
            <w:r>
              <w:rPr>
                <w:rFonts w:ascii="Times New Roman"/>
                <w:sz w:val="21"/>
              </w:rPr>
              <w:t>1.248</w:t>
            </w:r>
          </w:p>
        </w:tc>
        <w:tc>
          <w:tcPr>
            <w:tcW w:w="1858" w:type="dxa"/>
          </w:tcPr>
          <w:p>
            <w:pPr>
              <w:pStyle w:val="14"/>
              <w:spacing w:before="18"/>
              <w:ind w:left="610" w:right="599"/>
              <w:rPr>
                <w:rFonts w:ascii="Times New Roman"/>
                <w:sz w:val="21"/>
              </w:rPr>
            </w:pPr>
            <w:r>
              <w:rPr>
                <w:rFonts w:ascii="Times New Roman"/>
                <w:sz w:val="21"/>
              </w:rPr>
              <w:t>23.75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856" w:type="dxa"/>
            <w:vMerge w:val="continue"/>
            <w:tcBorders>
              <w:top w:val="nil"/>
            </w:tcBorders>
          </w:tcPr>
          <w:p>
            <w:pPr>
              <w:rPr>
                <w:sz w:val="2"/>
                <w:szCs w:val="2"/>
              </w:rPr>
            </w:pPr>
          </w:p>
        </w:tc>
        <w:tc>
          <w:tcPr>
            <w:tcW w:w="1856" w:type="dxa"/>
          </w:tcPr>
          <w:p>
            <w:pPr>
              <w:pStyle w:val="14"/>
              <w:spacing w:before="1" w:line="251" w:lineRule="exact"/>
              <w:ind w:left="572" w:right="567"/>
              <w:rPr>
                <w:sz w:val="21"/>
              </w:rPr>
            </w:pPr>
            <w:r>
              <w:rPr>
                <w:sz w:val="21"/>
              </w:rPr>
              <w:t>总计</w:t>
            </w:r>
          </w:p>
        </w:tc>
        <w:tc>
          <w:tcPr>
            <w:tcW w:w="1858" w:type="dxa"/>
          </w:tcPr>
          <w:p>
            <w:pPr>
              <w:pStyle w:val="14"/>
              <w:spacing w:before="15" w:line="237" w:lineRule="exact"/>
              <w:ind w:right="679"/>
              <w:jc w:val="right"/>
              <w:rPr>
                <w:rFonts w:ascii="Times New Roman"/>
                <w:sz w:val="21"/>
              </w:rPr>
            </w:pPr>
            <w:r>
              <w:rPr>
                <w:rFonts w:ascii="Times New Roman"/>
                <w:sz w:val="21"/>
              </w:rPr>
              <w:t>281.0</w:t>
            </w:r>
          </w:p>
        </w:tc>
        <w:tc>
          <w:tcPr>
            <w:tcW w:w="1858" w:type="dxa"/>
          </w:tcPr>
          <w:p>
            <w:pPr>
              <w:pStyle w:val="14"/>
              <w:spacing w:before="15" w:line="237" w:lineRule="exact"/>
              <w:ind w:left="610" w:right="601"/>
              <w:rPr>
                <w:rFonts w:ascii="Times New Roman"/>
                <w:sz w:val="21"/>
              </w:rPr>
            </w:pPr>
            <w:r>
              <w:rPr>
                <w:rFonts w:ascii="Times New Roman"/>
                <w:sz w:val="21"/>
              </w:rPr>
              <w:t>5.254</w:t>
            </w:r>
          </w:p>
        </w:tc>
        <w:tc>
          <w:tcPr>
            <w:tcW w:w="1858" w:type="dxa"/>
          </w:tcPr>
          <w:p>
            <w:pPr>
              <w:pStyle w:val="14"/>
              <w:spacing w:before="15" w:line="237" w:lineRule="exact"/>
              <w:ind w:left="609" w:right="603"/>
              <w:rPr>
                <w:rFonts w:ascii="Times New Roman"/>
                <w:sz w:val="21"/>
              </w:rPr>
            </w:pPr>
            <w:r>
              <w:rPr>
                <w:rFonts w:ascii="Times New Roman"/>
                <w:sz w:val="21"/>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3712" w:type="dxa"/>
            <w:gridSpan w:val="2"/>
          </w:tcPr>
          <w:p>
            <w:pPr>
              <w:pStyle w:val="14"/>
              <w:spacing w:line="252" w:lineRule="exact"/>
              <w:ind w:left="1519" w:right="1511"/>
              <w:rPr>
                <w:b/>
                <w:sz w:val="21"/>
              </w:rPr>
            </w:pPr>
            <w:r>
              <w:rPr>
                <w:rFonts w:ascii="Times New Roman" w:eastAsia="Times New Roman"/>
                <w:b/>
                <w:sz w:val="21"/>
              </w:rPr>
              <w:t>4#</w:t>
            </w:r>
            <w:r>
              <w:rPr>
                <w:b/>
                <w:sz w:val="21"/>
              </w:rPr>
              <w:t>离子</w:t>
            </w:r>
          </w:p>
        </w:tc>
        <w:tc>
          <w:tcPr>
            <w:tcW w:w="1858" w:type="dxa"/>
          </w:tcPr>
          <w:p>
            <w:pPr>
              <w:pStyle w:val="14"/>
              <w:spacing w:before="13" w:line="239" w:lineRule="exact"/>
              <w:ind w:right="680"/>
              <w:jc w:val="right"/>
              <w:rPr>
                <w:rFonts w:ascii="Times New Roman"/>
                <w:b/>
                <w:sz w:val="21"/>
              </w:rPr>
            </w:pPr>
            <w:r>
              <w:rPr>
                <w:rFonts w:ascii="Times New Roman"/>
                <w:b/>
                <w:w w:val="95"/>
                <w:sz w:val="21"/>
              </w:rPr>
              <w:t>mg/L</w:t>
            </w:r>
          </w:p>
        </w:tc>
        <w:tc>
          <w:tcPr>
            <w:tcW w:w="1858" w:type="dxa"/>
          </w:tcPr>
          <w:p>
            <w:pPr>
              <w:pStyle w:val="14"/>
              <w:spacing w:before="13" w:line="239" w:lineRule="exact"/>
              <w:ind w:left="609" w:right="603"/>
              <w:rPr>
                <w:rFonts w:ascii="Times New Roman"/>
                <w:b/>
                <w:sz w:val="21"/>
              </w:rPr>
            </w:pPr>
            <w:r>
              <w:rPr>
                <w:rFonts w:ascii="Times New Roman"/>
                <w:b/>
                <w:sz w:val="21"/>
              </w:rPr>
              <w:t>meq/L</w:t>
            </w:r>
          </w:p>
        </w:tc>
        <w:tc>
          <w:tcPr>
            <w:tcW w:w="1858" w:type="dxa"/>
          </w:tcPr>
          <w:p>
            <w:pPr>
              <w:pStyle w:val="14"/>
              <w:spacing w:before="13" w:line="239" w:lineRule="exact"/>
              <w:ind w:left="610" w:right="603"/>
              <w:rPr>
                <w:rFonts w:ascii="Times New Roman"/>
                <w:b/>
                <w:sz w:val="21"/>
              </w:rPr>
            </w:pPr>
            <w:r>
              <w:rPr>
                <w:rFonts w:ascii="Times New Roman"/>
                <w:b/>
                <w:sz w:val="21"/>
              </w:rPr>
              <w:t>meq%</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1856" w:type="dxa"/>
            <w:vMerge w:val="restart"/>
          </w:tcPr>
          <w:p>
            <w:pPr>
              <w:pStyle w:val="14"/>
              <w:spacing w:before="106" w:line="242" w:lineRule="auto"/>
              <w:ind w:left="823" w:right="811"/>
              <w:jc w:val="both"/>
              <w:rPr>
                <w:b/>
                <w:sz w:val="21"/>
              </w:rPr>
            </w:pPr>
            <w:r>
              <w:rPr>
                <w:b/>
                <w:sz w:val="21"/>
              </w:rPr>
              <w:t>阳离子</w:t>
            </w:r>
          </w:p>
        </w:tc>
        <w:tc>
          <w:tcPr>
            <w:tcW w:w="1856" w:type="dxa"/>
          </w:tcPr>
          <w:p>
            <w:pPr>
              <w:pStyle w:val="14"/>
              <w:spacing w:line="222" w:lineRule="exact"/>
              <w:ind w:left="577" w:right="567"/>
              <w:rPr>
                <w:rFonts w:ascii="Times New Roman"/>
                <w:sz w:val="13"/>
              </w:rPr>
            </w:pPr>
            <w:r>
              <w:rPr>
                <w:rFonts w:ascii="Times New Roman"/>
                <w:sz w:val="21"/>
              </w:rPr>
              <w:t>K</w:t>
            </w:r>
            <w:r>
              <w:rPr>
                <w:rFonts w:ascii="Times New Roman"/>
                <w:position w:val="7"/>
                <w:sz w:val="13"/>
              </w:rPr>
              <w:t>+</w:t>
            </w:r>
            <w:r>
              <w:rPr>
                <w:rFonts w:ascii="Times New Roman"/>
                <w:sz w:val="21"/>
              </w:rPr>
              <w:t>+Na</w:t>
            </w:r>
            <w:r>
              <w:rPr>
                <w:rFonts w:ascii="Times New Roman"/>
                <w:position w:val="7"/>
                <w:sz w:val="13"/>
              </w:rPr>
              <w:t>+</w:t>
            </w:r>
          </w:p>
        </w:tc>
        <w:tc>
          <w:tcPr>
            <w:tcW w:w="1858" w:type="dxa"/>
          </w:tcPr>
          <w:p>
            <w:pPr>
              <w:pStyle w:val="14"/>
              <w:spacing w:line="222" w:lineRule="exact"/>
              <w:ind w:right="679"/>
              <w:jc w:val="right"/>
              <w:rPr>
                <w:rFonts w:ascii="Times New Roman"/>
                <w:sz w:val="21"/>
              </w:rPr>
            </w:pPr>
            <w:r>
              <w:rPr>
                <w:rFonts w:ascii="Times New Roman"/>
                <w:sz w:val="21"/>
              </w:rPr>
              <w:t>25.35</w:t>
            </w:r>
          </w:p>
        </w:tc>
        <w:tc>
          <w:tcPr>
            <w:tcW w:w="1858" w:type="dxa"/>
          </w:tcPr>
          <w:p>
            <w:pPr>
              <w:pStyle w:val="14"/>
              <w:spacing w:line="222" w:lineRule="exact"/>
              <w:ind w:left="610" w:right="601"/>
              <w:rPr>
                <w:rFonts w:ascii="Times New Roman"/>
                <w:sz w:val="21"/>
              </w:rPr>
            </w:pPr>
            <w:r>
              <w:rPr>
                <w:rFonts w:ascii="Times New Roman"/>
                <w:sz w:val="21"/>
              </w:rPr>
              <w:t>1.039</w:t>
            </w:r>
          </w:p>
        </w:tc>
        <w:tc>
          <w:tcPr>
            <w:tcW w:w="1858" w:type="dxa"/>
          </w:tcPr>
          <w:p>
            <w:pPr>
              <w:pStyle w:val="14"/>
              <w:spacing w:line="222" w:lineRule="exact"/>
              <w:ind w:left="610" w:right="599"/>
              <w:rPr>
                <w:rFonts w:ascii="Times New Roman"/>
                <w:sz w:val="21"/>
              </w:rPr>
            </w:pPr>
            <w:r>
              <w:rPr>
                <w:rFonts w:ascii="Times New Roman"/>
                <w:sz w:val="21"/>
              </w:rPr>
              <w:t>10.20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1856" w:type="dxa"/>
            <w:vMerge w:val="continue"/>
            <w:tcBorders>
              <w:top w:val="nil"/>
            </w:tcBorders>
          </w:tcPr>
          <w:p>
            <w:pPr>
              <w:rPr>
                <w:sz w:val="2"/>
                <w:szCs w:val="2"/>
              </w:rPr>
            </w:pPr>
          </w:p>
        </w:tc>
        <w:tc>
          <w:tcPr>
            <w:tcW w:w="1856" w:type="dxa"/>
          </w:tcPr>
          <w:p>
            <w:pPr>
              <w:pStyle w:val="14"/>
              <w:spacing w:line="220" w:lineRule="exact"/>
              <w:ind w:left="577" w:right="567"/>
              <w:rPr>
                <w:rFonts w:ascii="Times New Roman"/>
                <w:sz w:val="13"/>
              </w:rPr>
            </w:pPr>
            <w:r>
              <w:rPr>
                <w:rFonts w:ascii="Times New Roman"/>
                <w:position w:val="-6"/>
                <w:sz w:val="21"/>
              </w:rPr>
              <w:t>Ca</w:t>
            </w:r>
            <w:r>
              <w:rPr>
                <w:rFonts w:ascii="Times New Roman"/>
                <w:sz w:val="13"/>
              </w:rPr>
              <w:t>2+</w:t>
            </w:r>
          </w:p>
        </w:tc>
        <w:tc>
          <w:tcPr>
            <w:tcW w:w="1858" w:type="dxa"/>
          </w:tcPr>
          <w:p>
            <w:pPr>
              <w:pStyle w:val="14"/>
              <w:spacing w:line="221" w:lineRule="exact"/>
              <w:ind w:right="732"/>
              <w:jc w:val="right"/>
              <w:rPr>
                <w:rFonts w:ascii="Times New Roman"/>
                <w:sz w:val="21"/>
              </w:rPr>
            </w:pPr>
            <w:r>
              <w:rPr>
                <w:rFonts w:ascii="Times New Roman"/>
                <w:sz w:val="21"/>
              </w:rPr>
              <w:t>87.0</w:t>
            </w:r>
          </w:p>
        </w:tc>
        <w:tc>
          <w:tcPr>
            <w:tcW w:w="1858" w:type="dxa"/>
          </w:tcPr>
          <w:p>
            <w:pPr>
              <w:pStyle w:val="14"/>
              <w:spacing w:line="221" w:lineRule="exact"/>
              <w:ind w:left="610" w:right="601"/>
              <w:rPr>
                <w:rFonts w:ascii="Times New Roman"/>
                <w:sz w:val="21"/>
              </w:rPr>
            </w:pPr>
            <w:r>
              <w:rPr>
                <w:rFonts w:ascii="Times New Roman"/>
                <w:sz w:val="21"/>
              </w:rPr>
              <w:t>4.350</w:t>
            </w:r>
          </w:p>
        </w:tc>
        <w:tc>
          <w:tcPr>
            <w:tcW w:w="1858" w:type="dxa"/>
          </w:tcPr>
          <w:p>
            <w:pPr>
              <w:pStyle w:val="14"/>
              <w:spacing w:line="221" w:lineRule="exact"/>
              <w:ind w:left="610" w:right="599"/>
              <w:rPr>
                <w:rFonts w:ascii="Times New Roman"/>
                <w:sz w:val="21"/>
              </w:rPr>
            </w:pPr>
            <w:r>
              <w:rPr>
                <w:rFonts w:ascii="Times New Roman"/>
                <w:sz w:val="21"/>
              </w:rPr>
              <w:t>42.73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1856" w:type="dxa"/>
            <w:vMerge w:val="continue"/>
            <w:tcBorders>
              <w:top w:val="nil"/>
            </w:tcBorders>
          </w:tcPr>
          <w:p>
            <w:pPr>
              <w:rPr>
                <w:sz w:val="2"/>
                <w:szCs w:val="2"/>
              </w:rPr>
            </w:pPr>
          </w:p>
        </w:tc>
        <w:tc>
          <w:tcPr>
            <w:tcW w:w="1856" w:type="dxa"/>
          </w:tcPr>
          <w:p>
            <w:pPr>
              <w:pStyle w:val="14"/>
              <w:spacing w:line="221" w:lineRule="exact"/>
              <w:ind w:left="577" w:right="567"/>
              <w:rPr>
                <w:rFonts w:ascii="Times New Roman"/>
                <w:sz w:val="13"/>
              </w:rPr>
            </w:pPr>
            <w:r>
              <w:rPr>
                <w:rFonts w:ascii="Times New Roman"/>
                <w:position w:val="-6"/>
                <w:sz w:val="21"/>
              </w:rPr>
              <w:t>Mg</w:t>
            </w:r>
            <w:r>
              <w:rPr>
                <w:rFonts w:ascii="Times New Roman"/>
                <w:sz w:val="13"/>
              </w:rPr>
              <w:t>2+</w:t>
            </w:r>
          </w:p>
        </w:tc>
        <w:tc>
          <w:tcPr>
            <w:tcW w:w="1858" w:type="dxa"/>
          </w:tcPr>
          <w:p>
            <w:pPr>
              <w:pStyle w:val="14"/>
              <w:spacing w:line="221" w:lineRule="exact"/>
              <w:ind w:right="732"/>
              <w:jc w:val="right"/>
              <w:rPr>
                <w:rFonts w:ascii="Times New Roman"/>
                <w:sz w:val="21"/>
              </w:rPr>
            </w:pPr>
            <w:r>
              <w:rPr>
                <w:rFonts w:ascii="Times New Roman"/>
                <w:sz w:val="21"/>
              </w:rPr>
              <w:t>57.5</w:t>
            </w:r>
          </w:p>
        </w:tc>
        <w:tc>
          <w:tcPr>
            <w:tcW w:w="1858" w:type="dxa"/>
          </w:tcPr>
          <w:p>
            <w:pPr>
              <w:pStyle w:val="14"/>
              <w:spacing w:line="221" w:lineRule="exact"/>
              <w:ind w:left="610" w:right="601"/>
              <w:rPr>
                <w:rFonts w:ascii="Times New Roman"/>
                <w:sz w:val="21"/>
              </w:rPr>
            </w:pPr>
            <w:r>
              <w:rPr>
                <w:rFonts w:ascii="Times New Roman"/>
                <w:sz w:val="21"/>
              </w:rPr>
              <w:t>4.792</w:t>
            </w:r>
          </w:p>
        </w:tc>
        <w:tc>
          <w:tcPr>
            <w:tcW w:w="1858" w:type="dxa"/>
          </w:tcPr>
          <w:p>
            <w:pPr>
              <w:pStyle w:val="14"/>
              <w:spacing w:line="221" w:lineRule="exact"/>
              <w:ind w:left="610" w:right="599"/>
              <w:rPr>
                <w:rFonts w:ascii="Times New Roman"/>
                <w:sz w:val="21"/>
              </w:rPr>
            </w:pPr>
            <w:r>
              <w:rPr>
                <w:rFonts w:ascii="Times New Roman"/>
                <w:sz w:val="21"/>
              </w:rPr>
              <w:t>47.07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856" w:type="dxa"/>
            <w:vMerge w:val="continue"/>
            <w:tcBorders>
              <w:top w:val="nil"/>
            </w:tcBorders>
          </w:tcPr>
          <w:p>
            <w:pPr>
              <w:rPr>
                <w:sz w:val="2"/>
                <w:szCs w:val="2"/>
              </w:rPr>
            </w:pPr>
          </w:p>
        </w:tc>
        <w:tc>
          <w:tcPr>
            <w:tcW w:w="1856" w:type="dxa"/>
          </w:tcPr>
          <w:p>
            <w:pPr>
              <w:pStyle w:val="14"/>
              <w:spacing w:line="253" w:lineRule="exact"/>
              <w:ind w:left="572" w:right="567"/>
              <w:rPr>
                <w:sz w:val="21"/>
              </w:rPr>
            </w:pPr>
            <w:r>
              <w:rPr>
                <w:sz w:val="21"/>
              </w:rPr>
              <w:t>总计</w:t>
            </w:r>
          </w:p>
        </w:tc>
        <w:tc>
          <w:tcPr>
            <w:tcW w:w="1858" w:type="dxa"/>
          </w:tcPr>
          <w:p>
            <w:pPr>
              <w:pStyle w:val="14"/>
              <w:spacing w:before="14" w:line="239" w:lineRule="exact"/>
              <w:ind w:right="629"/>
              <w:jc w:val="right"/>
              <w:rPr>
                <w:rFonts w:ascii="Times New Roman"/>
                <w:sz w:val="21"/>
              </w:rPr>
            </w:pPr>
            <w:r>
              <w:rPr>
                <w:rFonts w:ascii="Times New Roman"/>
                <w:w w:val="95"/>
                <w:sz w:val="21"/>
              </w:rPr>
              <w:t>169.85</w:t>
            </w:r>
          </w:p>
        </w:tc>
        <w:tc>
          <w:tcPr>
            <w:tcW w:w="1858" w:type="dxa"/>
          </w:tcPr>
          <w:p>
            <w:pPr>
              <w:pStyle w:val="14"/>
              <w:spacing w:before="14" w:line="239" w:lineRule="exact"/>
              <w:ind w:left="610" w:right="603"/>
              <w:rPr>
                <w:rFonts w:ascii="Times New Roman"/>
                <w:sz w:val="21"/>
              </w:rPr>
            </w:pPr>
            <w:r>
              <w:rPr>
                <w:rFonts w:ascii="Times New Roman"/>
                <w:sz w:val="21"/>
              </w:rPr>
              <w:t>10.181</w:t>
            </w:r>
          </w:p>
        </w:tc>
        <w:tc>
          <w:tcPr>
            <w:tcW w:w="1858" w:type="dxa"/>
          </w:tcPr>
          <w:p>
            <w:pPr>
              <w:pStyle w:val="14"/>
              <w:spacing w:before="14" w:line="239" w:lineRule="exact"/>
              <w:ind w:left="609" w:right="603"/>
              <w:rPr>
                <w:rFonts w:ascii="Times New Roman"/>
                <w:sz w:val="21"/>
              </w:rPr>
            </w:pPr>
            <w:r>
              <w:rPr>
                <w:rFonts w:ascii="Times New Roman"/>
                <w:sz w:val="21"/>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1856" w:type="dxa"/>
            <w:vMerge w:val="restart"/>
          </w:tcPr>
          <w:p>
            <w:pPr>
              <w:pStyle w:val="14"/>
              <w:spacing w:before="103" w:line="242" w:lineRule="auto"/>
              <w:ind w:left="823" w:right="811"/>
              <w:jc w:val="both"/>
              <w:rPr>
                <w:b/>
                <w:sz w:val="21"/>
              </w:rPr>
            </w:pPr>
            <w:r>
              <w:rPr>
                <w:b/>
                <w:sz w:val="21"/>
              </w:rPr>
              <w:t>阴离子</w:t>
            </w:r>
          </w:p>
        </w:tc>
        <w:tc>
          <w:tcPr>
            <w:tcW w:w="1856" w:type="dxa"/>
          </w:tcPr>
          <w:p>
            <w:pPr>
              <w:pStyle w:val="14"/>
              <w:spacing w:line="166" w:lineRule="exact"/>
              <w:ind w:left="577" w:right="567"/>
              <w:rPr>
                <w:rFonts w:ascii="Times New Roman"/>
                <w:sz w:val="13"/>
              </w:rPr>
            </w:pPr>
            <w:r>
              <w:rPr>
                <w:rFonts w:ascii="Times New Roman"/>
                <w:sz w:val="21"/>
              </w:rPr>
              <w:t xml:space="preserve">HCO </w:t>
            </w:r>
            <w:r>
              <w:rPr>
                <w:rFonts w:ascii="Times New Roman"/>
                <w:position w:val="7"/>
                <w:sz w:val="13"/>
              </w:rPr>
              <w:t>-</w:t>
            </w:r>
          </w:p>
          <w:p>
            <w:pPr>
              <w:pStyle w:val="14"/>
              <w:spacing w:line="55" w:lineRule="exact"/>
              <w:ind w:left="410"/>
              <w:rPr>
                <w:rFonts w:ascii="Times New Roman"/>
                <w:sz w:val="13"/>
              </w:rPr>
            </w:pPr>
            <w:r>
              <w:rPr>
                <w:rFonts w:ascii="Times New Roman"/>
                <w:w w:val="105"/>
                <w:sz w:val="13"/>
              </w:rPr>
              <w:t>3</w:t>
            </w:r>
          </w:p>
        </w:tc>
        <w:tc>
          <w:tcPr>
            <w:tcW w:w="1858" w:type="dxa"/>
          </w:tcPr>
          <w:p>
            <w:pPr>
              <w:pStyle w:val="14"/>
              <w:spacing w:line="221" w:lineRule="exact"/>
              <w:ind w:right="679"/>
              <w:jc w:val="right"/>
              <w:rPr>
                <w:rFonts w:ascii="Times New Roman"/>
                <w:sz w:val="21"/>
              </w:rPr>
            </w:pPr>
            <w:r>
              <w:rPr>
                <w:rFonts w:ascii="Times New Roman"/>
                <w:sz w:val="21"/>
              </w:rPr>
              <w:t>508.1</w:t>
            </w:r>
          </w:p>
        </w:tc>
        <w:tc>
          <w:tcPr>
            <w:tcW w:w="1858" w:type="dxa"/>
          </w:tcPr>
          <w:p>
            <w:pPr>
              <w:pStyle w:val="14"/>
              <w:spacing w:line="221" w:lineRule="exact"/>
              <w:ind w:left="610" w:right="601"/>
              <w:rPr>
                <w:rFonts w:ascii="Times New Roman"/>
                <w:sz w:val="21"/>
              </w:rPr>
            </w:pPr>
            <w:r>
              <w:rPr>
                <w:rFonts w:ascii="Times New Roman"/>
                <w:sz w:val="21"/>
              </w:rPr>
              <w:t>8.330</w:t>
            </w:r>
          </w:p>
        </w:tc>
        <w:tc>
          <w:tcPr>
            <w:tcW w:w="1858" w:type="dxa"/>
          </w:tcPr>
          <w:p>
            <w:pPr>
              <w:pStyle w:val="14"/>
              <w:spacing w:line="221" w:lineRule="exact"/>
              <w:ind w:left="610" w:right="599"/>
              <w:rPr>
                <w:rFonts w:ascii="Times New Roman"/>
                <w:sz w:val="21"/>
              </w:rPr>
            </w:pPr>
            <w:r>
              <w:rPr>
                <w:rFonts w:ascii="Times New Roman"/>
                <w:sz w:val="21"/>
              </w:rPr>
              <w:t>88.41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1856" w:type="dxa"/>
            <w:vMerge w:val="continue"/>
            <w:tcBorders>
              <w:top w:val="nil"/>
            </w:tcBorders>
          </w:tcPr>
          <w:p>
            <w:pPr>
              <w:rPr>
                <w:sz w:val="2"/>
                <w:szCs w:val="2"/>
              </w:rPr>
            </w:pPr>
          </w:p>
        </w:tc>
        <w:tc>
          <w:tcPr>
            <w:tcW w:w="1856" w:type="dxa"/>
          </w:tcPr>
          <w:p>
            <w:pPr>
              <w:pStyle w:val="14"/>
              <w:spacing w:before="1" w:line="221" w:lineRule="exact"/>
              <w:ind w:left="575" w:right="567"/>
              <w:rPr>
                <w:rFonts w:ascii="Times New Roman"/>
                <w:sz w:val="13"/>
              </w:rPr>
            </w:pPr>
            <w:r>
              <w:rPr>
                <w:rFonts w:ascii="Times New Roman"/>
                <w:sz w:val="21"/>
              </w:rPr>
              <w:t>Cl</w:t>
            </w:r>
            <w:r>
              <w:rPr>
                <w:rFonts w:ascii="Times New Roman"/>
                <w:position w:val="7"/>
                <w:sz w:val="13"/>
              </w:rPr>
              <w:t>-</w:t>
            </w:r>
          </w:p>
        </w:tc>
        <w:tc>
          <w:tcPr>
            <w:tcW w:w="1858" w:type="dxa"/>
          </w:tcPr>
          <w:p>
            <w:pPr>
              <w:pStyle w:val="14"/>
              <w:spacing w:before="1" w:line="221" w:lineRule="exact"/>
              <w:ind w:right="732"/>
              <w:jc w:val="right"/>
              <w:rPr>
                <w:rFonts w:ascii="Times New Roman"/>
                <w:sz w:val="21"/>
              </w:rPr>
            </w:pPr>
            <w:r>
              <w:rPr>
                <w:rFonts w:ascii="Times New Roman"/>
                <w:sz w:val="21"/>
              </w:rPr>
              <w:t>16.0</w:t>
            </w:r>
          </w:p>
        </w:tc>
        <w:tc>
          <w:tcPr>
            <w:tcW w:w="1858" w:type="dxa"/>
          </w:tcPr>
          <w:p>
            <w:pPr>
              <w:pStyle w:val="14"/>
              <w:spacing w:before="1" w:line="221" w:lineRule="exact"/>
              <w:ind w:left="610" w:right="601"/>
              <w:rPr>
                <w:rFonts w:ascii="Times New Roman"/>
                <w:sz w:val="21"/>
              </w:rPr>
            </w:pPr>
            <w:r>
              <w:rPr>
                <w:rFonts w:ascii="Times New Roman"/>
                <w:sz w:val="21"/>
              </w:rPr>
              <w:t>0.451</w:t>
            </w:r>
          </w:p>
        </w:tc>
        <w:tc>
          <w:tcPr>
            <w:tcW w:w="1858" w:type="dxa"/>
          </w:tcPr>
          <w:p>
            <w:pPr>
              <w:pStyle w:val="14"/>
              <w:spacing w:before="1" w:line="221" w:lineRule="exact"/>
              <w:ind w:left="610" w:right="602"/>
              <w:rPr>
                <w:rFonts w:ascii="Times New Roman"/>
                <w:sz w:val="21"/>
              </w:rPr>
            </w:pPr>
            <w:r>
              <w:rPr>
                <w:rFonts w:ascii="Times New Roman"/>
                <w:sz w:val="21"/>
              </w:rPr>
              <w:t>4.78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856" w:type="dxa"/>
            <w:vMerge w:val="continue"/>
            <w:tcBorders>
              <w:top w:val="nil"/>
            </w:tcBorders>
          </w:tcPr>
          <w:p>
            <w:pPr>
              <w:rPr>
                <w:sz w:val="2"/>
                <w:szCs w:val="2"/>
              </w:rPr>
            </w:pPr>
          </w:p>
        </w:tc>
        <w:tc>
          <w:tcPr>
            <w:tcW w:w="1856" w:type="dxa"/>
          </w:tcPr>
          <w:p>
            <w:pPr>
              <w:pStyle w:val="14"/>
              <w:spacing w:line="165" w:lineRule="exact"/>
              <w:ind w:left="577" w:right="567"/>
              <w:rPr>
                <w:rFonts w:ascii="Times New Roman"/>
                <w:sz w:val="13"/>
              </w:rPr>
            </w:pPr>
            <w:r>
              <w:rPr>
                <w:rFonts w:ascii="Times New Roman"/>
                <w:position w:val="-6"/>
                <w:sz w:val="21"/>
              </w:rPr>
              <w:t xml:space="preserve">SO </w:t>
            </w:r>
            <w:r>
              <w:rPr>
                <w:rFonts w:ascii="Times New Roman"/>
                <w:sz w:val="13"/>
              </w:rPr>
              <w:t>2-</w:t>
            </w:r>
          </w:p>
          <w:p>
            <w:pPr>
              <w:pStyle w:val="14"/>
              <w:spacing w:line="56" w:lineRule="exact"/>
              <w:ind w:left="165"/>
              <w:rPr>
                <w:rFonts w:ascii="Times New Roman"/>
                <w:sz w:val="13"/>
              </w:rPr>
            </w:pPr>
            <w:r>
              <w:rPr>
                <w:rFonts w:ascii="Times New Roman"/>
                <w:w w:val="105"/>
                <w:sz w:val="13"/>
              </w:rPr>
              <w:t>4</w:t>
            </w:r>
          </w:p>
        </w:tc>
        <w:tc>
          <w:tcPr>
            <w:tcW w:w="1858" w:type="dxa"/>
          </w:tcPr>
          <w:p>
            <w:pPr>
              <w:pStyle w:val="14"/>
              <w:spacing w:line="221" w:lineRule="exact"/>
              <w:ind w:right="732"/>
              <w:jc w:val="right"/>
              <w:rPr>
                <w:rFonts w:ascii="Times New Roman"/>
                <w:sz w:val="21"/>
              </w:rPr>
            </w:pPr>
            <w:r>
              <w:rPr>
                <w:rFonts w:ascii="Times New Roman"/>
                <w:sz w:val="21"/>
              </w:rPr>
              <w:t>30.8</w:t>
            </w:r>
          </w:p>
        </w:tc>
        <w:tc>
          <w:tcPr>
            <w:tcW w:w="1858" w:type="dxa"/>
          </w:tcPr>
          <w:p>
            <w:pPr>
              <w:pStyle w:val="14"/>
              <w:spacing w:line="221" w:lineRule="exact"/>
              <w:ind w:left="610" w:right="601"/>
              <w:rPr>
                <w:rFonts w:ascii="Times New Roman"/>
                <w:sz w:val="21"/>
              </w:rPr>
            </w:pPr>
            <w:r>
              <w:rPr>
                <w:rFonts w:ascii="Times New Roman"/>
                <w:sz w:val="21"/>
              </w:rPr>
              <w:t>0.642</w:t>
            </w:r>
          </w:p>
        </w:tc>
        <w:tc>
          <w:tcPr>
            <w:tcW w:w="1858" w:type="dxa"/>
          </w:tcPr>
          <w:p>
            <w:pPr>
              <w:pStyle w:val="14"/>
              <w:spacing w:line="221" w:lineRule="exact"/>
              <w:ind w:left="610" w:right="602"/>
              <w:rPr>
                <w:rFonts w:ascii="Times New Roman"/>
                <w:sz w:val="21"/>
              </w:rPr>
            </w:pPr>
            <w:r>
              <w:rPr>
                <w:rFonts w:ascii="Times New Roman"/>
                <w:sz w:val="21"/>
              </w:rPr>
              <w:t>6.81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856" w:type="dxa"/>
            <w:vMerge w:val="continue"/>
            <w:tcBorders>
              <w:top w:val="nil"/>
            </w:tcBorders>
          </w:tcPr>
          <w:p>
            <w:pPr>
              <w:rPr>
                <w:sz w:val="2"/>
                <w:szCs w:val="2"/>
              </w:rPr>
            </w:pPr>
          </w:p>
        </w:tc>
        <w:tc>
          <w:tcPr>
            <w:tcW w:w="1856" w:type="dxa"/>
          </w:tcPr>
          <w:p>
            <w:pPr>
              <w:pStyle w:val="14"/>
              <w:spacing w:line="253" w:lineRule="exact"/>
              <w:ind w:left="572" w:right="567"/>
              <w:rPr>
                <w:sz w:val="21"/>
              </w:rPr>
            </w:pPr>
            <w:r>
              <w:rPr>
                <w:sz w:val="21"/>
              </w:rPr>
              <w:t>总计</w:t>
            </w:r>
          </w:p>
        </w:tc>
        <w:tc>
          <w:tcPr>
            <w:tcW w:w="1858" w:type="dxa"/>
          </w:tcPr>
          <w:p>
            <w:pPr>
              <w:pStyle w:val="14"/>
              <w:spacing w:before="14" w:line="239" w:lineRule="exact"/>
              <w:ind w:right="679"/>
              <w:jc w:val="right"/>
              <w:rPr>
                <w:rFonts w:ascii="Times New Roman"/>
                <w:sz w:val="21"/>
              </w:rPr>
            </w:pPr>
            <w:r>
              <w:rPr>
                <w:rFonts w:ascii="Times New Roman"/>
                <w:sz w:val="21"/>
              </w:rPr>
              <w:t>554.9</w:t>
            </w:r>
          </w:p>
        </w:tc>
        <w:tc>
          <w:tcPr>
            <w:tcW w:w="1858" w:type="dxa"/>
          </w:tcPr>
          <w:p>
            <w:pPr>
              <w:pStyle w:val="14"/>
              <w:spacing w:before="14" w:line="239" w:lineRule="exact"/>
              <w:ind w:left="610" w:right="601"/>
              <w:rPr>
                <w:rFonts w:ascii="Times New Roman"/>
                <w:sz w:val="21"/>
              </w:rPr>
            </w:pPr>
            <w:r>
              <w:rPr>
                <w:rFonts w:ascii="Times New Roman"/>
                <w:sz w:val="21"/>
              </w:rPr>
              <w:t>9.422</w:t>
            </w:r>
          </w:p>
        </w:tc>
        <w:tc>
          <w:tcPr>
            <w:tcW w:w="1858" w:type="dxa"/>
          </w:tcPr>
          <w:p>
            <w:pPr>
              <w:pStyle w:val="14"/>
              <w:spacing w:before="14" w:line="239" w:lineRule="exact"/>
              <w:ind w:left="609" w:right="603"/>
              <w:rPr>
                <w:rFonts w:ascii="Times New Roman"/>
                <w:sz w:val="21"/>
              </w:rPr>
            </w:pPr>
            <w:r>
              <w:rPr>
                <w:rFonts w:ascii="Times New Roman"/>
                <w:sz w:val="21"/>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3712" w:type="dxa"/>
            <w:gridSpan w:val="2"/>
          </w:tcPr>
          <w:p>
            <w:pPr>
              <w:pStyle w:val="14"/>
              <w:spacing w:line="252" w:lineRule="exact"/>
              <w:ind w:left="1519" w:right="1511"/>
              <w:rPr>
                <w:b/>
                <w:sz w:val="21"/>
              </w:rPr>
            </w:pPr>
            <w:r>
              <w:rPr>
                <w:rFonts w:ascii="Times New Roman" w:eastAsia="Times New Roman"/>
                <w:b/>
                <w:sz w:val="21"/>
              </w:rPr>
              <w:t>5#</w:t>
            </w:r>
            <w:r>
              <w:rPr>
                <w:b/>
                <w:sz w:val="21"/>
              </w:rPr>
              <w:t>离子</w:t>
            </w:r>
          </w:p>
        </w:tc>
        <w:tc>
          <w:tcPr>
            <w:tcW w:w="1858" w:type="dxa"/>
          </w:tcPr>
          <w:p>
            <w:pPr>
              <w:pStyle w:val="14"/>
              <w:spacing w:before="14" w:line="238" w:lineRule="exact"/>
              <w:ind w:right="680"/>
              <w:jc w:val="right"/>
              <w:rPr>
                <w:rFonts w:ascii="Times New Roman"/>
                <w:b/>
                <w:sz w:val="21"/>
              </w:rPr>
            </w:pPr>
            <w:r>
              <w:rPr>
                <w:rFonts w:ascii="Times New Roman"/>
                <w:b/>
                <w:w w:val="95"/>
                <w:sz w:val="21"/>
              </w:rPr>
              <w:t>mg/L</w:t>
            </w:r>
          </w:p>
        </w:tc>
        <w:tc>
          <w:tcPr>
            <w:tcW w:w="1858" w:type="dxa"/>
          </w:tcPr>
          <w:p>
            <w:pPr>
              <w:pStyle w:val="14"/>
              <w:spacing w:before="14" w:line="238" w:lineRule="exact"/>
              <w:ind w:left="609" w:right="603"/>
              <w:rPr>
                <w:rFonts w:ascii="Times New Roman"/>
                <w:b/>
                <w:sz w:val="21"/>
              </w:rPr>
            </w:pPr>
            <w:r>
              <w:rPr>
                <w:rFonts w:ascii="Times New Roman"/>
                <w:b/>
                <w:sz w:val="21"/>
              </w:rPr>
              <w:t>meq/L</w:t>
            </w:r>
          </w:p>
        </w:tc>
        <w:tc>
          <w:tcPr>
            <w:tcW w:w="1858" w:type="dxa"/>
          </w:tcPr>
          <w:p>
            <w:pPr>
              <w:pStyle w:val="14"/>
              <w:spacing w:before="14" w:line="238" w:lineRule="exact"/>
              <w:ind w:left="610" w:right="603"/>
              <w:rPr>
                <w:rFonts w:ascii="Times New Roman"/>
                <w:b/>
                <w:sz w:val="21"/>
              </w:rPr>
            </w:pPr>
            <w:r>
              <w:rPr>
                <w:rFonts w:ascii="Times New Roman"/>
                <w:b/>
                <w:sz w:val="21"/>
              </w:rPr>
              <w:t>meq%</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1856" w:type="dxa"/>
            <w:vMerge w:val="restart"/>
          </w:tcPr>
          <w:p>
            <w:pPr>
              <w:pStyle w:val="14"/>
              <w:spacing w:before="104" w:line="242" w:lineRule="auto"/>
              <w:ind w:left="823" w:right="811"/>
              <w:jc w:val="both"/>
              <w:rPr>
                <w:b/>
                <w:sz w:val="21"/>
              </w:rPr>
            </w:pPr>
            <w:r>
              <w:rPr>
                <w:b/>
                <w:sz w:val="21"/>
              </w:rPr>
              <w:t>阳离子</w:t>
            </w:r>
          </w:p>
        </w:tc>
        <w:tc>
          <w:tcPr>
            <w:tcW w:w="1856" w:type="dxa"/>
          </w:tcPr>
          <w:p>
            <w:pPr>
              <w:pStyle w:val="14"/>
              <w:spacing w:line="221" w:lineRule="exact"/>
              <w:ind w:left="577" w:right="567"/>
              <w:rPr>
                <w:rFonts w:ascii="Times New Roman"/>
                <w:sz w:val="13"/>
              </w:rPr>
            </w:pPr>
            <w:r>
              <w:rPr>
                <w:rFonts w:ascii="Times New Roman"/>
                <w:sz w:val="21"/>
              </w:rPr>
              <w:t>K</w:t>
            </w:r>
            <w:r>
              <w:rPr>
                <w:rFonts w:ascii="Times New Roman"/>
                <w:position w:val="7"/>
                <w:sz w:val="13"/>
              </w:rPr>
              <w:t>+</w:t>
            </w:r>
            <w:r>
              <w:rPr>
                <w:rFonts w:ascii="Times New Roman"/>
                <w:sz w:val="21"/>
              </w:rPr>
              <w:t>+Na</w:t>
            </w:r>
            <w:r>
              <w:rPr>
                <w:rFonts w:ascii="Times New Roman"/>
                <w:position w:val="7"/>
                <w:sz w:val="13"/>
              </w:rPr>
              <w:t>+</w:t>
            </w:r>
          </w:p>
        </w:tc>
        <w:tc>
          <w:tcPr>
            <w:tcW w:w="1858" w:type="dxa"/>
          </w:tcPr>
          <w:p>
            <w:pPr>
              <w:pStyle w:val="14"/>
              <w:spacing w:line="221" w:lineRule="exact"/>
              <w:ind w:right="679"/>
              <w:jc w:val="right"/>
              <w:rPr>
                <w:rFonts w:ascii="Times New Roman"/>
                <w:sz w:val="21"/>
              </w:rPr>
            </w:pPr>
            <w:r>
              <w:rPr>
                <w:rFonts w:ascii="Times New Roman"/>
                <w:sz w:val="21"/>
              </w:rPr>
              <w:t>32.55</w:t>
            </w:r>
          </w:p>
        </w:tc>
        <w:tc>
          <w:tcPr>
            <w:tcW w:w="1858" w:type="dxa"/>
          </w:tcPr>
          <w:p>
            <w:pPr>
              <w:pStyle w:val="14"/>
              <w:spacing w:line="221" w:lineRule="exact"/>
              <w:ind w:left="610" w:right="601"/>
              <w:rPr>
                <w:rFonts w:ascii="Times New Roman"/>
                <w:sz w:val="21"/>
              </w:rPr>
            </w:pPr>
            <w:r>
              <w:rPr>
                <w:rFonts w:ascii="Times New Roman"/>
                <w:sz w:val="21"/>
              </w:rPr>
              <w:t>1.343</w:t>
            </w:r>
          </w:p>
        </w:tc>
        <w:tc>
          <w:tcPr>
            <w:tcW w:w="1858" w:type="dxa"/>
          </w:tcPr>
          <w:p>
            <w:pPr>
              <w:pStyle w:val="14"/>
              <w:spacing w:line="221" w:lineRule="exact"/>
              <w:ind w:left="610" w:right="599"/>
              <w:rPr>
                <w:rFonts w:ascii="Times New Roman"/>
                <w:sz w:val="21"/>
              </w:rPr>
            </w:pPr>
            <w:r>
              <w:rPr>
                <w:rFonts w:ascii="Times New Roman"/>
                <w:sz w:val="21"/>
              </w:rPr>
              <w:t>12.96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1856" w:type="dxa"/>
            <w:vMerge w:val="continue"/>
            <w:tcBorders>
              <w:top w:val="nil"/>
            </w:tcBorders>
          </w:tcPr>
          <w:p>
            <w:pPr>
              <w:rPr>
                <w:sz w:val="2"/>
                <w:szCs w:val="2"/>
              </w:rPr>
            </w:pPr>
          </w:p>
        </w:tc>
        <w:tc>
          <w:tcPr>
            <w:tcW w:w="1856" w:type="dxa"/>
          </w:tcPr>
          <w:p>
            <w:pPr>
              <w:pStyle w:val="14"/>
              <w:spacing w:line="222" w:lineRule="exact"/>
              <w:ind w:left="577" w:right="567"/>
              <w:rPr>
                <w:rFonts w:ascii="Times New Roman"/>
                <w:sz w:val="13"/>
              </w:rPr>
            </w:pPr>
            <w:r>
              <w:rPr>
                <w:rFonts w:ascii="Times New Roman"/>
                <w:position w:val="-6"/>
                <w:sz w:val="21"/>
              </w:rPr>
              <w:t>Ca</w:t>
            </w:r>
            <w:r>
              <w:rPr>
                <w:rFonts w:ascii="Times New Roman"/>
                <w:sz w:val="13"/>
              </w:rPr>
              <w:t>2+</w:t>
            </w:r>
          </w:p>
        </w:tc>
        <w:tc>
          <w:tcPr>
            <w:tcW w:w="1858" w:type="dxa"/>
          </w:tcPr>
          <w:p>
            <w:pPr>
              <w:pStyle w:val="14"/>
              <w:spacing w:line="222" w:lineRule="exact"/>
              <w:ind w:right="732"/>
              <w:jc w:val="right"/>
              <w:rPr>
                <w:rFonts w:ascii="Times New Roman"/>
                <w:sz w:val="21"/>
              </w:rPr>
            </w:pPr>
            <w:r>
              <w:rPr>
                <w:rFonts w:ascii="Times New Roman"/>
                <w:sz w:val="21"/>
              </w:rPr>
              <w:t>84.5</w:t>
            </w:r>
          </w:p>
        </w:tc>
        <w:tc>
          <w:tcPr>
            <w:tcW w:w="1858" w:type="dxa"/>
          </w:tcPr>
          <w:p>
            <w:pPr>
              <w:pStyle w:val="14"/>
              <w:spacing w:line="222" w:lineRule="exact"/>
              <w:ind w:left="610" w:right="601"/>
              <w:rPr>
                <w:rFonts w:ascii="Times New Roman"/>
                <w:sz w:val="21"/>
              </w:rPr>
            </w:pPr>
            <w:r>
              <w:rPr>
                <w:rFonts w:ascii="Times New Roman"/>
                <w:sz w:val="21"/>
              </w:rPr>
              <w:t>4.225</w:t>
            </w:r>
          </w:p>
        </w:tc>
        <w:tc>
          <w:tcPr>
            <w:tcW w:w="1858" w:type="dxa"/>
          </w:tcPr>
          <w:p>
            <w:pPr>
              <w:pStyle w:val="14"/>
              <w:spacing w:line="222" w:lineRule="exact"/>
              <w:ind w:left="610" w:right="599"/>
              <w:rPr>
                <w:rFonts w:ascii="Times New Roman"/>
                <w:sz w:val="21"/>
              </w:rPr>
            </w:pPr>
            <w:r>
              <w:rPr>
                <w:rFonts w:ascii="Times New Roman"/>
                <w:sz w:val="21"/>
              </w:rPr>
              <w:t>40.78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856" w:type="dxa"/>
            <w:vMerge w:val="continue"/>
            <w:tcBorders>
              <w:top w:val="nil"/>
            </w:tcBorders>
          </w:tcPr>
          <w:p>
            <w:pPr>
              <w:rPr>
                <w:sz w:val="2"/>
                <w:szCs w:val="2"/>
              </w:rPr>
            </w:pPr>
          </w:p>
        </w:tc>
        <w:tc>
          <w:tcPr>
            <w:tcW w:w="1856" w:type="dxa"/>
          </w:tcPr>
          <w:p>
            <w:pPr>
              <w:pStyle w:val="14"/>
              <w:spacing w:line="221" w:lineRule="exact"/>
              <w:ind w:left="577" w:right="567"/>
              <w:rPr>
                <w:rFonts w:ascii="Times New Roman"/>
                <w:sz w:val="13"/>
              </w:rPr>
            </w:pPr>
            <w:r>
              <w:rPr>
                <w:rFonts w:ascii="Times New Roman"/>
                <w:position w:val="-6"/>
                <w:sz w:val="21"/>
              </w:rPr>
              <w:t>Mg</w:t>
            </w:r>
            <w:r>
              <w:rPr>
                <w:rFonts w:ascii="Times New Roman"/>
                <w:sz w:val="13"/>
              </w:rPr>
              <w:t>2+</w:t>
            </w:r>
          </w:p>
        </w:tc>
        <w:tc>
          <w:tcPr>
            <w:tcW w:w="1858" w:type="dxa"/>
          </w:tcPr>
          <w:p>
            <w:pPr>
              <w:pStyle w:val="14"/>
              <w:spacing w:line="221" w:lineRule="exact"/>
              <w:ind w:right="732"/>
              <w:jc w:val="right"/>
              <w:rPr>
                <w:rFonts w:ascii="Times New Roman"/>
                <w:sz w:val="21"/>
              </w:rPr>
            </w:pPr>
            <w:r>
              <w:rPr>
                <w:rFonts w:ascii="Times New Roman"/>
                <w:sz w:val="21"/>
              </w:rPr>
              <w:t>57.5</w:t>
            </w:r>
          </w:p>
        </w:tc>
        <w:tc>
          <w:tcPr>
            <w:tcW w:w="1858" w:type="dxa"/>
          </w:tcPr>
          <w:p>
            <w:pPr>
              <w:pStyle w:val="14"/>
              <w:spacing w:line="221" w:lineRule="exact"/>
              <w:ind w:left="610" w:right="601"/>
              <w:rPr>
                <w:rFonts w:ascii="Times New Roman"/>
                <w:sz w:val="21"/>
              </w:rPr>
            </w:pPr>
            <w:r>
              <w:rPr>
                <w:rFonts w:ascii="Times New Roman"/>
                <w:sz w:val="21"/>
              </w:rPr>
              <w:t>4.792</w:t>
            </w:r>
          </w:p>
        </w:tc>
        <w:tc>
          <w:tcPr>
            <w:tcW w:w="1858" w:type="dxa"/>
          </w:tcPr>
          <w:p>
            <w:pPr>
              <w:pStyle w:val="14"/>
              <w:spacing w:line="221" w:lineRule="exact"/>
              <w:ind w:left="610" w:right="599"/>
              <w:rPr>
                <w:rFonts w:ascii="Times New Roman"/>
                <w:sz w:val="21"/>
              </w:rPr>
            </w:pPr>
            <w:r>
              <w:rPr>
                <w:rFonts w:ascii="Times New Roman"/>
                <w:sz w:val="21"/>
              </w:rPr>
              <w:t>46.25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856" w:type="dxa"/>
            <w:vMerge w:val="continue"/>
            <w:tcBorders>
              <w:top w:val="nil"/>
            </w:tcBorders>
          </w:tcPr>
          <w:p>
            <w:pPr>
              <w:rPr>
                <w:sz w:val="2"/>
                <w:szCs w:val="2"/>
              </w:rPr>
            </w:pPr>
          </w:p>
        </w:tc>
        <w:tc>
          <w:tcPr>
            <w:tcW w:w="1856" w:type="dxa"/>
          </w:tcPr>
          <w:p>
            <w:pPr>
              <w:pStyle w:val="14"/>
              <w:spacing w:before="1" w:line="252" w:lineRule="exact"/>
              <w:ind w:left="572" w:right="567"/>
              <w:rPr>
                <w:sz w:val="21"/>
              </w:rPr>
            </w:pPr>
            <w:r>
              <w:rPr>
                <w:sz w:val="21"/>
              </w:rPr>
              <w:t>总计</w:t>
            </w:r>
          </w:p>
        </w:tc>
        <w:tc>
          <w:tcPr>
            <w:tcW w:w="1858" w:type="dxa"/>
          </w:tcPr>
          <w:p>
            <w:pPr>
              <w:pStyle w:val="14"/>
              <w:spacing w:before="15" w:line="238" w:lineRule="exact"/>
              <w:ind w:right="629"/>
              <w:jc w:val="right"/>
              <w:rPr>
                <w:rFonts w:ascii="Times New Roman"/>
                <w:sz w:val="21"/>
              </w:rPr>
            </w:pPr>
            <w:r>
              <w:rPr>
                <w:rFonts w:ascii="Times New Roman"/>
                <w:w w:val="95"/>
                <w:sz w:val="21"/>
              </w:rPr>
              <w:t>174.55</w:t>
            </w:r>
          </w:p>
        </w:tc>
        <w:tc>
          <w:tcPr>
            <w:tcW w:w="1858" w:type="dxa"/>
          </w:tcPr>
          <w:p>
            <w:pPr>
              <w:pStyle w:val="14"/>
              <w:spacing w:before="15" w:line="238" w:lineRule="exact"/>
              <w:ind w:left="610" w:right="601"/>
              <w:rPr>
                <w:rFonts w:ascii="Times New Roman"/>
                <w:sz w:val="21"/>
              </w:rPr>
            </w:pPr>
            <w:r>
              <w:rPr>
                <w:rFonts w:ascii="Times New Roman"/>
                <w:sz w:val="21"/>
              </w:rPr>
              <w:t>10.36</w:t>
            </w:r>
          </w:p>
        </w:tc>
        <w:tc>
          <w:tcPr>
            <w:tcW w:w="1858" w:type="dxa"/>
          </w:tcPr>
          <w:p>
            <w:pPr>
              <w:pStyle w:val="14"/>
              <w:spacing w:before="15" w:line="238" w:lineRule="exact"/>
              <w:ind w:left="609" w:right="603"/>
              <w:rPr>
                <w:rFonts w:ascii="Times New Roman"/>
                <w:sz w:val="21"/>
              </w:rPr>
            </w:pPr>
            <w:r>
              <w:rPr>
                <w:rFonts w:ascii="Times New Roman"/>
                <w:sz w:val="21"/>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856" w:type="dxa"/>
            <w:vMerge w:val="restart"/>
          </w:tcPr>
          <w:p>
            <w:pPr>
              <w:pStyle w:val="14"/>
              <w:spacing w:before="104" w:line="242" w:lineRule="auto"/>
              <w:ind w:left="823" w:right="811"/>
              <w:jc w:val="both"/>
              <w:rPr>
                <w:b/>
                <w:sz w:val="21"/>
              </w:rPr>
            </w:pPr>
            <w:r>
              <w:rPr>
                <w:b/>
                <w:sz w:val="21"/>
              </w:rPr>
              <w:t>阴离子</w:t>
            </w:r>
          </w:p>
        </w:tc>
        <w:tc>
          <w:tcPr>
            <w:tcW w:w="1856" w:type="dxa"/>
          </w:tcPr>
          <w:p>
            <w:pPr>
              <w:pStyle w:val="14"/>
              <w:spacing w:line="165" w:lineRule="exact"/>
              <w:ind w:left="577" w:right="567"/>
              <w:rPr>
                <w:rFonts w:ascii="Times New Roman"/>
                <w:sz w:val="13"/>
              </w:rPr>
            </w:pPr>
            <w:r>
              <w:rPr>
                <w:rFonts w:ascii="Times New Roman"/>
                <w:sz w:val="21"/>
              </w:rPr>
              <w:t xml:space="preserve">HCO </w:t>
            </w:r>
            <w:r>
              <w:rPr>
                <w:rFonts w:ascii="Times New Roman"/>
                <w:position w:val="7"/>
                <w:sz w:val="13"/>
              </w:rPr>
              <w:t>-</w:t>
            </w:r>
          </w:p>
          <w:p>
            <w:pPr>
              <w:pStyle w:val="14"/>
              <w:spacing w:line="56" w:lineRule="exact"/>
              <w:ind w:left="410"/>
              <w:rPr>
                <w:rFonts w:ascii="Times New Roman"/>
                <w:sz w:val="13"/>
              </w:rPr>
            </w:pPr>
            <w:r>
              <w:rPr>
                <w:rFonts w:ascii="Times New Roman"/>
                <w:w w:val="105"/>
                <w:sz w:val="13"/>
              </w:rPr>
              <w:t>3</w:t>
            </w:r>
          </w:p>
        </w:tc>
        <w:tc>
          <w:tcPr>
            <w:tcW w:w="1858" w:type="dxa"/>
          </w:tcPr>
          <w:p>
            <w:pPr>
              <w:pStyle w:val="14"/>
              <w:spacing w:line="221" w:lineRule="exact"/>
              <w:ind w:right="679"/>
              <w:jc w:val="right"/>
              <w:rPr>
                <w:rFonts w:ascii="Times New Roman"/>
                <w:sz w:val="21"/>
              </w:rPr>
            </w:pPr>
            <w:r>
              <w:rPr>
                <w:rFonts w:ascii="Times New Roman"/>
                <w:sz w:val="21"/>
              </w:rPr>
              <w:t>557.4</w:t>
            </w:r>
          </w:p>
        </w:tc>
        <w:tc>
          <w:tcPr>
            <w:tcW w:w="1858" w:type="dxa"/>
          </w:tcPr>
          <w:p>
            <w:pPr>
              <w:pStyle w:val="14"/>
              <w:spacing w:line="221" w:lineRule="exact"/>
              <w:ind w:left="610" w:right="601"/>
              <w:rPr>
                <w:rFonts w:ascii="Times New Roman"/>
                <w:sz w:val="21"/>
              </w:rPr>
            </w:pPr>
            <w:r>
              <w:rPr>
                <w:rFonts w:ascii="Times New Roman"/>
                <w:sz w:val="21"/>
              </w:rPr>
              <w:t>9.138</w:t>
            </w:r>
          </w:p>
        </w:tc>
        <w:tc>
          <w:tcPr>
            <w:tcW w:w="1858" w:type="dxa"/>
          </w:tcPr>
          <w:p>
            <w:pPr>
              <w:pStyle w:val="14"/>
              <w:spacing w:line="221" w:lineRule="exact"/>
              <w:ind w:left="610" w:right="599"/>
              <w:rPr>
                <w:rFonts w:ascii="Times New Roman"/>
                <w:sz w:val="21"/>
              </w:rPr>
            </w:pPr>
            <w:r>
              <w:rPr>
                <w:rFonts w:ascii="Times New Roman"/>
                <w:sz w:val="21"/>
              </w:rPr>
              <w:t>97.23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1856" w:type="dxa"/>
            <w:vMerge w:val="continue"/>
            <w:tcBorders>
              <w:top w:val="nil"/>
            </w:tcBorders>
          </w:tcPr>
          <w:p>
            <w:pPr>
              <w:rPr>
                <w:sz w:val="2"/>
                <w:szCs w:val="2"/>
              </w:rPr>
            </w:pPr>
          </w:p>
        </w:tc>
        <w:tc>
          <w:tcPr>
            <w:tcW w:w="1856" w:type="dxa"/>
          </w:tcPr>
          <w:p>
            <w:pPr>
              <w:pStyle w:val="14"/>
              <w:spacing w:line="222" w:lineRule="exact"/>
              <w:ind w:left="575" w:right="567"/>
              <w:rPr>
                <w:rFonts w:ascii="Times New Roman"/>
                <w:sz w:val="13"/>
              </w:rPr>
            </w:pPr>
            <w:r>
              <w:rPr>
                <w:rFonts w:ascii="Times New Roman"/>
                <w:sz w:val="21"/>
              </w:rPr>
              <w:t>Cl</w:t>
            </w:r>
            <w:r>
              <w:rPr>
                <w:rFonts w:ascii="Times New Roman"/>
                <w:position w:val="7"/>
                <w:sz w:val="13"/>
              </w:rPr>
              <w:t>-</w:t>
            </w:r>
          </w:p>
        </w:tc>
        <w:tc>
          <w:tcPr>
            <w:tcW w:w="1858" w:type="dxa"/>
          </w:tcPr>
          <w:p>
            <w:pPr>
              <w:pStyle w:val="14"/>
              <w:spacing w:line="222" w:lineRule="exact"/>
              <w:ind w:right="732"/>
              <w:jc w:val="right"/>
              <w:rPr>
                <w:rFonts w:ascii="Times New Roman"/>
                <w:sz w:val="21"/>
              </w:rPr>
            </w:pPr>
            <w:r>
              <w:rPr>
                <w:rFonts w:ascii="Times New Roman"/>
                <w:sz w:val="21"/>
              </w:rPr>
              <w:t>3.76</w:t>
            </w:r>
          </w:p>
        </w:tc>
        <w:tc>
          <w:tcPr>
            <w:tcW w:w="1858" w:type="dxa"/>
          </w:tcPr>
          <w:p>
            <w:pPr>
              <w:pStyle w:val="14"/>
              <w:spacing w:line="222" w:lineRule="exact"/>
              <w:ind w:left="610" w:right="601"/>
              <w:rPr>
                <w:rFonts w:ascii="Times New Roman"/>
                <w:sz w:val="21"/>
              </w:rPr>
            </w:pPr>
            <w:r>
              <w:rPr>
                <w:rFonts w:ascii="Times New Roman"/>
                <w:sz w:val="21"/>
              </w:rPr>
              <w:t>0.106</w:t>
            </w:r>
          </w:p>
        </w:tc>
        <w:tc>
          <w:tcPr>
            <w:tcW w:w="1858" w:type="dxa"/>
          </w:tcPr>
          <w:p>
            <w:pPr>
              <w:pStyle w:val="14"/>
              <w:spacing w:line="222" w:lineRule="exact"/>
              <w:ind w:left="610" w:right="602"/>
              <w:rPr>
                <w:rFonts w:ascii="Times New Roman"/>
                <w:sz w:val="21"/>
              </w:rPr>
            </w:pPr>
            <w:r>
              <w:rPr>
                <w:rFonts w:ascii="Times New Roman"/>
                <w:sz w:val="21"/>
              </w:rPr>
              <w:t>1.12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856" w:type="dxa"/>
            <w:vMerge w:val="continue"/>
            <w:tcBorders>
              <w:top w:val="nil"/>
            </w:tcBorders>
          </w:tcPr>
          <w:p>
            <w:pPr>
              <w:rPr>
                <w:sz w:val="2"/>
                <w:szCs w:val="2"/>
              </w:rPr>
            </w:pPr>
          </w:p>
        </w:tc>
        <w:tc>
          <w:tcPr>
            <w:tcW w:w="1856" w:type="dxa"/>
          </w:tcPr>
          <w:p>
            <w:pPr>
              <w:pStyle w:val="14"/>
              <w:spacing w:line="166" w:lineRule="exact"/>
              <w:ind w:left="577" w:right="567"/>
              <w:rPr>
                <w:rFonts w:ascii="Times New Roman"/>
                <w:sz w:val="13"/>
              </w:rPr>
            </w:pPr>
            <w:r>
              <w:rPr>
                <w:rFonts w:ascii="Times New Roman"/>
                <w:position w:val="-6"/>
                <w:sz w:val="21"/>
              </w:rPr>
              <w:t xml:space="preserve">SO </w:t>
            </w:r>
            <w:r>
              <w:rPr>
                <w:rFonts w:ascii="Times New Roman"/>
                <w:sz w:val="13"/>
              </w:rPr>
              <w:t>2-</w:t>
            </w:r>
          </w:p>
          <w:p>
            <w:pPr>
              <w:pStyle w:val="14"/>
              <w:spacing w:line="55" w:lineRule="exact"/>
              <w:ind w:left="165"/>
              <w:rPr>
                <w:rFonts w:ascii="Times New Roman"/>
                <w:sz w:val="13"/>
              </w:rPr>
            </w:pPr>
            <w:r>
              <w:rPr>
                <w:rFonts w:ascii="Times New Roman"/>
                <w:w w:val="105"/>
                <w:sz w:val="13"/>
              </w:rPr>
              <w:t>4</w:t>
            </w:r>
          </w:p>
        </w:tc>
        <w:tc>
          <w:tcPr>
            <w:tcW w:w="1858" w:type="dxa"/>
          </w:tcPr>
          <w:p>
            <w:pPr>
              <w:pStyle w:val="14"/>
              <w:spacing w:line="221" w:lineRule="exact"/>
              <w:ind w:right="732"/>
              <w:jc w:val="right"/>
              <w:rPr>
                <w:rFonts w:ascii="Times New Roman"/>
                <w:sz w:val="21"/>
              </w:rPr>
            </w:pPr>
            <w:r>
              <w:rPr>
                <w:rFonts w:ascii="Times New Roman"/>
                <w:sz w:val="21"/>
              </w:rPr>
              <w:t>7.43</w:t>
            </w:r>
          </w:p>
        </w:tc>
        <w:tc>
          <w:tcPr>
            <w:tcW w:w="1858" w:type="dxa"/>
          </w:tcPr>
          <w:p>
            <w:pPr>
              <w:pStyle w:val="14"/>
              <w:spacing w:line="221" w:lineRule="exact"/>
              <w:ind w:left="610" w:right="601"/>
              <w:rPr>
                <w:rFonts w:ascii="Times New Roman"/>
                <w:sz w:val="21"/>
              </w:rPr>
            </w:pPr>
            <w:r>
              <w:rPr>
                <w:rFonts w:ascii="Times New Roman"/>
                <w:sz w:val="21"/>
              </w:rPr>
              <w:t>0.155</w:t>
            </w:r>
          </w:p>
        </w:tc>
        <w:tc>
          <w:tcPr>
            <w:tcW w:w="1858" w:type="dxa"/>
          </w:tcPr>
          <w:p>
            <w:pPr>
              <w:pStyle w:val="14"/>
              <w:spacing w:line="221" w:lineRule="exact"/>
              <w:ind w:left="610" w:right="602"/>
              <w:rPr>
                <w:rFonts w:ascii="Times New Roman"/>
                <w:sz w:val="21"/>
              </w:rPr>
            </w:pPr>
            <w:r>
              <w:rPr>
                <w:rFonts w:ascii="Times New Roman"/>
                <w:sz w:val="21"/>
              </w:rPr>
              <w:t>1.65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856" w:type="dxa"/>
            <w:vMerge w:val="continue"/>
            <w:tcBorders>
              <w:top w:val="nil"/>
            </w:tcBorders>
          </w:tcPr>
          <w:p>
            <w:pPr>
              <w:rPr>
                <w:sz w:val="2"/>
                <w:szCs w:val="2"/>
              </w:rPr>
            </w:pPr>
          </w:p>
        </w:tc>
        <w:tc>
          <w:tcPr>
            <w:tcW w:w="1856" w:type="dxa"/>
          </w:tcPr>
          <w:p>
            <w:pPr>
              <w:pStyle w:val="14"/>
              <w:spacing w:line="252" w:lineRule="exact"/>
              <w:ind w:left="572" w:right="567"/>
              <w:rPr>
                <w:sz w:val="21"/>
              </w:rPr>
            </w:pPr>
            <w:r>
              <w:rPr>
                <w:sz w:val="21"/>
              </w:rPr>
              <w:t>总计</w:t>
            </w:r>
          </w:p>
        </w:tc>
        <w:tc>
          <w:tcPr>
            <w:tcW w:w="1858" w:type="dxa"/>
          </w:tcPr>
          <w:p>
            <w:pPr>
              <w:pStyle w:val="14"/>
              <w:spacing w:before="14" w:line="238" w:lineRule="exact"/>
              <w:ind w:right="629"/>
              <w:jc w:val="right"/>
              <w:rPr>
                <w:rFonts w:ascii="Times New Roman"/>
                <w:sz w:val="21"/>
              </w:rPr>
            </w:pPr>
            <w:r>
              <w:rPr>
                <w:rFonts w:ascii="Times New Roman"/>
                <w:w w:val="95"/>
                <w:sz w:val="21"/>
              </w:rPr>
              <w:t>568.59</w:t>
            </w:r>
          </w:p>
        </w:tc>
        <w:tc>
          <w:tcPr>
            <w:tcW w:w="1858" w:type="dxa"/>
          </w:tcPr>
          <w:p>
            <w:pPr>
              <w:pStyle w:val="14"/>
              <w:spacing w:before="14" w:line="238" w:lineRule="exact"/>
              <w:ind w:left="610" w:right="601"/>
              <w:rPr>
                <w:rFonts w:ascii="Times New Roman"/>
                <w:sz w:val="21"/>
              </w:rPr>
            </w:pPr>
            <w:r>
              <w:rPr>
                <w:rFonts w:ascii="Times New Roman"/>
                <w:sz w:val="21"/>
              </w:rPr>
              <w:t>9.398</w:t>
            </w:r>
          </w:p>
        </w:tc>
        <w:tc>
          <w:tcPr>
            <w:tcW w:w="1858" w:type="dxa"/>
          </w:tcPr>
          <w:p>
            <w:pPr>
              <w:pStyle w:val="14"/>
              <w:spacing w:before="14" w:line="238" w:lineRule="exact"/>
              <w:ind w:left="609" w:right="603"/>
              <w:rPr>
                <w:rFonts w:ascii="Times New Roman"/>
                <w:sz w:val="21"/>
              </w:rPr>
            </w:pPr>
            <w:r>
              <w:rPr>
                <w:rFonts w:ascii="Times New Roman"/>
                <w:sz w:val="21"/>
              </w:rPr>
              <w:t>100.00</w:t>
            </w:r>
          </w:p>
        </w:tc>
      </w:tr>
    </w:tbl>
    <w:p>
      <w:pPr>
        <w:pStyle w:val="6"/>
        <w:spacing w:before="79" w:line="364" w:lineRule="auto"/>
        <w:ind w:left="1070" w:right="6113"/>
      </w:pPr>
      <w:r>
        <w:t xml:space="preserve">然后计算水质矿化度 </w:t>
      </w:r>
      <w:r>
        <w:rPr>
          <w:rFonts w:ascii="Times New Roman" w:eastAsia="Times New Roman"/>
        </w:rPr>
        <w:t>M</w:t>
      </w:r>
      <w:r>
        <w:t>。</w:t>
      </w:r>
      <w:r>
        <w:rPr>
          <w:rFonts w:ascii="Times New Roman" w:eastAsia="Times New Roman"/>
        </w:rPr>
        <w:t>1#</w:t>
      </w:r>
      <w:r>
        <w:t>水质矿化度计算过程：</w:t>
      </w:r>
    </w:p>
    <w:p>
      <w:pPr>
        <w:pStyle w:val="6"/>
        <w:spacing w:before="1"/>
        <w:ind w:left="1070"/>
      </w:pPr>
      <w:r>
        <w:rPr>
          <w:spacing w:val="-13"/>
        </w:rPr>
        <w:t xml:space="preserve">应先将表 </w:t>
      </w:r>
      <w:r>
        <w:rPr>
          <w:rFonts w:ascii="Times New Roman" w:eastAsia="Times New Roman"/>
        </w:rPr>
        <w:t>6.4-6</w:t>
      </w:r>
      <w:r>
        <w:rPr>
          <w:rFonts w:ascii="Times New Roman" w:eastAsia="Times New Roman"/>
          <w:spacing w:val="2"/>
        </w:rPr>
        <w:t xml:space="preserve"> </w:t>
      </w:r>
      <w:r>
        <w:rPr>
          <w:spacing w:val="-30"/>
        </w:rPr>
        <w:t xml:space="preserve">中 </w:t>
      </w:r>
      <w:r>
        <w:rPr>
          <w:rFonts w:ascii="Times New Roman" w:eastAsia="Times New Roman"/>
        </w:rPr>
        <w:t>1#</w:t>
      </w:r>
      <w:r>
        <w:rPr>
          <w:spacing w:val="-11"/>
        </w:rPr>
        <w:t xml:space="preserve">的阴离子的 </w:t>
      </w:r>
      <w:r>
        <w:rPr>
          <w:rFonts w:ascii="Times New Roman" w:eastAsia="Times New Roman"/>
        </w:rPr>
        <w:t>mg/L</w:t>
      </w:r>
      <w:r>
        <w:rPr>
          <w:rFonts w:ascii="Times New Roman" w:eastAsia="Times New Roman"/>
          <w:spacing w:val="2"/>
        </w:rPr>
        <w:t xml:space="preserve"> </w:t>
      </w:r>
      <w:r>
        <w:rPr>
          <w:spacing w:val="-12"/>
        </w:rPr>
        <w:t xml:space="preserve">数换算成 </w:t>
      </w:r>
      <w:r>
        <w:rPr>
          <w:rFonts w:ascii="Times New Roman" w:eastAsia="Times New Roman"/>
        </w:rPr>
        <w:t>mmol/L</w:t>
      </w:r>
      <w:r>
        <w:rPr>
          <w:rFonts w:ascii="Times New Roman" w:eastAsia="Times New Roman"/>
          <w:spacing w:val="-1"/>
        </w:rPr>
        <w:t xml:space="preserve"> </w:t>
      </w:r>
      <w:r>
        <w:rPr>
          <w:spacing w:val="-13"/>
        </w:rPr>
        <w:t>数。它们的摩尔质量</w:t>
      </w:r>
    </w:p>
    <w:p>
      <w:pPr>
        <w:pStyle w:val="6"/>
        <w:spacing w:before="86" w:line="393" w:lineRule="exact"/>
        <w:ind w:left="551"/>
      </w:pPr>
      <w:r>
        <mc:AlternateContent>
          <mc:Choice Requires="wps">
            <w:drawing>
              <wp:anchor distT="0" distB="0" distL="114300" distR="114300" simplePos="0" relativeHeight="214347776" behindDoc="1" locked="0" layoutInCell="1" allowOverlap="1">
                <wp:simplePos x="0" y="0"/>
                <wp:positionH relativeFrom="page">
                  <wp:posOffset>3157855</wp:posOffset>
                </wp:positionH>
                <wp:positionV relativeFrom="paragraph">
                  <wp:posOffset>255270</wp:posOffset>
                </wp:positionV>
                <wp:extent cx="92075" cy="0"/>
                <wp:effectExtent l="0" t="0" r="0" b="0"/>
                <wp:wrapNone/>
                <wp:docPr id="40" name="直线 128"/>
                <wp:cNvGraphicFramePr/>
                <a:graphic xmlns:a="http://schemas.openxmlformats.org/drawingml/2006/main">
                  <a:graphicData uri="http://schemas.microsoft.com/office/word/2010/wordprocessingShape">
                    <wps:wsp>
                      <wps:cNvSpPr/>
                      <wps:spPr>
                        <a:xfrm>
                          <a:off x="0" y="0"/>
                          <a:ext cx="92075" cy="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128" o:spid="_x0000_s1026" o:spt="20" style="position:absolute;left:0pt;margin-left:248.65pt;margin-top:20.1pt;height:0pt;width:7.25pt;mso-position-horizontal-relative:page;z-index:-288968704;mso-width-relative:page;mso-height-relative:page;" filled="f" stroked="t" coordsize="21600,21600" o:gfxdata="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39CAQdUAAAAJAQAADwAAAAAAAAABACAAAAAiAAAAZHJz&#10;L2Rvd25yZXYueG1sUEsBAhQAFAAAAAgAh07iQABk+83OAQAAjgMAAA4AAAAAAAAAAQAgAAAAJAEA&#10;AGRycy9lMm9Eb2MueG1sUEsFBgAAAAAGAAYAWQEAAGQFAAAAAA==&#10;">
                <v:fill on="f" focussize="0,0"/>
                <v:stroke weight="0.5pt" color="#000000" joinstyle="round"/>
                <v:imagedata o:title=""/>
                <o:lock v:ext="edit" aspectratio="f"/>
              </v:line>
            </w:pict>
          </mc:Fallback>
        </mc:AlternateContent>
      </w:r>
      <w:r>
        <w:rPr>
          <w:rFonts w:ascii="Times New Roman" w:hAnsi="Times New Roman" w:eastAsia="Times New Roman"/>
          <w:position w:val="2"/>
        </w:rPr>
        <w:t>—mg/mmol</w:t>
      </w:r>
      <w:r>
        <w:rPr>
          <w:rFonts w:ascii="Times New Roman" w:hAnsi="Times New Roman" w:eastAsia="Times New Roman"/>
          <w:spacing w:val="11"/>
          <w:position w:val="2"/>
        </w:rPr>
        <w:t xml:space="preserve"> </w:t>
      </w:r>
      <w:r>
        <w:rPr>
          <w:spacing w:val="3"/>
          <w:position w:val="2"/>
        </w:rPr>
        <w:t>数分别采用：</w:t>
      </w:r>
      <w:r>
        <w:rPr>
          <w:rFonts w:ascii="Times New Roman" w:hAnsi="Times New Roman" w:eastAsia="Times New Roman"/>
          <w:spacing w:val="3"/>
          <w:position w:val="2"/>
        </w:rPr>
        <w:t>M</w:t>
      </w:r>
      <w:r>
        <w:rPr>
          <w:spacing w:val="3"/>
          <w:position w:val="2"/>
        </w:rPr>
        <w:t>（</w:t>
      </w:r>
      <w:r>
        <w:rPr>
          <w:spacing w:val="-56"/>
          <w:position w:val="2"/>
        </w:rPr>
        <w:t xml:space="preserve"> </w:t>
      </w:r>
      <w:r>
        <w:rPr>
          <w:rFonts w:ascii="Times New Roman" w:hAnsi="Times New Roman" w:eastAsia="Times New Roman"/>
          <w:position w:val="17"/>
        </w:rPr>
        <w:t>1</w:t>
      </w:r>
      <w:r>
        <w:rPr>
          <w:rFonts w:ascii="Times New Roman" w:hAnsi="Times New Roman" w:eastAsia="Times New Roman"/>
          <w:spacing w:val="23"/>
          <w:position w:val="17"/>
        </w:rPr>
        <w:t xml:space="preserve"> </w:t>
      </w:r>
      <w:r>
        <w:rPr>
          <w:rFonts w:ascii="Times New Roman" w:hAnsi="Times New Roman" w:eastAsia="Times New Roman"/>
          <w:position w:val="2"/>
        </w:rPr>
        <w:t>CO</w:t>
      </w:r>
      <w:r>
        <w:rPr>
          <w:rFonts w:ascii="Times New Roman" w:hAnsi="Times New Roman" w:eastAsia="Times New Roman"/>
          <w:position w:val="2"/>
          <w:vertAlign w:val="subscript"/>
        </w:rPr>
        <w:t>3</w:t>
      </w:r>
      <w:r>
        <w:rPr>
          <w:rFonts w:ascii="Times New Roman" w:hAnsi="Times New Roman" w:eastAsia="Times New Roman"/>
          <w:position w:val="2"/>
          <w:vertAlign w:val="superscript"/>
        </w:rPr>
        <w:t>2-</w:t>
      </w:r>
      <w:r>
        <w:rPr>
          <w:position w:val="2"/>
          <w:vertAlign w:val="baseline"/>
        </w:rPr>
        <w:t>）</w:t>
      </w:r>
      <w:r>
        <w:rPr>
          <w:spacing w:val="-23"/>
          <w:position w:val="2"/>
          <w:vertAlign w:val="baseline"/>
        </w:rPr>
        <w:t xml:space="preserve">是 </w:t>
      </w:r>
      <w:r>
        <w:rPr>
          <w:rFonts w:ascii="Times New Roman" w:hAnsi="Times New Roman" w:eastAsia="Times New Roman"/>
          <w:spacing w:val="2"/>
          <w:position w:val="2"/>
          <w:vertAlign w:val="baseline"/>
        </w:rPr>
        <w:t>30</w:t>
      </w:r>
      <w:r>
        <w:rPr>
          <w:spacing w:val="2"/>
          <w:position w:val="2"/>
          <w:vertAlign w:val="baseline"/>
        </w:rPr>
        <w:t>，</w:t>
      </w:r>
      <w:r>
        <w:rPr>
          <w:rFonts w:ascii="Times New Roman" w:hAnsi="Times New Roman" w:eastAsia="Times New Roman"/>
          <w:spacing w:val="2"/>
          <w:position w:val="2"/>
          <w:vertAlign w:val="baseline"/>
        </w:rPr>
        <w:t>M</w:t>
      </w:r>
      <w:r>
        <w:rPr>
          <w:spacing w:val="2"/>
          <w:position w:val="2"/>
          <w:vertAlign w:val="baseline"/>
        </w:rPr>
        <w:t>（</w:t>
      </w:r>
      <w:r>
        <w:rPr>
          <w:rFonts w:ascii="Times New Roman" w:hAnsi="Times New Roman" w:eastAsia="Times New Roman"/>
          <w:spacing w:val="2"/>
          <w:position w:val="2"/>
          <w:vertAlign w:val="baseline"/>
        </w:rPr>
        <w:t>HCO</w:t>
      </w:r>
      <w:r>
        <w:rPr>
          <w:rFonts w:ascii="Times New Roman" w:hAnsi="Times New Roman" w:eastAsia="Times New Roman"/>
          <w:spacing w:val="2"/>
          <w:position w:val="2"/>
          <w:vertAlign w:val="subscript"/>
        </w:rPr>
        <w:t>3</w:t>
      </w:r>
      <w:r>
        <w:rPr>
          <w:rFonts w:ascii="Times New Roman" w:hAnsi="Times New Roman" w:eastAsia="Times New Roman"/>
          <w:spacing w:val="2"/>
          <w:position w:val="2"/>
          <w:vertAlign w:val="superscript"/>
        </w:rPr>
        <w:t>-</w:t>
      </w:r>
      <w:r>
        <w:rPr>
          <w:spacing w:val="2"/>
          <w:position w:val="2"/>
          <w:vertAlign w:val="baseline"/>
        </w:rPr>
        <w:t>）</w:t>
      </w:r>
      <w:r>
        <w:rPr>
          <w:spacing w:val="-24"/>
          <w:position w:val="2"/>
          <w:vertAlign w:val="baseline"/>
        </w:rPr>
        <w:t xml:space="preserve">是 </w:t>
      </w:r>
      <w:r>
        <w:rPr>
          <w:rFonts w:ascii="Times New Roman" w:hAnsi="Times New Roman" w:eastAsia="Times New Roman"/>
          <w:spacing w:val="4"/>
          <w:position w:val="2"/>
          <w:vertAlign w:val="baseline"/>
        </w:rPr>
        <w:t>61</w:t>
      </w:r>
      <w:r>
        <w:rPr>
          <w:spacing w:val="4"/>
          <w:position w:val="2"/>
          <w:vertAlign w:val="baseline"/>
        </w:rPr>
        <w:t>，</w:t>
      </w:r>
      <w:r>
        <w:rPr>
          <w:rFonts w:ascii="Times New Roman" w:hAnsi="Times New Roman" w:eastAsia="Times New Roman"/>
          <w:spacing w:val="4"/>
          <w:position w:val="2"/>
          <w:vertAlign w:val="baseline"/>
        </w:rPr>
        <w:t>M</w:t>
      </w:r>
      <w:r>
        <w:rPr>
          <w:spacing w:val="4"/>
          <w:position w:val="2"/>
          <w:vertAlign w:val="baseline"/>
        </w:rPr>
        <w:t>（</w:t>
      </w:r>
      <w:r>
        <w:rPr>
          <w:rFonts w:ascii="Times New Roman" w:hAnsi="Times New Roman" w:eastAsia="Times New Roman"/>
          <w:spacing w:val="4"/>
          <w:position w:val="2"/>
          <w:vertAlign w:val="baseline"/>
        </w:rPr>
        <w:t>Cl</w:t>
      </w:r>
      <w:r>
        <w:rPr>
          <w:rFonts w:ascii="Times New Roman" w:hAnsi="Times New Roman" w:eastAsia="Times New Roman"/>
          <w:spacing w:val="4"/>
          <w:position w:val="2"/>
          <w:vertAlign w:val="superscript"/>
        </w:rPr>
        <w:t>-</w:t>
      </w:r>
      <w:r>
        <w:rPr>
          <w:spacing w:val="4"/>
          <w:position w:val="2"/>
          <w:vertAlign w:val="baseline"/>
        </w:rPr>
        <w:t>）</w:t>
      </w:r>
      <w:r>
        <w:rPr>
          <w:position w:val="2"/>
          <w:vertAlign w:val="baseline"/>
        </w:rPr>
        <w:t>是</w:t>
      </w:r>
    </w:p>
    <w:p>
      <w:pPr>
        <w:pStyle w:val="6"/>
        <w:spacing w:line="223" w:lineRule="exact"/>
        <w:ind w:right="2224"/>
        <w:jc w:val="center"/>
        <w:rPr>
          <w:rFonts w:ascii="Times New Roman"/>
        </w:rPr>
      </w:pPr>
      <w:r>
        <w:rPr>
          <w:rFonts w:ascii="Times New Roman"/>
          <w:w w:val="99"/>
        </w:rPr>
        <w:t>2</w:t>
      </w:r>
    </w:p>
    <w:p>
      <w:pPr>
        <w:pStyle w:val="6"/>
        <w:spacing w:before="11" w:line="349" w:lineRule="exact"/>
        <w:ind w:left="551"/>
      </w:pPr>
      <w:r>
        <mc:AlternateContent>
          <mc:Choice Requires="wps">
            <w:drawing>
              <wp:anchor distT="0" distB="0" distL="114300" distR="114300" simplePos="0" relativeHeight="251758592" behindDoc="0" locked="0" layoutInCell="1" allowOverlap="1">
                <wp:simplePos x="0" y="0"/>
                <wp:positionH relativeFrom="page">
                  <wp:posOffset>1769110</wp:posOffset>
                </wp:positionH>
                <wp:positionV relativeFrom="paragraph">
                  <wp:posOffset>205740</wp:posOffset>
                </wp:positionV>
                <wp:extent cx="92075" cy="0"/>
                <wp:effectExtent l="0" t="0" r="0" b="0"/>
                <wp:wrapNone/>
                <wp:docPr id="253" name="直线 129"/>
                <wp:cNvGraphicFramePr/>
                <a:graphic xmlns:a="http://schemas.openxmlformats.org/drawingml/2006/main">
                  <a:graphicData uri="http://schemas.microsoft.com/office/word/2010/wordprocessingShape">
                    <wps:wsp>
                      <wps:cNvSpPr/>
                      <wps:spPr>
                        <a:xfrm>
                          <a:off x="0" y="0"/>
                          <a:ext cx="92075" cy="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129" o:spid="_x0000_s1026" o:spt="20" style="position:absolute;left:0pt;margin-left:139.3pt;margin-top:16.2pt;height:0pt;width:7.25pt;mso-position-horizontal-relative:page;z-index:251758592;mso-width-relative:page;mso-height-relative:page;" filled="f" stroked="t" coordsize="21600,21600" o:gfxdata="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2b2Es9YAAAAJAQAADwAAAAAAAAABACAAAAAiAAAA&#10;ZHJzL2Rvd25yZXYueG1sUEsBAhQAFAAAAAgAh07iQIit42rQAQAAjwMAAA4AAAAAAAAAAQAgAAAA&#10;JQEAAGRycy9lMm9Eb2MueG1sUEsFBgAAAAAGAAYAWQEAAGcFAAAAAA==&#10;">
                <v:fill on="f" focussize="0,0"/>
                <v:stroke weight="0.5pt" color="#000000" joinstyle="round"/>
                <v:imagedata o:title=""/>
                <o:lock v:ext="edit" aspectratio="f"/>
              </v:line>
            </w:pict>
          </mc:Fallback>
        </mc:AlternateContent>
      </w:r>
      <w:r>
        <mc:AlternateContent>
          <mc:Choice Requires="wps">
            <w:drawing>
              <wp:anchor distT="0" distB="0" distL="114300" distR="114300" simplePos="0" relativeHeight="214350848" behindDoc="1" locked="0" layoutInCell="1" allowOverlap="1">
                <wp:simplePos x="0" y="0"/>
                <wp:positionH relativeFrom="page">
                  <wp:posOffset>2090420</wp:posOffset>
                </wp:positionH>
                <wp:positionV relativeFrom="paragraph">
                  <wp:posOffset>166370</wp:posOffset>
                </wp:positionV>
                <wp:extent cx="49530" cy="109855"/>
                <wp:effectExtent l="0" t="0" r="0" b="0"/>
                <wp:wrapNone/>
                <wp:docPr id="44" name="文本框 130"/>
                <wp:cNvGraphicFramePr/>
                <a:graphic xmlns:a="http://schemas.openxmlformats.org/drawingml/2006/main">
                  <a:graphicData uri="http://schemas.microsoft.com/office/word/2010/wordprocessingShape">
                    <wps:wsp>
                      <wps:cNvSpPr txBox="1"/>
                      <wps:spPr>
                        <a:xfrm>
                          <a:off x="0" y="0"/>
                          <a:ext cx="49530" cy="109855"/>
                        </a:xfrm>
                        <a:prstGeom prst="rect">
                          <a:avLst/>
                        </a:prstGeom>
                        <a:noFill/>
                        <a:ln>
                          <a:noFill/>
                        </a:ln>
                      </wps:spPr>
                      <wps:txbx>
                        <w:txbxContent>
                          <w:p>
                            <w:pPr>
                              <w:spacing w:before="0" w:line="171" w:lineRule="exact"/>
                              <w:ind w:left="0" w:right="0" w:firstLine="0"/>
                              <w:jc w:val="left"/>
                              <w:rPr>
                                <w:rFonts w:ascii="Times New Roman"/>
                                <w:sz w:val="15"/>
                              </w:rPr>
                            </w:pPr>
                            <w:r>
                              <w:rPr>
                                <w:rFonts w:ascii="Times New Roman"/>
                                <w:w w:val="104"/>
                                <w:sz w:val="15"/>
                              </w:rPr>
                              <w:t>4</w:t>
                            </w:r>
                          </w:p>
                        </w:txbxContent>
                      </wps:txbx>
                      <wps:bodyPr lIns="0" tIns="0" rIns="0" bIns="0" upright="1"/>
                    </wps:wsp>
                  </a:graphicData>
                </a:graphic>
              </wp:anchor>
            </w:drawing>
          </mc:Choice>
          <mc:Fallback>
            <w:pict>
              <v:shape id="文本框 130" o:spid="_x0000_s1026" o:spt="202" type="#_x0000_t202" style="position:absolute;left:0pt;margin-left:164.6pt;margin-top:13.1pt;height:8.65pt;width:3.9pt;mso-position-horizontal-relative:page;z-index:-288965632;mso-width-relative:page;mso-height-relative:page;" filled="f" stroked="f" coordsize="21600,21600" o:gfxdata="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RwAcc2QAAAAkBAAAPAAAAAAAA&#10;AAEAIAAAACIAAABkcnMvZG93bnJldi54bWxQSwECFAAUAAAACACHTuJADhyMpZ8BAAAlAwAADgAA&#10;AAAAAAABACAAAAAoAQAAZHJzL2Uyb0RvYy54bWxQSwUGAAAAAAYABgBZAQAAOQUAAAAA&#10;">
                <v:fill on="f" focussize="0,0"/>
                <v:stroke on="f"/>
                <v:imagedata o:title=""/>
                <o:lock v:ext="edit" aspectratio="f"/>
                <v:textbox inset="0mm,0mm,0mm,0mm">
                  <w:txbxContent>
                    <w:p>
                      <w:pPr>
                        <w:spacing w:before="0" w:line="171" w:lineRule="exact"/>
                        <w:ind w:left="0" w:right="0" w:firstLine="0"/>
                        <w:jc w:val="left"/>
                        <w:rPr>
                          <w:rFonts w:ascii="Times New Roman"/>
                          <w:sz w:val="15"/>
                        </w:rPr>
                      </w:pPr>
                      <w:r>
                        <w:rPr>
                          <w:rFonts w:ascii="Times New Roman"/>
                          <w:w w:val="104"/>
                          <w:sz w:val="15"/>
                        </w:rPr>
                        <w:t>4</w:t>
                      </w:r>
                    </w:p>
                  </w:txbxContent>
                </v:textbox>
              </v:shape>
            </w:pict>
          </mc:Fallback>
        </mc:AlternateContent>
      </w:r>
      <w:r>
        <w:rPr>
          <w:rFonts w:ascii="Times New Roman" w:eastAsia="Times New Roman"/>
        </w:rPr>
        <w:t>35.5, M</w:t>
      </w:r>
      <w:r>
        <w:t>（</w:t>
      </w:r>
      <w:r>
        <w:rPr>
          <w:spacing w:val="-68"/>
        </w:rPr>
        <w:t xml:space="preserve"> </w:t>
      </w:r>
      <w:r>
        <w:rPr>
          <w:rFonts w:ascii="Times New Roman" w:eastAsia="Times New Roman"/>
          <w:position w:val="15"/>
        </w:rPr>
        <w:t xml:space="preserve">1 </w:t>
      </w:r>
      <w:r>
        <w:rPr>
          <w:rFonts w:ascii="Times New Roman" w:eastAsia="Times New Roman"/>
        </w:rPr>
        <w:t xml:space="preserve">SO </w:t>
      </w:r>
      <w:r>
        <w:rPr>
          <w:rFonts w:ascii="Times New Roman" w:eastAsia="Times New Roman"/>
          <w:position w:val="8"/>
          <w:sz w:val="15"/>
        </w:rPr>
        <w:t>2-</w:t>
      </w:r>
      <w:r>
        <w:t>）</w:t>
      </w:r>
      <w:r>
        <w:rPr>
          <w:spacing w:val="-30"/>
        </w:rPr>
        <w:t xml:space="preserve">是 </w:t>
      </w:r>
      <w:r>
        <w:rPr>
          <w:rFonts w:ascii="Times New Roman" w:eastAsia="Times New Roman"/>
        </w:rPr>
        <w:t>48</w:t>
      </w:r>
      <w:r>
        <w:t>。</w:t>
      </w:r>
    </w:p>
    <w:p>
      <w:pPr>
        <w:pStyle w:val="6"/>
        <w:spacing w:line="264" w:lineRule="exact"/>
        <w:ind w:left="1602"/>
        <w:rPr>
          <w:rFonts w:ascii="Times New Roman"/>
        </w:rPr>
      </w:pPr>
      <w:r>
        <w:rPr>
          <w:rFonts w:ascii="Times New Roman"/>
          <w:w w:val="99"/>
        </w:rPr>
        <w:t>2</w:t>
      </w:r>
    </w:p>
    <w:p>
      <w:pPr>
        <w:pStyle w:val="6"/>
        <w:spacing w:before="8" w:line="393" w:lineRule="exact"/>
        <w:ind w:left="1070"/>
        <w:rPr>
          <w:rFonts w:ascii="Times New Roman" w:eastAsia="Times New Roman"/>
        </w:rPr>
      </w:pPr>
      <w:r>
        <mc:AlternateContent>
          <mc:Choice Requires="wps">
            <w:drawing>
              <wp:anchor distT="0" distB="0" distL="114300" distR="114300" simplePos="0" relativeHeight="214349824" behindDoc="1" locked="0" layoutInCell="1" allowOverlap="1">
                <wp:simplePos x="0" y="0"/>
                <wp:positionH relativeFrom="page">
                  <wp:posOffset>2820035</wp:posOffset>
                </wp:positionH>
                <wp:positionV relativeFrom="paragraph">
                  <wp:posOffset>205740</wp:posOffset>
                </wp:positionV>
                <wp:extent cx="352425" cy="0"/>
                <wp:effectExtent l="0" t="0" r="0" b="0"/>
                <wp:wrapNone/>
                <wp:docPr id="42" name="直线 131"/>
                <wp:cNvGraphicFramePr/>
                <a:graphic xmlns:a="http://schemas.openxmlformats.org/drawingml/2006/main">
                  <a:graphicData uri="http://schemas.microsoft.com/office/word/2010/wordprocessingShape">
                    <wps:wsp>
                      <wps:cNvSpPr/>
                      <wps:spPr>
                        <a:xfrm>
                          <a:off x="0" y="0"/>
                          <a:ext cx="352425" cy="0"/>
                        </a:xfrm>
                        <a:prstGeom prst="line">
                          <a:avLst/>
                        </a:prstGeom>
                        <a:ln w="6337" cap="flat" cmpd="sng">
                          <a:solidFill>
                            <a:srgbClr val="000000"/>
                          </a:solidFill>
                          <a:prstDash val="solid"/>
                          <a:headEnd type="none" w="med" len="med"/>
                          <a:tailEnd type="none" w="med" len="med"/>
                        </a:ln>
                      </wps:spPr>
                      <wps:bodyPr upright="1"/>
                    </wps:wsp>
                  </a:graphicData>
                </a:graphic>
              </wp:anchor>
            </w:drawing>
          </mc:Choice>
          <mc:Fallback>
            <w:pict>
              <v:line id="直线 131" o:spid="_x0000_s1026" o:spt="20" style="position:absolute;left:0pt;margin-left:222.05pt;margin-top:16.2pt;height:0pt;width:27.75pt;mso-position-horizontal-relative:page;z-index:-288966656;mso-width-relative:page;mso-height-relative:page;" filled="f" stroked="t" coordsize="21600,21600" o:gfxdata="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&#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e4V2a1gAAAAkBAAAPAAAAAAAAAAEAIAAAACIAAABk&#10;cnMvZG93bnJldi54bWxQSwECFAAUAAAACACHTuJAOSgWpM8BAACPAwAADgAAAAAAAAABACAAAAAl&#10;AQAAZHJzL2Uyb0RvYy54bWxQSwUGAAAAAAYABgBZAQAAZgUAAAAA&#10;">
                <v:fill on="f" focussize="0,0"/>
                <v:stroke weight="0.498976377952756pt" color="#000000" joinstyle="round"/>
                <v:imagedata o:title=""/>
                <o:lock v:ext="edit" aspectratio="f"/>
              </v:line>
            </w:pict>
          </mc:Fallback>
        </mc:AlternateContent>
      </w:r>
      <w:r>
        <w:rPr>
          <w:position w:val="2"/>
        </w:rPr>
        <w:t>所以，</w:t>
      </w:r>
      <w:r>
        <w:rPr>
          <w:rFonts w:ascii="Times New Roman" w:eastAsia="Times New Roman"/>
          <w:position w:val="2"/>
        </w:rPr>
        <w:t>C</w:t>
      </w:r>
      <w:r>
        <w:rPr>
          <w:position w:val="2"/>
        </w:rPr>
        <w:t>（</w:t>
      </w:r>
      <w:r>
        <w:rPr>
          <w:rFonts w:ascii="Times New Roman" w:eastAsia="Times New Roman"/>
          <w:position w:val="2"/>
        </w:rPr>
        <w:t>HCO</w:t>
      </w:r>
      <w:r>
        <w:rPr>
          <w:rFonts w:ascii="Times New Roman" w:eastAsia="Times New Roman"/>
          <w:position w:val="2"/>
          <w:vertAlign w:val="subscript"/>
        </w:rPr>
        <w:t>3</w:t>
      </w:r>
      <w:r>
        <w:rPr>
          <w:rFonts w:ascii="Times New Roman" w:eastAsia="Times New Roman"/>
          <w:position w:val="2"/>
          <w:vertAlign w:val="superscript"/>
        </w:rPr>
        <w:t>-</w:t>
      </w:r>
      <w:r>
        <w:rPr>
          <w:position w:val="2"/>
          <w:vertAlign w:val="baseline"/>
        </w:rPr>
        <w:t>）</w:t>
      </w:r>
      <w:r>
        <w:rPr>
          <w:rFonts w:ascii="Times New Roman" w:eastAsia="Times New Roman"/>
          <w:position w:val="2"/>
          <w:vertAlign w:val="baseline"/>
        </w:rPr>
        <w:t xml:space="preserve">= </w:t>
      </w:r>
      <w:r>
        <w:rPr>
          <w:rFonts w:ascii="Times New Roman" w:eastAsia="Times New Roman"/>
          <w:position w:val="17"/>
          <w:vertAlign w:val="baseline"/>
        </w:rPr>
        <w:t xml:space="preserve">280.3 </w:t>
      </w:r>
      <w:r>
        <w:rPr>
          <w:rFonts w:ascii="Times New Roman" w:eastAsia="Times New Roman"/>
          <w:position w:val="2"/>
          <w:vertAlign w:val="baseline"/>
        </w:rPr>
        <w:t>=4.595</w:t>
      </w:r>
    </w:p>
    <w:p>
      <w:pPr>
        <w:pStyle w:val="6"/>
        <w:spacing w:line="223" w:lineRule="exact"/>
        <w:ind w:right="2863"/>
        <w:jc w:val="center"/>
        <w:rPr>
          <w:rFonts w:ascii="Times New Roman"/>
        </w:rPr>
      </w:pPr>
      <w:r>
        <w:rPr>
          <w:rFonts w:ascii="Times New Roman"/>
        </w:rPr>
        <w:t>61</w:t>
      </w:r>
    </w:p>
    <w:p>
      <w:pPr>
        <w:spacing w:after="0" w:line="223" w:lineRule="exact"/>
        <w:jc w:val="center"/>
        <w:rPr>
          <w:rFonts w:ascii="Times New Roman"/>
        </w:rPr>
        <w:sectPr>
          <w:pgSz w:w="11910" w:h="16840"/>
          <w:pgMar w:top="1420" w:right="780" w:bottom="1180" w:left="1200" w:header="0" w:footer="997" w:gutter="0"/>
        </w:sectPr>
      </w:pPr>
    </w:p>
    <w:p>
      <w:pPr>
        <w:pStyle w:val="6"/>
        <w:spacing w:before="70" w:line="389" w:lineRule="exact"/>
        <w:ind w:left="1790"/>
        <w:rPr>
          <w:rFonts w:ascii="Times New Roman" w:eastAsia="Times New Roman"/>
        </w:rPr>
      </w:pPr>
      <w:r>
        <mc:AlternateContent>
          <mc:Choice Requires="wps">
            <w:drawing>
              <wp:anchor distT="0" distB="0" distL="114300" distR="114300" simplePos="0" relativeHeight="214351872" behindDoc="1" locked="0" layoutInCell="1" allowOverlap="1">
                <wp:simplePos x="0" y="0"/>
                <wp:positionH relativeFrom="page">
                  <wp:posOffset>2593340</wp:posOffset>
                </wp:positionH>
                <wp:positionV relativeFrom="paragraph">
                  <wp:posOffset>242570</wp:posOffset>
                </wp:positionV>
                <wp:extent cx="275590" cy="0"/>
                <wp:effectExtent l="0" t="0" r="0" b="0"/>
                <wp:wrapNone/>
                <wp:docPr id="46" name="直线 132"/>
                <wp:cNvGraphicFramePr/>
                <a:graphic xmlns:a="http://schemas.openxmlformats.org/drawingml/2006/main">
                  <a:graphicData uri="http://schemas.microsoft.com/office/word/2010/wordprocessingShape">
                    <wps:wsp>
                      <wps:cNvSpPr/>
                      <wps:spPr>
                        <a:xfrm>
                          <a:off x="0" y="0"/>
                          <a:ext cx="275590" cy="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132" o:spid="_x0000_s1026" o:spt="20" style="position:absolute;left:0pt;margin-left:204.2pt;margin-top:19.1pt;height:0pt;width:21.7pt;mso-position-horizontal-relative:page;z-index:-288964608;mso-width-relative:page;mso-height-relative:page;" filled="f" stroked="t" coordsize="21600,21600" o:gfxdata="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2DcVNdUAAAAJAQAADwAAAAAAAAABACAAAAAiAAAAZHJz&#10;L2Rvd25yZXYueG1sUEsBAhQAFAAAAAgAh07iQA6uaGTOAQAAjwMAAA4AAAAAAAAAAQAgAAAAJAEA&#10;AGRycy9lMm9Eb2MueG1sUEsFBgAAAAAGAAYAWQEAAGQFAAAAAA==&#10;">
                <v:fill on="f" focussize="0,0"/>
                <v:stroke weight="0.5pt" color="#000000" joinstyle="round"/>
                <v:imagedata o:title=""/>
                <o:lock v:ext="edit" aspectratio="f"/>
              </v:line>
            </w:pict>
          </mc:Fallback>
        </mc:AlternateContent>
      </w:r>
      <w:r>
        <w:rPr>
          <w:rFonts w:ascii="Times New Roman" w:eastAsia="Times New Roman"/>
        </w:rPr>
        <w:t>C</w:t>
      </w:r>
      <w:r>
        <w:t>（</w:t>
      </w:r>
      <w:r>
        <w:rPr>
          <w:rFonts w:ascii="Times New Roman" w:eastAsia="Times New Roman"/>
        </w:rPr>
        <w:t>Cl</w:t>
      </w:r>
      <w:r>
        <w:rPr>
          <w:rFonts w:ascii="Times New Roman" w:eastAsia="Times New Roman"/>
          <w:position w:val="8"/>
          <w:sz w:val="15"/>
        </w:rPr>
        <w:t>-</w:t>
      </w:r>
      <w:r>
        <w:t>）</w:t>
      </w:r>
      <w:r>
        <w:rPr>
          <w:rFonts w:ascii="Times New Roman" w:eastAsia="Times New Roman"/>
        </w:rPr>
        <w:t xml:space="preserve">= </w:t>
      </w:r>
      <w:r>
        <w:rPr>
          <w:rFonts w:ascii="Times New Roman" w:eastAsia="Times New Roman"/>
          <w:position w:val="15"/>
        </w:rPr>
        <w:t xml:space="preserve">10.3 </w:t>
      </w:r>
      <w:r>
        <w:rPr>
          <w:rFonts w:ascii="Times New Roman" w:eastAsia="Times New Roman"/>
        </w:rPr>
        <w:t>=0.290</w:t>
      </w:r>
    </w:p>
    <w:p>
      <w:pPr>
        <w:pStyle w:val="6"/>
        <w:spacing w:line="223" w:lineRule="exact"/>
        <w:ind w:left="2892"/>
        <w:rPr>
          <w:rFonts w:ascii="Times New Roman"/>
        </w:rPr>
      </w:pPr>
      <w:r>
        <w:rPr>
          <w:rFonts w:ascii="Times New Roman"/>
        </w:rPr>
        <w:t>35.5</w:t>
      </w:r>
    </w:p>
    <w:p>
      <w:pPr>
        <w:pStyle w:val="6"/>
        <w:spacing w:before="12" w:line="349" w:lineRule="exact"/>
        <w:ind w:left="1790"/>
        <w:rPr>
          <w:rFonts w:ascii="Times New Roman" w:eastAsia="Times New Roman"/>
        </w:rPr>
      </w:pPr>
      <w:r>
        <mc:AlternateContent>
          <mc:Choice Requires="wps">
            <w:drawing>
              <wp:anchor distT="0" distB="0" distL="114300" distR="114300" simplePos="0" relativeHeight="251762688" behindDoc="0" locked="0" layoutInCell="1" allowOverlap="1">
                <wp:simplePos x="0" y="0"/>
                <wp:positionH relativeFrom="page">
                  <wp:posOffset>2178685</wp:posOffset>
                </wp:positionH>
                <wp:positionV relativeFrom="paragraph">
                  <wp:posOffset>205740</wp:posOffset>
                </wp:positionV>
                <wp:extent cx="92075" cy="0"/>
                <wp:effectExtent l="0" t="0" r="0" b="0"/>
                <wp:wrapNone/>
                <wp:docPr id="254" name="直线 133"/>
                <wp:cNvGraphicFramePr/>
                <a:graphic xmlns:a="http://schemas.openxmlformats.org/drawingml/2006/main">
                  <a:graphicData uri="http://schemas.microsoft.com/office/word/2010/wordprocessingShape">
                    <wps:wsp>
                      <wps:cNvSpPr/>
                      <wps:spPr>
                        <a:xfrm>
                          <a:off x="0" y="0"/>
                          <a:ext cx="92075" cy="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133" o:spid="_x0000_s1026" o:spt="20" style="position:absolute;left:0pt;margin-left:171.55pt;margin-top:16.2pt;height:0pt;width:7.25pt;mso-position-horizontal-relative:page;z-index:251762688;mso-width-relative:page;mso-height-relative:page;" filled="f" stroked="t" coordsize="21600,21600" o:gfxdata="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xqgr7VAAAACQEAAA8AAAAAAAAAAQAgAAAAIgAAAGRy&#10;cy9kb3ducmV2LnhtbFBLAQIUABQAAAAIAIdO4kAL+NxOzwEAAI8DAAAOAAAAAAAAAAEAIAAAACQB&#10;AABkcnMvZTJvRG9jLnhtbFBLBQYAAAAABgAGAFkBAABlBQAAAAA=&#10;">
                <v:fill on="f" focussize="0,0"/>
                <v:stroke weight="0.5pt" color="#000000" joinstyle="round"/>
                <v:imagedata o:title=""/>
                <o:lock v:ext="edit" aspectratio="f"/>
              </v:line>
            </w:pict>
          </mc:Fallback>
        </mc:AlternateContent>
      </w:r>
      <w:r>
        <mc:AlternateContent>
          <mc:Choice Requires="wps">
            <w:drawing>
              <wp:anchor distT="0" distB="0" distL="114300" distR="114300" simplePos="0" relativeHeight="251763712" behindDoc="0" locked="0" layoutInCell="1" allowOverlap="1">
                <wp:simplePos x="0" y="0"/>
                <wp:positionH relativeFrom="page">
                  <wp:posOffset>2894330</wp:posOffset>
                </wp:positionH>
                <wp:positionV relativeFrom="paragraph">
                  <wp:posOffset>205740</wp:posOffset>
                </wp:positionV>
                <wp:extent cx="264795" cy="0"/>
                <wp:effectExtent l="0" t="0" r="0" b="0"/>
                <wp:wrapNone/>
                <wp:docPr id="255" name="直线 134"/>
                <wp:cNvGraphicFramePr/>
                <a:graphic xmlns:a="http://schemas.openxmlformats.org/drawingml/2006/main">
                  <a:graphicData uri="http://schemas.microsoft.com/office/word/2010/wordprocessingShape">
                    <wps:wsp>
                      <wps:cNvSpPr/>
                      <wps:spPr>
                        <a:xfrm>
                          <a:off x="0" y="0"/>
                          <a:ext cx="264795" cy="0"/>
                        </a:xfrm>
                        <a:prstGeom prst="line">
                          <a:avLst/>
                        </a:prstGeom>
                        <a:ln w="6337" cap="flat" cmpd="sng">
                          <a:solidFill>
                            <a:srgbClr val="000000"/>
                          </a:solidFill>
                          <a:prstDash val="solid"/>
                          <a:headEnd type="none" w="med" len="med"/>
                          <a:tailEnd type="none" w="med" len="med"/>
                        </a:ln>
                      </wps:spPr>
                      <wps:bodyPr upright="1"/>
                    </wps:wsp>
                  </a:graphicData>
                </a:graphic>
              </wp:anchor>
            </w:drawing>
          </mc:Choice>
          <mc:Fallback>
            <w:pict>
              <v:line id="直线 134" o:spid="_x0000_s1026" o:spt="20" style="position:absolute;left:0pt;margin-left:227.9pt;margin-top:16.2pt;height:0pt;width:20.85pt;mso-position-horizontal-relative:page;z-index:251763712;mso-width-relative:page;mso-height-relative:page;" filled="f" stroked="t" coordsize="21600,21600" o:gfxdata="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dknV3XAAAACQEAAA8AAAAAAAAAAQAgAAAAIgAA&#10;AGRycy9kb3ducmV2LnhtbFBLAQIUABQAAAAIAIdO4kBrr1+B0AEAAJADAAAOAAAAAAAAAAEAIAAA&#10;ACYBAABkcnMvZTJvRG9jLnhtbFBLBQYAAAAABgAGAFkBAABoBQAAAAA=&#10;">
                <v:fill on="f" focussize="0,0"/>
                <v:stroke weight="0.498976377952756pt" color="#000000" joinstyle="round"/>
                <v:imagedata o:title=""/>
                <o:lock v:ext="edit" aspectratio="f"/>
              </v:line>
            </w:pict>
          </mc:Fallback>
        </mc:AlternateContent>
      </w:r>
      <w:r>
        <mc:AlternateContent>
          <mc:Choice Requires="wps">
            <w:drawing>
              <wp:anchor distT="0" distB="0" distL="114300" distR="114300" simplePos="0" relativeHeight="214358016" behindDoc="1" locked="0" layoutInCell="1" allowOverlap="1">
                <wp:simplePos x="0" y="0"/>
                <wp:positionH relativeFrom="page">
                  <wp:posOffset>2499360</wp:posOffset>
                </wp:positionH>
                <wp:positionV relativeFrom="paragraph">
                  <wp:posOffset>167005</wp:posOffset>
                </wp:positionV>
                <wp:extent cx="49530" cy="109855"/>
                <wp:effectExtent l="0" t="0" r="0" b="0"/>
                <wp:wrapNone/>
                <wp:docPr id="54" name="文本框 135"/>
                <wp:cNvGraphicFramePr/>
                <a:graphic xmlns:a="http://schemas.openxmlformats.org/drawingml/2006/main">
                  <a:graphicData uri="http://schemas.microsoft.com/office/word/2010/wordprocessingShape">
                    <wps:wsp>
                      <wps:cNvSpPr txBox="1"/>
                      <wps:spPr>
                        <a:xfrm>
                          <a:off x="0" y="0"/>
                          <a:ext cx="49530" cy="109855"/>
                        </a:xfrm>
                        <a:prstGeom prst="rect">
                          <a:avLst/>
                        </a:prstGeom>
                        <a:noFill/>
                        <a:ln>
                          <a:noFill/>
                        </a:ln>
                      </wps:spPr>
                      <wps:txbx>
                        <w:txbxContent>
                          <w:p>
                            <w:pPr>
                              <w:spacing w:before="0" w:line="171" w:lineRule="exact"/>
                              <w:ind w:left="0" w:right="0" w:firstLine="0"/>
                              <w:jc w:val="left"/>
                              <w:rPr>
                                <w:rFonts w:ascii="Times New Roman"/>
                                <w:sz w:val="15"/>
                              </w:rPr>
                            </w:pPr>
                            <w:r>
                              <w:rPr>
                                <w:rFonts w:ascii="Times New Roman"/>
                                <w:w w:val="104"/>
                                <w:sz w:val="15"/>
                              </w:rPr>
                              <w:t>4</w:t>
                            </w:r>
                          </w:p>
                        </w:txbxContent>
                      </wps:txbx>
                      <wps:bodyPr lIns="0" tIns="0" rIns="0" bIns="0" upright="1"/>
                    </wps:wsp>
                  </a:graphicData>
                </a:graphic>
              </wp:anchor>
            </w:drawing>
          </mc:Choice>
          <mc:Fallback>
            <w:pict>
              <v:shape id="文本框 135" o:spid="_x0000_s1026" o:spt="202" type="#_x0000_t202" style="position:absolute;left:0pt;margin-left:196.8pt;margin-top:13.15pt;height:8.65pt;width:3.9pt;mso-position-horizontal-relative:page;z-index:-288958464;mso-width-relative:page;mso-height-relative:page;" filled="f" stroked="f" coordsize="21600,21600" o:gfxdata="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rrxm+2AAAAAkBAAAPAAAAAAAA&#10;AAEAIAAAACIAAABkcnMvZG93bnJldi54bWxQSwECFAAUAAAACACHTuJA+cffdqABAAAlAwAADgAA&#10;AAAAAAABACAAAAAnAQAAZHJzL2Uyb0RvYy54bWxQSwUGAAAAAAYABgBZAQAAOQUAAAAA&#10;">
                <v:fill on="f" focussize="0,0"/>
                <v:stroke on="f"/>
                <v:imagedata o:title=""/>
                <o:lock v:ext="edit" aspectratio="f"/>
                <v:textbox inset="0mm,0mm,0mm,0mm">
                  <w:txbxContent>
                    <w:p>
                      <w:pPr>
                        <w:spacing w:before="0" w:line="171" w:lineRule="exact"/>
                        <w:ind w:left="0" w:right="0" w:firstLine="0"/>
                        <w:jc w:val="left"/>
                        <w:rPr>
                          <w:rFonts w:ascii="Times New Roman"/>
                          <w:sz w:val="15"/>
                        </w:rPr>
                      </w:pPr>
                      <w:r>
                        <w:rPr>
                          <w:rFonts w:ascii="Times New Roman"/>
                          <w:w w:val="104"/>
                          <w:sz w:val="15"/>
                        </w:rPr>
                        <w:t>4</w:t>
                      </w:r>
                    </w:p>
                  </w:txbxContent>
                </v:textbox>
              </v:shape>
            </w:pict>
          </mc:Fallback>
        </mc:AlternateContent>
      </w:r>
      <w:r>
        <w:rPr>
          <w:rFonts w:ascii="Times New Roman" w:eastAsia="Times New Roman"/>
        </w:rPr>
        <w:t>C</w:t>
      </w:r>
      <w:r>
        <w:t>（</w:t>
      </w:r>
      <w:r>
        <w:rPr>
          <w:spacing w:val="-86"/>
        </w:rPr>
        <w:t xml:space="preserve"> </w:t>
      </w:r>
      <w:r>
        <w:rPr>
          <w:rFonts w:ascii="Times New Roman" w:eastAsia="Times New Roman"/>
          <w:position w:val="15"/>
        </w:rPr>
        <w:t xml:space="preserve">1 </w:t>
      </w:r>
      <w:r>
        <w:rPr>
          <w:rFonts w:ascii="Times New Roman" w:eastAsia="Times New Roman"/>
        </w:rPr>
        <w:t xml:space="preserve">SO </w:t>
      </w:r>
      <w:r>
        <w:rPr>
          <w:rFonts w:ascii="Times New Roman" w:eastAsia="Times New Roman"/>
          <w:position w:val="8"/>
          <w:sz w:val="15"/>
        </w:rPr>
        <w:t>2-</w:t>
      </w:r>
      <w:r>
        <w:t>）</w:t>
      </w:r>
      <w:r>
        <w:rPr>
          <w:rFonts w:ascii="Times New Roman" w:eastAsia="Times New Roman"/>
        </w:rPr>
        <w:t xml:space="preserve">= </w:t>
      </w:r>
      <w:r>
        <w:rPr>
          <w:rFonts w:ascii="Times New Roman" w:eastAsia="Times New Roman"/>
          <w:position w:val="15"/>
        </w:rPr>
        <w:t xml:space="preserve">12.6 </w:t>
      </w:r>
      <w:r>
        <w:rPr>
          <w:rFonts w:ascii="Times New Roman" w:eastAsia="Times New Roman"/>
        </w:rPr>
        <w:t>=0.263</w:t>
      </w:r>
    </w:p>
    <w:p>
      <w:pPr>
        <w:pStyle w:val="6"/>
        <w:tabs>
          <w:tab w:val="left" w:pos="3453"/>
        </w:tabs>
        <w:spacing w:line="264" w:lineRule="exact"/>
        <w:ind w:left="2247"/>
        <w:rPr>
          <w:rFonts w:ascii="Times New Roman"/>
        </w:rPr>
      </w:pPr>
      <w:r>
        <w:rPr>
          <w:rFonts w:ascii="Times New Roman"/>
        </w:rPr>
        <w:t>2</w:t>
      </w:r>
      <w:r>
        <w:rPr>
          <w:rFonts w:ascii="Times New Roman"/>
        </w:rPr>
        <w:tab/>
      </w:r>
      <w:r>
        <w:rPr>
          <w:rFonts w:ascii="Times New Roman"/>
        </w:rPr>
        <w:t>48</w:t>
      </w:r>
    </w:p>
    <w:p>
      <w:pPr>
        <w:pStyle w:val="6"/>
        <w:spacing w:before="83"/>
        <w:ind w:left="1070"/>
        <w:rPr>
          <w:rFonts w:ascii="Times New Roman" w:hAnsi="Times New Roman" w:eastAsia="Times New Roman"/>
        </w:rPr>
      </w:pPr>
      <w:r>
        <w:t>则：</w:t>
      </w:r>
      <w:r>
        <w:rPr>
          <w:rFonts w:ascii="Times New Roman" w:hAnsi="Times New Roman" w:eastAsia="Times New Roman"/>
        </w:rPr>
        <w:t>C</w:t>
      </w:r>
      <w:r>
        <w:t>（</w:t>
      </w:r>
      <w:r>
        <w:rPr>
          <w:rFonts w:ascii="Times New Roman" w:hAnsi="Times New Roman" w:eastAsia="Times New Roman"/>
        </w:rPr>
        <w:t>∑A</w:t>
      </w:r>
      <w:r>
        <w:t>）</w:t>
      </w:r>
      <w:r>
        <w:rPr>
          <w:rFonts w:ascii="Times New Roman" w:hAnsi="Times New Roman" w:eastAsia="Times New Roman"/>
        </w:rPr>
        <w:t>=4.595+0.290+0.263=5.148</w:t>
      </w:r>
    </w:p>
    <w:p>
      <w:pPr>
        <w:pStyle w:val="6"/>
        <w:spacing w:before="89" w:line="381" w:lineRule="exact"/>
        <w:ind w:left="1502"/>
        <w:rPr>
          <w:rFonts w:ascii="Times New Roman"/>
        </w:rPr>
      </w:pPr>
      <w:r>
        <mc:AlternateContent>
          <mc:Choice Requires="wps">
            <w:drawing>
              <wp:anchor distT="0" distB="0" distL="114300" distR="114300" simplePos="0" relativeHeight="214354944" behindDoc="1" locked="0" layoutInCell="1" allowOverlap="1">
                <wp:simplePos x="0" y="0"/>
                <wp:positionH relativeFrom="page">
                  <wp:posOffset>2012315</wp:posOffset>
                </wp:positionH>
                <wp:positionV relativeFrom="paragraph">
                  <wp:posOffset>254635</wp:posOffset>
                </wp:positionV>
                <wp:extent cx="350520" cy="0"/>
                <wp:effectExtent l="0" t="0" r="0" b="0"/>
                <wp:wrapNone/>
                <wp:docPr id="48" name="直线 136"/>
                <wp:cNvGraphicFramePr/>
                <a:graphic xmlns:a="http://schemas.openxmlformats.org/drawingml/2006/main">
                  <a:graphicData uri="http://schemas.microsoft.com/office/word/2010/wordprocessingShape">
                    <wps:wsp>
                      <wps:cNvSpPr/>
                      <wps:spPr>
                        <a:xfrm>
                          <a:off x="0" y="0"/>
                          <a:ext cx="350520" cy="0"/>
                        </a:xfrm>
                        <a:prstGeom prst="line">
                          <a:avLst/>
                        </a:prstGeom>
                        <a:ln w="6337" cap="flat" cmpd="sng">
                          <a:solidFill>
                            <a:srgbClr val="000000"/>
                          </a:solidFill>
                          <a:prstDash val="solid"/>
                          <a:headEnd type="none" w="med" len="med"/>
                          <a:tailEnd type="none" w="med" len="med"/>
                        </a:ln>
                      </wps:spPr>
                      <wps:bodyPr upright="1"/>
                    </wps:wsp>
                  </a:graphicData>
                </a:graphic>
              </wp:anchor>
            </w:drawing>
          </mc:Choice>
          <mc:Fallback>
            <w:pict>
              <v:line id="直线 136" o:spid="_x0000_s1026" o:spt="20" style="position:absolute;left:0pt;margin-left:158.45pt;margin-top:20.05pt;height:0pt;width:27.6pt;mso-position-horizontal-relative:page;z-index:-288961536;mso-width-relative:page;mso-height-relative:page;" filled="f" stroked="t" coordsize="21600,21600" o:gfxdata="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B4bBudUAAAAJAQAADwAAAAAAAAABACAAAAAiAAAAZHJz&#10;L2Rvd25yZXYueG1sUEsBAhQAFAAAAAgAh07iQBCFz+fOAQAAjwMAAA4AAAAAAAAAAQAgAAAAJAEA&#10;AGRycy9lMm9Eb2MueG1sUEsFBgAAAAAGAAYAWQEAAGQFAAAAAA==&#10;">
                <v:fill on="f" focussize="0,0"/>
                <v:stroke weight="0.498976377952756pt" color="#000000" joinstyle="round"/>
                <v:imagedata o:title=""/>
                <o:lock v:ext="edit" aspectratio="f"/>
              </v:line>
            </w:pict>
          </mc:Fallback>
        </mc:AlternateContent>
      </w:r>
      <w:r>
        <w:rPr>
          <w:rFonts w:ascii="Times New Roman"/>
        </w:rPr>
        <w:t xml:space="preserve">SB= </w:t>
      </w:r>
      <w:r>
        <w:rPr>
          <w:rFonts w:ascii="Times New Roman"/>
          <w:position w:val="15"/>
        </w:rPr>
        <w:t xml:space="preserve">0.263 </w:t>
      </w:r>
      <w:r>
        <w:rPr>
          <w:rFonts w:ascii="Times New Roman"/>
        </w:rPr>
        <w:t>=0.05</w:t>
      </w:r>
    </w:p>
    <w:p>
      <w:pPr>
        <w:pStyle w:val="6"/>
        <w:spacing w:line="231" w:lineRule="exact"/>
        <w:ind w:left="1978"/>
        <w:rPr>
          <w:rFonts w:ascii="Times New Roman"/>
        </w:rPr>
      </w:pPr>
      <w:r>
        <w:rPr>
          <w:rFonts w:ascii="Times New Roman"/>
        </w:rPr>
        <w:t>5.148</w:t>
      </w:r>
    </w:p>
    <w:p>
      <w:pPr>
        <w:pStyle w:val="6"/>
        <w:spacing w:before="11" w:line="381" w:lineRule="exact"/>
        <w:ind w:left="1502"/>
        <w:rPr>
          <w:rFonts w:ascii="Times New Roman"/>
        </w:rPr>
      </w:pPr>
      <w:r>
        <mc:AlternateContent>
          <mc:Choice Requires="wps">
            <w:drawing>
              <wp:anchor distT="0" distB="0" distL="114300" distR="114300" simplePos="0" relativeHeight="214355968" behindDoc="1" locked="0" layoutInCell="1" allowOverlap="1">
                <wp:simplePos x="0" y="0"/>
                <wp:positionH relativeFrom="page">
                  <wp:posOffset>2140585</wp:posOffset>
                </wp:positionH>
                <wp:positionV relativeFrom="paragraph">
                  <wp:posOffset>205105</wp:posOffset>
                </wp:positionV>
                <wp:extent cx="356235" cy="0"/>
                <wp:effectExtent l="0" t="0" r="0" b="0"/>
                <wp:wrapNone/>
                <wp:docPr id="50" name="直线 137"/>
                <wp:cNvGraphicFramePr/>
                <a:graphic xmlns:a="http://schemas.openxmlformats.org/drawingml/2006/main">
                  <a:graphicData uri="http://schemas.microsoft.com/office/word/2010/wordprocessingShape">
                    <wps:wsp>
                      <wps:cNvSpPr/>
                      <wps:spPr>
                        <a:xfrm>
                          <a:off x="0" y="0"/>
                          <a:ext cx="356235" cy="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137" o:spid="_x0000_s1026" o:spt="20" style="position:absolute;left:0pt;margin-left:168.55pt;margin-top:16.15pt;height:0pt;width:28.05pt;mso-position-horizontal-relative:page;z-index:-288960512;mso-width-relative:page;mso-height-relative:page;" filled="f" stroked="t" coordsize="21600,21600" o:gfxdata="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3le5x1QAAAAkBAAAPAAAAAAAAAAEAIAAAACIAAABkcnMv&#10;ZG93bnJldi54bWxQSwECFAAUAAAACACHTuJAtpgqAc0BAACPAwAADgAAAAAAAAABACAAAAAkAQAA&#10;ZHJzL2Uyb0RvYy54bWxQSwUGAAAAAAYABgBZAQAAYwUAAAAA&#10;">
                <v:fill on="f" focussize="0,0"/>
                <v:stroke weight="0.5pt" color="#000000" joinstyle="round"/>
                <v:imagedata o:title=""/>
                <o:lock v:ext="edit" aspectratio="f"/>
              </v:line>
            </w:pict>
          </mc:Fallback>
        </mc:AlternateContent>
      </w:r>
      <w:r>
        <w:rPr>
          <w:rFonts w:ascii="Times New Roman"/>
        </w:rPr>
        <w:t xml:space="preserve">HCB= </w:t>
      </w:r>
      <w:r>
        <w:rPr>
          <w:rFonts w:ascii="Times New Roman"/>
          <w:position w:val="15"/>
        </w:rPr>
        <w:t xml:space="preserve">4.595 </w:t>
      </w:r>
      <w:r>
        <w:rPr>
          <w:rFonts w:ascii="Times New Roman"/>
        </w:rPr>
        <w:t>=15.84</w:t>
      </w:r>
    </w:p>
    <w:p>
      <w:pPr>
        <w:pStyle w:val="6"/>
        <w:spacing w:line="231" w:lineRule="exact"/>
        <w:ind w:right="5018"/>
        <w:jc w:val="center"/>
        <w:rPr>
          <w:rFonts w:ascii="Times New Roman"/>
        </w:rPr>
      </w:pPr>
      <w:r>
        <w:rPr>
          <w:rFonts w:ascii="Times New Roman"/>
        </w:rPr>
        <w:t>0.29</w:t>
      </w:r>
    </w:p>
    <w:p>
      <w:pPr>
        <w:pStyle w:val="6"/>
        <w:spacing w:before="83"/>
        <w:ind w:right="4936"/>
        <w:jc w:val="center"/>
        <w:rPr>
          <w:rFonts w:ascii="Times New Roman" w:eastAsia="Times New Roman"/>
        </w:rPr>
      </w:pPr>
      <w:r>
        <w:t xml:space="preserve">经查表 </w:t>
      </w:r>
      <w:r>
        <w:rPr>
          <w:rFonts w:ascii="Times New Roman" w:eastAsia="Times New Roman"/>
        </w:rPr>
        <w:t xml:space="preserve">6.4-4 </w:t>
      </w:r>
      <w:r>
        <w:t xml:space="preserve">得 </w:t>
      </w:r>
      <w:r>
        <w:rPr>
          <w:rFonts w:ascii="Times New Roman" w:eastAsia="Times New Roman"/>
        </w:rPr>
        <w:t xml:space="preserve">Ms </w:t>
      </w:r>
      <w:r>
        <w:t xml:space="preserve">为 </w:t>
      </w:r>
      <w:r>
        <w:rPr>
          <w:rFonts w:ascii="Times New Roman" w:eastAsia="Times New Roman"/>
        </w:rPr>
        <w:t>0.079</w:t>
      </w:r>
    </w:p>
    <w:p>
      <w:pPr>
        <w:pStyle w:val="6"/>
        <w:spacing w:before="161"/>
        <w:ind w:left="1070"/>
        <w:rPr>
          <w:rFonts w:ascii="Times New Roman" w:hAnsi="Times New Roman" w:eastAsia="Times New Roman"/>
        </w:rPr>
      </w:pPr>
      <w:r>
        <w:t>矿化度（</w:t>
      </w:r>
      <w:r>
        <w:rPr>
          <w:rFonts w:ascii="Times New Roman" w:hAnsi="Times New Roman" w:eastAsia="Times New Roman"/>
        </w:rPr>
        <w:t>g/L</w:t>
      </w:r>
      <w:r>
        <w:t>）</w:t>
      </w:r>
      <w:r>
        <w:rPr>
          <w:rFonts w:ascii="Times New Roman" w:hAnsi="Times New Roman" w:eastAsia="Times New Roman"/>
        </w:rPr>
        <w:t>=5.148×0.079=0.41</w:t>
      </w:r>
      <w:r>
        <w:t xml:space="preserve">，所以矿化度处于 </w:t>
      </w:r>
      <w:r>
        <w:rPr>
          <w:rFonts w:ascii="Times New Roman" w:hAnsi="Times New Roman" w:eastAsia="Times New Roman"/>
        </w:rPr>
        <w:t xml:space="preserve">A </w:t>
      </w:r>
      <w:r>
        <w:t>组，</w:t>
      </w:r>
      <w:r>
        <w:rPr>
          <w:rFonts w:ascii="Times New Roman" w:hAnsi="Times New Roman" w:eastAsia="Times New Roman"/>
        </w:rPr>
        <w:t>1#</w:t>
      </w:r>
      <w:r>
        <w:t xml:space="preserve">处地下水为 </w:t>
      </w:r>
      <w:r>
        <w:rPr>
          <w:rFonts w:ascii="Times New Roman" w:hAnsi="Times New Roman" w:eastAsia="Times New Roman"/>
        </w:rPr>
        <w:t>2-A</w:t>
      </w:r>
    </w:p>
    <w:p>
      <w:pPr>
        <w:pStyle w:val="6"/>
        <w:spacing w:before="160" w:line="364" w:lineRule="auto"/>
        <w:ind w:left="1070" w:right="3904" w:hanging="519"/>
      </w:pPr>
      <w:r>
        <mc:AlternateContent>
          <mc:Choice Requires="wps">
            <w:drawing>
              <wp:anchor distT="0" distB="0" distL="114300" distR="114300" simplePos="0" relativeHeight="214359040" behindDoc="1" locked="0" layoutInCell="1" allowOverlap="1">
                <wp:simplePos x="0" y="0"/>
                <wp:positionH relativeFrom="page">
                  <wp:posOffset>3474720</wp:posOffset>
                </wp:positionH>
                <wp:positionV relativeFrom="paragraph">
                  <wp:posOffset>175895</wp:posOffset>
                </wp:positionV>
                <wp:extent cx="49530" cy="109855"/>
                <wp:effectExtent l="0" t="0" r="0" b="0"/>
                <wp:wrapNone/>
                <wp:docPr id="56" name="文本框 138"/>
                <wp:cNvGraphicFramePr/>
                <a:graphic xmlns:a="http://schemas.openxmlformats.org/drawingml/2006/main">
                  <a:graphicData uri="http://schemas.microsoft.com/office/word/2010/wordprocessingShape">
                    <wps:wsp>
                      <wps:cNvSpPr txBox="1"/>
                      <wps:spPr>
                        <a:xfrm>
                          <a:off x="0" y="0"/>
                          <a:ext cx="49530" cy="109855"/>
                        </a:xfrm>
                        <a:prstGeom prst="rect">
                          <a:avLst/>
                        </a:prstGeom>
                        <a:noFill/>
                        <a:ln>
                          <a:noFill/>
                        </a:ln>
                      </wps:spPr>
                      <wps:txbx>
                        <w:txbxContent>
                          <w:p>
                            <w:pPr>
                              <w:spacing w:before="0" w:line="171" w:lineRule="exact"/>
                              <w:ind w:left="0" w:right="0" w:firstLine="0"/>
                              <w:jc w:val="left"/>
                              <w:rPr>
                                <w:rFonts w:ascii="Times New Roman"/>
                                <w:sz w:val="15"/>
                              </w:rPr>
                            </w:pPr>
                            <w:r>
                              <w:rPr>
                                <w:rFonts w:ascii="Times New Roman"/>
                                <w:w w:val="104"/>
                                <w:sz w:val="15"/>
                              </w:rPr>
                              <w:t>3</w:t>
                            </w:r>
                          </w:p>
                        </w:txbxContent>
                      </wps:txbx>
                      <wps:bodyPr lIns="0" tIns="0" rIns="0" bIns="0" upright="1"/>
                    </wps:wsp>
                  </a:graphicData>
                </a:graphic>
              </wp:anchor>
            </w:drawing>
          </mc:Choice>
          <mc:Fallback>
            <w:pict>
              <v:shape id="文本框 138" o:spid="_x0000_s1026" o:spt="202" type="#_x0000_t202" style="position:absolute;left:0pt;margin-left:273.6pt;margin-top:13.85pt;height:8.65pt;width:3.9pt;mso-position-horizontal-relative:page;z-index:-288957440;mso-width-relative:page;mso-height-relative:page;" filled="f" stroked="f" coordsize="21600,21600" o:gfxdata="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yeXlhNkAAAAJAQAADwAAAAAA&#10;AAABACAAAAAiAAAAZHJzL2Rvd25yZXYueG1sUEsBAhQAFAAAAAgAh07iQM458GegAQAAJQMAAA4A&#10;AAAAAAAAAQAgAAAAKAEAAGRycy9lMm9Eb2MueG1sUEsFBgAAAAAGAAYAWQEAADoFAAAAAA==&#10;">
                <v:fill on="f" focussize="0,0"/>
                <v:stroke on="f"/>
                <v:imagedata o:title=""/>
                <o:lock v:ext="edit" aspectratio="f"/>
                <v:textbox inset="0mm,0mm,0mm,0mm">
                  <w:txbxContent>
                    <w:p>
                      <w:pPr>
                        <w:spacing w:before="0" w:line="171" w:lineRule="exact"/>
                        <w:ind w:left="0" w:right="0" w:firstLine="0"/>
                        <w:jc w:val="left"/>
                        <w:rPr>
                          <w:rFonts w:ascii="Times New Roman"/>
                          <w:sz w:val="15"/>
                        </w:rPr>
                      </w:pPr>
                      <w:r>
                        <w:rPr>
                          <w:rFonts w:ascii="Times New Roman"/>
                          <w:w w:val="104"/>
                          <w:sz w:val="15"/>
                        </w:rPr>
                        <w:t>3</w:t>
                      </w:r>
                    </w:p>
                  </w:txbxContent>
                </v:textbox>
              </v:shape>
            </w:pict>
          </mc:Fallback>
        </mc:AlternateContent>
      </w:r>
      <w:r>
        <w:rPr>
          <w:spacing w:val="-6"/>
        </w:rPr>
        <w:t xml:space="preserve">型，表示矿化度小于 </w:t>
      </w:r>
      <w:r>
        <w:rPr>
          <w:rFonts w:ascii="Times New Roman" w:hAnsi="Times New Roman" w:eastAsia="Times New Roman"/>
        </w:rPr>
        <w:t xml:space="preserve">1.5g/L </w:t>
      </w:r>
      <w:r>
        <w:rPr>
          <w:spacing w:val="-30"/>
        </w:rPr>
        <w:t xml:space="preserve">的 </w:t>
      </w:r>
      <w:r>
        <w:rPr>
          <w:rFonts w:ascii="Times New Roman" w:hAnsi="Times New Roman" w:eastAsia="Times New Roman"/>
        </w:rPr>
        <w:t xml:space="preserve">HCO </w:t>
      </w:r>
      <w:r>
        <w:rPr>
          <w:rFonts w:ascii="Times New Roman" w:hAnsi="Times New Roman" w:eastAsia="Times New Roman"/>
          <w:position w:val="8"/>
          <w:sz w:val="15"/>
        </w:rPr>
        <w:t>—</w:t>
      </w:r>
      <w:r>
        <w:rPr>
          <w:rFonts w:ascii="Times New Roman" w:hAnsi="Times New Roman" w:eastAsia="Times New Roman"/>
        </w:rPr>
        <w:t xml:space="preserve">Ca+Mg </w:t>
      </w:r>
      <w:r>
        <w:rPr>
          <w:spacing w:val="-4"/>
        </w:rPr>
        <w:t>型水。</w:t>
      </w:r>
      <w:r>
        <w:t>其它点位计算过程同上。</w:t>
      </w:r>
    </w:p>
    <w:p>
      <w:pPr>
        <w:pStyle w:val="6"/>
        <w:spacing w:before="1"/>
        <w:ind w:left="1070"/>
      </w:pPr>
      <w:r>
        <w:t>水质矿化度计算结果见下表。</w:t>
      </w:r>
    </w:p>
    <w:p>
      <w:pPr>
        <w:pStyle w:val="5"/>
        <w:spacing w:before="161"/>
        <w:ind w:right="412"/>
        <w:jc w:val="center"/>
      </w:pPr>
      <w:r>
        <mc:AlternateContent>
          <mc:Choice Requires="wps">
            <w:drawing>
              <wp:anchor distT="0" distB="0" distL="114300" distR="114300" simplePos="0" relativeHeight="214356992" behindDoc="1" locked="0" layoutInCell="1" allowOverlap="1">
                <wp:simplePos x="0" y="0"/>
                <wp:positionH relativeFrom="page">
                  <wp:posOffset>1083310</wp:posOffset>
                </wp:positionH>
                <wp:positionV relativeFrom="paragraph">
                  <wp:posOffset>353060</wp:posOffset>
                </wp:positionV>
                <wp:extent cx="1473200" cy="399415"/>
                <wp:effectExtent l="1270" t="4445" r="11430" b="15240"/>
                <wp:wrapNone/>
                <wp:docPr id="52" name="直线 139"/>
                <wp:cNvGraphicFramePr/>
                <a:graphic xmlns:a="http://schemas.openxmlformats.org/drawingml/2006/main">
                  <a:graphicData uri="http://schemas.microsoft.com/office/word/2010/wordprocessingShape">
                    <wps:wsp>
                      <wps:cNvSpPr/>
                      <wps:spPr>
                        <a:xfrm>
                          <a:off x="0" y="0"/>
                          <a:ext cx="1473200" cy="399415"/>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139" o:spid="_x0000_s1026" o:spt="20" style="position:absolute;left:0pt;margin-left:85.3pt;margin-top:27.8pt;height:31.45pt;width:116pt;mso-position-horizontal-relative:page;z-index:-288959488;mso-width-relative:page;mso-height-relative:page;" filled="f" stroked="t" coordsize="21600,21600" o:gfxdata="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Tauk1QAAAAoBAAAPAAAAAAAAAAEAIAAAACIA&#10;AABkcnMvZG93bnJldi54bWxQSwECFAAUAAAACACHTuJACU4Ca9MBAACVAwAADgAAAAAAAAABACAA&#10;AAAkAQAAZHJzL2Uyb0RvYy54bWxQSwUGAAAAAAYABgBZAQAAaQUAAAAA&#10;">
                <v:fill on="f" focussize="0,0"/>
                <v:stroke weight="0.5pt" color="#000000" joinstyle="round"/>
                <v:imagedata o:title=""/>
                <o:lock v:ext="edit" aspectratio="f"/>
              </v:line>
            </w:pict>
          </mc:Fallback>
        </mc:AlternateContent>
      </w:r>
      <w:r>
        <w:t xml:space="preserve">表 </w:t>
      </w:r>
      <w:r>
        <w:rPr>
          <w:rFonts w:ascii="Times New Roman" w:eastAsia="Times New Roman"/>
        </w:rPr>
        <w:t xml:space="preserve">6.4-7 </w:t>
      </w:r>
      <w:r>
        <w:t>水质矿化度</w:t>
      </w:r>
    </w:p>
    <w:p>
      <w:pPr>
        <w:pStyle w:val="6"/>
        <w:spacing w:before="3"/>
        <w:rPr>
          <w:b/>
          <w:sz w:val="6"/>
        </w:rPr>
      </w:pPr>
    </w:p>
    <w:tbl>
      <w:tblPr>
        <w:tblStyle w:val="10"/>
        <w:tblW w:w="0" w:type="auto"/>
        <w:tblInd w:w="5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25"/>
        <w:gridCol w:w="1235"/>
        <w:gridCol w:w="1235"/>
        <w:gridCol w:w="1235"/>
        <w:gridCol w:w="1235"/>
        <w:gridCol w:w="12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325" w:type="dxa"/>
          </w:tcPr>
          <w:p>
            <w:pPr>
              <w:pStyle w:val="14"/>
              <w:spacing w:before="21"/>
              <w:ind w:left="1320"/>
              <w:jc w:val="left"/>
              <w:rPr>
                <w:b/>
                <w:sz w:val="21"/>
              </w:rPr>
            </w:pPr>
            <w:r>
              <w:rPr>
                <w:b/>
                <w:sz w:val="21"/>
              </w:rPr>
              <w:t>编号</w:t>
            </w:r>
          </w:p>
          <w:p>
            <w:pPr>
              <w:pStyle w:val="14"/>
              <w:spacing w:before="43"/>
              <w:ind w:left="108"/>
              <w:jc w:val="left"/>
              <w:rPr>
                <w:b/>
                <w:sz w:val="21"/>
              </w:rPr>
            </w:pPr>
            <w:r>
              <w:rPr>
                <w:b/>
                <w:sz w:val="21"/>
              </w:rPr>
              <w:t>项目</w:t>
            </w:r>
          </w:p>
        </w:tc>
        <w:tc>
          <w:tcPr>
            <w:tcW w:w="1235" w:type="dxa"/>
          </w:tcPr>
          <w:p>
            <w:pPr>
              <w:pStyle w:val="14"/>
              <w:spacing w:before="191"/>
              <w:ind w:left="412" w:right="402"/>
              <w:rPr>
                <w:rFonts w:ascii="Times New Roman"/>
                <w:sz w:val="21"/>
              </w:rPr>
            </w:pPr>
            <w:r>
              <w:rPr>
                <w:rFonts w:ascii="Times New Roman"/>
                <w:sz w:val="21"/>
              </w:rPr>
              <w:t>1#</w:t>
            </w:r>
          </w:p>
        </w:tc>
        <w:tc>
          <w:tcPr>
            <w:tcW w:w="1235" w:type="dxa"/>
          </w:tcPr>
          <w:p>
            <w:pPr>
              <w:pStyle w:val="14"/>
              <w:spacing w:before="191"/>
              <w:ind w:left="409" w:right="402"/>
              <w:rPr>
                <w:rFonts w:ascii="Times New Roman"/>
                <w:sz w:val="21"/>
              </w:rPr>
            </w:pPr>
            <w:r>
              <w:rPr>
                <w:rFonts w:ascii="Times New Roman"/>
                <w:sz w:val="21"/>
              </w:rPr>
              <w:t>2#</w:t>
            </w:r>
          </w:p>
        </w:tc>
        <w:tc>
          <w:tcPr>
            <w:tcW w:w="1235" w:type="dxa"/>
          </w:tcPr>
          <w:p>
            <w:pPr>
              <w:pStyle w:val="14"/>
              <w:spacing w:before="191"/>
              <w:ind w:left="411" w:right="402"/>
              <w:rPr>
                <w:rFonts w:ascii="Times New Roman"/>
                <w:sz w:val="21"/>
              </w:rPr>
            </w:pPr>
            <w:r>
              <w:rPr>
                <w:rFonts w:ascii="Times New Roman"/>
                <w:sz w:val="21"/>
              </w:rPr>
              <w:t>3#</w:t>
            </w:r>
          </w:p>
        </w:tc>
        <w:tc>
          <w:tcPr>
            <w:tcW w:w="1235" w:type="dxa"/>
          </w:tcPr>
          <w:p>
            <w:pPr>
              <w:pStyle w:val="14"/>
              <w:spacing w:before="191"/>
              <w:ind w:left="408" w:right="402"/>
              <w:rPr>
                <w:rFonts w:ascii="Times New Roman"/>
                <w:sz w:val="21"/>
              </w:rPr>
            </w:pPr>
            <w:r>
              <w:rPr>
                <w:rFonts w:ascii="Times New Roman"/>
                <w:sz w:val="21"/>
              </w:rPr>
              <w:t>4#</w:t>
            </w:r>
          </w:p>
        </w:tc>
        <w:tc>
          <w:tcPr>
            <w:tcW w:w="1235" w:type="dxa"/>
          </w:tcPr>
          <w:p>
            <w:pPr>
              <w:pStyle w:val="14"/>
              <w:spacing w:before="191"/>
              <w:ind w:left="410" w:right="402"/>
              <w:rPr>
                <w:rFonts w:ascii="Times New Roman"/>
                <w:sz w:val="21"/>
              </w:rPr>
            </w:pPr>
            <w:r>
              <w:rPr>
                <w:rFonts w:ascii="Times New Roman"/>
                <w:sz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25" w:type="dxa"/>
          </w:tcPr>
          <w:p>
            <w:pPr>
              <w:pStyle w:val="14"/>
              <w:spacing w:before="20"/>
              <w:ind w:left="516" w:right="506"/>
              <w:rPr>
                <w:b/>
                <w:sz w:val="21"/>
              </w:rPr>
            </w:pPr>
            <w:r>
              <w:rPr>
                <w:b/>
                <w:sz w:val="21"/>
              </w:rPr>
              <w:t>矿化度（</w:t>
            </w:r>
            <w:r>
              <w:rPr>
                <w:rFonts w:ascii="Times New Roman" w:eastAsia="Times New Roman"/>
                <w:b/>
                <w:sz w:val="21"/>
              </w:rPr>
              <w:t>M</w:t>
            </w:r>
            <w:r>
              <w:rPr>
                <w:b/>
                <w:sz w:val="21"/>
              </w:rPr>
              <w:t>）</w:t>
            </w:r>
          </w:p>
        </w:tc>
        <w:tc>
          <w:tcPr>
            <w:tcW w:w="1235" w:type="dxa"/>
          </w:tcPr>
          <w:p>
            <w:pPr>
              <w:pStyle w:val="14"/>
              <w:spacing w:before="34"/>
              <w:ind w:left="412" w:right="402"/>
              <w:rPr>
                <w:rFonts w:ascii="Times New Roman"/>
                <w:sz w:val="21"/>
              </w:rPr>
            </w:pPr>
            <w:r>
              <w:rPr>
                <w:rFonts w:ascii="Times New Roman"/>
                <w:sz w:val="21"/>
              </w:rPr>
              <w:t>0.41</w:t>
            </w:r>
          </w:p>
        </w:tc>
        <w:tc>
          <w:tcPr>
            <w:tcW w:w="1235" w:type="dxa"/>
          </w:tcPr>
          <w:p>
            <w:pPr>
              <w:pStyle w:val="14"/>
              <w:spacing w:before="34"/>
              <w:ind w:left="412" w:right="400"/>
              <w:rPr>
                <w:rFonts w:ascii="Times New Roman"/>
                <w:sz w:val="21"/>
              </w:rPr>
            </w:pPr>
            <w:r>
              <w:rPr>
                <w:rFonts w:ascii="Times New Roman"/>
                <w:sz w:val="21"/>
              </w:rPr>
              <w:t>0.19</w:t>
            </w:r>
          </w:p>
        </w:tc>
        <w:tc>
          <w:tcPr>
            <w:tcW w:w="1235" w:type="dxa"/>
          </w:tcPr>
          <w:p>
            <w:pPr>
              <w:pStyle w:val="14"/>
              <w:spacing w:before="34"/>
              <w:ind w:left="411" w:right="402"/>
              <w:rPr>
                <w:rFonts w:ascii="Times New Roman"/>
                <w:sz w:val="21"/>
              </w:rPr>
            </w:pPr>
            <w:r>
              <w:rPr>
                <w:rFonts w:ascii="Times New Roman"/>
                <w:sz w:val="21"/>
              </w:rPr>
              <w:t>0.38</w:t>
            </w:r>
          </w:p>
        </w:tc>
        <w:tc>
          <w:tcPr>
            <w:tcW w:w="1235" w:type="dxa"/>
          </w:tcPr>
          <w:p>
            <w:pPr>
              <w:pStyle w:val="14"/>
              <w:spacing w:before="34"/>
              <w:ind w:left="412" w:right="401"/>
              <w:rPr>
                <w:rFonts w:ascii="Times New Roman"/>
                <w:sz w:val="21"/>
              </w:rPr>
            </w:pPr>
            <w:r>
              <w:rPr>
                <w:rFonts w:ascii="Times New Roman"/>
                <w:sz w:val="21"/>
              </w:rPr>
              <w:t>0.74</w:t>
            </w:r>
          </w:p>
        </w:tc>
        <w:tc>
          <w:tcPr>
            <w:tcW w:w="1235" w:type="dxa"/>
          </w:tcPr>
          <w:p>
            <w:pPr>
              <w:pStyle w:val="14"/>
              <w:spacing w:before="34"/>
              <w:ind w:left="410" w:right="402"/>
              <w:rPr>
                <w:rFonts w:ascii="Times New Roman"/>
                <w:sz w:val="21"/>
              </w:rPr>
            </w:pPr>
            <w:r>
              <w:rPr>
                <w:rFonts w:ascii="Times New Roman"/>
                <w:sz w:val="21"/>
              </w:rPr>
              <w:t>0.74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25" w:type="dxa"/>
          </w:tcPr>
          <w:p>
            <w:pPr>
              <w:pStyle w:val="14"/>
              <w:spacing w:before="20"/>
              <w:ind w:left="515" w:right="506"/>
              <w:rPr>
                <w:b/>
                <w:sz w:val="21"/>
              </w:rPr>
            </w:pPr>
            <w:r>
              <w:rPr>
                <w:b/>
                <w:sz w:val="21"/>
              </w:rPr>
              <w:t>矿化度分组</w:t>
            </w:r>
          </w:p>
        </w:tc>
        <w:tc>
          <w:tcPr>
            <w:tcW w:w="1235" w:type="dxa"/>
          </w:tcPr>
          <w:p>
            <w:pPr>
              <w:pStyle w:val="14"/>
              <w:spacing w:before="34"/>
              <w:ind w:left="8"/>
              <w:rPr>
                <w:rFonts w:ascii="Times New Roman"/>
                <w:sz w:val="21"/>
              </w:rPr>
            </w:pPr>
            <w:r>
              <w:rPr>
                <w:rFonts w:ascii="Times New Roman"/>
                <w:w w:val="99"/>
                <w:sz w:val="21"/>
              </w:rPr>
              <w:t>A</w:t>
            </w:r>
          </w:p>
        </w:tc>
        <w:tc>
          <w:tcPr>
            <w:tcW w:w="1235" w:type="dxa"/>
          </w:tcPr>
          <w:p>
            <w:pPr>
              <w:pStyle w:val="14"/>
              <w:spacing w:before="34"/>
              <w:ind w:left="10"/>
              <w:rPr>
                <w:rFonts w:ascii="Times New Roman"/>
                <w:sz w:val="21"/>
              </w:rPr>
            </w:pPr>
            <w:r>
              <w:rPr>
                <w:rFonts w:ascii="Times New Roman"/>
                <w:w w:val="99"/>
                <w:sz w:val="21"/>
              </w:rPr>
              <w:t>A</w:t>
            </w:r>
          </w:p>
        </w:tc>
        <w:tc>
          <w:tcPr>
            <w:tcW w:w="1235" w:type="dxa"/>
          </w:tcPr>
          <w:p>
            <w:pPr>
              <w:pStyle w:val="14"/>
              <w:spacing w:before="34"/>
              <w:ind w:left="7"/>
              <w:rPr>
                <w:rFonts w:ascii="Times New Roman"/>
                <w:sz w:val="21"/>
              </w:rPr>
            </w:pPr>
            <w:r>
              <w:rPr>
                <w:rFonts w:ascii="Times New Roman"/>
                <w:w w:val="99"/>
                <w:sz w:val="21"/>
              </w:rPr>
              <w:t>A</w:t>
            </w:r>
          </w:p>
        </w:tc>
        <w:tc>
          <w:tcPr>
            <w:tcW w:w="1235" w:type="dxa"/>
          </w:tcPr>
          <w:p>
            <w:pPr>
              <w:pStyle w:val="14"/>
              <w:spacing w:before="34"/>
              <w:ind w:left="9"/>
              <w:rPr>
                <w:rFonts w:ascii="Times New Roman"/>
                <w:sz w:val="21"/>
              </w:rPr>
            </w:pPr>
            <w:r>
              <w:rPr>
                <w:rFonts w:ascii="Times New Roman"/>
                <w:w w:val="99"/>
                <w:sz w:val="21"/>
              </w:rPr>
              <w:t>A</w:t>
            </w:r>
          </w:p>
        </w:tc>
        <w:tc>
          <w:tcPr>
            <w:tcW w:w="1235" w:type="dxa"/>
          </w:tcPr>
          <w:p>
            <w:pPr>
              <w:pStyle w:val="14"/>
              <w:spacing w:before="34"/>
              <w:ind w:left="7"/>
              <w:rPr>
                <w:rFonts w:ascii="Times New Roman"/>
                <w:sz w:val="21"/>
              </w:rPr>
            </w:pPr>
            <w:r>
              <w:rPr>
                <w:rFonts w:ascii="Times New Roman"/>
                <w:w w:val="99"/>
                <w:sz w:val="21"/>
              </w:rPr>
              <w:t>A</w:t>
            </w:r>
          </w:p>
        </w:tc>
      </w:tr>
    </w:tbl>
    <w:p>
      <w:pPr>
        <w:pStyle w:val="6"/>
        <w:spacing w:before="78" w:line="362" w:lineRule="auto"/>
        <w:ind w:left="551" w:right="844" w:firstLine="518"/>
      </w:pPr>
      <w:r>
        <w:rPr>
          <w:position w:val="2"/>
        </w:rPr>
        <w:t>综上所述，</w:t>
      </w:r>
      <w:r>
        <w:rPr>
          <w:rFonts w:ascii="Times New Roman" w:hAnsi="Times New Roman" w:eastAsia="Times New Roman"/>
          <w:position w:val="2"/>
        </w:rPr>
        <w:t>1#</w:t>
      </w:r>
      <w:r>
        <w:rPr>
          <w:spacing w:val="-10"/>
          <w:position w:val="2"/>
        </w:rPr>
        <w:t xml:space="preserve">处地下水为 </w:t>
      </w:r>
      <w:r>
        <w:rPr>
          <w:rFonts w:ascii="Times New Roman" w:hAnsi="Times New Roman" w:eastAsia="Times New Roman"/>
          <w:position w:val="2"/>
        </w:rPr>
        <w:t xml:space="preserve">2-A </w:t>
      </w:r>
      <w:r>
        <w:rPr>
          <w:spacing w:val="-6"/>
          <w:position w:val="2"/>
        </w:rPr>
        <w:t xml:space="preserve">型，表示矿化度小于 </w:t>
      </w:r>
      <w:r>
        <w:rPr>
          <w:rFonts w:ascii="Times New Roman" w:hAnsi="Times New Roman" w:eastAsia="Times New Roman"/>
          <w:position w:val="2"/>
        </w:rPr>
        <w:t xml:space="preserve">1.5g/L </w:t>
      </w:r>
      <w:r>
        <w:rPr>
          <w:spacing w:val="-27"/>
          <w:position w:val="2"/>
        </w:rPr>
        <w:t xml:space="preserve">的 </w:t>
      </w:r>
      <w:r>
        <w:rPr>
          <w:rFonts w:ascii="Times New Roman" w:hAnsi="Times New Roman" w:eastAsia="Times New Roman"/>
          <w:position w:val="2"/>
        </w:rPr>
        <w:t>HCO</w:t>
      </w:r>
      <w:r>
        <w:rPr>
          <w:rFonts w:ascii="Times New Roman" w:hAnsi="Times New Roman" w:eastAsia="Times New Roman"/>
          <w:position w:val="2"/>
          <w:vertAlign w:val="subscript"/>
        </w:rPr>
        <w:t>3</w:t>
      </w:r>
      <w:r>
        <w:rPr>
          <w:rFonts w:ascii="Times New Roman" w:hAnsi="Times New Roman" w:eastAsia="Times New Roman"/>
          <w:position w:val="2"/>
          <w:vertAlign w:val="superscript"/>
        </w:rPr>
        <w:t>—</w:t>
      </w:r>
      <w:r>
        <w:rPr>
          <w:rFonts w:ascii="Times New Roman" w:hAnsi="Times New Roman" w:eastAsia="Times New Roman"/>
          <w:position w:val="2"/>
          <w:vertAlign w:val="baseline"/>
        </w:rPr>
        <w:t xml:space="preserve">Ca+Mg </w:t>
      </w:r>
      <w:r>
        <w:rPr>
          <w:position w:val="2"/>
          <w:vertAlign w:val="baseline"/>
        </w:rPr>
        <w:t>型水；</w:t>
      </w:r>
      <w:r>
        <w:rPr>
          <w:rFonts w:ascii="Times New Roman" w:hAnsi="Times New Roman" w:eastAsia="Times New Roman"/>
          <w:position w:val="2"/>
          <w:vertAlign w:val="baseline"/>
        </w:rPr>
        <w:t>2#</w:t>
      </w:r>
      <w:r>
        <w:rPr>
          <w:spacing w:val="-10"/>
          <w:position w:val="2"/>
          <w:vertAlign w:val="baseline"/>
        </w:rPr>
        <w:t xml:space="preserve">处地下水为 </w:t>
      </w:r>
      <w:r>
        <w:rPr>
          <w:rFonts w:ascii="Times New Roman" w:hAnsi="Times New Roman" w:eastAsia="Times New Roman"/>
          <w:position w:val="2"/>
          <w:vertAlign w:val="baseline"/>
        </w:rPr>
        <w:t xml:space="preserve">2-A </w:t>
      </w:r>
      <w:r>
        <w:rPr>
          <w:spacing w:val="-6"/>
          <w:position w:val="2"/>
          <w:vertAlign w:val="baseline"/>
        </w:rPr>
        <w:t xml:space="preserve">型，表示矿化度小于 </w:t>
      </w:r>
      <w:r>
        <w:rPr>
          <w:rFonts w:ascii="Times New Roman" w:hAnsi="Times New Roman" w:eastAsia="Times New Roman"/>
          <w:position w:val="2"/>
          <w:vertAlign w:val="baseline"/>
        </w:rPr>
        <w:t xml:space="preserve">1.5g/L </w:t>
      </w:r>
      <w:r>
        <w:rPr>
          <w:spacing w:val="-28"/>
          <w:position w:val="2"/>
          <w:vertAlign w:val="baseline"/>
        </w:rPr>
        <w:t xml:space="preserve">的 </w:t>
      </w:r>
      <w:r>
        <w:rPr>
          <w:rFonts w:ascii="Times New Roman" w:hAnsi="Times New Roman" w:eastAsia="Times New Roman"/>
          <w:position w:val="2"/>
          <w:vertAlign w:val="baseline"/>
        </w:rPr>
        <w:t>HCO</w:t>
      </w:r>
      <w:r>
        <w:rPr>
          <w:rFonts w:ascii="Times New Roman" w:hAnsi="Times New Roman" w:eastAsia="Times New Roman"/>
          <w:position w:val="2"/>
          <w:vertAlign w:val="subscript"/>
        </w:rPr>
        <w:t>3</w:t>
      </w:r>
      <w:r>
        <w:rPr>
          <w:rFonts w:ascii="Times New Roman" w:hAnsi="Times New Roman" w:eastAsia="Times New Roman"/>
          <w:position w:val="2"/>
          <w:vertAlign w:val="superscript"/>
        </w:rPr>
        <w:t>—</w:t>
      </w:r>
      <w:r>
        <w:rPr>
          <w:rFonts w:ascii="Times New Roman" w:hAnsi="Times New Roman" w:eastAsia="Times New Roman"/>
          <w:position w:val="2"/>
          <w:vertAlign w:val="baseline"/>
        </w:rPr>
        <w:t xml:space="preserve">Ca+Mg </w:t>
      </w:r>
      <w:r>
        <w:rPr>
          <w:position w:val="2"/>
          <w:vertAlign w:val="baseline"/>
        </w:rPr>
        <w:t>型水；</w:t>
      </w:r>
      <w:r>
        <w:rPr>
          <w:rFonts w:ascii="Times New Roman" w:hAnsi="Times New Roman" w:eastAsia="Times New Roman"/>
          <w:position w:val="2"/>
          <w:vertAlign w:val="baseline"/>
        </w:rPr>
        <w:t xml:space="preserve">3# </w:t>
      </w:r>
      <w:r>
        <w:rPr>
          <w:spacing w:val="-10"/>
          <w:position w:val="2"/>
          <w:vertAlign w:val="baseline"/>
        </w:rPr>
        <w:t xml:space="preserve">处地下水为 </w:t>
      </w:r>
      <w:r>
        <w:rPr>
          <w:rFonts w:ascii="Times New Roman" w:hAnsi="Times New Roman" w:eastAsia="Times New Roman"/>
          <w:position w:val="2"/>
          <w:vertAlign w:val="baseline"/>
        </w:rPr>
        <w:t xml:space="preserve">2-A </w:t>
      </w:r>
      <w:r>
        <w:rPr>
          <w:spacing w:val="-6"/>
          <w:position w:val="2"/>
          <w:vertAlign w:val="baseline"/>
        </w:rPr>
        <w:t xml:space="preserve">型，表示矿化度小于 </w:t>
      </w:r>
      <w:r>
        <w:rPr>
          <w:rFonts w:ascii="Times New Roman" w:hAnsi="Times New Roman" w:eastAsia="Times New Roman"/>
          <w:position w:val="2"/>
          <w:vertAlign w:val="baseline"/>
        </w:rPr>
        <w:t xml:space="preserve">1.5g/L </w:t>
      </w:r>
      <w:r>
        <w:rPr>
          <w:spacing w:val="-28"/>
          <w:position w:val="2"/>
          <w:vertAlign w:val="baseline"/>
        </w:rPr>
        <w:t xml:space="preserve">的 </w:t>
      </w:r>
      <w:r>
        <w:rPr>
          <w:rFonts w:ascii="Times New Roman" w:hAnsi="Times New Roman" w:eastAsia="Times New Roman"/>
          <w:position w:val="2"/>
          <w:vertAlign w:val="baseline"/>
        </w:rPr>
        <w:t>HCO</w:t>
      </w:r>
      <w:r>
        <w:rPr>
          <w:rFonts w:ascii="Times New Roman" w:hAnsi="Times New Roman" w:eastAsia="Times New Roman"/>
          <w:position w:val="2"/>
          <w:vertAlign w:val="subscript"/>
        </w:rPr>
        <w:t>3</w:t>
      </w:r>
      <w:r>
        <w:rPr>
          <w:rFonts w:ascii="Times New Roman" w:hAnsi="Times New Roman" w:eastAsia="Times New Roman"/>
          <w:position w:val="2"/>
          <w:vertAlign w:val="superscript"/>
        </w:rPr>
        <w:t>—</w:t>
      </w:r>
      <w:r>
        <w:rPr>
          <w:rFonts w:ascii="Times New Roman" w:hAnsi="Times New Roman" w:eastAsia="Times New Roman"/>
          <w:position w:val="2"/>
          <w:vertAlign w:val="baseline"/>
        </w:rPr>
        <w:t xml:space="preserve">Ca+Mg </w:t>
      </w:r>
      <w:r>
        <w:rPr>
          <w:position w:val="2"/>
          <w:vertAlign w:val="baseline"/>
        </w:rPr>
        <w:t>型水；</w:t>
      </w:r>
      <w:r>
        <w:rPr>
          <w:rFonts w:ascii="Times New Roman" w:hAnsi="Times New Roman" w:eastAsia="Times New Roman"/>
          <w:position w:val="2"/>
          <w:vertAlign w:val="baseline"/>
        </w:rPr>
        <w:t>4#</w:t>
      </w:r>
      <w:r>
        <w:rPr>
          <w:position w:val="2"/>
          <w:vertAlign w:val="baseline"/>
        </w:rPr>
        <w:t>处地下水</w:t>
      </w:r>
      <w:r>
        <w:rPr>
          <w:spacing w:val="-30"/>
          <w:position w:val="2"/>
          <w:vertAlign w:val="baseline"/>
        </w:rPr>
        <w:t xml:space="preserve">为 </w:t>
      </w:r>
      <w:r>
        <w:rPr>
          <w:rFonts w:ascii="Times New Roman" w:hAnsi="Times New Roman" w:eastAsia="Times New Roman"/>
          <w:position w:val="2"/>
          <w:vertAlign w:val="baseline"/>
        </w:rPr>
        <w:t xml:space="preserve">2-A </w:t>
      </w:r>
      <w:r>
        <w:rPr>
          <w:spacing w:val="-13"/>
          <w:position w:val="2"/>
          <w:vertAlign w:val="baseline"/>
        </w:rPr>
        <w:t xml:space="preserve">型，表示矿化度小于 </w:t>
      </w:r>
      <w:r>
        <w:rPr>
          <w:rFonts w:ascii="Times New Roman" w:hAnsi="Times New Roman" w:eastAsia="Times New Roman"/>
          <w:position w:val="2"/>
          <w:vertAlign w:val="baseline"/>
        </w:rPr>
        <w:t xml:space="preserve">1.5g/L </w:t>
      </w:r>
      <w:r>
        <w:rPr>
          <w:spacing w:val="-30"/>
          <w:position w:val="2"/>
          <w:vertAlign w:val="baseline"/>
        </w:rPr>
        <w:t xml:space="preserve">的 </w:t>
      </w:r>
      <w:r>
        <w:rPr>
          <w:rFonts w:ascii="Times New Roman" w:hAnsi="Times New Roman" w:eastAsia="Times New Roman"/>
          <w:position w:val="2"/>
          <w:vertAlign w:val="baseline"/>
        </w:rPr>
        <w:t>HCO</w:t>
      </w:r>
      <w:r>
        <w:rPr>
          <w:rFonts w:ascii="Times New Roman" w:hAnsi="Times New Roman" w:eastAsia="Times New Roman"/>
          <w:position w:val="2"/>
          <w:vertAlign w:val="subscript"/>
        </w:rPr>
        <w:t>3</w:t>
      </w:r>
      <w:r>
        <w:rPr>
          <w:rFonts w:ascii="Times New Roman" w:hAnsi="Times New Roman" w:eastAsia="Times New Roman"/>
          <w:position w:val="2"/>
          <w:vertAlign w:val="superscript"/>
        </w:rPr>
        <w:t>—</w:t>
      </w:r>
      <w:r>
        <w:rPr>
          <w:rFonts w:ascii="Times New Roman" w:hAnsi="Times New Roman" w:eastAsia="Times New Roman"/>
          <w:position w:val="2"/>
          <w:vertAlign w:val="baseline"/>
        </w:rPr>
        <w:t xml:space="preserve">Ca+Mg </w:t>
      </w:r>
      <w:r>
        <w:rPr>
          <w:spacing w:val="-6"/>
          <w:position w:val="2"/>
          <w:vertAlign w:val="baseline"/>
        </w:rPr>
        <w:t>型水；</w:t>
      </w:r>
      <w:r>
        <w:rPr>
          <w:rFonts w:ascii="Times New Roman" w:hAnsi="Times New Roman" w:eastAsia="Times New Roman"/>
          <w:spacing w:val="-16"/>
          <w:position w:val="2"/>
          <w:vertAlign w:val="baseline"/>
        </w:rPr>
        <w:t>5#</w:t>
      </w:r>
      <w:r>
        <w:rPr>
          <w:spacing w:val="-10"/>
          <w:position w:val="2"/>
          <w:vertAlign w:val="baseline"/>
        </w:rPr>
        <w:t xml:space="preserve">处地下水为 </w:t>
      </w:r>
      <w:r>
        <w:rPr>
          <w:rFonts w:ascii="Times New Roman" w:hAnsi="Times New Roman" w:eastAsia="Times New Roman"/>
          <w:position w:val="2"/>
          <w:vertAlign w:val="baseline"/>
        </w:rPr>
        <w:t xml:space="preserve">2-A </w:t>
      </w:r>
      <w:r>
        <w:rPr>
          <w:spacing w:val="-9"/>
          <w:position w:val="2"/>
          <w:vertAlign w:val="baseline"/>
        </w:rPr>
        <w:t xml:space="preserve">型， </w:t>
      </w:r>
      <w:r>
        <w:rPr>
          <w:spacing w:val="-8"/>
          <w:position w:val="2"/>
          <w:vertAlign w:val="baseline"/>
        </w:rPr>
        <w:t xml:space="preserve">表示矿化度小于 </w:t>
      </w:r>
      <w:r>
        <w:rPr>
          <w:rFonts w:ascii="Times New Roman" w:hAnsi="Times New Roman" w:eastAsia="Times New Roman"/>
          <w:position w:val="2"/>
          <w:vertAlign w:val="baseline"/>
        </w:rPr>
        <w:t xml:space="preserve">1.5g/L </w:t>
      </w:r>
      <w:r>
        <w:rPr>
          <w:spacing w:val="-30"/>
          <w:position w:val="2"/>
          <w:vertAlign w:val="baseline"/>
        </w:rPr>
        <w:t xml:space="preserve">的 </w:t>
      </w:r>
      <w:r>
        <w:rPr>
          <w:rFonts w:ascii="Times New Roman" w:hAnsi="Times New Roman" w:eastAsia="Times New Roman"/>
          <w:position w:val="2"/>
          <w:vertAlign w:val="baseline"/>
        </w:rPr>
        <w:t>HCO</w:t>
      </w:r>
      <w:r>
        <w:rPr>
          <w:rFonts w:ascii="Times New Roman" w:hAnsi="Times New Roman" w:eastAsia="Times New Roman"/>
          <w:position w:val="2"/>
          <w:vertAlign w:val="subscript"/>
        </w:rPr>
        <w:t>3</w:t>
      </w:r>
      <w:r>
        <w:rPr>
          <w:rFonts w:ascii="Times New Roman" w:hAnsi="Times New Roman" w:eastAsia="Times New Roman"/>
          <w:position w:val="2"/>
          <w:vertAlign w:val="superscript"/>
        </w:rPr>
        <w:t>—</w:t>
      </w:r>
      <w:r>
        <w:rPr>
          <w:rFonts w:ascii="Times New Roman" w:hAnsi="Times New Roman" w:eastAsia="Times New Roman"/>
          <w:position w:val="2"/>
          <w:vertAlign w:val="baseline"/>
        </w:rPr>
        <w:t xml:space="preserve">Ca+Mg </w:t>
      </w:r>
      <w:r>
        <w:rPr>
          <w:position w:val="2"/>
          <w:vertAlign w:val="baseline"/>
        </w:rPr>
        <w:t>型水。</w:t>
      </w:r>
    </w:p>
    <w:p>
      <w:pPr>
        <w:pStyle w:val="6"/>
        <w:spacing w:line="307" w:lineRule="exact"/>
        <w:ind w:left="1031"/>
      </w:pPr>
      <w:r>
        <w:t>（</w:t>
      </w:r>
      <w:r>
        <w:rPr>
          <w:rFonts w:ascii="Calibri" w:eastAsia="Calibri"/>
        </w:rPr>
        <w:t>2</w:t>
      </w:r>
      <w:r>
        <w:t>）水质现状评价结果</w:t>
      </w:r>
    </w:p>
    <w:p>
      <w:pPr>
        <w:pStyle w:val="6"/>
        <w:spacing w:before="161"/>
        <w:ind w:left="1070"/>
      </w:pPr>
      <w:r>
        <w:t xml:space="preserve">地下水监测结果见表 </w:t>
      </w:r>
      <w:r>
        <w:rPr>
          <w:rFonts w:ascii="Times New Roman" w:eastAsia="Times New Roman"/>
        </w:rPr>
        <w:t>6.4-8</w:t>
      </w:r>
      <w:r>
        <w:t xml:space="preserve">，地下水污染指数计算结果见表 </w:t>
      </w:r>
      <w:r>
        <w:rPr>
          <w:rFonts w:ascii="Times New Roman" w:eastAsia="Times New Roman"/>
        </w:rPr>
        <w:t>6.4-9</w:t>
      </w:r>
      <w:r>
        <w:t>。</w:t>
      </w:r>
    </w:p>
    <w:p>
      <w:pPr>
        <w:spacing w:before="99" w:after="24"/>
        <w:ind w:left="0" w:right="415" w:firstLine="0"/>
        <w:jc w:val="center"/>
        <w:rPr>
          <w:b/>
          <w:sz w:val="21"/>
        </w:rPr>
      </w:pPr>
      <w:r>
        <w:rPr>
          <w:b/>
          <w:sz w:val="21"/>
        </w:rPr>
        <w:t xml:space="preserve">表 </w:t>
      </w:r>
      <w:r>
        <w:rPr>
          <w:rFonts w:ascii="Times New Roman" w:eastAsia="Times New Roman"/>
          <w:b/>
          <w:sz w:val="21"/>
        </w:rPr>
        <w:t xml:space="preserve">6.4-8 </w:t>
      </w:r>
      <w:r>
        <w:rPr>
          <w:b/>
          <w:sz w:val="21"/>
        </w:rPr>
        <w:t>地下水监测结果</w:t>
      </w:r>
    </w:p>
    <w:tbl>
      <w:tblPr>
        <w:tblStyle w:val="10"/>
        <w:tblW w:w="0" w:type="auto"/>
        <w:tblInd w:w="4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47"/>
        <w:gridCol w:w="1370"/>
        <w:gridCol w:w="1484"/>
        <w:gridCol w:w="1347"/>
        <w:gridCol w:w="1357"/>
        <w:gridCol w:w="13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747" w:type="dxa"/>
            <w:vMerge w:val="restart"/>
          </w:tcPr>
          <w:p>
            <w:pPr>
              <w:pStyle w:val="14"/>
              <w:spacing w:before="10"/>
              <w:jc w:val="left"/>
              <w:rPr>
                <w:b/>
                <w:sz w:val="14"/>
              </w:rPr>
            </w:pPr>
          </w:p>
          <w:p>
            <w:pPr>
              <w:pStyle w:val="14"/>
              <w:ind w:left="453"/>
              <w:jc w:val="left"/>
              <w:rPr>
                <w:sz w:val="21"/>
              </w:rPr>
            </w:pPr>
            <w:r>
              <w:rPr>
                <w:sz w:val="21"/>
              </w:rPr>
              <w:t>监测项目</w:t>
            </w:r>
          </w:p>
        </w:tc>
        <w:tc>
          <w:tcPr>
            <w:tcW w:w="6871" w:type="dxa"/>
            <w:gridSpan w:val="5"/>
          </w:tcPr>
          <w:p>
            <w:pPr>
              <w:pStyle w:val="14"/>
              <w:spacing w:before="46" w:line="254" w:lineRule="exact"/>
              <w:ind w:left="2242" w:right="2234"/>
              <w:rPr>
                <w:sz w:val="21"/>
              </w:rPr>
            </w:pPr>
            <w:r>
              <w:rPr>
                <w:sz w:val="21"/>
              </w:rPr>
              <w:t>监测结果（单位：</w:t>
            </w:r>
            <w:r>
              <w:rPr>
                <w:rFonts w:ascii="Times New Roman" w:eastAsia="Times New Roman"/>
                <w:sz w:val="21"/>
              </w:rPr>
              <w:t>mg/L</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747" w:type="dxa"/>
            <w:vMerge w:val="continue"/>
            <w:tcBorders>
              <w:top w:val="nil"/>
            </w:tcBorders>
          </w:tcPr>
          <w:p>
            <w:pPr>
              <w:rPr>
                <w:sz w:val="2"/>
                <w:szCs w:val="2"/>
              </w:rPr>
            </w:pPr>
          </w:p>
        </w:tc>
        <w:tc>
          <w:tcPr>
            <w:tcW w:w="1370" w:type="dxa"/>
          </w:tcPr>
          <w:p>
            <w:pPr>
              <w:pStyle w:val="14"/>
              <w:spacing w:before="61" w:line="239" w:lineRule="exact"/>
              <w:ind w:left="122" w:right="111"/>
              <w:rPr>
                <w:rFonts w:ascii="Times New Roman"/>
                <w:sz w:val="21"/>
              </w:rPr>
            </w:pPr>
            <w:r>
              <w:rPr>
                <w:rFonts w:ascii="Times New Roman"/>
                <w:sz w:val="21"/>
              </w:rPr>
              <w:t>1#</w:t>
            </w:r>
          </w:p>
        </w:tc>
        <w:tc>
          <w:tcPr>
            <w:tcW w:w="1484" w:type="dxa"/>
          </w:tcPr>
          <w:p>
            <w:pPr>
              <w:pStyle w:val="14"/>
              <w:spacing w:before="61" w:line="239" w:lineRule="exact"/>
              <w:ind w:left="419" w:right="411"/>
              <w:rPr>
                <w:rFonts w:ascii="Times New Roman"/>
                <w:sz w:val="21"/>
              </w:rPr>
            </w:pPr>
            <w:r>
              <w:rPr>
                <w:rFonts w:ascii="Times New Roman"/>
                <w:sz w:val="21"/>
              </w:rPr>
              <w:t>2#</w:t>
            </w:r>
          </w:p>
        </w:tc>
        <w:tc>
          <w:tcPr>
            <w:tcW w:w="1347" w:type="dxa"/>
          </w:tcPr>
          <w:p>
            <w:pPr>
              <w:pStyle w:val="14"/>
              <w:spacing w:before="61" w:line="239" w:lineRule="exact"/>
              <w:ind w:left="416" w:right="407"/>
              <w:rPr>
                <w:rFonts w:ascii="Times New Roman"/>
                <w:sz w:val="21"/>
              </w:rPr>
            </w:pPr>
            <w:r>
              <w:rPr>
                <w:rFonts w:ascii="Times New Roman"/>
                <w:sz w:val="21"/>
              </w:rPr>
              <w:t>3#</w:t>
            </w:r>
          </w:p>
        </w:tc>
        <w:tc>
          <w:tcPr>
            <w:tcW w:w="1357" w:type="dxa"/>
          </w:tcPr>
          <w:p>
            <w:pPr>
              <w:pStyle w:val="14"/>
              <w:spacing w:before="61" w:line="239" w:lineRule="exact"/>
              <w:ind w:left="421" w:right="413"/>
              <w:rPr>
                <w:rFonts w:ascii="Times New Roman"/>
                <w:sz w:val="21"/>
              </w:rPr>
            </w:pPr>
            <w:r>
              <w:rPr>
                <w:rFonts w:ascii="Times New Roman"/>
                <w:sz w:val="21"/>
              </w:rPr>
              <w:t>4#</w:t>
            </w:r>
          </w:p>
        </w:tc>
        <w:tc>
          <w:tcPr>
            <w:tcW w:w="1313" w:type="dxa"/>
          </w:tcPr>
          <w:p>
            <w:pPr>
              <w:pStyle w:val="14"/>
              <w:spacing w:before="61" w:line="239" w:lineRule="exact"/>
              <w:ind w:left="281" w:right="274"/>
              <w:rPr>
                <w:rFonts w:ascii="Times New Roman"/>
                <w:sz w:val="21"/>
              </w:rPr>
            </w:pPr>
            <w:r>
              <w:rPr>
                <w:rFonts w:ascii="Times New Roman"/>
                <w:sz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47" w:type="dxa"/>
          </w:tcPr>
          <w:p>
            <w:pPr>
              <w:pStyle w:val="14"/>
              <w:spacing w:before="22"/>
              <w:ind w:left="198" w:right="191"/>
              <w:rPr>
                <w:sz w:val="21"/>
              </w:rPr>
            </w:pPr>
            <w:r>
              <w:rPr>
                <w:rFonts w:ascii="Times New Roman" w:eastAsia="Times New Roman"/>
                <w:sz w:val="21"/>
              </w:rPr>
              <w:t>pH</w:t>
            </w:r>
            <w:r>
              <w:rPr>
                <w:sz w:val="21"/>
              </w:rPr>
              <w:t>（无量纲）</w:t>
            </w:r>
          </w:p>
        </w:tc>
        <w:tc>
          <w:tcPr>
            <w:tcW w:w="1370" w:type="dxa"/>
          </w:tcPr>
          <w:p>
            <w:pPr>
              <w:pStyle w:val="14"/>
              <w:spacing w:before="38"/>
              <w:ind w:left="122" w:right="111"/>
              <w:rPr>
                <w:rFonts w:ascii="Times New Roman"/>
                <w:sz w:val="21"/>
              </w:rPr>
            </w:pPr>
            <w:bookmarkStart w:id="238" w:name="8.19"/>
            <w:bookmarkEnd w:id="238"/>
            <w:r>
              <w:rPr>
                <w:rFonts w:ascii="Times New Roman"/>
                <w:sz w:val="21"/>
              </w:rPr>
              <w:t>8.19</w:t>
            </w:r>
          </w:p>
        </w:tc>
        <w:tc>
          <w:tcPr>
            <w:tcW w:w="1484" w:type="dxa"/>
          </w:tcPr>
          <w:p>
            <w:pPr>
              <w:pStyle w:val="14"/>
              <w:spacing w:before="38"/>
              <w:ind w:left="419" w:right="411"/>
              <w:rPr>
                <w:rFonts w:ascii="Times New Roman"/>
                <w:sz w:val="21"/>
              </w:rPr>
            </w:pPr>
            <w:bookmarkStart w:id="239" w:name="7.52"/>
            <w:bookmarkEnd w:id="239"/>
            <w:r>
              <w:rPr>
                <w:rFonts w:ascii="Times New Roman"/>
                <w:sz w:val="21"/>
              </w:rPr>
              <w:t>7.52</w:t>
            </w:r>
          </w:p>
        </w:tc>
        <w:tc>
          <w:tcPr>
            <w:tcW w:w="1347" w:type="dxa"/>
          </w:tcPr>
          <w:p>
            <w:pPr>
              <w:pStyle w:val="14"/>
              <w:spacing w:before="38"/>
              <w:ind w:left="416" w:right="407"/>
              <w:rPr>
                <w:rFonts w:ascii="Times New Roman"/>
                <w:sz w:val="21"/>
              </w:rPr>
            </w:pPr>
            <w:bookmarkStart w:id="240" w:name="7.00"/>
            <w:bookmarkEnd w:id="240"/>
            <w:r>
              <w:rPr>
                <w:rFonts w:ascii="Times New Roman"/>
                <w:sz w:val="21"/>
              </w:rPr>
              <w:t>7.00</w:t>
            </w:r>
          </w:p>
        </w:tc>
        <w:tc>
          <w:tcPr>
            <w:tcW w:w="1357" w:type="dxa"/>
          </w:tcPr>
          <w:p>
            <w:pPr>
              <w:pStyle w:val="14"/>
              <w:spacing w:before="38"/>
              <w:ind w:left="421" w:right="411"/>
              <w:rPr>
                <w:rFonts w:ascii="Times New Roman"/>
                <w:sz w:val="21"/>
              </w:rPr>
            </w:pPr>
            <w:bookmarkStart w:id="241" w:name="7.03"/>
            <w:bookmarkEnd w:id="241"/>
            <w:r>
              <w:rPr>
                <w:rFonts w:ascii="Times New Roman"/>
                <w:sz w:val="21"/>
              </w:rPr>
              <w:t>7.03</w:t>
            </w:r>
          </w:p>
        </w:tc>
        <w:tc>
          <w:tcPr>
            <w:tcW w:w="1313" w:type="dxa"/>
          </w:tcPr>
          <w:p>
            <w:pPr>
              <w:pStyle w:val="14"/>
              <w:spacing w:before="38"/>
              <w:ind w:left="282" w:right="271"/>
              <w:rPr>
                <w:rFonts w:ascii="Times New Roman"/>
                <w:sz w:val="21"/>
              </w:rPr>
            </w:pPr>
            <w:bookmarkStart w:id="242" w:name="7.61"/>
            <w:bookmarkEnd w:id="242"/>
            <w:r>
              <w:rPr>
                <w:rFonts w:ascii="Times New Roman"/>
                <w:sz w:val="21"/>
              </w:rPr>
              <w:t>7.61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47" w:type="dxa"/>
          </w:tcPr>
          <w:p>
            <w:pPr>
              <w:pStyle w:val="14"/>
              <w:spacing w:before="21"/>
              <w:ind w:left="196" w:right="191"/>
              <w:rPr>
                <w:sz w:val="21"/>
              </w:rPr>
            </w:pPr>
            <w:r>
              <w:rPr>
                <w:sz w:val="21"/>
              </w:rPr>
              <w:t>氨氮</w:t>
            </w:r>
          </w:p>
        </w:tc>
        <w:tc>
          <w:tcPr>
            <w:tcW w:w="1370" w:type="dxa"/>
          </w:tcPr>
          <w:p>
            <w:pPr>
              <w:pStyle w:val="14"/>
              <w:spacing w:before="38"/>
              <w:ind w:right="373"/>
              <w:jc w:val="right"/>
              <w:rPr>
                <w:rFonts w:ascii="Times New Roman"/>
                <w:sz w:val="21"/>
              </w:rPr>
            </w:pPr>
            <w:bookmarkStart w:id="243" w:name="0.025L"/>
            <w:bookmarkEnd w:id="243"/>
            <w:r>
              <w:rPr>
                <w:rFonts w:ascii="Times New Roman"/>
                <w:w w:val="95"/>
                <w:sz w:val="21"/>
              </w:rPr>
              <w:t>0.025L</w:t>
            </w:r>
          </w:p>
        </w:tc>
        <w:tc>
          <w:tcPr>
            <w:tcW w:w="1484" w:type="dxa"/>
          </w:tcPr>
          <w:p>
            <w:pPr>
              <w:pStyle w:val="14"/>
              <w:spacing w:before="38"/>
              <w:ind w:left="421" w:right="411"/>
              <w:rPr>
                <w:rFonts w:ascii="Times New Roman"/>
                <w:sz w:val="21"/>
              </w:rPr>
            </w:pPr>
            <w:bookmarkStart w:id="244" w:name="0.025L"/>
            <w:bookmarkEnd w:id="244"/>
            <w:r>
              <w:rPr>
                <w:rFonts w:ascii="Times New Roman"/>
                <w:sz w:val="21"/>
              </w:rPr>
              <w:t>0.025L</w:t>
            </w:r>
          </w:p>
        </w:tc>
        <w:tc>
          <w:tcPr>
            <w:tcW w:w="1347" w:type="dxa"/>
          </w:tcPr>
          <w:p>
            <w:pPr>
              <w:pStyle w:val="14"/>
              <w:spacing w:before="38"/>
              <w:ind w:left="416" w:right="407"/>
              <w:rPr>
                <w:rFonts w:ascii="Times New Roman"/>
                <w:sz w:val="21"/>
              </w:rPr>
            </w:pPr>
            <w:bookmarkStart w:id="245" w:name="0.028"/>
            <w:bookmarkEnd w:id="245"/>
            <w:r>
              <w:rPr>
                <w:rFonts w:ascii="Times New Roman"/>
                <w:sz w:val="21"/>
              </w:rPr>
              <w:t>0.028</w:t>
            </w:r>
          </w:p>
        </w:tc>
        <w:tc>
          <w:tcPr>
            <w:tcW w:w="1357" w:type="dxa"/>
          </w:tcPr>
          <w:p>
            <w:pPr>
              <w:pStyle w:val="14"/>
              <w:spacing w:before="38"/>
              <w:ind w:left="421" w:right="413"/>
              <w:rPr>
                <w:rFonts w:ascii="Times New Roman"/>
                <w:sz w:val="21"/>
              </w:rPr>
            </w:pPr>
            <w:bookmarkStart w:id="246" w:name="0.061"/>
            <w:bookmarkEnd w:id="246"/>
            <w:r>
              <w:rPr>
                <w:rFonts w:ascii="Times New Roman"/>
                <w:sz w:val="21"/>
              </w:rPr>
              <w:t>0.061</w:t>
            </w:r>
          </w:p>
        </w:tc>
        <w:tc>
          <w:tcPr>
            <w:tcW w:w="1313" w:type="dxa"/>
          </w:tcPr>
          <w:p>
            <w:pPr>
              <w:pStyle w:val="14"/>
              <w:spacing w:before="38"/>
              <w:ind w:right="408"/>
              <w:jc w:val="right"/>
              <w:rPr>
                <w:rFonts w:ascii="Times New Roman"/>
                <w:sz w:val="21"/>
              </w:rPr>
            </w:pPr>
            <w:bookmarkStart w:id="247" w:name="0.040"/>
            <w:bookmarkEnd w:id="247"/>
            <w:r>
              <w:rPr>
                <w:rFonts w:ascii="Times New Roman"/>
                <w:w w:val="95"/>
                <w:sz w:val="21"/>
              </w:rPr>
              <w:t>0.040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47" w:type="dxa"/>
          </w:tcPr>
          <w:p>
            <w:pPr>
              <w:pStyle w:val="14"/>
              <w:spacing w:before="21"/>
              <w:ind w:left="196" w:right="191"/>
              <w:rPr>
                <w:sz w:val="21"/>
              </w:rPr>
            </w:pPr>
            <w:r>
              <w:rPr>
                <w:sz w:val="21"/>
              </w:rPr>
              <w:t>硝酸盐</w:t>
            </w:r>
          </w:p>
        </w:tc>
        <w:tc>
          <w:tcPr>
            <w:tcW w:w="1370" w:type="dxa"/>
          </w:tcPr>
          <w:p>
            <w:pPr>
              <w:pStyle w:val="14"/>
              <w:spacing w:before="37"/>
              <w:ind w:left="122" w:right="111"/>
              <w:rPr>
                <w:rFonts w:ascii="Times New Roman"/>
                <w:sz w:val="21"/>
              </w:rPr>
            </w:pPr>
            <w:bookmarkStart w:id="248" w:name="7.0"/>
            <w:bookmarkEnd w:id="248"/>
            <w:r>
              <w:rPr>
                <w:rFonts w:ascii="Times New Roman"/>
                <w:sz w:val="21"/>
              </w:rPr>
              <w:t>7.0</w:t>
            </w:r>
          </w:p>
        </w:tc>
        <w:tc>
          <w:tcPr>
            <w:tcW w:w="1484" w:type="dxa"/>
          </w:tcPr>
          <w:p>
            <w:pPr>
              <w:pStyle w:val="14"/>
              <w:spacing w:before="37"/>
              <w:ind w:left="419" w:right="411"/>
              <w:rPr>
                <w:rFonts w:ascii="Times New Roman"/>
                <w:sz w:val="21"/>
              </w:rPr>
            </w:pPr>
            <w:bookmarkStart w:id="249" w:name="7.9"/>
            <w:bookmarkEnd w:id="249"/>
            <w:r>
              <w:rPr>
                <w:rFonts w:ascii="Times New Roman"/>
                <w:sz w:val="21"/>
              </w:rPr>
              <w:t>7.9</w:t>
            </w:r>
          </w:p>
        </w:tc>
        <w:tc>
          <w:tcPr>
            <w:tcW w:w="1347" w:type="dxa"/>
          </w:tcPr>
          <w:p>
            <w:pPr>
              <w:pStyle w:val="14"/>
              <w:spacing w:before="37"/>
              <w:ind w:left="416" w:right="407"/>
              <w:rPr>
                <w:rFonts w:ascii="Times New Roman"/>
                <w:sz w:val="21"/>
              </w:rPr>
            </w:pPr>
            <w:bookmarkStart w:id="250" w:name="9.8"/>
            <w:bookmarkEnd w:id="250"/>
            <w:r>
              <w:rPr>
                <w:rFonts w:ascii="Times New Roman"/>
                <w:sz w:val="21"/>
              </w:rPr>
              <w:t>9.8</w:t>
            </w:r>
          </w:p>
        </w:tc>
        <w:tc>
          <w:tcPr>
            <w:tcW w:w="1357" w:type="dxa"/>
          </w:tcPr>
          <w:p>
            <w:pPr>
              <w:pStyle w:val="14"/>
              <w:spacing w:before="37"/>
              <w:ind w:left="421" w:right="412"/>
              <w:rPr>
                <w:rFonts w:ascii="Times New Roman"/>
                <w:sz w:val="21"/>
              </w:rPr>
            </w:pPr>
            <w:bookmarkStart w:id="251" w:name="0.2L"/>
            <w:bookmarkEnd w:id="251"/>
            <w:r>
              <w:rPr>
                <w:rFonts w:ascii="Times New Roman"/>
                <w:sz w:val="21"/>
              </w:rPr>
              <w:t>0.2L</w:t>
            </w:r>
          </w:p>
        </w:tc>
        <w:tc>
          <w:tcPr>
            <w:tcW w:w="1313" w:type="dxa"/>
          </w:tcPr>
          <w:p>
            <w:pPr>
              <w:pStyle w:val="14"/>
              <w:spacing w:before="37"/>
              <w:ind w:left="282" w:right="271"/>
              <w:rPr>
                <w:rFonts w:ascii="Times New Roman"/>
                <w:sz w:val="21"/>
              </w:rPr>
            </w:pPr>
            <w:bookmarkStart w:id="252" w:name="0.2L"/>
            <w:bookmarkEnd w:id="252"/>
            <w:r>
              <w:rPr>
                <w:rFonts w:ascii="Times New Roman"/>
                <w:sz w:val="21"/>
              </w:rPr>
              <w:t>0.2L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47" w:type="dxa"/>
          </w:tcPr>
          <w:p>
            <w:pPr>
              <w:pStyle w:val="14"/>
              <w:spacing w:before="21"/>
              <w:ind w:left="198" w:right="191"/>
              <w:rPr>
                <w:sz w:val="21"/>
              </w:rPr>
            </w:pPr>
            <w:r>
              <w:rPr>
                <w:sz w:val="21"/>
              </w:rPr>
              <w:t>亚硝酸盐</w:t>
            </w:r>
          </w:p>
        </w:tc>
        <w:tc>
          <w:tcPr>
            <w:tcW w:w="1370" w:type="dxa"/>
          </w:tcPr>
          <w:p>
            <w:pPr>
              <w:pStyle w:val="14"/>
              <w:spacing w:before="37"/>
              <w:ind w:right="435"/>
              <w:jc w:val="right"/>
              <w:rPr>
                <w:rFonts w:ascii="Times New Roman"/>
                <w:sz w:val="21"/>
              </w:rPr>
            </w:pPr>
            <w:bookmarkStart w:id="253" w:name="0.005"/>
            <w:bookmarkEnd w:id="253"/>
            <w:r>
              <w:rPr>
                <w:rFonts w:ascii="Times New Roman"/>
                <w:sz w:val="21"/>
              </w:rPr>
              <w:t>0.005</w:t>
            </w:r>
          </w:p>
        </w:tc>
        <w:tc>
          <w:tcPr>
            <w:tcW w:w="1484" w:type="dxa"/>
          </w:tcPr>
          <w:p>
            <w:pPr>
              <w:pStyle w:val="14"/>
              <w:spacing w:before="37"/>
              <w:ind w:left="421" w:right="411"/>
              <w:rPr>
                <w:rFonts w:ascii="Times New Roman"/>
                <w:sz w:val="21"/>
              </w:rPr>
            </w:pPr>
            <w:bookmarkStart w:id="254" w:name="0.003L"/>
            <w:bookmarkEnd w:id="254"/>
            <w:r>
              <w:rPr>
                <w:rFonts w:ascii="Times New Roman"/>
                <w:sz w:val="21"/>
              </w:rPr>
              <w:t>0.003L</w:t>
            </w:r>
          </w:p>
        </w:tc>
        <w:tc>
          <w:tcPr>
            <w:tcW w:w="1347" w:type="dxa"/>
          </w:tcPr>
          <w:p>
            <w:pPr>
              <w:pStyle w:val="14"/>
              <w:spacing w:before="37"/>
              <w:ind w:left="416" w:right="407"/>
              <w:rPr>
                <w:rFonts w:ascii="Times New Roman"/>
                <w:sz w:val="21"/>
              </w:rPr>
            </w:pPr>
            <w:bookmarkStart w:id="255" w:name="0.026"/>
            <w:bookmarkEnd w:id="255"/>
            <w:r>
              <w:rPr>
                <w:rFonts w:ascii="Times New Roman"/>
                <w:sz w:val="21"/>
              </w:rPr>
              <w:t>0.026</w:t>
            </w:r>
          </w:p>
        </w:tc>
        <w:tc>
          <w:tcPr>
            <w:tcW w:w="1357" w:type="dxa"/>
          </w:tcPr>
          <w:p>
            <w:pPr>
              <w:pStyle w:val="14"/>
              <w:spacing w:before="37"/>
              <w:ind w:left="421" w:right="413"/>
              <w:rPr>
                <w:rFonts w:ascii="Times New Roman"/>
                <w:sz w:val="21"/>
              </w:rPr>
            </w:pPr>
            <w:bookmarkStart w:id="256" w:name="0.004"/>
            <w:bookmarkEnd w:id="256"/>
            <w:r>
              <w:rPr>
                <w:rFonts w:ascii="Times New Roman"/>
                <w:sz w:val="21"/>
              </w:rPr>
              <w:t>0.004</w:t>
            </w:r>
          </w:p>
        </w:tc>
        <w:tc>
          <w:tcPr>
            <w:tcW w:w="1313" w:type="dxa"/>
          </w:tcPr>
          <w:p>
            <w:pPr>
              <w:pStyle w:val="14"/>
              <w:spacing w:before="37"/>
              <w:ind w:right="344"/>
              <w:jc w:val="right"/>
              <w:rPr>
                <w:rFonts w:ascii="Times New Roman"/>
                <w:sz w:val="21"/>
              </w:rPr>
            </w:pPr>
            <w:bookmarkStart w:id="257" w:name="0.003L"/>
            <w:bookmarkEnd w:id="257"/>
            <w:r>
              <w:rPr>
                <w:rFonts w:ascii="Times New Roman"/>
                <w:w w:val="95"/>
                <w:sz w:val="21"/>
              </w:rPr>
              <w:t>0.003L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47" w:type="dxa"/>
          </w:tcPr>
          <w:p>
            <w:pPr>
              <w:pStyle w:val="14"/>
              <w:spacing w:before="20"/>
              <w:ind w:left="196" w:right="191"/>
              <w:rPr>
                <w:sz w:val="21"/>
              </w:rPr>
            </w:pPr>
            <w:r>
              <w:rPr>
                <w:sz w:val="21"/>
              </w:rPr>
              <w:t>总硬度</w:t>
            </w:r>
          </w:p>
        </w:tc>
        <w:tc>
          <w:tcPr>
            <w:tcW w:w="1370" w:type="dxa"/>
          </w:tcPr>
          <w:p>
            <w:pPr>
              <w:pStyle w:val="14"/>
              <w:spacing w:before="39"/>
              <w:ind w:left="117" w:right="111"/>
              <w:rPr>
                <w:rFonts w:ascii="Times New Roman"/>
                <w:sz w:val="21"/>
              </w:rPr>
            </w:pPr>
            <w:bookmarkStart w:id="258" w:name="226"/>
            <w:bookmarkEnd w:id="258"/>
            <w:r>
              <w:rPr>
                <w:rFonts w:ascii="Times New Roman"/>
                <w:sz w:val="21"/>
              </w:rPr>
              <w:t>226</w:t>
            </w:r>
          </w:p>
        </w:tc>
        <w:tc>
          <w:tcPr>
            <w:tcW w:w="1484" w:type="dxa"/>
          </w:tcPr>
          <w:p>
            <w:pPr>
              <w:pStyle w:val="14"/>
              <w:spacing w:before="39"/>
              <w:ind w:left="419" w:right="411"/>
              <w:rPr>
                <w:rFonts w:ascii="Times New Roman"/>
                <w:sz w:val="21"/>
              </w:rPr>
            </w:pPr>
            <w:bookmarkStart w:id="259" w:name="124"/>
            <w:bookmarkEnd w:id="259"/>
            <w:r>
              <w:rPr>
                <w:rFonts w:ascii="Times New Roman"/>
                <w:sz w:val="21"/>
              </w:rPr>
              <w:t>124</w:t>
            </w:r>
          </w:p>
        </w:tc>
        <w:tc>
          <w:tcPr>
            <w:tcW w:w="1347" w:type="dxa"/>
          </w:tcPr>
          <w:p>
            <w:pPr>
              <w:pStyle w:val="14"/>
              <w:spacing w:before="39"/>
              <w:ind w:left="416" w:right="407"/>
              <w:rPr>
                <w:rFonts w:ascii="Times New Roman"/>
                <w:sz w:val="21"/>
              </w:rPr>
            </w:pPr>
            <w:bookmarkStart w:id="260" w:name="233"/>
            <w:bookmarkEnd w:id="260"/>
            <w:r>
              <w:rPr>
                <w:rFonts w:ascii="Times New Roman"/>
                <w:sz w:val="21"/>
              </w:rPr>
              <w:t>233</w:t>
            </w:r>
          </w:p>
        </w:tc>
        <w:tc>
          <w:tcPr>
            <w:tcW w:w="1357" w:type="dxa"/>
          </w:tcPr>
          <w:p>
            <w:pPr>
              <w:pStyle w:val="14"/>
              <w:spacing w:before="39"/>
              <w:ind w:left="421" w:right="413"/>
              <w:rPr>
                <w:rFonts w:ascii="Times New Roman"/>
                <w:sz w:val="21"/>
              </w:rPr>
            </w:pPr>
            <w:bookmarkStart w:id="261" w:name="458"/>
            <w:bookmarkEnd w:id="261"/>
            <w:r>
              <w:rPr>
                <w:rFonts w:ascii="Times New Roman"/>
                <w:sz w:val="21"/>
              </w:rPr>
              <w:t>458</w:t>
            </w:r>
          </w:p>
        </w:tc>
        <w:tc>
          <w:tcPr>
            <w:tcW w:w="1313" w:type="dxa"/>
          </w:tcPr>
          <w:p>
            <w:pPr>
              <w:pStyle w:val="14"/>
              <w:spacing w:before="39"/>
              <w:ind w:left="282" w:right="271"/>
              <w:rPr>
                <w:rFonts w:ascii="Times New Roman"/>
                <w:sz w:val="21"/>
              </w:rPr>
            </w:pPr>
            <w:bookmarkStart w:id="262" w:name="445"/>
            <w:bookmarkEnd w:id="262"/>
            <w:r>
              <w:rPr>
                <w:rFonts w:ascii="Times New Roman"/>
                <w:sz w:val="21"/>
              </w:rPr>
              <w:t>445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47" w:type="dxa"/>
          </w:tcPr>
          <w:p>
            <w:pPr>
              <w:pStyle w:val="14"/>
              <w:spacing w:before="20"/>
              <w:ind w:left="196" w:right="191"/>
              <w:rPr>
                <w:sz w:val="21"/>
              </w:rPr>
            </w:pPr>
            <w:r>
              <w:rPr>
                <w:sz w:val="21"/>
              </w:rPr>
              <w:t>高锰酸盐指数</w:t>
            </w:r>
          </w:p>
        </w:tc>
        <w:tc>
          <w:tcPr>
            <w:tcW w:w="1370" w:type="dxa"/>
          </w:tcPr>
          <w:p>
            <w:pPr>
              <w:pStyle w:val="14"/>
              <w:spacing w:before="38"/>
              <w:ind w:left="122" w:right="111"/>
              <w:rPr>
                <w:rFonts w:ascii="Times New Roman"/>
                <w:sz w:val="21"/>
              </w:rPr>
            </w:pPr>
            <w:bookmarkStart w:id="263" w:name="1.8"/>
            <w:bookmarkEnd w:id="263"/>
            <w:r>
              <w:rPr>
                <w:rFonts w:ascii="Times New Roman"/>
                <w:sz w:val="21"/>
              </w:rPr>
              <w:t>1.8</w:t>
            </w:r>
          </w:p>
        </w:tc>
        <w:tc>
          <w:tcPr>
            <w:tcW w:w="1484" w:type="dxa"/>
          </w:tcPr>
          <w:p>
            <w:pPr>
              <w:pStyle w:val="14"/>
              <w:spacing w:before="38"/>
              <w:ind w:left="419" w:right="411"/>
              <w:rPr>
                <w:rFonts w:ascii="Times New Roman"/>
                <w:sz w:val="21"/>
              </w:rPr>
            </w:pPr>
            <w:bookmarkStart w:id="264" w:name="1.4"/>
            <w:bookmarkEnd w:id="264"/>
            <w:r>
              <w:rPr>
                <w:rFonts w:ascii="Times New Roman"/>
                <w:sz w:val="21"/>
              </w:rPr>
              <w:t>1.4</w:t>
            </w:r>
          </w:p>
        </w:tc>
        <w:tc>
          <w:tcPr>
            <w:tcW w:w="1347" w:type="dxa"/>
          </w:tcPr>
          <w:p>
            <w:pPr>
              <w:pStyle w:val="14"/>
              <w:spacing w:before="38"/>
              <w:ind w:left="416" w:right="407"/>
              <w:rPr>
                <w:rFonts w:ascii="Times New Roman"/>
                <w:sz w:val="21"/>
              </w:rPr>
            </w:pPr>
            <w:bookmarkStart w:id="265" w:name="1.0"/>
            <w:bookmarkEnd w:id="265"/>
            <w:r>
              <w:rPr>
                <w:rFonts w:ascii="Times New Roman"/>
                <w:sz w:val="21"/>
              </w:rPr>
              <w:t>1.0</w:t>
            </w:r>
          </w:p>
        </w:tc>
        <w:tc>
          <w:tcPr>
            <w:tcW w:w="1357" w:type="dxa"/>
          </w:tcPr>
          <w:p>
            <w:pPr>
              <w:pStyle w:val="14"/>
              <w:spacing w:before="38"/>
              <w:ind w:left="421" w:right="413"/>
              <w:rPr>
                <w:rFonts w:ascii="Times New Roman"/>
                <w:sz w:val="21"/>
              </w:rPr>
            </w:pPr>
            <w:bookmarkStart w:id="266" w:name="0.7"/>
            <w:bookmarkEnd w:id="266"/>
            <w:r>
              <w:rPr>
                <w:rFonts w:ascii="Times New Roman"/>
                <w:sz w:val="21"/>
              </w:rPr>
              <w:t>0.7</w:t>
            </w:r>
          </w:p>
        </w:tc>
        <w:tc>
          <w:tcPr>
            <w:tcW w:w="1313" w:type="dxa"/>
          </w:tcPr>
          <w:p>
            <w:pPr>
              <w:pStyle w:val="14"/>
              <w:spacing w:before="38"/>
              <w:ind w:left="281" w:right="274"/>
              <w:rPr>
                <w:rFonts w:ascii="Times New Roman"/>
                <w:sz w:val="21"/>
              </w:rPr>
            </w:pPr>
            <w:bookmarkStart w:id="267" w:name="1.7"/>
            <w:bookmarkEnd w:id="267"/>
            <w:r>
              <w:rPr>
                <w:rFonts w:ascii="Times New Roman"/>
                <w:sz w:val="21"/>
              </w:rPr>
              <w:t>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47" w:type="dxa"/>
          </w:tcPr>
          <w:p>
            <w:pPr>
              <w:pStyle w:val="14"/>
              <w:spacing w:before="22"/>
              <w:ind w:left="196" w:right="191"/>
              <w:rPr>
                <w:sz w:val="21"/>
              </w:rPr>
            </w:pPr>
            <w:r>
              <w:rPr>
                <w:sz w:val="21"/>
              </w:rPr>
              <w:t>溶解性总固体</w:t>
            </w:r>
          </w:p>
        </w:tc>
        <w:tc>
          <w:tcPr>
            <w:tcW w:w="1370" w:type="dxa"/>
          </w:tcPr>
          <w:p>
            <w:pPr>
              <w:pStyle w:val="14"/>
              <w:spacing w:before="38"/>
              <w:ind w:left="117" w:right="111"/>
              <w:rPr>
                <w:rFonts w:ascii="Times New Roman"/>
                <w:sz w:val="21"/>
              </w:rPr>
            </w:pPr>
            <w:bookmarkStart w:id="268" w:name="333"/>
            <w:bookmarkEnd w:id="268"/>
            <w:r>
              <w:rPr>
                <w:rFonts w:ascii="Times New Roman"/>
                <w:sz w:val="21"/>
              </w:rPr>
              <w:t>333</w:t>
            </w:r>
          </w:p>
        </w:tc>
        <w:tc>
          <w:tcPr>
            <w:tcW w:w="1484" w:type="dxa"/>
          </w:tcPr>
          <w:p>
            <w:pPr>
              <w:pStyle w:val="14"/>
              <w:spacing w:before="38"/>
              <w:ind w:left="419" w:right="411"/>
              <w:rPr>
                <w:rFonts w:ascii="Times New Roman"/>
                <w:sz w:val="21"/>
              </w:rPr>
            </w:pPr>
            <w:bookmarkStart w:id="269" w:name="294"/>
            <w:bookmarkEnd w:id="269"/>
            <w:r>
              <w:rPr>
                <w:rFonts w:ascii="Times New Roman"/>
                <w:sz w:val="21"/>
              </w:rPr>
              <w:t>294</w:t>
            </w:r>
          </w:p>
        </w:tc>
        <w:tc>
          <w:tcPr>
            <w:tcW w:w="1347" w:type="dxa"/>
          </w:tcPr>
          <w:p>
            <w:pPr>
              <w:pStyle w:val="14"/>
              <w:spacing w:before="38"/>
              <w:ind w:left="416" w:right="407"/>
              <w:rPr>
                <w:rFonts w:ascii="Times New Roman"/>
                <w:sz w:val="21"/>
              </w:rPr>
            </w:pPr>
            <w:bookmarkStart w:id="270" w:name="465"/>
            <w:bookmarkEnd w:id="270"/>
            <w:r>
              <w:rPr>
                <w:rFonts w:ascii="Times New Roman"/>
                <w:sz w:val="21"/>
              </w:rPr>
              <w:t>465</w:t>
            </w:r>
          </w:p>
        </w:tc>
        <w:tc>
          <w:tcPr>
            <w:tcW w:w="1357" w:type="dxa"/>
          </w:tcPr>
          <w:p>
            <w:pPr>
              <w:pStyle w:val="14"/>
              <w:spacing w:before="38"/>
              <w:ind w:left="421" w:right="413"/>
              <w:rPr>
                <w:rFonts w:ascii="Times New Roman"/>
                <w:sz w:val="21"/>
              </w:rPr>
            </w:pPr>
            <w:bookmarkStart w:id="271" w:name="542"/>
            <w:bookmarkEnd w:id="271"/>
            <w:r>
              <w:rPr>
                <w:rFonts w:ascii="Times New Roman"/>
                <w:sz w:val="21"/>
              </w:rPr>
              <w:t>542</w:t>
            </w:r>
          </w:p>
        </w:tc>
        <w:tc>
          <w:tcPr>
            <w:tcW w:w="1313" w:type="dxa"/>
          </w:tcPr>
          <w:p>
            <w:pPr>
              <w:pStyle w:val="14"/>
              <w:spacing w:before="38"/>
              <w:ind w:left="282" w:right="271"/>
              <w:rPr>
                <w:rFonts w:ascii="Times New Roman"/>
                <w:sz w:val="21"/>
              </w:rPr>
            </w:pPr>
            <w:bookmarkStart w:id="272" w:name="527"/>
            <w:bookmarkEnd w:id="272"/>
            <w:r>
              <w:rPr>
                <w:rFonts w:ascii="Times New Roman"/>
                <w:sz w:val="21"/>
              </w:rPr>
              <w:t>527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747" w:type="dxa"/>
          </w:tcPr>
          <w:p>
            <w:pPr>
              <w:pStyle w:val="14"/>
              <w:spacing w:before="21" w:line="268" w:lineRule="exact"/>
              <w:ind w:left="7"/>
              <w:rPr>
                <w:sz w:val="21"/>
              </w:rPr>
            </w:pPr>
            <w:r>
              <w:rPr>
                <w:w w:val="99"/>
                <w:sz w:val="21"/>
              </w:rPr>
              <w:t>铁</w:t>
            </w:r>
          </w:p>
        </w:tc>
        <w:tc>
          <w:tcPr>
            <w:tcW w:w="1370" w:type="dxa"/>
          </w:tcPr>
          <w:p>
            <w:pPr>
              <w:pStyle w:val="14"/>
              <w:spacing w:before="38"/>
              <w:ind w:right="423"/>
              <w:jc w:val="right"/>
              <w:rPr>
                <w:rFonts w:ascii="Times New Roman"/>
                <w:sz w:val="21"/>
              </w:rPr>
            </w:pPr>
            <w:bookmarkStart w:id="273" w:name="0.03L"/>
            <w:bookmarkEnd w:id="273"/>
            <w:r>
              <w:rPr>
                <w:rFonts w:ascii="Times New Roman"/>
                <w:sz w:val="21"/>
              </w:rPr>
              <w:t>0.03L</w:t>
            </w:r>
          </w:p>
        </w:tc>
        <w:tc>
          <w:tcPr>
            <w:tcW w:w="1484" w:type="dxa"/>
          </w:tcPr>
          <w:p>
            <w:pPr>
              <w:pStyle w:val="14"/>
              <w:spacing w:before="38"/>
              <w:ind w:left="421" w:right="411"/>
              <w:rPr>
                <w:rFonts w:ascii="Times New Roman"/>
                <w:sz w:val="21"/>
              </w:rPr>
            </w:pPr>
            <w:bookmarkStart w:id="274" w:name="0.03L"/>
            <w:bookmarkEnd w:id="274"/>
            <w:r>
              <w:rPr>
                <w:rFonts w:ascii="Times New Roman"/>
                <w:sz w:val="21"/>
              </w:rPr>
              <w:t>0.03L</w:t>
            </w:r>
          </w:p>
        </w:tc>
        <w:tc>
          <w:tcPr>
            <w:tcW w:w="1347" w:type="dxa"/>
          </w:tcPr>
          <w:p>
            <w:pPr>
              <w:pStyle w:val="14"/>
              <w:spacing w:before="38"/>
              <w:ind w:left="416" w:right="407"/>
              <w:rPr>
                <w:rFonts w:ascii="Times New Roman"/>
                <w:sz w:val="21"/>
              </w:rPr>
            </w:pPr>
            <w:bookmarkStart w:id="275" w:name="0.04"/>
            <w:bookmarkEnd w:id="275"/>
            <w:r>
              <w:rPr>
                <w:rFonts w:ascii="Times New Roman"/>
                <w:sz w:val="21"/>
              </w:rPr>
              <w:t>0.04</w:t>
            </w:r>
          </w:p>
        </w:tc>
        <w:tc>
          <w:tcPr>
            <w:tcW w:w="1357" w:type="dxa"/>
          </w:tcPr>
          <w:p>
            <w:pPr>
              <w:pStyle w:val="14"/>
              <w:spacing w:before="38"/>
              <w:ind w:left="421" w:right="411"/>
              <w:rPr>
                <w:rFonts w:ascii="Times New Roman"/>
                <w:sz w:val="21"/>
              </w:rPr>
            </w:pPr>
            <w:bookmarkStart w:id="276" w:name="0.04"/>
            <w:bookmarkEnd w:id="276"/>
            <w:r>
              <w:rPr>
                <w:rFonts w:ascii="Times New Roman"/>
                <w:sz w:val="21"/>
              </w:rPr>
              <w:t>0.04</w:t>
            </w:r>
          </w:p>
        </w:tc>
        <w:tc>
          <w:tcPr>
            <w:tcW w:w="1313" w:type="dxa"/>
          </w:tcPr>
          <w:p>
            <w:pPr>
              <w:pStyle w:val="14"/>
              <w:spacing w:before="38"/>
              <w:ind w:right="395"/>
              <w:jc w:val="right"/>
              <w:rPr>
                <w:rFonts w:ascii="Times New Roman"/>
                <w:sz w:val="21"/>
              </w:rPr>
            </w:pPr>
            <w:bookmarkStart w:id="277" w:name="0.03L"/>
            <w:bookmarkEnd w:id="277"/>
            <w:r>
              <w:rPr>
                <w:rFonts w:ascii="Times New Roman"/>
                <w:sz w:val="21"/>
              </w:rPr>
              <w:t>0.03L</w:t>
            </w:r>
          </w:p>
        </w:tc>
      </w:tr>
    </w:tbl>
    <w:p>
      <w:pPr>
        <w:spacing w:after="0"/>
        <w:jc w:val="right"/>
        <w:rPr>
          <w:rFonts w:ascii="Times New Roman"/>
          <w:sz w:val="21"/>
        </w:rPr>
        <w:sectPr>
          <w:pgSz w:w="11910" w:h="16840"/>
          <w:pgMar w:top="1360" w:right="780" w:bottom="1180" w:left="1200" w:header="0" w:footer="997" w:gutter="0"/>
        </w:sectPr>
      </w:pPr>
    </w:p>
    <w:tbl>
      <w:tblPr>
        <w:tblStyle w:val="10"/>
        <w:tblW w:w="0" w:type="auto"/>
        <w:tblInd w:w="4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47"/>
        <w:gridCol w:w="1370"/>
        <w:gridCol w:w="1484"/>
        <w:gridCol w:w="1347"/>
        <w:gridCol w:w="1357"/>
        <w:gridCol w:w="13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47" w:type="dxa"/>
          </w:tcPr>
          <w:p>
            <w:pPr>
              <w:pStyle w:val="14"/>
              <w:spacing w:before="21"/>
              <w:ind w:left="7"/>
              <w:rPr>
                <w:sz w:val="21"/>
              </w:rPr>
            </w:pPr>
            <w:r>
              <w:rPr>
                <w:w w:val="99"/>
                <w:sz w:val="21"/>
              </w:rPr>
              <w:t>锰</w:t>
            </w:r>
          </w:p>
        </w:tc>
        <w:tc>
          <w:tcPr>
            <w:tcW w:w="1370" w:type="dxa"/>
          </w:tcPr>
          <w:p>
            <w:pPr>
              <w:pStyle w:val="14"/>
              <w:spacing w:before="37"/>
              <w:ind w:left="121" w:right="111"/>
              <w:rPr>
                <w:rFonts w:ascii="Times New Roman"/>
                <w:sz w:val="21"/>
              </w:rPr>
            </w:pPr>
            <w:bookmarkStart w:id="278" w:name="0.01L"/>
            <w:bookmarkEnd w:id="278"/>
            <w:r>
              <w:rPr>
                <w:rFonts w:ascii="Times New Roman"/>
                <w:sz w:val="21"/>
              </w:rPr>
              <w:t>0.01L</w:t>
            </w:r>
          </w:p>
        </w:tc>
        <w:tc>
          <w:tcPr>
            <w:tcW w:w="1484" w:type="dxa"/>
          </w:tcPr>
          <w:p>
            <w:pPr>
              <w:pStyle w:val="14"/>
              <w:spacing w:before="37"/>
              <w:ind w:left="419" w:right="411"/>
              <w:rPr>
                <w:rFonts w:ascii="Times New Roman"/>
                <w:sz w:val="21"/>
              </w:rPr>
            </w:pPr>
            <w:bookmarkStart w:id="279" w:name="0.01"/>
            <w:bookmarkEnd w:id="279"/>
            <w:r>
              <w:rPr>
                <w:rFonts w:ascii="Times New Roman"/>
                <w:sz w:val="21"/>
              </w:rPr>
              <w:t>0.01</w:t>
            </w:r>
          </w:p>
        </w:tc>
        <w:tc>
          <w:tcPr>
            <w:tcW w:w="1347" w:type="dxa"/>
          </w:tcPr>
          <w:p>
            <w:pPr>
              <w:pStyle w:val="14"/>
              <w:spacing w:before="37"/>
              <w:ind w:left="416" w:right="407"/>
              <w:rPr>
                <w:rFonts w:ascii="Times New Roman"/>
                <w:sz w:val="21"/>
              </w:rPr>
            </w:pPr>
            <w:bookmarkStart w:id="280" w:name="0.01"/>
            <w:bookmarkEnd w:id="280"/>
            <w:r>
              <w:rPr>
                <w:rFonts w:ascii="Times New Roman"/>
                <w:sz w:val="21"/>
              </w:rPr>
              <w:t>0.01</w:t>
            </w:r>
          </w:p>
        </w:tc>
        <w:tc>
          <w:tcPr>
            <w:tcW w:w="1357" w:type="dxa"/>
          </w:tcPr>
          <w:p>
            <w:pPr>
              <w:pStyle w:val="14"/>
              <w:spacing w:before="37"/>
              <w:ind w:left="421" w:right="411"/>
              <w:rPr>
                <w:rFonts w:ascii="Times New Roman"/>
                <w:sz w:val="21"/>
              </w:rPr>
            </w:pPr>
            <w:bookmarkStart w:id="281" w:name="0.22"/>
            <w:bookmarkEnd w:id="281"/>
            <w:r>
              <w:rPr>
                <w:rFonts w:ascii="Times New Roman"/>
                <w:sz w:val="21"/>
              </w:rPr>
              <w:t>0.22</w:t>
            </w:r>
          </w:p>
        </w:tc>
        <w:tc>
          <w:tcPr>
            <w:tcW w:w="1313" w:type="dxa"/>
          </w:tcPr>
          <w:p>
            <w:pPr>
              <w:pStyle w:val="14"/>
              <w:spacing w:before="37"/>
              <w:ind w:left="282" w:right="271"/>
              <w:rPr>
                <w:rFonts w:ascii="Times New Roman"/>
                <w:sz w:val="21"/>
              </w:rPr>
            </w:pPr>
            <w:bookmarkStart w:id="282" w:name="0.01"/>
            <w:bookmarkEnd w:id="282"/>
            <w:r>
              <w:rPr>
                <w:rFonts w:ascii="Times New Roman"/>
                <w:sz w:val="21"/>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47" w:type="dxa"/>
          </w:tcPr>
          <w:p>
            <w:pPr>
              <w:pStyle w:val="14"/>
              <w:spacing w:before="20"/>
              <w:ind w:left="198" w:right="188"/>
              <w:rPr>
                <w:sz w:val="21"/>
              </w:rPr>
            </w:pPr>
            <w:r>
              <w:rPr>
                <w:sz w:val="21"/>
              </w:rPr>
              <w:t>铅（</w:t>
            </w:r>
            <w:r>
              <w:rPr>
                <w:rFonts w:ascii="Times New Roman" w:hAnsi="Times New Roman" w:eastAsia="Times New Roman"/>
                <w:sz w:val="21"/>
              </w:rPr>
              <w:t>μg/L</w:t>
            </w:r>
            <w:r>
              <w:rPr>
                <w:sz w:val="21"/>
              </w:rPr>
              <w:t>）</w:t>
            </w:r>
          </w:p>
        </w:tc>
        <w:tc>
          <w:tcPr>
            <w:tcW w:w="1370" w:type="dxa"/>
          </w:tcPr>
          <w:p>
            <w:pPr>
              <w:pStyle w:val="14"/>
              <w:spacing w:before="37"/>
              <w:ind w:left="121" w:right="111"/>
              <w:rPr>
                <w:rFonts w:ascii="Times New Roman"/>
                <w:sz w:val="21"/>
              </w:rPr>
            </w:pPr>
            <w:bookmarkStart w:id="283" w:name="2.5L"/>
            <w:bookmarkEnd w:id="283"/>
            <w:r>
              <w:rPr>
                <w:rFonts w:ascii="Times New Roman"/>
                <w:sz w:val="21"/>
              </w:rPr>
              <w:t>2.5L</w:t>
            </w:r>
          </w:p>
        </w:tc>
        <w:tc>
          <w:tcPr>
            <w:tcW w:w="1484" w:type="dxa"/>
          </w:tcPr>
          <w:p>
            <w:pPr>
              <w:pStyle w:val="14"/>
              <w:spacing w:before="37"/>
              <w:ind w:left="421" w:right="409"/>
              <w:rPr>
                <w:rFonts w:ascii="Times New Roman"/>
                <w:sz w:val="21"/>
              </w:rPr>
            </w:pPr>
            <w:bookmarkStart w:id="284" w:name="2.5L"/>
            <w:bookmarkEnd w:id="284"/>
            <w:r>
              <w:rPr>
                <w:rFonts w:ascii="Times New Roman"/>
                <w:sz w:val="21"/>
              </w:rPr>
              <w:t>2.5L</w:t>
            </w:r>
          </w:p>
        </w:tc>
        <w:tc>
          <w:tcPr>
            <w:tcW w:w="1347" w:type="dxa"/>
          </w:tcPr>
          <w:p>
            <w:pPr>
              <w:pStyle w:val="14"/>
              <w:spacing w:before="37"/>
              <w:ind w:left="416" w:right="407"/>
              <w:rPr>
                <w:rFonts w:ascii="Times New Roman"/>
                <w:sz w:val="21"/>
              </w:rPr>
            </w:pPr>
            <w:bookmarkStart w:id="285" w:name="2.5L"/>
            <w:bookmarkEnd w:id="285"/>
            <w:r>
              <w:rPr>
                <w:rFonts w:ascii="Times New Roman"/>
                <w:sz w:val="21"/>
              </w:rPr>
              <w:t>2.5L</w:t>
            </w:r>
          </w:p>
        </w:tc>
        <w:tc>
          <w:tcPr>
            <w:tcW w:w="1357" w:type="dxa"/>
          </w:tcPr>
          <w:p>
            <w:pPr>
              <w:pStyle w:val="14"/>
              <w:spacing w:before="37"/>
              <w:ind w:left="421" w:right="412"/>
              <w:rPr>
                <w:rFonts w:ascii="Times New Roman"/>
                <w:sz w:val="21"/>
              </w:rPr>
            </w:pPr>
            <w:bookmarkStart w:id="286" w:name="2.5L"/>
            <w:bookmarkEnd w:id="286"/>
            <w:r>
              <w:rPr>
                <w:rFonts w:ascii="Times New Roman"/>
                <w:sz w:val="21"/>
              </w:rPr>
              <w:t>2.5L</w:t>
            </w:r>
          </w:p>
        </w:tc>
        <w:tc>
          <w:tcPr>
            <w:tcW w:w="1313" w:type="dxa"/>
          </w:tcPr>
          <w:p>
            <w:pPr>
              <w:pStyle w:val="14"/>
              <w:spacing w:before="37"/>
              <w:ind w:left="282" w:right="271"/>
              <w:rPr>
                <w:rFonts w:ascii="Times New Roman"/>
                <w:sz w:val="21"/>
              </w:rPr>
            </w:pPr>
            <w:bookmarkStart w:id="287" w:name="2.5L"/>
            <w:bookmarkEnd w:id="287"/>
            <w:r>
              <w:rPr>
                <w:rFonts w:ascii="Times New Roman"/>
                <w:sz w:val="21"/>
              </w:rPr>
              <w:t>2.5L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47" w:type="dxa"/>
          </w:tcPr>
          <w:p>
            <w:pPr>
              <w:pStyle w:val="14"/>
              <w:spacing w:before="20"/>
              <w:ind w:left="196" w:right="191"/>
              <w:rPr>
                <w:sz w:val="21"/>
              </w:rPr>
            </w:pPr>
            <w:r>
              <w:rPr>
                <w:sz w:val="21"/>
              </w:rPr>
              <w:t>六价铬</w:t>
            </w:r>
          </w:p>
        </w:tc>
        <w:tc>
          <w:tcPr>
            <w:tcW w:w="1370" w:type="dxa"/>
          </w:tcPr>
          <w:p>
            <w:pPr>
              <w:pStyle w:val="14"/>
              <w:spacing w:before="39"/>
              <w:ind w:left="119" w:right="111"/>
              <w:rPr>
                <w:rFonts w:ascii="Times New Roman"/>
                <w:sz w:val="21"/>
              </w:rPr>
            </w:pPr>
            <w:bookmarkStart w:id="288" w:name="0.004L"/>
            <w:bookmarkEnd w:id="288"/>
            <w:r>
              <w:rPr>
                <w:rFonts w:ascii="Times New Roman"/>
                <w:sz w:val="21"/>
              </w:rPr>
              <w:t>0.004L</w:t>
            </w:r>
          </w:p>
        </w:tc>
        <w:tc>
          <w:tcPr>
            <w:tcW w:w="1484" w:type="dxa"/>
          </w:tcPr>
          <w:p>
            <w:pPr>
              <w:pStyle w:val="14"/>
              <w:spacing w:before="39"/>
              <w:ind w:right="429"/>
              <w:jc w:val="right"/>
              <w:rPr>
                <w:rFonts w:ascii="Times New Roman"/>
                <w:sz w:val="21"/>
              </w:rPr>
            </w:pPr>
            <w:bookmarkStart w:id="289" w:name="0.004L"/>
            <w:bookmarkEnd w:id="289"/>
            <w:r>
              <w:rPr>
                <w:rFonts w:ascii="Times New Roman"/>
                <w:w w:val="95"/>
                <w:sz w:val="21"/>
              </w:rPr>
              <w:t>0.004L</w:t>
            </w:r>
          </w:p>
        </w:tc>
        <w:tc>
          <w:tcPr>
            <w:tcW w:w="1347" w:type="dxa"/>
          </w:tcPr>
          <w:p>
            <w:pPr>
              <w:pStyle w:val="14"/>
              <w:spacing w:before="39"/>
              <w:ind w:right="362"/>
              <w:jc w:val="right"/>
              <w:rPr>
                <w:rFonts w:ascii="Times New Roman"/>
                <w:sz w:val="21"/>
              </w:rPr>
            </w:pPr>
            <w:bookmarkStart w:id="290" w:name="0.004L"/>
            <w:bookmarkEnd w:id="290"/>
            <w:r>
              <w:rPr>
                <w:rFonts w:ascii="Times New Roman"/>
                <w:w w:val="95"/>
                <w:sz w:val="21"/>
              </w:rPr>
              <w:t>0.004L</w:t>
            </w:r>
          </w:p>
        </w:tc>
        <w:tc>
          <w:tcPr>
            <w:tcW w:w="1357" w:type="dxa"/>
          </w:tcPr>
          <w:p>
            <w:pPr>
              <w:pStyle w:val="14"/>
              <w:spacing w:before="39"/>
              <w:ind w:right="366"/>
              <w:jc w:val="right"/>
              <w:rPr>
                <w:rFonts w:ascii="Times New Roman"/>
                <w:sz w:val="21"/>
              </w:rPr>
            </w:pPr>
            <w:bookmarkStart w:id="291" w:name="0.004L"/>
            <w:bookmarkEnd w:id="291"/>
            <w:r>
              <w:rPr>
                <w:rFonts w:ascii="Times New Roman"/>
                <w:w w:val="95"/>
                <w:sz w:val="21"/>
              </w:rPr>
              <w:t>0.004L</w:t>
            </w:r>
          </w:p>
        </w:tc>
        <w:tc>
          <w:tcPr>
            <w:tcW w:w="1313" w:type="dxa"/>
          </w:tcPr>
          <w:p>
            <w:pPr>
              <w:pStyle w:val="14"/>
              <w:spacing w:before="39"/>
              <w:ind w:left="282" w:right="274"/>
              <w:rPr>
                <w:rFonts w:ascii="Times New Roman"/>
                <w:sz w:val="21"/>
              </w:rPr>
            </w:pPr>
            <w:bookmarkStart w:id="292" w:name="0.004L"/>
            <w:bookmarkEnd w:id="292"/>
            <w:r>
              <w:rPr>
                <w:rFonts w:ascii="Times New Roman"/>
                <w:sz w:val="21"/>
              </w:rPr>
              <w:t>0.004L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47" w:type="dxa"/>
          </w:tcPr>
          <w:p>
            <w:pPr>
              <w:pStyle w:val="14"/>
              <w:spacing w:before="20"/>
              <w:ind w:left="196" w:right="191"/>
              <w:rPr>
                <w:sz w:val="21"/>
              </w:rPr>
            </w:pPr>
            <w:r>
              <w:rPr>
                <w:sz w:val="21"/>
              </w:rPr>
              <w:t>氯化物</w:t>
            </w:r>
          </w:p>
        </w:tc>
        <w:tc>
          <w:tcPr>
            <w:tcW w:w="1370" w:type="dxa"/>
          </w:tcPr>
          <w:p>
            <w:pPr>
              <w:pStyle w:val="14"/>
              <w:spacing w:before="38"/>
              <w:ind w:left="122" w:right="111"/>
              <w:rPr>
                <w:rFonts w:ascii="Times New Roman"/>
                <w:sz w:val="21"/>
              </w:rPr>
            </w:pPr>
            <w:bookmarkStart w:id="293" w:name="12"/>
            <w:bookmarkEnd w:id="293"/>
            <w:r>
              <w:rPr>
                <w:rFonts w:ascii="Times New Roman"/>
                <w:sz w:val="21"/>
              </w:rPr>
              <w:t>12</w:t>
            </w:r>
          </w:p>
        </w:tc>
        <w:tc>
          <w:tcPr>
            <w:tcW w:w="1484" w:type="dxa"/>
          </w:tcPr>
          <w:p>
            <w:pPr>
              <w:pStyle w:val="14"/>
              <w:spacing w:before="38"/>
              <w:ind w:left="421" w:right="408"/>
              <w:rPr>
                <w:rFonts w:ascii="Times New Roman"/>
                <w:sz w:val="21"/>
              </w:rPr>
            </w:pPr>
            <w:bookmarkStart w:id="294" w:name="11"/>
            <w:bookmarkEnd w:id="294"/>
            <w:r>
              <w:rPr>
                <w:rFonts w:ascii="Times New Roman"/>
                <w:sz w:val="21"/>
              </w:rPr>
              <w:t>11</w:t>
            </w:r>
          </w:p>
        </w:tc>
        <w:tc>
          <w:tcPr>
            <w:tcW w:w="1347" w:type="dxa"/>
          </w:tcPr>
          <w:p>
            <w:pPr>
              <w:pStyle w:val="14"/>
              <w:spacing w:before="38"/>
              <w:ind w:left="416" w:right="407"/>
              <w:rPr>
                <w:rFonts w:ascii="Times New Roman"/>
                <w:sz w:val="21"/>
              </w:rPr>
            </w:pPr>
            <w:bookmarkStart w:id="295" w:name="31"/>
            <w:bookmarkEnd w:id="295"/>
            <w:r>
              <w:rPr>
                <w:rFonts w:ascii="Times New Roman"/>
                <w:sz w:val="21"/>
              </w:rPr>
              <w:t>31</w:t>
            </w:r>
          </w:p>
        </w:tc>
        <w:tc>
          <w:tcPr>
            <w:tcW w:w="1357" w:type="dxa"/>
          </w:tcPr>
          <w:p>
            <w:pPr>
              <w:pStyle w:val="14"/>
              <w:spacing w:before="38"/>
              <w:ind w:left="421" w:right="413"/>
              <w:rPr>
                <w:rFonts w:ascii="Times New Roman"/>
                <w:sz w:val="21"/>
              </w:rPr>
            </w:pPr>
            <w:bookmarkStart w:id="296" w:name="12"/>
            <w:bookmarkEnd w:id="296"/>
            <w:r>
              <w:rPr>
                <w:rFonts w:ascii="Times New Roman"/>
                <w:sz w:val="21"/>
              </w:rPr>
              <w:t>12</w:t>
            </w:r>
          </w:p>
        </w:tc>
        <w:tc>
          <w:tcPr>
            <w:tcW w:w="1313" w:type="dxa"/>
          </w:tcPr>
          <w:p>
            <w:pPr>
              <w:pStyle w:val="14"/>
              <w:spacing w:before="38"/>
              <w:ind w:left="7"/>
              <w:rPr>
                <w:rFonts w:ascii="Times New Roman"/>
                <w:sz w:val="21"/>
              </w:rPr>
            </w:pPr>
            <w:bookmarkStart w:id="297" w:name="3"/>
            <w:bookmarkEnd w:id="297"/>
            <w:r>
              <w:rPr>
                <w:rFonts w:ascii="Times New Roman"/>
                <w:w w:val="99"/>
                <w:sz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47" w:type="dxa"/>
          </w:tcPr>
          <w:p>
            <w:pPr>
              <w:pStyle w:val="14"/>
              <w:spacing w:before="22"/>
              <w:ind w:left="196" w:right="191"/>
              <w:rPr>
                <w:sz w:val="21"/>
              </w:rPr>
            </w:pPr>
            <w:r>
              <w:rPr>
                <w:sz w:val="21"/>
              </w:rPr>
              <w:t>硫酸盐</w:t>
            </w:r>
          </w:p>
        </w:tc>
        <w:tc>
          <w:tcPr>
            <w:tcW w:w="1370" w:type="dxa"/>
          </w:tcPr>
          <w:p>
            <w:pPr>
              <w:pStyle w:val="14"/>
              <w:spacing w:before="38"/>
              <w:ind w:left="122" w:right="111"/>
              <w:rPr>
                <w:rFonts w:ascii="Times New Roman"/>
                <w:sz w:val="21"/>
              </w:rPr>
            </w:pPr>
            <w:bookmarkStart w:id="298" w:name="10"/>
            <w:bookmarkEnd w:id="298"/>
            <w:r>
              <w:rPr>
                <w:rFonts w:ascii="Times New Roman"/>
                <w:sz w:val="21"/>
              </w:rPr>
              <w:t>10</w:t>
            </w:r>
          </w:p>
        </w:tc>
        <w:tc>
          <w:tcPr>
            <w:tcW w:w="1484" w:type="dxa"/>
          </w:tcPr>
          <w:p>
            <w:pPr>
              <w:pStyle w:val="14"/>
              <w:spacing w:before="38"/>
              <w:ind w:left="419" w:right="411"/>
              <w:rPr>
                <w:rFonts w:ascii="Times New Roman"/>
                <w:sz w:val="21"/>
              </w:rPr>
            </w:pPr>
            <w:bookmarkStart w:id="299" w:name="16"/>
            <w:bookmarkEnd w:id="299"/>
            <w:r>
              <w:rPr>
                <w:rFonts w:ascii="Times New Roman"/>
                <w:sz w:val="21"/>
              </w:rPr>
              <w:t>16</w:t>
            </w:r>
          </w:p>
        </w:tc>
        <w:tc>
          <w:tcPr>
            <w:tcW w:w="1347" w:type="dxa"/>
          </w:tcPr>
          <w:p>
            <w:pPr>
              <w:pStyle w:val="14"/>
              <w:spacing w:before="38"/>
              <w:ind w:left="416" w:right="407"/>
              <w:rPr>
                <w:rFonts w:ascii="Times New Roman"/>
                <w:sz w:val="21"/>
              </w:rPr>
            </w:pPr>
            <w:bookmarkStart w:id="300" w:name="55"/>
            <w:bookmarkEnd w:id="300"/>
            <w:r>
              <w:rPr>
                <w:rFonts w:ascii="Times New Roman"/>
                <w:sz w:val="21"/>
              </w:rPr>
              <w:t>55</w:t>
            </w:r>
          </w:p>
        </w:tc>
        <w:tc>
          <w:tcPr>
            <w:tcW w:w="1357" w:type="dxa"/>
          </w:tcPr>
          <w:p>
            <w:pPr>
              <w:pStyle w:val="14"/>
              <w:spacing w:before="38"/>
              <w:ind w:left="421" w:right="413"/>
              <w:rPr>
                <w:rFonts w:ascii="Times New Roman"/>
                <w:sz w:val="21"/>
              </w:rPr>
            </w:pPr>
            <w:bookmarkStart w:id="301" w:name="31"/>
            <w:bookmarkEnd w:id="301"/>
            <w:r>
              <w:rPr>
                <w:rFonts w:ascii="Times New Roman"/>
                <w:sz w:val="21"/>
              </w:rPr>
              <w:t>31</w:t>
            </w:r>
          </w:p>
        </w:tc>
        <w:tc>
          <w:tcPr>
            <w:tcW w:w="1313" w:type="dxa"/>
          </w:tcPr>
          <w:p>
            <w:pPr>
              <w:pStyle w:val="14"/>
              <w:spacing w:before="38"/>
              <w:ind w:left="7"/>
              <w:rPr>
                <w:rFonts w:ascii="Times New Roman"/>
                <w:sz w:val="21"/>
              </w:rPr>
            </w:pPr>
            <w:bookmarkStart w:id="302" w:name="9"/>
            <w:bookmarkEnd w:id="302"/>
            <w:r>
              <w:rPr>
                <w:rFonts w:ascii="Times New Roman"/>
                <w:w w:val="99"/>
                <w:sz w:val="21"/>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7" w:hRule="atLeast"/>
        </w:trPr>
        <w:tc>
          <w:tcPr>
            <w:tcW w:w="1747" w:type="dxa"/>
          </w:tcPr>
          <w:p>
            <w:pPr>
              <w:pStyle w:val="14"/>
              <w:spacing w:before="84"/>
              <w:ind w:left="198" w:right="191"/>
              <w:rPr>
                <w:sz w:val="21"/>
              </w:rPr>
            </w:pPr>
            <w:r>
              <w:rPr>
                <w:sz w:val="21"/>
              </w:rPr>
              <w:t>细菌总数</w:t>
            </w:r>
          </w:p>
          <w:p>
            <w:pPr>
              <w:pStyle w:val="14"/>
              <w:spacing w:before="43"/>
              <w:ind w:left="198" w:right="188"/>
              <w:rPr>
                <w:sz w:val="21"/>
              </w:rPr>
            </w:pPr>
            <w:r>
              <w:rPr>
                <w:sz w:val="21"/>
              </w:rPr>
              <w:t>（</w:t>
            </w:r>
            <w:r>
              <w:rPr>
                <w:rFonts w:ascii="Times New Roman" w:eastAsia="Times New Roman"/>
                <w:sz w:val="21"/>
              </w:rPr>
              <w:t>CFU/mL</w:t>
            </w:r>
            <w:r>
              <w:rPr>
                <w:sz w:val="21"/>
              </w:rPr>
              <w:t>）</w:t>
            </w:r>
          </w:p>
        </w:tc>
        <w:tc>
          <w:tcPr>
            <w:tcW w:w="1370" w:type="dxa"/>
          </w:tcPr>
          <w:p>
            <w:pPr>
              <w:pStyle w:val="14"/>
              <w:jc w:val="left"/>
              <w:rPr>
                <w:b/>
                <w:sz w:val="20"/>
              </w:rPr>
            </w:pPr>
          </w:p>
          <w:p>
            <w:pPr>
              <w:pStyle w:val="14"/>
              <w:ind w:left="122" w:right="111"/>
              <w:rPr>
                <w:rFonts w:ascii="Times New Roman"/>
                <w:sz w:val="21"/>
              </w:rPr>
            </w:pPr>
            <w:bookmarkStart w:id="303" w:name="13"/>
            <w:bookmarkEnd w:id="303"/>
            <w:r>
              <w:rPr>
                <w:rFonts w:ascii="Times New Roman"/>
                <w:sz w:val="21"/>
              </w:rPr>
              <w:t>13</w:t>
            </w:r>
          </w:p>
        </w:tc>
        <w:tc>
          <w:tcPr>
            <w:tcW w:w="1484" w:type="dxa"/>
          </w:tcPr>
          <w:p>
            <w:pPr>
              <w:pStyle w:val="14"/>
              <w:jc w:val="left"/>
              <w:rPr>
                <w:b/>
                <w:sz w:val="20"/>
              </w:rPr>
            </w:pPr>
          </w:p>
          <w:p>
            <w:pPr>
              <w:pStyle w:val="14"/>
              <w:ind w:left="419" w:right="411"/>
              <w:rPr>
                <w:rFonts w:ascii="Times New Roman"/>
                <w:sz w:val="21"/>
              </w:rPr>
            </w:pPr>
            <w:bookmarkStart w:id="304" w:name="14"/>
            <w:bookmarkEnd w:id="304"/>
            <w:r>
              <w:rPr>
                <w:rFonts w:ascii="Times New Roman"/>
                <w:sz w:val="21"/>
              </w:rPr>
              <w:t>14</w:t>
            </w:r>
          </w:p>
        </w:tc>
        <w:tc>
          <w:tcPr>
            <w:tcW w:w="1347" w:type="dxa"/>
          </w:tcPr>
          <w:p>
            <w:pPr>
              <w:pStyle w:val="14"/>
              <w:jc w:val="left"/>
              <w:rPr>
                <w:b/>
                <w:sz w:val="20"/>
              </w:rPr>
            </w:pPr>
          </w:p>
          <w:p>
            <w:pPr>
              <w:pStyle w:val="14"/>
              <w:ind w:left="416" w:right="407"/>
              <w:rPr>
                <w:rFonts w:ascii="Times New Roman"/>
                <w:sz w:val="21"/>
              </w:rPr>
            </w:pPr>
            <w:bookmarkStart w:id="305" w:name="15"/>
            <w:bookmarkEnd w:id="305"/>
            <w:r>
              <w:rPr>
                <w:rFonts w:ascii="Times New Roman"/>
                <w:sz w:val="21"/>
              </w:rPr>
              <w:t>15</w:t>
            </w:r>
          </w:p>
        </w:tc>
        <w:tc>
          <w:tcPr>
            <w:tcW w:w="1357" w:type="dxa"/>
          </w:tcPr>
          <w:p>
            <w:pPr>
              <w:pStyle w:val="14"/>
              <w:jc w:val="left"/>
              <w:rPr>
                <w:b/>
                <w:sz w:val="20"/>
              </w:rPr>
            </w:pPr>
          </w:p>
          <w:p>
            <w:pPr>
              <w:pStyle w:val="14"/>
              <w:ind w:left="421" w:right="413"/>
              <w:rPr>
                <w:rFonts w:ascii="Times New Roman"/>
                <w:sz w:val="21"/>
              </w:rPr>
            </w:pPr>
            <w:bookmarkStart w:id="306" w:name="15"/>
            <w:bookmarkEnd w:id="306"/>
            <w:r>
              <w:rPr>
                <w:rFonts w:ascii="Times New Roman"/>
                <w:sz w:val="21"/>
              </w:rPr>
              <w:t>15</w:t>
            </w:r>
          </w:p>
        </w:tc>
        <w:tc>
          <w:tcPr>
            <w:tcW w:w="1313" w:type="dxa"/>
          </w:tcPr>
          <w:p>
            <w:pPr>
              <w:pStyle w:val="14"/>
              <w:jc w:val="left"/>
              <w:rPr>
                <w:b/>
                <w:sz w:val="20"/>
              </w:rPr>
            </w:pPr>
          </w:p>
          <w:p>
            <w:pPr>
              <w:pStyle w:val="14"/>
              <w:ind w:left="282" w:right="271"/>
              <w:rPr>
                <w:rFonts w:ascii="Times New Roman"/>
                <w:sz w:val="21"/>
              </w:rPr>
            </w:pPr>
            <w:bookmarkStart w:id="307" w:name="11"/>
            <w:bookmarkEnd w:id="307"/>
            <w:r>
              <w:rPr>
                <w:rFonts w:ascii="Times New Roman"/>
                <w:sz w:val="21"/>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747" w:type="dxa"/>
          </w:tcPr>
          <w:p>
            <w:pPr>
              <w:pStyle w:val="14"/>
              <w:spacing w:before="22"/>
              <w:ind w:left="347"/>
              <w:jc w:val="left"/>
              <w:rPr>
                <w:sz w:val="21"/>
              </w:rPr>
            </w:pPr>
            <w:r>
              <w:rPr>
                <w:w w:val="95"/>
                <w:sz w:val="21"/>
              </w:rPr>
              <w:t>总大肠菌群</w:t>
            </w:r>
          </w:p>
          <w:p>
            <w:pPr>
              <w:pStyle w:val="14"/>
              <w:spacing w:before="43"/>
              <w:ind w:left="342"/>
              <w:jc w:val="left"/>
              <w:rPr>
                <w:sz w:val="21"/>
              </w:rPr>
            </w:pPr>
            <w:r>
              <w:rPr>
                <w:sz w:val="21"/>
              </w:rPr>
              <w:t>（</w:t>
            </w:r>
            <w:r>
              <w:rPr>
                <w:rFonts w:ascii="Times New Roman" w:eastAsia="Times New Roman"/>
                <w:sz w:val="21"/>
              </w:rPr>
              <w:t>MPN/L</w:t>
            </w:r>
            <w:r>
              <w:rPr>
                <w:sz w:val="21"/>
              </w:rPr>
              <w:t>）</w:t>
            </w:r>
          </w:p>
        </w:tc>
        <w:tc>
          <w:tcPr>
            <w:tcW w:w="1370" w:type="dxa"/>
          </w:tcPr>
          <w:p>
            <w:pPr>
              <w:pStyle w:val="14"/>
              <w:spacing w:before="194"/>
              <w:ind w:left="121" w:right="111"/>
              <w:rPr>
                <w:rFonts w:ascii="Times New Roman"/>
                <w:sz w:val="21"/>
              </w:rPr>
            </w:pPr>
            <w:bookmarkStart w:id="308" w:name="20L"/>
            <w:bookmarkEnd w:id="308"/>
            <w:r>
              <w:rPr>
                <w:rFonts w:ascii="Times New Roman"/>
                <w:sz w:val="21"/>
              </w:rPr>
              <w:t>20L</w:t>
            </w:r>
          </w:p>
        </w:tc>
        <w:tc>
          <w:tcPr>
            <w:tcW w:w="1484" w:type="dxa"/>
          </w:tcPr>
          <w:p>
            <w:pPr>
              <w:pStyle w:val="14"/>
              <w:spacing w:before="194"/>
              <w:ind w:left="419" w:right="411"/>
              <w:rPr>
                <w:rFonts w:ascii="Times New Roman"/>
                <w:sz w:val="21"/>
              </w:rPr>
            </w:pPr>
            <w:bookmarkStart w:id="309" w:name="20L"/>
            <w:bookmarkEnd w:id="309"/>
            <w:r>
              <w:rPr>
                <w:rFonts w:ascii="Times New Roman"/>
                <w:sz w:val="21"/>
              </w:rPr>
              <w:t>20L</w:t>
            </w:r>
          </w:p>
        </w:tc>
        <w:tc>
          <w:tcPr>
            <w:tcW w:w="1347" w:type="dxa"/>
          </w:tcPr>
          <w:p>
            <w:pPr>
              <w:pStyle w:val="14"/>
              <w:spacing w:before="194"/>
              <w:ind w:left="416" w:right="407"/>
              <w:rPr>
                <w:rFonts w:ascii="Times New Roman"/>
                <w:sz w:val="21"/>
              </w:rPr>
            </w:pPr>
            <w:bookmarkStart w:id="310" w:name="20L"/>
            <w:bookmarkEnd w:id="310"/>
            <w:r>
              <w:rPr>
                <w:rFonts w:ascii="Times New Roman"/>
                <w:sz w:val="21"/>
              </w:rPr>
              <w:t>20L</w:t>
            </w:r>
          </w:p>
        </w:tc>
        <w:tc>
          <w:tcPr>
            <w:tcW w:w="1357" w:type="dxa"/>
          </w:tcPr>
          <w:p>
            <w:pPr>
              <w:pStyle w:val="14"/>
              <w:spacing w:before="194"/>
              <w:ind w:left="420" w:right="413"/>
              <w:rPr>
                <w:rFonts w:ascii="Times New Roman"/>
                <w:sz w:val="21"/>
              </w:rPr>
            </w:pPr>
            <w:bookmarkStart w:id="311" w:name="20L"/>
            <w:bookmarkEnd w:id="311"/>
            <w:r>
              <w:rPr>
                <w:rFonts w:ascii="Times New Roman"/>
                <w:sz w:val="21"/>
              </w:rPr>
              <w:t>20L</w:t>
            </w:r>
          </w:p>
        </w:tc>
        <w:tc>
          <w:tcPr>
            <w:tcW w:w="1313" w:type="dxa"/>
          </w:tcPr>
          <w:p>
            <w:pPr>
              <w:pStyle w:val="14"/>
              <w:spacing w:before="194"/>
              <w:ind w:left="282" w:right="271"/>
              <w:rPr>
                <w:rFonts w:ascii="Times New Roman"/>
                <w:sz w:val="21"/>
              </w:rPr>
            </w:pPr>
            <w:bookmarkStart w:id="312" w:name="20L"/>
            <w:bookmarkEnd w:id="312"/>
            <w:r>
              <w:rPr>
                <w:rFonts w:ascii="Times New Roman"/>
                <w:sz w:val="21"/>
              </w:rPr>
              <w:t>20L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47" w:type="dxa"/>
          </w:tcPr>
          <w:p>
            <w:pPr>
              <w:pStyle w:val="14"/>
              <w:spacing w:before="21"/>
              <w:ind w:left="198" w:right="191"/>
              <w:rPr>
                <w:sz w:val="21"/>
              </w:rPr>
            </w:pPr>
            <w:r>
              <w:rPr>
                <w:sz w:val="21"/>
              </w:rPr>
              <w:t>挥发性酚类</w:t>
            </w:r>
          </w:p>
        </w:tc>
        <w:tc>
          <w:tcPr>
            <w:tcW w:w="1370" w:type="dxa"/>
          </w:tcPr>
          <w:p>
            <w:pPr>
              <w:pStyle w:val="14"/>
              <w:spacing w:before="38"/>
              <w:ind w:left="119" w:right="111"/>
              <w:rPr>
                <w:rFonts w:ascii="Times New Roman"/>
                <w:sz w:val="21"/>
              </w:rPr>
            </w:pPr>
            <w:bookmarkStart w:id="313" w:name="0.0003L"/>
            <w:bookmarkEnd w:id="313"/>
            <w:r>
              <w:rPr>
                <w:rFonts w:ascii="Times New Roman"/>
                <w:sz w:val="21"/>
              </w:rPr>
              <w:t>0.0003L</w:t>
            </w:r>
          </w:p>
        </w:tc>
        <w:tc>
          <w:tcPr>
            <w:tcW w:w="1484" w:type="dxa"/>
          </w:tcPr>
          <w:p>
            <w:pPr>
              <w:pStyle w:val="14"/>
              <w:spacing w:before="38"/>
              <w:ind w:right="376"/>
              <w:jc w:val="right"/>
              <w:rPr>
                <w:rFonts w:ascii="Times New Roman"/>
                <w:sz w:val="21"/>
              </w:rPr>
            </w:pPr>
            <w:bookmarkStart w:id="314" w:name="0.0003L"/>
            <w:bookmarkEnd w:id="314"/>
            <w:r>
              <w:rPr>
                <w:rFonts w:ascii="Times New Roman"/>
                <w:w w:val="95"/>
                <w:sz w:val="21"/>
              </w:rPr>
              <w:t>0.0003L</w:t>
            </w:r>
          </w:p>
        </w:tc>
        <w:tc>
          <w:tcPr>
            <w:tcW w:w="1347" w:type="dxa"/>
          </w:tcPr>
          <w:p>
            <w:pPr>
              <w:pStyle w:val="14"/>
              <w:spacing w:before="38"/>
              <w:ind w:right="307"/>
              <w:jc w:val="right"/>
              <w:rPr>
                <w:rFonts w:ascii="Times New Roman"/>
                <w:sz w:val="21"/>
              </w:rPr>
            </w:pPr>
            <w:bookmarkStart w:id="315" w:name="0.0003L"/>
            <w:bookmarkEnd w:id="315"/>
            <w:r>
              <w:rPr>
                <w:rFonts w:ascii="Times New Roman"/>
                <w:w w:val="95"/>
                <w:sz w:val="21"/>
              </w:rPr>
              <w:t>0.0003L</w:t>
            </w:r>
          </w:p>
        </w:tc>
        <w:tc>
          <w:tcPr>
            <w:tcW w:w="1357" w:type="dxa"/>
          </w:tcPr>
          <w:p>
            <w:pPr>
              <w:pStyle w:val="14"/>
              <w:spacing w:before="38"/>
              <w:ind w:right="313"/>
              <w:jc w:val="right"/>
              <w:rPr>
                <w:rFonts w:ascii="Times New Roman"/>
                <w:sz w:val="21"/>
              </w:rPr>
            </w:pPr>
            <w:bookmarkStart w:id="316" w:name="0.0003L"/>
            <w:bookmarkEnd w:id="316"/>
            <w:r>
              <w:rPr>
                <w:rFonts w:ascii="Times New Roman"/>
                <w:w w:val="95"/>
                <w:sz w:val="21"/>
              </w:rPr>
              <w:t>0.0003L</w:t>
            </w:r>
          </w:p>
        </w:tc>
        <w:tc>
          <w:tcPr>
            <w:tcW w:w="1313" w:type="dxa"/>
          </w:tcPr>
          <w:p>
            <w:pPr>
              <w:pStyle w:val="14"/>
              <w:spacing w:before="38"/>
              <w:ind w:left="282" w:right="274"/>
              <w:rPr>
                <w:rFonts w:ascii="Times New Roman"/>
                <w:sz w:val="21"/>
              </w:rPr>
            </w:pPr>
            <w:bookmarkStart w:id="317" w:name="0.0003L"/>
            <w:bookmarkEnd w:id="317"/>
            <w:r>
              <w:rPr>
                <w:rFonts w:ascii="Times New Roman"/>
                <w:sz w:val="21"/>
              </w:rPr>
              <w:t>0.0003L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47" w:type="dxa"/>
          </w:tcPr>
          <w:p>
            <w:pPr>
              <w:pStyle w:val="14"/>
              <w:spacing w:before="21"/>
              <w:ind w:left="196" w:right="191"/>
              <w:rPr>
                <w:sz w:val="21"/>
              </w:rPr>
            </w:pPr>
            <w:r>
              <w:rPr>
                <w:sz w:val="21"/>
              </w:rPr>
              <w:t>氰化物</w:t>
            </w:r>
          </w:p>
        </w:tc>
        <w:tc>
          <w:tcPr>
            <w:tcW w:w="1370" w:type="dxa"/>
          </w:tcPr>
          <w:p>
            <w:pPr>
              <w:pStyle w:val="14"/>
              <w:spacing w:before="37"/>
              <w:ind w:left="119" w:right="111"/>
              <w:rPr>
                <w:rFonts w:ascii="Times New Roman"/>
                <w:sz w:val="21"/>
              </w:rPr>
            </w:pPr>
            <w:bookmarkStart w:id="318" w:name="0.002L"/>
            <w:bookmarkEnd w:id="318"/>
            <w:r>
              <w:rPr>
                <w:rFonts w:ascii="Times New Roman"/>
                <w:sz w:val="21"/>
              </w:rPr>
              <w:t>0.002L</w:t>
            </w:r>
          </w:p>
        </w:tc>
        <w:tc>
          <w:tcPr>
            <w:tcW w:w="1484" w:type="dxa"/>
          </w:tcPr>
          <w:p>
            <w:pPr>
              <w:pStyle w:val="14"/>
              <w:spacing w:before="37"/>
              <w:ind w:right="429"/>
              <w:jc w:val="right"/>
              <w:rPr>
                <w:rFonts w:ascii="Times New Roman"/>
                <w:sz w:val="21"/>
              </w:rPr>
            </w:pPr>
            <w:bookmarkStart w:id="319" w:name="0.002L"/>
            <w:bookmarkEnd w:id="319"/>
            <w:r>
              <w:rPr>
                <w:rFonts w:ascii="Times New Roman"/>
                <w:w w:val="95"/>
                <w:sz w:val="21"/>
              </w:rPr>
              <w:t>0.002L</w:t>
            </w:r>
          </w:p>
        </w:tc>
        <w:tc>
          <w:tcPr>
            <w:tcW w:w="1347" w:type="dxa"/>
          </w:tcPr>
          <w:p>
            <w:pPr>
              <w:pStyle w:val="14"/>
              <w:spacing w:before="37"/>
              <w:ind w:right="362"/>
              <w:jc w:val="right"/>
              <w:rPr>
                <w:rFonts w:ascii="Times New Roman"/>
                <w:sz w:val="21"/>
              </w:rPr>
            </w:pPr>
            <w:bookmarkStart w:id="320" w:name="0.002L"/>
            <w:bookmarkEnd w:id="320"/>
            <w:r>
              <w:rPr>
                <w:rFonts w:ascii="Times New Roman"/>
                <w:w w:val="95"/>
                <w:sz w:val="21"/>
              </w:rPr>
              <w:t>0.002L</w:t>
            </w:r>
          </w:p>
        </w:tc>
        <w:tc>
          <w:tcPr>
            <w:tcW w:w="1357" w:type="dxa"/>
          </w:tcPr>
          <w:p>
            <w:pPr>
              <w:pStyle w:val="14"/>
              <w:spacing w:before="37"/>
              <w:ind w:right="366"/>
              <w:jc w:val="right"/>
              <w:rPr>
                <w:rFonts w:ascii="Times New Roman"/>
                <w:sz w:val="21"/>
              </w:rPr>
            </w:pPr>
            <w:bookmarkStart w:id="321" w:name="0.002L"/>
            <w:bookmarkEnd w:id="321"/>
            <w:r>
              <w:rPr>
                <w:rFonts w:ascii="Times New Roman"/>
                <w:w w:val="95"/>
                <w:sz w:val="21"/>
              </w:rPr>
              <w:t>0.002L</w:t>
            </w:r>
          </w:p>
        </w:tc>
        <w:tc>
          <w:tcPr>
            <w:tcW w:w="1313" w:type="dxa"/>
          </w:tcPr>
          <w:p>
            <w:pPr>
              <w:pStyle w:val="14"/>
              <w:spacing w:before="37"/>
              <w:ind w:left="282" w:right="274"/>
              <w:rPr>
                <w:rFonts w:ascii="Times New Roman"/>
                <w:sz w:val="21"/>
              </w:rPr>
            </w:pPr>
            <w:bookmarkStart w:id="322" w:name="0.002L"/>
            <w:bookmarkEnd w:id="322"/>
            <w:r>
              <w:rPr>
                <w:rFonts w:ascii="Times New Roman"/>
                <w:sz w:val="21"/>
              </w:rPr>
              <w:t>0.002L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47" w:type="dxa"/>
          </w:tcPr>
          <w:p>
            <w:pPr>
              <w:pStyle w:val="14"/>
              <w:spacing w:before="20"/>
              <w:ind w:left="198" w:right="188"/>
              <w:rPr>
                <w:sz w:val="21"/>
              </w:rPr>
            </w:pPr>
            <w:r>
              <w:rPr>
                <w:sz w:val="21"/>
              </w:rPr>
              <w:t>砷（</w:t>
            </w:r>
            <w:r>
              <w:rPr>
                <w:rFonts w:ascii="Times New Roman" w:hAnsi="Times New Roman" w:eastAsia="Times New Roman"/>
                <w:sz w:val="21"/>
              </w:rPr>
              <w:t>μg/L</w:t>
            </w:r>
            <w:r>
              <w:rPr>
                <w:sz w:val="21"/>
              </w:rPr>
              <w:t>）</w:t>
            </w:r>
          </w:p>
        </w:tc>
        <w:tc>
          <w:tcPr>
            <w:tcW w:w="1370" w:type="dxa"/>
          </w:tcPr>
          <w:p>
            <w:pPr>
              <w:pStyle w:val="14"/>
              <w:spacing w:before="37"/>
              <w:ind w:left="121" w:right="111"/>
              <w:rPr>
                <w:rFonts w:ascii="Times New Roman"/>
                <w:sz w:val="21"/>
              </w:rPr>
            </w:pPr>
            <w:bookmarkStart w:id="323" w:name="0.3L"/>
            <w:bookmarkEnd w:id="323"/>
            <w:r>
              <w:rPr>
                <w:rFonts w:ascii="Times New Roman"/>
                <w:sz w:val="21"/>
              </w:rPr>
              <w:t>0.3L</w:t>
            </w:r>
          </w:p>
        </w:tc>
        <w:tc>
          <w:tcPr>
            <w:tcW w:w="1484" w:type="dxa"/>
          </w:tcPr>
          <w:p>
            <w:pPr>
              <w:pStyle w:val="14"/>
              <w:spacing w:before="37"/>
              <w:ind w:left="421" w:right="409"/>
              <w:rPr>
                <w:rFonts w:ascii="Times New Roman"/>
                <w:sz w:val="21"/>
              </w:rPr>
            </w:pPr>
            <w:bookmarkStart w:id="324" w:name="0.3L"/>
            <w:bookmarkEnd w:id="324"/>
            <w:r>
              <w:rPr>
                <w:rFonts w:ascii="Times New Roman"/>
                <w:sz w:val="21"/>
              </w:rPr>
              <w:t>0.3L</w:t>
            </w:r>
          </w:p>
        </w:tc>
        <w:tc>
          <w:tcPr>
            <w:tcW w:w="1347" w:type="dxa"/>
          </w:tcPr>
          <w:p>
            <w:pPr>
              <w:pStyle w:val="14"/>
              <w:spacing w:before="37"/>
              <w:ind w:left="416" w:right="407"/>
              <w:rPr>
                <w:rFonts w:ascii="Times New Roman"/>
                <w:sz w:val="21"/>
              </w:rPr>
            </w:pPr>
            <w:bookmarkStart w:id="325" w:name="0.3L"/>
            <w:bookmarkEnd w:id="325"/>
            <w:r>
              <w:rPr>
                <w:rFonts w:ascii="Times New Roman"/>
                <w:sz w:val="21"/>
              </w:rPr>
              <w:t>0.3L</w:t>
            </w:r>
          </w:p>
        </w:tc>
        <w:tc>
          <w:tcPr>
            <w:tcW w:w="1357" w:type="dxa"/>
          </w:tcPr>
          <w:p>
            <w:pPr>
              <w:pStyle w:val="14"/>
              <w:spacing w:before="37"/>
              <w:ind w:left="421" w:right="412"/>
              <w:rPr>
                <w:rFonts w:ascii="Times New Roman"/>
                <w:sz w:val="21"/>
              </w:rPr>
            </w:pPr>
            <w:bookmarkStart w:id="326" w:name="0.3L"/>
            <w:bookmarkEnd w:id="326"/>
            <w:r>
              <w:rPr>
                <w:rFonts w:ascii="Times New Roman"/>
                <w:sz w:val="21"/>
              </w:rPr>
              <w:t>0.3L</w:t>
            </w:r>
          </w:p>
        </w:tc>
        <w:tc>
          <w:tcPr>
            <w:tcW w:w="1313" w:type="dxa"/>
          </w:tcPr>
          <w:p>
            <w:pPr>
              <w:pStyle w:val="14"/>
              <w:spacing w:before="37"/>
              <w:ind w:left="282" w:right="271"/>
              <w:rPr>
                <w:rFonts w:ascii="Times New Roman"/>
                <w:sz w:val="21"/>
              </w:rPr>
            </w:pPr>
            <w:bookmarkStart w:id="327" w:name="0.3L"/>
            <w:bookmarkEnd w:id="327"/>
            <w:r>
              <w:rPr>
                <w:rFonts w:ascii="Times New Roman"/>
                <w:sz w:val="21"/>
              </w:rPr>
              <w:t>0.3L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47" w:type="dxa"/>
          </w:tcPr>
          <w:p>
            <w:pPr>
              <w:pStyle w:val="14"/>
              <w:spacing w:before="20"/>
              <w:ind w:left="198" w:right="188"/>
              <w:rPr>
                <w:sz w:val="21"/>
              </w:rPr>
            </w:pPr>
            <w:r>
              <w:rPr>
                <w:sz w:val="21"/>
              </w:rPr>
              <w:t>汞（</w:t>
            </w:r>
            <w:r>
              <w:rPr>
                <w:rFonts w:ascii="Times New Roman" w:hAnsi="Times New Roman" w:eastAsia="Times New Roman"/>
                <w:sz w:val="21"/>
              </w:rPr>
              <w:t>μg/L</w:t>
            </w:r>
            <w:r>
              <w:rPr>
                <w:sz w:val="21"/>
              </w:rPr>
              <w:t>）</w:t>
            </w:r>
          </w:p>
        </w:tc>
        <w:tc>
          <w:tcPr>
            <w:tcW w:w="1370" w:type="dxa"/>
          </w:tcPr>
          <w:p>
            <w:pPr>
              <w:pStyle w:val="14"/>
              <w:spacing w:before="39"/>
              <w:ind w:left="121" w:right="111"/>
              <w:rPr>
                <w:rFonts w:ascii="Times New Roman"/>
                <w:sz w:val="21"/>
              </w:rPr>
            </w:pPr>
            <w:bookmarkStart w:id="328" w:name="0.04L"/>
            <w:bookmarkEnd w:id="328"/>
            <w:r>
              <w:rPr>
                <w:rFonts w:ascii="Times New Roman"/>
                <w:sz w:val="21"/>
              </w:rPr>
              <w:t>0.04L</w:t>
            </w:r>
          </w:p>
        </w:tc>
        <w:tc>
          <w:tcPr>
            <w:tcW w:w="1484" w:type="dxa"/>
          </w:tcPr>
          <w:p>
            <w:pPr>
              <w:pStyle w:val="14"/>
              <w:spacing w:before="39"/>
              <w:ind w:left="494"/>
              <w:jc w:val="left"/>
              <w:rPr>
                <w:rFonts w:ascii="Times New Roman"/>
                <w:sz w:val="21"/>
              </w:rPr>
            </w:pPr>
            <w:bookmarkStart w:id="329" w:name="0.04L"/>
            <w:bookmarkEnd w:id="329"/>
            <w:r>
              <w:rPr>
                <w:rFonts w:ascii="Times New Roman"/>
                <w:sz w:val="21"/>
              </w:rPr>
              <w:t>0.04L</w:t>
            </w:r>
          </w:p>
        </w:tc>
        <w:tc>
          <w:tcPr>
            <w:tcW w:w="1347" w:type="dxa"/>
          </w:tcPr>
          <w:p>
            <w:pPr>
              <w:pStyle w:val="14"/>
              <w:spacing w:before="39"/>
              <w:ind w:right="413"/>
              <w:jc w:val="right"/>
              <w:rPr>
                <w:rFonts w:ascii="Times New Roman"/>
                <w:sz w:val="21"/>
              </w:rPr>
            </w:pPr>
            <w:bookmarkStart w:id="330" w:name="0.04L"/>
            <w:bookmarkEnd w:id="330"/>
            <w:r>
              <w:rPr>
                <w:rFonts w:ascii="Times New Roman"/>
                <w:w w:val="95"/>
                <w:sz w:val="21"/>
              </w:rPr>
              <w:t>0.04L</w:t>
            </w:r>
          </w:p>
        </w:tc>
        <w:tc>
          <w:tcPr>
            <w:tcW w:w="1357" w:type="dxa"/>
          </w:tcPr>
          <w:p>
            <w:pPr>
              <w:pStyle w:val="14"/>
              <w:spacing w:before="39"/>
              <w:ind w:right="416"/>
              <w:jc w:val="right"/>
              <w:rPr>
                <w:rFonts w:ascii="Times New Roman"/>
                <w:sz w:val="21"/>
              </w:rPr>
            </w:pPr>
            <w:bookmarkStart w:id="331" w:name="0.04L"/>
            <w:bookmarkEnd w:id="331"/>
            <w:r>
              <w:rPr>
                <w:rFonts w:ascii="Times New Roman"/>
                <w:sz w:val="21"/>
              </w:rPr>
              <w:t>0.04L</w:t>
            </w:r>
          </w:p>
        </w:tc>
        <w:tc>
          <w:tcPr>
            <w:tcW w:w="1313" w:type="dxa"/>
          </w:tcPr>
          <w:p>
            <w:pPr>
              <w:pStyle w:val="14"/>
              <w:spacing w:before="39"/>
              <w:ind w:left="282" w:right="271"/>
              <w:rPr>
                <w:rFonts w:ascii="Times New Roman"/>
                <w:sz w:val="21"/>
              </w:rPr>
            </w:pPr>
            <w:bookmarkStart w:id="332" w:name="0.04L"/>
            <w:bookmarkEnd w:id="332"/>
            <w:r>
              <w:rPr>
                <w:rFonts w:ascii="Times New Roman"/>
                <w:sz w:val="21"/>
              </w:rPr>
              <w:t>0.04L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47" w:type="dxa"/>
          </w:tcPr>
          <w:p>
            <w:pPr>
              <w:pStyle w:val="14"/>
              <w:spacing w:before="20"/>
              <w:ind w:left="196" w:right="191"/>
              <w:rPr>
                <w:sz w:val="21"/>
              </w:rPr>
            </w:pPr>
            <w:r>
              <w:rPr>
                <w:sz w:val="21"/>
              </w:rPr>
              <w:t>氟化物</w:t>
            </w:r>
          </w:p>
        </w:tc>
        <w:tc>
          <w:tcPr>
            <w:tcW w:w="1370" w:type="dxa"/>
          </w:tcPr>
          <w:p>
            <w:pPr>
              <w:pStyle w:val="14"/>
              <w:spacing w:before="38"/>
              <w:ind w:left="122" w:right="111"/>
              <w:rPr>
                <w:rFonts w:ascii="Times New Roman"/>
                <w:sz w:val="21"/>
              </w:rPr>
            </w:pPr>
            <w:bookmarkStart w:id="333" w:name="0.24"/>
            <w:bookmarkEnd w:id="333"/>
            <w:r>
              <w:rPr>
                <w:rFonts w:ascii="Times New Roman"/>
                <w:sz w:val="21"/>
              </w:rPr>
              <w:t>0.24</w:t>
            </w:r>
          </w:p>
        </w:tc>
        <w:tc>
          <w:tcPr>
            <w:tcW w:w="1484" w:type="dxa"/>
          </w:tcPr>
          <w:p>
            <w:pPr>
              <w:pStyle w:val="14"/>
              <w:spacing w:before="38"/>
              <w:ind w:left="419" w:right="411"/>
              <w:rPr>
                <w:rFonts w:ascii="Times New Roman"/>
                <w:sz w:val="21"/>
              </w:rPr>
            </w:pPr>
            <w:bookmarkStart w:id="334" w:name="0.26"/>
            <w:bookmarkEnd w:id="334"/>
            <w:r>
              <w:rPr>
                <w:rFonts w:ascii="Times New Roman"/>
                <w:sz w:val="21"/>
              </w:rPr>
              <w:t>0.26</w:t>
            </w:r>
          </w:p>
        </w:tc>
        <w:tc>
          <w:tcPr>
            <w:tcW w:w="1347" w:type="dxa"/>
          </w:tcPr>
          <w:p>
            <w:pPr>
              <w:pStyle w:val="14"/>
              <w:spacing w:before="38"/>
              <w:ind w:left="416" w:right="407"/>
              <w:rPr>
                <w:rFonts w:ascii="Times New Roman"/>
                <w:sz w:val="21"/>
              </w:rPr>
            </w:pPr>
            <w:bookmarkStart w:id="335" w:name="0.25"/>
            <w:bookmarkEnd w:id="335"/>
            <w:r>
              <w:rPr>
                <w:rFonts w:ascii="Times New Roman"/>
                <w:sz w:val="21"/>
              </w:rPr>
              <w:t>0.25</w:t>
            </w:r>
          </w:p>
        </w:tc>
        <w:tc>
          <w:tcPr>
            <w:tcW w:w="1357" w:type="dxa"/>
          </w:tcPr>
          <w:p>
            <w:pPr>
              <w:pStyle w:val="14"/>
              <w:spacing w:before="38"/>
              <w:ind w:left="421" w:right="411"/>
              <w:rPr>
                <w:rFonts w:ascii="Times New Roman"/>
                <w:sz w:val="21"/>
              </w:rPr>
            </w:pPr>
            <w:bookmarkStart w:id="336" w:name="0.22"/>
            <w:bookmarkEnd w:id="336"/>
            <w:r>
              <w:rPr>
                <w:rFonts w:ascii="Times New Roman"/>
                <w:sz w:val="21"/>
              </w:rPr>
              <w:t>0.22</w:t>
            </w:r>
          </w:p>
        </w:tc>
        <w:tc>
          <w:tcPr>
            <w:tcW w:w="1313" w:type="dxa"/>
          </w:tcPr>
          <w:p>
            <w:pPr>
              <w:pStyle w:val="14"/>
              <w:spacing w:before="38"/>
              <w:ind w:left="282" w:right="271"/>
              <w:rPr>
                <w:rFonts w:ascii="Times New Roman"/>
                <w:sz w:val="21"/>
              </w:rPr>
            </w:pPr>
            <w:bookmarkStart w:id="337" w:name="0.20"/>
            <w:bookmarkEnd w:id="337"/>
            <w:r>
              <w:rPr>
                <w:rFonts w:ascii="Times New Roman"/>
                <w:sz w:val="21"/>
              </w:rPr>
              <w:t>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47" w:type="dxa"/>
          </w:tcPr>
          <w:p>
            <w:pPr>
              <w:pStyle w:val="14"/>
              <w:spacing w:before="22"/>
              <w:ind w:left="198" w:right="188"/>
              <w:rPr>
                <w:sz w:val="21"/>
              </w:rPr>
            </w:pPr>
            <w:r>
              <w:rPr>
                <w:sz w:val="21"/>
              </w:rPr>
              <w:t>镉（</w:t>
            </w:r>
            <w:r>
              <w:rPr>
                <w:rFonts w:ascii="Times New Roman" w:hAnsi="Times New Roman" w:eastAsia="Times New Roman"/>
                <w:sz w:val="21"/>
              </w:rPr>
              <w:t>μg/L</w:t>
            </w:r>
            <w:r>
              <w:rPr>
                <w:sz w:val="21"/>
              </w:rPr>
              <w:t>）</w:t>
            </w:r>
          </w:p>
        </w:tc>
        <w:tc>
          <w:tcPr>
            <w:tcW w:w="1370" w:type="dxa"/>
          </w:tcPr>
          <w:p>
            <w:pPr>
              <w:pStyle w:val="14"/>
              <w:spacing w:before="38"/>
              <w:ind w:left="121" w:right="111"/>
              <w:rPr>
                <w:rFonts w:ascii="Times New Roman"/>
                <w:sz w:val="21"/>
              </w:rPr>
            </w:pPr>
            <w:bookmarkStart w:id="338" w:name="0.1L"/>
            <w:bookmarkEnd w:id="338"/>
            <w:r>
              <w:rPr>
                <w:rFonts w:ascii="Times New Roman"/>
                <w:sz w:val="21"/>
              </w:rPr>
              <w:t>0.1L</w:t>
            </w:r>
          </w:p>
        </w:tc>
        <w:tc>
          <w:tcPr>
            <w:tcW w:w="1484" w:type="dxa"/>
          </w:tcPr>
          <w:p>
            <w:pPr>
              <w:pStyle w:val="14"/>
              <w:spacing w:before="38"/>
              <w:ind w:left="421" w:right="409"/>
              <w:rPr>
                <w:rFonts w:ascii="Times New Roman"/>
                <w:sz w:val="21"/>
              </w:rPr>
            </w:pPr>
            <w:bookmarkStart w:id="339" w:name="0.1L"/>
            <w:bookmarkEnd w:id="339"/>
            <w:r>
              <w:rPr>
                <w:rFonts w:ascii="Times New Roman"/>
                <w:sz w:val="21"/>
              </w:rPr>
              <w:t>0.1L</w:t>
            </w:r>
          </w:p>
        </w:tc>
        <w:tc>
          <w:tcPr>
            <w:tcW w:w="1347" w:type="dxa"/>
          </w:tcPr>
          <w:p>
            <w:pPr>
              <w:pStyle w:val="14"/>
              <w:spacing w:before="38"/>
              <w:ind w:left="416" w:right="407"/>
              <w:rPr>
                <w:rFonts w:ascii="Times New Roman"/>
                <w:sz w:val="21"/>
              </w:rPr>
            </w:pPr>
            <w:bookmarkStart w:id="340" w:name="0.1L"/>
            <w:bookmarkEnd w:id="340"/>
            <w:r>
              <w:rPr>
                <w:rFonts w:ascii="Times New Roman"/>
                <w:sz w:val="21"/>
              </w:rPr>
              <w:t>0.1L</w:t>
            </w:r>
          </w:p>
        </w:tc>
        <w:tc>
          <w:tcPr>
            <w:tcW w:w="1357" w:type="dxa"/>
          </w:tcPr>
          <w:p>
            <w:pPr>
              <w:pStyle w:val="14"/>
              <w:spacing w:before="38"/>
              <w:ind w:left="421" w:right="412"/>
              <w:rPr>
                <w:rFonts w:ascii="Times New Roman"/>
                <w:sz w:val="21"/>
              </w:rPr>
            </w:pPr>
            <w:bookmarkStart w:id="341" w:name="0.1L"/>
            <w:bookmarkEnd w:id="341"/>
            <w:r>
              <w:rPr>
                <w:rFonts w:ascii="Times New Roman"/>
                <w:sz w:val="21"/>
              </w:rPr>
              <w:t>0.1L</w:t>
            </w:r>
          </w:p>
        </w:tc>
        <w:tc>
          <w:tcPr>
            <w:tcW w:w="1313" w:type="dxa"/>
          </w:tcPr>
          <w:p>
            <w:pPr>
              <w:pStyle w:val="14"/>
              <w:spacing w:before="38"/>
              <w:ind w:left="282" w:right="271"/>
              <w:rPr>
                <w:rFonts w:ascii="Times New Roman"/>
                <w:sz w:val="21"/>
              </w:rPr>
            </w:pPr>
            <w:bookmarkStart w:id="342" w:name="0.1L"/>
            <w:bookmarkEnd w:id="342"/>
            <w:r>
              <w:rPr>
                <w:rFonts w:ascii="Times New Roman"/>
                <w:sz w:val="21"/>
              </w:rPr>
              <w:t>0.1L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47" w:type="dxa"/>
          </w:tcPr>
          <w:p>
            <w:pPr>
              <w:pStyle w:val="14"/>
              <w:spacing w:before="36"/>
              <w:ind w:left="198" w:right="186"/>
              <w:rPr>
                <w:rFonts w:ascii="Times New Roman"/>
                <w:sz w:val="13"/>
              </w:rPr>
            </w:pPr>
            <w:r>
              <w:rPr>
                <w:rFonts w:ascii="Times New Roman"/>
                <w:position w:val="-6"/>
                <w:sz w:val="21"/>
              </w:rPr>
              <w:t>K</w:t>
            </w:r>
            <w:r>
              <w:rPr>
                <w:rFonts w:ascii="Times New Roman"/>
                <w:sz w:val="13"/>
              </w:rPr>
              <w:t>+</w:t>
            </w:r>
          </w:p>
        </w:tc>
        <w:tc>
          <w:tcPr>
            <w:tcW w:w="1370" w:type="dxa"/>
          </w:tcPr>
          <w:p>
            <w:pPr>
              <w:pStyle w:val="14"/>
              <w:spacing w:before="38"/>
              <w:ind w:left="122" w:right="111"/>
              <w:rPr>
                <w:rFonts w:ascii="Times New Roman"/>
                <w:sz w:val="21"/>
              </w:rPr>
            </w:pPr>
            <w:bookmarkStart w:id="343" w:name="1.00"/>
            <w:bookmarkEnd w:id="343"/>
            <w:r>
              <w:rPr>
                <w:rFonts w:ascii="Times New Roman"/>
                <w:sz w:val="21"/>
              </w:rPr>
              <w:t>1.00</w:t>
            </w:r>
          </w:p>
        </w:tc>
        <w:tc>
          <w:tcPr>
            <w:tcW w:w="1484" w:type="dxa"/>
          </w:tcPr>
          <w:p>
            <w:pPr>
              <w:pStyle w:val="14"/>
              <w:spacing w:before="38"/>
              <w:ind w:left="419" w:right="411"/>
              <w:rPr>
                <w:rFonts w:ascii="Times New Roman"/>
                <w:sz w:val="21"/>
              </w:rPr>
            </w:pPr>
            <w:bookmarkStart w:id="344" w:name="0.72"/>
            <w:bookmarkEnd w:id="344"/>
            <w:r>
              <w:rPr>
                <w:rFonts w:ascii="Times New Roman"/>
                <w:sz w:val="21"/>
              </w:rPr>
              <w:t>0.72</w:t>
            </w:r>
          </w:p>
        </w:tc>
        <w:tc>
          <w:tcPr>
            <w:tcW w:w="1347" w:type="dxa"/>
          </w:tcPr>
          <w:p>
            <w:pPr>
              <w:pStyle w:val="14"/>
              <w:spacing w:before="38"/>
              <w:ind w:left="416" w:right="407"/>
              <w:rPr>
                <w:rFonts w:ascii="Times New Roman"/>
                <w:sz w:val="21"/>
              </w:rPr>
            </w:pPr>
            <w:bookmarkStart w:id="345" w:name="0.73"/>
            <w:bookmarkEnd w:id="345"/>
            <w:r>
              <w:rPr>
                <w:rFonts w:ascii="Times New Roman"/>
                <w:sz w:val="21"/>
              </w:rPr>
              <w:t>0.73</w:t>
            </w:r>
          </w:p>
        </w:tc>
        <w:tc>
          <w:tcPr>
            <w:tcW w:w="1357" w:type="dxa"/>
          </w:tcPr>
          <w:p>
            <w:pPr>
              <w:pStyle w:val="14"/>
              <w:spacing w:before="38"/>
              <w:ind w:left="421" w:right="411"/>
              <w:rPr>
                <w:rFonts w:ascii="Times New Roman"/>
                <w:sz w:val="21"/>
              </w:rPr>
            </w:pPr>
            <w:bookmarkStart w:id="346" w:name="3.55"/>
            <w:bookmarkEnd w:id="346"/>
            <w:r>
              <w:rPr>
                <w:rFonts w:ascii="Times New Roman"/>
                <w:sz w:val="21"/>
              </w:rPr>
              <w:t>3.55</w:t>
            </w:r>
          </w:p>
        </w:tc>
        <w:tc>
          <w:tcPr>
            <w:tcW w:w="1313" w:type="dxa"/>
          </w:tcPr>
          <w:p>
            <w:pPr>
              <w:pStyle w:val="14"/>
              <w:spacing w:before="38"/>
              <w:ind w:left="282" w:right="271"/>
              <w:rPr>
                <w:rFonts w:ascii="Times New Roman"/>
                <w:sz w:val="21"/>
              </w:rPr>
            </w:pPr>
            <w:bookmarkStart w:id="347" w:name="4.05"/>
            <w:bookmarkEnd w:id="347"/>
            <w:r>
              <w:rPr>
                <w:rFonts w:ascii="Times New Roman"/>
                <w:sz w:val="21"/>
              </w:rPr>
              <w:t>4.05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47" w:type="dxa"/>
          </w:tcPr>
          <w:p>
            <w:pPr>
              <w:pStyle w:val="14"/>
              <w:spacing w:before="35"/>
              <w:ind w:left="198" w:right="188"/>
              <w:rPr>
                <w:rFonts w:ascii="Times New Roman"/>
                <w:sz w:val="13"/>
              </w:rPr>
            </w:pPr>
            <w:r>
              <w:rPr>
                <w:rFonts w:ascii="Times New Roman"/>
                <w:sz w:val="21"/>
              </w:rPr>
              <w:t>Na</w:t>
            </w:r>
            <w:r>
              <w:rPr>
                <w:rFonts w:ascii="Times New Roman"/>
                <w:position w:val="7"/>
                <w:sz w:val="13"/>
              </w:rPr>
              <w:t>+</w:t>
            </w:r>
          </w:p>
        </w:tc>
        <w:tc>
          <w:tcPr>
            <w:tcW w:w="1370" w:type="dxa"/>
          </w:tcPr>
          <w:p>
            <w:pPr>
              <w:pStyle w:val="14"/>
              <w:spacing w:before="37"/>
              <w:ind w:left="122" w:right="111"/>
              <w:rPr>
                <w:rFonts w:ascii="Times New Roman"/>
                <w:sz w:val="21"/>
              </w:rPr>
            </w:pPr>
            <w:bookmarkStart w:id="348" w:name="20.3"/>
            <w:bookmarkEnd w:id="348"/>
            <w:r>
              <w:rPr>
                <w:rFonts w:ascii="Times New Roman"/>
                <w:sz w:val="21"/>
              </w:rPr>
              <w:t>20.3</w:t>
            </w:r>
          </w:p>
        </w:tc>
        <w:tc>
          <w:tcPr>
            <w:tcW w:w="1484" w:type="dxa"/>
          </w:tcPr>
          <w:p>
            <w:pPr>
              <w:pStyle w:val="14"/>
              <w:spacing w:before="37"/>
              <w:ind w:left="419" w:right="411"/>
              <w:rPr>
                <w:rFonts w:ascii="Times New Roman"/>
                <w:sz w:val="21"/>
              </w:rPr>
            </w:pPr>
            <w:bookmarkStart w:id="349" w:name="7.99"/>
            <w:bookmarkEnd w:id="349"/>
            <w:r>
              <w:rPr>
                <w:rFonts w:ascii="Times New Roman"/>
                <w:sz w:val="21"/>
              </w:rPr>
              <w:t>7.99</w:t>
            </w:r>
          </w:p>
        </w:tc>
        <w:tc>
          <w:tcPr>
            <w:tcW w:w="1347" w:type="dxa"/>
          </w:tcPr>
          <w:p>
            <w:pPr>
              <w:pStyle w:val="14"/>
              <w:spacing w:before="37"/>
              <w:ind w:left="416" w:right="407"/>
              <w:rPr>
                <w:rFonts w:ascii="Times New Roman"/>
                <w:sz w:val="21"/>
              </w:rPr>
            </w:pPr>
            <w:bookmarkStart w:id="350" w:name="20.8"/>
            <w:bookmarkEnd w:id="350"/>
            <w:r>
              <w:rPr>
                <w:rFonts w:ascii="Times New Roman"/>
                <w:sz w:val="21"/>
              </w:rPr>
              <w:t>20.8</w:t>
            </w:r>
          </w:p>
        </w:tc>
        <w:tc>
          <w:tcPr>
            <w:tcW w:w="1357" w:type="dxa"/>
          </w:tcPr>
          <w:p>
            <w:pPr>
              <w:pStyle w:val="14"/>
              <w:spacing w:before="37"/>
              <w:ind w:left="421" w:right="411"/>
              <w:rPr>
                <w:rFonts w:ascii="Times New Roman"/>
                <w:sz w:val="21"/>
              </w:rPr>
            </w:pPr>
            <w:bookmarkStart w:id="351" w:name="21.8"/>
            <w:bookmarkEnd w:id="351"/>
            <w:r>
              <w:rPr>
                <w:rFonts w:ascii="Times New Roman"/>
                <w:sz w:val="21"/>
              </w:rPr>
              <w:t>21.8</w:t>
            </w:r>
          </w:p>
        </w:tc>
        <w:tc>
          <w:tcPr>
            <w:tcW w:w="1313" w:type="dxa"/>
          </w:tcPr>
          <w:p>
            <w:pPr>
              <w:pStyle w:val="14"/>
              <w:spacing w:before="37"/>
              <w:ind w:left="282" w:right="271"/>
              <w:rPr>
                <w:rFonts w:ascii="Times New Roman"/>
                <w:sz w:val="21"/>
              </w:rPr>
            </w:pPr>
            <w:bookmarkStart w:id="352" w:name="28.5"/>
            <w:bookmarkEnd w:id="352"/>
            <w:r>
              <w:rPr>
                <w:rFonts w:ascii="Times New Roman"/>
                <w:sz w:val="21"/>
              </w:rPr>
              <w:t>28.5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47" w:type="dxa"/>
          </w:tcPr>
          <w:p>
            <w:pPr>
              <w:pStyle w:val="14"/>
              <w:spacing w:before="35"/>
              <w:ind w:left="198" w:right="188"/>
              <w:rPr>
                <w:rFonts w:ascii="Times New Roman"/>
                <w:sz w:val="13"/>
              </w:rPr>
            </w:pPr>
            <w:r>
              <w:rPr>
                <w:rFonts w:ascii="Times New Roman"/>
                <w:position w:val="-6"/>
                <w:sz w:val="21"/>
              </w:rPr>
              <w:t>Ca</w:t>
            </w:r>
            <w:r>
              <w:rPr>
                <w:rFonts w:ascii="Times New Roman"/>
                <w:sz w:val="13"/>
              </w:rPr>
              <w:t>2+</w:t>
            </w:r>
          </w:p>
        </w:tc>
        <w:tc>
          <w:tcPr>
            <w:tcW w:w="1370" w:type="dxa"/>
          </w:tcPr>
          <w:p>
            <w:pPr>
              <w:pStyle w:val="14"/>
              <w:spacing w:before="37"/>
              <w:ind w:left="122" w:right="111"/>
              <w:rPr>
                <w:rFonts w:ascii="Times New Roman"/>
                <w:sz w:val="21"/>
              </w:rPr>
            </w:pPr>
            <w:bookmarkStart w:id="353" w:name="43.6"/>
            <w:bookmarkEnd w:id="353"/>
            <w:r>
              <w:rPr>
                <w:rFonts w:ascii="Times New Roman"/>
                <w:sz w:val="21"/>
              </w:rPr>
              <w:t>43.6</w:t>
            </w:r>
          </w:p>
        </w:tc>
        <w:tc>
          <w:tcPr>
            <w:tcW w:w="1484" w:type="dxa"/>
          </w:tcPr>
          <w:p>
            <w:pPr>
              <w:pStyle w:val="14"/>
              <w:spacing w:before="37"/>
              <w:ind w:left="419" w:right="411"/>
              <w:rPr>
                <w:rFonts w:ascii="Times New Roman"/>
                <w:sz w:val="21"/>
              </w:rPr>
            </w:pPr>
            <w:bookmarkStart w:id="354" w:name="27.8"/>
            <w:bookmarkEnd w:id="354"/>
            <w:r>
              <w:rPr>
                <w:rFonts w:ascii="Times New Roman"/>
                <w:sz w:val="21"/>
              </w:rPr>
              <w:t>27.8</w:t>
            </w:r>
          </w:p>
        </w:tc>
        <w:tc>
          <w:tcPr>
            <w:tcW w:w="1347" w:type="dxa"/>
          </w:tcPr>
          <w:p>
            <w:pPr>
              <w:pStyle w:val="14"/>
              <w:spacing w:before="37"/>
              <w:ind w:left="416" w:right="407"/>
              <w:rPr>
                <w:rFonts w:ascii="Times New Roman"/>
                <w:sz w:val="21"/>
              </w:rPr>
            </w:pPr>
            <w:bookmarkStart w:id="355" w:name="59.5"/>
            <w:bookmarkEnd w:id="355"/>
            <w:r>
              <w:rPr>
                <w:rFonts w:ascii="Times New Roman"/>
                <w:sz w:val="21"/>
              </w:rPr>
              <w:t>59.5</w:t>
            </w:r>
          </w:p>
        </w:tc>
        <w:tc>
          <w:tcPr>
            <w:tcW w:w="1357" w:type="dxa"/>
          </w:tcPr>
          <w:p>
            <w:pPr>
              <w:pStyle w:val="14"/>
              <w:spacing w:before="37"/>
              <w:ind w:left="421" w:right="411"/>
              <w:rPr>
                <w:rFonts w:ascii="Times New Roman"/>
                <w:sz w:val="21"/>
              </w:rPr>
            </w:pPr>
            <w:bookmarkStart w:id="356" w:name="87.0"/>
            <w:bookmarkEnd w:id="356"/>
            <w:r>
              <w:rPr>
                <w:rFonts w:ascii="Times New Roman"/>
                <w:sz w:val="21"/>
              </w:rPr>
              <w:t>87.0</w:t>
            </w:r>
          </w:p>
        </w:tc>
        <w:tc>
          <w:tcPr>
            <w:tcW w:w="1313" w:type="dxa"/>
          </w:tcPr>
          <w:p>
            <w:pPr>
              <w:pStyle w:val="14"/>
              <w:spacing w:before="37"/>
              <w:ind w:left="282" w:right="271"/>
              <w:rPr>
                <w:rFonts w:ascii="Times New Roman"/>
                <w:sz w:val="21"/>
              </w:rPr>
            </w:pPr>
            <w:bookmarkStart w:id="357" w:name="84.5"/>
            <w:bookmarkEnd w:id="357"/>
            <w:r>
              <w:rPr>
                <w:rFonts w:ascii="Times New Roman"/>
                <w:sz w:val="21"/>
              </w:rPr>
              <w:t>84.5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47" w:type="dxa"/>
          </w:tcPr>
          <w:p>
            <w:pPr>
              <w:pStyle w:val="14"/>
              <w:spacing w:before="37"/>
              <w:ind w:left="198" w:right="188"/>
              <w:rPr>
                <w:rFonts w:ascii="Times New Roman"/>
                <w:sz w:val="13"/>
              </w:rPr>
            </w:pPr>
            <w:r>
              <w:rPr>
                <w:rFonts w:ascii="Times New Roman"/>
                <w:position w:val="-6"/>
                <w:sz w:val="21"/>
              </w:rPr>
              <w:t>Mg</w:t>
            </w:r>
            <w:r>
              <w:rPr>
                <w:rFonts w:ascii="Times New Roman"/>
                <w:sz w:val="13"/>
              </w:rPr>
              <w:t>2+</w:t>
            </w:r>
          </w:p>
        </w:tc>
        <w:tc>
          <w:tcPr>
            <w:tcW w:w="1370" w:type="dxa"/>
          </w:tcPr>
          <w:p>
            <w:pPr>
              <w:pStyle w:val="14"/>
              <w:spacing w:before="39"/>
              <w:ind w:left="122" w:right="111"/>
              <w:rPr>
                <w:rFonts w:ascii="Times New Roman"/>
                <w:sz w:val="21"/>
              </w:rPr>
            </w:pPr>
            <w:bookmarkStart w:id="358" w:name="25.9"/>
            <w:bookmarkEnd w:id="358"/>
            <w:r>
              <w:rPr>
                <w:rFonts w:ascii="Times New Roman"/>
                <w:sz w:val="21"/>
              </w:rPr>
              <w:t>25.9</w:t>
            </w:r>
          </w:p>
        </w:tc>
        <w:tc>
          <w:tcPr>
            <w:tcW w:w="1484" w:type="dxa"/>
          </w:tcPr>
          <w:p>
            <w:pPr>
              <w:pStyle w:val="14"/>
              <w:spacing w:before="39"/>
              <w:ind w:left="419" w:right="411"/>
              <w:rPr>
                <w:rFonts w:ascii="Times New Roman"/>
                <w:sz w:val="21"/>
              </w:rPr>
            </w:pPr>
            <w:bookmarkStart w:id="359" w:name="10.2"/>
            <w:bookmarkEnd w:id="359"/>
            <w:r>
              <w:rPr>
                <w:rFonts w:ascii="Times New Roman"/>
                <w:sz w:val="21"/>
              </w:rPr>
              <w:t>10.2</w:t>
            </w:r>
          </w:p>
        </w:tc>
        <w:tc>
          <w:tcPr>
            <w:tcW w:w="1347" w:type="dxa"/>
          </w:tcPr>
          <w:p>
            <w:pPr>
              <w:pStyle w:val="14"/>
              <w:spacing w:before="39"/>
              <w:ind w:left="416" w:right="407"/>
              <w:rPr>
                <w:rFonts w:ascii="Times New Roman"/>
                <w:sz w:val="21"/>
              </w:rPr>
            </w:pPr>
            <w:bookmarkStart w:id="360" w:name="19.3"/>
            <w:bookmarkEnd w:id="360"/>
            <w:r>
              <w:rPr>
                <w:rFonts w:ascii="Times New Roman"/>
                <w:sz w:val="21"/>
              </w:rPr>
              <w:t>19.3</w:t>
            </w:r>
          </w:p>
        </w:tc>
        <w:tc>
          <w:tcPr>
            <w:tcW w:w="1357" w:type="dxa"/>
          </w:tcPr>
          <w:p>
            <w:pPr>
              <w:pStyle w:val="14"/>
              <w:spacing w:before="39"/>
              <w:ind w:left="421" w:right="411"/>
              <w:rPr>
                <w:rFonts w:ascii="Times New Roman"/>
                <w:sz w:val="21"/>
              </w:rPr>
            </w:pPr>
            <w:bookmarkStart w:id="361" w:name="57.5"/>
            <w:bookmarkEnd w:id="361"/>
            <w:r>
              <w:rPr>
                <w:rFonts w:ascii="Times New Roman"/>
                <w:sz w:val="21"/>
              </w:rPr>
              <w:t>57.5</w:t>
            </w:r>
          </w:p>
        </w:tc>
        <w:tc>
          <w:tcPr>
            <w:tcW w:w="1313" w:type="dxa"/>
          </w:tcPr>
          <w:p>
            <w:pPr>
              <w:pStyle w:val="14"/>
              <w:spacing w:before="39"/>
              <w:ind w:left="282" w:right="271"/>
              <w:rPr>
                <w:rFonts w:ascii="Times New Roman"/>
                <w:sz w:val="21"/>
              </w:rPr>
            </w:pPr>
            <w:bookmarkStart w:id="362" w:name="57.5"/>
            <w:bookmarkEnd w:id="362"/>
            <w:r>
              <w:rPr>
                <w:rFonts w:ascii="Times New Roman"/>
                <w:sz w:val="21"/>
              </w:rPr>
              <w:t>57.5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47" w:type="dxa"/>
          </w:tcPr>
          <w:p>
            <w:pPr>
              <w:pStyle w:val="14"/>
              <w:spacing w:before="41" w:line="71" w:lineRule="exact"/>
              <w:ind w:left="560" w:right="191"/>
              <w:rPr>
                <w:rFonts w:ascii="Times New Roman"/>
                <w:sz w:val="13"/>
              </w:rPr>
            </w:pPr>
            <w:r>
              <w:rPr>
                <w:rFonts w:ascii="Times New Roman"/>
                <w:w w:val="105"/>
                <w:sz w:val="13"/>
              </w:rPr>
              <w:t>2-</w:t>
            </w:r>
          </w:p>
          <w:p>
            <w:pPr>
              <w:pStyle w:val="14"/>
              <w:spacing w:line="180" w:lineRule="exact"/>
              <w:ind w:left="89" w:right="191"/>
              <w:rPr>
                <w:rFonts w:ascii="Times New Roman"/>
                <w:sz w:val="21"/>
              </w:rPr>
            </w:pPr>
            <w:r>
              <w:rPr>
                <w:rFonts w:ascii="Times New Roman"/>
                <w:position w:val="2"/>
                <w:sz w:val="21"/>
              </w:rPr>
              <w:t>CO</w:t>
            </w:r>
            <w:r>
              <w:rPr>
                <w:rFonts w:ascii="Times New Roman"/>
                <w:position w:val="2"/>
                <w:sz w:val="21"/>
                <w:vertAlign w:val="subscript"/>
              </w:rPr>
              <w:t>3</w:t>
            </w:r>
          </w:p>
        </w:tc>
        <w:tc>
          <w:tcPr>
            <w:tcW w:w="1370" w:type="dxa"/>
          </w:tcPr>
          <w:p>
            <w:pPr>
              <w:pStyle w:val="14"/>
              <w:spacing w:before="34"/>
              <w:ind w:left="6"/>
              <w:rPr>
                <w:rFonts w:ascii="Times New Roman"/>
                <w:sz w:val="21"/>
              </w:rPr>
            </w:pPr>
            <w:r>
              <w:rPr>
                <w:rFonts w:ascii="Times New Roman"/>
                <w:w w:val="99"/>
                <w:sz w:val="21"/>
              </w:rPr>
              <w:t>0</w:t>
            </w:r>
          </w:p>
        </w:tc>
        <w:tc>
          <w:tcPr>
            <w:tcW w:w="1484" w:type="dxa"/>
          </w:tcPr>
          <w:p>
            <w:pPr>
              <w:pStyle w:val="14"/>
              <w:spacing w:before="38"/>
              <w:ind w:left="8"/>
              <w:rPr>
                <w:rFonts w:ascii="Times New Roman"/>
                <w:sz w:val="21"/>
              </w:rPr>
            </w:pPr>
            <w:bookmarkStart w:id="363" w:name="0"/>
            <w:bookmarkEnd w:id="363"/>
            <w:r>
              <w:rPr>
                <w:rFonts w:ascii="Times New Roman"/>
                <w:w w:val="99"/>
                <w:sz w:val="21"/>
              </w:rPr>
              <w:t>0</w:t>
            </w:r>
          </w:p>
        </w:tc>
        <w:tc>
          <w:tcPr>
            <w:tcW w:w="1347" w:type="dxa"/>
          </w:tcPr>
          <w:p>
            <w:pPr>
              <w:pStyle w:val="14"/>
              <w:spacing w:before="38"/>
              <w:ind w:left="9"/>
              <w:rPr>
                <w:rFonts w:ascii="Times New Roman"/>
                <w:sz w:val="21"/>
              </w:rPr>
            </w:pPr>
            <w:bookmarkStart w:id="364" w:name="0"/>
            <w:bookmarkEnd w:id="364"/>
            <w:r>
              <w:rPr>
                <w:rFonts w:ascii="Times New Roman"/>
                <w:w w:val="99"/>
                <w:sz w:val="21"/>
              </w:rPr>
              <w:t>0</w:t>
            </w:r>
          </w:p>
        </w:tc>
        <w:tc>
          <w:tcPr>
            <w:tcW w:w="1357" w:type="dxa"/>
          </w:tcPr>
          <w:p>
            <w:pPr>
              <w:pStyle w:val="14"/>
              <w:spacing w:before="38"/>
              <w:ind w:left="8"/>
              <w:rPr>
                <w:rFonts w:ascii="Times New Roman"/>
                <w:sz w:val="21"/>
              </w:rPr>
            </w:pPr>
            <w:bookmarkStart w:id="365" w:name="0"/>
            <w:bookmarkEnd w:id="365"/>
            <w:r>
              <w:rPr>
                <w:rFonts w:ascii="Times New Roman"/>
                <w:w w:val="99"/>
                <w:sz w:val="21"/>
              </w:rPr>
              <w:t>0</w:t>
            </w:r>
          </w:p>
        </w:tc>
        <w:tc>
          <w:tcPr>
            <w:tcW w:w="1313" w:type="dxa"/>
          </w:tcPr>
          <w:p>
            <w:pPr>
              <w:pStyle w:val="14"/>
              <w:spacing w:before="38"/>
              <w:ind w:left="7"/>
              <w:rPr>
                <w:rFonts w:ascii="Times New Roman"/>
                <w:sz w:val="21"/>
              </w:rPr>
            </w:pPr>
            <w:bookmarkStart w:id="366" w:name="0"/>
            <w:bookmarkEnd w:id="366"/>
            <w:r>
              <w:rPr>
                <w:rFonts w:ascii="Times New Roman"/>
                <w:w w:val="99"/>
                <w:sz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47" w:type="dxa"/>
          </w:tcPr>
          <w:p>
            <w:pPr>
              <w:pStyle w:val="14"/>
              <w:spacing w:before="41" w:line="71" w:lineRule="exact"/>
              <w:ind w:left="521"/>
              <w:rPr>
                <w:rFonts w:ascii="Times New Roman"/>
                <w:sz w:val="13"/>
              </w:rPr>
            </w:pPr>
            <w:r>
              <w:rPr>
                <w:rFonts w:ascii="Times New Roman"/>
                <w:w w:val="105"/>
                <w:sz w:val="13"/>
              </w:rPr>
              <w:t>-</w:t>
            </w:r>
          </w:p>
          <w:p>
            <w:pPr>
              <w:pStyle w:val="14"/>
              <w:spacing w:line="180" w:lineRule="exact"/>
              <w:ind w:left="159" w:right="191"/>
              <w:rPr>
                <w:rFonts w:ascii="Times New Roman"/>
                <w:sz w:val="21"/>
              </w:rPr>
            </w:pPr>
            <w:r>
              <w:rPr>
                <w:rFonts w:ascii="Times New Roman"/>
                <w:position w:val="2"/>
                <w:sz w:val="21"/>
              </w:rPr>
              <w:t>HCO</w:t>
            </w:r>
            <w:r>
              <w:rPr>
                <w:rFonts w:ascii="Times New Roman"/>
                <w:position w:val="2"/>
                <w:sz w:val="21"/>
                <w:vertAlign w:val="subscript"/>
              </w:rPr>
              <w:t>3</w:t>
            </w:r>
          </w:p>
        </w:tc>
        <w:tc>
          <w:tcPr>
            <w:tcW w:w="1370" w:type="dxa"/>
          </w:tcPr>
          <w:p>
            <w:pPr>
              <w:pStyle w:val="14"/>
              <w:spacing w:before="38"/>
              <w:ind w:left="122" w:right="111"/>
              <w:rPr>
                <w:rFonts w:ascii="Times New Roman"/>
                <w:sz w:val="21"/>
              </w:rPr>
            </w:pPr>
            <w:r>
              <w:rPr>
                <w:rFonts w:ascii="Times New Roman"/>
                <w:sz w:val="21"/>
              </w:rPr>
              <w:t>280.3</w:t>
            </w:r>
          </w:p>
        </w:tc>
        <w:tc>
          <w:tcPr>
            <w:tcW w:w="1484" w:type="dxa"/>
          </w:tcPr>
          <w:p>
            <w:pPr>
              <w:pStyle w:val="14"/>
              <w:spacing w:before="38"/>
              <w:ind w:left="421" w:right="410"/>
              <w:rPr>
                <w:rFonts w:ascii="Times New Roman"/>
                <w:sz w:val="21"/>
              </w:rPr>
            </w:pPr>
            <w:bookmarkStart w:id="367" w:name="121.4"/>
            <w:bookmarkEnd w:id="367"/>
            <w:r>
              <w:rPr>
                <w:rFonts w:ascii="Times New Roman"/>
                <w:sz w:val="21"/>
              </w:rPr>
              <w:t>121.4</w:t>
            </w:r>
          </w:p>
        </w:tc>
        <w:tc>
          <w:tcPr>
            <w:tcW w:w="1347" w:type="dxa"/>
          </w:tcPr>
          <w:p>
            <w:pPr>
              <w:pStyle w:val="14"/>
              <w:spacing w:before="38"/>
              <w:ind w:left="436"/>
              <w:jc w:val="left"/>
              <w:rPr>
                <w:rFonts w:ascii="Times New Roman"/>
                <w:sz w:val="21"/>
              </w:rPr>
            </w:pPr>
            <w:bookmarkStart w:id="368" w:name="188.7"/>
            <w:bookmarkEnd w:id="368"/>
            <w:r>
              <w:rPr>
                <w:rFonts w:ascii="Times New Roman"/>
                <w:sz w:val="21"/>
              </w:rPr>
              <w:t>188.7</w:t>
            </w:r>
          </w:p>
        </w:tc>
        <w:tc>
          <w:tcPr>
            <w:tcW w:w="1357" w:type="dxa"/>
          </w:tcPr>
          <w:p>
            <w:pPr>
              <w:pStyle w:val="14"/>
              <w:spacing w:before="38"/>
              <w:ind w:left="440"/>
              <w:jc w:val="left"/>
              <w:rPr>
                <w:rFonts w:ascii="Times New Roman"/>
                <w:sz w:val="21"/>
              </w:rPr>
            </w:pPr>
            <w:bookmarkStart w:id="369" w:name="508.1"/>
            <w:bookmarkEnd w:id="369"/>
            <w:r>
              <w:rPr>
                <w:rFonts w:ascii="Times New Roman"/>
                <w:sz w:val="21"/>
              </w:rPr>
              <w:t>508.1</w:t>
            </w:r>
          </w:p>
        </w:tc>
        <w:tc>
          <w:tcPr>
            <w:tcW w:w="1313" w:type="dxa"/>
          </w:tcPr>
          <w:p>
            <w:pPr>
              <w:pStyle w:val="14"/>
              <w:spacing w:before="38"/>
              <w:ind w:left="282" w:right="273"/>
              <w:rPr>
                <w:rFonts w:ascii="Times New Roman"/>
                <w:sz w:val="21"/>
              </w:rPr>
            </w:pPr>
            <w:bookmarkStart w:id="370" w:name="557.4"/>
            <w:bookmarkEnd w:id="370"/>
            <w:r>
              <w:rPr>
                <w:rFonts w:ascii="Times New Roman"/>
                <w:sz w:val="21"/>
              </w:rPr>
              <w:t>557.4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47" w:type="dxa"/>
          </w:tcPr>
          <w:p>
            <w:pPr>
              <w:pStyle w:val="14"/>
              <w:spacing w:before="35"/>
              <w:ind w:left="198" w:right="189"/>
              <w:rPr>
                <w:rFonts w:ascii="Times New Roman"/>
                <w:sz w:val="13"/>
              </w:rPr>
            </w:pPr>
            <w:r>
              <w:rPr>
                <w:rFonts w:ascii="Times New Roman"/>
                <w:sz w:val="21"/>
              </w:rPr>
              <w:t>Cl</w:t>
            </w:r>
            <w:r>
              <w:rPr>
                <w:rFonts w:ascii="Times New Roman"/>
                <w:position w:val="7"/>
                <w:sz w:val="13"/>
              </w:rPr>
              <w:t>-</w:t>
            </w:r>
          </w:p>
        </w:tc>
        <w:tc>
          <w:tcPr>
            <w:tcW w:w="1370" w:type="dxa"/>
          </w:tcPr>
          <w:p>
            <w:pPr>
              <w:pStyle w:val="14"/>
              <w:spacing w:before="38"/>
              <w:ind w:left="122" w:right="111"/>
              <w:rPr>
                <w:rFonts w:ascii="Times New Roman"/>
                <w:sz w:val="21"/>
              </w:rPr>
            </w:pPr>
            <w:bookmarkStart w:id="371" w:name="10.3"/>
            <w:bookmarkEnd w:id="371"/>
            <w:r>
              <w:rPr>
                <w:rFonts w:ascii="Times New Roman"/>
                <w:sz w:val="21"/>
              </w:rPr>
              <w:t>10.3</w:t>
            </w:r>
          </w:p>
        </w:tc>
        <w:tc>
          <w:tcPr>
            <w:tcW w:w="1484" w:type="dxa"/>
          </w:tcPr>
          <w:p>
            <w:pPr>
              <w:pStyle w:val="14"/>
              <w:spacing w:before="38"/>
              <w:ind w:left="419" w:right="411"/>
              <w:rPr>
                <w:rFonts w:ascii="Times New Roman"/>
                <w:sz w:val="21"/>
              </w:rPr>
            </w:pPr>
            <w:bookmarkStart w:id="372" w:name="10.1"/>
            <w:bookmarkEnd w:id="372"/>
            <w:r>
              <w:rPr>
                <w:rFonts w:ascii="Times New Roman"/>
                <w:sz w:val="21"/>
              </w:rPr>
              <w:t>10.1</w:t>
            </w:r>
          </w:p>
        </w:tc>
        <w:tc>
          <w:tcPr>
            <w:tcW w:w="1347" w:type="dxa"/>
          </w:tcPr>
          <w:p>
            <w:pPr>
              <w:pStyle w:val="14"/>
              <w:spacing w:before="38"/>
              <w:ind w:left="416" w:right="407"/>
              <w:rPr>
                <w:rFonts w:ascii="Times New Roman"/>
                <w:sz w:val="21"/>
              </w:rPr>
            </w:pPr>
            <w:bookmarkStart w:id="373" w:name="32.4"/>
            <w:bookmarkEnd w:id="373"/>
            <w:r>
              <w:rPr>
                <w:rFonts w:ascii="Times New Roman"/>
                <w:sz w:val="21"/>
              </w:rPr>
              <w:t>32.4</w:t>
            </w:r>
          </w:p>
        </w:tc>
        <w:tc>
          <w:tcPr>
            <w:tcW w:w="1357" w:type="dxa"/>
          </w:tcPr>
          <w:p>
            <w:pPr>
              <w:pStyle w:val="14"/>
              <w:spacing w:before="38"/>
              <w:ind w:left="421" w:right="411"/>
              <w:rPr>
                <w:rFonts w:ascii="Times New Roman"/>
                <w:sz w:val="21"/>
              </w:rPr>
            </w:pPr>
            <w:bookmarkStart w:id="374" w:name="16.0"/>
            <w:bookmarkEnd w:id="374"/>
            <w:r>
              <w:rPr>
                <w:rFonts w:ascii="Times New Roman"/>
                <w:sz w:val="21"/>
              </w:rPr>
              <w:t>16.0</w:t>
            </w:r>
          </w:p>
        </w:tc>
        <w:tc>
          <w:tcPr>
            <w:tcW w:w="1313" w:type="dxa"/>
          </w:tcPr>
          <w:p>
            <w:pPr>
              <w:pStyle w:val="14"/>
              <w:spacing w:before="38"/>
              <w:ind w:left="282" w:right="271"/>
              <w:rPr>
                <w:rFonts w:ascii="Times New Roman"/>
                <w:sz w:val="21"/>
              </w:rPr>
            </w:pPr>
            <w:bookmarkStart w:id="375" w:name="3.76"/>
            <w:bookmarkEnd w:id="375"/>
            <w:r>
              <w:rPr>
                <w:rFonts w:ascii="Times New Roman"/>
                <w:sz w:val="21"/>
              </w:rPr>
              <w:t>3.76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47" w:type="dxa"/>
          </w:tcPr>
          <w:p>
            <w:pPr>
              <w:pStyle w:val="14"/>
              <w:spacing w:before="40" w:line="71" w:lineRule="exact"/>
              <w:ind w:left="536" w:right="191"/>
              <w:rPr>
                <w:rFonts w:ascii="Times New Roman"/>
                <w:sz w:val="13"/>
              </w:rPr>
            </w:pPr>
            <w:r>
              <w:rPr>
                <w:rFonts w:ascii="Times New Roman"/>
                <w:w w:val="105"/>
                <w:sz w:val="13"/>
              </w:rPr>
              <w:t>2-</w:t>
            </w:r>
          </w:p>
          <w:p>
            <w:pPr>
              <w:pStyle w:val="14"/>
              <w:spacing w:line="181" w:lineRule="exact"/>
              <w:ind w:left="89" w:right="191"/>
              <w:rPr>
                <w:rFonts w:ascii="Times New Roman"/>
                <w:sz w:val="21"/>
              </w:rPr>
            </w:pPr>
            <w:r>
              <w:rPr>
                <w:rFonts w:ascii="Times New Roman"/>
                <w:position w:val="2"/>
                <w:sz w:val="21"/>
              </w:rPr>
              <w:t>SO</w:t>
            </w:r>
            <w:r>
              <w:rPr>
                <w:rFonts w:ascii="Times New Roman"/>
                <w:position w:val="2"/>
                <w:sz w:val="21"/>
                <w:vertAlign w:val="subscript"/>
              </w:rPr>
              <w:t>4</w:t>
            </w:r>
          </w:p>
        </w:tc>
        <w:tc>
          <w:tcPr>
            <w:tcW w:w="1370" w:type="dxa"/>
          </w:tcPr>
          <w:p>
            <w:pPr>
              <w:pStyle w:val="14"/>
              <w:spacing w:before="37"/>
              <w:ind w:left="122" w:right="111"/>
              <w:rPr>
                <w:rFonts w:ascii="Times New Roman"/>
                <w:sz w:val="21"/>
              </w:rPr>
            </w:pPr>
            <w:bookmarkStart w:id="376" w:name="12.6"/>
            <w:bookmarkEnd w:id="376"/>
            <w:r>
              <w:rPr>
                <w:rFonts w:ascii="Times New Roman"/>
                <w:sz w:val="21"/>
              </w:rPr>
              <w:t>12.6</w:t>
            </w:r>
          </w:p>
        </w:tc>
        <w:tc>
          <w:tcPr>
            <w:tcW w:w="1484" w:type="dxa"/>
          </w:tcPr>
          <w:p>
            <w:pPr>
              <w:pStyle w:val="14"/>
              <w:spacing w:before="37"/>
              <w:ind w:left="419" w:right="411"/>
              <w:rPr>
                <w:rFonts w:ascii="Times New Roman"/>
                <w:sz w:val="21"/>
              </w:rPr>
            </w:pPr>
            <w:bookmarkStart w:id="377" w:name="12.3"/>
            <w:bookmarkEnd w:id="377"/>
            <w:r>
              <w:rPr>
                <w:rFonts w:ascii="Times New Roman"/>
                <w:sz w:val="21"/>
              </w:rPr>
              <w:t>12.3</w:t>
            </w:r>
          </w:p>
        </w:tc>
        <w:tc>
          <w:tcPr>
            <w:tcW w:w="1347" w:type="dxa"/>
          </w:tcPr>
          <w:p>
            <w:pPr>
              <w:pStyle w:val="14"/>
              <w:spacing w:before="37"/>
              <w:ind w:left="416" w:right="407"/>
              <w:rPr>
                <w:rFonts w:ascii="Times New Roman"/>
                <w:sz w:val="21"/>
              </w:rPr>
            </w:pPr>
            <w:bookmarkStart w:id="378" w:name="59.9"/>
            <w:bookmarkEnd w:id="378"/>
            <w:r>
              <w:rPr>
                <w:rFonts w:ascii="Times New Roman"/>
                <w:sz w:val="21"/>
              </w:rPr>
              <w:t>59.9</w:t>
            </w:r>
          </w:p>
        </w:tc>
        <w:tc>
          <w:tcPr>
            <w:tcW w:w="1357" w:type="dxa"/>
          </w:tcPr>
          <w:p>
            <w:pPr>
              <w:pStyle w:val="14"/>
              <w:spacing w:before="37"/>
              <w:ind w:left="421" w:right="411"/>
              <w:rPr>
                <w:rFonts w:ascii="Times New Roman"/>
                <w:sz w:val="21"/>
              </w:rPr>
            </w:pPr>
            <w:bookmarkStart w:id="379" w:name="30.8"/>
            <w:bookmarkEnd w:id="379"/>
            <w:r>
              <w:rPr>
                <w:rFonts w:ascii="Times New Roman"/>
                <w:sz w:val="21"/>
              </w:rPr>
              <w:t>30.8</w:t>
            </w:r>
          </w:p>
        </w:tc>
        <w:tc>
          <w:tcPr>
            <w:tcW w:w="1313" w:type="dxa"/>
          </w:tcPr>
          <w:p>
            <w:pPr>
              <w:pStyle w:val="14"/>
              <w:spacing w:before="37"/>
              <w:ind w:left="282" w:right="271"/>
              <w:rPr>
                <w:rFonts w:ascii="Times New Roman"/>
                <w:sz w:val="21"/>
              </w:rPr>
            </w:pPr>
            <w:bookmarkStart w:id="380" w:name="7.43"/>
            <w:bookmarkEnd w:id="380"/>
            <w:r>
              <w:rPr>
                <w:rFonts w:ascii="Times New Roman"/>
                <w:sz w:val="21"/>
              </w:rPr>
              <w:t>7.43</w:t>
            </w:r>
          </w:p>
        </w:tc>
      </w:tr>
    </w:tbl>
    <w:p>
      <w:pPr>
        <w:spacing w:before="21" w:after="22"/>
        <w:ind w:left="0" w:right="412" w:firstLine="0"/>
        <w:jc w:val="center"/>
        <w:rPr>
          <w:b/>
          <w:sz w:val="21"/>
        </w:rPr>
      </w:pPr>
      <w:r>
        <w:rPr>
          <w:b/>
          <w:sz w:val="21"/>
        </w:rPr>
        <w:t xml:space="preserve">表 </w:t>
      </w:r>
      <w:r>
        <w:rPr>
          <w:rFonts w:ascii="Times New Roman" w:eastAsia="Times New Roman"/>
          <w:b/>
          <w:sz w:val="21"/>
        </w:rPr>
        <w:t xml:space="preserve">6.4-9 </w:t>
      </w:r>
      <w:r>
        <w:rPr>
          <w:b/>
          <w:sz w:val="21"/>
        </w:rPr>
        <w:t>地下水污染指数计算结果</w:t>
      </w:r>
    </w:p>
    <w:tbl>
      <w:tblPr>
        <w:tblStyle w:val="10"/>
        <w:tblW w:w="0" w:type="auto"/>
        <w:tblInd w:w="4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38"/>
        <w:gridCol w:w="1216"/>
        <w:gridCol w:w="1216"/>
        <w:gridCol w:w="1216"/>
        <w:gridCol w:w="1216"/>
        <w:gridCol w:w="12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2538" w:type="dxa"/>
          </w:tcPr>
          <w:p>
            <w:pPr>
              <w:pStyle w:val="14"/>
              <w:spacing w:before="25"/>
              <w:ind w:left="192" w:right="184"/>
              <w:rPr>
                <w:sz w:val="21"/>
              </w:rPr>
            </w:pPr>
            <w:r>
              <w:rPr>
                <w:sz w:val="21"/>
              </w:rPr>
              <w:t>监测项目</w:t>
            </w:r>
          </w:p>
        </w:tc>
        <w:tc>
          <w:tcPr>
            <w:tcW w:w="1216" w:type="dxa"/>
          </w:tcPr>
          <w:p>
            <w:pPr>
              <w:pStyle w:val="14"/>
              <w:spacing w:before="60" w:line="239" w:lineRule="exact"/>
              <w:ind w:left="271" w:right="262"/>
              <w:rPr>
                <w:rFonts w:ascii="Times New Roman"/>
                <w:sz w:val="21"/>
              </w:rPr>
            </w:pPr>
            <w:r>
              <w:rPr>
                <w:rFonts w:ascii="Times New Roman"/>
                <w:sz w:val="21"/>
              </w:rPr>
              <w:t>1#</w:t>
            </w:r>
          </w:p>
        </w:tc>
        <w:tc>
          <w:tcPr>
            <w:tcW w:w="1216" w:type="dxa"/>
          </w:tcPr>
          <w:p>
            <w:pPr>
              <w:pStyle w:val="14"/>
              <w:spacing w:before="60" w:line="239" w:lineRule="exact"/>
              <w:ind w:left="271" w:right="261"/>
              <w:rPr>
                <w:rFonts w:ascii="Times New Roman"/>
                <w:sz w:val="21"/>
              </w:rPr>
            </w:pPr>
            <w:r>
              <w:rPr>
                <w:rFonts w:ascii="Times New Roman"/>
                <w:sz w:val="21"/>
              </w:rPr>
              <w:t>2#</w:t>
            </w:r>
          </w:p>
        </w:tc>
        <w:tc>
          <w:tcPr>
            <w:tcW w:w="1216" w:type="dxa"/>
          </w:tcPr>
          <w:p>
            <w:pPr>
              <w:pStyle w:val="14"/>
              <w:spacing w:before="60" w:line="239" w:lineRule="exact"/>
              <w:ind w:left="270" w:right="263"/>
              <w:rPr>
                <w:rFonts w:ascii="Times New Roman"/>
                <w:sz w:val="21"/>
              </w:rPr>
            </w:pPr>
            <w:r>
              <w:rPr>
                <w:rFonts w:ascii="Times New Roman"/>
                <w:sz w:val="21"/>
              </w:rPr>
              <w:t>3#</w:t>
            </w:r>
          </w:p>
        </w:tc>
        <w:tc>
          <w:tcPr>
            <w:tcW w:w="1216" w:type="dxa"/>
          </w:tcPr>
          <w:p>
            <w:pPr>
              <w:pStyle w:val="14"/>
              <w:spacing w:before="60" w:line="239" w:lineRule="exact"/>
              <w:ind w:left="271" w:right="262"/>
              <w:rPr>
                <w:rFonts w:ascii="Times New Roman"/>
                <w:sz w:val="21"/>
              </w:rPr>
            </w:pPr>
            <w:r>
              <w:rPr>
                <w:rFonts w:ascii="Times New Roman"/>
                <w:sz w:val="21"/>
              </w:rPr>
              <w:t>4#</w:t>
            </w:r>
          </w:p>
        </w:tc>
        <w:tc>
          <w:tcPr>
            <w:tcW w:w="1216" w:type="dxa"/>
          </w:tcPr>
          <w:p>
            <w:pPr>
              <w:pStyle w:val="14"/>
              <w:spacing w:before="60" w:line="239" w:lineRule="exact"/>
              <w:ind w:left="271" w:right="263"/>
              <w:rPr>
                <w:rFonts w:ascii="Times New Roman"/>
                <w:sz w:val="21"/>
              </w:rPr>
            </w:pPr>
            <w:r>
              <w:rPr>
                <w:rFonts w:ascii="Times New Roman"/>
                <w:sz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538" w:type="dxa"/>
          </w:tcPr>
          <w:p>
            <w:pPr>
              <w:pStyle w:val="14"/>
              <w:spacing w:before="21"/>
              <w:ind w:left="192" w:right="184"/>
              <w:rPr>
                <w:sz w:val="21"/>
              </w:rPr>
            </w:pPr>
            <w:r>
              <w:rPr>
                <w:rFonts w:ascii="Times New Roman" w:eastAsia="Times New Roman"/>
                <w:sz w:val="21"/>
              </w:rPr>
              <w:t>pH</w:t>
            </w:r>
            <w:r>
              <w:rPr>
                <w:sz w:val="21"/>
              </w:rPr>
              <w:t>（无量纲）</w:t>
            </w:r>
          </w:p>
        </w:tc>
        <w:tc>
          <w:tcPr>
            <w:tcW w:w="1216" w:type="dxa"/>
          </w:tcPr>
          <w:p>
            <w:pPr>
              <w:pStyle w:val="14"/>
              <w:spacing w:before="35"/>
              <w:ind w:left="271" w:right="262"/>
              <w:rPr>
                <w:rFonts w:ascii="Times New Roman"/>
                <w:sz w:val="21"/>
              </w:rPr>
            </w:pPr>
            <w:r>
              <w:rPr>
                <w:rFonts w:ascii="Times New Roman"/>
                <w:sz w:val="21"/>
              </w:rPr>
              <w:t>0.79</w:t>
            </w:r>
          </w:p>
        </w:tc>
        <w:tc>
          <w:tcPr>
            <w:tcW w:w="1216" w:type="dxa"/>
          </w:tcPr>
          <w:p>
            <w:pPr>
              <w:pStyle w:val="14"/>
              <w:spacing w:before="35"/>
              <w:ind w:left="271" w:right="261"/>
              <w:rPr>
                <w:rFonts w:ascii="Times New Roman"/>
                <w:sz w:val="21"/>
              </w:rPr>
            </w:pPr>
            <w:r>
              <w:rPr>
                <w:rFonts w:ascii="Times New Roman"/>
                <w:sz w:val="21"/>
              </w:rPr>
              <w:t>0.35</w:t>
            </w:r>
          </w:p>
        </w:tc>
        <w:tc>
          <w:tcPr>
            <w:tcW w:w="1216" w:type="dxa"/>
          </w:tcPr>
          <w:p>
            <w:pPr>
              <w:pStyle w:val="14"/>
              <w:spacing w:before="35"/>
              <w:ind w:left="7"/>
              <w:rPr>
                <w:rFonts w:ascii="Times New Roman"/>
                <w:sz w:val="21"/>
              </w:rPr>
            </w:pPr>
            <w:r>
              <w:rPr>
                <w:rFonts w:ascii="Times New Roman"/>
                <w:w w:val="99"/>
                <w:sz w:val="21"/>
              </w:rPr>
              <w:t>0</w:t>
            </w:r>
          </w:p>
        </w:tc>
        <w:tc>
          <w:tcPr>
            <w:tcW w:w="1216" w:type="dxa"/>
          </w:tcPr>
          <w:p>
            <w:pPr>
              <w:pStyle w:val="14"/>
              <w:spacing w:before="35"/>
              <w:ind w:left="271" w:right="262"/>
              <w:rPr>
                <w:rFonts w:ascii="Times New Roman"/>
                <w:sz w:val="21"/>
              </w:rPr>
            </w:pPr>
            <w:r>
              <w:rPr>
                <w:rFonts w:ascii="Times New Roman"/>
                <w:sz w:val="21"/>
              </w:rPr>
              <w:t>0.02</w:t>
            </w:r>
          </w:p>
        </w:tc>
        <w:tc>
          <w:tcPr>
            <w:tcW w:w="1216" w:type="dxa"/>
          </w:tcPr>
          <w:p>
            <w:pPr>
              <w:pStyle w:val="14"/>
              <w:spacing w:before="35"/>
              <w:ind w:left="271" w:right="261"/>
              <w:rPr>
                <w:rFonts w:ascii="Times New Roman"/>
                <w:sz w:val="21"/>
              </w:rPr>
            </w:pPr>
            <w:r>
              <w:rPr>
                <w:rFonts w:ascii="Times New Roman"/>
                <w:sz w:val="21"/>
              </w:rPr>
              <w:t>0.41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538" w:type="dxa"/>
          </w:tcPr>
          <w:p>
            <w:pPr>
              <w:pStyle w:val="14"/>
              <w:spacing w:before="21"/>
              <w:ind w:left="190" w:right="184"/>
              <w:rPr>
                <w:sz w:val="21"/>
              </w:rPr>
            </w:pPr>
            <w:r>
              <w:rPr>
                <w:sz w:val="21"/>
              </w:rPr>
              <w:t>氨氮</w:t>
            </w:r>
          </w:p>
        </w:tc>
        <w:tc>
          <w:tcPr>
            <w:tcW w:w="1216" w:type="dxa"/>
          </w:tcPr>
          <w:p>
            <w:pPr>
              <w:pStyle w:val="14"/>
              <w:spacing w:before="21"/>
              <w:ind w:left="271" w:right="261"/>
              <w:rPr>
                <w:sz w:val="21"/>
              </w:rPr>
            </w:pPr>
            <w:r>
              <w:rPr>
                <w:sz w:val="21"/>
              </w:rPr>
              <w:t>未检出</w:t>
            </w:r>
          </w:p>
        </w:tc>
        <w:tc>
          <w:tcPr>
            <w:tcW w:w="1216" w:type="dxa"/>
          </w:tcPr>
          <w:p>
            <w:pPr>
              <w:pStyle w:val="14"/>
              <w:spacing w:before="21"/>
              <w:ind w:left="270" w:right="263"/>
              <w:rPr>
                <w:sz w:val="21"/>
              </w:rPr>
            </w:pPr>
            <w:r>
              <w:rPr>
                <w:sz w:val="21"/>
              </w:rPr>
              <w:t>未检出</w:t>
            </w:r>
          </w:p>
        </w:tc>
        <w:tc>
          <w:tcPr>
            <w:tcW w:w="1216" w:type="dxa"/>
          </w:tcPr>
          <w:p>
            <w:pPr>
              <w:pStyle w:val="14"/>
              <w:spacing w:before="35"/>
              <w:ind w:left="270" w:right="263"/>
              <w:rPr>
                <w:rFonts w:ascii="Times New Roman"/>
                <w:sz w:val="21"/>
              </w:rPr>
            </w:pPr>
            <w:r>
              <w:rPr>
                <w:rFonts w:ascii="Times New Roman"/>
                <w:sz w:val="21"/>
              </w:rPr>
              <w:t>0.06</w:t>
            </w:r>
          </w:p>
        </w:tc>
        <w:tc>
          <w:tcPr>
            <w:tcW w:w="1216" w:type="dxa"/>
          </w:tcPr>
          <w:p>
            <w:pPr>
              <w:pStyle w:val="14"/>
              <w:spacing w:before="35"/>
              <w:ind w:left="271" w:right="262"/>
              <w:rPr>
                <w:rFonts w:ascii="Times New Roman"/>
                <w:sz w:val="21"/>
              </w:rPr>
            </w:pPr>
            <w:r>
              <w:rPr>
                <w:rFonts w:ascii="Times New Roman"/>
                <w:sz w:val="21"/>
              </w:rPr>
              <w:t>0.12</w:t>
            </w:r>
          </w:p>
        </w:tc>
        <w:tc>
          <w:tcPr>
            <w:tcW w:w="1216" w:type="dxa"/>
          </w:tcPr>
          <w:p>
            <w:pPr>
              <w:pStyle w:val="14"/>
              <w:spacing w:before="35"/>
              <w:ind w:left="271" w:right="261"/>
              <w:rPr>
                <w:rFonts w:ascii="Times New Roman"/>
                <w:sz w:val="21"/>
              </w:rPr>
            </w:pPr>
            <w:r>
              <w:rPr>
                <w:rFonts w:ascii="Times New Roman"/>
                <w:sz w:val="21"/>
              </w:rPr>
              <w:t>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538" w:type="dxa"/>
          </w:tcPr>
          <w:p>
            <w:pPr>
              <w:pStyle w:val="14"/>
              <w:spacing w:before="20"/>
              <w:ind w:left="190" w:right="184"/>
              <w:rPr>
                <w:sz w:val="21"/>
              </w:rPr>
            </w:pPr>
            <w:r>
              <w:rPr>
                <w:sz w:val="21"/>
              </w:rPr>
              <w:t>硝酸盐</w:t>
            </w:r>
          </w:p>
        </w:tc>
        <w:tc>
          <w:tcPr>
            <w:tcW w:w="1216" w:type="dxa"/>
          </w:tcPr>
          <w:p>
            <w:pPr>
              <w:pStyle w:val="14"/>
              <w:spacing w:before="34"/>
              <w:ind w:left="271" w:right="262"/>
              <w:rPr>
                <w:rFonts w:ascii="Times New Roman"/>
                <w:sz w:val="21"/>
              </w:rPr>
            </w:pPr>
            <w:r>
              <w:rPr>
                <w:rFonts w:ascii="Times New Roman"/>
                <w:sz w:val="21"/>
              </w:rPr>
              <w:t>0.35</w:t>
            </w:r>
          </w:p>
        </w:tc>
        <w:tc>
          <w:tcPr>
            <w:tcW w:w="1216" w:type="dxa"/>
          </w:tcPr>
          <w:p>
            <w:pPr>
              <w:pStyle w:val="14"/>
              <w:spacing w:before="34"/>
              <w:ind w:left="271" w:right="261"/>
              <w:rPr>
                <w:rFonts w:ascii="Times New Roman"/>
                <w:sz w:val="21"/>
              </w:rPr>
            </w:pPr>
            <w:r>
              <w:rPr>
                <w:rFonts w:ascii="Times New Roman"/>
                <w:sz w:val="21"/>
              </w:rPr>
              <w:t>0.40</w:t>
            </w:r>
          </w:p>
        </w:tc>
        <w:tc>
          <w:tcPr>
            <w:tcW w:w="1216" w:type="dxa"/>
          </w:tcPr>
          <w:p>
            <w:pPr>
              <w:pStyle w:val="14"/>
              <w:spacing w:before="34"/>
              <w:ind w:left="270" w:right="263"/>
              <w:rPr>
                <w:rFonts w:ascii="Times New Roman"/>
                <w:sz w:val="21"/>
              </w:rPr>
            </w:pPr>
            <w:r>
              <w:rPr>
                <w:rFonts w:ascii="Times New Roman"/>
                <w:sz w:val="21"/>
              </w:rPr>
              <w:t>0.49</w:t>
            </w:r>
          </w:p>
        </w:tc>
        <w:tc>
          <w:tcPr>
            <w:tcW w:w="1216" w:type="dxa"/>
          </w:tcPr>
          <w:p>
            <w:pPr>
              <w:pStyle w:val="14"/>
              <w:spacing w:before="20"/>
              <w:ind w:left="271" w:right="261"/>
              <w:rPr>
                <w:sz w:val="21"/>
              </w:rPr>
            </w:pPr>
            <w:r>
              <w:rPr>
                <w:sz w:val="21"/>
              </w:rPr>
              <w:t>未检出</w:t>
            </w:r>
          </w:p>
        </w:tc>
        <w:tc>
          <w:tcPr>
            <w:tcW w:w="1216" w:type="dxa"/>
          </w:tcPr>
          <w:p>
            <w:pPr>
              <w:pStyle w:val="14"/>
              <w:spacing w:before="20"/>
              <w:ind w:left="270" w:right="263"/>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538" w:type="dxa"/>
          </w:tcPr>
          <w:p>
            <w:pPr>
              <w:pStyle w:val="14"/>
              <w:spacing w:before="20"/>
              <w:ind w:left="192" w:right="184"/>
              <w:rPr>
                <w:sz w:val="21"/>
              </w:rPr>
            </w:pPr>
            <w:r>
              <w:rPr>
                <w:sz w:val="21"/>
              </w:rPr>
              <w:t>亚硝酸盐</w:t>
            </w:r>
          </w:p>
        </w:tc>
        <w:tc>
          <w:tcPr>
            <w:tcW w:w="1216" w:type="dxa"/>
          </w:tcPr>
          <w:p>
            <w:pPr>
              <w:pStyle w:val="14"/>
              <w:spacing w:before="34"/>
              <w:ind w:left="271" w:right="262"/>
              <w:rPr>
                <w:rFonts w:ascii="Times New Roman"/>
                <w:sz w:val="21"/>
              </w:rPr>
            </w:pPr>
            <w:r>
              <w:rPr>
                <w:rFonts w:ascii="Times New Roman"/>
                <w:sz w:val="21"/>
              </w:rPr>
              <w:t>0.005</w:t>
            </w:r>
          </w:p>
        </w:tc>
        <w:tc>
          <w:tcPr>
            <w:tcW w:w="1216" w:type="dxa"/>
          </w:tcPr>
          <w:p>
            <w:pPr>
              <w:pStyle w:val="14"/>
              <w:spacing w:before="20"/>
              <w:ind w:left="270" w:right="263"/>
              <w:rPr>
                <w:sz w:val="21"/>
              </w:rPr>
            </w:pPr>
            <w:r>
              <w:rPr>
                <w:sz w:val="21"/>
              </w:rPr>
              <w:t>未检出</w:t>
            </w:r>
          </w:p>
        </w:tc>
        <w:tc>
          <w:tcPr>
            <w:tcW w:w="1216" w:type="dxa"/>
          </w:tcPr>
          <w:p>
            <w:pPr>
              <w:pStyle w:val="14"/>
              <w:spacing w:before="34"/>
              <w:ind w:left="271" w:right="261"/>
              <w:rPr>
                <w:rFonts w:ascii="Times New Roman"/>
                <w:sz w:val="21"/>
              </w:rPr>
            </w:pPr>
            <w:r>
              <w:rPr>
                <w:rFonts w:ascii="Times New Roman"/>
                <w:sz w:val="21"/>
              </w:rPr>
              <w:t>0.026</w:t>
            </w:r>
          </w:p>
        </w:tc>
        <w:tc>
          <w:tcPr>
            <w:tcW w:w="1216" w:type="dxa"/>
          </w:tcPr>
          <w:p>
            <w:pPr>
              <w:pStyle w:val="14"/>
              <w:spacing w:before="34"/>
              <w:ind w:left="271" w:right="262"/>
              <w:rPr>
                <w:rFonts w:ascii="Times New Roman"/>
                <w:sz w:val="21"/>
              </w:rPr>
            </w:pPr>
            <w:r>
              <w:rPr>
                <w:rFonts w:ascii="Times New Roman"/>
                <w:sz w:val="21"/>
              </w:rPr>
              <w:t>0.004</w:t>
            </w:r>
          </w:p>
        </w:tc>
        <w:tc>
          <w:tcPr>
            <w:tcW w:w="1216" w:type="dxa"/>
          </w:tcPr>
          <w:p>
            <w:pPr>
              <w:pStyle w:val="14"/>
              <w:spacing w:before="20"/>
              <w:ind w:left="270" w:right="263"/>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538" w:type="dxa"/>
          </w:tcPr>
          <w:p>
            <w:pPr>
              <w:pStyle w:val="14"/>
              <w:spacing w:before="20"/>
              <w:ind w:left="190" w:right="184"/>
              <w:rPr>
                <w:sz w:val="21"/>
              </w:rPr>
            </w:pPr>
            <w:r>
              <w:rPr>
                <w:sz w:val="21"/>
              </w:rPr>
              <w:t>总硬度</w:t>
            </w:r>
          </w:p>
        </w:tc>
        <w:tc>
          <w:tcPr>
            <w:tcW w:w="1216" w:type="dxa"/>
          </w:tcPr>
          <w:p>
            <w:pPr>
              <w:pStyle w:val="14"/>
              <w:spacing w:before="34"/>
              <w:ind w:left="271" w:right="262"/>
              <w:rPr>
                <w:rFonts w:ascii="Times New Roman"/>
                <w:sz w:val="21"/>
              </w:rPr>
            </w:pPr>
            <w:r>
              <w:rPr>
                <w:rFonts w:ascii="Times New Roman"/>
                <w:sz w:val="21"/>
              </w:rPr>
              <w:t>0.50</w:t>
            </w:r>
          </w:p>
        </w:tc>
        <w:tc>
          <w:tcPr>
            <w:tcW w:w="1216" w:type="dxa"/>
          </w:tcPr>
          <w:p>
            <w:pPr>
              <w:pStyle w:val="14"/>
              <w:spacing w:before="34"/>
              <w:ind w:left="271" w:right="261"/>
              <w:rPr>
                <w:rFonts w:ascii="Times New Roman"/>
                <w:sz w:val="21"/>
              </w:rPr>
            </w:pPr>
            <w:r>
              <w:rPr>
                <w:rFonts w:ascii="Times New Roman"/>
                <w:sz w:val="21"/>
              </w:rPr>
              <w:t>0.28</w:t>
            </w:r>
          </w:p>
        </w:tc>
        <w:tc>
          <w:tcPr>
            <w:tcW w:w="1216" w:type="dxa"/>
          </w:tcPr>
          <w:p>
            <w:pPr>
              <w:pStyle w:val="14"/>
              <w:spacing w:before="34"/>
              <w:ind w:left="270" w:right="263"/>
              <w:rPr>
                <w:rFonts w:ascii="Times New Roman"/>
                <w:sz w:val="21"/>
              </w:rPr>
            </w:pPr>
            <w:r>
              <w:rPr>
                <w:rFonts w:ascii="Times New Roman"/>
                <w:sz w:val="21"/>
              </w:rPr>
              <w:t>0.52</w:t>
            </w:r>
          </w:p>
        </w:tc>
        <w:tc>
          <w:tcPr>
            <w:tcW w:w="1216" w:type="dxa"/>
          </w:tcPr>
          <w:p>
            <w:pPr>
              <w:pStyle w:val="14"/>
              <w:spacing w:before="34"/>
              <w:ind w:left="271" w:right="262"/>
              <w:rPr>
                <w:rFonts w:ascii="Times New Roman"/>
                <w:sz w:val="21"/>
              </w:rPr>
            </w:pPr>
            <w:r>
              <w:rPr>
                <w:rFonts w:ascii="Times New Roman"/>
                <w:sz w:val="21"/>
              </w:rPr>
              <w:t>1.02</w:t>
            </w:r>
          </w:p>
        </w:tc>
        <w:tc>
          <w:tcPr>
            <w:tcW w:w="1216" w:type="dxa"/>
          </w:tcPr>
          <w:p>
            <w:pPr>
              <w:pStyle w:val="14"/>
              <w:spacing w:before="34"/>
              <w:ind w:left="271" w:right="261"/>
              <w:rPr>
                <w:rFonts w:ascii="Times New Roman"/>
                <w:sz w:val="21"/>
              </w:rPr>
            </w:pPr>
            <w:r>
              <w:rPr>
                <w:rFonts w:ascii="Times New Roman"/>
                <w:sz w:val="21"/>
              </w:rPr>
              <w:t>0.99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538" w:type="dxa"/>
          </w:tcPr>
          <w:p>
            <w:pPr>
              <w:pStyle w:val="14"/>
              <w:spacing w:before="22"/>
              <w:ind w:left="190" w:right="184"/>
              <w:rPr>
                <w:sz w:val="21"/>
              </w:rPr>
            </w:pPr>
            <w:r>
              <w:rPr>
                <w:sz w:val="21"/>
              </w:rPr>
              <w:t>高锰酸盐指数</w:t>
            </w:r>
          </w:p>
        </w:tc>
        <w:tc>
          <w:tcPr>
            <w:tcW w:w="1216" w:type="dxa"/>
          </w:tcPr>
          <w:p>
            <w:pPr>
              <w:pStyle w:val="14"/>
              <w:spacing w:before="36"/>
              <w:ind w:left="271" w:right="262"/>
              <w:rPr>
                <w:rFonts w:ascii="Times New Roman"/>
                <w:sz w:val="21"/>
              </w:rPr>
            </w:pPr>
            <w:r>
              <w:rPr>
                <w:rFonts w:ascii="Times New Roman"/>
                <w:sz w:val="21"/>
              </w:rPr>
              <w:t>0.60</w:t>
            </w:r>
          </w:p>
        </w:tc>
        <w:tc>
          <w:tcPr>
            <w:tcW w:w="1216" w:type="dxa"/>
          </w:tcPr>
          <w:p>
            <w:pPr>
              <w:pStyle w:val="14"/>
              <w:spacing w:before="36"/>
              <w:ind w:left="271" w:right="261"/>
              <w:rPr>
                <w:rFonts w:ascii="Times New Roman"/>
                <w:sz w:val="21"/>
              </w:rPr>
            </w:pPr>
            <w:r>
              <w:rPr>
                <w:rFonts w:ascii="Times New Roman"/>
                <w:sz w:val="21"/>
              </w:rPr>
              <w:t>0.47</w:t>
            </w:r>
          </w:p>
        </w:tc>
        <w:tc>
          <w:tcPr>
            <w:tcW w:w="1216" w:type="dxa"/>
          </w:tcPr>
          <w:p>
            <w:pPr>
              <w:pStyle w:val="14"/>
              <w:spacing w:before="36"/>
              <w:ind w:left="270" w:right="263"/>
              <w:rPr>
                <w:rFonts w:ascii="Times New Roman"/>
                <w:sz w:val="21"/>
              </w:rPr>
            </w:pPr>
            <w:r>
              <w:rPr>
                <w:rFonts w:ascii="Times New Roman"/>
                <w:sz w:val="21"/>
              </w:rPr>
              <w:t>0.33</w:t>
            </w:r>
          </w:p>
        </w:tc>
        <w:tc>
          <w:tcPr>
            <w:tcW w:w="1216" w:type="dxa"/>
          </w:tcPr>
          <w:p>
            <w:pPr>
              <w:pStyle w:val="14"/>
              <w:spacing w:before="36"/>
              <w:ind w:left="271" w:right="262"/>
              <w:rPr>
                <w:rFonts w:ascii="Times New Roman"/>
                <w:sz w:val="21"/>
              </w:rPr>
            </w:pPr>
            <w:r>
              <w:rPr>
                <w:rFonts w:ascii="Times New Roman"/>
                <w:sz w:val="21"/>
              </w:rPr>
              <w:t>0.23</w:t>
            </w:r>
          </w:p>
        </w:tc>
        <w:tc>
          <w:tcPr>
            <w:tcW w:w="1216" w:type="dxa"/>
          </w:tcPr>
          <w:p>
            <w:pPr>
              <w:pStyle w:val="14"/>
              <w:spacing w:before="36"/>
              <w:ind w:left="271" w:right="261"/>
              <w:rPr>
                <w:rFonts w:ascii="Times New Roman"/>
                <w:sz w:val="21"/>
              </w:rPr>
            </w:pPr>
            <w:r>
              <w:rPr>
                <w:rFonts w:ascii="Times New Roman"/>
                <w:sz w:val="21"/>
              </w:rPr>
              <w:t>0.57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538" w:type="dxa"/>
          </w:tcPr>
          <w:p>
            <w:pPr>
              <w:pStyle w:val="14"/>
              <w:spacing w:before="21"/>
              <w:ind w:left="190" w:right="184"/>
              <w:rPr>
                <w:sz w:val="21"/>
              </w:rPr>
            </w:pPr>
            <w:r>
              <w:rPr>
                <w:sz w:val="21"/>
              </w:rPr>
              <w:t>溶解性总固体</w:t>
            </w:r>
          </w:p>
        </w:tc>
        <w:tc>
          <w:tcPr>
            <w:tcW w:w="1216" w:type="dxa"/>
          </w:tcPr>
          <w:p>
            <w:pPr>
              <w:pStyle w:val="14"/>
              <w:spacing w:before="35"/>
              <w:ind w:left="271" w:right="262"/>
              <w:rPr>
                <w:rFonts w:ascii="Times New Roman"/>
                <w:sz w:val="21"/>
              </w:rPr>
            </w:pPr>
            <w:r>
              <w:rPr>
                <w:rFonts w:ascii="Times New Roman"/>
                <w:sz w:val="21"/>
              </w:rPr>
              <w:t>0.33</w:t>
            </w:r>
          </w:p>
        </w:tc>
        <w:tc>
          <w:tcPr>
            <w:tcW w:w="1216" w:type="dxa"/>
          </w:tcPr>
          <w:p>
            <w:pPr>
              <w:pStyle w:val="14"/>
              <w:spacing w:before="35"/>
              <w:ind w:left="271" w:right="261"/>
              <w:rPr>
                <w:rFonts w:ascii="Times New Roman"/>
                <w:sz w:val="21"/>
              </w:rPr>
            </w:pPr>
            <w:r>
              <w:rPr>
                <w:rFonts w:ascii="Times New Roman"/>
                <w:sz w:val="21"/>
              </w:rPr>
              <w:t>0.29</w:t>
            </w:r>
          </w:p>
        </w:tc>
        <w:tc>
          <w:tcPr>
            <w:tcW w:w="1216" w:type="dxa"/>
          </w:tcPr>
          <w:p>
            <w:pPr>
              <w:pStyle w:val="14"/>
              <w:spacing w:before="35"/>
              <w:ind w:left="270" w:right="263"/>
              <w:rPr>
                <w:rFonts w:ascii="Times New Roman"/>
                <w:sz w:val="21"/>
              </w:rPr>
            </w:pPr>
            <w:r>
              <w:rPr>
                <w:rFonts w:ascii="Times New Roman"/>
                <w:sz w:val="21"/>
              </w:rPr>
              <w:t>0.47</w:t>
            </w:r>
          </w:p>
        </w:tc>
        <w:tc>
          <w:tcPr>
            <w:tcW w:w="1216" w:type="dxa"/>
          </w:tcPr>
          <w:p>
            <w:pPr>
              <w:pStyle w:val="14"/>
              <w:spacing w:before="35"/>
              <w:ind w:left="271" w:right="262"/>
              <w:rPr>
                <w:rFonts w:ascii="Times New Roman"/>
                <w:sz w:val="21"/>
              </w:rPr>
            </w:pPr>
            <w:r>
              <w:rPr>
                <w:rFonts w:ascii="Times New Roman"/>
                <w:sz w:val="21"/>
              </w:rPr>
              <w:t>0.54</w:t>
            </w:r>
          </w:p>
        </w:tc>
        <w:tc>
          <w:tcPr>
            <w:tcW w:w="1216" w:type="dxa"/>
          </w:tcPr>
          <w:p>
            <w:pPr>
              <w:pStyle w:val="14"/>
              <w:spacing w:before="35"/>
              <w:ind w:left="271" w:right="261"/>
              <w:rPr>
                <w:rFonts w:ascii="Times New Roman"/>
                <w:sz w:val="21"/>
              </w:rPr>
            </w:pPr>
            <w:r>
              <w:rPr>
                <w:rFonts w:ascii="Times New Roman"/>
                <w:sz w:val="21"/>
              </w:rPr>
              <w:t>0.53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538" w:type="dxa"/>
          </w:tcPr>
          <w:p>
            <w:pPr>
              <w:pStyle w:val="14"/>
              <w:spacing w:before="21"/>
              <w:ind w:left="8"/>
              <w:rPr>
                <w:sz w:val="21"/>
              </w:rPr>
            </w:pPr>
            <w:r>
              <w:rPr>
                <w:w w:val="99"/>
                <w:sz w:val="21"/>
              </w:rPr>
              <w:t>铁</w:t>
            </w:r>
          </w:p>
        </w:tc>
        <w:tc>
          <w:tcPr>
            <w:tcW w:w="1216" w:type="dxa"/>
          </w:tcPr>
          <w:p>
            <w:pPr>
              <w:pStyle w:val="14"/>
              <w:spacing w:before="21"/>
              <w:ind w:left="271" w:right="261"/>
              <w:rPr>
                <w:sz w:val="21"/>
              </w:rPr>
            </w:pPr>
            <w:r>
              <w:rPr>
                <w:sz w:val="21"/>
              </w:rPr>
              <w:t>未检出</w:t>
            </w:r>
          </w:p>
        </w:tc>
        <w:tc>
          <w:tcPr>
            <w:tcW w:w="1216" w:type="dxa"/>
          </w:tcPr>
          <w:p>
            <w:pPr>
              <w:pStyle w:val="14"/>
              <w:spacing w:before="21"/>
              <w:ind w:left="270" w:right="263"/>
              <w:rPr>
                <w:sz w:val="21"/>
              </w:rPr>
            </w:pPr>
            <w:r>
              <w:rPr>
                <w:sz w:val="21"/>
              </w:rPr>
              <w:t>未检出</w:t>
            </w:r>
          </w:p>
        </w:tc>
        <w:tc>
          <w:tcPr>
            <w:tcW w:w="1216" w:type="dxa"/>
          </w:tcPr>
          <w:p>
            <w:pPr>
              <w:pStyle w:val="14"/>
              <w:spacing w:before="35"/>
              <w:ind w:left="270" w:right="263"/>
              <w:rPr>
                <w:rFonts w:ascii="Times New Roman"/>
                <w:sz w:val="21"/>
              </w:rPr>
            </w:pPr>
            <w:r>
              <w:rPr>
                <w:rFonts w:ascii="Times New Roman"/>
                <w:sz w:val="21"/>
              </w:rPr>
              <w:t>0.13</w:t>
            </w:r>
          </w:p>
        </w:tc>
        <w:tc>
          <w:tcPr>
            <w:tcW w:w="1216" w:type="dxa"/>
          </w:tcPr>
          <w:p>
            <w:pPr>
              <w:pStyle w:val="14"/>
              <w:spacing w:before="35"/>
              <w:ind w:left="271" w:right="262"/>
              <w:rPr>
                <w:rFonts w:ascii="Times New Roman"/>
                <w:sz w:val="21"/>
              </w:rPr>
            </w:pPr>
            <w:r>
              <w:rPr>
                <w:rFonts w:ascii="Times New Roman"/>
                <w:sz w:val="21"/>
              </w:rPr>
              <w:t>0.13</w:t>
            </w:r>
          </w:p>
        </w:tc>
        <w:tc>
          <w:tcPr>
            <w:tcW w:w="1216" w:type="dxa"/>
          </w:tcPr>
          <w:p>
            <w:pPr>
              <w:pStyle w:val="14"/>
              <w:spacing w:before="21"/>
              <w:ind w:left="270" w:right="263"/>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538" w:type="dxa"/>
          </w:tcPr>
          <w:p>
            <w:pPr>
              <w:pStyle w:val="14"/>
              <w:spacing w:before="20"/>
              <w:ind w:left="8"/>
              <w:rPr>
                <w:sz w:val="21"/>
              </w:rPr>
            </w:pPr>
            <w:r>
              <w:rPr>
                <w:w w:val="99"/>
                <w:sz w:val="21"/>
              </w:rPr>
              <w:t>锰</w:t>
            </w:r>
          </w:p>
        </w:tc>
        <w:tc>
          <w:tcPr>
            <w:tcW w:w="1216" w:type="dxa"/>
          </w:tcPr>
          <w:p>
            <w:pPr>
              <w:pStyle w:val="14"/>
              <w:spacing w:before="20"/>
              <w:ind w:left="271" w:right="261"/>
              <w:rPr>
                <w:sz w:val="21"/>
              </w:rPr>
            </w:pPr>
            <w:r>
              <w:rPr>
                <w:sz w:val="21"/>
              </w:rPr>
              <w:t>未检出</w:t>
            </w:r>
          </w:p>
        </w:tc>
        <w:tc>
          <w:tcPr>
            <w:tcW w:w="1216" w:type="dxa"/>
          </w:tcPr>
          <w:p>
            <w:pPr>
              <w:pStyle w:val="14"/>
              <w:spacing w:before="34"/>
              <w:ind w:left="271" w:right="261"/>
              <w:rPr>
                <w:rFonts w:ascii="Times New Roman"/>
                <w:sz w:val="21"/>
              </w:rPr>
            </w:pPr>
            <w:r>
              <w:rPr>
                <w:rFonts w:ascii="Times New Roman"/>
                <w:sz w:val="21"/>
              </w:rPr>
              <w:t>0.10</w:t>
            </w:r>
          </w:p>
        </w:tc>
        <w:tc>
          <w:tcPr>
            <w:tcW w:w="1216" w:type="dxa"/>
          </w:tcPr>
          <w:p>
            <w:pPr>
              <w:pStyle w:val="14"/>
              <w:spacing w:before="34"/>
              <w:ind w:left="270" w:right="263"/>
              <w:rPr>
                <w:rFonts w:ascii="Times New Roman"/>
                <w:sz w:val="21"/>
              </w:rPr>
            </w:pPr>
            <w:r>
              <w:rPr>
                <w:rFonts w:ascii="Times New Roman"/>
                <w:sz w:val="21"/>
              </w:rPr>
              <w:t>0.10</w:t>
            </w:r>
          </w:p>
        </w:tc>
        <w:tc>
          <w:tcPr>
            <w:tcW w:w="1216" w:type="dxa"/>
          </w:tcPr>
          <w:p>
            <w:pPr>
              <w:pStyle w:val="14"/>
              <w:spacing w:before="34"/>
              <w:ind w:left="271" w:right="262"/>
              <w:rPr>
                <w:rFonts w:ascii="Times New Roman"/>
                <w:sz w:val="21"/>
              </w:rPr>
            </w:pPr>
            <w:r>
              <w:rPr>
                <w:rFonts w:ascii="Times New Roman"/>
                <w:sz w:val="21"/>
              </w:rPr>
              <w:t>2.20</w:t>
            </w:r>
          </w:p>
        </w:tc>
        <w:tc>
          <w:tcPr>
            <w:tcW w:w="1216" w:type="dxa"/>
          </w:tcPr>
          <w:p>
            <w:pPr>
              <w:pStyle w:val="14"/>
              <w:spacing w:before="34"/>
              <w:ind w:left="271" w:right="261"/>
              <w:rPr>
                <w:rFonts w:ascii="Times New Roman"/>
                <w:sz w:val="21"/>
              </w:rPr>
            </w:pPr>
            <w:r>
              <w:rPr>
                <w:rFonts w:ascii="Times New Roman"/>
                <w:sz w:val="21"/>
              </w:rPr>
              <w: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538" w:type="dxa"/>
          </w:tcPr>
          <w:p>
            <w:pPr>
              <w:pStyle w:val="14"/>
              <w:spacing w:before="20"/>
              <w:ind w:left="192" w:right="184"/>
              <w:rPr>
                <w:sz w:val="21"/>
              </w:rPr>
            </w:pPr>
            <w:r>
              <w:rPr>
                <w:sz w:val="21"/>
              </w:rPr>
              <w:t>铅（</w:t>
            </w:r>
            <w:r>
              <w:rPr>
                <w:rFonts w:ascii="Times New Roman" w:hAnsi="Times New Roman" w:eastAsia="Times New Roman"/>
                <w:sz w:val="21"/>
              </w:rPr>
              <w:t>μg/L</w:t>
            </w:r>
            <w:r>
              <w:rPr>
                <w:sz w:val="21"/>
              </w:rPr>
              <w:t>）</w:t>
            </w:r>
          </w:p>
        </w:tc>
        <w:tc>
          <w:tcPr>
            <w:tcW w:w="1216" w:type="dxa"/>
          </w:tcPr>
          <w:p>
            <w:pPr>
              <w:pStyle w:val="14"/>
              <w:spacing w:before="20"/>
              <w:ind w:left="271" w:right="261"/>
              <w:rPr>
                <w:sz w:val="21"/>
              </w:rPr>
            </w:pPr>
            <w:r>
              <w:rPr>
                <w:sz w:val="21"/>
              </w:rPr>
              <w:t>未检出</w:t>
            </w:r>
          </w:p>
        </w:tc>
        <w:tc>
          <w:tcPr>
            <w:tcW w:w="1216" w:type="dxa"/>
          </w:tcPr>
          <w:p>
            <w:pPr>
              <w:pStyle w:val="14"/>
              <w:spacing w:before="20"/>
              <w:ind w:left="270" w:right="263"/>
              <w:rPr>
                <w:sz w:val="21"/>
              </w:rPr>
            </w:pPr>
            <w:r>
              <w:rPr>
                <w:sz w:val="21"/>
              </w:rPr>
              <w:t>未检出</w:t>
            </w:r>
          </w:p>
        </w:tc>
        <w:tc>
          <w:tcPr>
            <w:tcW w:w="1216" w:type="dxa"/>
          </w:tcPr>
          <w:p>
            <w:pPr>
              <w:pStyle w:val="14"/>
              <w:spacing w:before="20"/>
              <w:ind w:left="271" w:right="263"/>
              <w:rPr>
                <w:sz w:val="21"/>
              </w:rPr>
            </w:pPr>
            <w:r>
              <w:rPr>
                <w:sz w:val="21"/>
              </w:rPr>
              <w:t>未检出</w:t>
            </w:r>
          </w:p>
        </w:tc>
        <w:tc>
          <w:tcPr>
            <w:tcW w:w="1216" w:type="dxa"/>
          </w:tcPr>
          <w:p>
            <w:pPr>
              <w:pStyle w:val="14"/>
              <w:spacing w:before="20"/>
              <w:ind w:left="271" w:right="261"/>
              <w:rPr>
                <w:sz w:val="21"/>
              </w:rPr>
            </w:pPr>
            <w:r>
              <w:rPr>
                <w:sz w:val="21"/>
              </w:rPr>
              <w:t>未检出</w:t>
            </w:r>
          </w:p>
        </w:tc>
        <w:tc>
          <w:tcPr>
            <w:tcW w:w="1216" w:type="dxa"/>
          </w:tcPr>
          <w:p>
            <w:pPr>
              <w:pStyle w:val="14"/>
              <w:spacing w:before="20"/>
              <w:ind w:left="270" w:right="263"/>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538" w:type="dxa"/>
          </w:tcPr>
          <w:p>
            <w:pPr>
              <w:pStyle w:val="14"/>
              <w:spacing w:before="20"/>
              <w:ind w:left="190" w:right="184"/>
              <w:rPr>
                <w:sz w:val="21"/>
              </w:rPr>
            </w:pPr>
            <w:r>
              <w:rPr>
                <w:sz w:val="21"/>
              </w:rPr>
              <w:t>六价铬</w:t>
            </w:r>
          </w:p>
        </w:tc>
        <w:tc>
          <w:tcPr>
            <w:tcW w:w="1216" w:type="dxa"/>
          </w:tcPr>
          <w:p>
            <w:pPr>
              <w:pStyle w:val="14"/>
              <w:spacing w:before="20"/>
              <w:ind w:left="271" w:right="261"/>
              <w:rPr>
                <w:sz w:val="21"/>
              </w:rPr>
            </w:pPr>
            <w:r>
              <w:rPr>
                <w:sz w:val="21"/>
              </w:rPr>
              <w:t>未检出</w:t>
            </w:r>
          </w:p>
        </w:tc>
        <w:tc>
          <w:tcPr>
            <w:tcW w:w="1216" w:type="dxa"/>
          </w:tcPr>
          <w:p>
            <w:pPr>
              <w:pStyle w:val="14"/>
              <w:spacing w:before="20"/>
              <w:ind w:left="270" w:right="263"/>
              <w:rPr>
                <w:sz w:val="21"/>
              </w:rPr>
            </w:pPr>
            <w:r>
              <w:rPr>
                <w:sz w:val="21"/>
              </w:rPr>
              <w:t>未检出</w:t>
            </w:r>
          </w:p>
        </w:tc>
        <w:tc>
          <w:tcPr>
            <w:tcW w:w="1216" w:type="dxa"/>
          </w:tcPr>
          <w:p>
            <w:pPr>
              <w:pStyle w:val="14"/>
              <w:spacing w:before="20"/>
              <w:ind w:left="271" w:right="263"/>
              <w:rPr>
                <w:sz w:val="21"/>
              </w:rPr>
            </w:pPr>
            <w:r>
              <w:rPr>
                <w:sz w:val="21"/>
              </w:rPr>
              <w:t>未检出</w:t>
            </w:r>
          </w:p>
        </w:tc>
        <w:tc>
          <w:tcPr>
            <w:tcW w:w="1216" w:type="dxa"/>
          </w:tcPr>
          <w:p>
            <w:pPr>
              <w:pStyle w:val="14"/>
              <w:spacing w:before="20"/>
              <w:ind w:left="271" w:right="261"/>
              <w:rPr>
                <w:sz w:val="21"/>
              </w:rPr>
            </w:pPr>
            <w:r>
              <w:rPr>
                <w:sz w:val="21"/>
              </w:rPr>
              <w:t>未检出</w:t>
            </w:r>
          </w:p>
        </w:tc>
        <w:tc>
          <w:tcPr>
            <w:tcW w:w="1216" w:type="dxa"/>
          </w:tcPr>
          <w:p>
            <w:pPr>
              <w:pStyle w:val="14"/>
              <w:spacing w:before="20"/>
              <w:ind w:left="270" w:right="263"/>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538" w:type="dxa"/>
          </w:tcPr>
          <w:p>
            <w:pPr>
              <w:pStyle w:val="14"/>
              <w:spacing w:before="22"/>
              <w:ind w:left="190" w:right="184"/>
              <w:rPr>
                <w:sz w:val="21"/>
              </w:rPr>
            </w:pPr>
            <w:r>
              <w:rPr>
                <w:sz w:val="21"/>
              </w:rPr>
              <w:t>氯化物</w:t>
            </w:r>
          </w:p>
        </w:tc>
        <w:tc>
          <w:tcPr>
            <w:tcW w:w="1216" w:type="dxa"/>
          </w:tcPr>
          <w:p>
            <w:pPr>
              <w:pStyle w:val="14"/>
              <w:spacing w:before="36"/>
              <w:ind w:left="271" w:right="262"/>
              <w:rPr>
                <w:rFonts w:ascii="Times New Roman"/>
                <w:sz w:val="21"/>
              </w:rPr>
            </w:pPr>
            <w:r>
              <w:rPr>
                <w:rFonts w:ascii="Times New Roman"/>
                <w:sz w:val="21"/>
              </w:rPr>
              <w:t>0.05</w:t>
            </w:r>
          </w:p>
        </w:tc>
        <w:tc>
          <w:tcPr>
            <w:tcW w:w="1216" w:type="dxa"/>
          </w:tcPr>
          <w:p>
            <w:pPr>
              <w:pStyle w:val="14"/>
              <w:spacing w:before="36"/>
              <w:ind w:left="271" w:right="261"/>
              <w:rPr>
                <w:rFonts w:ascii="Times New Roman"/>
                <w:sz w:val="21"/>
              </w:rPr>
            </w:pPr>
            <w:r>
              <w:rPr>
                <w:rFonts w:ascii="Times New Roman"/>
                <w:sz w:val="21"/>
              </w:rPr>
              <w:t>0.04</w:t>
            </w:r>
          </w:p>
        </w:tc>
        <w:tc>
          <w:tcPr>
            <w:tcW w:w="1216" w:type="dxa"/>
          </w:tcPr>
          <w:p>
            <w:pPr>
              <w:pStyle w:val="14"/>
              <w:spacing w:before="36"/>
              <w:ind w:left="270" w:right="263"/>
              <w:rPr>
                <w:rFonts w:ascii="Times New Roman"/>
                <w:sz w:val="21"/>
              </w:rPr>
            </w:pPr>
            <w:r>
              <w:rPr>
                <w:rFonts w:ascii="Times New Roman"/>
                <w:sz w:val="21"/>
              </w:rPr>
              <w:t>0.12</w:t>
            </w:r>
          </w:p>
        </w:tc>
        <w:tc>
          <w:tcPr>
            <w:tcW w:w="1216" w:type="dxa"/>
          </w:tcPr>
          <w:p>
            <w:pPr>
              <w:pStyle w:val="14"/>
              <w:spacing w:before="36"/>
              <w:ind w:left="271" w:right="262"/>
              <w:rPr>
                <w:rFonts w:ascii="Times New Roman"/>
                <w:sz w:val="21"/>
              </w:rPr>
            </w:pPr>
            <w:r>
              <w:rPr>
                <w:rFonts w:ascii="Times New Roman"/>
                <w:sz w:val="21"/>
              </w:rPr>
              <w:t>0.05</w:t>
            </w:r>
          </w:p>
        </w:tc>
        <w:tc>
          <w:tcPr>
            <w:tcW w:w="1216" w:type="dxa"/>
          </w:tcPr>
          <w:p>
            <w:pPr>
              <w:pStyle w:val="14"/>
              <w:spacing w:before="36"/>
              <w:ind w:left="271" w:right="261"/>
              <w:rPr>
                <w:rFonts w:ascii="Times New Roman"/>
                <w:sz w:val="21"/>
              </w:rPr>
            </w:pPr>
            <w:r>
              <w:rPr>
                <w:rFonts w:ascii="Times New Roman"/>
                <w:sz w:val="21"/>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538" w:type="dxa"/>
          </w:tcPr>
          <w:p>
            <w:pPr>
              <w:pStyle w:val="14"/>
              <w:spacing w:before="21"/>
              <w:ind w:left="190" w:right="184"/>
              <w:rPr>
                <w:sz w:val="21"/>
              </w:rPr>
            </w:pPr>
            <w:r>
              <w:rPr>
                <w:sz w:val="21"/>
              </w:rPr>
              <w:t>硫酸盐</w:t>
            </w:r>
          </w:p>
        </w:tc>
        <w:tc>
          <w:tcPr>
            <w:tcW w:w="1216" w:type="dxa"/>
          </w:tcPr>
          <w:p>
            <w:pPr>
              <w:pStyle w:val="14"/>
              <w:spacing w:before="35"/>
              <w:ind w:left="271" w:right="262"/>
              <w:rPr>
                <w:rFonts w:ascii="Times New Roman"/>
                <w:sz w:val="21"/>
              </w:rPr>
            </w:pPr>
            <w:r>
              <w:rPr>
                <w:rFonts w:ascii="Times New Roman"/>
                <w:sz w:val="21"/>
              </w:rPr>
              <w:t>0.04</w:t>
            </w:r>
          </w:p>
        </w:tc>
        <w:tc>
          <w:tcPr>
            <w:tcW w:w="1216" w:type="dxa"/>
          </w:tcPr>
          <w:p>
            <w:pPr>
              <w:pStyle w:val="14"/>
              <w:spacing w:before="35"/>
              <w:ind w:left="271" w:right="261"/>
              <w:rPr>
                <w:rFonts w:ascii="Times New Roman"/>
                <w:sz w:val="21"/>
              </w:rPr>
            </w:pPr>
            <w:r>
              <w:rPr>
                <w:rFonts w:ascii="Times New Roman"/>
                <w:sz w:val="21"/>
              </w:rPr>
              <w:t>0.06</w:t>
            </w:r>
          </w:p>
        </w:tc>
        <w:tc>
          <w:tcPr>
            <w:tcW w:w="1216" w:type="dxa"/>
          </w:tcPr>
          <w:p>
            <w:pPr>
              <w:pStyle w:val="14"/>
              <w:spacing w:before="35"/>
              <w:ind w:left="270" w:right="263"/>
              <w:rPr>
                <w:rFonts w:ascii="Times New Roman"/>
                <w:sz w:val="21"/>
              </w:rPr>
            </w:pPr>
            <w:r>
              <w:rPr>
                <w:rFonts w:ascii="Times New Roman"/>
                <w:sz w:val="21"/>
              </w:rPr>
              <w:t>0.22</w:t>
            </w:r>
          </w:p>
        </w:tc>
        <w:tc>
          <w:tcPr>
            <w:tcW w:w="1216" w:type="dxa"/>
          </w:tcPr>
          <w:p>
            <w:pPr>
              <w:pStyle w:val="14"/>
              <w:spacing w:before="35"/>
              <w:ind w:left="271" w:right="262"/>
              <w:rPr>
                <w:rFonts w:ascii="Times New Roman"/>
                <w:sz w:val="21"/>
              </w:rPr>
            </w:pPr>
            <w:r>
              <w:rPr>
                <w:rFonts w:ascii="Times New Roman"/>
                <w:sz w:val="21"/>
              </w:rPr>
              <w:t>0.12</w:t>
            </w:r>
          </w:p>
        </w:tc>
        <w:tc>
          <w:tcPr>
            <w:tcW w:w="1216" w:type="dxa"/>
          </w:tcPr>
          <w:p>
            <w:pPr>
              <w:pStyle w:val="14"/>
              <w:spacing w:before="35"/>
              <w:ind w:left="271" w:right="261"/>
              <w:rPr>
                <w:rFonts w:ascii="Times New Roman"/>
                <w:sz w:val="21"/>
              </w:rPr>
            </w:pPr>
            <w:r>
              <w:rPr>
                <w:rFonts w:ascii="Times New Roman"/>
                <w:sz w:val="21"/>
              </w:rPr>
              <w:t>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2538" w:type="dxa"/>
          </w:tcPr>
          <w:p>
            <w:pPr>
              <w:pStyle w:val="14"/>
              <w:spacing w:before="83"/>
              <w:ind w:left="192" w:right="181"/>
              <w:rPr>
                <w:sz w:val="21"/>
              </w:rPr>
            </w:pPr>
            <w:r>
              <w:rPr>
                <w:sz w:val="21"/>
              </w:rPr>
              <w:t>细菌总数（</w:t>
            </w:r>
            <w:r>
              <w:rPr>
                <w:rFonts w:ascii="Times New Roman" w:eastAsia="Times New Roman"/>
                <w:sz w:val="21"/>
              </w:rPr>
              <w:t>CFU/mL</w:t>
            </w:r>
            <w:r>
              <w:rPr>
                <w:sz w:val="21"/>
              </w:rPr>
              <w:t>）</w:t>
            </w:r>
          </w:p>
        </w:tc>
        <w:tc>
          <w:tcPr>
            <w:tcW w:w="1216" w:type="dxa"/>
          </w:tcPr>
          <w:p>
            <w:pPr>
              <w:pStyle w:val="14"/>
              <w:spacing w:before="97"/>
              <w:ind w:left="271" w:right="262"/>
              <w:rPr>
                <w:rFonts w:ascii="Times New Roman"/>
                <w:sz w:val="21"/>
              </w:rPr>
            </w:pPr>
            <w:r>
              <w:rPr>
                <w:rFonts w:ascii="Times New Roman"/>
                <w:sz w:val="21"/>
              </w:rPr>
              <w:t>0.13</w:t>
            </w:r>
          </w:p>
        </w:tc>
        <w:tc>
          <w:tcPr>
            <w:tcW w:w="1216" w:type="dxa"/>
          </w:tcPr>
          <w:p>
            <w:pPr>
              <w:pStyle w:val="14"/>
              <w:spacing w:before="97"/>
              <w:ind w:left="271" w:right="261"/>
              <w:rPr>
                <w:rFonts w:ascii="Times New Roman"/>
                <w:sz w:val="21"/>
              </w:rPr>
            </w:pPr>
            <w:r>
              <w:rPr>
                <w:rFonts w:ascii="Times New Roman"/>
                <w:sz w:val="21"/>
              </w:rPr>
              <w:t>0.14</w:t>
            </w:r>
          </w:p>
        </w:tc>
        <w:tc>
          <w:tcPr>
            <w:tcW w:w="1216" w:type="dxa"/>
          </w:tcPr>
          <w:p>
            <w:pPr>
              <w:pStyle w:val="14"/>
              <w:spacing w:before="97"/>
              <w:ind w:left="270" w:right="263"/>
              <w:rPr>
                <w:rFonts w:ascii="Times New Roman"/>
                <w:sz w:val="21"/>
              </w:rPr>
            </w:pPr>
            <w:r>
              <w:rPr>
                <w:rFonts w:ascii="Times New Roman"/>
                <w:sz w:val="21"/>
              </w:rPr>
              <w:t>0.15</w:t>
            </w:r>
          </w:p>
        </w:tc>
        <w:tc>
          <w:tcPr>
            <w:tcW w:w="1216" w:type="dxa"/>
          </w:tcPr>
          <w:p>
            <w:pPr>
              <w:pStyle w:val="14"/>
              <w:spacing w:before="97"/>
              <w:ind w:left="271" w:right="262"/>
              <w:rPr>
                <w:rFonts w:ascii="Times New Roman"/>
                <w:sz w:val="21"/>
              </w:rPr>
            </w:pPr>
            <w:r>
              <w:rPr>
                <w:rFonts w:ascii="Times New Roman"/>
                <w:sz w:val="21"/>
              </w:rPr>
              <w:t>0.15</w:t>
            </w:r>
          </w:p>
        </w:tc>
        <w:tc>
          <w:tcPr>
            <w:tcW w:w="1216" w:type="dxa"/>
          </w:tcPr>
          <w:p>
            <w:pPr>
              <w:pStyle w:val="14"/>
              <w:spacing w:before="97"/>
              <w:ind w:left="271" w:right="261"/>
              <w:rPr>
                <w:rFonts w:ascii="Times New Roman"/>
                <w:sz w:val="21"/>
              </w:rPr>
            </w:pPr>
            <w:r>
              <w:rPr>
                <w:rFonts w:ascii="Times New Roman"/>
                <w:sz w:val="21"/>
              </w:rPr>
              <w:t>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538" w:type="dxa"/>
          </w:tcPr>
          <w:p>
            <w:pPr>
              <w:pStyle w:val="14"/>
              <w:spacing w:before="21"/>
              <w:ind w:left="192" w:right="184"/>
              <w:rPr>
                <w:sz w:val="21"/>
              </w:rPr>
            </w:pPr>
            <w:r>
              <w:rPr>
                <w:sz w:val="21"/>
              </w:rPr>
              <w:t>总大肠菌群（</w:t>
            </w:r>
            <w:r>
              <w:rPr>
                <w:rFonts w:ascii="Times New Roman" w:eastAsia="Times New Roman"/>
                <w:sz w:val="21"/>
              </w:rPr>
              <w:t>MPN/L</w:t>
            </w:r>
            <w:r>
              <w:rPr>
                <w:sz w:val="21"/>
              </w:rPr>
              <w:t>）</w:t>
            </w:r>
          </w:p>
        </w:tc>
        <w:tc>
          <w:tcPr>
            <w:tcW w:w="1216" w:type="dxa"/>
          </w:tcPr>
          <w:p>
            <w:pPr>
              <w:pStyle w:val="14"/>
              <w:spacing w:before="21"/>
              <w:ind w:left="271" w:right="261"/>
              <w:rPr>
                <w:sz w:val="21"/>
              </w:rPr>
            </w:pPr>
            <w:r>
              <w:rPr>
                <w:sz w:val="21"/>
              </w:rPr>
              <w:t>未检出</w:t>
            </w:r>
          </w:p>
        </w:tc>
        <w:tc>
          <w:tcPr>
            <w:tcW w:w="1216" w:type="dxa"/>
          </w:tcPr>
          <w:p>
            <w:pPr>
              <w:pStyle w:val="14"/>
              <w:spacing w:before="21"/>
              <w:ind w:left="270" w:right="263"/>
              <w:rPr>
                <w:sz w:val="21"/>
              </w:rPr>
            </w:pPr>
            <w:r>
              <w:rPr>
                <w:sz w:val="21"/>
              </w:rPr>
              <w:t>未检出</w:t>
            </w:r>
          </w:p>
        </w:tc>
        <w:tc>
          <w:tcPr>
            <w:tcW w:w="1216" w:type="dxa"/>
          </w:tcPr>
          <w:p>
            <w:pPr>
              <w:pStyle w:val="14"/>
              <w:spacing w:before="21"/>
              <w:ind w:left="271" w:right="263"/>
              <w:rPr>
                <w:sz w:val="21"/>
              </w:rPr>
            </w:pPr>
            <w:r>
              <w:rPr>
                <w:sz w:val="21"/>
              </w:rPr>
              <w:t>未检出</w:t>
            </w:r>
          </w:p>
        </w:tc>
        <w:tc>
          <w:tcPr>
            <w:tcW w:w="1216" w:type="dxa"/>
          </w:tcPr>
          <w:p>
            <w:pPr>
              <w:pStyle w:val="14"/>
              <w:spacing w:before="21"/>
              <w:ind w:left="271" w:right="261"/>
              <w:rPr>
                <w:sz w:val="21"/>
              </w:rPr>
            </w:pPr>
            <w:r>
              <w:rPr>
                <w:sz w:val="21"/>
              </w:rPr>
              <w:t>未检出</w:t>
            </w:r>
          </w:p>
        </w:tc>
        <w:tc>
          <w:tcPr>
            <w:tcW w:w="1216" w:type="dxa"/>
          </w:tcPr>
          <w:p>
            <w:pPr>
              <w:pStyle w:val="14"/>
              <w:spacing w:before="21"/>
              <w:ind w:left="270" w:right="263"/>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538" w:type="dxa"/>
          </w:tcPr>
          <w:p>
            <w:pPr>
              <w:pStyle w:val="14"/>
              <w:spacing w:before="21"/>
              <w:ind w:left="192" w:right="184"/>
              <w:rPr>
                <w:sz w:val="21"/>
              </w:rPr>
            </w:pPr>
            <w:r>
              <w:rPr>
                <w:sz w:val="21"/>
              </w:rPr>
              <w:t>挥发性酚类</w:t>
            </w:r>
          </w:p>
        </w:tc>
        <w:tc>
          <w:tcPr>
            <w:tcW w:w="1216" w:type="dxa"/>
          </w:tcPr>
          <w:p>
            <w:pPr>
              <w:pStyle w:val="14"/>
              <w:spacing w:before="21"/>
              <w:ind w:left="271" w:right="261"/>
              <w:rPr>
                <w:sz w:val="21"/>
              </w:rPr>
            </w:pPr>
            <w:r>
              <w:rPr>
                <w:sz w:val="21"/>
              </w:rPr>
              <w:t>未检出</w:t>
            </w:r>
          </w:p>
        </w:tc>
        <w:tc>
          <w:tcPr>
            <w:tcW w:w="1216" w:type="dxa"/>
          </w:tcPr>
          <w:p>
            <w:pPr>
              <w:pStyle w:val="14"/>
              <w:spacing w:before="21"/>
              <w:ind w:left="270" w:right="263"/>
              <w:rPr>
                <w:sz w:val="21"/>
              </w:rPr>
            </w:pPr>
            <w:r>
              <w:rPr>
                <w:sz w:val="21"/>
              </w:rPr>
              <w:t>未检出</w:t>
            </w:r>
          </w:p>
        </w:tc>
        <w:tc>
          <w:tcPr>
            <w:tcW w:w="1216" w:type="dxa"/>
          </w:tcPr>
          <w:p>
            <w:pPr>
              <w:pStyle w:val="14"/>
              <w:spacing w:before="21"/>
              <w:ind w:left="271" w:right="263"/>
              <w:rPr>
                <w:sz w:val="21"/>
              </w:rPr>
            </w:pPr>
            <w:r>
              <w:rPr>
                <w:sz w:val="21"/>
              </w:rPr>
              <w:t>未检出</w:t>
            </w:r>
          </w:p>
        </w:tc>
        <w:tc>
          <w:tcPr>
            <w:tcW w:w="1216" w:type="dxa"/>
          </w:tcPr>
          <w:p>
            <w:pPr>
              <w:pStyle w:val="14"/>
              <w:spacing w:before="21"/>
              <w:ind w:left="271" w:right="261"/>
              <w:rPr>
                <w:sz w:val="21"/>
              </w:rPr>
            </w:pPr>
            <w:r>
              <w:rPr>
                <w:sz w:val="21"/>
              </w:rPr>
              <w:t>未检出</w:t>
            </w:r>
          </w:p>
        </w:tc>
        <w:tc>
          <w:tcPr>
            <w:tcW w:w="1216" w:type="dxa"/>
          </w:tcPr>
          <w:p>
            <w:pPr>
              <w:pStyle w:val="14"/>
              <w:spacing w:before="21"/>
              <w:ind w:left="270" w:right="263"/>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538" w:type="dxa"/>
          </w:tcPr>
          <w:p>
            <w:pPr>
              <w:pStyle w:val="14"/>
              <w:spacing w:before="20"/>
              <w:ind w:left="190" w:right="184"/>
              <w:rPr>
                <w:sz w:val="21"/>
              </w:rPr>
            </w:pPr>
            <w:r>
              <w:rPr>
                <w:sz w:val="21"/>
              </w:rPr>
              <w:t>氰化物</w:t>
            </w:r>
          </w:p>
        </w:tc>
        <w:tc>
          <w:tcPr>
            <w:tcW w:w="1216" w:type="dxa"/>
          </w:tcPr>
          <w:p>
            <w:pPr>
              <w:pStyle w:val="14"/>
              <w:spacing w:before="20"/>
              <w:ind w:left="271" w:right="261"/>
              <w:rPr>
                <w:sz w:val="21"/>
              </w:rPr>
            </w:pPr>
            <w:r>
              <w:rPr>
                <w:sz w:val="21"/>
              </w:rPr>
              <w:t>未检出</w:t>
            </w:r>
          </w:p>
        </w:tc>
        <w:tc>
          <w:tcPr>
            <w:tcW w:w="1216" w:type="dxa"/>
          </w:tcPr>
          <w:p>
            <w:pPr>
              <w:pStyle w:val="14"/>
              <w:spacing w:before="20"/>
              <w:ind w:left="270" w:right="263"/>
              <w:rPr>
                <w:sz w:val="21"/>
              </w:rPr>
            </w:pPr>
            <w:r>
              <w:rPr>
                <w:sz w:val="21"/>
              </w:rPr>
              <w:t>未检出</w:t>
            </w:r>
          </w:p>
        </w:tc>
        <w:tc>
          <w:tcPr>
            <w:tcW w:w="1216" w:type="dxa"/>
          </w:tcPr>
          <w:p>
            <w:pPr>
              <w:pStyle w:val="14"/>
              <w:spacing w:before="20"/>
              <w:ind w:left="271" w:right="263"/>
              <w:rPr>
                <w:sz w:val="21"/>
              </w:rPr>
            </w:pPr>
            <w:r>
              <w:rPr>
                <w:sz w:val="21"/>
              </w:rPr>
              <w:t>未检出</w:t>
            </w:r>
          </w:p>
        </w:tc>
        <w:tc>
          <w:tcPr>
            <w:tcW w:w="1216" w:type="dxa"/>
          </w:tcPr>
          <w:p>
            <w:pPr>
              <w:pStyle w:val="14"/>
              <w:spacing w:before="20"/>
              <w:ind w:left="271" w:right="261"/>
              <w:rPr>
                <w:sz w:val="21"/>
              </w:rPr>
            </w:pPr>
            <w:r>
              <w:rPr>
                <w:sz w:val="21"/>
              </w:rPr>
              <w:t>未检出</w:t>
            </w:r>
          </w:p>
        </w:tc>
        <w:tc>
          <w:tcPr>
            <w:tcW w:w="1216" w:type="dxa"/>
          </w:tcPr>
          <w:p>
            <w:pPr>
              <w:pStyle w:val="14"/>
              <w:spacing w:before="20"/>
              <w:ind w:left="270" w:right="263"/>
              <w:rPr>
                <w:sz w:val="21"/>
              </w:rPr>
            </w:pPr>
            <w:r>
              <w:rPr>
                <w:sz w:val="21"/>
              </w:rPr>
              <w:t>未检出</w:t>
            </w:r>
          </w:p>
        </w:tc>
      </w:tr>
    </w:tbl>
    <w:p>
      <w:pPr>
        <w:spacing w:after="0"/>
        <w:rPr>
          <w:sz w:val="21"/>
        </w:rPr>
        <w:sectPr>
          <w:pgSz w:w="11910" w:h="16840"/>
          <w:pgMar w:top="1420" w:right="780" w:bottom="1180" w:left="1200" w:header="0" w:footer="997" w:gutter="0"/>
        </w:sectPr>
      </w:pPr>
    </w:p>
    <w:tbl>
      <w:tblPr>
        <w:tblStyle w:val="10"/>
        <w:tblW w:w="0" w:type="auto"/>
        <w:tblInd w:w="4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38"/>
        <w:gridCol w:w="1216"/>
        <w:gridCol w:w="1216"/>
        <w:gridCol w:w="1216"/>
        <w:gridCol w:w="1216"/>
        <w:gridCol w:w="12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538" w:type="dxa"/>
          </w:tcPr>
          <w:p>
            <w:pPr>
              <w:pStyle w:val="14"/>
              <w:spacing w:before="21"/>
              <w:ind w:left="192" w:right="184"/>
              <w:rPr>
                <w:sz w:val="21"/>
              </w:rPr>
            </w:pPr>
            <w:r>
              <w:rPr>
                <w:sz w:val="21"/>
              </w:rPr>
              <w:t>砷（</w:t>
            </w:r>
            <w:r>
              <w:rPr>
                <w:rFonts w:ascii="Times New Roman" w:hAnsi="Times New Roman" w:eastAsia="Times New Roman"/>
                <w:sz w:val="21"/>
              </w:rPr>
              <w:t>μg/L</w:t>
            </w:r>
            <w:r>
              <w:rPr>
                <w:sz w:val="21"/>
              </w:rPr>
              <w:t>）</w:t>
            </w:r>
          </w:p>
        </w:tc>
        <w:tc>
          <w:tcPr>
            <w:tcW w:w="1216" w:type="dxa"/>
          </w:tcPr>
          <w:p>
            <w:pPr>
              <w:pStyle w:val="14"/>
              <w:spacing w:before="21"/>
              <w:ind w:left="271" w:right="261"/>
              <w:rPr>
                <w:sz w:val="21"/>
              </w:rPr>
            </w:pPr>
            <w:r>
              <w:rPr>
                <w:sz w:val="21"/>
              </w:rPr>
              <w:t>未检出</w:t>
            </w:r>
          </w:p>
        </w:tc>
        <w:tc>
          <w:tcPr>
            <w:tcW w:w="1216" w:type="dxa"/>
          </w:tcPr>
          <w:p>
            <w:pPr>
              <w:pStyle w:val="14"/>
              <w:spacing w:before="21"/>
              <w:ind w:left="270" w:right="263"/>
              <w:rPr>
                <w:sz w:val="21"/>
              </w:rPr>
            </w:pPr>
            <w:r>
              <w:rPr>
                <w:sz w:val="21"/>
              </w:rPr>
              <w:t>未检出</w:t>
            </w:r>
          </w:p>
        </w:tc>
        <w:tc>
          <w:tcPr>
            <w:tcW w:w="1216" w:type="dxa"/>
          </w:tcPr>
          <w:p>
            <w:pPr>
              <w:pStyle w:val="14"/>
              <w:spacing w:before="21"/>
              <w:ind w:left="271" w:right="263"/>
              <w:rPr>
                <w:sz w:val="21"/>
              </w:rPr>
            </w:pPr>
            <w:r>
              <w:rPr>
                <w:sz w:val="21"/>
              </w:rPr>
              <w:t>未检出</w:t>
            </w:r>
          </w:p>
        </w:tc>
        <w:tc>
          <w:tcPr>
            <w:tcW w:w="1216" w:type="dxa"/>
          </w:tcPr>
          <w:p>
            <w:pPr>
              <w:pStyle w:val="14"/>
              <w:spacing w:before="21"/>
              <w:ind w:left="271" w:right="261"/>
              <w:rPr>
                <w:sz w:val="21"/>
              </w:rPr>
            </w:pPr>
            <w:r>
              <w:rPr>
                <w:sz w:val="21"/>
              </w:rPr>
              <w:t>未检出</w:t>
            </w:r>
          </w:p>
        </w:tc>
        <w:tc>
          <w:tcPr>
            <w:tcW w:w="1216" w:type="dxa"/>
          </w:tcPr>
          <w:p>
            <w:pPr>
              <w:pStyle w:val="14"/>
              <w:spacing w:before="21"/>
              <w:ind w:left="270" w:right="263"/>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538" w:type="dxa"/>
          </w:tcPr>
          <w:p>
            <w:pPr>
              <w:pStyle w:val="14"/>
              <w:spacing w:before="20"/>
              <w:ind w:left="192" w:right="184"/>
              <w:rPr>
                <w:sz w:val="21"/>
              </w:rPr>
            </w:pPr>
            <w:r>
              <w:rPr>
                <w:sz w:val="21"/>
              </w:rPr>
              <w:t>汞（</w:t>
            </w:r>
            <w:r>
              <w:rPr>
                <w:rFonts w:ascii="Times New Roman" w:hAnsi="Times New Roman" w:eastAsia="Times New Roman"/>
                <w:sz w:val="21"/>
              </w:rPr>
              <w:t>μg/L</w:t>
            </w:r>
            <w:r>
              <w:rPr>
                <w:sz w:val="21"/>
              </w:rPr>
              <w:t>）</w:t>
            </w:r>
          </w:p>
        </w:tc>
        <w:tc>
          <w:tcPr>
            <w:tcW w:w="1216" w:type="dxa"/>
          </w:tcPr>
          <w:p>
            <w:pPr>
              <w:pStyle w:val="14"/>
              <w:spacing w:before="20"/>
              <w:ind w:left="271" w:right="261"/>
              <w:rPr>
                <w:sz w:val="21"/>
              </w:rPr>
            </w:pPr>
            <w:r>
              <w:rPr>
                <w:sz w:val="21"/>
              </w:rPr>
              <w:t>未检出</w:t>
            </w:r>
          </w:p>
        </w:tc>
        <w:tc>
          <w:tcPr>
            <w:tcW w:w="1216" w:type="dxa"/>
          </w:tcPr>
          <w:p>
            <w:pPr>
              <w:pStyle w:val="14"/>
              <w:spacing w:before="20"/>
              <w:ind w:left="270" w:right="263"/>
              <w:rPr>
                <w:sz w:val="21"/>
              </w:rPr>
            </w:pPr>
            <w:r>
              <w:rPr>
                <w:sz w:val="21"/>
              </w:rPr>
              <w:t>未检出</w:t>
            </w:r>
          </w:p>
        </w:tc>
        <w:tc>
          <w:tcPr>
            <w:tcW w:w="1216" w:type="dxa"/>
          </w:tcPr>
          <w:p>
            <w:pPr>
              <w:pStyle w:val="14"/>
              <w:spacing w:before="20"/>
              <w:ind w:left="271" w:right="263"/>
              <w:rPr>
                <w:sz w:val="21"/>
              </w:rPr>
            </w:pPr>
            <w:r>
              <w:rPr>
                <w:sz w:val="21"/>
              </w:rPr>
              <w:t>未检出</w:t>
            </w:r>
          </w:p>
        </w:tc>
        <w:tc>
          <w:tcPr>
            <w:tcW w:w="1216" w:type="dxa"/>
          </w:tcPr>
          <w:p>
            <w:pPr>
              <w:pStyle w:val="14"/>
              <w:spacing w:before="20"/>
              <w:ind w:left="271" w:right="261"/>
              <w:rPr>
                <w:sz w:val="21"/>
              </w:rPr>
            </w:pPr>
            <w:r>
              <w:rPr>
                <w:sz w:val="21"/>
              </w:rPr>
              <w:t>未检出</w:t>
            </w:r>
          </w:p>
        </w:tc>
        <w:tc>
          <w:tcPr>
            <w:tcW w:w="1216" w:type="dxa"/>
          </w:tcPr>
          <w:p>
            <w:pPr>
              <w:pStyle w:val="14"/>
              <w:spacing w:before="20"/>
              <w:ind w:left="270" w:right="263"/>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538" w:type="dxa"/>
          </w:tcPr>
          <w:p>
            <w:pPr>
              <w:pStyle w:val="14"/>
              <w:spacing w:before="20"/>
              <w:ind w:left="190" w:right="184"/>
              <w:rPr>
                <w:sz w:val="21"/>
              </w:rPr>
            </w:pPr>
            <w:r>
              <w:rPr>
                <w:sz w:val="21"/>
              </w:rPr>
              <w:t>氟化物</w:t>
            </w:r>
          </w:p>
        </w:tc>
        <w:tc>
          <w:tcPr>
            <w:tcW w:w="1216" w:type="dxa"/>
          </w:tcPr>
          <w:p>
            <w:pPr>
              <w:pStyle w:val="14"/>
              <w:spacing w:before="34"/>
              <w:ind w:left="271" w:right="262"/>
              <w:rPr>
                <w:rFonts w:ascii="Times New Roman"/>
                <w:sz w:val="21"/>
              </w:rPr>
            </w:pPr>
            <w:r>
              <w:rPr>
                <w:rFonts w:ascii="Times New Roman"/>
                <w:sz w:val="21"/>
              </w:rPr>
              <w:t>0.24</w:t>
            </w:r>
          </w:p>
        </w:tc>
        <w:tc>
          <w:tcPr>
            <w:tcW w:w="1216" w:type="dxa"/>
          </w:tcPr>
          <w:p>
            <w:pPr>
              <w:pStyle w:val="14"/>
              <w:spacing w:before="34"/>
              <w:ind w:left="271" w:right="261"/>
              <w:rPr>
                <w:rFonts w:ascii="Times New Roman"/>
                <w:sz w:val="21"/>
              </w:rPr>
            </w:pPr>
            <w:r>
              <w:rPr>
                <w:rFonts w:ascii="Times New Roman"/>
                <w:sz w:val="21"/>
              </w:rPr>
              <w:t>0.26</w:t>
            </w:r>
          </w:p>
        </w:tc>
        <w:tc>
          <w:tcPr>
            <w:tcW w:w="1216" w:type="dxa"/>
          </w:tcPr>
          <w:p>
            <w:pPr>
              <w:pStyle w:val="14"/>
              <w:spacing w:before="34"/>
              <w:ind w:left="270" w:right="263"/>
              <w:rPr>
                <w:rFonts w:ascii="Times New Roman"/>
                <w:sz w:val="21"/>
              </w:rPr>
            </w:pPr>
            <w:r>
              <w:rPr>
                <w:rFonts w:ascii="Times New Roman"/>
                <w:sz w:val="21"/>
              </w:rPr>
              <w:t>0.25</w:t>
            </w:r>
          </w:p>
        </w:tc>
        <w:tc>
          <w:tcPr>
            <w:tcW w:w="1216" w:type="dxa"/>
          </w:tcPr>
          <w:p>
            <w:pPr>
              <w:pStyle w:val="14"/>
              <w:spacing w:before="34"/>
              <w:ind w:left="271" w:right="262"/>
              <w:rPr>
                <w:rFonts w:ascii="Times New Roman"/>
                <w:sz w:val="21"/>
              </w:rPr>
            </w:pPr>
            <w:r>
              <w:rPr>
                <w:rFonts w:ascii="Times New Roman"/>
                <w:sz w:val="21"/>
              </w:rPr>
              <w:t>0.22</w:t>
            </w:r>
          </w:p>
        </w:tc>
        <w:tc>
          <w:tcPr>
            <w:tcW w:w="1216" w:type="dxa"/>
          </w:tcPr>
          <w:p>
            <w:pPr>
              <w:pStyle w:val="14"/>
              <w:spacing w:before="34"/>
              <w:ind w:left="271" w:right="261"/>
              <w:rPr>
                <w:rFonts w:ascii="Times New Roman"/>
                <w:sz w:val="21"/>
              </w:rPr>
            </w:pPr>
            <w:r>
              <w:rPr>
                <w:rFonts w:ascii="Times New Roman"/>
                <w:sz w:val="21"/>
              </w:rPr>
              <w:t>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538" w:type="dxa"/>
          </w:tcPr>
          <w:p>
            <w:pPr>
              <w:pStyle w:val="14"/>
              <w:spacing w:before="20"/>
              <w:ind w:left="192" w:right="184"/>
              <w:rPr>
                <w:sz w:val="21"/>
              </w:rPr>
            </w:pPr>
            <w:r>
              <w:rPr>
                <w:sz w:val="21"/>
              </w:rPr>
              <w:t>镉（</w:t>
            </w:r>
            <w:r>
              <w:rPr>
                <w:rFonts w:ascii="Times New Roman" w:hAnsi="Times New Roman" w:eastAsia="Times New Roman"/>
                <w:sz w:val="21"/>
              </w:rPr>
              <w:t>μg/L</w:t>
            </w:r>
            <w:r>
              <w:rPr>
                <w:sz w:val="21"/>
              </w:rPr>
              <w:t>）</w:t>
            </w:r>
          </w:p>
        </w:tc>
        <w:tc>
          <w:tcPr>
            <w:tcW w:w="1216" w:type="dxa"/>
          </w:tcPr>
          <w:p>
            <w:pPr>
              <w:pStyle w:val="14"/>
              <w:spacing w:before="20"/>
              <w:ind w:left="271" w:right="261"/>
              <w:rPr>
                <w:sz w:val="21"/>
              </w:rPr>
            </w:pPr>
            <w:r>
              <w:rPr>
                <w:sz w:val="21"/>
              </w:rPr>
              <w:t>未检出</w:t>
            </w:r>
          </w:p>
        </w:tc>
        <w:tc>
          <w:tcPr>
            <w:tcW w:w="1216" w:type="dxa"/>
          </w:tcPr>
          <w:p>
            <w:pPr>
              <w:pStyle w:val="14"/>
              <w:spacing w:before="20"/>
              <w:ind w:left="270" w:right="263"/>
              <w:rPr>
                <w:sz w:val="21"/>
              </w:rPr>
            </w:pPr>
            <w:r>
              <w:rPr>
                <w:sz w:val="21"/>
              </w:rPr>
              <w:t>未检出</w:t>
            </w:r>
          </w:p>
        </w:tc>
        <w:tc>
          <w:tcPr>
            <w:tcW w:w="1216" w:type="dxa"/>
          </w:tcPr>
          <w:p>
            <w:pPr>
              <w:pStyle w:val="14"/>
              <w:spacing w:before="20"/>
              <w:ind w:left="271" w:right="263"/>
              <w:rPr>
                <w:sz w:val="21"/>
              </w:rPr>
            </w:pPr>
            <w:r>
              <w:rPr>
                <w:sz w:val="21"/>
              </w:rPr>
              <w:t>未检出</w:t>
            </w:r>
          </w:p>
        </w:tc>
        <w:tc>
          <w:tcPr>
            <w:tcW w:w="1216" w:type="dxa"/>
          </w:tcPr>
          <w:p>
            <w:pPr>
              <w:pStyle w:val="14"/>
              <w:spacing w:before="20"/>
              <w:ind w:left="271" w:right="261"/>
              <w:rPr>
                <w:sz w:val="21"/>
              </w:rPr>
            </w:pPr>
            <w:r>
              <w:rPr>
                <w:sz w:val="21"/>
              </w:rPr>
              <w:t>未检出</w:t>
            </w:r>
          </w:p>
        </w:tc>
        <w:tc>
          <w:tcPr>
            <w:tcW w:w="1216" w:type="dxa"/>
          </w:tcPr>
          <w:p>
            <w:pPr>
              <w:pStyle w:val="14"/>
              <w:spacing w:before="20"/>
              <w:ind w:left="270" w:right="263"/>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538" w:type="dxa"/>
          </w:tcPr>
          <w:p>
            <w:pPr>
              <w:pStyle w:val="14"/>
              <w:spacing w:before="36"/>
              <w:ind w:left="192" w:right="184"/>
              <w:rPr>
                <w:rFonts w:ascii="Times New Roman"/>
                <w:sz w:val="13"/>
              </w:rPr>
            </w:pPr>
            <w:r>
              <w:rPr>
                <w:rFonts w:ascii="Times New Roman"/>
                <w:position w:val="-6"/>
                <w:sz w:val="21"/>
              </w:rPr>
              <w:t>K</w:t>
            </w:r>
            <w:r>
              <w:rPr>
                <w:rFonts w:ascii="Times New Roman"/>
                <w:sz w:val="13"/>
              </w:rPr>
              <w:t>+</w:t>
            </w:r>
          </w:p>
        </w:tc>
        <w:tc>
          <w:tcPr>
            <w:tcW w:w="1216" w:type="dxa"/>
          </w:tcPr>
          <w:p>
            <w:pPr>
              <w:pStyle w:val="14"/>
              <w:spacing w:before="36"/>
              <w:ind w:left="10"/>
              <w:rPr>
                <w:rFonts w:ascii="Times New Roman"/>
                <w:b/>
                <w:sz w:val="21"/>
              </w:rPr>
            </w:pPr>
            <w:r>
              <w:rPr>
                <w:rFonts w:ascii="Times New Roman"/>
                <w:b/>
                <w:w w:val="99"/>
                <w:sz w:val="21"/>
              </w:rPr>
              <w:t>/</w:t>
            </w:r>
          </w:p>
        </w:tc>
        <w:tc>
          <w:tcPr>
            <w:tcW w:w="1216" w:type="dxa"/>
          </w:tcPr>
          <w:p>
            <w:pPr>
              <w:pStyle w:val="14"/>
              <w:spacing w:before="36"/>
              <w:ind w:left="7"/>
              <w:rPr>
                <w:rFonts w:ascii="Times New Roman"/>
                <w:b/>
                <w:sz w:val="21"/>
              </w:rPr>
            </w:pPr>
            <w:r>
              <w:rPr>
                <w:rFonts w:ascii="Times New Roman"/>
                <w:b/>
                <w:w w:val="99"/>
                <w:sz w:val="21"/>
              </w:rPr>
              <w:t>/</w:t>
            </w:r>
          </w:p>
        </w:tc>
        <w:tc>
          <w:tcPr>
            <w:tcW w:w="1216" w:type="dxa"/>
          </w:tcPr>
          <w:p>
            <w:pPr>
              <w:pStyle w:val="14"/>
              <w:spacing w:before="36"/>
              <w:ind w:left="9"/>
              <w:rPr>
                <w:rFonts w:ascii="Times New Roman"/>
                <w:b/>
                <w:sz w:val="21"/>
              </w:rPr>
            </w:pPr>
            <w:r>
              <w:rPr>
                <w:rFonts w:ascii="Times New Roman"/>
                <w:b/>
                <w:w w:val="99"/>
                <w:sz w:val="21"/>
              </w:rPr>
              <w:t>/</w:t>
            </w:r>
          </w:p>
        </w:tc>
        <w:tc>
          <w:tcPr>
            <w:tcW w:w="1216" w:type="dxa"/>
          </w:tcPr>
          <w:p>
            <w:pPr>
              <w:pStyle w:val="14"/>
              <w:spacing w:before="36"/>
              <w:ind w:left="10"/>
              <w:rPr>
                <w:rFonts w:ascii="Times New Roman"/>
                <w:b/>
                <w:sz w:val="21"/>
              </w:rPr>
            </w:pPr>
            <w:r>
              <w:rPr>
                <w:rFonts w:ascii="Times New Roman"/>
                <w:b/>
                <w:w w:val="99"/>
                <w:sz w:val="21"/>
              </w:rPr>
              <w:t>/</w:t>
            </w:r>
          </w:p>
        </w:tc>
        <w:tc>
          <w:tcPr>
            <w:tcW w:w="1216" w:type="dxa"/>
          </w:tcPr>
          <w:p>
            <w:pPr>
              <w:pStyle w:val="14"/>
              <w:spacing w:before="36"/>
              <w:ind w:left="7"/>
              <w:rPr>
                <w:rFonts w:ascii="Times New Roman"/>
                <w:b/>
                <w:sz w:val="21"/>
              </w:rPr>
            </w:pPr>
            <w:r>
              <w:rPr>
                <w:rFonts w:ascii="Times New Roman"/>
                <w:b/>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538" w:type="dxa"/>
          </w:tcPr>
          <w:p>
            <w:pPr>
              <w:pStyle w:val="14"/>
              <w:spacing w:before="35"/>
              <w:ind w:left="192" w:right="181"/>
              <w:rPr>
                <w:rFonts w:ascii="Times New Roman"/>
                <w:sz w:val="13"/>
              </w:rPr>
            </w:pPr>
            <w:r>
              <w:rPr>
                <w:rFonts w:ascii="Times New Roman"/>
                <w:sz w:val="21"/>
              </w:rPr>
              <w:t>Na</w:t>
            </w:r>
            <w:r>
              <w:rPr>
                <w:rFonts w:ascii="Times New Roman"/>
                <w:position w:val="7"/>
                <w:sz w:val="13"/>
              </w:rPr>
              <w:t>+</w:t>
            </w:r>
          </w:p>
        </w:tc>
        <w:tc>
          <w:tcPr>
            <w:tcW w:w="1216" w:type="dxa"/>
          </w:tcPr>
          <w:p>
            <w:pPr>
              <w:pStyle w:val="14"/>
              <w:spacing w:before="35"/>
              <w:ind w:left="271" w:right="262"/>
              <w:rPr>
                <w:rFonts w:ascii="Times New Roman"/>
                <w:sz w:val="21"/>
              </w:rPr>
            </w:pPr>
            <w:r>
              <w:rPr>
                <w:rFonts w:ascii="Times New Roman"/>
                <w:sz w:val="21"/>
              </w:rPr>
              <w:t>0.10</w:t>
            </w:r>
          </w:p>
        </w:tc>
        <w:tc>
          <w:tcPr>
            <w:tcW w:w="1216" w:type="dxa"/>
          </w:tcPr>
          <w:p>
            <w:pPr>
              <w:pStyle w:val="14"/>
              <w:spacing w:before="35"/>
              <w:ind w:left="271" w:right="261"/>
              <w:rPr>
                <w:rFonts w:ascii="Times New Roman"/>
                <w:sz w:val="21"/>
              </w:rPr>
            </w:pPr>
            <w:r>
              <w:rPr>
                <w:rFonts w:ascii="Times New Roman"/>
                <w:sz w:val="21"/>
              </w:rPr>
              <w:t>0.04</w:t>
            </w:r>
          </w:p>
        </w:tc>
        <w:tc>
          <w:tcPr>
            <w:tcW w:w="1216" w:type="dxa"/>
          </w:tcPr>
          <w:p>
            <w:pPr>
              <w:pStyle w:val="14"/>
              <w:spacing w:before="35"/>
              <w:ind w:left="270" w:right="263"/>
              <w:rPr>
                <w:rFonts w:ascii="Times New Roman"/>
                <w:sz w:val="21"/>
              </w:rPr>
            </w:pPr>
            <w:r>
              <w:rPr>
                <w:rFonts w:ascii="Times New Roman"/>
                <w:sz w:val="21"/>
              </w:rPr>
              <w:t>0.10</w:t>
            </w:r>
          </w:p>
        </w:tc>
        <w:tc>
          <w:tcPr>
            <w:tcW w:w="1216" w:type="dxa"/>
          </w:tcPr>
          <w:p>
            <w:pPr>
              <w:pStyle w:val="14"/>
              <w:spacing w:before="35"/>
              <w:ind w:left="271" w:right="260"/>
              <w:rPr>
                <w:rFonts w:ascii="Times New Roman"/>
                <w:sz w:val="21"/>
              </w:rPr>
            </w:pPr>
            <w:r>
              <w:rPr>
                <w:rFonts w:ascii="Times New Roman"/>
                <w:sz w:val="21"/>
              </w:rPr>
              <w:t>0.11</w:t>
            </w:r>
          </w:p>
        </w:tc>
        <w:tc>
          <w:tcPr>
            <w:tcW w:w="1216" w:type="dxa"/>
          </w:tcPr>
          <w:p>
            <w:pPr>
              <w:pStyle w:val="14"/>
              <w:spacing w:before="35"/>
              <w:ind w:left="271" w:right="261"/>
              <w:rPr>
                <w:rFonts w:ascii="Times New Roman"/>
                <w:sz w:val="21"/>
              </w:rPr>
            </w:pPr>
            <w:r>
              <w:rPr>
                <w:rFonts w:ascii="Times New Roman"/>
                <w:sz w:val="21"/>
              </w:rPr>
              <w:t>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538" w:type="dxa"/>
          </w:tcPr>
          <w:p>
            <w:pPr>
              <w:pStyle w:val="14"/>
              <w:spacing w:before="35"/>
              <w:ind w:left="192" w:right="181"/>
              <w:rPr>
                <w:rFonts w:ascii="Times New Roman"/>
                <w:sz w:val="13"/>
              </w:rPr>
            </w:pPr>
            <w:r>
              <w:rPr>
                <w:rFonts w:ascii="Times New Roman"/>
                <w:position w:val="-6"/>
                <w:sz w:val="21"/>
              </w:rPr>
              <w:t>Ca</w:t>
            </w:r>
            <w:r>
              <w:rPr>
                <w:rFonts w:ascii="Times New Roman"/>
                <w:sz w:val="13"/>
              </w:rPr>
              <w:t>2+</w:t>
            </w:r>
          </w:p>
        </w:tc>
        <w:tc>
          <w:tcPr>
            <w:tcW w:w="1216" w:type="dxa"/>
          </w:tcPr>
          <w:p>
            <w:pPr>
              <w:pStyle w:val="14"/>
              <w:spacing w:before="35"/>
              <w:ind w:left="10"/>
              <w:rPr>
                <w:rFonts w:ascii="Times New Roman"/>
                <w:b/>
                <w:sz w:val="21"/>
              </w:rPr>
            </w:pPr>
            <w:r>
              <w:rPr>
                <w:rFonts w:ascii="Times New Roman"/>
                <w:b/>
                <w:w w:val="99"/>
                <w:sz w:val="21"/>
              </w:rPr>
              <w:t>/</w:t>
            </w:r>
          </w:p>
        </w:tc>
        <w:tc>
          <w:tcPr>
            <w:tcW w:w="1216" w:type="dxa"/>
          </w:tcPr>
          <w:p>
            <w:pPr>
              <w:pStyle w:val="14"/>
              <w:spacing w:before="35"/>
              <w:ind w:left="7"/>
              <w:rPr>
                <w:rFonts w:ascii="Times New Roman"/>
                <w:b/>
                <w:sz w:val="21"/>
              </w:rPr>
            </w:pPr>
            <w:r>
              <w:rPr>
                <w:rFonts w:ascii="Times New Roman"/>
                <w:b/>
                <w:w w:val="99"/>
                <w:sz w:val="21"/>
              </w:rPr>
              <w:t>/</w:t>
            </w:r>
          </w:p>
        </w:tc>
        <w:tc>
          <w:tcPr>
            <w:tcW w:w="1216" w:type="dxa"/>
          </w:tcPr>
          <w:p>
            <w:pPr>
              <w:pStyle w:val="14"/>
              <w:spacing w:before="35"/>
              <w:ind w:left="9"/>
              <w:rPr>
                <w:rFonts w:ascii="Times New Roman"/>
                <w:b/>
                <w:sz w:val="21"/>
              </w:rPr>
            </w:pPr>
            <w:r>
              <w:rPr>
                <w:rFonts w:ascii="Times New Roman"/>
                <w:b/>
                <w:w w:val="99"/>
                <w:sz w:val="21"/>
              </w:rPr>
              <w:t>/</w:t>
            </w:r>
          </w:p>
        </w:tc>
        <w:tc>
          <w:tcPr>
            <w:tcW w:w="1216" w:type="dxa"/>
          </w:tcPr>
          <w:p>
            <w:pPr>
              <w:pStyle w:val="14"/>
              <w:spacing w:before="35"/>
              <w:ind w:left="10"/>
              <w:rPr>
                <w:rFonts w:ascii="Times New Roman"/>
                <w:b/>
                <w:sz w:val="21"/>
              </w:rPr>
            </w:pPr>
            <w:r>
              <w:rPr>
                <w:rFonts w:ascii="Times New Roman"/>
                <w:b/>
                <w:w w:val="99"/>
                <w:sz w:val="21"/>
              </w:rPr>
              <w:t>/</w:t>
            </w:r>
          </w:p>
        </w:tc>
        <w:tc>
          <w:tcPr>
            <w:tcW w:w="1216" w:type="dxa"/>
          </w:tcPr>
          <w:p>
            <w:pPr>
              <w:pStyle w:val="14"/>
              <w:spacing w:before="35"/>
              <w:ind w:left="7"/>
              <w:rPr>
                <w:rFonts w:ascii="Times New Roman"/>
                <w:b/>
                <w:sz w:val="21"/>
              </w:rPr>
            </w:pPr>
            <w:r>
              <w:rPr>
                <w:rFonts w:ascii="Times New Roman"/>
                <w:b/>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538" w:type="dxa"/>
          </w:tcPr>
          <w:p>
            <w:pPr>
              <w:pStyle w:val="14"/>
              <w:spacing w:before="35"/>
              <w:ind w:left="192" w:right="181"/>
              <w:rPr>
                <w:rFonts w:ascii="Times New Roman"/>
                <w:sz w:val="13"/>
              </w:rPr>
            </w:pPr>
            <w:r>
              <w:rPr>
                <w:rFonts w:ascii="Times New Roman"/>
                <w:position w:val="-6"/>
                <w:sz w:val="21"/>
              </w:rPr>
              <w:t>Mg</w:t>
            </w:r>
            <w:r>
              <w:rPr>
                <w:rFonts w:ascii="Times New Roman"/>
                <w:sz w:val="13"/>
              </w:rPr>
              <w:t>2+</w:t>
            </w:r>
          </w:p>
        </w:tc>
        <w:tc>
          <w:tcPr>
            <w:tcW w:w="1216" w:type="dxa"/>
          </w:tcPr>
          <w:p>
            <w:pPr>
              <w:pStyle w:val="14"/>
              <w:spacing w:before="34"/>
              <w:ind w:left="10"/>
              <w:rPr>
                <w:rFonts w:ascii="Times New Roman"/>
                <w:b/>
                <w:sz w:val="21"/>
              </w:rPr>
            </w:pPr>
            <w:r>
              <w:rPr>
                <w:rFonts w:ascii="Times New Roman"/>
                <w:b/>
                <w:w w:val="99"/>
                <w:sz w:val="21"/>
              </w:rPr>
              <w:t>/</w:t>
            </w:r>
          </w:p>
        </w:tc>
        <w:tc>
          <w:tcPr>
            <w:tcW w:w="1216" w:type="dxa"/>
          </w:tcPr>
          <w:p>
            <w:pPr>
              <w:pStyle w:val="14"/>
              <w:spacing w:before="34"/>
              <w:ind w:left="7"/>
              <w:rPr>
                <w:rFonts w:ascii="Times New Roman"/>
                <w:b/>
                <w:sz w:val="21"/>
              </w:rPr>
            </w:pPr>
            <w:r>
              <w:rPr>
                <w:rFonts w:ascii="Times New Roman"/>
                <w:b/>
                <w:w w:val="99"/>
                <w:sz w:val="21"/>
              </w:rPr>
              <w:t>/</w:t>
            </w:r>
          </w:p>
        </w:tc>
        <w:tc>
          <w:tcPr>
            <w:tcW w:w="1216" w:type="dxa"/>
          </w:tcPr>
          <w:p>
            <w:pPr>
              <w:pStyle w:val="14"/>
              <w:spacing w:before="34"/>
              <w:ind w:left="9"/>
              <w:rPr>
                <w:rFonts w:ascii="Times New Roman"/>
                <w:b/>
                <w:sz w:val="21"/>
              </w:rPr>
            </w:pPr>
            <w:r>
              <w:rPr>
                <w:rFonts w:ascii="Times New Roman"/>
                <w:b/>
                <w:w w:val="99"/>
                <w:sz w:val="21"/>
              </w:rPr>
              <w:t>/</w:t>
            </w:r>
          </w:p>
        </w:tc>
        <w:tc>
          <w:tcPr>
            <w:tcW w:w="1216" w:type="dxa"/>
          </w:tcPr>
          <w:p>
            <w:pPr>
              <w:pStyle w:val="14"/>
              <w:spacing w:before="34"/>
              <w:ind w:left="10"/>
              <w:rPr>
                <w:rFonts w:ascii="Times New Roman"/>
                <w:b/>
                <w:sz w:val="21"/>
              </w:rPr>
            </w:pPr>
            <w:r>
              <w:rPr>
                <w:rFonts w:ascii="Times New Roman"/>
                <w:b/>
                <w:w w:val="99"/>
                <w:sz w:val="21"/>
              </w:rPr>
              <w:t>/</w:t>
            </w:r>
          </w:p>
        </w:tc>
        <w:tc>
          <w:tcPr>
            <w:tcW w:w="1216" w:type="dxa"/>
          </w:tcPr>
          <w:p>
            <w:pPr>
              <w:pStyle w:val="14"/>
              <w:spacing w:before="34"/>
              <w:ind w:left="7"/>
              <w:rPr>
                <w:rFonts w:ascii="Times New Roman"/>
                <w:b/>
                <w:sz w:val="21"/>
              </w:rPr>
            </w:pPr>
            <w:r>
              <w:rPr>
                <w:rFonts w:ascii="Times New Roman"/>
                <w:b/>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538" w:type="dxa"/>
          </w:tcPr>
          <w:p>
            <w:pPr>
              <w:pStyle w:val="14"/>
              <w:spacing w:before="42" w:line="69" w:lineRule="exact"/>
              <w:ind w:left="554" w:right="184"/>
              <w:rPr>
                <w:rFonts w:ascii="Times New Roman"/>
                <w:sz w:val="13"/>
              </w:rPr>
            </w:pPr>
            <w:r>
              <w:rPr>
                <w:rFonts w:ascii="Times New Roman"/>
                <w:w w:val="105"/>
                <w:sz w:val="13"/>
              </w:rPr>
              <w:t>2-</w:t>
            </w:r>
          </w:p>
          <w:p>
            <w:pPr>
              <w:pStyle w:val="14"/>
              <w:spacing w:line="181" w:lineRule="exact"/>
              <w:ind w:left="83" w:right="184"/>
              <w:rPr>
                <w:rFonts w:ascii="Times New Roman"/>
                <w:sz w:val="21"/>
              </w:rPr>
            </w:pPr>
            <w:r>
              <w:rPr>
                <w:rFonts w:ascii="Times New Roman"/>
                <w:position w:val="2"/>
                <w:sz w:val="21"/>
              </w:rPr>
              <w:t>CO</w:t>
            </w:r>
            <w:r>
              <w:rPr>
                <w:rFonts w:ascii="Times New Roman"/>
                <w:position w:val="2"/>
                <w:sz w:val="21"/>
                <w:vertAlign w:val="subscript"/>
              </w:rPr>
              <w:t>3</w:t>
            </w:r>
          </w:p>
        </w:tc>
        <w:tc>
          <w:tcPr>
            <w:tcW w:w="1216" w:type="dxa"/>
          </w:tcPr>
          <w:p>
            <w:pPr>
              <w:pStyle w:val="14"/>
              <w:spacing w:before="34"/>
              <w:ind w:left="10"/>
              <w:rPr>
                <w:rFonts w:ascii="Times New Roman"/>
                <w:b/>
                <w:sz w:val="21"/>
              </w:rPr>
            </w:pPr>
            <w:r>
              <w:rPr>
                <w:rFonts w:ascii="Times New Roman"/>
                <w:b/>
                <w:w w:val="99"/>
                <w:sz w:val="21"/>
              </w:rPr>
              <w:t>/</w:t>
            </w:r>
          </w:p>
        </w:tc>
        <w:tc>
          <w:tcPr>
            <w:tcW w:w="1216" w:type="dxa"/>
          </w:tcPr>
          <w:p>
            <w:pPr>
              <w:pStyle w:val="14"/>
              <w:spacing w:before="34"/>
              <w:ind w:left="7"/>
              <w:rPr>
                <w:rFonts w:ascii="Times New Roman"/>
                <w:b/>
                <w:sz w:val="21"/>
              </w:rPr>
            </w:pPr>
            <w:r>
              <w:rPr>
                <w:rFonts w:ascii="Times New Roman"/>
                <w:b/>
                <w:w w:val="99"/>
                <w:sz w:val="21"/>
              </w:rPr>
              <w:t>/</w:t>
            </w:r>
          </w:p>
        </w:tc>
        <w:tc>
          <w:tcPr>
            <w:tcW w:w="1216" w:type="dxa"/>
          </w:tcPr>
          <w:p>
            <w:pPr>
              <w:pStyle w:val="14"/>
              <w:spacing w:before="34"/>
              <w:ind w:left="9"/>
              <w:rPr>
                <w:rFonts w:ascii="Times New Roman"/>
                <w:b/>
                <w:sz w:val="21"/>
              </w:rPr>
            </w:pPr>
            <w:r>
              <w:rPr>
                <w:rFonts w:ascii="Times New Roman"/>
                <w:b/>
                <w:w w:val="99"/>
                <w:sz w:val="21"/>
              </w:rPr>
              <w:t>/</w:t>
            </w:r>
          </w:p>
        </w:tc>
        <w:tc>
          <w:tcPr>
            <w:tcW w:w="1216" w:type="dxa"/>
          </w:tcPr>
          <w:p>
            <w:pPr>
              <w:pStyle w:val="14"/>
              <w:spacing w:before="34"/>
              <w:ind w:left="10"/>
              <w:rPr>
                <w:rFonts w:ascii="Times New Roman"/>
                <w:b/>
                <w:sz w:val="21"/>
              </w:rPr>
            </w:pPr>
            <w:r>
              <w:rPr>
                <w:rFonts w:ascii="Times New Roman"/>
                <w:b/>
                <w:w w:val="99"/>
                <w:sz w:val="21"/>
              </w:rPr>
              <w:t>/</w:t>
            </w:r>
          </w:p>
        </w:tc>
        <w:tc>
          <w:tcPr>
            <w:tcW w:w="1216" w:type="dxa"/>
          </w:tcPr>
          <w:p>
            <w:pPr>
              <w:pStyle w:val="14"/>
              <w:spacing w:before="34"/>
              <w:ind w:left="7"/>
              <w:rPr>
                <w:rFonts w:ascii="Times New Roman"/>
                <w:b/>
                <w:sz w:val="21"/>
              </w:rPr>
            </w:pPr>
            <w:r>
              <w:rPr>
                <w:rFonts w:ascii="Times New Roman"/>
                <w:b/>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538" w:type="dxa"/>
          </w:tcPr>
          <w:p>
            <w:pPr>
              <w:pStyle w:val="14"/>
              <w:spacing w:before="33" w:line="259" w:lineRule="exact"/>
              <w:ind w:left="192" w:right="182"/>
              <w:rPr>
                <w:rFonts w:ascii="Times New Roman"/>
                <w:sz w:val="21"/>
              </w:rPr>
            </w:pPr>
            <w:r>
              <w:rPr>
                <w:rFonts w:ascii="Times New Roman"/>
                <w:position w:val="2"/>
                <w:sz w:val="21"/>
              </w:rPr>
              <w:t>HCO</w:t>
            </w:r>
            <w:r>
              <w:rPr>
                <w:rFonts w:ascii="Times New Roman"/>
                <w:position w:val="2"/>
                <w:sz w:val="21"/>
                <w:vertAlign w:val="subscript"/>
              </w:rPr>
              <w:t>3</w:t>
            </w:r>
            <w:r>
              <w:rPr>
                <w:rFonts w:ascii="Times New Roman"/>
                <w:position w:val="2"/>
                <w:sz w:val="21"/>
                <w:vertAlign w:val="superscript"/>
              </w:rPr>
              <w:t>-</w:t>
            </w:r>
          </w:p>
        </w:tc>
        <w:tc>
          <w:tcPr>
            <w:tcW w:w="1216" w:type="dxa"/>
          </w:tcPr>
          <w:p>
            <w:pPr>
              <w:pStyle w:val="14"/>
              <w:spacing w:before="34"/>
              <w:ind w:left="10"/>
              <w:rPr>
                <w:rFonts w:ascii="Times New Roman"/>
                <w:b/>
                <w:sz w:val="21"/>
              </w:rPr>
            </w:pPr>
            <w:r>
              <w:rPr>
                <w:rFonts w:ascii="Times New Roman"/>
                <w:b/>
                <w:w w:val="99"/>
                <w:sz w:val="21"/>
              </w:rPr>
              <w:t>/</w:t>
            </w:r>
          </w:p>
        </w:tc>
        <w:tc>
          <w:tcPr>
            <w:tcW w:w="1216" w:type="dxa"/>
          </w:tcPr>
          <w:p>
            <w:pPr>
              <w:pStyle w:val="14"/>
              <w:spacing w:before="34"/>
              <w:ind w:left="7"/>
              <w:rPr>
                <w:rFonts w:ascii="Times New Roman"/>
                <w:b/>
                <w:sz w:val="21"/>
              </w:rPr>
            </w:pPr>
            <w:r>
              <w:rPr>
                <w:rFonts w:ascii="Times New Roman"/>
                <w:b/>
                <w:w w:val="99"/>
                <w:sz w:val="21"/>
              </w:rPr>
              <w:t>/</w:t>
            </w:r>
          </w:p>
        </w:tc>
        <w:tc>
          <w:tcPr>
            <w:tcW w:w="1216" w:type="dxa"/>
          </w:tcPr>
          <w:p>
            <w:pPr>
              <w:pStyle w:val="14"/>
              <w:spacing w:before="34"/>
              <w:ind w:left="9"/>
              <w:rPr>
                <w:rFonts w:ascii="Times New Roman"/>
                <w:b/>
                <w:sz w:val="21"/>
              </w:rPr>
            </w:pPr>
            <w:r>
              <w:rPr>
                <w:rFonts w:ascii="Times New Roman"/>
                <w:b/>
                <w:w w:val="99"/>
                <w:sz w:val="21"/>
              </w:rPr>
              <w:t>/</w:t>
            </w:r>
          </w:p>
        </w:tc>
        <w:tc>
          <w:tcPr>
            <w:tcW w:w="1216" w:type="dxa"/>
          </w:tcPr>
          <w:p>
            <w:pPr>
              <w:pStyle w:val="14"/>
              <w:spacing w:before="34"/>
              <w:ind w:left="10"/>
              <w:rPr>
                <w:rFonts w:ascii="Times New Roman"/>
                <w:b/>
                <w:sz w:val="21"/>
              </w:rPr>
            </w:pPr>
            <w:r>
              <w:rPr>
                <w:rFonts w:ascii="Times New Roman"/>
                <w:b/>
                <w:w w:val="99"/>
                <w:sz w:val="21"/>
              </w:rPr>
              <w:t>/</w:t>
            </w:r>
          </w:p>
        </w:tc>
        <w:tc>
          <w:tcPr>
            <w:tcW w:w="1216" w:type="dxa"/>
          </w:tcPr>
          <w:p>
            <w:pPr>
              <w:pStyle w:val="14"/>
              <w:spacing w:before="34"/>
              <w:ind w:left="7"/>
              <w:rPr>
                <w:rFonts w:ascii="Times New Roman"/>
                <w:b/>
                <w:sz w:val="21"/>
              </w:rPr>
            </w:pPr>
            <w:r>
              <w:rPr>
                <w:rFonts w:ascii="Times New Roman"/>
                <w:b/>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538" w:type="dxa"/>
          </w:tcPr>
          <w:p>
            <w:pPr>
              <w:pStyle w:val="14"/>
              <w:spacing w:before="36"/>
              <w:ind w:left="192" w:right="184"/>
              <w:rPr>
                <w:rFonts w:ascii="Times New Roman"/>
                <w:sz w:val="13"/>
              </w:rPr>
            </w:pPr>
            <w:r>
              <w:rPr>
                <w:rFonts w:ascii="Times New Roman"/>
                <w:sz w:val="21"/>
              </w:rPr>
              <w:t>Cl</w:t>
            </w:r>
            <w:r>
              <w:rPr>
                <w:rFonts w:ascii="Times New Roman"/>
                <w:position w:val="7"/>
                <w:sz w:val="13"/>
              </w:rPr>
              <w:t>-</w:t>
            </w:r>
          </w:p>
        </w:tc>
        <w:tc>
          <w:tcPr>
            <w:tcW w:w="1216" w:type="dxa"/>
          </w:tcPr>
          <w:p>
            <w:pPr>
              <w:pStyle w:val="14"/>
              <w:spacing w:before="36"/>
              <w:ind w:left="10"/>
              <w:rPr>
                <w:rFonts w:ascii="Times New Roman"/>
                <w:b/>
                <w:sz w:val="21"/>
              </w:rPr>
            </w:pPr>
            <w:r>
              <w:rPr>
                <w:rFonts w:ascii="Times New Roman"/>
                <w:b/>
                <w:w w:val="99"/>
                <w:sz w:val="21"/>
              </w:rPr>
              <w:t>/</w:t>
            </w:r>
          </w:p>
        </w:tc>
        <w:tc>
          <w:tcPr>
            <w:tcW w:w="1216" w:type="dxa"/>
          </w:tcPr>
          <w:p>
            <w:pPr>
              <w:pStyle w:val="14"/>
              <w:spacing w:before="36"/>
              <w:ind w:left="7"/>
              <w:rPr>
                <w:rFonts w:ascii="Times New Roman"/>
                <w:b/>
                <w:sz w:val="21"/>
              </w:rPr>
            </w:pPr>
            <w:r>
              <w:rPr>
                <w:rFonts w:ascii="Times New Roman"/>
                <w:b/>
                <w:w w:val="99"/>
                <w:sz w:val="21"/>
              </w:rPr>
              <w:t>/</w:t>
            </w:r>
          </w:p>
        </w:tc>
        <w:tc>
          <w:tcPr>
            <w:tcW w:w="1216" w:type="dxa"/>
          </w:tcPr>
          <w:p>
            <w:pPr>
              <w:pStyle w:val="14"/>
              <w:spacing w:before="36"/>
              <w:ind w:left="9"/>
              <w:rPr>
                <w:rFonts w:ascii="Times New Roman"/>
                <w:b/>
                <w:sz w:val="21"/>
              </w:rPr>
            </w:pPr>
            <w:r>
              <w:rPr>
                <w:rFonts w:ascii="Times New Roman"/>
                <w:b/>
                <w:w w:val="99"/>
                <w:sz w:val="21"/>
              </w:rPr>
              <w:t>/</w:t>
            </w:r>
          </w:p>
        </w:tc>
        <w:tc>
          <w:tcPr>
            <w:tcW w:w="1216" w:type="dxa"/>
          </w:tcPr>
          <w:p>
            <w:pPr>
              <w:pStyle w:val="14"/>
              <w:spacing w:before="36"/>
              <w:ind w:left="10"/>
              <w:rPr>
                <w:rFonts w:ascii="Times New Roman"/>
                <w:b/>
                <w:sz w:val="21"/>
              </w:rPr>
            </w:pPr>
            <w:r>
              <w:rPr>
                <w:rFonts w:ascii="Times New Roman"/>
                <w:b/>
                <w:w w:val="99"/>
                <w:sz w:val="21"/>
              </w:rPr>
              <w:t>/</w:t>
            </w:r>
          </w:p>
        </w:tc>
        <w:tc>
          <w:tcPr>
            <w:tcW w:w="1216" w:type="dxa"/>
          </w:tcPr>
          <w:p>
            <w:pPr>
              <w:pStyle w:val="14"/>
              <w:spacing w:before="36"/>
              <w:ind w:left="7"/>
              <w:rPr>
                <w:rFonts w:ascii="Times New Roman"/>
                <w:b/>
                <w:sz w:val="21"/>
              </w:rPr>
            </w:pPr>
            <w:r>
              <w:rPr>
                <w:rFonts w:ascii="Times New Roman"/>
                <w:b/>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538" w:type="dxa"/>
          </w:tcPr>
          <w:p>
            <w:pPr>
              <w:pStyle w:val="14"/>
              <w:spacing w:before="40" w:line="71" w:lineRule="exact"/>
              <w:ind w:left="530" w:right="184"/>
              <w:rPr>
                <w:rFonts w:ascii="Times New Roman"/>
                <w:sz w:val="13"/>
              </w:rPr>
            </w:pPr>
            <w:r>
              <w:rPr>
                <w:rFonts w:ascii="Times New Roman"/>
                <w:w w:val="105"/>
                <w:sz w:val="13"/>
              </w:rPr>
              <w:t>2-</w:t>
            </w:r>
          </w:p>
          <w:p>
            <w:pPr>
              <w:pStyle w:val="14"/>
              <w:spacing w:line="181" w:lineRule="exact"/>
              <w:ind w:left="83" w:right="184"/>
              <w:rPr>
                <w:rFonts w:ascii="Times New Roman"/>
                <w:sz w:val="21"/>
              </w:rPr>
            </w:pPr>
            <w:r>
              <w:rPr>
                <w:rFonts w:ascii="Times New Roman"/>
                <w:position w:val="2"/>
                <w:sz w:val="21"/>
              </w:rPr>
              <w:t>SO</w:t>
            </w:r>
            <w:r>
              <w:rPr>
                <w:rFonts w:ascii="Times New Roman"/>
                <w:position w:val="2"/>
                <w:sz w:val="21"/>
                <w:vertAlign w:val="subscript"/>
              </w:rPr>
              <w:t>4</w:t>
            </w:r>
          </w:p>
        </w:tc>
        <w:tc>
          <w:tcPr>
            <w:tcW w:w="1216" w:type="dxa"/>
          </w:tcPr>
          <w:p>
            <w:pPr>
              <w:pStyle w:val="14"/>
              <w:spacing w:before="35"/>
              <w:ind w:left="10"/>
              <w:rPr>
                <w:rFonts w:ascii="Times New Roman"/>
                <w:b/>
                <w:sz w:val="21"/>
              </w:rPr>
            </w:pPr>
            <w:r>
              <w:rPr>
                <w:rFonts w:ascii="Times New Roman"/>
                <w:b/>
                <w:w w:val="99"/>
                <w:sz w:val="21"/>
              </w:rPr>
              <w:t>/</w:t>
            </w:r>
          </w:p>
        </w:tc>
        <w:tc>
          <w:tcPr>
            <w:tcW w:w="1216" w:type="dxa"/>
          </w:tcPr>
          <w:p>
            <w:pPr>
              <w:pStyle w:val="14"/>
              <w:spacing w:before="35"/>
              <w:ind w:left="7"/>
              <w:rPr>
                <w:rFonts w:ascii="Times New Roman"/>
                <w:b/>
                <w:sz w:val="21"/>
              </w:rPr>
            </w:pPr>
            <w:r>
              <w:rPr>
                <w:rFonts w:ascii="Times New Roman"/>
                <w:b/>
                <w:w w:val="99"/>
                <w:sz w:val="21"/>
              </w:rPr>
              <w:t>/</w:t>
            </w:r>
          </w:p>
        </w:tc>
        <w:tc>
          <w:tcPr>
            <w:tcW w:w="1216" w:type="dxa"/>
          </w:tcPr>
          <w:p>
            <w:pPr>
              <w:pStyle w:val="14"/>
              <w:spacing w:before="35"/>
              <w:ind w:left="9"/>
              <w:rPr>
                <w:rFonts w:ascii="Times New Roman"/>
                <w:b/>
                <w:sz w:val="21"/>
              </w:rPr>
            </w:pPr>
            <w:r>
              <w:rPr>
                <w:rFonts w:ascii="Times New Roman"/>
                <w:b/>
                <w:w w:val="99"/>
                <w:sz w:val="21"/>
              </w:rPr>
              <w:t>/</w:t>
            </w:r>
          </w:p>
        </w:tc>
        <w:tc>
          <w:tcPr>
            <w:tcW w:w="1216" w:type="dxa"/>
          </w:tcPr>
          <w:p>
            <w:pPr>
              <w:pStyle w:val="14"/>
              <w:spacing w:before="35"/>
              <w:ind w:left="10"/>
              <w:rPr>
                <w:rFonts w:ascii="Times New Roman"/>
                <w:b/>
                <w:sz w:val="21"/>
              </w:rPr>
            </w:pPr>
            <w:r>
              <w:rPr>
                <w:rFonts w:ascii="Times New Roman"/>
                <w:b/>
                <w:w w:val="99"/>
                <w:sz w:val="21"/>
              </w:rPr>
              <w:t>/</w:t>
            </w:r>
          </w:p>
        </w:tc>
        <w:tc>
          <w:tcPr>
            <w:tcW w:w="1216" w:type="dxa"/>
          </w:tcPr>
          <w:p>
            <w:pPr>
              <w:pStyle w:val="14"/>
              <w:spacing w:before="35"/>
              <w:ind w:left="7"/>
              <w:rPr>
                <w:rFonts w:ascii="Times New Roman"/>
                <w:b/>
                <w:sz w:val="21"/>
              </w:rPr>
            </w:pPr>
            <w:r>
              <w:rPr>
                <w:rFonts w:ascii="Times New Roman"/>
                <w:b/>
                <w:w w:val="99"/>
                <w:sz w:val="21"/>
              </w:rPr>
              <w:t>/</w:t>
            </w:r>
          </w:p>
        </w:tc>
      </w:tr>
    </w:tbl>
    <w:p>
      <w:pPr>
        <w:pStyle w:val="6"/>
        <w:spacing w:before="7"/>
        <w:rPr>
          <w:b/>
          <w:sz w:val="22"/>
        </w:rPr>
      </w:pPr>
    </w:p>
    <w:p>
      <w:pPr>
        <w:pStyle w:val="5"/>
        <w:spacing w:before="74"/>
        <w:ind w:left="551"/>
      </w:pPr>
      <w:r>
        <w:rPr>
          <w:rFonts w:ascii="Times New Roman" w:eastAsia="Times New Roman"/>
        </w:rPr>
        <w:t xml:space="preserve">6.3.2.4 </w:t>
      </w:r>
      <w:r>
        <w:t>地下水现状评价结论</w:t>
      </w:r>
    </w:p>
    <w:p>
      <w:pPr>
        <w:pStyle w:val="6"/>
        <w:spacing w:before="161" w:line="364" w:lineRule="auto"/>
        <w:ind w:left="551" w:right="847" w:firstLine="480"/>
      </w:pPr>
      <w:r>
        <w:rPr>
          <w:spacing w:val="2"/>
        </w:rPr>
        <w:t>根据对黑龙江康和检测有限公司于</w:t>
      </w:r>
      <w:r>
        <w:rPr>
          <w:rFonts w:ascii="Times New Roman" w:hAnsi="Times New Roman" w:eastAsia="Times New Roman"/>
        </w:rPr>
        <w:t xml:space="preserve">2020 </w:t>
      </w:r>
      <w:r>
        <w:rPr>
          <w:spacing w:val="40"/>
        </w:rPr>
        <w:t>年</w:t>
      </w:r>
      <w:r>
        <w:rPr>
          <w:rFonts w:ascii="Times New Roman" w:hAnsi="Times New Roman" w:eastAsia="Times New Roman"/>
        </w:rPr>
        <w:t xml:space="preserve">06 </w:t>
      </w:r>
      <w:r>
        <w:rPr>
          <w:spacing w:val="40"/>
        </w:rPr>
        <w:t>月</w:t>
      </w:r>
      <w:r>
        <w:rPr>
          <w:rFonts w:ascii="Times New Roman" w:hAnsi="Times New Roman" w:eastAsia="Times New Roman"/>
        </w:rPr>
        <w:t xml:space="preserve">15 </w:t>
      </w:r>
      <w:r>
        <w:t>日出具的监测报告进行分析可知，</w:t>
      </w:r>
      <w:r>
        <w:rPr>
          <w:rFonts w:ascii="Times New Roman" w:hAnsi="Times New Roman" w:eastAsia="Times New Roman"/>
        </w:rPr>
        <w:t>1#</w:t>
      </w:r>
      <w:r>
        <w:t>、</w:t>
      </w:r>
      <w:r>
        <w:rPr>
          <w:rFonts w:ascii="Times New Roman" w:hAnsi="Times New Roman" w:eastAsia="Times New Roman"/>
        </w:rPr>
        <w:t>2#</w:t>
      </w:r>
      <w:r>
        <w:t>、</w:t>
      </w:r>
      <w:r>
        <w:rPr>
          <w:rFonts w:ascii="Times New Roman" w:hAnsi="Times New Roman" w:eastAsia="Times New Roman"/>
        </w:rPr>
        <w:t>3#</w:t>
      </w:r>
      <w:r>
        <w:t>、</w:t>
      </w:r>
      <w:r>
        <w:rPr>
          <w:rFonts w:ascii="Times New Roman" w:hAnsi="Times New Roman" w:eastAsia="Times New Roman"/>
        </w:rPr>
        <w:t>5#</w:t>
      </w:r>
      <w:r>
        <w:t>监测点水质良好，监测因子均未超标，</w:t>
      </w:r>
      <w:r>
        <w:rPr>
          <w:rFonts w:ascii="Times New Roman" w:hAnsi="Times New Roman" w:eastAsia="Times New Roman"/>
        </w:rPr>
        <w:t>4#</w:t>
      </w:r>
      <w:r>
        <w:t>监测点总硬度</w:t>
      </w:r>
      <w:r>
        <w:rPr>
          <w:spacing w:val="-11"/>
        </w:rPr>
        <w:t>和锰超标，其他监测因子满足《地下水质量标准》</w:t>
      </w:r>
      <w:r>
        <w:t>（</w:t>
      </w:r>
      <w:r>
        <w:rPr>
          <w:rFonts w:ascii="Times New Roman" w:hAnsi="Times New Roman" w:eastAsia="Times New Roman"/>
        </w:rPr>
        <w:t>GB/T14848-2017</w:t>
      </w:r>
      <w:r>
        <w:t>）</w:t>
      </w:r>
      <w:r>
        <w:rPr>
          <w:spacing w:val="-3"/>
        </w:rPr>
        <w:t>Ⅲ类标准。</w:t>
      </w:r>
      <w:r>
        <w:t>总硬度和锰超标原因由原生地质导致。</w:t>
      </w:r>
    </w:p>
    <w:p>
      <w:pPr>
        <w:pStyle w:val="3"/>
        <w:numPr>
          <w:ilvl w:val="1"/>
          <w:numId w:val="55"/>
        </w:numPr>
        <w:tabs>
          <w:tab w:val="left" w:pos="1001"/>
        </w:tabs>
        <w:spacing w:before="115" w:after="0" w:line="240" w:lineRule="auto"/>
        <w:ind w:left="1000" w:right="0" w:hanging="450"/>
        <w:jc w:val="left"/>
      </w:pPr>
      <w:bookmarkStart w:id="381" w:name="6.5建设期地下水环境影响分析与防治措施"/>
      <w:bookmarkEnd w:id="381"/>
      <w:bookmarkStart w:id="382" w:name="_bookmark34"/>
      <w:bookmarkEnd w:id="382"/>
      <w:bookmarkStart w:id="383" w:name="_bookmark34"/>
      <w:bookmarkEnd w:id="383"/>
      <w:r>
        <w:t>建设期地下水环境影响分析与防治措施</w:t>
      </w:r>
    </w:p>
    <w:p>
      <w:pPr>
        <w:pStyle w:val="6"/>
        <w:spacing w:before="264" w:line="374" w:lineRule="auto"/>
        <w:ind w:left="551" w:right="969" w:firstLine="480"/>
      </w:pPr>
      <w:r>
        <w:t>矿井建设期污水排放主要有井下排水、施工区废水和施工营地生活污水三部分水污染源。</w:t>
      </w:r>
    </w:p>
    <w:p>
      <w:pPr>
        <w:pStyle w:val="6"/>
        <w:spacing w:line="286" w:lineRule="exact"/>
        <w:ind w:left="1031"/>
      </w:pPr>
      <w:r>
        <w:t>本项目矿井建设工期施工人数较多，必然要排放一定量的生活污水，使用场</w:t>
      </w:r>
    </w:p>
    <w:p>
      <w:pPr>
        <w:pStyle w:val="6"/>
        <w:spacing w:before="158"/>
        <w:ind w:left="551"/>
      </w:pPr>
      <w:r>
        <w:t>地设有防渗旱厕，定期清掏，外运堆肥，不外排</w:t>
      </w:r>
    </w:p>
    <w:p>
      <w:pPr>
        <w:pStyle w:val="6"/>
        <w:spacing w:before="160" w:line="364" w:lineRule="auto"/>
        <w:ind w:left="551" w:right="988" w:firstLine="520"/>
        <w:jc w:val="both"/>
      </w:pPr>
      <w:r>
        <w:t xml:space="preserve">施工区废水主要来自于施工设备冲洗水和建材物料冲洗水， 废水中主要含有 </w:t>
      </w:r>
      <w:r>
        <w:rPr>
          <w:rFonts w:ascii="Times New Roman" w:eastAsia="Times New Roman"/>
        </w:rPr>
        <w:t xml:space="preserve">SS </w:t>
      </w:r>
      <w:r>
        <w:t>和石油类污染物。该部分废水收集到临时废水沉淀池处理后循环利用。</w:t>
      </w:r>
    </w:p>
    <w:p>
      <w:pPr>
        <w:pStyle w:val="6"/>
        <w:spacing w:before="76" w:line="364" w:lineRule="auto"/>
        <w:ind w:left="551" w:right="973" w:firstLine="600"/>
        <w:jc w:val="both"/>
      </w:pPr>
      <w:r>
        <w:rPr>
          <w:spacing w:val="-5"/>
        </w:rPr>
        <w:t>施工期井下排水可能造成局部地下水位的下降和地下水资源的破坏，影响本</w:t>
      </w:r>
      <w:r>
        <w:rPr>
          <w:spacing w:val="-1"/>
        </w:rPr>
        <w:t>矿井充水因素的地下水主要是风化裂隙和构造裂隙含水层，受地表水及大气降水补给，补给条件较弱，井筒施工过程对地下水的水量影响较小。井下排水主要污</w:t>
      </w:r>
      <w:r>
        <w:rPr>
          <w:spacing w:val="-15"/>
        </w:rPr>
        <w:t xml:space="preserve">染物为 </w:t>
      </w:r>
      <w:r>
        <w:rPr>
          <w:rFonts w:ascii="Times New Roman" w:eastAsia="Times New Roman"/>
          <w:spacing w:val="-16"/>
        </w:rPr>
        <w:t>SS</w:t>
      </w:r>
      <w:r>
        <w:rPr>
          <w:spacing w:val="-8"/>
        </w:rPr>
        <w:t>，抽排至地面设置的临时废水沉淀池，经沉淀处理后再回用于井下施工</w:t>
      </w:r>
      <w:r>
        <w:t>用水和地面设备、物料冲洗水。</w:t>
      </w:r>
    </w:p>
    <w:p>
      <w:pPr>
        <w:pStyle w:val="3"/>
        <w:numPr>
          <w:ilvl w:val="1"/>
          <w:numId w:val="55"/>
        </w:numPr>
        <w:tabs>
          <w:tab w:val="left" w:pos="1001"/>
        </w:tabs>
        <w:spacing w:before="0" w:after="0" w:line="311" w:lineRule="exact"/>
        <w:ind w:left="1000" w:right="0" w:hanging="450"/>
        <w:jc w:val="left"/>
      </w:pPr>
      <w:r>
        <w:t>地下水环境影响分析</w:t>
      </w:r>
    </w:p>
    <w:p>
      <w:pPr>
        <w:pStyle w:val="4"/>
        <w:numPr>
          <w:ilvl w:val="2"/>
          <w:numId w:val="55"/>
        </w:numPr>
        <w:tabs>
          <w:tab w:val="left" w:pos="1181"/>
        </w:tabs>
        <w:spacing w:before="200" w:after="0" w:line="240" w:lineRule="auto"/>
        <w:ind w:left="1180" w:right="0" w:hanging="630"/>
        <w:jc w:val="left"/>
      </w:pPr>
      <w:r>
        <w:t>地下水影响因素及污染途径识别</w:t>
      </w:r>
    </w:p>
    <w:p>
      <w:pPr>
        <w:spacing w:after="0" w:line="240" w:lineRule="auto"/>
        <w:jc w:val="left"/>
        <w:sectPr>
          <w:pgSz w:w="11910" w:h="16840"/>
          <w:pgMar w:top="1420" w:right="780" w:bottom="1180" w:left="1200" w:header="0" w:footer="997" w:gutter="0"/>
        </w:sectPr>
      </w:pPr>
    </w:p>
    <w:p>
      <w:pPr>
        <w:pStyle w:val="6"/>
        <w:spacing w:before="42" w:line="364" w:lineRule="auto"/>
        <w:ind w:left="551" w:right="853" w:firstLine="480"/>
      </w:pPr>
      <w:r>
        <w:rPr>
          <w:spacing w:val="-10"/>
        </w:rPr>
        <w:t>根据项目相关资料，运营期水污染主要为工业场地内的生活污水、矿井涌水。</w:t>
      </w:r>
      <w:r>
        <w:rPr>
          <w:spacing w:val="-5"/>
        </w:rPr>
        <w:t xml:space="preserve">项目矿井正常的涌水量为 </w:t>
      </w:r>
      <w:r>
        <w:rPr>
          <w:rFonts w:ascii="Times New Roman" w:hAnsi="Times New Roman" w:eastAsia="Times New Roman"/>
          <w:spacing w:val="-6"/>
        </w:rPr>
        <w:t>76m</w:t>
      </w:r>
      <w:r>
        <w:rPr>
          <w:spacing w:val="-6"/>
        </w:rPr>
        <w:t>³</w:t>
      </w:r>
      <w:r>
        <w:rPr>
          <w:rFonts w:ascii="Times New Roman" w:hAnsi="Times New Roman" w:eastAsia="Times New Roman"/>
          <w:spacing w:val="-6"/>
        </w:rPr>
        <w:t>/h</w:t>
      </w:r>
      <w:r>
        <w:rPr>
          <w:spacing w:val="-5"/>
        </w:rPr>
        <w:t>，工业场地设矿井水处理站一座，常规处理规模</w:t>
      </w:r>
      <w:r>
        <w:rPr>
          <w:rFonts w:ascii="Times New Roman" w:hAnsi="Times New Roman" w:eastAsia="Times New Roman"/>
          <w:spacing w:val="-3"/>
        </w:rPr>
        <w:t>3720m</w:t>
      </w:r>
      <w:r>
        <w:rPr>
          <w:spacing w:val="-3"/>
        </w:rPr>
        <w:t>³</w:t>
      </w:r>
      <w:r>
        <w:rPr>
          <w:rFonts w:ascii="Times New Roman" w:hAnsi="Times New Roman" w:eastAsia="Times New Roman"/>
          <w:spacing w:val="-3"/>
        </w:rPr>
        <w:t>/d</w:t>
      </w:r>
      <w:r>
        <w:rPr>
          <w:spacing w:val="-2"/>
        </w:rPr>
        <w:t>，经调节</w:t>
      </w:r>
      <w:r>
        <w:rPr>
          <w:rFonts w:ascii="Times New Roman" w:hAnsi="Times New Roman" w:eastAsia="Times New Roman"/>
        </w:rPr>
        <w:t>+</w:t>
      </w:r>
      <w:r>
        <w:t>絮凝</w:t>
      </w:r>
      <w:r>
        <w:rPr>
          <w:rFonts w:ascii="Times New Roman" w:hAnsi="Times New Roman" w:eastAsia="Times New Roman"/>
        </w:rPr>
        <w:t>+</w:t>
      </w:r>
      <w:r>
        <w:t>沉淀</w:t>
      </w:r>
      <w:r>
        <w:rPr>
          <w:rFonts w:ascii="Times New Roman" w:hAnsi="Times New Roman" w:eastAsia="Times New Roman"/>
        </w:rPr>
        <w:t>+</w:t>
      </w:r>
      <w:r>
        <w:t>过滤</w:t>
      </w:r>
      <w:r>
        <w:rPr>
          <w:rFonts w:ascii="Times New Roman" w:hAnsi="Times New Roman" w:eastAsia="Times New Roman"/>
        </w:rPr>
        <w:t>+</w:t>
      </w:r>
      <w:r>
        <w:rPr>
          <w:spacing w:val="-7"/>
        </w:rPr>
        <w:t>消毒处理后，部分回用，部分外排。工业场</w:t>
      </w:r>
      <w:r>
        <w:rPr>
          <w:spacing w:val="-9"/>
        </w:rPr>
        <w:t xml:space="preserve">地生活污水主要来自食堂、浴室、洗衣房以及办公楼等。产生量 </w:t>
      </w:r>
      <w:r>
        <w:rPr>
          <w:rFonts w:ascii="Times New Roman" w:hAnsi="Times New Roman" w:eastAsia="Times New Roman"/>
        </w:rPr>
        <w:t>108.65m</w:t>
      </w:r>
      <w:r>
        <w:t>³</w:t>
      </w:r>
      <w:r>
        <w:rPr>
          <w:rFonts w:ascii="Times New Roman" w:hAnsi="Times New Roman" w:eastAsia="Times New Roman"/>
        </w:rPr>
        <w:t>/d</w:t>
      </w:r>
      <w:r>
        <w:rPr>
          <w:spacing w:val="-2"/>
        </w:rPr>
        <w:t>。生</w:t>
      </w:r>
      <w:r>
        <w:rPr>
          <w:spacing w:val="-8"/>
          <w:position w:val="2"/>
        </w:rPr>
        <w:t xml:space="preserve">活污水主要污染物为 </w:t>
      </w:r>
      <w:r>
        <w:rPr>
          <w:rFonts w:ascii="Times New Roman" w:hAnsi="Times New Roman" w:eastAsia="Times New Roman"/>
          <w:position w:val="2"/>
        </w:rPr>
        <w:t>SS</w:t>
      </w:r>
      <w:r>
        <w:rPr>
          <w:position w:val="2"/>
        </w:rPr>
        <w:t>、</w:t>
      </w:r>
      <w:r>
        <w:rPr>
          <w:rFonts w:ascii="Times New Roman" w:hAnsi="Times New Roman" w:eastAsia="Times New Roman"/>
          <w:position w:val="2"/>
        </w:rPr>
        <w:t>COD</w:t>
      </w:r>
      <w:r>
        <w:rPr>
          <w:position w:val="2"/>
        </w:rPr>
        <w:t>、</w:t>
      </w:r>
      <w:r>
        <w:rPr>
          <w:rFonts w:ascii="Times New Roman" w:hAnsi="Times New Roman" w:eastAsia="Times New Roman"/>
          <w:position w:val="2"/>
        </w:rPr>
        <w:t>BOD</w:t>
      </w:r>
      <w:r>
        <w:rPr>
          <w:rFonts w:ascii="Times New Roman" w:hAnsi="Times New Roman" w:eastAsia="Times New Roman"/>
          <w:position w:val="2"/>
          <w:vertAlign w:val="subscript"/>
        </w:rPr>
        <w:t>5</w:t>
      </w:r>
      <w:r>
        <w:rPr>
          <w:position w:val="2"/>
          <w:vertAlign w:val="baseline"/>
        </w:rPr>
        <w:t>、氨氮。矿井生活污水处理站处理规模为</w:t>
      </w:r>
      <w:r>
        <w:rPr>
          <w:rFonts w:ascii="Times New Roman" w:hAnsi="Times New Roman" w:eastAsia="Times New Roman"/>
          <w:vertAlign w:val="baseline"/>
        </w:rPr>
        <w:t>360m</w:t>
      </w:r>
      <w:r>
        <w:rPr>
          <w:rFonts w:ascii="Times New Roman" w:hAnsi="Times New Roman" w:eastAsia="Times New Roman"/>
          <w:position w:val="8"/>
          <w:sz w:val="15"/>
          <w:vertAlign w:val="baseline"/>
        </w:rPr>
        <w:t>3</w:t>
      </w:r>
      <w:r>
        <w:rPr>
          <w:rFonts w:ascii="Times New Roman" w:hAnsi="Times New Roman" w:eastAsia="Times New Roman"/>
          <w:vertAlign w:val="baseline"/>
        </w:rPr>
        <w:t>/d</w:t>
      </w:r>
      <w:r>
        <w:rPr>
          <w:vertAlign w:val="baseline"/>
        </w:rPr>
        <w:t>，二级生物处理后，回用于生产、工业场地绿化洒水用水等。</w:t>
      </w:r>
    </w:p>
    <w:p>
      <w:pPr>
        <w:pStyle w:val="6"/>
        <w:spacing w:line="307" w:lineRule="exact"/>
        <w:ind w:left="1031"/>
      </w:pPr>
      <w:r>
        <w:t xml:space="preserve">因此，本次地下水环境影响预测主要以生活污水为主，预测因子取 </w:t>
      </w:r>
      <w:r>
        <w:rPr>
          <w:rFonts w:ascii="Times New Roman" w:eastAsia="Times New Roman"/>
        </w:rPr>
        <w:t>COD</w:t>
      </w:r>
      <w:r>
        <w:t>。</w:t>
      </w:r>
    </w:p>
    <w:p>
      <w:pPr>
        <w:pStyle w:val="4"/>
        <w:numPr>
          <w:ilvl w:val="2"/>
          <w:numId w:val="55"/>
        </w:numPr>
        <w:tabs>
          <w:tab w:val="left" w:pos="1181"/>
        </w:tabs>
        <w:spacing w:before="214" w:after="0" w:line="240" w:lineRule="auto"/>
        <w:ind w:left="1180" w:right="0" w:hanging="630"/>
        <w:jc w:val="left"/>
      </w:pPr>
      <w:r>
        <w:t>运营期地下水环境影响预测和分析</w:t>
      </w:r>
    </w:p>
    <w:p>
      <w:pPr>
        <w:pStyle w:val="6"/>
        <w:spacing w:before="212"/>
        <w:ind w:left="1031"/>
      </w:pPr>
      <w:r>
        <w:rPr>
          <w:rFonts w:ascii="Times New Roman" w:eastAsia="Times New Roman"/>
        </w:rPr>
        <w:t>1</w:t>
      </w:r>
      <w:r>
        <w:t>、正常情况</w:t>
      </w:r>
    </w:p>
    <w:p>
      <w:pPr>
        <w:pStyle w:val="6"/>
        <w:spacing w:before="160" w:line="364" w:lineRule="auto"/>
        <w:ind w:left="551" w:right="967" w:firstLine="480"/>
        <w:jc w:val="both"/>
      </w:pPr>
      <w:r>
        <w:t>正常状况指建设项目污废水集、贮及处理建（构）</w:t>
      </w:r>
      <w:r>
        <w:rPr>
          <w:spacing w:val="-2"/>
        </w:rPr>
        <w:t>筑物、装置和设施区域的</w:t>
      </w:r>
      <w:r>
        <w:rPr>
          <w:spacing w:val="-1"/>
        </w:rPr>
        <w:t>防渗措施达到防渗技术要求。矿井水本身水质较好，运行期矿井水受采煤产生的煤屑污染，受污染后的矿井涌水首先汇集到井底水仓然后通过主排水系统进入矿井水处理站处理。矿井水处理站为防水钢筋混凝土结构，正常状况下，矿井水处理站的防渗措施达到防渗技术要求，对地下水的影响较小。生活污水主要污染物</w:t>
      </w:r>
      <w:r>
        <w:rPr>
          <w:spacing w:val="-30"/>
          <w:position w:val="2"/>
        </w:rPr>
        <w:t xml:space="preserve">为 </w:t>
      </w:r>
      <w:r>
        <w:rPr>
          <w:rFonts w:ascii="Times New Roman" w:eastAsia="Times New Roman"/>
          <w:position w:val="2"/>
        </w:rPr>
        <w:t>COD</w:t>
      </w:r>
      <w:r>
        <w:rPr>
          <w:spacing w:val="-27"/>
          <w:position w:val="2"/>
        </w:rPr>
        <w:t>、</w:t>
      </w:r>
      <w:r>
        <w:rPr>
          <w:rFonts w:ascii="Times New Roman" w:eastAsia="Times New Roman"/>
          <w:position w:val="2"/>
        </w:rPr>
        <w:t>NH</w:t>
      </w:r>
      <w:r>
        <w:rPr>
          <w:rFonts w:ascii="Times New Roman" w:eastAsia="Times New Roman"/>
          <w:position w:val="2"/>
          <w:vertAlign w:val="subscript"/>
        </w:rPr>
        <w:t>3</w:t>
      </w:r>
      <w:r>
        <w:rPr>
          <w:rFonts w:ascii="Times New Roman" w:eastAsia="Times New Roman"/>
          <w:position w:val="2"/>
          <w:vertAlign w:val="baseline"/>
        </w:rPr>
        <w:t xml:space="preserve">-N </w:t>
      </w:r>
      <w:r>
        <w:rPr>
          <w:spacing w:val="-9"/>
          <w:position w:val="2"/>
          <w:vertAlign w:val="baseline"/>
        </w:rPr>
        <w:t>等，水质较差，生活污水处理站为防水钢筋混凝土结构，正常情</w:t>
      </w:r>
      <w:r>
        <w:rPr>
          <w:vertAlign w:val="baseline"/>
        </w:rPr>
        <w:t>况下，生活污水处理站的防渗措施达到防渗技术要求，对地下水的影响较小。</w:t>
      </w:r>
    </w:p>
    <w:p>
      <w:pPr>
        <w:pStyle w:val="6"/>
        <w:spacing w:line="307" w:lineRule="exact"/>
        <w:ind w:left="1031"/>
      </w:pPr>
      <w:r>
        <w:rPr>
          <w:rFonts w:ascii="Times New Roman" w:eastAsia="Times New Roman"/>
        </w:rPr>
        <w:t>2</w:t>
      </w:r>
      <w:r>
        <w:t>、非正常情况</w:t>
      </w:r>
    </w:p>
    <w:p>
      <w:pPr>
        <w:pStyle w:val="6"/>
        <w:spacing w:before="161" w:line="364" w:lineRule="auto"/>
        <w:ind w:left="551" w:right="973" w:firstLine="480"/>
        <w:jc w:val="both"/>
      </w:pPr>
      <w:r>
        <w:t>非正常状况指污废水集、贮及处理建（构）筑物、装置和设施区域的防渗措施因老化、腐蚀等原因达不到防渗技术要求时的状况。本次环评考虑生活污水处理站非正常状况下对地下水环境影响。</w:t>
      </w:r>
    </w:p>
    <w:p>
      <w:pPr>
        <w:pStyle w:val="6"/>
        <w:spacing w:before="1"/>
        <w:ind w:left="1031"/>
      </w:pPr>
      <w:r>
        <w:t>预测情景</w:t>
      </w:r>
    </w:p>
    <w:p>
      <w:pPr>
        <w:pStyle w:val="6"/>
        <w:spacing w:before="161" w:line="364" w:lineRule="auto"/>
        <w:ind w:left="551" w:right="853" w:firstLine="480"/>
      </w:pPr>
      <w:r>
        <w:t>本次预测对污染物的吸附、挥发、生物化学反应均不予以考虑，对模型中的各项参数均予保守性估计，即假定污染质在地下运移过程中，不与含水层介质发</w:t>
      </w:r>
      <w:r>
        <w:rPr>
          <w:spacing w:val="-13"/>
        </w:rPr>
        <w:t>生作用或反应，计算按保守性计算，估计污染源最大程度上对地下水水质的影响。</w:t>
      </w:r>
      <w:r>
        <w:t>非正常状况下，生活污水处理站和矿井水处理站污废水的渗漏不容易被发现，会</w:t>
      </w:r>
      <w:r>
        <w:rPr>
          <w:spacing w:val="-14"/>
        </w:rPr>
        <w:t>发生持续泄漏，因此污染物的渗漏规律概化为连续恒定排放。根据地下水预测《环境影响评价技术导则 地下水》</w:t>
      </w:r>
      <w:r>
        <w:rPr>
          <w:spacing w:val="-3"/>
        </w:rPr>
        <w:t>（</w:t>
      </w:r>
      <w:r>
        <w:rPr>
          <w:rFonts w:ascii="Times New Roman" w:hAnsi="Times New Roman" w:eastAsia="Times New Roman"/>
          <w:spacing w:val="-3"/>
        </w:rPr>
        <w:t>HJ610-2016</w:t>
      </w:r>
      <w:r>
        <w:rPr>
          <w:spacing w:val="-3"/>
        </w:rPr>
        <w:t>）</w:t>
      </w:r>
      <w:r>
        <w:rPr>
          <w:spacing w:val="-5"/>
        </w:rPr>
        <w:t>要求，根据本项目地下水的污染特性选用</w:t>
      </w:r>
      <w:r>
        <w:rPr>
          <w:rFonts w:ascii="Times New Roman" w:hAnsi="Times New Roman" w:eastAsia="Times New Roman"/>
          <w:spacing w:val="-5"/>
        </w:rPr>
        <w:t>“</w:t>
      </w:r>
      <w:r>
        <w:rPr>
          <w:spacing w:val="-5"/>
        </w:rPr>
        <w:t>一维无限长多孔介质柱体，示踪剂瞬时注入</w:t>
      </w:r>
      <w:r>
        <w:rPr>
          <w:rFonts w:ascii="Times New Roman" w:hAnsi="Times New Roman" w:eastAsia="Times New Roman"/>
          <w:spacing w:val="-5"/>
        </w:rPr>
        <w:t>”</w:t>
      </w:r>
      <w:r>
        <w:rPr>
          <w:spacing w:val="-5"/>
        </w:rPr>
        <w:t>，公式如下。</w:t>
      </w:r>
    </w:p>
    <w:p>
      <w:pPr>
        <w:spacing w:after="0" w:line="364" w:lineRule="auto"/>
        <w:sectPr>
          <w:pgSz w:w="11910" w:h="16840"/>
          <w:pgMar w:top="1460" w:right="780" w:bottom="1180" w:left="1200" w:header="0" w:footer="997" w:gutter="0"/>
        </w:sectPr>
      </w:pPr>
    </w:p>
    <w:p>
      <w:pPr>
        <w:pStyle w:val="6"/>
        <w:spacing w:before="3" w:after="1"/>
        <w:rPr>
          <w:sz w:val="22"/>
        </w:rPr>
      </w:pPr>
    </w:p>
    <w:p>
      <w:pPr>
        <w:pStyle w:val="6"/>
        <w:ind w:left="2900"/>
        <w:rPr>
          <w:sz w:val="20"/>
        </w:rPr>
      </w:pPr>
      <w:r>
        <w:rPr>
          <w:sz w:val="20"/>
        </w:rPr>
        <w:drawing>
          <wp:inline distT="0" distB="0" distL="0" distR="0">
            <wp:extent cx="2501265" cy="643890"/>
            <wp:effectExtent l="0" t="0" r="0" b="0"/>
            <wp:docPr id="6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5.jpeg"/>
                    <pic:cNvPicPr>
                      <a:picLocks noChangeAspect="1"/>
                    </pic:cNvPicPr>
                  </pic:nvPicPr>
                  <pic:blipFill>
                    <a:blip r:embed="rId70" cstate="print"/>
                    <a:stretch>
                      <a:fillRect/>
                    </a:stretch>
                  </pic:blipFill>
                  <pic:spPr>
                    <a:xfrm>
                      <a:off x="0" y="0"/>
                      <a:ext cx="2501352" cy="643890"/>
                    </a:xfrm>
                    <a:prstGeom prst="rect">
                      <a:avLst/>
                    </a:prstGeom>
                  </pic:spPr>
                </pic:pic>
              </a:graphicData>
            </a:graphic>
          </wp:inline>
        </w:drawing>
      </w:r>
    </w:p>
    <w:p>
      <w:pPr>
        <w:pStyle w:val="6"/>
        <w:rPr>
          <w:sz w:val="20"/>
        </w:rPr>
      </w:pPr>
    </w:p>
    <w:p>
      <w:pPr>
        <w:pStyle w:val="6"/>
        <w:spacing w:before="12"/>
        <w:rPr>
          <w:sz w:val="18"/>
        </w:rPr>
      </w:pPr>
    </w:p>
    <w:p>
      <w:pPr>
        <w:pStyle w:val="6"/>
        <w:spacing w:before="77" w:line="388" w:lineRule="auto"/>
        <w:ind w:left="1732" w:right="5452" w:hanging="581"/>
      </w:pPr>
      <w:r>
        <w:t xml:space="preserve">式中 </w:t>
      </w:r>
      <w:r>
        <w:rPr>
          <w:rFonts w:ascii="Times New Roman" w:hAnsi="Times New Roman" w:eastAsia="Times New Roman"/>
        </w:rPr>
        <w:t>x—</w:t>
      </w:r>
      <w:r>
        <w:t>距注入点的距离，</w:t>
      </w:r>
      <w:r>
        <w:rPr>
          <w:rFonts w:ascii="Times New Roman" w:hAnsi="Times New Roman" w:eastAsia="Times New Roman"/>
        </w:rPr>
        <w:t>m</w:t>
      </w:r>
      <w:r>
        <w:t xml:space="preserve">； </w:t>
      </w:r>
      <w:r>
        <w:rPr>
          <w:rFonts w:ascii="Times New Roman" w:hAnsi="Times New Roman" w:eastAsia="Times New Roman"/>
        </w:rPr>
        <w:t>t—</w:t>
      </w:r>
      <w:r>
        <w:t>时间，</w:t>
      </w:r>
      <w:r>
        <w:rPr>
          <w:rFonts w:ascii="Times New Roman" w:hAnsi="Times New Roman" w:eastAsia="Times New Roman"/>
        </w:rPr>
        <w:t>d</w:t>
      </w:r>
      <w:r>
        <w:t>；</w:t>
      </w:r>
    </w:p>
    <w:p>
      <w:pPr>
        <w:pStyle w:val="6"/>
        <w:spacing w:before="2"/>
        <w:ind w:left="1732"/>
      </w:pPr>
      <w:r>
        <w:rPr>
          <w:rFonts w:ascii="Times New Roman" w:hAnsi="Times New Roman" w:eastAsia="Times New Roman"/>
        </w:rPr>
        <w:t xml:space="preserve">C—t </w:t>
      </w:r>
      <w:r>
        <w:t xml:space="preserve">时刻 </w:t>
      </w:r>
      <w:r>
        <w:rPr>
          <w:rFonts w:ascii="Times New Roman" w:hAnsi="Times New Roman" w:eastAsia="Times New Roman"/>
        </w:rPr>
        <w:t xml:space="preserve">x </w:t>
      </w:r>
      <w:r>
        <w:t>处的示踪剂浓度，</w:t>
      </w:r>
      <w:r>
        <w:rPr>
          <w:rFonts w:ascii="Times New Roman" w:hAnsi="Times New Roman" w:eastAsia="Times New Roman"/>
        </w:rPr>
        <w:t>g/L</w:t>
      </w:r>
      <w:r>
        <w:t>；</w:t>
      </w:r>
    </w:p>
    <w:p>
      <w:pPr>
        <w:pStyle w:val="6"/>
        <w:spacing w:before="194" w:line="388" w:lineRule="auto"/>
        <w:ind w:left="1732" w:right="5111"/>
      </w:pPr>
      <w:r>
        <w:rPr>
          <w:rFonts w:ascii="Times New Roman" w:hAnsi="Times New Roman" w:eastAsia="Times New Roman"/>
        </w:rPr>
        <w:t>m—</w:t>
      </w:r>
      <w:r>
        <w:t>注入的示踪剂质量，</w:t>
      </w:r>
      <w:r>
        <w:rPr>
          <w:rFonts w:ascii="Times New Roman" w:hAnsi="Times New Roman" w:eastAsia="Times New Roman"/>
        </w:rPr>
        <w:t>kg</w:t>
      </w:r>
      <w:r>
        <w:t xml:space="preserve">； </w:t>
      </w:r>
      <w:r>
        <w:rPr>
          <w:rFonts w:ascii="Times New Roman" w:hAnsi="Times New Roman" w:eastAsia="Times New Roman"/>
        </w:rPr>
        <w:t>w—</w:t>
      </w:r>
      <w:r>
        <w:t>横截面面积，</w:t>
      </w:r>
      <w:r>
        <w:rPr>
          <w:rFonts w:ascii="Times New Roman" w:hAnsi="Times New Roman" w:eastAsia="Times New Roman"/>
        </w:rPr>
        <w:t>m</w:t>
      </w:r>
      <w:r>
        <w:rPr>
          <w:rFonts w:ascii="Times New Roman" w:hAnsi="Times New Roman" w:eastAsia="Times New Roman"/>
          <w:position w:val="8"/>
          <w:sz w:val="15"/>
        </w:rPr>
        <w:t>2</w:t>
      </w:r>
      <w:r>
        <w:t>；</w:t>
      </w:r>
    </w:p>
    <w:p>
      <w:pPr>
        <w:pStyle w:val="6"/>
        <w:spacing w:before="2"/>
        <w:ind w:left="1732"/>
      </w:pPr>
      <w:r>
        <w:rPr>
          <w:rFonts w:ascii="Times New Roman" w:hAnsi="Times New Roman" w:eastAsia="Times New Roman"/>
        </w:rPr>
        <w:t>u—</w:t>
      </w:r>
      <w:r>
        <w:t>水流速度，</w:t>
      </w:r>
      <w:r>
        <w:rPr>
          <w:rFonts w:ascii="Times New Roman" w:hAnsi="Times New Roman" w:eastAsia="Times New Roman"/>
        </w:rPr>
        <w:t>m/d</w:t>
      </w:r>
      <w:r>
        <w:t>；</w:t>
      </w:r>
    </w:p>
    <w:p>
      <w:pPr>
        <w:pStyle w:val="6"/>
        <w:spacing w:before="191" w:line="386" w:lineRule="auto"/>
        <w:ind w:left="1732" w:right="5313"/>
        <w:jc w:val="both"/>
      </w:pPr>
      <w:r>
        <w:rPr>
          <w:rFonts w:ascii="Times New Roman" w:hAnsi="Times New Roman" w:eastAsia="Times New Roman"/>
          <w:position w:val="2"/>
        </w:rPr>
        <w:t>n</w:t>
      </w:r>
      <w:r>
        <w:rPr>
          <w:rFonts w:ascii="Times New Roman" w:hAnsi="Times New Roman" w:eastAsia="Times New Roman"/>
          <w:position w:val="2"/>
          <w:vertAlign w:val="subscript"/>
        </w:rPr>
        <w:t>e</w:t>
      </w:r>
      <w:r>
        <w:rPr>
          <w:rFonts w:ascii="Times New Roman" w:hAnsi="Times New Roman" w:eastAsia="Times New Roman"/>
          <w:position w:val="2"/>
          <w:vertAlign w:val="baseline"/>
        </w:rPr>
        <w:t>—</w:t>
      </w:r>
      <w:r>
        <w:rPr>
          <w:position w:val="2"/>
          <w:vertAlign w:val="baseline"/>
        </w:rPr>
        <w:t xml:space="preserve">有效孔隙度，无量纲； </w:t>
      </w:r>
      <w:r>
        <w:rPr>
          <w:rFonts w:ascii="Times New Roman" w:hAnsi="Times New Roman" w:eastAsia="Times New Roman"/>
          <w:position w:val="2"/>
          <w:vertAlign w:val="baseline"/>
        </w:rPr>
        <w:t>D</w:t>
      </w:r>
      <w:r>
        <w:rPr>
          <w:rFonts w:ascii="Times New Roman" w:hAnsi="Times New Roman" w:eastAsia="Times New Roman"/>
          <w:position w:val="2"/>
          <w:vertAlign w:val="subscript"/>
        </w:rPr>
        <w:t>L</w:t>
      </w:r>
      <w:r>
        <w:rPr>
          <w:rFonts w:ascii="Times New Roman" w:hAnsi="Times New Roman" w:eastAsia="Times New Roman"/>
          <w:position w:val="2"/>
          <w:vertAlign w:val="baseline"/>
        </w:rPr>
        <w:t>—</w:t>
      </w:r>
      <w:r>
        <w:rPr>
          <w:position w:val="2"/>
          <w:vertAlign w:val="baseline"/>
        </w:rPr>
        <w:t>纵向弥散系数，</w:t>
      </w:r>
      <w:r>
        <w:rPr>
          <w:rFonts w:ascii="Times New Roman" w:hAnsi="Times New Roman" w:eastAsia="Times New Roman"/>
          <w:position w:val="2"/>
          <w:vertAlign w:val="baseline"/>
        </w:rPr>
        <w:t>m</w:t>
      </w:r>
      <w:r>
        <w:rPr>
          <w:rFonts w:ascii="Times New Roman" w:hAnsi="Times New Roman" w:eastAsia="Times New Roman"/>
          <w:position w:val="2"/>
          <w:vertAlign w:val="superscript"/>
        </w:rPr>
        <w:t>2</w:t>
      </w:r>
      <w:r>
        <w:rPr>
          <w:rFonts w:ascii="Times New Roman" w:hAnsi="Times New Roman" w:eastAsia="Times New Roman"/>
          <w:position w:val="2"/>
          <w:vertAlign w:val="baseline"/>
        </w:rPr>
        <w:t>/d</w:t>
      </w:r>
      <w:r>
        <w:rPr>
          <w:position w:val="2"/>
          <w:vertAlign w:val="baseline"/>
        </w:rPr>
        <w:t xml:space="preserve">； </w:t>
      </w:r>
      <w:r>
        <w:rPr>
          <w:rFonts w:ascii="Times New Roman" w:hAnsi="Times New Roman" w:eastAsia="Times New Roman"/>
          <w:vertAlign w:val="baseline"/>
        </w:rPr>
        <w:t>π—</w:t>
      </w:r>
      <w:r>
        <w:rPr>
          <w:vertAlign w:val="baseline"/>
        </w:rPr>
        <w:t>圆周率。</w:t>
      </w:r>
    </w:p>
    <w:p>
      <w:pPr>
        <w:pStyle w:val="6"/>
        <w:spacing w:line="235" w:lineRule="exact"/>
        <w:ind w:left="1031"/>
      </w:pPr>
      <w:r>
        <w:t>本项目潜水层主要由砂、砾砂组成，其中夹薄黏土及亚黏土。渗透系数参照</w:t>
      </w:r>
    </w:p>
    <w:p>
      <w:pPr>
        <w:pStyle w:val="6"/>
        <w:spacing w:before="160" w:line="364" w:lineRule="auto"/>
        <w:ind w:left="551" w:right="967"/>
        <w:jc w:val="both"/>
      </w:pPr>
      <w:r>
        <w:rPr>
          <w:spacing w:val="-2"/>
        </w:rPr>
        <w:t>《环境影响评价技术导则 地下水环境》</w:t>
      </w:r>
      <w:r>
        <w:t>（</w:t>
      </w:r>
      <w:r>
        <w:rPr>
          <w:rFonts w:ascii="Times New Roman" w:hAnsi="Times New Roman" w:eastAsia="Times New Roman"/>
        </w:rPr>
        <w:t>HJ610-2016</w:t>
      </w:r>
      <w:r>
        <w:t>）</w:t>
      </w:r>
      <w:r>
        <w:rPr>
          <w:spacing w:val="-21"/>
        </w:rPr>
        <w:t xml:space="preserve">附录 </w:t>
      </w:r>
      <w:r>
        <w:rPr>
          <w:rFonts w:ascii="Times New Roman" w:hAnsi="Times New Roman" w:eastAsia="Times New Roman"/>
        </w:rPr>
        <w:t xml:space="preserve">B1 </w:t>
      </w:r>
      <w:r>
        <w:rPr>
          <w:spacing w:val="-4"/>
        </w:rPr>
        <w:t>中的亚黏土，取</w:t>
      </w:r>
      <w:r>
        <w:rPr>
          <w:spacing w:val="-16"/>
          <w:position w:val="2"/>
        </w:rPr>
        <w:t xml:space="preserve">值为 </w:t>
      </w:r>
      <w:r>
        <w:rPr>
          <w:rFonts w:ascii="Times New Roman" w:hAnsi="Times New Roman" w:eastAsia="Times New Roman"/>
          <w:position w:val="2"/>
        </w:rPr>
        <w:t>0.25m/d</w:t>
      </w:r>
      <w:r>
        <w:rPr>
          <w:spacing w:val="-5"/>
          <w:position w:val="2"/>
        </w:rPr>
        <w:t xml:space="preserve">，有效孔隙度取经验值 </w:t>
      </w:r>
      <w:r>
        <w:rPr>
          <w:rFonts w:ascii="Times New Roman" w:hAnsi="Times New Roman" w:eastAsia="Times New Roman"/>
          <w:position w:val="2"/>
        </w:rPr>
        <w:t>n</w:t>
      </w:r>
      <w:r>
        <w:rPr>
          <w:rFonts w:ascii="Times New Roman" w:hAnsi="Times New Roman" w:eastAsia="Times New Roman"/>
          <w:position w:val="2"/>
          <w:vertAlign w:val="subscript"/>
        </w:rPr>
        <w:t>e</w:t>
      </w:r>
      <w:r>
        <w:rPr>
          <w:rFonts w:ascii="Times New Roman" w:hAnsi="Times New Roman" w:eastAsia="Times New Roman"/>
          <w:position w:val="2"/>
          <w:vertAlign w:val="baseline"/>
        </w:rPr>
        <w:t>=0.30</w:t>
      </w:r>
      <w:r>
        <w:rPr>
          <w:spacing w:val="-7"/>
          <w:position w:val="2"/>
          <w:vertAlign w:val="baseline"/>
        </w:rPr>
        <w:t xml:space="preserve">，水力坡度取 </w:t>
      </w:r>
      <w:r>
        <w:rPr>
          <w:rFonts w:ascii="Times New Roman" w:hAnsi="Times New Roman" w:eastAsia="Times New Roman"/>
          <w:position w:val="2"/>
          <w:vertAlign w:val="baseline"/>
        </w:rPr>
        <w:t>I=3‰</w:t>
      </w:r>
      <w:r>
        <w:rPr>
          <w:position w:val="2"/>
          <w:vertAlign w:val="baseline"/>
        </w:rPr>
        <w:t>，根据达西定律</w:t>
      </w:r>
      <w:r>
        <w:rPr>
          <w:rFonts w:ascii="Times New Roman" w:hAnsi="Times New Roman" w:eastAsia="Times New Roman"/>
          <w:vertAlign w:val="baseline"/>
        </w:rPr>
        <w:t>u=</w:t>
      </w:r>
      <w:r>
        <w:rPr>
          <w:vertAlign w:val="baseline"/>
        </w:rPr>
        <w:t>渗透系数</w:t>
      </w:r>
      <w:r>
        <w:rPr>
          <w:rFonts w:ascii="Times New Roman" w:hAnsi="Times New Roman" w:eastAsia="Times New Roman"/>
          <w:vertAlign w:val="baseline"/>
        </w:rPr>
        <w:t>×</w:t>
      </w:r>
      <w:r>
        <w:rPr>
          <w:vertAlign w:val="baseline"/>
        </w:rPr>
        <w:t>地下水水力坡度</w:t>
      </w:r>
      <w:r>
        <w:rPr>
          <w:rFonts w:ascii="Times New Roman" w:hAnsi="Times New Roman" w:eastAsia="Times New Roman"/>
          <w:vertAlign w:val="baseline"/>
        </w:rPr>
        <w:t>/</w:t>
      </w:r>
      <w:r>
        <w:rPr>
          <w:spacing w:val="-12"/>
          <w:vertAlign w:val="baseline"/>
        </w:rPr>
        <w:t xml:space="preserve">有效孔隙度，计算可得流速为 </w:t>
      </w:r>
      <w:r>
        <w:rPr>
          <w:rFonts w:ascii="Times New Roman" w:hAnsi="Times New Roman" w:eastAsia="Times New Roman"/>
          <w:spacing w:val="-6"/>
          <w:vertAlign w:val="baseline"/>
        </w:rPr>
        <w:t>0.0025m/d</w:t>
      </w:r>
      <w:r>
        <w:rPr>
          <w:spacing w:val="-2"/>
          <w:vertAlign w:val="baseline"/>
        </w:rPr>
        <w:t>，弥散系数</w:t>
      </w:r>
      <w:r>
        <w:rPr>
          <w:spacing w:val="-11"/>
          <w:vertAlign w:val="baseline"/>
        </w:rPr>
        <w:t xml:space="preserve">根据经验值取 </w:t>
      </w:r>
      <w:r>
        <w:rPr>
          <w:rFonts w:ascii="Times New Roman" w:hAnsi="Times New Roman" w:eastAsia="Times New Roman"/>
          <w:vertAlign w:val="baseline"/>
        </w:rPr>
        <w:t>0.2m</w:t>
      </w:r>
      <w:r>
        <w:rPr>
          <w:rFonts w:ascii="Times New Roman" w:hAnsi="Times New Roman" w:eastAsia="Times New Roman"/>
          <w:position w:val="8"/>
          <w:sz w:val="15"/>
          <w:vertAlign w:val="baseline"/>
        </w:rPr>
        <w:t>2</w:t>
      </w:r>
      <w:r>
        <w:rPr>
          <w:rFonts w:ascii="Times New Roman" w:hAnsi="Times New Roman" w:eastAsia="Times New Roman"/>
          <w:vertAlign w:val="baseline"/>
        </w:rPr>
        <w:t>/d</w:t>
      </w:r>
      <w:r>
        <w:rPr>
          <w:vertAlign w:val="baseline"/>
        </w:rPr>
        <w:t>。</w:t>
      </w:r>
    </w:p>
    <w:p>
      <w:pPr>
        <w:pStyle w:val="5"/>
        <w:tabs>
          <w:tab w:val="left" w:pos="1039"/>
        </w:tabs>
        <w:spacing w:after="3" w:line="227" w:lineRule="exact"/>
        <w:ind w:right="415"/>
        <w:jc w:val="center"/>
      </w:pPr>
      <w:r>
        <w:t>表</w:t>
      </w:r>
      <w:r>
        <w:rPr>
          <w:spacing w:val="-62"/>
        </w:rPr>
        <w:t xml:space="preserve"> </w:t>
      </w:r>
      <w:r>
        <w:rPr>
          <w:rFonts w:ascii="Times New Roman" w:eastAsia="Times New Roman"/>
        </w:rPr>
        <w:t>6.5-4</w:t>
      </w:r>
      <w:r>
        <w:rPr>
          <w:rFonts w:ascii="Times New Roman" w:eastAsia="Times New Roman"/>
        </w:rPr>
        <w:tab/>
      </w:r>
      <w:r>
        <w:t>预测参数</w:t>
      </w:r>
    </w:p>
    <w:tbl>
      <w:tblPr>
        <w:tblStyle w:val="10"/>
        <w:tblW w:w="0" w:type="auto"/>
        <w:tblInd w:w="3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56"/>
        <w:gridCol w:w="48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956" w:type="dxa"/>
          </w:tcPr>
          <w:p>
            <w:pPr>
              <w:pStyle w:val="14"/>
              <w:spacing w:before="63"/>
              <w:ind w:left="1432" w:right="1424"/>
              <w:rPr>
                <w:sz w:val="21"/>
              </w:rPr>
            </w:pPr>
            <w:r>
              <w:rPr>
                <w:sz w:val="21"/>
              </w:rPr>
              <w:t>含水层参数</w:t>
            </w:r>
          </w:p>
        </w:tc>
        <w:tc>
          <w:tcPr>
            <w:tcW w:w="4889" w:type="dxa"/>
          </w:tcPr>
          <w:p>
            <w:pPr>
              <w:pStyle w:val="14"/>
              <w:spacing w:before="63"/>
              <w:ind w:left="1969" w:right="1962"/>
              <w:rPr>
                <w:sz w:val="21"/>
              </w:rPr>
            </w:pPr>
            <w:r>
              <w:rPr>
                <w:sz w:val="21"/>
              </w:rPr>
              <w:t>取值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956" w:type="dxa"/>
          </w:tcPr>
          <w:p>
            <w:pPr>
              <w:pStyle w:val="14"/>
              <w:spacing w:before="64"/>
              <w:ind w:left="1432" w:right="1424"/>
              <w:rPr>
                <w:sz w:val="21"/>
              </w:rPr>
            </w:pPr>
            <w:r>
              <w:rPr>
                <w:sz w:val="21"/>
              </w:rPr>
              <w:t>水流速度</w:t>
            </w:r>
          </w:p>
        </w:tc>
        <w:tc>
          <w:tcPr>
            <w:tcW w:w="4889" w:type="dxa"/>
          </w:tcPr>
          <w:p>
            <w:pPr>
              <w:pStyle w:val="14"/>
              <w:spacing w:before="78"/>
              <w:ind w:left="1971" w:right="1962"/>
              <w:rPr>
                <w:rFonts w:ascii="Times New Roman"/>
                <w:sz w:val="21"/>
              </w:rPr>
            </w:pPr>
            <w:r>
              <w:rPr>
                <w:rFonts w:ascii="Times New Roman"/>
                <w:sz w:val="21"/>
              </w:rPr>
              <w:t>0.0025m/d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956" w:type="dxa"/>
          </w:tcPr>
          <w:p>
            <w:pPr>
              <w:pStyle w:val="14"/>
              <w:spacing w:before="62"/>
              <w:ind w:left="1432" w:right="1424"/>
              <w:rPr>
                <w:sz w:val="21"/>
              </w:rPr>
            </w:pPr>
            <w:r>
              <w:rPr>
                <w:sz w:val="21"/>
              </w:rPr>
              <w:t>弥散系数</w:t>
            </w:r>
          </w:p>
        </w:tc>
        <w:tc>
          <w:tcPr>
            <w:tcW w:w="4889" w:type="dxa"/>
          </w:tcPr>
          <w:p>
            <w:pPr>
              <w:pStyle w:val="14"/>
              <w:spacing w:before="76"/>
              <w:ind w:left="1968" w:right="1962"/>
              <w:rPr>
                <w:rFonts w:ascii="Times New Roman"/>
                <w:sz w:val="21"/>
              </w:rPr>
            </w:pPr>
            <w:r>
              <w:rPr>
                <w:rFonts w:ascii="Times New Roman"/>
                <w:sz w:val="21"/>
              </w:rPr>
              <w:t>0.2m</w:t>
            </w:r>
            <w:r>
              <w:rPr>
                <w:rFonts w:ascii="Times New Roman"/>
                <w:position w:val="7"/>
                <w:sz w:val="13"/>
              </w:rPr>
              <w:t>2</w:t>
            </w:r>
            <w:r>
              <w:rPr>
                <w:rFonts w:ascii="Times New Roman"/>
                <w:sz w:val="21"/>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3956" w:type="dxa"/>
          </w:tcPr>
          <w:p>
            <w:pPr>
              <w:pStyle w:val="14"/>
              <w:spacing w:before="63"/>
              <w:ind w:left="1432" w:right="1424"/>
              <w:rPr>
                <w:sz w:val="21"/>
              </w:rPr>
            </w:pPr>
            <w:r>
              <w:rPr>
                <w:sz w:val="21"/>
              </w:rPr>
              <w:t>有效孔隙度</w:t>
            </w:r>
          </w:p>
        </w:tc>
        <w:tc>
          <w:tcPr>
            <w:tcW w:w="4889" w:type="dxa"/>
          </w:tcPr>
          <w:p>
            <w:pPr>
              <w:pStyle w:val="14"/>
              <w:spacing w:before="77"/>
              <w:ind w:left="1971" w:right="1960"/>
              <w:rPr>
                <w:rFonts w:ascii="Times New Roman"/>
                <w:sz w:val="21"/>
              </w:rPr>
            </w:pPr>
            <w:r>
              <w:rPr>
                <w:rFonts w:ascii="Times New Roman"/>
                <w:sz w:val="21"/>
              </w:rPr>
              <w:t>0.30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956" w:type="dxa"/>
          </w:tcPr>
          <w:p>
            <w:pPr>
              <w:pStyle w:val="14"/>
              <w:spacing w:before="62"/>
              <w:ind w:left="1432" w:right="1424"/>
              <w:rPr>
                <w:sz w:val="21"/>
              </w:rPr>
            </w:pPr>
            <w:r>
              <w:rPr>
                <w:sz w:val="21"/>
              </w:rPr>
              <w:t>横截面面积</w:t>
            </w:r>
          </w:p>
        </w:tc>
        <w:tc>
          <w:tcPr>
            <w:tcW w:w="4889" w:type="dxa"/>
          </w:tcPr>
          <w:p>
            <w:pPr>
              <w:pStyle w:val="14"/>
              <w:spacing w:before="76"/>
              <w:ind w:left="1971" w:right="1962"/>
              <w:rPr>
                <w:rFonts w:ascii="Times New Roman"/>
                <w:sz w:val="13"/>
              </w:rPr>
            </w:pPr>
            <w:r>
              <w:rPr>
                <w:rFonts w:ascii="Times New Roman"/>
                <w:sz w:val="21"/>
              </w:rPr>
              <w:t>0.01m</w:t>
            </w:r>
            <w:r>
              <w:rPr>
                <w:rFonts w:ascii="Times New Roman"/>
                <w:position w:val="7"/>
                <w:sz w:val="13"/>
              </w:rPr>
              <w:t>2</w:t>
            </w:r>
          </w:p>
        </w:tc>
      </w:tr>
    </w:tbl>
    <w:p>
      <w:pPr>
        <w:pStyle w:val="6"/>
        <w:spacing w:before="81"/>
        <w:ind w:right="4900"/>
        <w:jc w:val="center"/>
      </w:pPr>
      <w:r>
        <w:t xml:space="preserve">污染物预测参数见表 </w:t>
      </w:r>
      <w:r>
        <w:rPr>
          <w:rFonts w:ascii="Times New Roman" w:eastAsia="Times New Roman"/>
        </w:rPr>
        <w:t>6.5-5</w:t>
      </w:r>
      <w:r>
        <w:t>。</w:t>
      </w:r>
    </w:p>
    <w:p>
      <w:pPr>
        <w:pStyle w:val="5"/>
        <w:tabs>
          <w:tab w:val="left" w:pos="1039"/>
        </w:tabs>
        <w:spacing w:before="81" w:after="3"/>
        <w:ind w:right="412"/>
        <w:jc w:val="center"/>
      </w:pPr>
      <w:r>
        <w:t>表</w:t>
      </w:r>
      <w:r>
        <w:rPr>
          <w:spacing w:val="-62"/>
        </w:rPr>
        <w:t xml:space="preserve"> </w:t>
      </w:r>
      <w:r>
        <w:rPr>
          <w:rFonts w:ascii="Times New Roman" w:eastAsia="Times New Roman"/>
        </w:rPr>
        <w:t>6.5-5</w:t>
      </w:r>
      <w:r>
        <w:rPr>
          <w:rFonts w:ascii="Times New Roman" w:eastAsia="Times New Roman"/>
        </w:rPr>
        <w:tab/>
      </w:r>
      <w:r>
        <w:t>污染物预测参数</w:t>
      </w:r>
    </w:p>
    <w:tbl>
      <w:tblPr>
        <w:tblStyle w:val="10"/>
        <w:tblW w:w="0" w:type="auto"/>
        <w:tblInd w:w="4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45"/>
        <w:gridCol w:w="1945"/>
        <w:gridCol w:w="2693"/>
        <w:gridCol w:w="19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945" w:type="dxa"/>
          </w:tcPr>
          <w:p>
            <w:pPr>
              <w:pStyle w:val="14"/>
              <w:spacing w:before="175"/>
              <w:ind w:left="303" w:right="295"/>
              <w:rPr>
                <w:sz w:val="21"/>
              </w:rPr>
            </w:pPr>
            <w:r>
              <w:rPr>
                <w:sz w:val="21"/>
              </w:rPr>
              <w:t>污染物</w:t>
            </w:r>
          </w:p>
        </w:tc>
        <w:tc>
          <w:tcPr>
            <w:tcW w:w="1945" w:type="dxa"/>
          </w:tcPr>
          <w:p>
            <w:pPr>
              <w:pStyle w:val="14"/>
              <w:spacing w:before="175"/>
              <w:ind w:left="303" w:right="297"/>
              <w:rPr>
                <w:sz w:val="21"/>
              </w:rPr>
            </w:pPr>
            <w:r>
              <w:rPr>
                <w:sz w:val="21"/>
              </w:rPr>
              <w:t>浓度（</w:t>
            </w:r>
            <w:r>
              <w:rPr>
                <w:rFonts w:ascii="Times New Roman" w:eastAsia="Times New Roman"/>
                <w:sz w:val="21"/>
              </w:rPr>
              <w:t>mg/L</w:t>
            </w:r>
            <w:r>
              <w:rPr>
                <w:sz w:val="21"/>
              </w:rPr>
              <w:t>）</w:t>
            </w:r>
          </w:p>
        </w:tc>
        <w:tc>
          <w:tcPr>
            <w:tcW w:w="2693" w:type="dxa"/>
          </w:tcPr>
          <w:p>
            <w:pPr>
              <w:pStyle w:val="14"/>
              <w:spacing w:before="175"/>
              <w:ind w:left="393" w:right="388"/>
              <w:rPr>
                <w:sz w:val="21"/>
              </w:rPr>
            </w:pPr>
            <w:r>
              <w:rPr>
                <w:sz w:val="21"/>
              </w:rPr>
              <w:t>污水泄漏量（</w:t>
            </w:r>
            <w:r>
              <w:rPr>
                <w:rFonts w:ascii="Times New Roman" w:eastAsia="Times New Roman"/>
                <w:sz w:val="21"/>
              </w:rPr>
              <w:t>m</w:t>
            </w:r>
            <w:r>
              <w:rPr>
                <w:rFonts w:ascii="Times New Roman" w:eastAsia="Times New Roman"/>
                <w:position w:val="7"/>
                <w:sz w:val="13"/>
              </w:rPr>
              <w:t>3</w:t>
            </w:r>
            <w:r>
              <w:rPr>
                <w:rFonts w:ascii="Times New Roman" w:eastAsia="Times New Roman"/>
                <w:sz w:val="21"/>
              </w:rPr>
              <w:t>/d</w:t>
            </w:r>
            <w:r>
              <w:rPr>
                <w:sz w:val="21"/>
              </w:rPr>
              <w:t>）</w:t>
            </w:r>
          </w:p>
        </w:tc>
        <w:tc>
          <w:tcPr>
            <w:tcW w:w="1939" w:type="dxa"/>
          </w:tcPr>
          <w:p>
            <w:pPr>
              <w:pStyle w:val="14"/>
              <w:spacing w:before="19"/>
              <w:ind w:left="108" w:right="101"/>
              <w:rPr>
                <w:sz w:val="21"/>
              </w:rPr>
            </w:pPr>
            <w:r>
              <w:rPr>
                <w:sz w:val="21"/>
              </w:rPr>
              <w:t>注入的示踪剂质量</w:t>
            </w:r>
          </w:p>
          <w:p>
            <w:pPr>
              <w:pStyle w:val="14"/>
              <w:spacing w:before="43"/>
              <w:ind w:left="106" w:right="101"/>
              <w:rPr>
                <w:sz w:val="21"/>
              </w:rPr>
            </w:pPr>
            <w:r>
              <w:rPr>
                <w:sz w:val="21"/>
              </w:rPr>
              <w:t>（</w:t>
            </w:r>
            <w:r>
              <w:rPr>
                <w:rFonts w:ascii="Times New Roman" w:eastAsia="Times New Roman"/>
                <w:sz w:val="21"/>
              </w:rPr>
              <w:t>kg</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1945" w:type="dxa"/>
          </w:tcPr>
          <w:p>
            <w:pPr>
              <w:pStyle w:val="14"/>
              <w:spacing w:before="69"/>
              <w:ind w:left="303" w:right="295"/>
              <w:rPr>
                <w:rFonts w:ascii="Times New Roman"/>
                <w:sz w:val="21"/>
              </w:rPr>
            </w:pPr>
            <w:r>
              <w:rPr>
                <w:rFonts w:ascii="Times New Roman"/>
                <w:sz w:val="21"/>
              </w:rPr>
              <w:t>COD</w:t>
            </w:r>
          </w:p>
        </w:tc>
        <w:tc>
          <w:tcPr>
            <w:tcW w:w="1945" w:type="dxa"/>
          </w:tcPr>
          <w:p>
            <w:pPr>
              <w:pStyle w:val="14"/>
              <w:spacing w:before="69"/>
              <w:ind w:left="303" w:right="293"/>
              <w:rPr>
                <w:rFonts w:ascii="Times New Roman"/>
                <w:sz w:val="21"/>
              </w:rPr>
            </w:pPr>
            <w:r>
              <w:rPr>
                <w:rFonts w:ascii="Times New Roman"/>
                <w:sz w:val="21"/>
              </w:rPr>
              <w:t>300</w:t>
            </w:r>
          </w:p>
        </w:tc>
        <w:tc>
          <w:tcPr>
            <w:tcW w:w="2693" w:type="dxa"/>
          </w:tcPr>
          <w:p>
            <w:pPr>
              <w:pStyle w:val="14"/>
              <w:spacing w:before="69"/>
              <w:ind w:left="9"/>
              <w:rPr>
                <w:rFonts w:ascii="Times New Roman"/>
                <w:sz w:val="21"/>
              </w:rPr>
            </w:pPr>
            <w:r>
              <w:rPr>
                <w:rFonts w:ascii="Times New Roman"/>
                <w:w w:val="99"/>
                <w:sz w:val="21"/>
              </w:rPr>
              <w:t>2</w:t>
            </w:r>
          </w:p>
        </w:tc>
        <w:tc>
          <w:tcPr>
            <w:tcW w:w="1939" w:type="dxa"/>
          </w:tcPr>
          <w:p>
            <w:pPr>
              <w:pStyle w:val="14"/>
              <w:spacing w:before="69"/>
              <w:ind w:left="108" w:right="99"/>
              <w:rPr>
                <w:rFonts w:ascii="Times New Roman"/>
                <w:sz w:val="21"/>
              </w:rPr>
            </w:pPr>
            <w:r>
              <w:rPr>
                <w:rFonts w:ascii="Times New Roman"/>
                <w:sz w:val="21"/>
              </w:rPr>
              <w:t>0.6</w:t>
            </w:r>
          </w:p>
        </w:tc>
      </w:tr>
    </w:tbl>
    <w:p>
      <w:pPr>
        <w:pStyle w:val="6"/>
        <w:spacing w:before="79" w:line="364" w:lineRule="auto"/>
        <w:ind w:left="551" w:right="973" w:firstLine="480"/>
      </w:pPr>
      <w:r>
        <w:t xml:space="preserve">将预测参数代入地下水溶质运移解析模型中，计算污染物在指定浓度持续渗漏 </w:t>
      </w:r>
      <w:r>
        <w:rPr>
          <w:rFonts w:ascii="Times New Roman" w:eastAsia="Times New Roman"/>
        </w:rPr>
        <w:t>100d</w:t>
      </w:r>
      <w:r>
        <w:t>、</w:t>
      </w:r>
      <w:r>
        <w:rPr>
          <w:rFonts w:ascii="Times New Roman" w:eastAsia="Times New Roman"/>
        </w:rPr>
        <w:t xml:space="preserve">1000d </w:t>
      </w:r>
      <w:r>
        <w:t xml:space="preserve">的迁移情况，预测结果见表 </w:t>
      </w:r>
      <w:r>
        <w:rPr>
          <w:rFonts w:ascii="Times New Roman" w:eastAsia="Times New Roman"/>
        </w:rPr>
        <w:t>6.5-6</w:t>
      </w:r>
      <w:r>
        <w:t>。</w:t>
      </w:r>
    </w:p>
    <w:p>
      <w:pPr>
        <w:spacing w:after="0" w:line="364" w:lineRule="auto"/>
        <w:sectPr>
          <w:pgSz w:w="11910" w:h="16840"/>
          <w:pgMar w:top="1580" w:right="780" w:bottom="1180" w:left="1200" w:header="0" w:footer="997" w:gutter="0"/>
        </w:sectPr>
      </w:pPr>
    </w:p>
    <w:p>
      <w:pPr>
        <w:pStyle w:val="5"/>
        <w:tabs>
          <w:tab w:val="left" w:pos="1039"/>
        </w:tabs>
        <w:spacing w:before="63" w:after="3"/>
        <w:ind w:right="410"/>
        <w:jc w:val="center"/>
      </w:pPr>
      <w:r>
        <w:t>表</w:t>
      </w:r>
      <w:r>
        <w:rPr>
          <w:spacing w:val="-62"/>
        </w:rPr>
        <w:t xml:space="preserve"> </w:t>
      </w:r>
      <w:r>
        <w:rPr>
          <w:rFonts w:ascii="Times New Roman" w:eastAsia="Times New Roman"/>
        </w:rPr>
        <w:t>6.5-6</w:t>
      </w:r>
      <w:r>
        <w:rPr>
          <w:rFonts w:ascii="Times New Roman" w:eastAsia="Times New Roman"/>
        </w:rPr>
        <w:tab/>
      </w:r>
      <w:r>
        <w:rPr>
          <w:rFonts w:ascii="Times New Roman" w:eastAsia="Times New Roman"/>
        </w:rPr>
        <w:t xml:space="preserve">COD100d </w:t>
      </w:r>
      <w:r>
        <w:t>和</w:t>
      </w:r>
      <w:r>
        <w:rPr>
          <w:spacing w:val="-59"/>
        </w:rPr>
        <w:t xml:space="preserve"> </w:t>
      </w:r>
      <w:r>
        <w:rPr>
          <w:rFonts w:ascii="Times New Roman" w:eastAsia="Times New Roman"/>
        </w:rPr>
        <w:t>1000d</w:t>
      </w:r>
      <w:r>
        <w:rPr>
          <w:rFonts w:ascii="Times New Roman" w:eastAsia="Times New Roman"/>
          <w:spacing w:val="-2"/>
        </w:rPr>
        <w:t xml:space="preserve"> </w:t>
      </w:r>
      <w:r>
        <w:t>地下水迁移情况</w:t>
      </w:r>
    </w:p>
    <w:tbl>
      <w:tblPr>
        <w:tblStyle w:val="10"/>
        <w:tblW w:w="0" w:type="auto"/>
        <w:tblInd w:w="4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15"/>
        <w:gridCol w:w="2143"/>
        <w:gridCol w:w="2115"/>
        <w:gridCol w:w="21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523" w:type="dxa"/>
            <w:gridSpan w:val="4"/>
          </w:tcPr>
          <w:p>
            <w:pPr>
              <w:pStyle w:val="14"/>
              <w:spacing w:before="77"/>
              <w:ind w:left="4017" w:right="4011"/>
              <w:rPr>
                <w:rFonts w:ascii="Times New Roman"/>
                <w:sz w:val="21"/>
              </w:rPr>
            </w:pPr>
            <w:r>
              <w:rPr>
                <w:rFonts w:ascii="Times New Roman"/>
                <w:sz w:val="21"/>
              </w:rPr>
              <w:t>COD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258" w:type="dxa"/>
            <w:gridSpan w:val="2"/>
          </w:tcPr>
          <w:p>
            <w:pPr>
              <w:pStyle w:val="14"/>
              <w:spacing w:before="64"/>
              <w:ind w:left="1156"/>
              <w:jc w:val="left"/>
              <w:rPr>
                <w:sz w:val="21"/>
              </w:rPr>
            </w:pPr>
            <w:r>
              <w:rPr>
                <w:rFonts w:ascii="Times New Roman" w:eastAsia="Times New Roman"/>
                <w:sz w:val="21"/>
              </w:rPr>
              <w:t xml:space="preserve">100d </w:t>
            </w:r>
            <w:r>
              <w:rPr>
                <w:sz w:val="21"/>
              </w:rPr>
              <w:t>污染物迁移结果</w:t>
            </w:r>
          </w:p>
        </w:tc>
        <w:tc>
          <w:tcPr>
            <w:tcW w:w="4265" w:type="dxa"/>
            <w:gridSpan w:val="2"/>
          </w:tcPr>
          <w:p>
            <w:pPr>
              <w:pStyle w:val="14"/>
              <w:spacing w:before="64"/>
              <w:ind w:left="1108"/>
              <w:jc w:val="left"/>
              <w:rPr>
                <w:sz w:val="21"/>
              </w:rPr>
            </w:pPr>
            <w:r>
              <w:rPr>
                <w:rFonts w:ascii="Times New Roman" w:eastAsia="Times New Roman"/>
                <w:sz w:val="21"/>
              </w:rPr>
              <w:t xml:space="preserve">1000d </w:t>
            </w:r>
            <w:r>
              <w:rPr>
                <w:sz w:val="21"/>
              </w:rPr>
              <w:t>污染物迁移结果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5" w:type="dxa"/>
          </w:tcPr>
          <w:p>
            <w:pPr>
              <w:pStyle w:val="14"/>
              <w:spacing w:before="62"/>
              <w:ind w:left="534" w:right="525"/>
              <w:rPr>
                <w:sz w:val="21"/>
              </w:rPr>
            </w:pPr>
            <w:r>
              <w:rPr>
                <w:sz w:val="21"/>
              </w:rPr>
              <w:t>距离（</w:t>
            </w:r>
            <w:r>
              <w:rPr>
                <w:rFonts w:ascii="Times New Roman" w:eastAsia="Times New Roman"/>
                <w:sz w:val="21"/>
              </w:rPr>
              <w:t>m</w:t>
            </w:r>
            <w:r>
              <w:rPr>
                <w:sz w:val="21"/>
              </w:rPr>
              <w:t>）</w:t>
            </w:r>
          </w:p>
        </w:tc>
        <w:tc>
          <w:tcPr>
            <w:tcW w:w="2143" w:type="dxa"/>
          </w:tcPr>
          <w:p>
            <w:pPr>
              <w:pStyle w:val="14"/>
              <w:spacing w:before="62"/>
              <w:ind w:left="403" w:right="395"/>
              <w:rPr>
                <w:sz w:val="21"/>
              </w:rPr>
            </w:pPr>
            <w:r>
              <w:rPr>
                <w:sz w:val="21"/>
              </w:rPr>
              <w:t>浓度（</w:t>
            </w:r>
            <w:r>
              <w:rPr>
                <w:rFonts w:ascii="Times New Roman" w:eastAsia="Times New Roman"/>
                <w:sz w:val="21"/>
              </w:rPr>
              <w:t>mg/L</w:t>
            </w:r>
            <w:r>
              <w:rPr>
                <w:sz w:val="21"/>
              </w:rPr>
              <w:t>）</w:t>
            </w:r>
          </w:p>
        </w:tc>
        <w:tc>
          <w:tcPr>
            <w:tcW w:w="2115" w:type="dxa"/>
          </w:tcPr>
          <w:p>
            <w:pPr>
              <w:pStyle w:val="14"/>
              <w:spacing w:before="62"/>
              <w:ind w:left="534" w:right="526"/>
              <w:rPr>
                <w:sz w:val="21"/>
              </w:rPr>
            </w:pPr>
            <w:r>
              <w:rPr>
                <w:sz w:val="21"/>
              </w:rPr>
              <w:t>距离（</w:t>
            </w:r>
            <w:r>
              <w:rPr>
                <w:rFonts w:ascii="Times New Roman" w:eastAsia="Times New Roman"/>
                <w:sz w:val="21"/>
              </w:rPr>
              <w:t>m</w:t>
            </w:r>
            <w:r>
              <w:rPr>
                <w:sz w:val="21"/>
              </w:rPr>
              <w:t>）</w:t>
            </w:r>
          </w:p>
        </w:tc>
        <w:tc>
          <w:tcPr>
            <w:tcW w:w="2150" w:type="dxa"/>
          </w:tcPr>
          <w:p>
            <w:pPr>
              <w:pStyle w:val="14"/>
              <w:spacing w:before="62"/>
              <w:ind w:left="196" w:right="188"/>
              <w:rPr>
                <w:sz w:val="21"/>
              </w:rPr>
            </w:pPr>
            <w:r>
              <w:rPr>
                <w:sz w:val="21"/>
              </w:rPr>
              <w:t>浓度（</w:t>
            </w:r>
            <w:r>
              <w:rPr>
                <w:rFonts w:ascii="Times New Roman" w:eastAsia="Times New Roman"/>
                <w:sz w:val="21"/>
              </w:rPr>
              <w:t>mg/L</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115" w:type="dxa"/>
          </w:tcPr>
          <w:p>
            <w:pPr>
              <w:pStyle w:val="14"/>
              <w:spacing w:before="77"/>
              <w:ind w:left="10"/>
              <w:rPr>
                <w:rFonts w:ascii="Times New Roman"/>
                <w:sz w:val="21"/>
              </w:rPr>
            </w:pPr>
            <w:r>
              <w:rPr>
                <w:rFonts w:ascii="Times New Roman"/>
                <w:w w:val="99"/>
                <w:sz w:val="21"/>
              </w:rPr>
              <w:t>0</w:t>
            </w:r>
          </w:p>
        </w:tc>
        <w:tc>
          <w:tcPr>
            <w:tcW w:w="2143" w:type="dxa"/>
          </w:tcPr>
          <w:p>
            <w:pPr>
              <w:pStyle w:val="14"/>
              <w:spacing w:before="77"/>
              <w:ind w:left="403" w:right="394"/>
              <w:rPr>
                <w:rFonts w:ascii="Times New Roman"/>
                <w:sz w:val="21"/>
              </w:rPr>
            </w:pPr>
            <w:r>
              <w:rPr>
                <w:rFonts w:ascii="Times New Roman"/>
                <w:sz w:val="21"/>
              </w:rPr>
              <w:t>1.26E+04</w:t>
            </w:r>
          </w:p>
        </w:tc>
        <w:tc>
          <w:tcPr>
            <w:tcW w:w="2115" w:type="dxa"/>
          </w:tcPr>
          <w:p>
            <w:pPr>
              <w:pStyle w:val="14"/>
              <w:spacing w:before="77"/>
              <w:ind w:left="9"/>
              <w:rPr>
                <w:rFonts w:ascii="Times New Roman"/>
                <w:sz w:val="21"/>
              </w:rPr>
            </w:pPr>
            <w:r>
              <w:rPr>
                <w:rFonts w:ascii="Times New Roman"/>
                <w:w w:val="99"/>
                <w:sz w:val="21"/>
              </w:rPr>
              <w:t>0</w:t>
            </w:r>
          </w:p>
        </w:tc>
        <w:tc>
          <w:tcPr>
            <w:tcW w:w="2150" w:type="dxa"/>
          </w:tcPr>
          <w:p>
            <w:pPr>
              <w:pStyle w:val="14"/>
              <w:spacing w:before="77"/>
              <w:ind w:left="196" w:right="187"/>
              <w:rPr>
                <w:rFonts w:ascii="Times New Roman"/>
                <w:sz w:val="21"/>
              </w:rPr>
            </w:pPr>
            <w:r>
              <w:rPr>
                <w:rFonts w:ascii="Times New Roman"/>
                <w:sz w:val="21"/>
              </w:rPr>
              <w:t>3.96E+03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5" w:type="dxa"/>
          </w:tcPr>
          <w:p>
            <w:pPr>
              <w:pStyle w:val="14"/>
              <w:spacing w:before="76"/>
              <w:ind w:left="534" w:right="524"/>
              <w:rPr>
                <w:rFonts w:ascii="Times New Roman"/>
                <w:sz w:val="21"/>
              </w:rPr>
            </w:pPr>
            <w:r>
              <w:rPr>
                <w:rFonts w:ascii="Times New Roman"/>
                <w:sz w:val="21"/>
              </w:rPr>
              <w:t>10</w:t>
            </w:r>
          </w:p>
        </w:tc>
        <w:tc>
          <w:tcPr>
            <w:tcW w:w="2143" w:type="dxa"/>
          </w:tcPr>
          <w:p>
            <w:pPr>
              <w:pStyle w:val="14"/>
              <w:spacing w:before="78"/>
              <w:ind w:left="403" w:right="394"/>
              <w:rPr>
                <w:rFonts w:ascii="Times New Roman"/>
                <w:sz w:val="21"/>
              </w:rPr>
            </w:pPr>
            <w:r>
              <w:rPr>
                <w:rFonts w:ascii="Times New Roman"/>
                <w:sz w:val="21"/>
              </w:rPr>
              <w:t>3.84E+03</w:t>
            </w:r>
          </w:p>
        </w:tc>
        <w:tc>
          <w:tcPr>
            <w:tcW w:w="2115" w:type="dxa"/>
          </w:tcPr>
          <w:p>
            <w:pPr>
              <w:pStyle w:val="14"/>
              <w:spacing w:before="76"/>
              <w:ind w:left="534" w:right="525"/>
              <w:rPr>
                <w:rFonts w:ascii="Times New Roman"/>
                <w:sz w:val="21"/>
              </w:rPr>
            </w:pPr>
            <w:r>
              <w:rPr>
                <w:rFonts w:ascii="Times New Roman"/>
                <w:sz w:val="21"/>
              </w:rPr>
              <w:t>50</w:t>
            </w:r>
          </w:p>
        </w:tc>
        <w:tc>
          <w:tcPr>
            <w:tcW w:w="2150" w:type="dxa"/>
          </w:tcPr>
          <w:p>
            <w:pPr>
              <w:pStyle w:val="14"/>
              <w:spacing w:before="76"/>
              <w:ind w:left="196" w:right="187"/>
              <w:rPr>
                <w:rFonts w:ascii="Times New Roman"/>
                <w:sz w:val="21"/>
              </w:rPr>
            </w:pPr>
            <w:r>
              <w:rPr>
                <w:rFonts w:ascii="Times New Roman"/>
                <w:sz w:val="21"/>
              </w:rPr>
              <w:t>2.38E+02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5" w:type="dxa"/>
          </w:tcPr>
          <w:p>
            <w:pPr>
              <w:pStyle w:val="14"/>
              <w:spacing w:before="77"/>
              <w:ind w:left="534" w:right="524"/>
              <w:rPr>
                <w:rFonts w:ascii="Times New Roman"/>
                <w:sz w:val="21"/>
              </w:rPr>
            </w:pPr>
            <w:r>
              <w:rPr>
                <w:rFonts w:ascii="Times New Roman"/>
                <w:sz w:val="21"/>
              </w:rPr>
              <w:t>20</w:t>
            </w:r>
          </w:p>
        </w:tc>
        <w:tc>
          <w:tcPr>
            <w:tcW w:w="2143" w:type="dxa"/>
          </w:tcPr>
          <w:p>
            <w:pPr>
              <w:pStyle w:val="14"/>
              <w:spacing w:before="77"/>
              <w:ind w:left="403" w:right="394"/>
              <w:rPr>
                <w:rFonts w:ascii="Times New Roman"/>
                <w:sz w:val="21"/>
              </w:rPr>
            </w:pPr>
            <w:r>
              <w:rPr>
                <w:rFonts w:ascii="Times New Roman"/>
                <w:sz w:val="21"/>
              </w:rPr>
              <w:t>9.62E+01</w:t>
            </w:r>
          </w:p>
        </w:tc>
        <w:tc>
          <w:tcPr>
            <w:tcW w:w="2115" w:type="dxa"/>
          </w:tcPr>
          <w:p>
            <w:pPr>
              <w:pStyle w:val="14"/>
              <w:spacing w:before="77"/>
              <w:ind w:left="534" w:right="525"/>
              <w:rPr>
                <w:rFonts w:ascii="Times New Roman"/>
                <w:sz w:val="21"/>
              </w:rPr>
            </w:pPr>
            <w:r>
              <w:rPr>
                <w:rFonts w:ascii="Times New Roman"/>
                <w:sz w:val="21"/>
              </w:rPr>
              <w:t>100</w:t>
            </w:r>
          </w:p>
        </w:tc>
        <w:tc>
          <w:tcPr>
            <w:tcW w:w="2150" w:type="dxa"/>
          </w:tcPr>
          <w:p>
            <w:pPr>
              <w:pStyle w:val="14"/>
              <w:spacing w:before="77"/>
              <w:ind w:left="196" w:right="187"/>
              <w:rPr>
                <w:rFonts w:ascii="Times New Roman"/>
                <w:sz w:val="21"/>
              </w:rPr>
            </w:pPr>
            <w:r>
              <w:rPr>
                <w:rFonts w:ascii="Times New Roman"/>
                <w:sz w:val="21"/>
              </w:rPr>
              <w:t>2.76E-02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5" w:type="dxa"/>
          </w:tcPr>
          <w:p>
            <w:pPr>
              <w:pStyle w:val="14"/>
              <w:spacing w:before="78"/>
              <w:ind w:left="534" w:right="524"/>
              <w:rPr>
                <w:rFonts w:ascii="Times New Roman"/>
                <w:sz w:val="21"/>
              </w:rPr>
            </w:pPr>
            <w:r>
              <w:rPr>
                <w:rFonts w:ascii="Times New Roman"/>
                <w:sz w:val="21"/>
              </w:rPr>
              <w:t>30</w:t>
            </w:r>
          </w:p>
        </w:tc>
        <w:tc>
          <w:tcPr>
            <w:tcW w:w="2143" w:type="dxa"/>
          </w:tcPr>
          <w:p>
            <w:pPr>
              <w:pStyle w:val="14"/>
              <w:spacing w:before="78"/>
              <w:ind w:left="402" w:right="395"/>
              <w:rPr>
                <w:rFonts w:ascii="Times New Roman"/>
                <w:sz w:val="21"/>
              </w:rPr>
            </w:pPr>
            <w:r>
              <w:rPr>
                <w:rFonts w:ascii="Times New Roman"/>
                <w:sz w:val="21"/>
              </w:rPr>
              <w:t>1.98E-01</w:t>
            </w:r>
          </w:p>
        </w:tc>
        <w:tc>
          <w:tcPr>
            <w:tcW w:w="2115" w:type="dxa"/>
          </w:tcPr>
          <w:p>
            <w:pPr>
              <w:pStyle w:val="14"/>
              <w:spacing w:before="78"/>
              <w:ind w:left="534" w:right="525"/>
              <w:rPr>
                <w:rFonts w:ascii="Times New Roman"/>
                <w:sz w:val="21"/>
              </w:rPr>
            </w:pPr>
            <w:r>
              <w:rPr>
                <w:rFonts w:ascii="Times New Roman"/>
                <w:sz w:val="21"/>
              </w:rPr>
              <w:t>150</w:t>
            </w:r>
          </w:p>
        </w:tc>
        <w:tc>
          <w:tcPr>
            <w:tcW w:w="2150" w:type="dxa"/>
          </w:tcPr>
          <w:p>
            <w:pPr>
              <w:pStyle w:val="14"/>
              <w:spacing w:before="78"/>
              <w:ind w:left="196" w:right="187"/>
              <w:rPr>
                <w:rFonts w:ascii="Times New Roman"/>
                <w:sz w:val="21"/>
              </w:rPr>
            </w:pPr>
            <w:r>
              <w:rPr>
                <w:rFonts w:ascii="Times New Roman"/>
                <w:sz w:val="21"/>
              </w:rPr>
              <w:t>6.17E-09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5" w:type="dxa"/>
          </w:tcPr>
          <w:p>
            <w:pPr>
              <w:pStyle w:val="14"/>
              <w:spacing w:before="76"/>
              <w:ind w:left="534" w:right="524"/>
              <w:rPr>
                <w:rFonts w:ascii="Times New Roman"/>
                <w:sz w:val="21"/>
              </w:rPr>
            </w:pPr>
            <w:r>
              <w:rPr>
                <w:rFonts w:ascii="Times New Roman"/>
                <w:sz w:val="21"/>
              </w:rPr>
              <w:t>40</w:t>
            </w:r>
          </w:p>
        </w:tc>
        <w:tc>
          <w:tcPr>
            <w:tcW w:w="2143" w:type="dxa"/>
          </w:tcPr>
          <w:p>
            <w:pPr>
              <w:pStyle w:val="14"/>
              <w:spacing w:before="79"/>
              <w:ind w:left="402" w:right="395"/>
              <w:rPr>
                <w:rFonts w:ascii="Times New Roman"/>
                <w:sz w:val="21"/>
              </w:rPr>
            </w:pPr>
            <w:r>
              <w:rPr>
                <w:rFonts w:ascii="Times New Roman"/>
                <w:sz w:val="21"/>
              </w:rPr>
              <w:t>3.34E-05</w:t>
            </w:r>
          </w:p>
        </w:tc>
        <w:tc>
          <w:tcPr>
            <w:tcW w:w="2115" w:type="dxa"/>
          </w:tcPr>
          <w:p>
            <w:pPr>
              <w:pStyle w:val="14"/>
              <w:spacing w:before="76"/>
              <w:ind w:left="534" w:right="525"/>
              <w:rPr>
                <w:rFonts w:ascii="Times New Roman"/>
                <w:sz w:val="21"/>
              </w:rPr>
            </w:pPr>
            <w:r>
              <w:rPr>
                <w:rFonts w:ascii="Times New Roman"/>
                <w:sz w:val="21"/>
              </w:rPr>
              <w:t>200</w:t>
            </w:r>
          </w:p>
        </w:tc>
        <w:tc>
          <w:tcPr>
            <w:tcW w:w="2150" w:type="dxa"/>
          </w:tcPr>
          <w:p>
            <w:pPr>
              <w:pStyle w:val="14"/>
              <w:spacing w:before="76"/>
              <w:ind w:left="196" w:right="187"/>
              <w:rPr>
                <w:rFonts w:ascii="Times New Roman"/>
                <w:sz w:val="21"/>
              </w:rPr>
            </w:pPr>
            <w:r>
              <w:rPr>
                <w:rFonts w:ascii="Times New Roman"/>
                <w:sz w:val="21"/>
              </w:rPr>
              <w:t>2.66E-18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115" w:type="dxa"/>
          </w:tcPr>
          <w:p>
            <w:pPr>
              <w:pStyle w:val="14"/>
              <w:spacing w:before="77"/>
              <w:ind w:left="534" w:right="524"/>
              <w:rPr>
                <w:rFonts w:ascii="Times New Roman"/>
                <w:sz w:val="21"/>
              </w:rPr>
            </w:pPr>
            <w:r>
              <w:rPr>
                <w:rFonts w:ascii="Times New Roman"/>
                <w:sz w:val="21"/>
              </w:rPr>
              <w:t>50</w:t>
            </w:r>
          </w:p>
        </w:tc>
        <w:tc>
          <w:tcPr>
            <w:tcW w:w="2143" w:type="dxa"/>
          </w:tcPr>
          <w:p>
            <w:pPr>
              <w:pStyle w:val="14"/>
              <w:spacing w:before="77"/>
              <w:ind w:left="402" w:right="395"/>
              <w:rPr>
                <w:rFonts w:ascii="Times New Roman"/>
                <w:sz w:val="21"/>
              </w:rPr>
            </w:pPr>
            <w:r>
              <w:rPr>
                <w:rFonts w:ascii="Times New Roman"/>
                <w:sz w:val="21"/>
              </w:rPr>
              <w:t>4.62E-10</w:t>
            </w:r>
          </w:p>
        </w:tc>
        <w:tc>
          <w:tcPr>
            <w:tcW w:w="2115" w:type="dxa"/>
          </w:tcPr>
          <w:p>
            <w:pPr>
              <w:pStyle w:val="14"/>
              <w:spacing w:before="77"/>
              <w:ind w:left="534" w:right="525"/>
              <w:rPr>
                <w:rFonts w:ascii="Times New Roman"/>
                <w:sz w:val="21"/>
              </w:rPr>
            </w:pPr>
            <w:r>
              <w:rPr>
                <w:rFonts w:ascii="Times New Roman"/>
                <w:sz w:val="21"/>
              </w:rPr>
              <w:t>250</w:t>
            </w:r>
          </w:p>
        </w:tc>
        <w:tc>
          <w:tcPr>
            <w:tcW w:w="2150" w:type="dxa"/>
          </w:tcPr>
          <w:p>
            <w:pPr>
              <w:pStyle w:val="14"/>
              <w:spacing w:before="77"/>
              <w:ind w:left="196" w:right="187"/>
              <w:rPr>
                <w:rFonts w:ascii="Times New Roman"/>
                <w:sz w:val="21"/>
              </w:rPr>
            </w:pPr>
            <w:r>
              <w:rPr>
                <w:rFonts w:ascii="Times New Roman"/>
                <w:sz w:val="21"/>
              </w:rPr>
              <w:t>2.22E-30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5" w:type="dxa"/>
          </w:tcPr>
          <w:p>
            <w:pPr>
              <w:pStyle w:val="14"/>
              <w:spacing w:before="76"/>
              <w:ind w:left="534" w:right="524"/>
              <w:rPr>
                <w:rFonts w:ascii="Times New Roman"/>
                <w:sz w:val="21"/>
              </w:rPr>
            </w:pPr>
            <w:r>
              <w:rPr>
                <w:rFonts w:ascii="Times New Roman"/>
                <w:sz w:val="21"/>
              </w:rPr>
              <w:t>60</w:t>
            </w:r>
          </w:p>
        </w:tc>
        <w:tc>
          <w:tcPr>
            <w:tcW w:w="2143" w:type="dxa"/>
          </w:tcPr>
          <w:p>
            <w:pPr>
              <w:pStyle w:val="14"/>
              <w:spacing w:before="78"/>
              <w:ind w:left="402" w:right="395"/>
              <w:rPr>
                <w:rFonts w:ascii="Times New Roman"/>
                <w:sz w:val="21"/>
              </w:rPr>
            </w:pPr>
            <w:r>
              <w:rPr>
                <w:rFonts w:ascii="Times New Roman"/>
                <w:sz w:val="21"/>
              </w:rPr>
              <w:t>5.25E-16</w:t>
            </w:r>
          </w:p>
        </w:tc>
        <w:tc>
          <w:tcPr>
            <w:tcW w:w="2115" w:type="dxa"/>
          </w:tcPr>
          <w:p>
            <w:pPr>
              <w:pStyle w:val="14"/>
              <w:spacing w:before="76"/>
              <w:ind w:left="534" w:right="525"/>
              <w:rPr>
                <w:rFonts w:ascii="Times New Roman"/>
                <w:sz w:val="21"/>
              </w:rPr>
            </w:pPr>
            <w:r>
              <w:rPr>
                <w:rFonts w:ascii="Times New Roman"/>
                <w:sz w:val="21"/>
              </w:rPr>
              <w:t>300</w:t>
            </w:r>
          </w:p>
        </w:tc>
        <w:tc>
          <w:tcPr>
            <w:tcW w:w="2150" w:type="dxa"/>
          </w:tcPr>
          <w:p>
            <w:pPr>
              <w:pStyle w:val="14"/>
              <w:spacing w:before="76"/>
              <w:ind w:left="196" w:right="187"/>
              <w:rPr>
                <w:rFonts w:ascii="Times New Roman"/>
                <w:sz w:val="21"/>
              </w:rPr>
            </w:pPr>
            <w:r>
              <w:rPr>
                <w:rFonts w:ascii="Times New Roman"/>
                <w:sz w:val="21"/>
              </w:rPr>
              <w:t>4.20E-45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115" w:type="dxa"/>
          </w:tcPr>
          <w:p>
            <w:pPr>
              <w:pStyle w:val="14"/>
              <w:spacing w:before="77"/>
              <w:ind w:left="534" w:right="524"/>
              <w:rPr>
                <w:rFonts w:ascii="Times New Roman"/>
                <w:sz w:val="21"/>
              </w:rPr>
            </w:pPr>
            <w:r>
              <w:rPr>
                <w:rFonts w:ascii="Times New Roman"/>
                <w:sz w:val="21"/>
              </w:rPr>
              <w:t>70</w:t>
            </w:r>
          </w:p>
        </w:tc>
        <w:tc>
          <w:tcPr>
            <w:tcW w:w="2143" w:type="dxa"/>
          </w:tcPr>
          <w:p>
            <w:pPr>
              <w:pStyle w:val="14"/>
              <w:spacing w:before="77"/>
              <w:ind w:left="402" w:right="395"/>
              <w:rPr>
                <w:rFonts w:ascii="Times New Roman"/>
                <w:sz w:val="21"/>
              </w:rPr>
            </w:pPr>
            <w:r>
              <w:rPr>
                <w:rFonts w:ascii="Times New Roman"/>
                <w:sz w:val="21"/>
              </w:rPr>
              <w:t>4.90E-23</w:t>
            </w:r>
          </w:p>
        </w:tc>
        <w:tc>
          <w:tcPr>
            <w:tcW w:w="2115" w:type="dxa"/>
          </w:tcPr>
          <w:p>
            <w:pPr>
              <w:pStyle w:val="14"/>
              <w:spacing w:before="77"/>
              <w:ind w:left="534" w:right="525"/>
              <w:rPr>
                <w:rFonts w:ascii="Times New Roman"/>
                <w:sz w:val="21"/>
              </w:rPr>
            </w:pPr>
            <w:r>
              <w:rPr>
                <w:rFonts w:ascii="Times New Roman"/>
                <w:sz w:val="21"/>
              </w:rPr>
              <w:t>350</w:t>
            </w:r>
          </w:p>
        </w:tc>
        <w:tc>
          <w:tcPr>
            <w:tcW w:w="2150" w:type="dxa"/>
          </w:tcPr>
          <w:p>
            <w:pPr>
              <w:pStyle w:val="14"/>
              <w:spacing w:before="77"/>
              <w:ind w:left="196" w:right="187"/>
              <w:rPr>
                <w:rFonts w:ascii="Times New Roman"/>
                <w:sz w:val="21"/>
              </w:rPr>
            </w:pPr>
            <w:r>
              <w:rPr>
                <w:rFonts w:ascii="Times New Roman"/>
                <w:sz w:val="21"/>
              </w:rPr>
              <w:t>0.00E+00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5" w:type="dxa"/>
          </w:tcPr>
          <w:p>
            <w:pPr>
              <w:pStyle w:val="14"/>
              <w:spacing w:before="76"/>
              <w:ind w:left="534" w:right="524"/>
              <w:rPr>
                <w:rFonts w:ascii="Times New Roman"/>
                <w:sz w:val="21"/>
              </w:rPr>
            </w:pPr>
            <w:r>
              <w:rPr>
                <w:rFonts w:ascii="Times New Roman"/>
                <w:sz w:val="21"/>
              </w:rPr>
              <w:t>80</w:t>
            </w:r>
          </w:p>
        </w:tc>
        <w:tc>
          <w:tcPr>
            <w:tcW w:w="2143" w:type="dxa"/>
          </w:tcPr>
          <w:p>
            <w:pPr>
              <w:pStyle w:val="14"/>
              <w:spacing w:before="78"/>
              <w:ind w:left="402" w:right="395"/>
              <w:rPr>
                <w:rFonts w:ascii="Times New Roman"/>
                <w:sz w:val="21"/>
              </w:rPr>
            </w:pPr>
            <w:r>
              <w:rPr>
                <w:rFonts w:ascii="Times New Roman"/>
                <w:sz w:val="21"/>
              </w:rPr>
              <w:t>3.75E-31</w:t>
            </w:r>
          </w:p>
        </w:tc>
        <w:tc>
          <w:tcPr>
            <w:tcW w:w="2115" w:type="dxa"/>
          </w:tcPr>
          <w:p>
            <w:pPr>
              <w:pStyle w:val="14"/>
              <w:spacing w:before="76"/>
              <w:ind w:left="534" w:right="525"/>
              <w:rPr>
                <w:rFonts w:ascii="Times New Roman"/>
                <w:sz w:val="21"/>
              </w:rPr>
            </w:pPr>
            <w:r>
              <w:rPr>
                <w:rFonts w:ascii="Times New Roman"/>
                <w:sz w:val="21"/>
              </w:rPr>
              <w:t>400</w:t>
            </w:r>
          </w:p>
        </w:tc>
        <w:tc>
          <w:tcPr>
            <w:tcW w:w="2150" w:type="dxa"/>
          </w:tcPr>
          <w:p>
            <w:pPr>
              <w:pStyle w:val="14"/>
              <w:spacing w:before="76"/>
              <w:ind w:left="196" w:right="187"/>
              <w:rPr>
                <w:rFonts w:ascii="Times New Roman"/>
                <w:sz w:val="21"/>
              </w:rPr>
            </w:pPr>
            <w:r>
              <w:rPr>
                <w:rFonts w:ascii="Times New Roman"/>
                <w:sz w:val="21"/>
              </w:rPr>
              <w:t>0.00E+00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115" w:type="dxa"/>
          </w:tcPr>
          <w:p>
            <w:pPr>
              <w:pStyle w:val="14"/>
              <w:spacing w:before="77"/>
              <w:ind w:left="534" w:right="524"/>
              <w:rPr>
                <w:rFonts w:ascii="Times New Roman"/>
                <w:sz w:val="21"/>
              </w:rPr>
            </w:pPr>
            <w:r>
              <w:rPr>
                <w:rFonts w:ascii="Times New Roman"/>
                <w:sz w:val="21"/>
              </w:rPr>
              <w:t>90</w:t>
            </w:r>
          </w:p>
        </w:tc>
        <w:tc>
          <w:tcPr>
            <w:tcW w:w="2143" w:type="dxa"/>
          </w:tcPr>
          <w:p>
            <w:pPr>
              <w:pStyle w:val="14"/>
              <w:spacing w:before="77"/>
              <w:ind w:left="402" w:right="395"/>
              <w:rPr>
                <w:rFonts w:ascii="Times New Roman"/>
                <w:sz w:val="21"/>
              </w:rPr>
            </w:pPr>
            <w:r>
              <w:rPr>
                <w:rFonts w:ascii="Times New Roman"/>
                <w:sz w:val="21"/>
              </w:rPr>
              <w:t>2.36E-40</w:t>
            </w:r>
          </w:p>
        </w:tc>
        <w:tc>
          <w:tcPr>
            <w:tcW w:w="2115" w:type="dxa"/>
          </w:tcPr>
          <w:p>
            <w:pPr>
              <w:pStyle w:val="14"/>
              <w:spacing w:before="77"/>
              <w:ind w:left="534" w:right="525"/>
              <w:rPr>
                <w:rFonts w:ascii="Times New Roman"/>
                <w:sz w:val="21"/>
              </w:rPr>
            </w:pPr>
            <w:r>
              <w:rPr>
                <w:rFonts w:ascii="Times New Roman"/>
                <w:sz w:val="21"/>
              </w:rPr>
              <w:t>450</w:t>
            </w:r>
          </w:p>
        </w:tc>
        <w:tc>
          <w:tcPr>
            <w:tcW w:w="2150" w:type="dxa"/>
          </w:tcPr>
          <w:p>
            <w:pPr>
              <w:pStyle w:val="14"/>
              <w:spacing w:before="77"/>
              <w:ind w:left="196" w:right="187"/>
              <w:rPr>
                <w:rFonts w:ascii="Times New Roman"/>
                <w:sz w:val="21"/>
              </w:rPr>
            </w:pPr>
            <w:r>
              <w:rPr>
                <w:rFonts w:ascii="Times New Roman"/>
                <w:sz w:val="21"/>
              </w:rPr>
              <w:t>0.00E+00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5" w:type="dxa"/>
          </w:tcPr>
          <w:p>
            <w:pPr>
              <w:pStyle w:val="14"/>
              <w:spacing w:before="78"/>
              <w:ind w:left="534" w:right="524"/>
              <w:rPr>
                <w:rFonts w:ascii="Times New Roman"/>
                <w:sz w:val="21"/>
              </w:rPr>
            </w:pPr>
            <w:r>
              <w:rPr>
                <w:rFonts w:ascii="Times New Roman"/>
                <w:sz w:val="21"/>
              </w:rPr>
              <w:t>100</w:t>
            </w:r>
          </w:p>
        </w:tc>
        <w:tc>
          <w:tcPr>
            <w:tcW w:w="2143" w:type="dxa"/>
          </w:tcPr>
          <w:p>
            <w:pPr>
              <w:pStyle w:val="14"/>
              <w:spacing w:before="78"/>
              <w:ind w:left="403" w:right="394"/>
              <w:rPr>
                <w:rFonts w:ascii="Times New Roman"/>
                <w:sz w:val="21"/>
              </w:rPr>
            </w:pPr>
            <w:r>
              <w:rPr>
                <w:rFonts w:ascii="Times New Roman"/>
                <w:sz w:val="21"/>
              </w:rPr>
              <w:t>0.00E+00</w:t>
            </w:r>
          </w:p>
        </w:tc>
        <w:tc>
          <w:tcPr>
            <w:tcW w:w="2115" w:type="dxa"/>
          </w:tcPr>
          <w:p>
            <w:pPr>
              <w:pStyle w:val="14"/>
              <w:spacing w:before="78"/>
              <w:ind w:left="534" w:right="525"/>
              <w:rPr>
                <w:rFonts w:ascii="Times New Roman"/>
                <w:sz w:val="21"/>
              </w:rPr>
            </w:pPr>
            <w:r>
              <w:rPr>
                <w:rFonts w:ascii="Times New Roman"/>
                <w:sz w:val="21"/>
              </w:rPr>
              <w:t>500</w:t>
            </w:r>
          </w:p>
        </w:tc>
        <w:tc>
          <w:tcPr>
            <w:tcW w:w="2150" w:type="dxa"/>
          </w:tcPr>
          <w:p>
            <w:pPr>
              <w:pStyle w:val="14"/>
              <w:spacing w:before="78"/>
              <w:ind w:left="196" w:right="187"/>
              <w:rPr>
                <w:rFonts w:ascii="Times New Roman"/>
                <w:sz w:val="21"/>
              </w:rPr>
            </w:pPr>
            <w:r>
              <w:rPr>
                <w:rFonts w:ascii="Times New Roman"/>
                <w:sz w:val="21"/>
              </w:rPr>
              <w:t>0.00E+00</w:t>
            </w:r>
          </w:p>
        </w:tc>
      </w:tr>
    </w:tbl>
    <w:p>
      <w:pPr>
        <w:pStyle w:val="6"/>
        <w:spacing w:before="80" w:line="364" w:lineRule="auto"/>
        <w:ind w:left="551" w:right="853" w:firstLine="480"/>
      </w:pPr>
      <w:r>
        <w:rPr>
          <w:spacing w:val="-12"/>
        </w:rPr>
        <w:t xml:space="preserve">由上表可知，在非正常情况下，区域地下水流动缓慢，如污染物渗入地下水， </w:t>
      </w:r>
      <w:r>
        <w:t>污染物随地下水迁移速度较慢，</w:t>
      </w:r>
      <w:r>
        <w:rPr>
          <w:rFonts w:ascii="Times New Roman" w:eastAsia="Times New Roman"/>
        </w:rPr>
        <w:t>100</w:t>
      </w:r>
      <w:r>
        <w:rPr>
          <w:spacing w:val="-2"/>
        </w:rPr>
        <w:t>天时，预测的最大值为</w:t>
      </w:r>
      <w:r>
        <w:rPr>
          <w:rFonts w:ascii="Times New Roman" w:eastAsia="Times New Roman"/>
        </w:rPr>
        <w:t>12615.66mg/l</w:t>
      </w:r>
      <w:r>
        <w:t>，预测超标距离最远为</w:t>
      </w:r>
      <w:r>
        <w:rPr>
          <w:rFonts w:ascii="Times New Roman" w:eastAsia="Times New Roman"/>
        </w:rPr>
        <w:t>26m</w:t>
      </w:r>
      <w:r>
        <w:t>，影响距离最远为</w:t>
      </w:r>
      <w:r>
        <w:rPr>
          <w:rFonts w:ascii="Times New Roman" w:eastAsia="Times New Roman"/>
        </w:rPr>
        <w:t>30m</w:t>
      </w:r>
      <w:r>
        <w:t>；</w:t>
      </w:r>
      <w:r>
        <w:rPr>
          <w:rFonts w:ascii="Times New Roman" w:eastAsia="Times New Roman"/>
        </w:rPr>
        <w:t>1000</w:t>
      </w:r>
      <w:r>
        <w:t>天时，预测的最大值为</w:t>
      </w:r>
      <w:r>
        <w:rPr>
          <w:rFonts w:ascii="Times New Roman" w:eastAsia="Times New Roman"/>
        </w:rPr>
        <w:t>3989.423mg/l</w:t>
      </w:r>
      <w:r>
        <w:t>，预测超标距离最远为</w:t>
      </w:r>
      <w:r>
        <w:rPr>
          <w:rFonts w:ascii="Times New Roman" w:eastAsia="Times New Roman"/>
          <w:spacing w:val="-3"/>
        </w:rPr>
        <w:t>78m</w:t>
      </w:r>
      <w:r>
        <w:rPr>
          <w:spacing w:val="-2"/>
        </w:rPr>
        <w:t>，影响距离最远为</w:t>
      </w:r>
      <w:r>
        <w:rPr>
          <w:rFonts w:ascii="Times New Roman" w:eastAsia="Times New Roman"/>
          <w:spacing w:val="-3"/>
        </w:rPr>
        <w:t>94m</w:t>
      </w:r>
      <w:r>
        <w:rPr>
          <w:spacing w:val="-2"/>
        </w:rPr>
        <w:t>，该范围内无地下水敏感目标，不会对周围地下水井产生影响，故对其地下水环境影响较小。</w:t>
      </w:r>
    </w:p>
    <w:p>
      <w:pPr>
        <w:pStyle w:val="6"/>
        <w:spacing w:before="3"/>
        <w:ind w:left="1031"/>
      </w:pPr>
      <w:r>
        <w:rPr>
          <w:rFonts w:ascii="Times New Roman" w:eastAsia="Times New Roman"/>
        </w:rPr>
        <w:t>3</w:t>
      </w:r>
      <w:r>
        <w:t>、煤矸石转运场对地下水水质的影响</w:t>
      </w:r>
    </w:p>
    <w:p>
      <w:pPr>
        <w:pStyle w:val="13"/>
        <w:numPr>
          <w:ilvl w:val="0"/>
          <w:numId w:val="60"/>
        </w:numPr>
        <w:tabs>
          <w:tab w:val="left" w:pos="1633"/>
        </w:tabs>
        <w:spacing w:before="161" w:after="0" w:line="240" w:lineRule="auto"/>
        <w:ind w:left="1633" w:right="0" w:hanging="602"/>
        <w:jc w:val="left"/>
        <w:rPr>
          <w:sz w:val="24"/>
        </w:rPr>
      </w:pPr>
      <w:r>
        <w:rPr>
          <w:sz w:val="24"/>
        </w:rPr>
        <w:t>煤矸石转运场地质情况</w:t>
      </w:r>
    </w:p>
    <w:p>
      <w:pPr>
        <w:pStyle w:val="6"/>
        <w:spacing w:before="160" w:line="364" w:lineRule="auto"/>
        <w:ind w:left="551" w:right="906" w:firstLine="480"/>
      </w:pPr>
      <w:r>
        <w:t xml:space="preserve">据调查煤矸石转运场地面新生界第四系顶部有 </w:t>
      </w:r>
      <w:r>
        <w:rPr>
          <w:rFonts w:ascii="Times New Roman" w:hAnsi="Times New Roman" w:eastAsia="Times New Roman"/>
        </w:rPr>
        <w:t xml:space="preserve">1.0—8.0 </w:t>
      </w:r>
      <w:r>
        <w:t>米的腐植土和粘土， 在一定程度上对大气降水起着隔水作用，可以防止矸石淋滤液下渗。</w:t>
      </w:r>
    </w:p>
    <w:p>
      <w:pPr>
        <w:pStyle w:val="13"/>
        <w:numPr>
          <w:ilvl w:val="0"/>
          <w:numId w:val="60"/>
        </w:numPr>
        <w:tabs>
          <w:tab w:val="left" w:pos="1633"/>
        </w:tabs>
        <w:spacing w:before="2" w:after="0" w:line="240" w:lineRule="auto"/>
        <w:ind w:left="1633" w:right="0" w:hanging="602"/>
        <w:jc w:val="left"/>
        <w:rPr>
          <w:sz w:val="24"/>
        </w:rPr>
      </w:pPr>
      <w:r>
        <w:rPr>
          <w:sz w:val="24"/>
        </w:rPr>
        <w:t>煤矸石种类检测结果</w:t>
      </w:r>
    </w:p>
    <w:p>
      <w:pPr>
        <w:pStyle w:val="6"/>
        <w:spacing w:before="160"/>
        <w:ind w:left="1151"/>
      </w:pPr>
      <w:r>
        <w:rPr>
          <w:spacing w:val="-16"/>
        </w:rPr>
        <w:t>经检测，本项目煤矸石属于《一般工业固体废物贮存、处置场污染控制标准》</w:t>
      </w:r>
    </w:p>
    <w:p>
      <w:pPr>
        <w:pStyle w:val="6"/>
        <w:spacing w:before="161"/>
        <w:ind w:left="551"/>
      </w:pPr>
      <w:r>
        <w:rPr>
          <w:rFonts w:ascii="Times New Roman" w:hAnsi="Times New Roman" w:eastAsia="Times New Roman"/>
          <w:spacing w:val="-1"/>
        </w:rPr>
        <w:t>(GB18599-2001)</w:t>
      </w:r>
      <w:r>
        <w:rPr>
          <w:spacing w:val="-7"/>
        </w:rPr>
        <w:t>中所定义第Ⅰ类一般固体废物，煤矸石转运场按Ⅰ类贮存场设计。</w:t>
      </w:r>
    </w:p>
    <w:p>
      <w:pPr>
        <w:pStyle w:val="13"/>
        <w:numPr>
          <w:ilvl w:val="0"/>
          <w:numId w:val="60"/>
        </w:numPr>
        <w:tabs>
          <w:tab w:val="left" w:pos="1633"/>
        </w:tabs>
        <w:spacing w:before="160" w:after="0" w:line="240" w:lineRule="auto"/>
        <w:ind w:left="1633" w:right="0" w:hanging="602"/>
        <w:jc w:val="left"/>
        <w:rPr>
          <w:sz w:val="24"/>
        </w:rPr>
      </w:pPr>
      <w:r>
        <w:rPr>
          <w:sz w:val="24"/>
        </w:rPr>
        <w:t>煤矸石转运场对地下水影响</w:t>
      </w:r>
    </w:p>
    <w:p>
      <w:pPr>
        <w:pStyle w:val="6"/>
        <w:spacing w:before="161" w:line="364" w:lineRule="auto"/>
        <w:ind w:left="551" w:right="964" w:firstLine="600"/>
        <w:jc w:val="both"/>
      </w:pPr>
      <w:r>
        <w:rPr>
          <w:spacing w:val="-7"/>
        </w:rPr>
        <w:t>矸石堆场周边修建截排水沟，正常状况下不会产生矸石淋滤水。根据煤矸石浸出液监测结果，矸石淋溶液各特征污染物浓度均较低，各浓度特征污染物浓度</w:t>
      </w:r>
      <w:r>
        <w:rPr>
          <w:spacing w:val="-19"/>
        </w:rPr>
        <w:t xml:space="preserve">均低于 </w:t>
      </w:r>
      <w:r>
        <w:rPr>
          <w:rFonts w:ascii="Times New Roman" w:eastAsia="Times New Roman"/>
        </w:rPr>
        <w:t>GB/T14848-2017</w:t>
      </w:r>
      <w:r>
        <w:t>《地下水质量标准》</w:t>
      </w:r>
      <w:r>
        <w:rPr>
          <w:rFonts w:ascii="Times New Roman" w:eastAsia="Times New Roman"/>
        </w:rPr>
        <w:t xml:space="preserve">III </w:t>
      </w:r>
      <w:r>
        <w:t>类水标准限值，故本次评价不再对临时矸石堆场淋滤液下渗污染进行预测评价。</w:t>
      </w:r>
    </w:p>
    <w:p>
      <w:pPr>
        <w:spacing w:after="0" w:line="364" w:lineRule="auto"/>
        <w:jc w:val="both"/>
        <w:sectPr>
          <w:pgSz w:w="11910" w:h="16840"/>
          <w:pgMar w:top="1360" w:right="780" w:bottom="1180" w:left="1200" w:header="0" w:footer="997" w:gutter="0"/>
        </w:sectPr>
      </w:pPr>
    </w:p>
    <w:p>
      <w:pPr>
        <w:pStyle w:val="4"/>
        <w:spacing w:before="55"/>
        <w:ind w:left="551" w:firstLine="0"/>
      </w:pPr>
      <w:r>
        <w:rPr>
          <w:rFonts w:ascii="Times New Roman" w:eastAsia="Times New Roman"/>
        </w:rPr>
        <w:t xml:space="preserve">6.6.6 </w:t>
      </w:r>
      <w:r>
        <w:t>地下水环境影响分析结论</w:t>
      </w:r>
    </w:p>
    <w:p>
      <w:pPr>
        <w:pStyle w:val="6"/>
        <w:spacing w:before="212" w:line="364" w:lineRule="auto"/>
        <w:ind w:left="551" w:right="853" w:firstLine="480"/>
      </w:pPr>
      <w:r>
        <w:t>建设项目对地下水的污染主要来自污水处理站下渗对地下水造成的污染，本工程污水处理构筑物及污水管道均采取了防渗处理措施，在运行期间，通过加强</w:t>
      </w:r>
      <w:r>
        <w:rPr>
          <w:spacing w:val="-12"/>
        </w:rPr>
        <w:t xml:space="preserve">管理，严防污染物的跑、冒、滴、漏，将污染物渗漏的环境风险事故降到最低限， </w:t>
      </w:r>
      <w:r>
        <w:t>通过预测结果可以看出本工程污染物渗漏对地下水水质影响较小。</w:t>
      </w:r>
    </w:p>
    <w:p>
      <w:pPr>
        <w:pStyle w:val="3"/>
        <w:numPr>
          <w:ilvl w:val="1"/>
          <w:numId w:val="55"/>
        </w:numPr>
        <w:tabs>
          <w:tab w:val="left" w:pos="1001"/>
        </w:tabs>
        <w:spacing w:before="43" w:after="0" w:line="240" w:lineRule="auto"/>
        <w:ind w:left="1000" w:right="0" w:hanging="450"/>
        <w:jc w:val="left"/>
      </w:pPr>
      <w:bookmarkStart w:id="384" w:name="6.7地下水环境保护措施"/>
      <w:bookmarkEnd w:id="384"/>
      <w:bookmarkStart w:id="385" w:name="_bookmark35"/>
      <w:bookmarkEnd w:id="385"/>
      <w:bookmarkStart w:id="386" w:name="_bookmark35"/>
      <w:bookmarkEnd w:id="386"/>
      <w:r>
        <w:t>地下水环境保护措施</w:t>
      </w:r>
    </w:p>
    <w:p>
      <w:pPr>
        <w:pStyle w:val="4"/>
        <w:numPr>
          <w:ilvl w:val="2"/>
          <w:numId w:val="55"/>
        </w:numPr>
        <w:tabs>
          <w:tab w:val="left" w:pos="1181"/>
        </w:tabs>
        <w:spacing w:before="121" w:after="0" w:line="240" w:lineRule="auto"/>
        <w:ind w:left="1180" w:right="0" w:hanging="630"/>
        <w:jc w:val="left"/>
      </w:pPr>
      <w:bookmarkStart w:id="387" w:name="6.7.1源头控制措施"/>
      <w:bookmarkEnd w:id="387"/>
      <w:bookmarkStart w:id="388" w:name="6.7.1源头控制措施"/>
      <w:bookmarkEnd w:id="388"/>
      <w:r>
        <w:t>源头控制措施</w:t>
      </w:r>
    </w:p>
    <w:p>
      <w:pPr>
        <w:pStyle w:val="6"/>
        <w:spacing w:before="185" w:line="364" w:lineRule="auto"/>
        <w:ind w:left="551" w:right="969" w:firstLine="480"/>
      </w:pPr>
      <w:r>
        <w:rPr>
          <w:rFonts w:ascii="Times New Roman" w:eastAsia="Times New Roman"/>
        </w:rPr>
        <w:t>1</w:t>
      </w:r>
      <w:r>
        <w:rPr>
          <w:spacing w:val="-11"/>
        </w:rPr>
        <w:t>、矿井生活污水处理站和矿井水处理站水处理过程中的池、渠及地面要采取</w:t>
      </w:r>
      <w:r>
        <w:t>防渗处理，阻断污染物进入地下水环境途径。</w:t>
      </w:r>
    </w:p>
    <w:p>
      <w:pPr>
        <w:pStyle w:val="6"/>
        <w:spacing w:line="364" w:lineRule="auto"/>
        <w:ind w:left="551" w:right="969" w:firstLine="480"/>
      </w:pPr>
      <w:r>
        <w:rPr>
          <w:rFonts w:ascii="Times New Roman" w:eastAsia="Times New Roman"/>
        </w:rPr>
        <w:t>2</w:t>
      </w:r>
      <w:r>
        <w:rPr>
          <w:spacing w:val="-12"/>
        </w:rPr>
        <w:t>、禁止建设及生产过程中生活垃圾乱堆乱放，生活垃圾统一收集、集中运至</w:t>
      </w:r>
      <w:r>
        <w:t>垃圾处理厂处置。</w:t>
      </w:r>
    </w:p>
    <w:p>
      <w:pPr>
        <w:pStyle w:val="6"/>
        <w:spacing w:line="364" w:lineRule="auto"/>
        <w:ind w:left="551" w:right="968" w:firstLine="480"/>
        <w:jc w:val="both"/>
      </w:pPr>
      <w:r>
        <w:rPr>
          <w:rFonts w:ascii="Times New Roman" w:hAnsi="Times New Roman" w:eastAsia="Times New Roman"/>
        </w:rPr>
        <w:t>3</w:t>
      </w:r>
      <w:r>
        <w:t>、在开采煤层时，需要坚持</w:t>
      </w:r>
      <w:r>
        <w:rPr>
          <w:rFonts w:ascii="Times New Roman" w:hAnsi="Times New Roman" w:eastAsia="Times New Roman"/>
        </w:rPr>
        <w:t>“</w:t>
      </w:r>
      <w:r>
        <w:t>预测预报、有掘必探、先探后掘，先治后采</w:t>
      </w:r>
      <w:r>
        <w:rPr>
          <w:rFonts w:ascii="Times New Roman" w:hAnsi="Times New Roman" w:eastAsia="Times New Roman"/>
        </w:rPr>
        <w:t xml:space="preserve">” </w:t>
      </w:r>
      <w:r>
        <w:t>的原则，避免发生突水、透水事故，既可以保护水资源，又可以保证煤矿安全生产。需严格执行《煤矿安全规程》，防止煤矿开采对奥灰水造成影响。严格执行探水工作，在可能发生突水的区域应采取探防水措施，探测是否有隐伏陷落柱和断裂构造，探明构造情况后进行注浆堵水等工程措施，杜绝矿井突水事件发生。探水钻进要严格按照操作规程进行，报废的钻孔必须及时封孔，切断各含水层间因钻孔形成的水力联系，防止地下水通过钻孔进入井巷，以保护地下水资源。另外应加强开采过程中对断层导水性变化的鉴别以及渗水量的监测。</w:t>
      </w:r>
    </w:p>
    <w:p>
      <w:pPr>
        <w:pStyle w:val="6"/>
        <w:spacing w:line="362" w:lineRule="auto"/>
        <w:ind w:left="551" w:right="969" w:firstLine="480"/>
      </w:pPr>
      <w:r>
        <w:rPr>
          <w:rFonts w:ascii="Times New Roman" w:eastAsia="Times New Roman"/>
        </w:rPr>
        <w:t>5</w:t>
      </w:r>
      <w:r>
        <w:rPr>
          <w:spacing w:val="-12"/>
        </w:rPr>
        <w:t>、矸石场必须建设完备的排水设施并做好防渗处理，确保矸石淋溶液不对区</w:t>
      </w:r>
      <w:r>
        <w:t>域水环境产生明显影响。</w:t>
      </w:r>
    </w:p>
    <w:p>
      <w:pPr>
        <w:pStyle w:val="4"/>
        <w:numPr>
          <w:ilvl w:val="2"/>
          <w:numId w:val="55"/>
        </w:numPr>
        <w:tabs>
          <w:tab w:val="left" w:pos="1181"/>
        </w:tabs>
        <w:spacing w:before="0" w:after="0" w:line="240" w:lineRule="auto"/>
        <w:ind w:left="1180" w:right="0" w:hanging="630"/>
        <w:jc w:val="left"/>
      </w:pPr>
      <w:bookmarkStart w:id="389" w:name="6.7.2地下水水资源损失减缓措施"/>
      <w:bookmarkEnd w:id="389"/>
      <w:bookmarkStart w:id="390" w:name="6.7.2地下水水资源损失减缓措施"/>
      <w:bookmarkEnd w:id="390"/>
      <w:r>
        <w:t>地下水水资源损失减缓措施</w:t>
      </w:r>
    </w:p>
    <w:p>
      <w:pPr>
        <w:pStyle w:val="6"/>
        <w:spacing w:before="184"/>
        <w:ind w:left="1031"/>
      </w:pPr>
      <w:r>
        <w:rPr>
          <w:rFonts w:ascii="Times New Roman" w:eastAsia="Times New Roman"/>
        </w:rPr>
        <w:t>1</w:t>
      </w:r>
      <w:r>
        <w:t>、建立地下水观测网系统</w:t>
      </w:r>
    </w:p>
    <w:p>
      <w:pPr>
        <w:pStyle w:val="6"/>
        <w:spacing w:before="160" w:line="364" w:lineRule="auto"/>
        <w:ind w:left="551" w:right="969" w:firstLine="480"/>
        <w:jc w:val="both"/>
      </w:pPr>
      <w:r>
        <w:t>结合观测区地质水文地质、地表、地下条件，以用最少点控制较大面积为原则，建立地下水动态观测网，以掌握地下水位动态变化规律，有效预测疏干涌水量，指导疏干工作。若实际开发中造成区域地下水水位严重下降，建设单位应及时组织水文地质专家查找原因，针对性地制定工程防治措施和配套补救措施，对可能造成的不良影响的给予经济补偿，并根据建设项目可能诱发的环境水文地质问题制定相应的监测方案。</w:t>
      </w:r>
    </w:p>
    <w:p>
      <w:pPr>
        <w:spacing w:after="0" w:line="364" w:lineRule="auto"/>
        <w:jc w:val="both"/>
        <w:sectPr>
          <w:footerReference r:id="rId21" w:type="default"/>
          <w:pgSz w:w="11910" w:h="16840"/>
          <w:pgMar w:top="1500" w:right="780" w:bottom="1180" w:left="1200" w:header="0" w:footer="997" w:gutter="0"/>
          <w:pgNumType w:start="120"/>
        </w:sectPr>
      </w:pPr>
    </w:p>
    <w:p>
      <w:pPr>
        <w:pStyle w:val="6"/>
        <w:spacing w:before="63"/>
        <w:ind w:left="1031"/>
      </w:pPr>
      <w:r>
        <w:rPr>
          <w:rFonts w:ascii="Times New Roman" w:eastAsia="Times New Roman"/>
        </w:rPr>
        <w:t>2</w:t>
      </w:r>
      <w:r>
        <w:t>、做好雨季或非正常状态下的矿坑防排水工作</w:t>
      </w:r>
    </w:p>
    <w:p>
      <w:pPr>
        <w:pStyle w:val="6"/>
        <w:spacing w:before="160" w:line="364" w:lineRule="auto"/>
        <w:ind w:left="551" w:right="847" w:firstLine="480"/>
      </w:pPr>
      <w:r>
        <w:t>在雨季或非正常状态下，矿井涌水量会再很短时间内突然增大，如果防排水系统不合理或者不通畅，涌水量超过排水能力，会造成淹没煤层，污染煤系地层</w:t>
      </w:r>
      <w:r>
        <w:rPr>
          <w:spacing w:val="-11"/>
        </w:rPr>
        <w:t xml:space="preserve">的地下水水质，甚至会影响煤矿安全生产。因此，为了保证煤矿的正常安全生产， </w:t>
      </w:r>
      <w:r>
        <w:t>矿方应提前建立好相关的地下水疏干计算机控制系统、地下水位监测计算机控制系统、地面防排水、地下水疏干系统，根据需要进行预先疏干。</w:t>
      </w:r>
    </w:p>
    <w:p>
      <w:pPr>
        <w:pStyle w:val="4"/>
        <w:numPr>
          <w:ilvl w:val="2"/>
          <w:numId w:val="55"/>
        </w:numPr>
        <w:tabs>
          <w:tab w:val="left" w:pos="1181"/>
        </w:tabs>
        <w:spacing w:before="0" w:after="0" w:line="358" w:lineRule="exact"/>
        <w:ind w:left="1180" w:right="0" w:hanging="630"/>
        <w:jc w:val="left"/>
      </w:pPr>
      <w:bookmarkStart w:id="391" w:name="6.7.3分区防渗控制措施"/>
      <w:bookmarkEnd w:id="391"/>
      <w:bookmarkStart w:id="392" w:name="6.7.3分区防渗控制措施"/>
      <w:bookmarkEnd w:id="392"/>
      <w:r>
        <w:t>分区防渗控制措施</w:t>
      </w:r>
    </w:p>
    <w:p>
      <w:pPr>
        <w:pStyle w:val="6"/>
        <w:spacing w:before="183" w:line="364" w:lineRule="auto"/>
        <w:ind w:left="551" w:right="969" w:firstLine="480"/>
        <w:jc w:val="both"/>
      </w:pPr>
      <w:r>
        <w:t>将工业场地区划分为重点污染防治区和一般污染防治区，将临时排矸场区域及生活污水处理站、矿井水处理站等区域划分为重点防治区域，对这些区域的地面做防渗处理，防止污染物下渗造成地下水污染。其它区域划分为一般污染防治区域，对这些区域仅做一般的硬化处理。为防止项目对地下水产生污染，场区拟采取以下分区防渗措施：</w:t>
      </w:r>
    </w:p>
    <w:p>
      <w:pPr>
        <w:pStyle w:val="6"/>
        <w:spacing w:line="306" w:lineRule="exact"/>
        <w:ind w:left="1031"/>
      </w:pPr>
      <w:r>
        <w:t>将项目分为重点防渗区、一般防渗区。</w:t>
      </w:r>
    </w:p>
    <w:p>
      <w:pPr>
        <w:pStyle w:val="6"/>
        <w:spacing w:before="161" w:line="362" w:lineRule="auto"/>
        <w:ind w:left="551" w:right="969" w:firstLine="480"/>
      </w:pPr>
      <w:r>
        <w:rPr>
          <w:rFonts w:ascii="Times New Roman" w:hAnsi="Times New Roman" w:eastAsia="Times New Roman"/>
        </w:rPr>
        <w:t>1</w:t>
      </w:r>
      <w:r>
        <w:rPr>
          <w:spacing w:val="-12"/>
        </w:rPr>
        <w:t>、重点防渗区为工业广场、矸石堆场、生活区污水处理站及化粪池、矿井水</w:t>
      </w:r>
      <w:r>
        <w:rPr>
          <w:spacing w:val="-4"/>
        </w:rPr>
        <w:t xml:space="preserve">处理站，需满足等效黏土防渗层 </w:t>
      </w:r>
      <w:r>
        <w:rPr>
          <w:rFonts w:ascii="Times New Roman" w:hAnsi="Times New Roman" w:eastAsia="Times New Roman"/>
        </w:rPr>
        <w:t>Mb≥6.0m</w:t>
      </w:r>
      <w:r>
        <w:t>，</w:t>
      </w:r>
      <w:r>
        <w:rPr>
          <w:rFonts w:ascii="Times New Roman" w:hAnsi="Times New Roman" w:eastAsia="Times New Roman"/>
        </w:rPr>
        <w:t>K≤1×10</w:t>
      </w:r>
      <w:r>
        <w:rPr>
          <w:rFonts w:ascii="Times New Roman" w:hAnsi="Times New Roman" w:eastAsia="Times New Roman"/>
          <w:position w:val="8"/>
          <w:sz w:val="15"/>
        </w:rPr>
        <w:t>-7</w:t>
      </w:r>
      <w:r>
        <w:rPr>
          <w:rFonts w:ascii="Times New Roman" w:hAnsi="Times New Roman" w:eastAsia="Times New Roman"/>
        </w:rPr>
        <w:t xml:space="preserve">cm/s </w:t>
      </w:r>
      <w:r>
        <w:t>的要求。</w:t>
      </w:r>
    </w:p>
    <w:p>
      <w:pPr>
        <w:pStyle w:val="6"/>
        <w:spacing w:before="2" w:line="364" w:lineRule="auto"/>
        <w:ind w:left="551" w:right="969" w:firstLine="480"/>
      </w:pPr>
      <w:r>
        <w:rPr>
          <w:rFonts w:ascii="Times New Roman" w:hAnsi="Times New Roman" w:eastAsia="Times New Roman"/>
        </w:rPr>
        <w:t xml:space="preserve">2 </w:t>
      </w:r>
      <w:r>
        <w:t xml:space="preserve">、一般防渗区为储煤仓等区域， 需满足等效黏土防渗层 </w:t>
      </w:r>
      <w:r>
        <w:rPr>
          <w:rFonts w:ascii="Times New Roman" w:hAnsi="Times New Roman" w:eastAsia="Times New Roman"/>
        </w:rPr>
        <w:t>Mb≥1.5m</w:t>
      </w:r>
      <w:r>
        <w:t xml:space="preserve">， </w:t>
      </w:r>
      <w:r>
        <w:rPr>
          <w:rFonts w:ascii="Times New Roman" w:hAnsi="Times New Roman" w:eastAsia="Times New Roman"/>
        </w:rPr>
        <w:t>K≤1×10</w:t>
      </w:r>
      <w:r>
        <w:rPr>
          <w:rFonts w:ascii="Times New Roman" w:hAnsi="Times New Roman" w:eastAsia="Times New Roman"/>
          <w:position w:val="8"/>
          <w:sz w:val="15"/>
        </w:rPr>
        <w:t>-7</w:t>
      </w:r>
      <w:r>
        <w:rPr>
          <w:rFonts w:ascii="Times New Roman" w:hAnsi="Times New Roman" w:eastAsia="Times New Roman"/>
        </w:rPr>
        <w:t xml:space="preserve">cm/s </w:t>
      </w:r>
      <w:r>
        <w:t>的要求。</w:t>
      </w:r>
    </w:p>
    <w:p>
      <w:pPr>
        <w:pStyle w:val="6"/>
        <w:spacing w:before="1"/>
        <w:ind w:left="1031"/>
      </w:pPr>
      <w:r>
        <w:rPr>
          <w:rFonts w:ascii="Times New Roman" w:eastAsia="Times New Roman"/>
        </w:rPr>
        <w:t>3</w:t>
      </w:r>
      <w:r>
        <w:t>、简单防渗区</w:t>
      </w:r>
    </w:p>
    <w:p>
      <w:pPr>
        <w:pStyle w:val="6"/>
        <w:spacing w:before="158" w:line="364" w:lineRule="auto"/>
        <w:ind w:left="551" w:right="969" w:firstLine="480"/>
      </w:pPr>
      <w:r>
        <w:t>简单防渗区为厂区道路、综合办公区域、变电所和职工宿舍大楼等区域，进行一般地面硬化。</w:t>
      </w:r>
    </w:p>
    <w:p>
      <w:pPr>
        <w:pStyle w:val="4"/>
        <w:numPr>
          <w:ilvl w:val="2"/>
          <w:numId w:val="55"/>
        </w:numPr>
        <w:tabs>
          <w:tab w:val="left" w:pos="1181"/>
        </w:tabs>
        <w:spacing w:before="0" w:after="0" w:line="358" w:lineRule="exact"/>
        <w:ind w:left="1180" w:right="0" w:hanging="630"/>
        <w:jc w:val="left"/>
      </w:pPr>
      <w:bookmarkStart w:id="393" w:name="6.7.4地下水监测措施"/>
      <w:bookmarkEnd w:id="393"/>
      <w:bookmarkStart w:id="394" w:name="6.7.4地下水监测措施"/>
      <w:bookmarkEnd w:id="394"/>
      <w:r>
        <w:t>地下水监测措施</w:t>
      </w:r>
    </w:p>
    <w:p>
      <w:pPr>
        <w:pStyle w:val="6"/>
        <w:spacing w:before="186" w:line="364" w:lineRule="auto"/>
        <w:ind w:left="551" w:right="969" w:firstLine="480"/>
        <w:jc w:val="both"/>
      </w:pPr>
      <w:r>
        <w:t>本次评价给出地下水监测计划，目的在于保护井田下游居民饮水安全，对开采导致的地下水污染及时预警，并采取合理的补救措施。因此，为了及时准确的掌握地下水水质的变化情况，评价建议建立评价区的区域地下水监控体系，其主要包括监测点位与监测项目、监测频率与监测因子、监测设备与监测人员等。</w:t>
      </w:r>
    </w:p>
    <w:p>
      <w:pPr>
        <w:pStyle w:val="6"/>
        <w:spacing w:line="305" w:lineRule="exact"/>
        <w:ind w:left="1031"/>
      </w:pPr>
      <w:r>
        <w:rPr>
          <w:rFonts w:ascii="Times New Roman" w:eastAsia="Times New Roman"/>
        </w:rPr>
        <w:t>1</w:t>
      </w:r>
      <w:r>
        <w:t>、监测项目</w:t>
      </w:r>
    </w:p>
    <w:p>
      <w:pPr>
        <w:pStyle w:val="6"/>
        <w:spacing w:before="160" w:line="364" w:lineRule="auto"/>
        <w:ind w:left="551" w:right="842" w:firstLine="480"/>
      </w:pPr>
      <w:r>
        <w:rPr>
          <w:rFonts w:ascii="Times New Roman" w:eastAsia="Times New Roman"/>
        </w:rPr>
        <w:t xml:space="preserve">pH </w:t>
      </w:r>
      <w:r>
        <w:rPr>
          <w:spacing w:val="-11"/>
        </w:rPr>
        <w:t>值、溶解性总固体、总硬度、钾、钠、钙、镁、碳酸根、碳酸氢根、硫酸</w:t>
      </w:r>
      <w:r>
        <w:rPr>
          <w:spacing w:val="-12"/>
        </w:rPr>
        <w:t>盐、氯化物、氨氮、硝酸盐氮、亚硝酸盐氮、挥发酚、氟化物、氰化物、铁、锰、</w:t>
      </w:r>
      <w:r>
        <w:rPr>
          <w:spacing w:val="-13"/>
        </w:rPr>
        <w:t xml:space="preserve">铅、六价铬、镉、汞、砷、高锰酸盐指数、总大肠菌群和细菌总数共 </w:t>
      </w:r>
      <w:r>
        <w:rPr>
          <w:rFonts w:ascii="Times New Roman" w:eastAsia="Times New Roman"/>
        </w:rPr>
        <w:t xml:space="preserve">29 </w:t>
      </w:r>
      <w:r>
        <w:rPr>
          <w:spacing w:val="-5"/>
        </w:rPr>
        <w:t>项，并记</w:t>
      </w:r>
    </w:p>
    <w:p>
      <w:pPr>
        <w:spacing w:after="0" w:line="364" w:lineRule="auto"/>
        <w:sectPr>
          <w:pgSz w:w="11910" w:h="16840"/>
          <w:pgMar w:top="1360" w:right="780" w:bottom="1180" w:left="1200" w:header="0" w:footer="997" w:gutter="0"/>
        </w:sectPr>
      </w:pPr>
    </w:p>
    <w:p>
      <w:pPr>
        <w:pStyle w:val="6"/>
        <w:spacing w:before="43"/>
        <w:ind w:left="551"/>
      </w:pPr>
      <w:r>
        <w:t>录井深、水位、水温。</w:t>
      </w:r>
    </w:p>
    <w:p>
      <w:pPr>
        <w:pStyle w:val="6"/>
        <w:spacing w:before="160"/>
        <w:ind w:left="1031"/>
      </w:pPr>
      <w:r>
        <w:rPr>
          <w:rFonts w:ascii="Times New Roman" w:eastAsia="Times New Roman"/>
        </w:rPr>
        <w:t>2</w:t>
      </w:r>
      <w:r>
        <w:t>、监测点布设</w:t>
      </w:r>
    </w:p>
    <w:p>
      <w:pPr>
        <w:pStyle w:val="6"/>
        <w:spacing w:before="158" w:line="364" w:lineRule="auto"/>
        <w:ind w:left="551" w:right="969" w:firstLine="480"/>
        <w:jc w:val="both"/>
      </w:pPr>
      <w:r>
        <w:t>煤炭开采疏排水对浅层含水层水位影响较小，且井田内无居民饮用水井，因此，大顺煤矿开采形成的沉陷对居民水井设施影响不大，且大顺煤矿疏排水对第四系含水层影响较小，因此，本次评价不再对居民水井进行长期监测，仅要求对工业场地下游厂界布设一口第四系含水层的长期监测井进行水位、水质的长期监测。</w:t>
      </w:r>
    </w:p>
    <w:p>
      <w:pPr>
        <w:pStyle w:val="6"/>
        <w:spacing w:line="306" w:lineRule="exact"/>
        <w:ind w:left="1031"/>
      </w:pPr>
      <w:r>
        <w:rPr>
          <w:rFonts w:ascii="Times New Roman" w:eastAsia="Times New Roman"/>
        </w:rPr>
        <w:t>3</w:t>
      </w:r>
      <w:r>
        <w:t>、监测频率</w:t>
      </w:r>
    </w:p>
    <w:p>
      <w:pPr>
        <w:pStyle w:val="6"/>
        <w:spacing w:before="161" w:line="362" w:lineRule="auto"/>
        <w:ind w:left="551" w:right="923" w:firstLine="480"/>
      </w:pPr>
      <w:r>
        <w:t>地下水水质监测，根据《地下水环境监测技术规范》（</w:t>
      </w:r>
      <w:r>
        <w:rPr>
          <w:rFonts w:ascii="Times New Roman" w:eastAsia="Times New Roman"/>
        </w:rPr>
        <w:t>HJ/T 164-2004</w:t>
      </w:r>
      <w:r>
        <w:t xml:space="preserve">）污染控制监测井逢单月监测 </w:t>
      </w:r>
      <w:r>
        <w:rPr>
          <w:rFonts w:ascii="Times New Roman" w:eastAsia="Times New Roman"/>
        </w:rPr>
        <w:t xml:space="preserve">1 </w:t>
      </w:r>
      <w:r>
        <w:t xml:space="preserve">次，全年 </w:t>
      </w:r>
      <w:r>
        <w:rPr>
          <w:rFonts w:ascii="Times New Roman" w:eastAsia="Times New Roman"/>
        </w:rPr>
        <w:t xml:space="preserve">6 </w:t>
      </w:r>
      <w:r>
        <w:t>次。</w:t>
      </w:r>
    </w:p>
    <w:p>
      <w:pPr>
        <w:pStyle w:val="6"/>
        <w:spacing w:before="2"/>
        <w:ind w:left="1031"/>
      </w:pPr>
      <w:r>
        <w:rPr>
          <w:rFonts w:ascii="Times New Roman" w:eastAsia="Times New Roman"/>
        </w:rPr>
        <w:t>4</w:t>
      </w:r>
      <w:r>
        <w:t>、监测数据管理</w:t>
      </w:r>
    </w:p>
    <w:p>
      <w:pPr>
        <w:pStyle w:val="6"/>
        <w:spacing w:before="161" w:line="364" w:lineRule="auto"/>
        <w:ind w:left="551" w:right="969" w:firstLine="480"/>
        <w:jc w:val="both"/>
      </w:pPr>
      <w:r>
        <w:t>监测结果应及时建立档案，并定期向厂安全环保部门汇报，对于常规监测数据应该进行公开，信息公开计划应至少包括建设项目特征因子的地下水环境监测值，特别是跟周边居民用水安全相关的数据要定期张贴公示，如发现异常或者发生事故，应加密监测频次，改为每天监测一次，并分析污染原因，及时采取应对措施。</w:t>
      </w:r>
    </w:p>
    <w:p>
      <w:pPr>
        <w:pStyle w:val="4"/>
        <w:numPr>
          <w:ilvl w:val="2"/>
          <w:numId w:val="55"/>
        </w:numPr>
        <w:tabs>
          <w:tab w:val="left" w:pos="1181"/>
        </w:tabs>
        <w:spacing w:before="0" w:after="0" w:line="358" w:lineRule="exact"/>
        <w:ind w:left="1180" w:right="0" w:hanging="630"/>
        <w:jc w:val="left"/>
      </w:pPr>
      <w:bookmarkStart w:id="395" w:name="6.7.5应急管理措施"/>
      <w:bookmarkEnd w:id="395"/>
      <w:bookmarkStart w:id="396" w:name="6.7.5应急管理措施"/>
      <w:bookmarkEnd w:id="396"/>
      <w:r>
        <w:t>应急管理措施</w:t>
      </w:r>
    </w:p>
    <w:p>
      <w:pPr>
        <w:pStyle w:val="6"/>
        <w:spacing w:before="185"/>
        <w:ind w:left="1031"/>
      </w:pPr>
      <w:r>
        <w:rPr>
          <w:rFonts w:ascii="Times New Roman" w:eastAsia="Times New Roman"/>
        </w:rPr>
        <w:t>1</w:t>
      </w:r>
      <w:r>
        <w:t>、风险应急预案</w:t>
      </w:r>
    </w:p>
    <w:p>
      <w:pPr>
        <w:pStyle w:val="6"/>
        <w:spacing w:before="158" w:line="364" w:lineRule="auto"/>
        <w:ind w:left="551" w:right="969" w:firstLine="480"/>
        <w:jc w:val="both"/>
      </w:pPr>
      <w:r>
        <w:t xml:space="preserve">制定风险事故应急预案的目的是为了在发生风险事故时，能以最快的速度发挥最大的效能，有序地实施救援，尽快控制事态的发展，降低事故对地下水的污染。针对应急工作需要，参照相关技术导则，结合地下水污染治理的技术特点， 制定地下水污染应急治理程序见图 </w:t>
      </w:r>
      <w:r>
        <w:rPr>
          <w:rFonts w:ascii="Times New Roman" w:eastAsia="Times New Roman"/>
        </w:rPr>
        <w:t>6.5-1</w:t>
      </w:r>
      <w:r>
        <w:t>。</w:t>
      </w:r>
    </w:p>
    <w:p>
      <w:pPr>
        <w:spacing w:after="0" w:line="364" w:lineRule="auto"/>
        <w:jc w:val="both"/>
        <w:sectPr>
          <w:pgSz w:w="11910" w:h="16840"/>
          <w:pgMar w:top="1380" w:right="780" w:bottom="1180" w:left="1200" w:header="0" w:footer="997" w:gutter="0"/>
        </w:sectPr>
      </w:pPr>
    </w:p>
    <w:p>
      <w:pPr>
        <w:pStyle w:val="6"/>
        <w:ind w:left="1351"/>
        <w:rPr>
          <w:sz w:val="20"/>
        </w:rPr>
      </w:pPr>
      <w:r>
        <w:rPr>
          <w:sz w:val="20"/>
        </w:rPr>
        <w:drawing>
          <wp:inline distT="0" distB="0" distL="0" distR="0">
            <wp:extent cx="4338320" cy="5646420"/>
            <wp:effectExtent l="0" t="0" r="0" b="0"/>
            <wp:docPr id="6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6.jpeg"/>
                    <pic:cNvPicPr>
                      <a:picLocks noChangeAspect="1"/>
                    </pic:cNvPicPr>
                  </pic:nvPicPr>
                  <pic:blipFill>
                    <a:blip r:embed="rId71" cstate="print"/>
                    <a:stretch>
                      <a:fillRect/>
                    </a:stretch>
                  </pic:blipFill>
                  <pic:spPr>
                    <a:xfrm>
                      <a:off x="0" y="0"/>
                      <a:ext cx="4338691" cy="5646420"/>
                    </a:xfrm>
                    <a:prstGeom prst="rect">
                      <a:avLst/>
                    </a:prstGeom>
                  </pic:spPr>
                </pic:pic>
              </a:graphicData>
            </a:graphic>
          </wp:inline>
        </w:drawing>
      </w:r>
    </w:p>
    <w:p>
      <w:pPr>
        <w:pStyle w:val="6"/>
        <w:spacing w:before="1"/>
        <w:rPr>
          <w:sz w:val="8"/>
        </w:rPr>
      </w:pPr>
    </w:p>
    <w:p>
      <w:pPr>
        <w:pStyle w:val="6"/>
        <w:tabs>
          <w:tab w:val="left" w:pos="1099"/>
        </w:tabs>
        <w:spacing w:before="77"/>
        <w:ind w:left="60"/>
        <w:jc w:val="center"/>
      </w:pPr>
      <w:r>
        <w:t>图</w:t>
      </w:r>
      <w:r>
        <w:rPr>
          <w:spacing w:val="-61"/>
        </w:rPr>
        <w:t xml:space="preserve"> </w:t>
      </w:r>
      <w:r>
        <w:rPr>
          <w:rFonts w:ascii="Times New Roman" w:eastAsia="Times New Roman"/>
        </w:rPr>
        <w:t>6.5-1</w:t>
      </w:r>
      <w:r>
        <w:rPr>
          <w:rFonts w:ascii="Times New Roman" w:eastAsia="Times New Roman"/>
        </w:rPr>
        <w:tab/>
      </w:r>
      <w:r>
        <w:t>地下水污染应急治理程序框图</w:t>
      </w:r>
    </w:p>
    <w:p>
      <w:pPr>
        <w:pStyle w:val="6"/>
        <w:spacing w:before="158"/>
        <w:ind w:left="1031"/>
      </w:pPr>
      <w:r>
        <w:rPr>
          <w:rFonts w:ascii="Times New Roman" w:eastAsia="Times New Roman"/>
        </w:rPr>
        <w:t>2</w:t>
      </w:r>
      <w:r>
        <w:t>、应急管理</w:t>
      </w:r>
    </w:p>
    <w:p>
      <w:pPr>
        <w:pStyle w:val="6"/>
        <w:spacing w:before="160" w:line="362" w:lineRule="auto"/>
        <w:ind w:left="551" w:right="969" w:firstLine="480"/>
      </w:pPr>
      <w:r>
        <w:t>在突发地下水污染事故情况下，建议采取以下应急管理措施，以保护地下水环境：</w:t>
      </w:r>
    </w:p>
    <w:p>
      <w:pPr>
        <w:pStyle w:val="6"/>
        <w:spacing w:before="5"/>
        <w:ind w:left="1031"/>
      </w:pPr>
      <w:r>
        <w:t>①立即启动应急预案；</w:t>
      </w:r>
    </w:p>
    <w:p>
      <w:pPr>
        <w:pStyle w:val="6"/>
        <w:spacing w:before="161"/>
        <w:ind w:left="1031"/>
      </w:pPr>
      <w:r>
        <w:t>②查明并切断污染源；</w:t>
      </w:r>
    </w:p>
    <w:p>
      <w:pPr>
        <w:pStyle w:val="6"/>
        <w:spacing w:before="158"/>
        <w:ind w:left="1031"/>
      </w:pPr>
      <w:r>
        <w:t>③查明地下水污染深度、范围和程度；</w:t>
      </w:r>
    </w:p>
    <w:p>
      <w:pPr>
        <w:pStyle w:val="6"/>
        <w:spacing w:before="160"/>
        <w:ind w:left="1031"/>
      </w:pPr>
      <w:r>
        <w:t>④依据查明的地下水污染情况，合理布置浅井，并进行试抽水工作；</w:t>
      </w:r>
    </w:p>
    <w:p>
      <w:pPr>
        <w:pStyle w:val="6"/>
        <w:spacing w:before="159"/>
        <w:ind w:left="1031"/>
      </w:pPr>
      <w:r>
        <w:t>⑤依据抽水设计方案进行施工，抽出被污染的地下水体；</w:t>
      </w:r>
    </w:p>
    <w:p>
      <w:pPr>
        <w:pStyle w:val="6"/>
        <w:spacing w:before="160"/>
        <w:ind w:left="1031"/>
      </w:pPr>
      <w:r>
        <w:t>⑥将抽出的地下水进行集中收集处理，并送实验室进行化验分析；</w:t>
      </w:r>
    </w:p>
    <w:p>
      <w:pPr>
        <w:spacing w:after="0"/>
        <w:sectPr>
          <w:pgSz w:w="11910" w:h="16840"/>
          <w:pgMar w:top="1420" w:right="780" w:bottom="1180" w:left="1200" w:header="0" w:footer="997" w:gutter="0"/>
        </w:sectPr>
      </w:pPr>
    </w:p>
    <w:p>
      <w:pPr>
        <w:pStyle w:val="6"/>
        <w:spacing w:before="43" w:line="364" w:lineRule="auto"/>
        <w:ind w:left="551" w:right="969" w:firstLine="480"/>
      </w:pPr>
      <w:r>
        <w:t>⑦监测孔中的特征污染物浓度满足《地下水质量标准》相关级别标准后，逐步停止抽水，并进行土壤修复治理工作。</w:t>
      </w:r>
    </w:p>
    <w:p>
      <w:pPr>
        <w:pStyle w:val="6"/>
        <w:spacing w:line="306" w:lineRule="exact"/>
        <w:ind w:left="1031"/>
      </w:pPr>
      <w:r>
        <w:rPr>
          <w:rFonts w:ascii="Times New Roman" w:eastAsia="Times New Roman"/>
        </w:rPr>
        <w:t>3</w:t>
      </w:r>
      <w:r>
        <w:t>、应急保障</w:t>
      </w:r>
    </w:p>
    <w:p>
      <w:pPr>
        <w:pStyle w:val="6"/>
        <w:spacing w:before="160" w:line="362" w:lineRule="auto"/>
        <w:ind w:left="551" w:right="969" w:firstLine="480"/>
      </w:pPr>
      <w:r>
        <w:t>①人力资源保障：明确各类应急响应的人力资源，包括专业应急队伍、兼职应急队伍的组织与保障方案。</w:t>
      </w:r>
    </w:p>
    <w:p>
      <w:pPr>
        <w:pStyle w:val="6"/>
        <w:spacing w:before="5" w:line="362" w:lineRule="auto"/>
        <w:ind w:left="551" w:right="969" w:firstLine="480"/>
      </w:pPr>
      <w:r>
        <w:t>②财力保障：明确应急专项经费来源、使用范围、数量和监督管理措施，保障应急状态时应急经费的及时到位。</w:t>
      </w:r>
    </w:p>
    <w:p>
      <w:pPr>
        <w:pStyle w:val="6"/>
        <w:spacing w:before="5" w:line="364" w:lineRule="auto"/>
        <w:ind w:left="551" w:right="849" w:firstLine="480"/>
      </w:pPr>
      <w:r>
        <w:rPr>
          <w:spacing w:val="-11"/>
        </w:rPr>
        <w:t>③物资保障：明确应急救援需要使用的应急物资、应急监测仪器、防护器材、</w:t>
      </w:r>
      <w:r>
        <w:t>装备的类型、数量、性能、存放位置、管理责任人等内容。</w:t>
      </w:r>
    </w:p>
    <w:p>
      <w:pPr>
        <w:spacing w:after="0" w:line="364" w:lineRule="auto"/>
        <w:sectPr>
          <w:pgSz w:w="11910" w:h="16840"/>
          <w:pgMar w:top="1380" w:right="780" w:bottom="1180" w:left="1200" w:header="0" w:footer="997" w:gutter="0"/>
        </w:sectPr>
      </w:pPr>
    </w:p>
    <w:p>
      <w:pPr>
        <w:pStyle w:val="6"/>
        <w:rPr>
          <w:sz w:val="32"/>
        </w:rPr>
      </w:pPr>
    </w:p>
    <w:p>
      <w:pPr>
        <w:pStyle w:val="6"/>
        <w:spacing w:before="3"/>
        <w:rPr>
          <w:sz w:val="26"/>
        </w:rPr>
      </w:pPr>
    </w:p>
    <w:p>
      <w:pPr>
        <w:pStyle w:val="3"/>
        <w:numPr>
          <w:ilvl w:val="1"/>
          <w:numId w:val="61"/>
        </w:numPr>
        <w:tabs>
          <w:tab w:val="left" w:pos="668"/>
        </w:tabs>
        <w:spacing w:before="1" w:after="0" w:line="240" w:lineRule="auto"/>
        <w:ind w:left="667" w:right="0" w:hanging="453"/>
        <w:jc w:val="left"/>
        <w:rPr>
          <w:rFonts w:ascii="Times New Roman" w:eastAsia="Times New Roman"/>
        </w:rPr>
      </w:pPr>
      <w:bookmarkStart w:id="397" w:name="_bookmark36"/>
      <w:bookmarkEnd w:id="397"/>
      <w:bookmarkStart w:id="398" w:name="_bookmark36"/>
      <w:bookmarkEnd w:id="398"/>
      <w:bookmarkStart w:id="399" w:name="7.1评价等级"/>
      <w:bookmarkEnd w:id="399"/>
      <w:r>
        <w:t>评价等级</w:t>
      </w:r>
    </w:p>
    <w:p>
      <w:pPr>
        <w:pStyle w:val="2"/>
        <w:numPr>
          <w:ilvl w:val="0"/>
          <w:numId w:val="62"/>
        </w:numPr>
        <w:tabs>
          <w:tab w:val="left" w:pos="487"/>
        </w:tabs>
        <w:spacing w:before="46" w:after="0" w:line="240" w:lineRule="auto"/>
        <w:ind w:left="487" w:right="0" w:hanging="272"/>
        <w:jc w:val="left"/>
      </w:pPr>
      <w:bookmarkStart w:id="400" w:name="7.地表水环境影响分析"/>
      <w:bookmarkEnd w:id="400"/>
      <w:bookmarkStart w:id="401" w:name="_bookmark37"/>
      <w:bookmarkEnd w:id="401"/>
      <w:bookmarkStart w:id="402" w:name="_bookmark37"/>
      <w:bookmarkEnd w:id="402"/>
      <w:r>
        <w:rPr>
          <w:spacing w:val="2"/>
          <w:w w:val="99"/>
        </w:rPr>
        <w:br w:type="column"/>
      </w:r>
      <w:r>
        <w:t>地表水环境影响分析</w:t>
      </w:r>
    </w:p>
    <w:p>
      <w:pPr>
        <w:spacing w:after="0" w:line="240" w:lineRule="auto"/>
        <w:jc w:val="left"/>
        <w:sectPr>
          <w:footerReference r:id="rId22" w:type="default"/>
          <w:pgSz w:w="11910" w:h="16840"/>
          <w:pgMar w:top="1540" w:right="780" w:bottom="1240" w:left="1200" w:header="0" w:footer="1058" w:gutter="0"/>
          <w:pgNumType w:start="125"/>
          <w:cols w:equalWidth="0" w:num="2">
            <w:col w:w="1910" w:space="896"/>
            <w:col w:w="7124"/>
          </w:cols>
        </w:sectPr>
      </w:pPr>
    </w:p>
    <w:p>
      <w:pPr>
        <w:pStyle w:val="6"/>
        <w:spacing w:before="7"/>
        <w:rPr>
          <w:b/>
          <w:sz w:val="9"/>
        </w:rPr>
      </w:pPr>
    </w:p>
    <w:p>
      <w:pPr>
        <w:pStyle w:val="6"/>
        <w:spacing w:before="74" w:line="364" w:lineRule="auto"/>
        <w:ind w:left="215" w:right="577" w:firstLine="480"/>
        <w:jc w:val="both"/>
      </w:pPr>
      <w:r>
        <w:rPr>
          <w:spacing w:val="-5"/>
        </w:rPr>
        <w:t>根据《环境影响评价技术导则 地表水环境》</w:t>
      </w:r>
      <w:r>
        <w:t>（</w:t>
      </w:r>
      <w:r>
        <w:rPr>
          <w:rFonts w:ascii="Times New Roman" w:eastAsia="Times New Roman"/>
        </w:rPr>
        <w:t>HJ2.3-2018</w:t>
      </w:r>
      <w:r>
        <w:t>）</w:t>
      </w:r>
      <w:r>
        <w:rPr>
          <w:spacing w:val="-4"/>
        </w:rPr>
        <w:t>的规定，建设项目地表</w:t>
      </w:r>
      <w:r>
        <w:rPr>
          <w:spacing w:val="-1"/>
        </w:rPr>
        <w:t>水环境影响评价等级按照影响类型、排放方式、排放量或影响情况、受纳水体环境质量</w:t>
      </w:r>
      <w:r>
        <w:t>现状、水环境保护目标综合确定。</w:t>
      </w:r>
    </w:p>
    <w:p>
      <w:pPr>
        <w:pStyle w:val="6"/>
        <w:spacing w:line="364" w:lineRule="auto"/>
        <w:ind w:left="215" w:right="457" w:firstLine="480"/>
      </w:pPr>
      <w:r>
        <w:rPr>
          <w:spacing w:val="-7"/>
        </w:rPr>
        <w:t xml:space="preserve">本项目生活污水为 </w:t>
      </w:r>
      <w:r>
        <w:rPr>
          <w:rFonts w:ascii="Times New Roman" w:eastAsia="Times New Roman"/>
          <w:spacing w:val="-4"/>
        </w:rPr>
        <w:t>108.65m</w:t>
      </w:r>
      <w:r>
        <w:rPr>
          <w:rFonts w:ascii="Times New Roman" w:eastAsia="Times New Roman"/>
          <w:spacing w:val="-4"/>
          <w:position w:val="8"/>
          <w:sz w:val="15"/>
        </w:rPr>
        <w:t>3</w:t>
      </w:r>
      <w:r>
        <w:rPr>
          <w:rFonts w:ascii="Times New Roman" w:eastAsia="Times New Roman"/>
          <w:spacing w:val="-4"/>
        </w:rPr>
        <w:t>/d</w:t>
      </w:r>
      <w:r>
        <w:rPr>
          <w:spacing w:val="-8"/>
        </w:rPr>
        <w:t xml:space="preserve">，处理后的污、废水作为矿井工业场地绿化洒水用水； </w:t>
      </w:r>
      <w:r>
        <w:rPr>
          <w:spacing w:val="-5"/>
        </w:rPr>
        <w:t xml:space="preserve">本项目矿井正常涌水 </w:t>
      </w:r>
      <w:r>
        <w:rPr>
          <w:rFonts w:ascii="Times New Roman" w:eastAsia="Times New Roman"/>
        </w:rPr>
        <w:t>76m</w:t>
      </w:r>
      <w:r>
        <w:rPr>
          <w:rFonts w:ascii="Times New Roman" w:eastAsia="Times New Roman"/>
          <w:position w:val="8"/>
          <w:sz w:val="15"/>
        </w:rPr>
        <w:t>3</w:t>
      </w:r>
      <w:r>
        <w:rPr>
          <w:rFonts w:ascii="Times New Roman" w:eastAsia="Times New Roman"/>
        </w:rPr>
        <w:t>/h</w:t>
      </w:r>
      <w:r>
        <w:t>，进入矿井水处理站（缓冲调节池</w:t>
      </w:r>
      <w:r>
        <w:rPr>
          <w:rFonts w:ascii="Times New Roman" w:eastAsia="Times New Roman"/>
        </w:rPr>
        <w:t>-</w:t>
      </w:r>
      <w:r>
        <w:t>絮凝反应斜板沉淀池</w:t>
      </w:r>
      <w:r>
        <w:rPr>
          <w:rFonts w:ascii="Times New Roman" w:eastAsia="Times New Roman"/>
        </w:rPr>
        <w:t>-</w:t>
      </w:r>
      <w:r>
        <w:t>普通快滤池-消毒</w:t>
      </w:r>
      <w:r>
        <w:rPr>
          <w:spacing w:val="-22"/>
        </w:rPr>
        <w:t>）</w:t>
      </w:r>
      <w:r>
        <w:rPr>
          <w:spacing w:val="-8"/>
        </w:rPr>
        <w:t>处理，矿井水处理达标后部分用于井下、绿化、非生活饮用水、道路洒水及锅炉用水，剩余未利用部分外排扁石河。</w:t>
      </w:r>
    </w:p>
    <w:p>
      <w:pPr>
        <w:pStyle w:val="6"/>
        <w:ind w:left="696"/>
      </w:pPr>
      <w:r>
        <w:t>本项目地表水影响类型为水污染影响型，根据《环境影响评价技术导则 地表水环境》</w:t>
      </w:r>
    </w:p>
    <w:p>
      <w:pPr>
        <w:pStyle w:val="6"/>
        <w:spacing w:before="157"/>
        <w:ind w:left="215"/>
      </w:pPr>
      <w:r>
        <w:t>（</w:t>
      </w:r>
      <w:r>
        <w:rPr>
          <w:rFonts w:ascii="Times New Roman" w:eastAsia="Times New Roman"/>
        </w:rPr>
        <w:t>HJ2.3-2018</w:t>
      </w:r>
      <w:r>
        <w:t xml:space="preserve">）中 </w:t>
      </w:r>
      <w:r>
        <w:rPr>
          <w:rFonts w:ascii="Times New Roman" w:eastAsia="Times New Roman"/>
        </w:rPr>
        <w:t xml:space="preserve">5.5.2 </w:t>
      </w:r>
      <w:r>
        <w:t>判定地表水评价等级。</w:t>
      </w:r>
    </w:p>
    <w:p>
      <w:pPr>
        <w:pStyle w:val="6"/>
        <w:spacing w:before="2"/>
        <w:rPr>
          <w:sz w:val="21"/>
        </w:rPr>
      </w:pPr>
    </w:p>
    <w:p>
      <w:pPr>
        <w:pStyle w:val="5"/>
        <w:tabs>
          <w:tab w:val="left" w:pos="1118"/>
        </w:tabs>
        <w:spacing w:after="20"/>
        <w:ind w:left="74"/>
        <w:jc w:val="center"/>
      </w:pPr>
      <w:r>
        <w:t>表</w:t>
      </w:r>
      <w:r>
        <w:rPr>
          <w:spacing w:val="-62"/>
        </w:rPr>
        <w:t xml:space="preserve"> </w:t>
      </w:r>
      <w:r>
        <w:rPr>
          <w:rFonts w:ascii="Calibri" w:eastAsia="Calibri"/>
        </w:rPr>
        <w:t>7.1-1</w:t>
      </w:r>
      <w:r>
        <w:rPr>
          <w:rFonts w:ascii="Calibri" w:eastAsia="Calibri"/>
        </w:rPr>
        <w:tab/>
      </w:r>
      <w:r>
        <w:t>水污染影响型建设项目评价等级判定</w:t>
      </w: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07"/>
        <w:gridCol w:w="2173"/>
        <w:gridCol w:w="59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207" w:type="dxa"/>
            <w:vMerge w:val="restart"/>
          </w:tcPr>
          <w:p>
            <w:pPr>
              <w:pStyle w:val="14"/>
              <w:spacing w:before="139"/>
              <w:ind w:left="183"/>
              <w:jc w:val="left"/>
              <w:rPr>
                <w:sz w:val="21"/>
              </w:rPr>
            </w:pPr>
            <w:r>
              <w:rPr>
                <w:sz w:val="21"/>
              </w:rPr>
              <w:t>评价等级</w:t>
            </w:r>
          </w:p>
        </w:tc>
        <w:tc>
          <w:tcPr>
            <w:tcW w:w="8137" w:type="dxa"/>
            <w:gridSpan w:val="2"/>
          </w:tcPr>
          <w:p>
            <w:pPr>
              <w:pStyle w:val="14"/>
              <w:spacing w:line="252" w:lineRule="exact"/>
              <w:ind w:left="3625" w:right="3621"/>
              <w:rPr>
                <w:sz w:val="21"/>
              </w:rPr>
            </w:pPr>
            <w:r>
              <w:rPr>
                <w:sz w:val="21"/>
              </w:rPr>
              <w:t>判定依据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207" w:type="dxa"/>
            <w:vMerge w:val="continue"/>
            <w:tcBorders>
              <w:top w:val="nil"/>
            </w:tcBorders>
          </w:tcPr>
          <w:p>
            <w:pPr>
              <w:rPr>
                <w:sz w:val="2"/>
                <w:szCs w:val="2"/>
              </w:rPr>
            </w:pPr>
          </w:p>
        </w:tc>
        <w:tc>
          <w:tcPr>
            <w:tcW w:w="2173" w:type="dxa"/>
          </w:tcPr>
          <w:p>
            <w:pPr>
              <w:pStyle w:val="14"/>
              <w:spacing w:before="1" w:line="250" w:lineRule="exact"/>
              <w:ind w:left="641" w:right="634"/>
              <w:rPr>
                <w:sz w:val="21"/>
              </w:rPr>
            </w:pPr>
            <w:r>
              <w:rPr>
                <w:sz w:val="21"/>
              </w:rPr>
              <w:t>排放方式</w:t>
            </w:r>
          </w:p>
        </w:tc>
        <w:tc>
          <w:tcPr>
            <w:tcW w:w="5964" w:type="dxa"/>
          </w:tcPr>
          <w:p>
            <w:pPr>
              <w:pStyle w:val="14"/>
              <w:spacing w:before="1" w:line="250" w:lineRule="exact"/>
              <w:ind w:left="338" w:right="330"/>
              <w:rPr>
                <w:sz w:val="21"/>
              </w:rPr>
            </w:pPr>
            <w:r>
              <w:rPr>
                <w:sz w:val="21"/>
              </w:rPr>
              <w:t xml:space="preserve">废水排放量 </w:t>
            </w:r>
            <w:r>
              <w:rPr>
                <w:rFonts w:ascii="Times New Roman" w:eastAsia="Times New Roman"/>
                <w:i/>
                <w:sz w:val="21"/>
              </w:rPr>
              <w:t>Q</w:t>
            </w:r>
            <w:r>
              <w:rPr>
                <w:rFonts w:ascii="Times New Roman" w:eastAsia="Times New Roman"/>
                <w:sz w:val="21"/>
              </w:rPr>
              <w:t>/</w:t>
            </w:r>
            <w:r>
              <w:rPr>
                <w:sz w:val="21"/>
              </w:rPr>
              <w:t>（</w:t>
            </w:r>
            <w:r>
              <w:rPr>
                <w:rFonts w:ascii="Times New Roman" w:eastAsia="Times New Roman"/>
                <w:sz w:val="21"/>
              </w:rPr>
              <w:t>m</w:t>
            </w:r>
            <w:r>
              <w:rPr>
                <w:rFonts w:ascii="Times New Roman" w:eastAsia="Times New Roman"/>
                <w:position w:val="7"/>
                <w:sz w:val="13"/>
              </w:rPr>
              <w:t>3</w:t>
            </w:r>
            <w:r>
              <w:rPr>
                <w:rFonts w:ascii="Times New Roman" w:eastAsia="Times New Roman"/>
                <w:sz w:val="21"/>
              </w:rPr>
              <w:t>/d</w:t>
            </w:r>
            <w:r>
              <w:rPr>
                <w:sz w:val="21"/>
              </w:rPr>
              <w:t xml:space="preserve">）；水污染物当量数 </w:t>
            </w:r>
            <w:r>
              <w:rPr>
                <w:rFonts w:ascii="Times New Roman" w:eastAsia="Times New Roman"/>
                <w:i/>
                <w:sz w:val="21"/>
              </w:rPr>
              <w:t>W</w:t>
            </w:r>
            <w:r>
              <w:rPr>
                <w:rFonts w:ascii="Times New Roman" w:eastAsia="Times New Roman"/>
                <w:sz w:val="21"/>
              </w:rPr>
              <w:t>/</w:t>
            </w:r>
            <w:r>
              <w:rPr>
                <w:sz w:val="21"/>
              </w:rPr>
              <w:t>（无量纲）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207" w:type="dxa"/>
          </w:tcPr>
          <w:p>
            <w:pPr>
              <w:pStyle w:val="14"/>
              <w:spacing w:line="253" w:lineRule="exact"/>
              <w:ind w:left="240" w:right="235"/>
              <w:rPr>
                <w:sz w:val="21"/>
              </w:rPr>
            </w:pPr>
            <w:r>
              <w:rPr>
                <w:sz w:val="21"/>
              </w:rPr>
              <w:t>一级</w:t>
            </w:r>
          </w:p>
        </w:tc>
        <w:tc>
          <w:tcPr>
            <w:tcW w:w="2173" w:type="dxa"/>
          </w:tcPr>
          <w:p>
            <w:pPr>
              <w:pStyle w:val="14"/>
              <w:spacing w:line="253" w:lineRule="exact"/>
              <w:ind w:left="641" w:right="634"/>
              <w:rPr>
                <w:sz w:val="21"/>
              </w:rPr>
            </w:pPr>
            <w:r>
              <w:rPr>
                <w:sz w:val="21"/>
              </w:rPr>
              <w:t>直接排放</w:t>
            </w:r>
          </w:p>
        </w:tc>
        <w:tc>
          <w:tcPr>
            <w:tcW w:w="5964" w:type="dxa"/>
          </w:tcPr>
          <w:p>
            <w:pPr>
              <w:pStyle w:val="14"/>
              <w:spacing w:line="253" w:lineRule="exact"/>
              <w:ind w:left="338" w:right="324"/>
              <w:rPr>
                <w:rFonts w:ascii="Times New Roman" w:hAnsi="Times New Roman" w:eastAsia="Times New Roman"/>
                <w:sz w:val="21"/>
              </w:rPr>
            </w:pPr>
            <w:r>
              <w:rPr>
                <w:rFonts w:ascii="Times New Roman" w:hAnsi="Times New Roman" w:eastAsia="Times New Roman"/>
                <w:i/>
                <w:sz w:val="21"/>
              </w:rPr>
              <w:t>Q</w:t>
            </w:r>
            <w:r>
              <w:rPr>
                <w:rFonts w:ascii="Times New Roman" w:hAnsi="Times New Roman" w:eastAsia="Times New Roman"/>
                <w:sz w:val="21"/>
              </w:rPr>
              <w:t xml:space="preserve">≥20000 </w:t>
            </w:r>
            <w:r>
              <w:rPr>
                <w:sz w:val="21"/>
              </w:rPr>
              <w:t xml:space="preserve">或 </w:t>
            </w:r>
            <w:r>
              <w:rPr>
                <w:rFonts w:ascii="Times New Roman" w:hAnsi="Times New Roman" w:eastAsia="Times New Roman"/>
                <w:i/>
                <w:sz w:val="21"/>
              </w:rPr>
              <w:t>W</w:t>
            </w:r>
            <w:r>
              <w:rPr>
                <w:rFonts w:ascii="Times New Roman" w:hAnsi="Times New Roman" w:eastAsia="Times New Roman"/>
                <w:sz w:val="21"/>
              </w:rPr>
              <w:t>≥600000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207" w:type="dxa"/>
          </w:tcPr>
          <w:p>
            <w:pPr>
              <w:pStyle w:val="14"/>
              <w:spacing w:line="252" w:lineRule="exact"/>
              <w:ind w:left="242" w:right="235"/>
              <w:rPr>
                <w:b/>
                <w:sz w:val="21"/>
              </w:rPr>
            </w:pPr>
            <w:r>
              <w:rPr>
                <w:b/>
                <w:sz w:val="21"/>
              </w:rPr>
              <w:t>二级</w:t>
            </w:r>
          </w:p>
        </w:tc>
        <w:tc>
          <w:tcPr>
            <w:tcW w:w="2173" w:type="dxa"/>
          </w:tcPr>
          <w:p>
            <w:pPr>
              <w:pStyle w:val="14"/>
              <w:spacing w:line="251" w:lineRule="exact"/>
              <w:ind w:left="645" w:right="634"/>
              <w:rPr>
                <w:b/>
                <w:sz w:val="21"/>
              </w:rPr>
            </w:pPr>
            <w:r>
              <w:rPr>
                <w:b/>
                <w:sz w:val="21"/>
              </w:rPr>
              <w:t>直接排放</w:t>
            </w:r>
          </w:p>
        </w:tc>
        <w:tc>
          <w:tcPr>
            <w:tcW w:w="5964" w:type="dxa"/>
          </w:tcPr>
          <w:p>
            <w:pPr>
              <w:pStyle w:val="14"/>
              <w:spacing w:line="251" w:lineRule="exact"/>
              <w:ind w:left="338" w:right="328"/>
              <w:rPr>
                <w:b/>
                <w:sz w:val="21"/>
              </w:rPr>
            </w:pPr>
            <w:r>
              <w:rPr>
                <w:b/>
                <w:sz w:val="21"/>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207" w:type="dxa"/>
          </w:tcPr>
          <w:p>
            <w:pPr>
              <w:pStyle w:val="14"/>
              <w:spacing w:line="253" w:lineRule="exact"/>
              <w:ind w:left="244" w:right="235"/>
              <w:rPr>
                <w:rFonts w:ascii="Times New Roman" w:eastAsia="Times New Roman"/>
                <w:sz w:val="21"/>
              </w:rPr>
            </w:pPr>
            <w:r>
              <w:rPr>
                <w:sz w:val="21"/>
              </w:rPr>
              <w:t xml:space="preserve">三级 </w:t>
            </w:r>
            <w:r>
              <w:rPr>
                <w:rFonts w:ascii="Times New Roman" w:eastAsia="Times New Roman"/>
                <w:sz w:val="21"/>
              </w:rPr>
              <w:t>A</w:t>
            </w:r>
          </w:p>
        </w:tc>
        <w:tc>
          <w:tcPr>
            <w:tcW w:w="2173" w:type="dxa"/>
          </w:tcPr>
          <w:p>
            <w:pPr>
              <w:pStyle w:val="14"/>
              <w:spacing w:before="1" w:line="251" w:lineRule="exact"/>
              <w:ind w:left="641" w:right="634"/>
              <w:rPr>
                <w:sz w:val="21"/>
              </w:rPr>
            </w:pPr>
            <w:r>
              <w:rPr>
                <w:sz w:val="21"/>
              </w:rPr>
              <w:t>直接排放</w:t>
            </w:r>
          </w:p>
        </w:tc>
        <w:tc>
          <w:tcPr>
            <w:tcW w:w="5964" w:type="dxa"/>
          </w:tcPr>
          <w:p>
            <w:pPr>
              <w:pStyle w:val="14"/>
              <w:spacing w:before="1" w:line="251" w:lineRule="exact"/>
              <w:ind w:left="338" w:right="326"/>
              <w:rPr>
                <w:rFonts w:ascii="Times New Roman" w:eastAsia="Times New Roman"/>
                <w:sz w:val="21"/>
              </w:rPr>
            </w:pPr>
            <w:r>
              <w:rPr>
                <w:rFonts w:ascii="Times New Roman" w:eastAsia="Times New Roman"/>
                <w:i/>
                <w:sz w:val="21"/>
              </w:rPr>
              <w:t>Q</w:t>
            </w:r>
            <w:r>
              <w:rPr>
                <w:sz w:val="21"/>
              </w:rPr>
              <w:t>＜</w:t>
            </w:r>
            <w:r>
              <w:rPr>
                <w:rFonts w:ascii="Times New Roman" w:eastAsia="Times New Roman"/>
                <w:sz w:val="21"/>
              </w:rPr>
              <w:t xml:space="preserve">200 </w:t>
            </w:r>
            <w:r>
              <w:rPr>
                <w:sz w:val="21"/>
              </w:rPr>
              <w:t xml:space="preserve">且 </w:t>
            </w:r>
            <w:r>
              <w:rPr>
                <w:rFonts w:ascii="Times New Roman" w:eastAsia="Times New Roman"/>
                <w:i/>
                <w:sz w:val="21"/>
              </w:rPr>
              <w:t>W</w:t>
            </w:r>
            <w:r>
              <w:rPr>
                <w:sz w:val="21"/>
              </w:rPr>
              <w:t>＜</w:t>
            </w:r>
            <w:r>
              <w:rPr>
                <w:rFonts w:ascii="Times New Roman" w:eastAsia="Times New Roman"/>
                <w:sz w:val="21"/>
              </w:rPr>
              <w:t>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207" w:type="dxa"/>
          </w:tcPr>
          <w:p>
            <w:pPr>
              <w:pStyle w:val="14"/>
              <w:spacing w:line="252" w:lineRule="exact"/>
              <w:ind w:left="243" w:right="235"/>
              <w:rPr>
                <w:rFonts w:ascii="Times New Roman" w:eastAsia="Times New Roman"/>
                <w:sz w:val="21"/>
              </w:rPr>
            </w:pPr>
            <w:r>
              <w:rPr>
                <w:sz w:val="21"/>
              </w:rPr>
              <w:t xml:space="preserve">三级 </w:t>
            </w:r>
            <w:r>
              <w:rPr>
                <w:rFonts w:ascii="Times New Roman" w:eastAsia="Times New Roman"/>
                <w:sz w:val="21"/>
              </w:rPr>
              <w:t>B</w:t>
            </w:r>
          </w:p>
        </w:tc>
        <w:tc>
          <w:tcPr>
            <w:tcW w:w="2173" w:type="dxa"/>
          </w:tcPr>
          <w:p>
            <w:pPr>
              <w:pStyle w:val="14"/>
              <w:spacing w:line="252" w:lineRule="exact"/>
              <w:ind w:left="641" w:right="634"/>
              <w:rPr>
                <w:sz w:val="21"/>
              </w:rPr>
            </w:pPr>
            <w:r>
              <w:rPr>
                <w:sz w:val="21"/>
              </w:rPr>
              <w:t>间接排放</w:t>
            </w:r>
          </w:p>
        </w:tc>
        <w:tc>
          <w:tcPr>
            <w:tcW w:w="5964" w:type="dxa"/>
          </w:tcPr>
          <w:p>
            <w:pPr>
              <w:pStyle w:val="14"/>
              <w:spacing w:before="13" w:line="238" w:lineRule="exact"/>
              <w:ind w:left="6"/>
              <w:rPr>
                <w:rFonts w:ascii="Times New Roman" w:hAnsi="Times New Roman"/>
                <w:sz w:val="21"/>
              </w:rPr>
            </w:pPr>
            <w:r>
              <w:rPr>
                <w:rFonts w:ascii="Times New Roman" w:hAns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9344" w:type="dxa"/>
            <w:gridSpan w:val="3"/>
          </w:tcPr>
          <w:p>
            <w:pPr>
              <w:pStyle w:val="14"/>
              <w:spacing w:before="2" w:line="230" w:lineRule="atLeast"/>
              <w:ind w:left="106" w:right="6"/>
              <w:jc w:val="left"/>
              <w:rPr>
                <w:sz w:val="18"/>
              </w:rPr>
            </w:pPr>
            <w:r>
              <w:rPr>
                <w:spacing w:val="-24"/>
                <w:sz w:val="18"/>
              </w:rPr>
              <w:t xml:space="preserve">注 </w:t>
            </w:r>
            <w:r>
              <w:rPr>
                <w:rFonts w:ascii="Times New Roman" w:eastAsia="Times New Roman"/>
                <w:sz w:val="18"/>
              </w:rPr>
              <w:t>1</w:t>
            </w:r>
            <w:r>
              <w:rPr>
                <w:spacing w:val="-1"/>
                <w:sz w:val="18"/>
              </w:rPr>
              <w:t>：水污染物当量数等于该污染物的年排放量除以该污染物的污染当量值，计算污染物的污染物当量数，应区分第</w:t>
            </w:r>
            <w:r>
              <w:rPr>
                <w:spacing w:val="-10"/>
                <w:sz w:val="18"/>
              </w:rPr>
              <w:t xml:space="preserve">一类污染物和其他类水污染物，统计第一类污染物当量数总和，然后与其他类污染物按照污染物当量数从大到小排序， </w:t>
            </w:r>
            <w:r>
              <w:rPr>
                <w:sz w:val="18"/>
              </w:rPr>
              <w:t>取最大当量数作为建设项目评价等级确定的依据。</w:t>
            </w:r>
          </w:p>
        </w:tc>
      </w:tr>
    </w:tbl>
    <w:p>
      <w:pPr>
        <w:pStyle w:val="6"/>
        <w:spacing w:before="2"/>
        <w:ind w:left="696"/>
      </w:pPr>
      <w:r>
        <w:t xml:space="preserve">水污染物当量数计算结果见表 </w:t>
      </w:r>
      <w:r>
        <w:rPr>
          <w:rFonts w:ascii="Times New Roman" w:eastAsia="Times New Roman"/>
        </w:rPr>
        <w:t>7.1-2</w:t>
      </w:r>
      <w:r>
        <w:t>。</w:t>
      </w:r>
    </w:p>
    <w:p>
      <w:pPr>
        <w:pStyle w:val="6"/>
        <w:spacing w:before="2"/>
        <w:rPr>
          <w:sz w:val="21"/>
        </w:rPr>
      </w:pPr>
    </w:p>
    <w:p>
      <w:pPr>
        <w:pStyle w:val="5"/>
        <w:tabs>
          <w:tab w:val="left" w:pos="1109"/>
        </w:tabs>
        <w:spacing w:after="20"/>
        <w:ind w:left="67"/>
        <w:jc w:val="center"/>
      </w:pPr>
      <w:r>
        <w:t>表</w:t>
      </w:r>
      <w:r>
        <w:rPr>
          <w:spacing w:val="-62"/>
        </w:rPr>
        <w:t xml:space="preserve"> </w:t>
      </w:r>
      <w:r>
        <w:rPr>
          <w:rFonts w:ascii="Times New Roman" w:eastAsia="Times New Roman"/>
        </w:rPr>
        <w:t>7.1-2</w:t>
      </w:r>
      <w:r>
        <w:rPr>
          <w:rFonts w:ascii="Times New Roman" w:eastAsia="Times New Roman"/>
        </w:rPr>
        <w:tab/>
      </w:r>
      <w:r>
        <w:t>水污染物当量数计算结果</w:t>
      </w:r>
    </w:p>
    <w:tbl>
      <w:tblPr>
        <w:tblStyle w:val="10"/>
        <w:tblW w:w="0" w:type="auto"/>
        <w:tblInd w:w="1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14"/>
        <w:gridCol w:w="3109"/>
        <w:gridCol w:w="1864"/>
        <w:gridCol w:w="28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14" w:type="dxa"/>
          </w:tcPr>
          <w:p>
            <w:pPr>
              <w:pStyle w:val="14"/>
              <w:spacing w:line="252" w:lineRule="exact"/>
              <w:ind w:left="210" w:right="204"/>
              <w:rPr>
                <w:sz w:val="21"/>
              </w:rPr>
            </w:pPr>
            <w:r>
              <w:rPr>
                <w:sz w:val="21"/>
              </w:rPr>
              <w:t>污染物种类</w:t>
            </w:r>
          </w:p>
        </w:tc>
        <w:tc>
          <w:tcPr>
            <w:tcW w:w="3109" w:type="dxa"/>
          </w:tcPr>
          <w:p>
            <w:pPr>
              <w:pStyle w:val="14"/>
              <w:spacing w:line="252" w:lineRule="exact"/>
              <w:ind w:left="1031" w:right="1023"/>
              <w:rPr>
                <w:rFonts w:ascii="Times New Roman" w:eastAsia="Times New Roman"/>
                <w:sz w:val="21"/>
              </w:rPr>
            </w:pPr>
            <w:r>
              <w:rPr>
                <w:sz w:val="21"/>
              </w:rPr>
              <w:t xml:space="preserve">年排放量 </w:t>
            </w:r>
            <w:r>
              <w:rPr>
                <w:rFonts w:ascii="Times New Roman" w:eastAsia="Times New Roman"/>
                <w:sz w:val="21"/>
              </w:rPr>
              <w:t>t</w:t>
            </w:r>
          </w:p>
        </w:tc>
        <w:tc>
          <w:tcPr>
            <w:tcW w:w="1864" w:type="dxa"/>
          </w:tcPr>
          <w:p>
            <w:pPr>
              <w:pStyle w:val="14"/>
              <w:spacing w:line="252" w:lineRule="exact"/>
              <w:ind w:left="227" w:right="221"/>
              <w:rPr>
                <w:rFonts w:ascii="Times New Roman" w:eastAsia="Times New Roman"/>
                <w:sz w:val="21"/>
              </w:rPr>
            </w:pPr>
            <w:r>
              <w:rPr>
                <w:sz w:val="21"/>
              </w:rPr>
              <w:t xml:space="preserve">污染当量值 </w:t>
            </w:r>
            <w:r>
              <w:rPr>
                <w:rFonts w:ascii="Times New Roman" w:eastAsia="Times New Roman"/>
                <w:sz w:val="21"/>
              </w:rPr>
              <w:t>kg</w:t>
            </w:r>
          </w:p>
        </w:tc>
        <w:tc>
          <w:tcPr>
            <w:tcW w:w="2857" w:type="dxa"/>
          </w:tcPr>
          <w:p>
            <w:pPr>
              <w:pStyle w:val="14"/>
              <w:spacing w:line="252" w:lineRule="exact"/>
              <w:ind w:left="671" w:right="666"/>
              <w:rPr>
                <w:sz w:val="21"/>
              </w:rPr>
            </w:pPr>
            <w:r>
              <w:rPr>
                <w:sz w:val="21"/>
              </w:rPr>
              <w:t>水污染物当量数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1514" w:type="dxa"/>
          </w:tcPr>
          <w:p>
            <w:pPr>
              <w:pStyle w:val="14"/>
              <w:spacing w:line="221" w:lineRule="exact"/>
              <w:ind w:left="210" w:right="202"/>
              <w:rPr>
                <w:rFonts w:ascii="Times New Roman"/>
                <w:sz w:val="21"/>
              </w:rPr>
            </w:pPr>
            <w:r>
              <w:rPr>
                <w:rFonts w:ascii="Times New Roman"/>
                <w:sz w:val="21"/>
              </w:rPr>
              <w:t>COD</w:t>
            </w:r>
          </w:p>
        </w:tc>
        <w:tc>
          <w:tcPr>
            <w:tcW w:w="3109" w:type="dxa"/>
          </w:tcPr>
          <w:p>
            <w:pPr>
              <w:pStyle w:val="14"/>
              <w:spacing w:line="221" w:lineRule="exact"/>
              <w:ind w:left="1031" w:right="1022"/>
              <w:rPr>
                <w:rFonts w:ascii="Times New Roman"/>
                <w:sz w:val="21"/>
              </w:rPr>
            </w:pPr>
            <w:r>
              <w:rPr>
                <w:rFonts w:ascii="Times New Roman"/>
                <w:sz w:val="21"/>
              </w:rPr>
              <w:t>7.106</w:t>
            </w:r>
          </w:p>
        </w:tc>
        <w:tc>
          <w:tcPr>
            <w:tcW w:w="1864" w:type="dxa"/>
          </w:tcPr>
          <w:p>
            <w:pPr>
              <w:pStyle w:val="14"/>
              <w:spacing w:line="221" w:lineRule="exact"/>
              <w:ind w:left="6"/>
              <w:rPr>
                <w:rFonts w:ascii="Times New Roman"/>
                <w:sz w:val="21"/>
              </w:rPr>
            </w:pPr>
            <w:r>
              <w:rPr>
                <w:rFonts w:ascii="Times New Roman"/>
                <w:w w:val="99"/>
                <w:sz w:val="21"/>
              </w:rPr>
              <w:t>1</w:t>
            </w:r>
          </w:p>
        </w:tc>
        <w:tc>
          <w:tcPr>
            <w:tcW w:w="2857" w:type="dxa"/>
          </w:tcPr>
          <w:p>
            <w:pPr>
              <w:pStyle w:val="14"/>
              <w:spacing w:line="221" w:lineRule="exact"/>
              <w:ind w:left="671" w:right="663"/>
              <w:rPr>
                <w:rFonts w:ascii="Times New Roman"/>
                <w:sz w:val="21"/>
              </w:rPr>
            </w:pPr>
            <w:r>
              <w:rPr>
                <w:rFonts w:ascii="Times New Roman"/>
                <w:sz w:val="21"/>
              </w:rPr>
              <w:t>7106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514" w:type="dxa"/>
          </w:tcPr>
          <w:p>
            <w:pPr>
              <w:pStyle w:val="14"/>
              <w:spacing w:before="1" w:line="251" w:lineRule="exact"/>
              <w:ind w:left="210" w:right="202"/>
              <w:rPr>
                <w:sz w:val="21"/>
              </w:rPr>
            </w:pPr>
            <w:r>
              <w:rPr>
                <w:sz w:val="21"/>
              </w:rPr>
              <w:t>石油类</w:t>
            </w:r>
          </w:p>
        </w:tc>
        <w:tc>
          <w:tcPr>
            <w:tcW w:w="3109" w:type="dxa"/>
          </w:tcPr>
          <w:p>
            <w:pPr>
              <w:pStyle w:val="14"/>
              <w:spacing w:before="15" w:line="237" w:lineRule="exact"/>
              <w:ind w:left="1031" w:right="1022"/>
              <w:rPr>
                <w:rFonts w:ascii="Times New Roman"/>
                <w:sz w:val="21"/>
              </w:rPr>
            </w:pPr>
            <w:r>
              <w:rPr>
                <w:rFonts w:ascii="Times New Roman"/>
                <w:sz w:val="21"/>
              </w:rPr>
              <w:t>0.009</w:t>
            </w:r>
          </w:p>
        </w:tc>
        <w:tc>
          <w:tcPr>
            <w:tcW w:w="1864" w:type="dxa"/>
          </w:tcPr>
          <w:p>
            <w:pPr>
              <w:pStyle w:val="14"/>
              <w:spacing w:before="15" w:line="237" w:lineRule="exact"/>
              <w:ind w:left="227" w:right="216"/>
              <w:rPr>
                <w:rFonts w:ascii="Times New Roman"/>
                <w:sz w:val="21"/>
              </w:rPr>
            </w:pPr>
            <w:r>
              <w:rPr>
                <w:rFonts w:ascii="Times New Roman"/>
                <w:sz w:val="21"/>
              </w:rPr>
              <w:t>0.1</w:t>
            </w:r>
          </w:p>
        </w:tc>
        <w:tc>
          <w:tcPr>
            <w:tcW w:w="2857" w:type="dxa"/>
          </w:tcPr>
          <w:p>
            <w:pPr>
              <w:pStyle w:val="14"/>
              <w:spacing w:before="29" w:line="222" w:lineRule="exact"/>
              <w:ind w:left="671" w:right="663"/>
              <w:rPr>
                <w:rFonts w:ascii="Times New Roman"/>
                <w:sz w:val="21"/>
              </w:rPr>
            </w:pPr>
            <w:r>
              <w:rPr>
                <w:rFonts w:ascii="Times New Roman"/>
                <w:sz w:val="21"/>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1514" w:type="dxa"/>
          </w:tcPr>
          <w:p>
            <w:pPr>
              <w:pStyle w:val="14"/>
              <w:spacing w:line="222" w:lineRule="exact"/>
              <w:ind w:left="210" w:right="201"/>
              <w:rPr>
                <w:rFonts w:ascii="Times New Roman"/>
                <w:sz w:val="21"/>
              </w:rPr>
            </w:pPr>
            <w:r>
              <w:rPr>
                <w:rFonts w:ascii="Times New Roman"/>
                <w:sz w:val="21"/>
              </w:rPr>
              <w:t>SS</w:t>
            </w:r>
          </w:p>
        </w:tc>
        <w:tc>
          <w:tcPr>
            <w:tcW w:w="3109" w:type="dxa"/>
          </w:tcPr>
          <w:p>
            <w:pPr>
              <w:pStyle w:val="14"/>
              <w:spacing w:line="222" w:lineRule="exact"/>
              <w:ind w:left="1031" w:right="1022"/>
              <w:rPr>
                <w:rFonts w:ascii="Times New Roman"/>
                <w:sz w:val="21"/>
              </w:rPr>
            </w:pPr>
            <w:r>
              <w:rPr>
                <w:rFonts w:ascii="Times New Roman"/>
                <w:sz w:val="21"/>
              </w:rPr>
              <w:t>18.95</w:t>
            </w:r>
          </w:p>
        </w:tc>
        <w:tc>
          <w:tcPr>
            <w:tcW w:w="1864" w:type="dxa"/>
          </w:tcPr>
          <w:p>
            <w:pPr>
              <w:pStyle w:val="14"/>
              <w:spacing w:line="222" w:lineRule="exact"/>
              <w:ind w:left="6"/>
              <w:rPr>
                <w:rFonts w:ascii="Times New Roman"/>
                <w:sz w:val="21"/>
              </w:rPr>
            </w:pPr>
            <w:r>
              <w:rPr>
                <w:rFonts w:ascii="Times New Roman"/>
                <w:w w:val="99"/>
                <w:sz w:val="21"/>
              </w:rPr>
              <w:t>4</w:t>
            </w:r>
          </w:p>
        </w:tc>
        <w:tc>
          <w:tcPr>
            <w:tcW w:w="2857" w:type="dxa"/>
          </w:tcPr>
          <w:p>
            <w:pPr>
              <w:pStyle w:val="14"/>
              <w:spacing w:line="222" w:lineRule="exact"/>
              <w:ind w:left="671" w:right="663"/>
              <w:rPr>
                <w:rFonts w:ascii="Times New Roman"/>
                <w:sz w:val="21"/>
              </w:rPr>
            </w:pPr>
            <w:r>
              <w:rPr>
                <w:rFonts w:ascii="Times New Roman"/>
                <w:sz w:val="21"/>
              </w:rPr>
              <w:t>4738</w:t>
            </w:r>
          </w:p>
        </w:tc>
      </w:tr>
    </w:tbl>
    <w:p>
      <w:pPr>
        <w:pStyle w:val="6"/>
        <w:spacing w:before="3" w:line="362" w:lineRule="auto"/>
        <w:ind w:left="215" w:right="513" w:firstLine="480"/>
      </w:pPr>
      <w:r>
        <w:t xml:space="preserve">综上，本项目废水排放方式为直接排放，废水排放量 </w:t>
      </w:r>
      <w:r>
        <w:rPr>
          <w:rFonts w:ascii="Times New Roman" w:eastAsia="Times New Roman"/>
        </w:rPr>
        <w:t xml:space="preserve">Q </w:t>
      </w:r>
      <w:r>
        <w:t xml:space="preserve">为 </w:t>
      </w:r>
      <w:r>
        <w:rPr>
          <w:rFonts w:ascii="Times New Roman" w:eastAsia="Times New Roman"/>
        </w:rPr>
        <w:t>1435.68t/d</w:t>
      </w:r>
      <w:r>
        <w:t xml:space="preserve">，水污染物当量数 </w:t>
      </w:r>
      <w:r>
        <w:rPr>
          <w:rFonts w:ascii="Times New Roman" w:eastAsia="Times New Roman"/>
        </w:rPr>
        <w:t xml:space="preserve">W </w:t>
      </w:r>
      <w:r>
        <w:t xml:space="preserve">为 </w:t>
      </w:r>
      <w:r>
        <w:rPr>
          <w:rFonts w:ascii="Times New Roman" w:eastAsia="Times New Roman"/>
        </w:rPr>
        <w:t>7106</w:t>
      </w:r>
      <w:r>
        <w:t>，所以判定本项目地表水环境影响评价工作等级为二级。</w:t>
      </w:r>
    </w:p>
    <w:p>
      <w:pPr>
        <w:pStyle w:val="3"/>
        <w:numPr>
          <w:ilvl w:val="1"/>
          <w:numId w:val="61"/>
        </w:numPr>
        <w:tabs>
          <w:tab w:val="left" w:pos="668"/>
        </w:tabs>
        <w:spacing w:before="5" w:after="0" w:line="240" w:lineRule="auto"/>
        <w:ind w:left="667" w:right="0" w:hanging="453"/>
        <w:jc w:val="left"/>
        <w:rPr>
          <w:rFonts w:ascii="Times New Roman" w:eastAsia="Times New Roman"/>
        </w:rPr>
      </w:pPr>
      <w:bookmarkStart w:id="403" w:name="_bookmark38"/>
      <w:bookmarkEnd w:id="403"/>
      <w:bookmarkStart w:id="404" w:name="_bookmark38"/>
      <w:bookmarkEnd w:id="404"/>
      <w:bookmarkStart w:id="405" w:name="7.2地表水环境污染源现状调查"/>
      <w:bookmarkEnd w:id="405"/>
      <w:r>
        <w:t>地表水环境污染源现状调查</w:t>
      </w:r>
    </w:p>
    <w:p>
      <w:pPr>
        <w:pStyle w:val="4"/>
        <w:numPr>
          <w:ilvl w:val="2"/>
          <w:numId w:val="61"/>
        </w:numPr>
        <w:tabs>
          <w:tab w:val="left" w:pos="848"/>
        </w:tabs>
        <w:spacing w:before="200" w:after="0" w:line="240" w:lineRule="auto"/>
        <w:ind w:left="847" w:right="0" w:hanging="633"/>
        <w:jc w:val="left"/>
      </w:pPr>
      <w:bookmarkStart w:id="406" w:name="7.2.1评价区水环境概况"/>
      <w:bookmarkEnd w:id="406"/>
      <w:bookmarkStart w:id="407" w:name="7.2.1评价区水环境概况"/>
      <w:bookmarkEnd w:id="407"/>
      <w:r>
        <w:t>评价区水环境概况</w:t>
      </w:r>
    </w:p>
    <w:p>
      <w:pPr>
        <w:pStyle w:val="6"/>
        <w:spacing w:before="185" w:line="364" w:lineRule="auto"/>
        <w:ind w:left="215" w:right="457" w:firstLine="480"/>
      </w:pPr>
      <w:r>
        <w:rPr>
          <w:spacing w:val="-1"/>
        </w:rPr>
        <w:t>本项目纳污水体为扁石河。扁石河为七星河水系的分支，七星河水系分布在双鸭山</w:t>
      </w:r>
      <w:r>
        <w:rPr>
          <w:spacing w:val="-8"/>
        </w:rPr>
        <w:t>东部地区，七星河发源于完达山系北麓七星砬子，</w:t>
      </w:r>
      <w:r>
        <w:fldChar w:fldCharType="begin"/>
      </w:r>
      <w:r>
        <w:instrText xml:space="preserve"> HYPERLINK "https://baike.so.com/doc/6705081-6919058.html" \h </w:instrText>
      </w:r>
      <w:r>
        <w:fldChar w:fldCharType="separate"/>
      </w:r>
      <w:r>
        <w:t>从七星农场</w:t>
      </w:r>
      <w:r>
        <w:fldChar w:fldCharType="end"/>
      </w:r>
      <w:r>
        <w:rPr>
          <w:spacing w:val="-7"/>
        </w:rPr>
        <w:t>东部流向东北，经十二连、</w:t>
      </w:r>
      <w:r>
        <w:t>十一</w:t>
      </w:r>
      <w:r>
        <w:fldChar w:fldCharType="begin"/>
      </w:r>
      <w:r>
        <w:instrText xml:space="preserve"> HYPERLINK "https://baike.so.com/doc/4297302-4501007.html" \h </w:instrText>
      </w:r>
      <w:r>
        <w:fldChar w:fldCharType="separate"/>
      </w:r>
      <w:r>
        <w:t>连</w:t>
      </w:r>
      <w:r>
        <w:fldChar w:fldCharType="end"/>
      </w:r>
      <w:r>
        <w:rPr>
          <w:spacing w:val="-7"/>
        </w:rPr>
        <w:t>、九连、十三连出场区</w:t>
      </w:r>
      <w:r>
        <w:rPr>
          <w:rFonts w:ascii="Times New Roman" w:eastAsia="Times New Roman"/>
        </w:rPr>
        <w:t>(</w:t>
      </w:r>
      <w:r>
        <w:rPr>
          <w:spacing w:val="-2"/>
        </w:rPr>
        <w:t>连队称呼为国家农垦农场人们口头表述，因之前为军垦地</w:t>
      </w:r>
    </w:p>
    <w:p>
      <w:pPr>
        <w:spacing w:after="0" w:line="364" w:lineRule="auto"/>
        <w:sectPr>
          <w:type w:val="continuous"/>
          <w:pgSz w:w="11910" w:h="16840"/>
          <w:pgMar w:top="1580" w:right="780" w:bottom="280" w:left="1200" w:header="720" w:footer="720" w:gutter="0"/>
        </w:sectPr>
      </w:pPr>
    </w:p>
    <w:p>
      <w:pPr>
        <w:pStyle w:val="6"/>
        <w:spacing w:before="66" w:line="364" w:lineRule="auto"/>
        <w:ind w:left="215" w:right="457"/>
      </w:pPr>
      <w:r>
        <w:t>以及生产建设兵团师团连</w:t>
      </w:r>
      <w:r>
        <w:rPr>
          <w:rFonts w:ascii="Times New Roman" w:eastAsia="Times New Roman"/>
          <w:spacing w:val="-33"/>
        </w:rPr>
        <w:t>)</w:t>
      </w:r>
      <w:r>
        <w:rPr>
          <w:spacing w:val="-16"/>
        </w:rPr>
        <w:t xml:space="preserve">，在宝清县境内汇入挠力河，最终汇入乌苏里江。全长 </w:t>
      </w:r>
      <w:r>
        <w:rPr>
          <w:rFonts w:ascii="Times New Roman" w:eastAsia="Times New Roman"/>
          <w:spacing w:val="-3"/>
        </w:rPr>
        <w:t>241km</w:t>
      </w:r>
      <w:r>
        <w:rPr>
          <w:spacing w:val="-3"/>
        </w:rPr>
        <w:t xml:space="preserve">， </w:t>
      </w:r>
      <w:r>
        <w:rPr>
          <w:spacing w:val="-10"/>
        </w:rPr>
        <w:t xml:space="preserve">流域面积 </w:t>
      </w:r>
      <w:r>
        <w:rPr>
          <w:rFonts w:ascii="Times New Roman" w:eastAsia="Times New Roman"/>
        </w:rPr>
        <w:t>3940km</w:t>
      </w:r>
      <w:r>
        <w:rPr>
          <w:rFonts w:ascii="Times New Roman" w:eastAsia="Times New Roman"/>
          <w:position w:val="8"/>
          <w:sz w:val="15"/>
        </w:rPr>
        <w:t>2</w:t>
      </w:r>
      <w:r>
        <w:t>。由友谊县地区西南部流经八分场、六分场、五分场，在十分场注入</w:t>
      </w:r>
      <w:r>
        <w:rPr>
          <w:spacing w:val="-12"/>
        </w:rPr>
        <w:t xml:space="preserve">挠力河，区内流程 </w:t>
      </w:r>
      <w:r>
        <w:rPr>
          <w:rFonts w:ascii="Times New Roman" w:eastAsia="Times New Roman"/>
          <w:spacing w:val="-6"/>
        </w:rPr>
        <w:t>138.8km</w:t>
      </w:r>
      <w:r>
        <w:rPr>
          <w:spacing w:val="-10"/>
        </w:rPr>
        <w:t xml:space="preserve">，流域面积达 </w:t>
      </w:r>
      <w:r>
        <w:rPr>
          <w:rFonts w:ascii="Times New Roman" w:eastAsia="Times New Roman"/>
        </w:rPr>
        <w:t>1243km</w:t>
      </w:r>
      <w:r>
        <w:rPr>
          <w:rFonts w:ascii="Times New Roman" w:eastAsia="Times New Roman"/>
          <w:position w:val="8"/>
          <w:sz w:val="15"/>
        </w:rPr>
        <w:t>2</w:t>
      </w:r>
      <w:r>
        <w:rPr>
          <w:spacing w:val="-17"/>
        </w:rPr>
        <w:t xml:space="preserve">。最大流量 </w:t>
      </w:r>
      <w:r>
        <w:rPr>
          <w:rFonts w:ascii="Times New Roman" w:eastAsia="Times New Roman"/>
          <w:spacing w:val="-5"/>
        </w:rPr>
        <w:t>20.46m</w:t>
      </w:r>
      <w:r>
        <w:rPr>
          <w:rFonts w:ascii="Times New Roman" w:eastAsia="Times New Roman"/>
          <w:spacing w:val="-5"/>
          <w:position w:val="8"/>
          <w:sz w:val="15"/>
        </w:rPr>
        <w:t>3</w:t>
      </w:r>
      <w:r>
        <w:rPr>
          <w:rFonts w:ascii="Times New Roman" w:eastAsia="Times New Roman"/>
          <w:spacing w:val="-5"/>
        </w:rPr>
        <w:t>/s</w:t>
      </w:r>
      <w:r>
        <w:rPr>
          <w:spacing w:val="-13"/>
        </w:rPr>
        <w:t xml:space="preserve">，平均为 </w:t>
      </w:r>
      <w:r>
        <w:rPr>
          <w:rFonts w:ascii="Times New Roman" w:eastAsia="Times New Roman"/>
        </w:rPr>
        <w:t>4.0m</w:t>
      </w:r>
      <w:r>
        <w:rPr>
          <w:rFonts w:ascii="Times New Roman" w:eastAsia="Times New Roman"/>
          <w:position w:val="8"/>
          <w:sz w:val="15"/>
        </w:rPr>
        <w:t>3</w:t>
      </w:r>
      <w:r>
        <w:rPr>
          <w:rFonts w:ascii="Times New Roman" w:eastAsia="Times New Roman"/>
        </w:rPr>
        <w:t>/s</w:t>
      </w:r>
      <w:r>
        <w:t>。</w:t>
      </w:r>
    </w:p>
    <w:p>
      <w:pPr>
        <w:pStyle w:val="4"/>
        <w:numPr>
          <w:ilvl w:val="2"/>
          <w:numId w:val="61"/>
        </w:numPr>
        <w:tabs>
          <w:tab w:val="left" w:pos="848"/>
        </w:tabs>
        <w:spacing w:before="0" w:after="0" w:line="357" w:lineRule="exact"/>
        <w:ind w:left="847" w:right="0" w:hanging="633"/>
        <w:jc w:val="left"/>
      </w:pPr>
      <w:bookmarkStart w:id="408" w:name="7.2.2污染源现状调查"/>
      <w:bookmarkEnd w:id="408"/>
      <w:bookmarkStart w:id="409" w:name="7.2.2污染源现状调查"/>
      <w:bookmarkEnd w:id="409"/>
      <w:r>
        <w:t>污染源现状调查</w:t>
      </w:r>
    </w:p>
    <w:p>
      <w:pPr>
        <w:pStyle w:val="6"/>
        <w:spacing w:before="185"/>
        <w:ind w:left="696"/>
      </w:pPr>
      <w:r>
        <w:t>本评价区域内，无重大污染工业项目。评价区主要污染源为处理后的矿井涌水排放。</w:t>
      </w:r>
    </w:p>
    <w:p>
      <w:pPr>
        <w:pStyle w:val="3"/>
        <w:numPr>
          <w:ilvl w:val="1"/>
          <w:numId w:val="61"/>
        </w:numPr>
        <w:tabs>
          <w:tab w:val="left" w:pos="668"/>
        </w:tabs>
        <w:spacing w:before="161" w:after="0" w:line="240" w:lineRule="auto"/>
        <w:ind w:left="667" w:right="0" w:hanging="453"/>
        <w:jc w:val="left"/>
        <w:rPr>
          <w:rFonts w:ascii="Times New Roman" w:eastAsia="Times New Roman"/>
        </w:rPr>
      </w:pPr>
      <w:bookmarkStart w:id="410" w:name="_bookmark39"/>
      <w:bookmarkEnd w:id="410"/>
      <w:bookmarkStart w:id="411" w:name="7.3地表水环境质量现状监测与评价"/>
      <w:bookmarkEnd w:id="411"/>
      <w:bookmarkStart w:id="412" w:name="_bookmark39"/>
      <w:bookmarkEnd w:id="412"/>
      <w:r>
        <w:t>地表水环境质量现状监测与评价</w:t>
      </w:r>
    </w:p>
    <w:p>
      <w:pPr>
        <w:pStyle w:val="4"/>
        <w:numPr>
          <w:ilvl w:val="2"/>
          <w:numId w:val="61"/>
        </w:numPr>
        <w:tabs>
          <w:tab w:val="left" w:pos="917"/>
        </w:tabs>
        <w:spacing w:before="199" w:after="0" w:line="240" w:lineRule="auto"/>
        <w:ind w:left="916" w:right="0" w:hanging="702"/>
        <w:jc w:val="left"/>
      </w:pPr>
      <w:bookmarkStart w:id="413" w:name="7.3.1 现状监测"/>
      <w:bookmarkEnd w:id="413"/>
      <w:bookmarkStart w:id="414" w:name="7.3.1 现状监测"/>
      <w:bookmarkEnd w:id="414"/>
      <w:r>
        <w:t>现状监测</w:t>
      </w:r>
    </w:p>
    <w:p>
      <w:pPr>
        <w:pStyle w:val="5"/>
        <w:numPr>
          <w:ilvl w:val="3"/>
          <w:numId w:val="61"/>
        </w:numPr>
        <w:tabs>
          <w:tab w:val="left" w:pos="936"/>
        </w:tabs>
        <w:spacing w:before="186" w:after="0" w:line="240" w:lineRule="auto"/>
        <w:ind w:left="936" w:right="0" w:hanging="721"/>
        <w:jc w:val="left"/>
      </w:pPr>
      <w:bookmarkStart w:id="415" w:name="7.3.1.1监测范围"/>
      <w:bookmarkEnd w:id="415"/>
      <w:bookmarkStart w:id="416" w:name="7.3.1.1监测范围"/>
      <w:bookmarkEnd w:id="416"/>
      <w:r>
        <w:t>监测范围</w:t>
      </w:r>
    </w:p>
    <w:p>
      <w:pPr>
        <w:pStyle w:val="6"/>
        <w:spacing w:before="158" w:line="364" w:lineRule="auto"/>
        <w:ind w:left="215" w:right="580" w:firstLine="480"/>
        <w:jc w:val="both"/>
      </w:pPr>
      <w:r>
        <w:t xml:space="preserve">根据本项目的排污特点及纳污水体的环境质量现状，确定本次评价的监测范围为纳污水体扁石河汇入口上游 </w:t>
      </w:r>
      <w:r>
        <w:rPr>
          <w:rFonts w:ascii="Times New Roman" w:eastAsia="Times New Roman"/>
        </w:rPr>
        <w:t>500m</w:t>
      </w:r>
      <w:r>
        <w:t xml:space="preserve">，下游 </w:t>
      </w:r>
      <w:r>
        <w:rPr>
          <w:rFonts w:ascii="Times New Roman" w:eastAsia="Times New Roman"/>
        </w:rPr>
        <w:t>1000m</w:t>
      </w:r>
      <w:r>
        <w:t xml:space="preserve">，下游 </w:t>
      </w:r>
      <w:r>
        <w:rPr>
          <w:rFonts w:ascii="Times New Roman" w:eastAsia="Times New Roman"/>
        </w:rPr>
        <w:t>5000m</w:t>
      </w:r>
      <w:r>
        <w:t xml:space="preserve">，总控制长度约 </w:t>
      </w:r>
      <w:r>
        <w:rPr>
          <w:rFonts w:ascii="Times New Roman" w:eastAsia="Times New Roman"/>
        </w:rPr>
        <w:t>5500m</w:t>
      </w:r>
      <w:r>
        <w:t>。</w:t>
      </w:r>
    </w:p>
    <w:p>
      <w:pPr>
        <w:pStyle w:val="5"/>
        <w:numPr>
          <w:ilvl w:val="3"/>
          <w:numId w:val="61"/>
        </w:numPr>
        <w:tabs>
          <w:tab w:val="left" w:pos="936"/>
        </w:tabs>
        <w:spacing w:before="1" w:after="0" w:line="240" w:lineRule="auto"/>
        <w:ind w:left="936" w:right="0" w:hanging="721"/>
        <w:jc w:val="both"/>
      </w:pPr>
      <w:bookmarkStart w:id="417" w:name="7.3.1.2监测项目及分析方法"/>
      <w:bookmarkEnd w:id="417"/>
      <w:bookmarkStart w:id="418" w:name="7.3.1.2监测项目及分析方法"/>
      <w:bookmarkEnd w:id="418"/>
      <w:r>
        <w:t>监测项目及分析方法</w:t>
      </w:r>
    </w:p>
    <w:p>
      <w:pPr>
        <w:pStyle w:val="6"/>
        <w:spacing w:before="158" w:line="362" w:lineRule="auto"/>
        <w:ind w:left="215" w:right="453" w:firstLine="480"/>
        <w:jc w:val="both"/>
      </w:pPr>
      <w:r>
        <w:rPr>
          <w:spacing w:val="-4"/>
        </w:rPr>
        <w:t>根据扁石河水质污染现状及本项目投产后的排水特点，选择如下监测项目：</w:t>
      </w:r>
      <w:r>
        <w:rPr>
          <w:rFonts w:ascii="Times New Roman" w:eastAsia="Times New Roman"/>
          <w:spacing w:val="-22"/>
        </w:rPr>
        <w:t>pH</w:t>
      </w:r>
      <w:r>
        <w:rPr>
          <w:spacing w:val="-63"/>
        </w:rPr>
        <w:t>、</w:t>
      </w:r>
      <w:r>
        <w:rPr>
          <w:rFonts w:ascii="Times New Roman" w:eastAsia="Times New Roman"/>
        </w:rPr>
        <w:t>SS</w:t>
      </w:r>
      <w:r>
        <w:t>、</w:t>
      </w:r>
      <w:r>
        <w:rPr>
          <w:rFonts w:ascii="Times New Roman" w:eastAsia="Times New Roman"/>
        </w:rPr>
        <w:t>COD</w:t>
      </w:r>
      <w:r>
        <w:rPr>
          <w:spacing w:val="-14"/>
        </w:rPr>
        <w:t>、石油类、总铁、总锰、总汞、总镉、总铬、六价铬、总铅、总砷、总锌、氟化物、</w:t>
      </w:r>
      <w:r>
        <w:rPr>
          <w:spacing w:val="-11"/>
          <w:position w:val="2"/>
        </w:rPr>
        <w:t>溶解氧、</w:t>
      </w:r>
      <w:r>
        <w:rPr>
          <w:rFonts w:ascii="Times New Roman" w:eastAsia="Times New Roman"/>
          <w:position w:val="2"/>
        </w:rPr>
        <w:t>BOD</w:t>
      </w:r>
      <w:r>
        <w:rPr>
          <w:rFonts w:ascii="Times New Roman" w:eastAsia="Times New Roman"/>
          <w:position w:val="2"/>
          <w:vertAlign w:val="subscript"/>
        </w:rPr>
        <w:t>5</w:t>
      </w:r>
      <w:r>
        <w:rPr>
          <w:spacing w:val="-19"/>
          <w:position w:val="2"/>
          <w:vertAlign w:val="baseline"/>
        </w:rPr>
        <w:t xml:space="preserve">、氨氮共计 </w:t>
      </w:r>
      <w:r>
        <w:rPr>
          <w:rFonts w:ascii="Times New Roman" w:eastAsia="Times New Roman"/>
          <w:position w:val="2"/>
          <w:vertAlign w:val="baseline"/>
        </w:rPr>
        <w:t xml:space="preserve">17 </w:t>
      </w:r>
      <w:r>
        <w:rPr>
          <w:spacing w:val="-15"/>
          <w:position w:val="2"/>
          <w:vertAlign w:val="baseline"/>
        </w:rPr>
        <w:t>项。分析方法按照《地表水环境质量标准》</w:t>
      </w:r>
      <w:r>
        <w:rPr>
          <w:position w:val="2"/>
          <w:vertAlign w:val="baseline"/>
        </w:rPr>
        <w:t>（</w:t>
      </w:r>
      <w:r>
        <w:rPr>
          <w:rFonts w:ascii="Times New Roman" w:eastAsia="Times New Roman"/>
          <w:position w:val="2"/>
          <w:vertAlign w:val="baseline"/>
        </w:rPr>
        <w:t>GB3838-2002</w:t>
      </w:r>
      <w:r>
        <w:rPr>
          <w:position w:val="2"/>
          <w:vertAlign w:val="baseline"/>
        </w:rPr>
        <w:t xml:space="preserve">） </w:t>
      </w:r>
      <w:r>
        <w:rPr>
          <w:spacing w:val="-5"/>
          <w:vertAlign w:val="baseline"/>
        </w:rPr>
        <w:t xml:space="preserve">中规定的方法进行，具体见表 </w:t>
      </w:r>
      <w:r>
        <w:rPr>
          <w:rFonts w:ascii="Times New Roman" w:eastAsia="Times New Roman"/>
          <w:vertAlign w:val="baseline"/>
        </w:rPr>
        <w:t>7.3-1</w:t>
      </w:r>
      <w:r>
        <w:rPr>
          <w:spacing w:val="-8"/>
          <w:vertAlign w:val="baseline"/>
        </w:rPr>
        <w:t xml:space="preserve">，监测结果见表 </w:t>
      </w:r>
      <w:r>
        <w:rPr>
          <w:rFonts w:ascii="Times New Roman" w:eastAsia="Times New Roman"/>
          <w:vertAlign w:val="baseline"/>
        </w:rPr>
        <w:t>7.3-2</w:t>
      </w:r>
      <w:r>
        <w:rPr>
          <w:vertAlign w:val="baseline"/>
        </w:rPr>
        <w:t>。</w:t>
      </w:r>
    </w:p>
    <w:p>
      <w:pPr>
        <w:pStyle w:val="5"/>
        <w:numPr>
          <w:ilvl w:val="3"/>
          <w:numId w:val="61"/>
        </w:numPr>
        <w:tabs>
          <w:tab w:val="left" w:pos="936"/>
        </w:tabs>
        <w:spacing w:before="5" w:after="0" w:line="240" w:lineRule="auto"/>
        <w:ind w:left="936" w:right="0" w:hanging="721"/>
        <w:jc w:val="left"/>
      </w:pPr>
      <w:bookmarkStart w:id="419" w:name="7.3.1.3监测结果及分析"/>
      <w:bookmarkEnd w:id="419"/>
      <w:bookmarkStart w:id="420" w:name="7.3.1.3监测结果及分析"/>
      <w:bookmarkEnd w:id="420"/>
      <w:r>
        <w:rPr>
          <w:w w:val="95"/>
        </w:rPr>
        <w:t>监测结果及分析</w:t>
      </w:r>
    </w:p>
    <w:p>
      <w:pPr>
        <w:pStyle w:val="6"/>
        <w:spacing w:before="161" w:line="362" w:lineRule="auto"/>
        <w:ind w:left="215" w:right="577" w:firstLine="480"/>
        <w:jc w:val="both"/>
      </w:pPr>
      <w:r>
        <w:rPr>
          <w:spacing w:val="-5"/>
        </w:rPr>
        <w:t xml:space="preserve">委托黑龙江康和检测有限公司于 </w:t>
      </w:r>
      <w:r>
        <w:rPr>
          <w:rFonts w:ascii="Times New Roman" w:eastAsia="Times New Roman"/>
        </w:rPr>
        <w:t>2020</w:t>
      </w:r>
      <w:r>
        <w:rPr>
          <w:rFonts w:ascii="Times New Roman" w:eastAsia="Times New Roman"/>
          <w:spacing w:val="-5"/>
        </w:rPr>
        <w:t xml:space="preserve"> </w:t>
      </w:r>
      <w:r>
        <w:rPr>
          <w:spacing w:val="-34"/>
        </w:rPr>
        <w:t xml:space="preserve">年 </w:t>
      </w:r>
      <w:r>
        <w:rPr>
          <w:rFonts w:ascii="Times New Roman" w:eastAsia="Times New Roman"/>
        </w:rPr>
        <w:t>05</w:t>
      </w:r>
      <w:r>
        <w:rPr>
          <w:rFonts w:ascii="Times New Roman" w:eastAsia="Times New Roman"/>
          <w:spacing w:val="-4"/>
        </w:rPr>
        <w:t xml:space="preserve"> </w:t>
      </w:r>
      <w:r>
        <w:rPr>
          <w:spacing w:val="-33"/>
        </w:rPr>
        <w:t xml:space="preserve">月 </w:t>
      </w:r>
      <w:r>
        <w:rPr>
          <w:rFonts w:ascii="Times New Roman" w:eastAsia="Times New Roman"/>
        </w:rPr>
        <w:t>22</w:t>
      </w:r>
      <w:r>
        <w:rPr>
          <w:rFonts w:ascii="Times New Roman" w:eastAsia="Times New Roman"/>
          <w:spacing w:val="-8"/>
        </w:rPr>
        <w:t xml:space="preserve"> </w:t>
      </w:r>
      <w:r>
        <w:t>日</w:t>
      </w:r>
      <w:r>
        <w:rPr>
          <w:rFonts w:ascii="Times New Roman" w:eastAsia="Times New Roman"/>
        </w:rPr>
        <w:t>~2020</w:t>
      </w:r>
      <w:r>
        <w:rPr>
          <w:rFonts w:ascii="Times New Roman" w:eastAsia="Times New Roman"/>
          <w:spacing w:val="-8"/>
        </w:rPr>
        <w:t xml:space="preserve"> </w:t>
      </w:r>
      <w:r>
        <w:rPr>
          <w:spacing w:val="-32"/>
        </w:rPr>
        <w:t xml:space="preserve">年 </w:t>
      </w:r>
      <w:r>
        <w:rPr>
          <w:rFonts w:ascii="Times New Roman" w:eastAsia="Times New Roman"/>
        </w:rPr>
        <w:t>05</w:t>
      </w:r>
      <w:r>
        <w:rPr>
          <w:rFonts w:ascii="Times New Roman" w:eastAsia="Times New Roman"/>
          <w:spacing w:val="-5"/>
        </w:rPr>
        <w:t xml:space="preserve"> </w:t>
      </w:r>
      <w:r>
        <w:rPr>
          <w:spacing w:val="-34"/>
        </w:rPr>
        <w:t xml:space="preserve">月 </w:t>
      </w:r>
      <w:r>
        <w:rPr>
          <w:rFonts w:ascii="Times New Roman" w:eastAsia="Times New Roman"/>
        </w:rPr>
        <w:t>24</w:t>
      </w:r>
      <w:r>
        <w:rPr>
          <w:rFonts w:ascii="Times New Roman" w:eastAsia="Times New Roman"/>
          <w:spacing w:val="-4"/>
        </w:rPr>
        <w:t xml:space="preserve"> </w:t>
      </w:r>
      <w:r>
        <w:rPr>
          <w:spacing w:val="-2"/>
        </w:rPr>
        <w:t>日对本项目纳</w:t>
      </w:r>
      <w:r>
        <w:t>污水体扁石河的水质进行监测。</w:t>
      </w:r>
    </w:p>
    <w:p>
      <w:pPr>
        <w:pStyle w:val="6"/>
        <w:spacing w:before="5"/>
        <w:ind w:left="696"/>
      </w:pPr>
      <w:r>
        <w:t xml:space="preserve">地表水现状监测项目及分析方法见表 </w:t>
      </w:r>
      <w:r>
        <w:rPr>
          <w:rFonts w:ascii="Times New Roman" w:eastAsia="Times New Roman"/>
        </w:rPr>
        <w:t>7.3-1</w:t>
      </w:r>
      <w:r>
        <w:t xml:space="preserve">，地表水监测结果见表 </w:t>
      </w:r>
      <w:r>
        <w:rPr>
          <w:rFonts w:ascii="Times New Roman" w:eastAsia="Times New Roman"/>
        </w:rPr>
        <w:t>7.3-2</w:t>
      </w:r>
      <w:r>
        <w:t>。</w:t>
      </w:r>
    </w:p>
    <w:p>
      <w:pPr>
        <w:pStyle w:val="5"/>
        <w:tabs>
          <w:tab w:val="left" w:pos="1166"/>
        </w:tabs>
        <w:spacing w:before="158" w:after="3"/>
        <w:ind w:left="127"/>
        <w:jc w:val="center"/>
      </w:pPr>
      <w:r>
        <w:t>表</w:t>
      </w:r>
      <w:r>
        <w:rPr>
          <w:spacing w:val="-62"/>
        </w:rPr>
        <w:t xml:space="preserve"> </w:t>
      </w:r>
      <w:r>
        <w:rPr>
          <w:rFonts w:ascii="Times New Roman" w:eastAsia="Times New Roman"/>
        </w:rPr>
        <w:t>7.3-1</w:t>
      </w:r>
      <w:r>
        <w:rPr>
          <w:rFonts w:ascii="Times New Roman" w:eastAsia="Times New Roman"/>
        </w:rPr>
        <w:tab/>
      </w:r>
      <w:r>
        <w:t>地表水监测项目及分析方法</w:t>
      </w: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25"/>
        <w:gridCol w:w="1950"/>
        <w:gridCol w:w="59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425" w:type="dxa"/>
          </w:tcPr>
          <w:p>
            <w:pPr>
              <w:pStyle w:val="14"/>
              <w:spacing w:before="137"/>
              <w:ind w:left="270" w:right="265"/>
              <w:rPr>
                <w:sz w:val="21"/>
              </w:rPr>
            </w:pPr>
            <w:r>
              <w:rPr>
                <w:sz w:val="21"/>
              </w:rPr>
              <w:t>监测项目</w:t>
            </w:r>
          </w:p>
        </w:tc>
        <w:tc>
          <w:tcPr>
            <w:tcW w:w="1950" w:type="dxa"/>
          </w:tcPr>
          <w:p>
            <w:pPr>
              <w:pStyle w:val="14"/>
              <w:spacing w:before="137"/>
              <w:ind w:left="638" w:right="631"/>
              <w:rPr>
                <w:sz w:val="21"/>
              </w:rPr>
            </w:pPr>
            <w:r>
              <w:rPr>
                <w:sz w:val="21"/>
              </w:rPr>
              <w:t>单位</w:t>
            </w:r>
          </w:p>
        </w:tc>
        <w:tc>
          <w:tcPr>
            <w:tcW w:w="5969" w:type="dxa"/>
          </w:tcPr>
          <w:p>
            <w:pPr>
              <w:pStyle w:val="14"/>
              <w:spacing w:before="137"/>
              <w:ind w:left="6"/>
              <w:rPr>
                <w:sz w:val="21"/>
              </w:rPr>
            </w:pPr>
            <w:r>
              <w:rPr>
                <w:sz w:val="21"/>
              </w:rPr>
              <w:t>分析方法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425" w:type="dxa"/>
          </w:tcPr>
          <w:p>
            <w:pPr>
              <w:pStyle w:val="14"/>
              <w:spacing w:before="16" w:line="237" w:lineRule="exact"/>
              <w:ind w:left="270" w:right="260"/>
              <w:rPr>
                <w:rFonts w:ascii="Times New Roman"/>
                <w:sz w:val="21"/>
              </w:rPr>
            </w:pPr>
            <w:r>
              <w:rPr>
                <w:rFonts w:ascii="Times New Roman"/>
                <w:sz w:val="21"/>
              </w:rPr>
              <w:t>pH</w:t>
            </w:r>
          </w:p>
        </w:tc>
        <w:tc>
          <w:tcPr>
            <w:tcW w:w="1950" w:type="dxa"/>
          </w:tcPr>
          <w:p>
            <w:pPr>
              <w:pStyle w:val="14"/>
              <w:spacing w:before="2" w:line="251" w:lineRule="exact"/>
              <w:ind w:left="638" w:right="631"/>
              <w:rPr>
                <w:sz w:val="21"/>
              </w:rPr>
            </w:pPr>
            <w:r>
              <w:rPr>
                <w:sz w:val="21"/>
              </w:rPr>
              <w:t>无量纲</w:t>
            </w:r>
          </w:p>
        </w:tc>
        <w:tc>
          <w:tcPr>
            <w:tcW w:w="5969" w:type="dxa"/>
          </w:tcPr>
          <w:p>
            <w:pPr>
              <w:pStyle w:val="14"/>
              <w:spacing w:before="2" w:line="251" w:lineRule="exact"/>
              <w:ind w:left="12"/>
              <w:rPr>
                <w:rFonts w:ascii="Times New Roman" w:eastAsia="Times New Roman"/>
                <w:sz w:val="21"/>
              </w:rPr>
            </w:pPr>
            <w:r>
              <w:rPr>
                <w:sz w:val="21"/>
              </w:rPr>
              <w:t xml:space="preserve">水质 </w:t>
            </w:r>
            <w:r>
              <w:rPr>
                <w:rFonts w:ascii="Times New Roman" w:eastAsia="Times New Roman"/>
                <w:sz w:val="21"/>
              </w:rPr>
              <w:t xml:space="preserve">pH </w:t>
            </w:r>
            <w:r>
              <w:rPr>
                <w:sz w:val="21"/>
              </w:rPr>
              <w:t xml:space="preserve">值的测定玻璃电极法 </w:t>
            </w:r>
            <w:r>
              <w:rPr>
                <w:rFonts w:ascii="Times New Roman" w:eastAsia="Times New Roman"/>
                <w:sz w:val="21"/>
              </w:rPr>
              <w:t>GB/T 6920-1986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425" w:type="dxa"/>
          </w:tcPr>
          <w:p>
            <w:pPr>
              <w:pStyle w:val="14"/>
              <w:spacing w:before="14" w:line="238" w:lineRule="exact"/>
              <w:ind w:left="270" w:right="261"/>
              <w:rPr>
                <w:rFonts w:ascii="Times New Roman"/>
                <w:sz w:val="21"/>
              </w:rPr>
            </w:pPr>
            <w:r>
              <w:rPr>
                <w:rFonts w:ascii="Times New Roman"/>
                <w:sz w:val="21"/>
              </w:rPr>
              <w:t>SS</w:t>
            </w:r>
          </w:p>
        </w:tc>
        <w:tc>
          <w:tcPr>
            <w:tcW w:w="1950" w:type="dxa"/>
          </w:tcPr>
          <w:p>
            <w:pPr>
              <w:pStyle w:val="14"/>
              <w:spacing w:before="14" w:line="238" w:lineRule="exact"/>
              <w:ind w:left="638" w:right="630"/>
              <w:rPr>
                <w:rFonts w:ascii="Times New Roman"/>
                <w:sz w:val="21"/>
              </w:rPr>
            </w:pPr>
            <w:r>
              <w:rPr>
                <w:rFonts w:ascii="Times New Roman"/>
                <w:sz w:val="21"/>
              </w:rPr>
              <w:t>mg/L</w:t>
            </w:r>
          </w:p>
        </w:tc>
        <w:tc>
          <w:tcPr>
            <w:tcW w:w="5969" w:type="dxa"/>
          </w:tcPr>
          <w:p>
            <w:pPr>
              <w:pStyle w:val="14"/>
              <w:spacing w:line="252" w:lineRule="exact"/>
              <w:ind w:left="1049"/>
              <w:jc w:val="left"/>
              <w:rPr>
                <w:rFonts w:ascii="Times New Roman" w:eastAsia="Times New Roman"/>
                <w:sz w:val="21"/>
              </w:rPr>
            </w:pPr>
            <w:r>
              <w:rPr>
                <w:sz w:val="21"/>
              </w:rPr>
              <w:t xml:space="preserve">水质 悬浮物的测定重量法 </w:t>
            </w:r>
            <w:r>
              <w:rPr>
                <w:rFonts w:ascii="Times New Roman" w:eastAsia="Times New Roman"/>
                <w:sz w:val="21"/>
              </w:rPr>
              <w:t>GB 11901-1989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425" w:type="dxa"/>
          </w:tcPr>
          <w:p>
            <w:pPr>
              <w:pStyle w:val="14"/>
              <w:spacing w:before="15" w:line="237" w:lineRule="exact"/>
              <w:ind w:left="270" w:right="263"/>
              <w:rPr>
                <w:rFonts w:ascii="Times New Roman"/>
                <w:sz w:val="21"/>
              </w:rPr>
            </w:pPr>
            <w:r>
              <w:rPr>
                <w:rFonts w:ascii="Times New Roman"/>
                <w:sz w:val="21"/>
              </w:rPr>
              <w:t>COD</w:t>
            </w:r>
          </w:p>
        </w:tc>
        <w:tc>
          <w:tcPr>
            <w:tcW w:w="1950" w:type="dxa"/>
          </w:tcPr>
          <w:p>
            <w:pPr>
              <w:pStyle w:val="14"/>
              <w:spacing w:before="15" w:line="237" w:lineRule="exact"/>
              <w:ind w:left="638" w:right="630"/>
              <w:rPr>
                <w:rFonts w:ascii="Times New Roman"/>
                <w:sz w:val="21"/>
              </w:rPr>
            </w:pPr>
            <w:r>
              <w:rPr>
                <w:rFonts w:ascii="Times New Roman"/>
                <w:sz w:val="21"/>
              </w:rPr>
              <w:t>mg/L</w:t>
            </w:r>
          </w:p>
        </w:tc>
        <w:tc>
          <w:tcPr>
            <w:tcW w:w="5969" w:type="dxa"/>
          </w:tcPr>
          <w:p>
            <w:pPr>
              <w:pStyle w:val="14"/>
              <w:spacing w:before="1" w:line="251" w:lineRule="exact"/>
              <w:ind w:left="9"/>
              <w:rPr>
                <w:rFonts w:ascii="Times New Roman" w:eastAsia="Times New Roman"/>
                <w:sz w:val="21"/>
              </w:rPr>
            </w:pPr>
            <w:r>
              <w:rPr>
                <w:sz w:val="21"/>
              </w:rPr>
              <w:t xml:space="preserve">水质 化学需氧量的测定重铬酸盐法 </w:t>
            </w:r>
            <w:r>
              <w:rPr>
                <w:rFonts w:ascii="Times New Roman" w:eastAsia="Times New Roman"/>
                <w:sz w:val="21"/>
              </w:rPr>
              <w:t>HJ 828-2017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425" w:type="dxa"/>
          </w:tcPr>
          <w:p>
            <w:pPr>
              <w:pStyle w:val="14"/>
              <w:spacing w:line="253" w:lineRule="exact"/>
              <w:ind w:left="270" w:right="262"/>
              <w:rPr>
                <w:sz w:val="21"/>
              </w:rPr>
            </w:pPr>
            <w:r>
              <w:rPr>
                <w:sz w:val="21"/>
              </w:rPr>
              <w:t>石油类</w:t>
            </w:r>
          </w:p>
        </w:tc>
        <w:tc>
          <w:tcPr>
            <w:tcW w:w="1950" w:type="dxa"/>
          </w:tcPr>
          <w:p>
            <w:pPr>
              <w:pStyle w:val="14"/>
              <w:spacing w:before="14" w:line="239" w:lineRule="exact"/>
              <w:ind w:left="638" w:right="630"/>
              <w:rPr>
                <w:rFonts w:ascii="Times New Roman"/>
                <w:sz w:val="21"/>
              </w:rPr>
            </w:pPr>
            <w:r>
              <w:rPr>
                <w:rFonts w:ascii="Times New Roman"/>
                <w:sz w:val="21"/>
              </w:rPr>
              <w:t>mg/L</w:t>
            </w:r>
          </w:p>
        </w:tc>
        <w:tc>
          <w:tcPr>
            <w:tcW w:w="5969" w:type="dxa"/>
          </w:tcPr>
          <w:p>
            <w:pPr>
              <w:pStyle w:val="14"/>
              <w:spacing w:line="253" w:lineRule="exact"/>
              <w:ind w:left="9"/>
              <w:rPr>
                <w:rFonts w:ascii="Times New Roman" w:eastAsia="Times New Roman"/>
                <w:sz w:val="21"/>
              </w:rPr>
            </w:pPr>
            <w:r>
              <w:rPr>
                <w:sz w:val="21"/>
              </w:rPr>
              <w:t xml:space="preserve">水质 石油类的测定紫外分光光度法 </w:t>
            </w:r>
            <w:r>
              <w:rPr>
                <w:rFonts w:ascii="Times New Roman" w:eastAsia="Times New Roman"/>
                <w:sz w:val="21"/>
              </w:rPr>
              <w:t>HJ 970-2018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425" w:type="dxa"/>
          </w:tcPr>
          <w:p>
            <w:pPr>
              <w:pStyle w:val="14"/>
              <w:spacing w:line="252" w:lineRule="exact"/>
              <w:ind w:left="270" w:right="262"/>
              <w:rPr>
                <w:sz w:val="21"/>
              </w:rPr>
            </w:pPr>
            <w:r>
              <w:rPr>
                <w:sz w:val="21"/>
              </w:rPr>
              <w:t>总铁</w:t>
            </w:r>
          </w:p>
        </w:tc>
        <w:tc>
          <w:tcPr>
            <w:tcW w:w="1950" w:type="dxa"/>
          </w:tcPr>
          <w:p>
            <w:pPr>
              <w:pStyle w:val="14"/>
              <w:spacing w:before="14" w:line="238" w:lineRule="exact"/>
              <w:ind w:left="638" w:right="630"/>
              <w:rPr>
                <w:rFonts w:ascii="Times New Roman"/>
                <w:sz w:val="21"/>
              </w:rPr>
            </w:pPr>
            <w:r>
              <w:rPr>
                <w:rFonts w:ascii="Times New Roman"/>
                <w:sz w:val="21"/>
              </w:rPr>
              <w:t>mg/L</w:t>
            </w:r>
          </w:p>
        </w:tc>
        <w:tc>
          <w:tcPr>
            <w:tcW w:w="5969" w:type="dxa"/>
          </w:tcPr>
          <w:p>
            <w:pPr>
              <w:pStyle w:val="14"/>
              <w:spacing w:line="252" w:lineRule="exact"/>
              <w:ind w:right="192"/>
              <w:jc w:val="right"/>
              <w:rPr>
                <w:rFonts w:ascii="Times New Roman" w:eastAsia="Times New Roman"/>
                <w:sz w:val="21"/>
              </w:rPr>
            </w:pPr>
            <w:r>
              <w:rPr>
                <w:sz w:val="21"/>
              </w:rPr>
              <w:t xml:space="preserve">水质 铁、锰的测定火焰原子吸收分光光度法 </w:t>
            </w:r>
            <w:r>
              <w:rPr>
                <w:rFonts w:ascii="Times New Roman" w:eastAsia="Times New Roman"/>
                <w:sz w:val="21"/>
              </w:rPr>
              <w:t>GB 11911-1989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425" w:type="dxa"/>
          </w:tcPr>
          <w:p>
            <w:pPr>
              <w:pStyle w:val="14"/>
              <w:spacing w:line="252" w:lineRule="exact"/>
              <w:ind w:left="270" w:right="262"/>
              <w:rPr>
                <w:sz w:val="21"/>
              </w:rPr>
            </w:pPr>
            <w:r>
              <w:rPr>
                <w:sz w:val="21"/>
              </w:rPr>
              <w:t>总锰</w:t>
            </w:r>
          </w:p>
        </w:tc>
        <w:tc>
          <w:tcPr>
            <w:tcW w:w="1950" w:type="dxa"/>
          </w:tcPr>
          <w:p>
            <w:pPr>
              <w:pStyle w:val="14"/>
              <w:spacing w:before="13" w:line="239" w:lineRule="exact"/>
              <w:ind w:left="638" w:right="630"/>
              <w:rPr>
                <w:rFonts w:ascii="Times New Roman"/>
                <w:sz w:val="21"/>
              </w:rPr>
            </w:pPr>
            <w:r>
              <w:rPr>
                <w:rFonts w:ascii="Times New Roman"/>
                <w:sz w:val="21"/>
              </w:rPr>
              <w:t>mg/L</w:t>
            </w:r>
          </w:p>
        </w:tc>
        <w:tc>
          <w:tcPr>
            <w:tcW w:w="5969" w:type="dxa"/>
          </w:tcPr>
          <w:p>
            <w:pPr>
              <w:pStyle w:val="14"/>
              <w:spacing w:line="252" w:lineRule="exact"/>
              <w:ind w:right="192"/>
              <w:jc w:val="right"/>
              <w:rPr>
                <w:rFonts w:ascii="Times New Roman" w:eastAsia="Times New Roman"/>
                <w:sz w:val="21"/>
              </w:rPr>
            </w:pPr>
            <w:r>
              <w:rPr>
                <w:sz w:val="21"/>
              </w:rPr>
              <w:t xml:space="preserve">水质 铁、锰的测定火焰原子吸收分光光度法 </w:t>
            </w:r>
            <w:r>
              <w:rPr>
                <w:rFonts w:ascii="Times New Roman" w:eastAsia="Times New Roman"/>
                <w:sz w:val="21"/>
              </w:rPr>
              <w:t>GB 11911-1989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425" w:type="dxa"/>
          </w:tcPr>
          <w:p>
            <w:pPr>
              <w:pStyle w:val="14"/>
              <w:spacing w:line="253" w:lineRule="exact"/>
              <w:ind w:left="270" w:right="262"/>
              <w:rPr>
                <w:sz w:val="21"/>
              </w:rPr>
            </w:pPr>
            <w:r>
              <w:rPr>
                <w:sz w:val="21"/>
              </w:rPr>
              <w:t>总汞</w:t>
            </w:r>
          </w:p>
        </w:tc>
        <w:tc>
          <w:tcPr>
            <w:tcW w:w="1950" w:type="dxa"/>
          </w:tcPr>
          <w:p>
            <w:pPr>
              <w:pStyle w:val="14"/>
              <w:spacing w:before="14" w:line="239" w:lineRule="exact"/>
              <w:ind w:left="638" w:right="630"/>
              <w:rPr>
                <w:rFonts w:ascii="Times New Roman"/>
                <w:sz w:val="21"/>
              </w:rPr>
            </w:pPr>
            <w:r>
              <w:rPr>
                <w:rFonts w:ascii="Times New Roman"/>
                <w:sz w:val="21"/>
              </w:rPr>
              <w:t>mg/L</w:t>
            </w:r>
          </w:p>
        </w:tc>
        <w:tc>
          <w:tcPr>
            <w:tcW w:w="5969" w:type="dxa"/>
          </w:tcPr>
          <w:p>
            <w:pPr>
              <w:pStyle w:val="14"/>
              <w:spacing w:line="253" w:lineRule="exact"/>
              <w:ind w:left="338"/>
              <w:jc w:val="left"/>
              <w:rPr>
                <w:rFonts w:ascii="Times New Roman" w:eastAsia="Times New Roman"/>
                <w:sz w:val="21"/>
              </w:rPr>
            </w:pPr>
            <w:r>
              <w:rPr>
                <w:sz w:val="21"/>
              </w:rPr>
              <w:t xml:space="preserve">水质 汞、砷、硒、铋和锑的测定原子荧光法 </w:t>
            </w:r>
            <w:r>
              <w:rPr>
                <w:rFonts w:ascii="Times New Roman" w:eastAsia="Times New Roman"/>
                <w:sz w:val="21"/>
              </w:rPr>
              <w:t>HJ 694-2014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1425" w:type="dxa"/>
          </w:tcPr>
          <w:p>
            <w:pPr>
              <w:pStyle w:val="14"/>
              <w:spacing w:before="134"/>
              <w:ind w:left="270" w:right="262"/>
              <w:rPr>
                <w:sz w:val="21"/>
              </w:rPr>
            </w:pPr>
            <w:r>
              <w:rPr>
                <w:sz w:val="21"/>
              </w:rPr>
              <w:t>总镉</w:t>
            </w:r>
          </w:p>
        </w:tc>
        <w:tc>
          <w:tcPr>
            <w:tcW w:w="1950" w:type="dxa"/>
          </w:tcPr>
          <w:p>
            <w:pPr>
              <w:pStyle w:val="14"/>
              <w:spacing w:before="151"/>
              <w:ind w:left="638" w:right="630"/>
              <w:rPr>
                <w:rFonts w:ascii="Times New Roman"/>
                <w:sz w:val="21"/>
              </w:rPr>
            </w:pPr>
            <w:r>
              <w:rPr>
                <w:rFonts w:ascii="Times New Roman"/>
                <w:sz w:val="21"/>
              </w:rPr>
              <w:t>mg/L</w:t>
            </w:r>
          </w:p>
        </w:tc>
        <w:tc>
          <w:tcPr>
            <w:tcW w:w="5969" w:type="dxa"/>
          </w:tcPr>
          <w:p>
            <w:pPr>
              <w:pStyle w:val="14"/>
              <w:ind w:left="10"/>
              <w:rPr>
                <w:rFonts w:ascii="Times New Roman" w:eastAsia="Times New Roman"/>
                <w:sz w:val="21"/>
              </w:rPr>
            </w:pPr>
            <w:r>
              <w:rPr>
                <w:sz w:val="21"/>
              </w:rPr>
              <w:t>镉石墨炉原子吸收法《水和废水监测分析方法》</w:t>
            </w:r>
            <w:r>
              <w:rPr>
                <w:rFonts w:ascii="Times New Roman" w:eastAsia="Times New Roman"/>
                <w:sz w:val="21"/>
              </w:rPr>
              <w:t>(</w:t>
            </w:r>
            <w:r>
              <w:rPr>
                <w:sz w:val="21"/>
              </w:rPr>
              <w:t>第四版增补版</w:t>
            </w:r>
            <w:r>
              <w:rPr>
                <w:rFonts w:ascii="Times New Roman" w:eastAsia="Times New Roman"/>
                <w:sz w:val="21"/>
              </w:rPr>
              <w:t>)</w:t>
            </w:r>
          </w:p>
          <w:p>
            <w:pPr>
              <w:pStyle w:val="14"/>
              <w:spacing w:before="2" w:line="252" w:lineRule="exact"/>
              <w:ind w:left="12"/>
              <w:rPr>
                <w:rFonts w:ascii="Times New Roman" w:eastAsia="Times New Roman"/>
                <w:sz w:val="21"/>
              </w:rPr>
            </w:pPr>
            <w:r>
              <w:rPr>
                <w:sz w:val="21"/>
              </w:rPr>
              <w:t>国家环境保护总局</w:t>
            </w:r>
            <w:r>
              <w:rPr>
                <w:rFonts w:ascii="Times New Roman" w:eastAsia="Times New Roman"/>
                <w:sz w:val="21"/>
              </w:rPr>
              <w:t xml:space="preserve">(2002 </w:t>
            </w:r>
            <w:r>
              <w:rPr>
                <w:sz w:val="21"/>
              </w:rPr>
              <w:t>年</w:t>
            </w:r>
            <w:r>
              <w:rPr>
                <w:rFonts w:ascii="Times New Roman" w:eastAsia="Times New Roman"/>
                <w:sz w:val="21"/>
              </w:rPr>
              <w:t>) P331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425" w:type="dxa"/>
          </w:tcPr>
          <w:p>
            <w:pPr>
              <w:pStyle w:val="14"/>
              <w:spacing w:before="1" w:line="252" w:lineRule="exact"/>
              <w:ind w:left="270" w:right="262"/>
              <w:rPr>
                <w:sz w:val="21"/>
              </w:rPr>
            </w:pPr>
            <w:r>
              <w:rPr>
                <w:sz w:val="21"/>
              </w:rPr>
              <w:t>总铬</w:t>
            </w:r>
          </w:p>
        </w:tc>
        <w:tc>
          <w:tcPr>
            <w:tcW w:w="1950" w:type="dxa"/>
          </w:tcPr>
          <w:p>
            <w:pPr>
              <w:pStyle w:val="14"/>
              <w:spacing w:before="14" w:line="238" w:lineRule="exact"/>
              <w:ind w:left="638" w:right="630"/>
              <w:rPr>
                <w:rFonts w:ascii="Times New Roman"/>
                <w:sz w:val="21"/>
              </w:rPr>
            </w:pPr>
            <w:r>
              <w:rPr>
                <w:rFonts w:ascii="Times New Roman"/>
                <w:sz w:val="21"/>
              </w:rPr>
              <w:t>mg/L</w:t>
            </w:r>
          </w:p>
        </w:tc>
        <w:tc>
          <w:tcPr>
            <w:tcW w:w="5969" w:type="dxa"/>
          </w:tcPr>
          <w:p>
            <w:pPr>
              <w:pStyle w:val="14"/>
              <w:spacing w:before="1" w:line="252" w:lineRule="exact"/>
              <w:ind w:left="550"/>
              <w:jc w:val="left"/>
              <w:rPr>
                <w:rFonts w:ascii="Times New Roman" w:eastAsia="Times New Roman"/>
                <w:sz w:val="21"/>
              </w:rPr>
            </w:pPr>
            <w:r>
              <w:fldChar w:fldCharType="begin"/>
            </w:r>
            <w:r>
              <w:instrText xml:space="preserve"> HYPERLINK "http://www.es.org.cn/siteadmin/File/StdView.php?bzlistID=1465" \h </w:instrText>
            </w:r>
            <w:r>
              <w:fldChar w:fldCharType="separate"/>
            </w:r>
            <w:r>
              <w:rPr>
                <w:sz w:val="21"/>
              </w:rPr>
              <w:t xml:space="preserve">水质 铬的测定火焰原子吸收分光光度法 </w:t>
            </w:r>
            <w:r>
              <w:rPr>
                <w:sz w:val="21"/>
              </w:rPr>
              <w:fldChar w:fldCharType="end"/>
            </w:r>
            <w:r>
              <w:rPr>
                <w:rFonts w:ascii="Times New Roman" w:eastAsia="Times New Roman"/>
                <w:sz w:val="21"/>
              </w:rPr>
              <w:t>HJ 757-2015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425" w:type="dxa"/>
          </w:tcPr>
          <w:p>
            <w:pPr>
              <w:pStyle w:val="14"/>
              <w:spacing w:before="1" w:line="251" w:lineRule="exact"/>
              <w:ind w:left="270" w:right="262"/>
              <w:rPr>
                <w:sz w:val="21"/>
              </w:rPr>
            </w:pPr>
            <w:r>
              <w:rPr>
                <w:sz w:val="21"/>
              </w:rPr>
              <w:t>六价铬</w:t>
            </w:r>
          </w:p>
        </w:tc>
        <w:tc>
          <w:tcPr>
            <w:tcW w:w="1950" w:type="dxa"/>
          </w:tcPr>
          <w:p>
            <w:pPr>
              <w:pStyle w:val="14"/>
              <w:spacing w:before="15" w:line="237" w:lineRule="exact"/>
              <w:ind w:left="638" w:right="630"/>
              <w:rPr>
                <w:rFonts w:ascii="Times New Roman"/>
                <w:sz w:val="21"/>
              </w:rPr>
            </w:pPr>
            <w:r>
              <w:rPr>
                <w:rFonts w:ascii="Times New Roman"/>
                <w:sz w:val="21"/>
              </w:rPr>
              <w:t>mg/L</w:t>
            </w:r>
          </w:p>
        </w:tc>
        <w:tc>
          <w:tcPr>
            <w:tcW w:w="5969" w:type="dxa"/>
          </w:tcPr>
          <w:p>
            <w:pPr>
              <w:pStyle w:val="14"/>
              <w:spacing w:before="1" w:line="251" w:lineRule="exact"/>
              <w:ind w:right="151"/>
              <w:jc w:val="right"/>
              <w:rPr>
                <w:rFonts w:ascii="Times New Roman" w:eastAsia="Times New Roman"/>
                <w:sz w:val="21"/>
              </w:rPr>
            </w:pPr>
            <w:r>
              <w:rPr>
                <w:sz w:val="21"/>
              </w:rPr>
              <w:t xml:space="preserve">水质 六价铬的测定二苯碳酰二肼分光光度法 </w:t>
            </w:r>
            <w:r>
              <w:rPr>
                <w:rFonts w:ascii="Times New Roman" w:eastAsia="Times New Roman"/>
                <w:sz w:val="21"/>
              </w:rPr>
              <w:t>GB/T 7467-1987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425" w:type="dxa"/>
          </w:tcPr>
          <w:p>
            <w:pPr>
              <w:pStyle w:val="14"/>
              <w:spacing w:before="2" w:line="248" w:lineRule="exact"/>
              <w:ind w:left="270" w:right="262"/>
              <w:rPr>
                <w:sz w:val="21"/>
              </w:rPr>
            </w:pPr>
            <w:r>
              <w:rPr>
                <w:sz w:val="21"/>
              </w:rPr>
              <w:t>总铅</w:t>
            </w:r>
          </w:p>
        </w:tc>
        <w:tc>
          <w:tcPr>
            <w:tcW w:w="1950" w:type="dxa"/>
          </w:tcPr>
          <w:p>
            <w:pPr>
              <w:pStyle w:val="14"/>
              <w:spacing w:before="16" w:line="234" w:lineRule="exact"/>
              <w:ind w:left="638" w:right="630"/>
              <w:rPr>
                <w:rFonts w:ascii="Times New Roman"/>
                <w:sz w:val="21"/>
              </w:rPr>
            </w:pPr>
            <w:r>
              <w:rPr>
                <w:rFonts w:ascii="Times New Roman"/>
                <w:sz w:val="21"/>
              </w:rPr>
              <w:t>mg/L</w:t>
            </w:r>
          </w:p>
        </w:tc>
        <w:tc>
          <w:tcPr>
            <w:tcW w:w="5969" w:type="dxa"/>
          </w:tcPr>
          <w:p>
            <w:pPr>
              <w:pStyle w:val="14"/>
              <w:spacing w:before="2" w:line="248" w:lineRule="exact"/>
              <w:ind w:right="94"/>
              <w:jc w:val="right"/>
              <w:rPr>
                <w:rFonts w:ascii="Times New Roman" w:eastAsia="Times New Roman"/>
                <w:sz w:val="21"/>
              </w:rPr>
            </w:pPr>
            <w:r>
              <w:rPr>
                <w:spacing w:val="-15"/>
                <w:sz w:val="21"/>
              </w:rPr>
              <w:t xml:space="preserve">水质铜、锌、铅、镉的测定原子吸收分光光度法 </w:t>
            </w:r>
            <w:r>
              <w:rPr>
                <w:rFonts w:ascii="Times New Roman" w:eastAsia="Times New Roman"/>
                <w:sz w:val="21"/>
              </w:rPr>
              <w:t>GB/T 7475-1987</w:t>
            </w:r>
          </w:p>
        </w:tc>
      </w:tr>
    </w:tbl>
    <w:p>
      <w:pPr>
        <w:spacing w:after="0" w:line="248" w:lineRule="exact"/>
        <w:jc w:val="right"/>
        <w:rPr>
          <w:rFonts w:ascii="Times New Roman" w:eastAsia="Times New Roman"/>
          <w:sz w:val="21"/>
        </w:rPr>
        <w:sectPr>
          <w:pgSz w:w="11910" w:h="16840"/>
          <w:pgMar w:top="1520" w:right="780" w:bottom="1320" w:left="1200" w:header="0" w:footer="1058" w:gutter="0"/>
        </w:sectPr>
      </w:pP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25"/>
        <w:gridCol w:w="1950"/>
        <w:gridCol w:w="59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425" w:type="dxa"/>
          </w:tcPr>
          <w:p>
            <w:pPr>
              <w:pStyle w:val="14"/>
              <w:spacing w:line="251" w:lineRule="exact"/>
              <w:ind w:left="270" w:right="262"/>
              <w:rPr>
                <w:sz w:val="21"/>
              </w:rPr>
            </w:pPr>
            <w:r>
              <w:rPr>
                <w:sz w:val="21"/>
              </w:rPr>
              <w:t>总砷</w:t>
            </w:r>
          </w:p>
        </w:tc>
        <w:tc>
          <w:tcPr>
            <w:tcW w:w="1950" w:type="dxa"/>
          </w:tcPr>
          <w:p>
            <w:pPr>
              <w:pStyle w:val="14"/>
              <w:spacing w:before="14" w:line="237" w:lineRule="exact"/>
              <w:ind w:left="638" w:right="630"/>
              <w:rPr>
                <w:rFonts w:ascii="Times New Roman"/>
                <w:sz w:val="21"/>
              </w:rPr>
            </w:pPr>
            <w:r>
              <w:rPr>
                <w:rFonts w:ascii="Times New Roman"/>
                <w:sz w:val="21"/>
              </w:rPr>
              <w:t>mg/L</w:t>
            </w:r>
          </w:p>
        </w:tc>
        <w:tc>
          <w:tcPr>
            <w:tcW w:w="5969" w:type="dxa"/>
          </w:tcPr>
          <w:p>
            <w:pPr>
              <w:pStyle w:val="14"/>
              <w:tabs>
                <w:tab w:val="left" w:pos="640"/>
              </w:tabs>
              <w:spacing w:line="251" w:lineRule="exact"/>
              <w:ind w:left="12"/>
              <w:rPr>
                <w:rFonts w:ascii="Times New Roman" w:eastAsia="Times New Roman"/>
                <w:sz w:val="21"/>
              </w:rPr>
            </w:pPr>
            <w:r>
              <w:rPr>
                <w:sz w:val="21"/>
              </w:rPr>
              <w:t>水质</w:t>
            </w:r>
            <w:r>
              <w:rPr>
                <w:sz w:val="21"/>
              </w:rPr>
              <w:tab/>
            </w:r>
            <w:r>
              <w:rPr>
                <w:sz w:val="21"/>
              </w:rPr>
              <w:t>汞、砷、硒、铋和锑的测定原子荧光法</w:t>
            </w:r>
            <w:r>
              <w:rPr>
                <w:spacing w:val="-3"/>
                <w:sz w:val="21"/>
              </w:rPr>
              <w:t xml:space="preserve"> </w:t>
            </w:r>
            <w:r>
              <w:rPr>
                <w:rFonts w:ascii="Times New Roman" w:eastAsia="Times New Roman"/>
                <w:sz w:val="21"/>
              </w:rPr>
              <w:t>HJ</w:t>
            </w:r>
            <w:r>
              <w:rPr>
                <w:rFonts w:ascii="Times New Roman" w:eastAsia="Times New Roman"/>
                <w:spacing w:val="-1"/>
                <w:sz w:val="21"/>
              </w:rPr>
              <w:t xml:space="preserve"> </w:t>
            </w:r>
            <w:r>
              <w:rPr>
                <w:rFonts w:ascii="Times New Roman" w:eastAsia="Times New Roman"/>
                <w:sz w:val="21"/>
              </w:rPr>
              <w:t>694-2014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425" w:type="dxa"/>
          </w:tcPr>
          <w:p>
            <w:pPr>
              <w:pStyle w:val="14"/>
              <w:spacing w:before="2" w:line="251" w:lineRule="exact"/>
              <w:ind w:left="270" w:right="262"/>
              <w:rPr>
                <w:sz w:val="21"/>
              </w:rPr>
            </w:pPr>
            <w:r>
              <w:rPr>
                <w:sz w:val="21"/>
              </w:rPr>
              <w:t>总锌</w:t>
            </w:r>
          </w:p>
        </w:tc>
        <w:tc>
          <w:tcPr>
            <w:tcW w:w="1950" w:type="dxa"/>
          </w:tcPr>
          <w:p>
            <w:pPr>
              <w:pStyle w:val="14"/>
              <w:spacing w:before="16" w:line="237" w:lineRule="exact"/>
              <w:ind w:left="638" w:right="630"/>
              <w:rPr>
                <w:rFonts w:ascii="Times New Roman"/>
                <w:sz w:val="21"/>
              </w:rPr>
            </w:pPr>
            <w:r>
              <w:rPr>
                <w:rFonts w:ascii="Times New Roman"/>
                <w:sz w:val="21"/>
              </w:rPr>
              <w:t>mg/L</w:t>
            </w:r>
          </w:p>
        </w:tc>
        <w:tc>
          <w:tcPr>
            <w:tcW w:w="5969" w:type="dxa"/>
          </w:tcPr>
          <w:p>
            <w:pPr>
              <w:pStyle w:val="14"/>
              <w:spacing w:before="2" w:line="251" w:lineRule="exact"/>
              <w:ind w:left="12"/>
              <w:rPr>
                <w:rFonts w:ascii="Times New Roman" w:eastAsia="Times New Roman"/>
                <w:sz w:val="21"/>
              </w:rPr>
            </w:pPr>
            <w:r>
              <w:rPr>
                <w:spacing w:val="-15"/>
                <w:sz w:val="21"/>
              </w:rPr>
              <w:t xml:space="preserve">水质铜、锌、铅、镉的测定原子吸收分光光度法 </w:t>
            </w:r>
            <w:r>
              <w:rPr>
                <w:rFonts w:ascii="Times New Roman" w:eastAsia="Times New Roman"/>
                <w:sz w:val="21"/>
              </w:rPr>
              <w:t>GB/T 7475-1987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425" w:type="dxa"/>
          </w:tcPr>
          <w:p>
            <w:pPr>
              <w:pStyle w:val="14"/>
              <w:spacing w:line="252" w:lineRule="exact"/>
              <w:ind w:left="270" w:right="262"/>
              <w:rPr>
                <w:sz w:val="21"/>
              </w:rPr>
            </w:pPr>
            <w:r>
              <w:rPr>
                <w:sz w:val="21"/>
              </w:rPr>
              <w:t>氟化物</w:t>
            </w:r>
          </w:p>
        </w:tc>
        <w:tc>
          <w:tcPr>
            <w:tcW w:w="1950" w:type="dxa"/>
          </w:tcPr>
          <w:p>
            <w:pPr>
              <w:pStyle w:val="14"/>
              <w:spacing w:before="13" w:line="238" w:lineRule="exact"/>
              <w:ind w:left="638" w:right="630"/>
              <w:rPr>
                <w:rFonts w:ascii="Times New Roman"/>
                <w:sz w:val="21"/>
              </w:rPr>
            </w:pPr>
            <w:r>
              <w:rPr>
                <w:rFonts w:ascii="Times New Roman"/>
                <w:sz w:val="21"/>
              </w:rPr>
              <w:t>mg/L</w:t>
            </w:r>
          </w:p>
        </w:tc>
        <w:tc>
          <w:tcPr>
            <w:tcW w:w="5969" w:type="dxa"/>
          </w:tcPr>
          <w:p>
            <w:pPr>
              <w:pStyle w:val="14"/>
              <w:spacing w:line="252" w:lineRule="exact"/>
              <w:ind w:left="9"/>
              <w:rPr>
                <w:rFonts w:ascii="Times New Roman" w:eastAsia="Times New Roman"/>
                <w:sz w:val="21"/>
              </w:rPr>
            </w:pPr>
            <w:r>
              <w:rPr>
                <w:sz w:val="21"/>
              </w:rPr>
              <w:t xml:space="preserve">水质氟化物的测定离子选择电极法 </w:t>
            </w:r>
            <w:r>
              <w:rPr>
                <w:rFonts w:ascii="Times New Roman" w:eastAsia="Times New Roman"/>
                <w:sz w:val="21"/>
              </w:rPr>
              <w:t>GB7484-1987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425" w:type="dxa"/>
          </w:tcPr>
          <w:p>
            <w:pPr>
              <w:pStyle w:val="14"/>
              <w:spacing w:before="1" w:line="251" w:lineRule="exact"/>
              <w:ind w:left="270" w:right="262"/>
              <w:rPr>
                <w:sz w:val="21"/>
              </w:rPr>
            </w:pPr>
            <w:r>
              <w:rPr>
                <w:sz w:val="21"/>
              </w:rPr>
              <w:t>溶解氧</w:t>
            </w:r>
          </w:p>
        </w:tc>
        <w:tc>
          <w:tcPr>
            <w:tcW w:w="1950" w:type="dxa"/>
          </w:tcPr>
          <w:p>
            <w:pPr>
              <w:pStyle w:val="14"/>
              <w:spacing w:before="15" w:line="237" w:lineRule="exact"/>
              <w:ind w:left="638" w:right="630"/>
              <w:rPr>
                <w:rFonts w:ascii="Times New Roman"/>
                <w:sz w:val="21"/>
              </w:rPr>
            </w:pPr>
            <w:r>
              <w:rPr>
                <w:rFonts w:ascii="Times New Roman"/>
                <w:sz w:val="21"/>
              </w:rPr>
              <w:t>mg/L</w:t>
            </w:r>
          </w:p>
        </w:tc>
        <w:tc>
          <w:tcPr>
            <w:tcW w:w="5969" w:type="dxa"/>
          </w:tcPr>
          <w:p>
            <w:pPr>
              <w:pStyle w:val="14"/>
              <w:spacing w:before="1" w:line="251" w:lineRule="exact"/>
              <w:ind w:left="12"/>
              <w:rPr>
                <w:rFonts w:ascii="Times New Roman" w:eastAsia="Times New Roman"/>
                <w:sz w:val="21"/>
              </w:rPr>
            </w:pPr>
            <w:r>
              <w:rPr>
                <w:sz w:val="21"/>
              </w:rPr>
              <w:t xml:space="preserve">水质溶解氧的测定电化学探头法 </w:t>
            </w:r>
            <w:r>
              <w:rPr>
                <w:rFonts w:ascii="Times New Roman" w:eastAsia="Times New Roman"/>
                <w:sz w:val="21"/>
              </w:rPr>
              <w:t>HJ 506-2009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1425" w:type="dxa"/>
          </w:tcPr>
          <w:p>
            <w:pPr>
              <w:pStyle w:val="14"/>
              <w:spacing w:before="133"/>
              <w:ind w:left="270" w:right="261"/>
              <w:rPr>
                <w:rFonts w:ascii="Times New Roman"/>
                <w:sz w:val="21"/>
              </w:rPr>
            </w:pPr>
            <w:r>
              <w:rPr>
                <w:rFonts w:ascii="Times New Roman"/>
                <w:position w:val="2"/>
                <w:sz w:val="21"/>
              </w:rPr>
              <w:t>BOD</w:t>
            </w:r>
            <w:r>
              <w:rPr>
                <w:rFonts w:ascii="Times New Roman"/>
                <w:position w:val="2"/>
                <w:sz w:val="21"/>
                <w:vertAlign w:val="subscript"/>
              </w:rPr>
              <w:t>5</w:t>
            </w:r>
          </w:p>
        </w:tc>
        <w:tc>
          <w:tcPr>
            <w:tcW w:w="1950" w:type="dxa"/>
          </w:tcPr>
          <w:p>
            <w:pPr>
              <w:pStyle w:val="14"/>
              <w:spacing w:before="136"/>
              <w:ind w:left="638" w:right="630"/>
              <w:rPr>
                <w:rFonts w:ascii="Times New Roman"/>
                <w:sz w:val="21"/>
              </w:rPr>
            </w:pPr>
            <w:r>
              <w:rPr>
                <w:rFonts w:ascii="Times New Roman"/>
                <w:sz w:val="21"/>
              </w:rPr>
              <w:t>mg/L</w:t>
            </w:r>
          </w:p>
        </w:tc>
        <w:tc>
          <w:tcPr>
            <w:tcW w:w="5969" w:type="dxa"/>
          </w:tcPr>
          <w:p>
            <w:pPr>
              <w:pStyle w:val="14"/>
              <w:spacing w:before="2"/>
              <w:ind w:left="8"/>
              <w:rPr>
                <w:sz w:val="21"/>
              </w:rPr>
            </w:pPr>
            <w:r>
              <w:rPr>
                <w:sz w:val="21"/>
              </w:rPr>
              <w:t>水质 五日生化需氧量</w:t>
            </w:r>
            <w:r>
              <w:rPr>
                <w:rFonts w:ascii="Times New Roman" w:eastAsia="Times New Roman"/>
                <w:sz w:val="21"/>
              </w:rPr>
              <w:t>(BOD5)</w:t>
            </w:r>
            <w:r>
              <w:rPr>
                <w:sz w:val="21"/>
              </w:rPr>
              <w:t>的测定 稀释与接种法</w:t>
            </w:r>
          </w:p>
          <w:p>
            <w:pPr>
              <w:pStyle w:val="14"/>
              <w:spacing w:before="2" w:line="221" w:lineRule="exact"/>
              <w:ind w:left="9"/>
              <w:rPr>
                <w:rFonts w:ascii="Times New Roman"/>
                <w:sz w:val="21"/>
              </w:rPr>
            </w:pPr>
            <w:r>
              <w:rPr>
                <w:rFonts w:ascii="Times New Roman"/>
                <w:sz w:val="21"/>
              </w:rPr>
              <w:t>HJ 505-2009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425" w:type="dxa"/>
          </w:tcPr>
          <w:p>
            <w:pPr>
              <w:pStyle w:val="14"/>
              <w:spacing w:before="1" w:line="252" w:lineRule="exact"/>
              <w:ind w:left="270" w:right="262"/>
              <w:rPr>
                <w:sz w:val="21"/>
              </w:rPr>
            </w:pPr>
            <w:r>
              <w:rPr>
                <w:sz w:val="21"/>
              </w:rPr>
              <w:t>氨氮</w:t>
            </w:r>
          </w:p>
        </w:tc>
        <w:tc>
          <w:tcPr>
            <w:tcW w:w="1950" w:type="dxa"/>
          </w:tcPr>
          <w:p>
            <w:pPr>
              <w:pStyle w:val="14"/>
              <w:spacing w:before="15" w:line="238" w:lineRule="exact"/>
              <w:ind w:left="638" w:right="630"/>
              <w:rPr>
                <w:rFonts w:ascii="Times New Roman"/>
                <w:sz w:val="21"/>
              </w:rPr>
            </w:pPr>
            <w:r>
              <w:rPr>
                <w:rFonts w:ascii="Times New Roman"/>
                <w:sz w:val="21"/>
              </w:rPr>
              <w:t>mg/L</w:t>
            </w:r>
          </w:p>
        </w:tc>
        <w:tc>
          <w:tcPr>
            <w:tcW w:w="5969" w:type="dxa"/>
          </w:tcPr>
          <w:p>
            <w:pPr>
              <w:pStyle w:val="14"/>
              <w:spacing w:before="1" w:line="252" w:lineRule="exact"/>
              <w:ind w:left="12"/>
              <w:rPr>
                <w:rFonts w:ascii="Times New Roman" w:eastAsia="Times New Roman"/>
                <w:sz w:val="21"/>
              </w:rPr>
            </w:pPr>
            <w:r>
              <w:rPr>
                <w:sz w:val="21"/>
              </w:rPr>
              <w:t xml:space="preserve">水质 氨氮的测定 纳氏试剂分光光度法 </w:t>
            </w:r>
            <w:r>
              <w:rPr>
                <w:rFonts w:ascii="Times New Roman" w:eastAsia="Times New Roman"/>
                <w:sz w:val="21"/>
              </w:rPr>
              <w:t>HJ 535-2009</w:t>
            </w:r>
          </w:p>
        </w:tc>
      </w:tr>
    </w:tbl>
    <w:p>
      <w:pPr>
        <w:tabs>
          <w:tab w:val="left" w:pos="1041"/>
        </w:tabs>
        <w:spacing w:before="4"/>
        <w:ind w:left="0" w:right="357" w:firstLine="0"/>
        <w:jc w:val="center"/>
        <w:rPr>
          <w:b/>
          <w:sz w:val="24"/>
        </w:rPr>
      </w:pPr>
      <w:r>
        <w:rPr>
          <w:b/>
          <w:sz w:val="24"/>
        </w:rPr>
        <w:t>表</w:t>
      </w:r>
      <w:r>
        <w:rPr>
          <w:b/>
          <w:spacing w:val="-61"/>
          <w:sz w:val="24"/>
        </w:rPr>
        <w:t xml:space="preserve"> </w:t>
      </w:r>
      <w:r>
        <w:rPr>
          <w:rFonts w:ascii="Times New Roman" w:eastAsia="Times New Roman"/>
          <w:b/>
          <w:sz w:val="24"/>
        </w:rPr>
        <w:t>7.3-2</w:t>
      </w:r>
      <w:r>
        <w:rPr>
          <w:rFonts w:ascii="Times New Roman" w:eastAsia="Times New Roman"/>
          <w:b/>
          <w:sz w:val="24"/>
        </w:rPr>
        <w:tab/>
      </w:r>
      <w:r>
        <w:rPr>
          <w:b/>
          <w:sz w:val="24"/>
        </w:rPr>
        <w:t>地表水监测结果</w:t>
      </w:r>
    </w:p>
    <w:p>
      <w:pPr>
        <w:pStyle w:val="6"/>
        <w:spacing w:before="5"/>
        <w:rPr>
          <w:b/>
          <w:sz w:val="12"/>
        </w:rPr>
      </w:pP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0"/>
        <w:gridCol w:w="882"/>
        <w:gridCol w:w="882"/>
        <w:gridCol w:w="882"/>
        <w:gridCol w:w="882"/>
        <w:gridCol w:w="882"/>
        <w:gridCol w:w="882"/>
        <w:gridCol w:w="882"/>
        <w:gridCol w:w="882"/>
        <w:gridCol w:w="8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400" w:type="dxa"/>
            <w:vMerge w:val="restart"/>
          </w:tcPr>
          <w:p>
            <w:pPr>
              <w:pStyle w:val="14"/>
              <w:spacing w:before="11"/>
              <w:jc w:val="left"/>
              <w:rPr>
                <w:b/>
                <w:sz w:val="16"/>
              </w:rPr>
            </w:pPr>
          </w:p>
          <w:p>
            <w:pPr>
              <w:pStyle w:val="14"/>
              <w:spacing w:before="1"/>
              <w:ind w:left="279"/>
              <w:jc w:val="left"/>
              <w:rPr>
                <w:sz w:val="21"/>
              </w:rPr>
            </w:pPr>
            <w:r>
              <w:rPr>
                <w:sz w:val="21"/>
              </w:rPr>
              <w:t>监测项目</w:t>
            </w:r>
          </w:p>
        </w:tc>
        <w:tc>
          <w:tcPr>
            <w:tcW w:w="7944" w:type="dxa"/>
            <w:gridSpan w:val="9"/>
          </w:tcPr>
          <w:p>
            <w:pPr>
              <w:pStyle w:val="14"/>
              <w:spacing w:before="1" w:line="252" w:lineRule="exact"/>
              <w:ind w:left="3531" w:right="3523"/>
              <w:rPr>
                <w:sz w:val="21"/>
              </w:rPr>
            </w:pPr>
            <w:r>
              <w:rPr>
                <w:sz w:val="21"/>
              </w:rPr>
              <w:t>监测结果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400" w:type="dxa"/>
            <w:vMerge w:val="continue"/>
            <w:tcBorders>
              <w:top w:val="nil"/>
            </w:tcBorders>
          </w:tcPr>
          <w:p>
            <w:pPr>
              <w:rPr>
                <w:sz w:val="2"/>
                <w:szCs w:val="2"/>
              </w:rPr>
            </w:pPr>
          </w:p>
        </w:tc>
        <w:tc>
          <w:tcPr>
            <w:tcW w:w="2646" w:type="dxa"/>
            <w:gridSpan w:val="3"/>
          </w:tcPr>
          <w:p>
            <w:pPr>
              <w:pStyle w:val="14"/>
              <w:spacing w:before="73"/>
              <w:ind w:left="847"/>
              <w:jc w:val="left"/>
              <w:rPr>
                <w:rFonts w:ascii="Times New Roman" w:eastAsia="Times New Roman"/>
                <w:sz w:val="21"/>
              </w:rPr>
            </w:pPr>
            <w:r>
              <w:rPr>
                <w:sz w:val="21"/>
              </w:rPr>
              <w:t xml:space="preserve">上游 </w:t>
            </w:r>
            <w:r>
              <w:rPr>
                <w:rFonts w:ascii="Times New Roman" w:eastAsia="Times New Roman"/>
                <w:sz w:val="21"/>
              </w:rPr>
              <w:t>500m</w:t>
            </w:r>
          </w:p>
        </w:tc>
        <w:tc>
          <w:tcPr>
            <w:tcW w:w="2646" w:type="dxa"/>
            <w:gridSpan w:val="3"/>
          </w:tcPr>
          <w:p>
            <w:pPr>
              <w:pStyle w:val="14"/>
              <w:spacing w:before="73"/>
              <w:ind w:left="793"/>
              <w:jc w:val="left"/>
              <w:rPr>
                <w:rFonts w:ascii="Times New Roman" w:eastAsia="Times New Roman"/>
                <w:sz w:val="21"/>
              </w:rPr>
            </w:pPr>
            <w:r>
              <w:rPr>
                <w:sz w:val="21"/>
              </w:rPr>
              <w:t xml:space="preserve">下游 </w:t>
            </w:r>
            <w:r>
              <w:rPr>
                <w:rFonts w:ascii="Times New Roman" w:eastAsia="Times New Roman"/>
                <w:sz w:val="21"/>
              </w:rPr>
              <w:t>1000m</w:t>
            </w:r>
          </w:p>
        </w:tc>
        <w:tc>
          <w:tcPr>
            <w:tcW w:w="2652" w:type="dxa"/>
            <w:gridSpan w:val="3"/>
          </w:tcPr>
          <w:p>
            <w:pPr>
              <w:pStyle w:val="14"/>
              <w:spacing w:before="73"/>
              <w:ind w:left="797"/>
              <w:jc w:val="left"/>
              <w:rPr>
                <w:rFonts w:ascii="Times New Roman" w:eastAsia="Times New Roman"/>
                <w:sz w:val="21"/>
              </w:rPr>
            </w:pPr>
            <w:r>
              <w:rPr>
                <w:sz w:val="21"/>
              </w:rPr>
              <w:t xml:space="preserve">下游 </w:t>
            </w:r>
            <w:r>
              <w:rPr>
                <w:rFonts w:ascii="Times New Roman" w:eastAsia="Times New Roman"/>
                <w:sz w:val="21"/>
              </w:rPr>
              <w:t>5000m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400" w:type="dxa"/>
          </w:tcPr>
          <w:p>
            <w:pPr>
              <w:pStyle w:val="14"/>
              <w:spacing w:before="1" w:line="251" w:lineRule="exact"/>
              <w:ind w:left="106" w:right="-15"/>
              <w:jc w:val="left"/>
              <w:rPr>
                <w:sz w:val="21"/>
              </w:rPr>
            </w:pPr>
            <w:r>
              <w:rPr>
                <w:rFonts w:ascii="Times New Roman" w:eastAsia="Times New Roman"/>
                <w:spacing w:val="-6"/>
                <w:sz w:val="21"/>
              </w:rPr>
              <w:t>pH</w:t>
            </w:r>
            <w:r>
              <w:rPr>
                <w:spacing w:val="-6"/>
                <w:sz w:val="21"/>
              </w:rPr>
              <w:t>（</w:t>
            </w:r>
            <w:r>
              <w:rPr>
                <w:sz w:val="21"/>
              </w:rPr>
              <w:t>无量纲）</w:t>
            </w:r>
          </w:p>
        </w:tc>
        <w:tc>
          <w:tcPr>
            <w:tcW w:w="882" w:type="dxa"/>
          </w:tcPr>
          <w:p>
            <w:pPr>
              <w:pStyle w:val="14"/>
              <w:spacing w:before="17" w:line="235" w:lineRule="exact"/>
              <w:ind w:left="119" w:right="109"/>
              <w:rPr>
                <w:rFonts w:ascii="Times New Roman"/>
                <w:sz w:val="21"/>
              </w:rPr>
            </w:pPr>
            <w:bookmarkStart w:id="421" w:name="7.32"/>
            <w:bookmarkEnd w:id="421"/>
            <w:r>
              <w:rPr>
                <w:rFonts w:ascii="Times New Roman"/>
                <w:sz w:val="21"/>
              </w:rPr>
              <w:t>7.32</w:t>
            </w:r>
          </w:p>
        </w:tc>
        <w:tc>
          <w:tcPr>
            <w:tcW w:w="882" w:type="dxa"/>
          </w:tcPr>
          <w:p>
            <w:pPr>
              <w:pStyle w:val="14"/>
              <w:spacing w:before="17" w:line="235" w:lineRule="exact"/>
              <w:ind w:left="118" w:right="110"/>
              <w:rPr>
                <w:rFonts w:ascii="Times New Roman"/>
                <w:sz w:val="21"/>
              </w:rPr>
            </w:pPr>
            <w:bookmarkStart w:id="422" w:name="7.34"/>
            <w:bookmarkEnd w:id="422"/>
            <w:r>
              <w:rPr>
                <w:rFonts w:ascii="Times New Roman"/>
                <w:sz w:val="21"/>
              </w:rPr>
              <w:t>7.34</w:t>
            </w:r>
          </w:p>
        </w:tc>
        <w:tc>
          <w:tcPr>
            <w:tcW w:w="882" w:type="dxa"/>
          </w:tcPr>
          <w:p>
            <w:pPr>
              <w:pStyle w:val="14"/>
              <w:spacing w:before="17" w:line="235" w:lineRule="exact"/>
              <w:ind w:left="119" w:right="109"/>
              <w:rPr>
                <w:rFonts w:ascii="Times New Roman"/>
                <w:sz w:val="21"/>
              </w:rPr>
            </w:pPr>
            <w:bookmarkStart w:id="423" w:name="7.35"/>
            <w:bookmarkEnd w:id="423"/>
            <w:r>
              <w:rPr>
                <w:rFonts w:ascii="Times New Roman"/>
                <w:sz w:val="21"/>
              </w:rPr>
              <w:t>7.35</w:t>
            </w:r>
          </w:p>
        </w:tc>
        <w:tc>
          <w:tcPr>
            <w:tcW w:w="882" w:type="dxa"/>
          </w:tcPr>
          <w:p>
            <w:pPr>
              <w:pStyle w:val="14"/>
              <w:spacing w:before="17" w:line="235" w:lineRule="exact"/>
              <w:ind w:left="118" w:right="110"/>
              <w:rPr>
                <w:rFonts w:ascii="Times New Roman"/>
                <w:sz w:val="21"/>
              </w:rPr>
            </w:pPr>
            <w:bookmarkStart w:id="424" w:name="7.35"/>
            <w:bookmarkEnd w:id="424"/>
            <w:r>
              <w:rPr>
                <w:rFonts w:ascii="Times New Roman"/>
                <w:sz w:val="21"/>
              </w:rPr>
              <w:t>7.35</w:t>
            </w:r>
          </w:p>
        </w:tc>
        <w:tc>
          <w:tcPr>
            <w:tcW w:w="882" w:type="dxa"/>
          </w:tcPr>
          <w:p>
            <w:pPr>
              <w:pStyle w:val="14"/>
              <w:spacing w:before="17" w:line="235" w:lineRule="exact"/>
              <w:ind w:left="119" w:right="109"/>
              <w:rPr>
                <w:rFonts w:ascii="Times New Roman"/>
                <w:sz w:val="21"/>
              </w:rPr>
            </w:pPr>
            <w:bookmarkStart w:id="425" w:name="7.32"/>
            <w:bookmarkEnd w:id="425"/>
            <w:r>
              <w:rPr>
                <w:rFonts w:ascii="Times New Roman"/>
                <w:sz w:val="21"/>
              </w:rPr>
              <w:t>7.32</w:t>
            </w:r>
          </w:p>
        </w:tc>
        <w:tc>
          <w:tcPr>
            <w:tcW w:w="882" w:type="dxa"/>
          </w:tcPr>
          <w:p>
            <w:pPr>
              <w:pStyle w:val="14"/>
              <w:spacing w:before="17" w:line="235" w:lineRule="exact"/>
              <w:ind w:left="118" w:right="110"/>
              <w:rPr>
                <w:rFonts w:ascii="Times New Roman"/>
                <w:sz w:val="21"/>
              </w:rPr>
            </w:pPr>
            <w:bookmarkStart w:id="426" w:name="7.29"/>
            <w:bookmarkEnd w:id="426"/>
            <w:r>
              <w:rPr>
                <w:rFonts w:ascii="Times New Roman"/>
                <w:sz w:val="21"/>
              </w:rPr>
              <w:t>7.29</w:t>
            </w:r>
          </w:p>
        </w:tc>
        <w:tc>
          <w:tcPr>
            <w:tcW w:w="882" w:type="dxa"/>
          </w:tcPr>
          <w:p>
            <w:pPr>
              <w:pStyle w:val="14"/>
              <w:spacing w:before="17" w:line="235" w:lineRule="exact"/>
              <w:ind w:left="119" w:right="109"/>
              <w:rPr>
                <w:rFonts w:ascii="Times New Roman"/>
                <w:sz w:val="21"/>
              </w:rPr>
            </w:pPr>
            <w:bookmarkStart w:id="427" w:name="7.37"/>
            <w:bookmarkEnd w:id="427"/>
            <w:r>
              <w:rPr>
                <w:rFonts w:ascii="Times New Roman"/>
                <w:sz w:val="21"/>
              </w:rPr>
              <w:t>7.37</w:t>
            </w:r>
          </w:p>
        </w:tc>
        <w:tc>
          <w:tcPr>
            <w:tcW w:w="882" w:type="dxa"/>
          </w:tcPr>
          <w:p>
            <w:pPr>
              <w:pStyle w:val="14"/>
              <w:spacing w:before="17" w:line="235" w:lineRule="exact"/>
              <w:ind w:left="118" w:right="110"/>
              <w:rPr>
                <w:rFonts w:ascii="Times New Roman"/>
                <w:sz w:val="21"/>
              </w:rPr>
            </w:pPr>
            <w:bookmarkStart w:id="428" w:name="7.35"/>
            <w:bookmarkEnd w:id="428"/>
            <w:r>
              <w:rPr>
                <w:rFonts w:ascii="Times New Roman"/>
                <w:sz w:val="21"/>
              </w:rPr>
              <w:t>7.35</w:t>
            </w:r>
          </w:p>
        </w:tc>
        <w:tc>
          <w:tcPr>
            <w:tcW w:w="888" w:type="dxa"/>
          </w:tcPr>
          <w:p>
            <w:pPr>
              <w:pStyle w:val="14"/>
              <w:spacing w:before="17" w:line="235" w:lineRule="exact"/>
              <w:ind w:left="122" w:right="113"/>
              <w:rPr>
                <w:rFonts w:ascii="Times New Roman"/>
                <w:sz w:val="21"/>
              </w:rPr>
            </w:pPr>
            <w:bookmarkStart w:id="429" w:name="7.22"/>
            <w:bookmarkEnd w:id="429"/>
            <w:r>
              <w:rPr>
                <w:rFonts w:ascii="Times New Roman"/>
                <w:sz w:val="21"/>
              </w:rPr>
              <w:t>7.22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400" w:type="dxa"/>
          </w:tcPr>
          <w:p>
            <w:pPr>
              <w:pStyle w:val="14"/>
              <w:spacing w:before="2" w:line="250" w:lineRule="exact"/>
              <w:ind w:left="147"/>
              <w:jc w:val="left"/>
              <w:rPr>
                <w:sz w:val="21"/>
              </w:rPr>
            </w:pPr>
            <w:r>
              <w:rPr>
                <w:rFonts w:ascii="Times New Roman" w:eastAsia="Times New Roman"/>
                <w:sz w:val="21"/>
              </w:rPr>
              <w:t>SS</w:t>
            </w:r>
            <w:r>
              <w:rPr>
                <w:sz w:val="21"/>
              </w:rPr>
              <w:t>（</w:t>
            </w:r>
            <w:r>
              <w:rPr>
                <w:rFonts w:ascii="Times New Roman" w:eastAsia="Times New Roman"/>
                <w:sz w:val="21"/>
              </w:rPr>
              <w:t>mg/L</w:t>
            </w:r>
            <w:r>
              <w:rPr>
                <w:sz w:val="21"/>
              </w:rPr>
              <w:t>）</w:t>
            </w:r>
          </w:p>
        </w:tc>
        <w:tc>
          <w:tcPr>
            <w:tcW w:w="882" w:type="dxa"/>
          </w:tcPr>
          <w:p>
            <w:pPr>
              <w:pStyle w:val="14"/>
              <w:spacing w:before="18" w:line="233" w:lineRule="exact"/>
              <w:ind w:left="119" w:right="109"/>
              <w:rPr>
                <w:rFonts w:ascii="Times New Roman"/>
                <w:sz w:val="21"/>
              </w:rPr>
            </w:pPr>
            <w:bookmarkStart w:id="430" w:name="22"/>
            <w:bookmarkEnd w:id="430"/>
            <w:r>
              <w:rPr>
                <w:rFonts w:ascii="Times New Roman"/>
                <w:sz w:val="21"/>
              </w:rPr>
              <w:t>22</w:t>
            </w:r>
          </w:p>
        </w:tc>
        <w:tc>
          <w:tcPr>
            <w:tcW w:w="882" w:type="dxa"/>
          </w:tcPr>
          <w:p>
            <w:pPr>
              <w:pStyle w:val="14"/>
              <w:spacing w:before="18" w:line="233" w:lineRule="exact"/>
              <w:ind w:left="118" w:right="110"/>
              <w:rPr>
                <w:rFonts w:ascii="Times New Roman"/>
                <w:sz w:val="21"/>
              </w:rPr>
            </w:pPr>
            <w:bookmarkStart w:id="431" w:name="23"/>
            <w:bookmarkEnd w:id="431"/>
            <w:r>
              <w:rPr>
                <w:rFonts w:ascii="Times New Roman"/>
                <w:sz w:val="21"/>
              </w:rPr>
              <w:t>23</w:t>
            </w:r>
          </w:p>
        </w:tc>
        <w:tc>
          <w:tcPr>
            <w:tcW w:w="882" w:type="dxa"/>
          </w:tcPr>
          <w:p>
            <w:pPr>
              <w:pStyle w:val="14"/>
              <w:spacing w:before="18" w:line="233" w:lineRule="exact"/>
              <w:ind w:left="119" w:right="109"/>
              <w:rPr>
                <w:rFonts w:ascii="Times New Roman"/>
                <w:sz w:val="21"/>
              </w:rPr>
            </w:pPr>
            <w:bookmarkStart w:id="432" w:name="25"/>
            <w:bookmarkEnd w:id="432"/>
            <w:r>
              <w:rPr>
                <w:rFonts w:ascii="Times New Roman"/>
                <w:sz w:val="21"/>
              </w:rPr>
              <w:t>25</w:t>
            </w:r>
          </w:p>
        </w:tc>
        <w:tc>
          <w:tcPr>
            <w:tcW w:w="882" w:type="dxa"/>
          </w:tcPr>
          <w:p>
            <w:pPr>
              <w:pStyle w:val="14"/>
              <w:spacing w:before="18" w:line="233" w:lineRule="exact"/>
              <w:ind w:left="118" w:right="110"/>
              <w:rPr>
                <w:rFonts w:ascii="Times New Roman"/>
                <w:sz w:val="21"/>
              </w:rPr>
            </w:pPr>
            <w:bookmarkStart w:id="433" w:name="23"/>
            <w:bookmarkEnd w:id="433"/>
            <w:r>
              <w:rPr>
                <w:rFonts w:ascii="Times New Roman"/>
                <w:sz w:val="21"/>
              </w:rPr>
              <w:t>23</w:t>
            </w:r>
          </w:p>
        </w:tc>
        <w:tc>
          <w:tcPr>
            <w:tcW w:w="882" w:type="dxa"/>
          </w:tcPr>
          <w:p>
            <w:pPr>
              <w:pStyle w:val="14"/>
              <w:spacing w:before="18" w:line="233" w:lineRule="exact"/>
              <w:ind w:left="119" w:right="109"/>
              <w:rPr>
                <w:rFonts w:ascii="Times New Roman"/>
                <w:sz w:val="21"/>
              </w:rPr>
            </w:pPr>
            <w:bookmarkStart w:id="434" w:name="25"/>
            <w:bookmarkEnd w:id="434"/>
            <w:r>
              <w:rPr>
                <w:rFonts w:ascii="Times New Roman"/>
                <w:sz w:val="21"/>
              </w:rPr>
              <w:t>25</w:t>
            </w:r>
          </w:p>
        </w:tc>
        <w:tc>
          <w:tcPr>
            <w:tcW w:w="882" w:type="dxa"/>
          </w:tcPr>
          <w:p>
            <w:pPr>
              <w:pStyle w:val="14"/>
              <w:spacing w:before="18" w:line="233" w:lineRule="exact"/>
              <w:ind w:left="118" w:right="110"/>
              <w:rPr>
                <w:rFonts w:ascii="Times New Roman"/>
                <w:sz w:val="21"/>
              </w:rPr>
            </w:pPr>
            <w:bookmarkStart w:id="435" w:name="27"/>
            <w:bookmarkEnd w:id="435"/>
            <w:r>
              <w:rPr>
                <w:rFonts w:ascii="Times New Roman"/>
                <w:sz w:val="21"/>
              </w:rPr>
              <w:t>27</w:t>
            </w:r>
          </w:p>
        </w:tc>
        <w:tc>
          <w:tcPr>
            <w:tcW w:w="882" w:type="dxa"/>
          </w:tcPr>
          <w:p>
            <w:pPr>
              <w:pStyle w:val="14"/>
              <w:spacing w:before="18" w:line="233" w:lineRule="exact"/>
              <w:ind w:left="119" w:right="109"/>
              <w:rPr>
                <w:rFonts w:ascii="Times New Roman"/>
                <w:sz w:val="21"/>
              </w:rPr>
            </w:pPr>
            <w:bookmarkStart w:id="436" w:name="24"/>
            <w:bookmarkEnd w:id="436"/>
            <w:r>
              <w:rPr>
                <w:rFonts w:ascii="Times New Roman"/>
                <w:sz w:val="21"/>
              </w:rPr>
              <w:t>24</w:t>
            </w:r>
          </w:p>
        </w:tc>
        <w:tc>
          <w:tcPr>
            <w:tcW w:w="882" w:type="dxa"/>
          </w:tcPr>
          <w:p>
            <w:pPr>
              <w:pStyle w:val="14"/>
              <w:spacing w:before="18" w:line="233" w:lineRule="exact"/>
              <w:ind w:left="118" w:right="110"/>
              <w:rPr>
                <w:rFonts w:ascii="Times New Roman"/>
                <w:sz w:val="21"/>
              </w:rPr>
            </w:pPr>
            <w:bookmarkStart w:id="437" w:name="22"/>
            <w:bookmarkEnd w:id="437"/>
            <w:r>
              <w:rPr>
                <w:rFonts w:ascii="Times New Roman"/>
                <w:sz w:val="21"/>
              </w:rPr>
              <w:t>22</w:t>
            </w:r>
          </w:p>
        </w:tc>
        <w:tc>
          <w:tcPr>
            <w:tcW w:w="888" w:type="dxa"/>
          </w:tcPr>
          <w:p>
            <w:pPr>
              <w:pStyle w:val="14"/>
              <w:spacing w:before="18" w:line="233" w:lineRule="exact"/>
              <w:ind w:left="122" w:right="113"/>
              <w:rPr>
                <w:rFonts w:ascii="Times New Roman"/>
                <w:sz w:val="21"/>
              </w:rPr>
            </w:pPr>
            <w:bookmarkStart w:id="438" w:name="29"/>
            <w:bookmarkEnd w:id="438"/>
            <w:r>
              <w:rPr>
                <w:rFonts w:ascii="Times New Roman"/>
                <w:sz w:val="21"/>
              </w:rPr>
              <w:t>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400" w:type="dxa"/>
          </w:tcPr>
          <w:p>
            <w:pPr>
              <w:pStyle w:val="14"/>
              <w:spacing w:before="1" w:line="252" w:lineRule="exact"/>
              <w:ind w:left="109" w:right="-15"/>
              <w:jc w:val="left"/>
              <w:rPr>
                <w:sz w:val="21"/>
              </w:rPr>
            </w:pPr>
            <w:r>
              <w:rPr>
                <w:rFonts w:ascii="Times New Roman" w:eastAsia="Times New Roman"/>
                <w:spacing w:val="-4"/>
                <w:sz w:val="21"/>
              </w:rPr>
              <w:t>COD</w:t>
            </w:r>
            <w:r>
              <w:rPr>
                <w:spacing w:val="-4"/>
                <w:sz w:val="21"/>
              </w:rPr>
              <w:t>（</w:t>
            </w:r>
            <w:r>
              <w:rPr>
                <w:rFonts w:ascii="Times New Roman" w:eastAsia="Times New Roman"/>
                <w:spacing w:val="-4"/>
                <w:sz w:val="21"/>
              </w:rPr>
              <w:t>mg/L</w:t>
            </w:r>
            <w:r>
              <w:rPr>
                <w:spacing w:val="-4"/>
                <w:sz w:val="21"/>
              </w:rPr>
              <w:t>）</w:t>
            </w:r>
          </w:p>
        </w:tc>
        <w:tc>
          <w:tcPr>
            <w:tcW w:w="882" w:type="dxa"/>
          </w:tcPr>
          <w:p>
            <w:pPr>
              <w:pStyle w:val="14"/>
              <w:spacing w:before="17" w:line="236" w:lineRule="exact"/>
              <w:ind w:left="119" w:right="109"/>
              <w:rPr>
                <w:rFonts w:ascii="Times New Roman"/>
                <w:sz w:val="21"/>
              </w:rPr>
            </w:pPr>
            <w:bookmarkStart w:id="439" w:name="46"/>
            <w:bookmarkEnd w:id="439"/>
            <w:r>
              <w:rPr>
                <w:rFonts w:ascii="Times New Roman"/>
                <w:sz w:val="21"/>
              </w:rPr>
              <w:t>46</w:t>
            </w:r>
          </w:p>
        </w:tc>
        <w:tc>
          <w:tcPr>
            <w:tcW w:w="882" w:type="dxa"/>
          </w:tcPr>
          <w:p>
            <w:pPr>
              <w:pStyle w:val="14"/>
              <w:spacing w:before="17" w:line="236" w:lineRule="exact"/>
              <w:ind w:left="118" w:right="110"/>
              <w:rPr>
                <w:rFonts w:ascii="Times New Roman"/>
                <w:sz w:val="21"/>
              </w:rPr>
            </w:pPr>
            <w:bookmarkStart w:id="440" w:name="48"/>
            <w:bookmarkEnd w:id="440"/>
            <w:r>
              <w:rPr>
                <w:rFonts w:ascii="Times New Roman"/>
                <w:sz w:val="21"/>
              </w:rPr>
              <w:t>48</w:t>
            </w:r>
          </w:p>
        </w:tc>
        <w:tc>
          <w:tcPr>
            <w:tcW w:w="882" w:type="dxa"/>
          </w:tcPr>
          <w:p>
            <w:pPr>
              <w:pStyle w:val="14"/>
              <w:spacing w:before="17" w:line="236" w:lineRule="exact"/>
              <w:ind w:left="119" w:right="109"/>
              <w:rPr>
                <w:rFonts w:ascii="Times New Roman"/>
                <w:sz w:val="21"/>
              </w:rPr>
            </w:pPr>
            <w:bookmarkStart w:id="441" w:name="45"/>
            <w:bookmarkEnd w:id="441"/>
            <w:r>
              <w:rPr>
                <w:rFonts w:ascii="Times New Roman"/>
                <w:sz w:val="21"/>
              </w:rPr>
              <w:t>45</w:t>
            </w:r>
          </w:p>
        </w:tc>
        <w:tc>
          <w:tcPr>
            <w:tcW w:w="882" w:type="dxa"/>
          </w:tcPr>
          <w:p>
            <w:pPr>
              <w:pStyle w:val="14"/>
              <w:spacing w:before="17" w:line="236" w:lineRule="exact"/>
              <w:ind w:left="118" w:right="110"/>
              <w:rPr>
                <w:rFonts w:ascii="Times New Roman"/>
                <w:sz w:val="21"/>
              </w:rPr>
            </w:pPr>
            <w:bookmarkStart w:id="442" w:name="47"/>
            <w:bookmarkEnd w:id="442"/>
            <w:r>
              <w:rPr>
                <w:rFonts w:ascii="Times New Roman"/>
                <w:sz w:val="21"/>
              </w:rPr>
              <w:t>47</w:t>
            </w:r>
          </w:p>
        </w:tc>
        <w:tc>
          <w:tcPr>
            <w:tcW w:w="882" w:type="dxa"/>
          </w:tcPr>
          <w:p>
            <w:pPr>
              <w:pStyle w:val="14"/>
              <w:spacing w:before="17" w:line="236" w:lineRule="exact"/>
              <w:ind w:left="119" w:right="109"/>
              <w:rPr>
                <w:rFonts w:ascii="Times New Roman"/>
                <w:sz w:val="21"/>
              </w:rPr>
            </w:pPr>
            <w:bookmarkStart w:id="443" w:name="48"/>
            <w:bookmarkEnd w:id="443"/>
            <w:r>
              <w:rPr>
                <w:rFonts w:ascii="Times New Roman"/>
                <w:sz w:val="21"/>
              </w:rPr>
              <w:t>48</w:t>
            </w:r>
          </w:p>
        </w:tc>
        <w:tc>
          <w:tcPr>
            <w:tcW w:w="882" w:type="dxa"/>
          </w:tcPr>
          <w:p>
            <w:pPr>
              <w:pStyle w:val="14"/>
              <w:spacing w:before="17" w:line="236" w:lineRule="exact"/>
              <w:ind w:left="118" w:right="110"/>
              <w:rPr>
                <w:rFonts w:ascii="Times New Roman"/>
                <w:sz w:val="21"/>
              </w:rPr>
            </w:pPr>
            <w:bookmarkStart w:id="444" w:name="42"/>
            <w:bookmarkEnd w:id="444"/>
            <w:r>
              <w:rPr>
                <w:rFonts w:ascii="Times New Roman"/>
                <w:sz w:val="21"/>
              </w:rPr>
              <w:t>42</w:t>
            </w:r>
          </w:p>
        </w:tc>
        <w:tc>
          <w:tcPr>
            <w:tcW w:w="882" w:type="dxa"/>
          </w:tcPr>
          <w:p>
            <w:pPr>
              <w:pStyle w:val="14"/>
              <w:spacing w:before="17" w:line="236" w:lineRule="exact"/>
              <w:ind w:left="119" w:right="109"/>
              <w:rPr>
                <w:rFonts w:ascii="Times New Roman"/>
                <w:sz w:val="21"/>
              </w:rPr>
            </w:pPr>
            <w:bookmarkStart w:id="445" w:name="42"/>
            <w:bookmarkEnd w:id="445"/>
            <w:r>
              <w:rPr>
                <w:rFonts w:ascii="Times New Roman"/>
                <w:sz w:val="21"/>
              </w:rPr>
              <w:t>42</w:t>
            </w:r>
          </w:p>
        </w:tc>
        <w:tc>
          <w:tcPr>
            <w:tcW w:w="882" w:type="dxa"/>
          </w:tcPr>
          <w:p>
            <w:pPr>
              <w:pStyle w:val="14"/>
              <w:spacing w:before="17" w:line="236" w:lineRule="exact"/>
              <w:ind w:left="118" w:right="110"/>
              <w:rPr>
                <w:rFonts w:ascii="Times New Roman"/>
                <w:sz w:val="21"/>
              </w:rPr>
            </w:pPr>
            <w:bookmarkStart w:id="446" w:name="44"/>
            <w:bookmarkEnd w:id="446"/>
            <w:r>
              <w:rPr>
                <w:rFonts w:ascii="Times New Roman"/>
                <w:sz w:val="21"/>
              </w:rPr>
              <w:t>44</w:t>
            </w:r>
          </w:p>
        </w:tc>
        <w:tc>
          <w:tcPr>
            <w:tcW w:w="888" w:type="dxa"/>
          </w:tcPr>
          <w:p>
            <w:pPr>
              <w:pStyle w:val="14"/>
              <w:spacing w:before="17" w:line="236" w:lineRule="exact"/>
              <w:ind w:left="122" w:right="113"/>
              <w:rPr>
                <w:rFonts w:ascii="Times New Roman"/>
                <w:sz w:val="21"/>
              </w:rPr>
            </w:pPr>
            <w:bookmarkStart w:id="447" w:name="48"/>
            <w:bookmarkEnd w:id="447"/>
            <w:r>
              <w:rPr>
                <w:rFonts w:ascii="Times New Roman"/>
                <w:sz w:val="21"/>
              </w:rPr>
              <w:t>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1400" w:type="dxa"/>
          </w:tcPr>
          <w:p>
            <w:pPr>
              <w:pStyle w:val="14"/>
              <w:spacing w:before="1"/>
              <w:ind w:left="242" w:right="233"/>
              <w:rPr>
                <w:sz w:val="21"/>
              </w:rPr>
            </w:pPr>
            <w:r>
              <w:rPr>
                <w:sz w:val="21"/>
              </w:rPr>
              <w:t>石油类</w:t>
            </w:r>
          </w:p>
          <w:p>
            <w:pPr>
              <w:pStyle w:val="14"/>
              <w:spacing w:before="2" w:line="252" w:lineRule="exact"/>
              <w:ind w:left="242" w:right="233"/>
              <w:rPr>
                <w:sz w:val="21"/>
              </w:rPr>
            </w:pPr>
            <w:r>
              <w:rPr>
                <w:sz w:val="21"/>
              </w:rPr>
              <w:t>（</w:t>
            </w:r>
            <w:r>
              <w:rPr>
                <w:rFonts w:ascii="Times New Roman" w:eastAsia="Times New Roman"/>
                <w:sz w:val="21"/>
              </w:rPr>
              <w:t>mg/L</w:t>
            </w:r>
            <w:r>
              <w:rPr>
                <w:sz w:val="21"/>
              </w:rPr>
              <w:t>）</w:t>
            </w:r>
          </w:p>
        </w:tc>
        <w:tc>
          <w:tcPr>
            <w:tcW w:w="882" w:type="dxa"/>
          </w:tcPr>
          <w:p>
            <w:pPr>
              <w:pStyle w:val="14"/>
              <w:spacing w:before="152"/>
              <w:ind w:left="119" w:right="109"/>
              <w:rPr>
                <w:rFonts w:ascii="Times New Roman"/>
                <w:sz w:val="21"/>
              </w:rPr>
            </w:pPr>
            <w:bookmarkStart w:id="448" w:name="0.01L"/>
            <w:bookmarkEnd w:id="448"/>
            <w:r>
              <w:rPr>
                <w:rFonts w:ascii="Times New Roman"/>
                <w:sz w:val="21"/>
              </w:rPr>
              <w:t>0.01L</w:t>
            </w:r>
          </w:p>
        </w:tc>
        <w:tc>
          <w:tcPr>
            <w:tcW w:w="882" w:type="dxa"/>
          </w:tcPr>
          <w:p>
            <w:pPr>
              <w:pStyle w:val="14"/>
              <w:spacing w:before="152"/>
              <w:ind w:left="119" w:right="109"/>
              <w:rPr>
                <w:rFonts w:ascii="Times New Roman"/>
                <w:sz w:val="21"/>
              </w:rPr>
            </w:pPr>
            <w:bookmarkStart w:id="449" w:name="0.01L"/>
            <w:bookmarkEnd w:id="449"/>
            <w:r>
              <w:rPr>
                <w:rFonts w:ascii="Times New Roman"/>
                <w:sz w:val="21"/>
              </w:rPr>
              <w:t>0.01L</w:t>
            </w:r>
          </w:p>
        </w:tc>
        <w:tc>
          <w:tcPr>
            <w:tcW w:w="882" w:type="dxa"/>
          </w:tcPr>
          <w:p>
            <w:pPr>
              <w:pStyle w:val="14"/>
              <w:spacing w:before="152"/>
              <w:ind w:left="119" w:right="109"/>
              <w:rPr>
                <w:rFonts w:ascii="Times New Roman"/>
                <w:sz w:val="21"/>
              </w:rPr>
            </w:pPr>
            <w:bookmarkStart w:id="450" w:name="0.01L"/>
            <w:bookmarkEnd w:id="450"/>
            <w:r>
              <w:rPr>
                <w:rFonts w:ascii="Times New Roman"/>
                <w:sz w:val="21"/>
              </w:rPr>
              <w:t>0.01L</w:t>
            </w:r>
          </w:p>
        </w:tc>
        <w:tc>
          <w:tcPr>
            <w:tcW w:w="882" w:type="dxa"/>
          </w:tcPr>
          <w:p>
            <w:pPr>
              <w:pStyle w:val="14"/>
              <w:spacing w:before="152"/>
              <w:ind w:left="119" w:right="109"/>
              <w:rPr>
                <w:rFonts w:ascii="Times New Roman"/>
                <w:sz w:val="21"/>
              </w:rPr>
            </w:pPr>
            <w:bookmarkStart w:id="451" w:name="0.01L"/>
            <w:bookmarkEnd w:id="451"/>
            <w:r>
              <w:rPr>
                <w:rFonts w:ascii="Times New Roman"/>
                <w:sz w:val="21"/>
              </w:rPr>
              <w:t>0.01L</w:t>
            </w:r>
          </w:p>
        </w:tc>
        <w:tc>
          <w:tcPr>
            <w:tcW w:w="882" w:type="dxa"/>
          </w:tcPr>
          <w:p>
            <w:pPr>
              <w:pStyle w:val="14"/>
              <w:spacing w:before="152"/>
              <w:ind w:left="119" w:right="109"/>
              <w:rPr>
                <w:rFonts w:ascii="Times New Roman"/>
                <w:sz w:val="21"/>
              </w:rPr>
            </w:pPr>
            <w:bookmarkStart w:id="452" w:name="0.01L"/>
            <w:bookmarkEnd w:id="452"/>
            <w:r>
              <w:rPr>
                <w:rFonts w:ascii="Times New Roman"/>
                <w:sz w:val="21"/>
              </w:rPr>
              <w:t>0.01L</w:t>
            </w:r>
          </w:p>
        </w:tc>
        <w:tc>
          <w:tcPr>
            <w:tcW w:w="882" w:type="dxa"/>
          </w:tcPr>
          <w:p>
            <w:pPr>
              <w:pStyle w:val="14"/>
              <w:spacing w:before="152"/>
              <w:ind w:left="119" w:right="109"/>
              <w:rPr>
                <w:rFonts w:ascii="Times New Roman"/>
                <w:sz w:val="21"/>
              </w:rPr>
            </w:pPr>
            <w:bookmarkStart w:id="453" w:name="0.01L"/>
            <w:bookmarkEnd w:id="453"/>
            <w:r>
              <w:rPr>
                <w:rFonts w:ascii="Times New Roman"/>
                <w:sz w:val="21"/>
              </w:rPr>
              <w:t>0.01L</w:t>
            </w:r>
          </w:p>
        </w:tc>
        <w:tc>
          <w:tcPr>
            <w:tcW w:w="882" w:type="dxa"/>
          </w:tcPr>
          <w:p>
            <w:pPr>
              <w:pStyle w:val="14"/>
              <w:spacing w:before="152"/>
              <w:ind w:left="119" w:right="109"/>
              <w:rPr>
                <w:rFonts w:ascii="Times New Roman"/>
                <w:sz w:val="21"/>
              </w:rPr>
            </w:pPr>
            <w:bookmarkStart w:id="454" w:name="0.01L"/>
            <w:bookmarkEnd w:id="454"/>
            <w:r>
              <w:rPr>
                <w:rFonts w:ascii="Times New Roman"/>
                <w:sz w:val="21"/>
              </w:rPr>
              <w:t>0.01L</w:t>
            </w:r>
          </w:p>
        </w:tc>
        <w:tc>
          <w:tcPr>
            <w:tcW w:w="882" w:type="dxa"/>
          </w:tcPr>
          <w:p>
            <w:pPr>
              <w:pStyle w:val="14"/>
              <w:spacing w:before="152"/>
              <w:ind w:left="119" w:right="109"/>
              <w:rPr>
                <w:rFonts w:ascii="Times New Roman"/>
                <w:sz w:val="21"/>
              </w:rPr>
            </w:pPr>
            <w:bookmarkStart w:id="455" w:name="0.01L"/>
            <w:bookmarkEnd w:id="455"/>
            <w:r>
              <w:rPr>
                <w:rFonts w:ascii="Times New Roman"/>
                <w:sz w:val="21"/>
              </w:rPr>
              <w:t>0.01L</w:t>
            </w:r>
          </w:p>
        </w:tc>
        <w:tc>
          <w:tcPr>
            <w:tcW w:w="888" w:type="dxa"/>
          </w:tcPr>
          <w:p>
            <w:pPr>
              <w:pStyle w:val="14"/>
              <w:spacing w:before="152"/>
              <w:ind w:left="121" w:right="113"/>
              <w:rPr>
                <w:rFonts w:ascii="Times New Roman"/>
                <w:sz w:val="21"/>
              </w:rPr>
            </w:pPr>
            <w:bookmarkStart w:id="456" w:name="0.01L"/>
            <w:bookmarkEnd w:id="456"/>
            <w:r>
              <w:rPr>
                <w:rFonts w:ascii="Times New Roman"/>
                <w:sz w:val="21"/>
              </w:rPr>
              <w:t>0.01L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400" w:type="dxa"/>
          </w:tcPr>
          <w:p>
            <w:pPr>
              <w:pStyle w:val="14"/>
              <w:spacing w:before="1" w:line="251" w:lineRule="exact"/>
              <w:ind w:left="106" w:right="-15"/>
              <w:jc w:val="left"/>
              <w:rPr>
                <w:sz w:val="21"/>
              </w:rPr>
            </w:pPr>
            <w:r>
              <w:rPr>
                <w:spacing w:val="-2"/>
                <w:sz w:val="21"/>
              </w:rPr>
              <w:t>总铁</w:t>
            </w:r>
            <w:r>
              <w:rPr>
                <w:sz w:val="21"/>
              </w:rPr>
              <w:t>（</w:t>
            </w:r>
            <w:r>
              <w:rPr>
                <w:rFonts w:ascii="Times New Roman" w:eastAsia="Times New Roman"/>
                <w:sz w:val="21"/>
              </w:rPr>
              <w:t>mg/L</w:t>
            </w:r>
            <w:r>
              <w:rPr>
                <w:sz w:val="21"/>
              </w:rPr>
              <w:t>）</w:t>
            </w:r>
          </w:p>
        </w:tc>
        <w:tc>
          <w:tcPr>
            <w:tcW w:w="882" w:type="dxa"/>
          </w:tcPr>
          <w:p>
            <w:pPr>
              <w:pStyle w:val="14"/>
              <w:spacing w:before="18" w:line="235" w:lineRule="exact"/>
              <w:ind w:left="119" w:right="109"/>
              <w:rPr>
                <w:rFonts w:ascii="Times New Roman"/>
                <w:sz w:val="21"/>
              </w:rPr>
            </w:pPr>
            <w:bookmarkStart w:id="457" w:name="0.39"/>
            <w:bookmarkEnd w:id="457"/>
            <w:r>
              <w:rPr>
                <w:rFonts w:ascii="Times New Roman"/>
                <w:sz w:val="21"/>
              </w:rPr>
              <w:t>0.39</w:t>
            </w:r>
          </w:p>
        </w:tc>
        <w:tc>
          <w:tcPr>
            <w:tcW w:w="882" w:type="dxa"/>
          </w:tcPr>
          <w:p>
            <w:pPr>
              <w:pStyle w:val="14"/>
              <w:spacing w:before="18" w:line="235" w:lineRule="exact"/>
              <w:ind w:left="118" w:right="110"/>
              <w:rPr>
                <w:rFonts w:ascii="Times New Roman"/>
                <w:sz w:val="21"/>
              </w:rPr>
            </w:pPr>
            <w:bookmarkStart w:id="458" w:name="0.39"/>
            <w:bookmarkEnd w:id="458"/>
            <w:r>
              <w:rPr>
                <w:rFonts w:ascii="Times New Roman"/>
                <w:sz w:val="21"/>
              </w:rPr>
              <w:t>0.39</w:t>
            </w:r>
          </w:p>
        </w:tc>
        <w:tc>
          <w:tcPr>
            <w:tcW w:w="882" w:type="dxa"/>
          </w:tcPr>
          <w:p>
            <w:pPr>
              <w:pStyle w:val="14"/>
              <w:spacing w:before="18" w:line="235" w:lineRule="exact"/>
              <w:ind w:left="119" w:right="109"/>
              <w:rPr>
                <w:rFonts w:ascii="Times New Roman"/>
                <w:sz w:val="21"/>
              </w:rPr>
            </w:pPr>
            <w:bookmarkStart w:id="459" w:name="0.40"/>
            <w:bookmarkEnd w:id="459"/>
            <w:r>
              <w:rPr>
                <w:rFonts w:ascii="Times New Roman"/>
                <w:sz w:val="21"/>
              </w:rPr>
              <w:t>0.40</w:t>
            </w:r>
          </w:p>
        </w:tc>
        <w:tc>
          <w:tcPr>
            <w:tcW w:w="882" w:type="dxa"/>
          </w:tcPr>
          <w:p>
            <w:pPr>
              <w:pStyle w:val="14"/>
              <w:spacing w:before="18" w:line="235" w:lineRule="exact"/>
              <w:ind w:left="118" w:right="110"/>
              <w:rPr>
                <w:rFonts w:ascii="Times New Roman"/>
                <w:sz w:val="21"/>
              </w:rPr>
            </w:pPr>
            <w:bookmarkStart w:id="460" w:name="0.41"/>
            <w:bookmarkEnd w:id="460"/>
            <w:r>
              <w:rPr>
                <w:rFonts w:ascii="Times New Roman"/>
                <w:sz w:val="21"/>
              </w:rPr>
              <w:t>0.41</w:t>
            </w:r>
          </w:p>
        </w:tc>
        <w:tc>
          <w:tcPr>
            <w:tcW w:w="882" w:type="dxa"/>
          </w:tcPr>
          <w:p>
            <w:pPr>
              <w:pStyle w:val="14"/>
              <w:spacing w:before="18" w:line="235" w:lineRule="exact"/>
              <w:ind w:left="119" w:right="109"/>
              <w:rPr>
                <w:rFonts w:ascii="Times New Roman"/>
                <w:sz w:val="21"/>
              </w:rPr>
            </w:pPr>
            <w:bookmarkStart w:id="461" w:name="0.40"/>
            <w:bookmarkEnd w:id="461"/>
            <w:r>
              <w:rPr>
                <w:rFonts w:ascii="Times New Roman"/>
                <w:sz w:val="21"/>
              </w:rPr>
              <w:t>0.40</w:t>
            </w:r>
          </w:p>
        </w:tc>
        <w:tc>
          <w:tcPr>
            <w:tcW w:w="882" w:type="dxa"/>
          </w:tcPr>
          <w:p>
            <w:pPr>
              <w:pStyle w:val="14"/>
              <w:spacing w:before="18" w:line="235" w:lineRule="exact"/>
              <w:ind w:left="118" w:right="110"/>
              <w:rPr>
                <w:rFonts w:ascii="Times New Roman"/>
                <w:sz w:val="21"/>
              </w:rPr>
            </w:pPr>
            <w:bookmarkStart w:id="462" w:name="0.39"/>
            <w:bookmarkEnd w:id="462"/>
            <w:r>
              <w:rPr>
                <w:rFonts w:ascii="Times New Roman"/>
                <w:sz w:val="21"/>
              </w:rPr>
              <w:t>0.39</w:t>
            </w:r>
          </w:p>
        </w:tc>
        <w:tc>
          <w:tcPr>
            <w:tcW w:w="882" w:type="dxa"/>
          </w:tcPr>
          <w:p>
            <w:pPr>
              <w:pStyle w:val="14"/>
              <w:spacing w:before="18" w:line="235" w:lineRule="exact"/>
              <w:ind w:left="119" w:right="109"/>
              <w:rPr>
                <w:rFonts w:ascii="Times New Roman"/>
                <w:sz w:val="21"/>
              </w:rPr>
            </w:pPr>
            <w:bookmarkStart w:id="463" w:name="0.40"/>
            <w:bookmarkEnd w:id="463"/>
            <w:r>
              <w:rPr>
                <w:rFonts w:ascii="Times New Roman"/>
                <w:sz w:val="21"/>
              </w:rPr>
              <w:t>0.40</w:t>
            </w:r>
          </w:p>
        </w:tc>
        <w:tc>
          <w:tcPr>
            <w:tcW w:w="882" w:type="dxa"/>
          </w:tcPr>
          <w:p>
            <w:pPr>
              <w:pStyle w:val="14"/>
              <w:spacing w:before="18" w:line="235" w:lineRule="exact"/>
              <w:ind w:left="118" w:right="110"/>
              <w:rPr>
                <w:rFonts w:ascii="Times New Roman"/>
                <w:sz w:val="21"/>
              </w:rPr>
            </w:pPr>
            <w:bookmarkStart w:id="464" w:name="0.39"/>
            <w:bookmarkEnd w:id="464"/>
            <w:r>
              <w:rPr>
                <w:rFonts w:ascii="Times New Roman"/>
                <w:sz w:val="21"/>
              </w:rPr>
              <w:t>0.39</w:t>
            </w:r>
          </w:p>
        </w:tc>
        <w:tc>
          <w:tcPr>
            <w:tcW w:w="888" w:type="dxa"/>
          </w:tcPr>
          <w:p>
            <w:pPr>
              <w:pStyle w:val="14"/>
              <w:spacing w:before="18" w:line="235" w:lineRule="exact"/>
              <w:ind w:left="122" w:right="113"/>
              <w:rPr>
                <w:rFonts w:ascii="Times New Roman"/>
                <w:sz w:val="21"/>
              </w:rPr>
            </w:pPr>
            <w:bookmarkStart w:id="465" w:name="0.42"/>
            <w:bookmarkEnd w:id="465"/>
            <w:r>
              <w:rPr>
                <w:rFonts w:ascii="Times New Roman"/>
                <w:sz w:val="21"/>
              </w:rPr>
              <w:t>0.42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400" w:type="dxa"/>
          </w:tcPr>
          <w:p>
            <w:pPr>
              <w:pStyle w:val="14"/>
              <w:spacing w:line="252" w:lineRule="exact"/>
              <w:ind w:left="106" w:right="-15"/>
              <w:jc w:val="left"/>
              <w:rPr>
                <w:sz w:val="21"/>
              </w:rPr>
            </w:pPr>
            <w:r>
              <w:rPr>
                <w:spacing w:val="-2"/>
                <w:sz w:val="21"/>
              </w:rPr>
              <w:t>总锰</w:t>
            </w:r>
            <w:r>
              <w:rPr>
                <w:sz w:val="21"/>
              </w:rPr>
              <w:t>（</w:t>
            </w:r>
            <w:r>
              <w:rPr>
                <w:rFonts w:ascii="Times New Roman" w:eastAsia="Times New Roman"/>
                <w:sz w:val="21"/>
              </w:rPr>
              <w:t>mg/L</w:t>
            </w:r>
            <w:r>
              <w:rPr>
                <w:sz w:val="21"/>
              </w:rPr>
              <w:t>）</w:t>
            </w:r>
          </w:p>
        </w:tc>
        <w:tc>
          <w:tcPr>
            <w:tcW w:w="882" w:type="dxa"/>
          </w:tcPr>
          <w:p>
            <w:pPr>
              <w:pStyle w:val="14"/>
              <w:spacing w:before="18" w:line="234" w:lineRule="exact"/>
              <w:ind w:left="119" w:right="109"/>
              <w:rPr>
                <w:rFonts w:ascii="Times New Roman"/>
                <w:sz w:val="21"/>
              </w:rPr>
            </w:pPr>
            <w:bookmarkStart w:id="466" w:name="0.01"/>
            <w:bookmarkEnd w:id="466"/>
            <w:r>
              <w:rPr>
                <w:rFonts w:ascii="Times New Roman"/>
                <w:sz w:val="21"/>
              </w:rPr>
              <w:t>0.01</w:t>
            </w:r>
          </w:p>
        </w:tc>
        <w:tc>
          <w:tcPr>
            <w:tcW w:w="882" w:type="dxa"/>
          </w:tcPr>
          <w:p>
            <w:pPr>
              <w:pStyle w:val="14"/>
              <w:spacing w:before="18" w:line="234" w:lineRule="exact"/>
              <w:ind w:left="118" w:right="110"/>
              <w:rPr>
                <w:rFonts w:ascii="Times New Roman"/>
                <w:sz w:val="21"/>
              </w:rPr>
            </w:pPr>
            <w:bookmarkStart w:id="467" w:name="0.01"/>
            <w:bookmarkEnd w:id="467"/>
            <w:r>
              <w:rPr>
                <w:rFonts w:ascii="Times New Roman"/>
                <w:sz w:val="21"/>
              </w:rPr>
              <w:t>0.01</w:t>
            </w:r>
          </w:p>
        </w:tc>
        <w:tc>
          <w:tcPr>
            <w:tcW w:w="882" w:type="dxa"/>
          </w:tcPr>
          <w:p>
            <w:pPr>
              <w:pStyle w:val="14"/>
              <w:spacing w:before="18" w:line="234" w:lineRule="exact"/>
              <w:ind w:left="119" w:right="109"/>
              <w:rPr>
                <w:rFonts w:ascii="Times New Roman"/>
                <w:sz w:val="21"/>
              </w:rPr>
            </w:pPr>
            <w:bookmarkStart w:id="468" w:name="0.01"/>
            <w:bookmarkEnd w:id="468"/>
            <w:r>
              <w:rPr>
                <w:rFonts w:ascii="Times New Roman"/>
                <w:sz w:val="21"/>
              </w:rPr>
              <w:t>0.01</w:t>
            </w:r>
          </w:p>
        </w:tc>
        <w:tc>
          <w:tcPr>
            <w:tcW w:w="882" w:type="dxa"/>
          </w:tcPr>
          <w:p>
            <w:pPr>
              <w:pStyle w:val="14"/>
              <w:spacing w:before="18" w:line="234" w:lineRule="exact"/>
              <w:ind w:left="118" w:right="110"/>
              <w:rPr>
                <w:rFonts w:ascii="Times New Roman"/>
                <w:sz w:val="21"/>
              </w:rPr>
            </w:pPr>
            <w:bookmarkStart w:id="469" w:name="0.01"/>
            <w:bookmarkEnd w:id="469"/>
            <w:r>
              <w:rPr>
                <w:rFonts w:ascii="Times New Roman"/>
                <w:sz w:val="21"/>
              </w:rPr>
              <w:t>0.01</w:t>
            </w:r>
          </w:p>
        </w:tc>
        <w:tc>
          <w:tcPr>
            <w:tcW w:w="882" w:type="dxa"/>
          </w:tcPr>
          <w:p>
            <w:pPr>
              <w:pStyle w:val="14"/>
              <w:spacing w:before="18" w:line="234" w:lineRule="exact"/>
              <w:ind w:left="119" w:right="109"/>
              <w:rPr>
                <w:rFonts w:ascii="Times New Roman"/>
                <w:sz w:val="21"/>
              </w:rPr>
            </w:pPr>
            <w:bookmarkStart w:id="470" w:name="0.01"/>
            <w:bookmarkEnd w:id="470"/>
            <w:r>
              <w:rPr>
                <w:rFonts w:ascii="Times New Roman"/>
                <w:sz w:val="21"/>
              </w:rPr>
              <w:t>0.01</w:t>
            </w:r>
          </w:p>
        </w:tc>
        <w:tc>
          <w:tcPr>
            <w:tcW w:w="882" w:type="dxa"/>
          </w:tcPr>
          <w:p>
            <w:pPr>
              <w:pStyle w:val="14"/>
              <w:spacing w:before="18" w:line="234" w:lineRule="exact"/>
              <w:ind w:left="118" w:right="110"/>
              <w:rPr>
                <w:rFonts w:ascii="Times New Roman"/>
                <w:sz w:val="21"/>
              </w:rPr>
            </w:pPr>
            <w:bookmarkStart w:id="471" w:name="0.01"/>
            <w:bookmarkEnd w:id="471"/>
            <w:r>
              <w:rPr>
                <w:rFonts w:ascii="Times New Roman"/>
                <w:sz w:val="21"/>
              </w:rPr>
              <w:t>0.01</w:t>
            </w:r>
          </w:p>
        </w:tc>
        <w:tc>
          <w:tcPr>
            <w:tcW w:w="882" w:type="dxa"/>
          </w:tcPr>
          <w:p>
            <w:pPr>
              <w:pStyle w:val="14"/>
              <w:spacing w:before="18" w:line="234" w:lineRule="exact"/>
              <w:ind w:left="119" w:right="109"/>
              <w:rPr>
                <w:rFonts w:ascii="Times New Roman"/>
                <w:sz w:val="21"/>
              </w:rPr>
            </w:pPr>
            <w:bookmarkStart w:id="472" w:name="0.01"/>
            <w:bookmarkEnd w:id="472"/>
            <w:r>
              <w:rPr>
                <w:rFonts w:ascii="Times New Roman"/>
                <w:sz w:val="21"/>
              </w:rPr>
              <w:t>0.01</w:t>
            </w:r>
          </w:p>
        </w:tc>
        <w:tc>
          <w:tcPr>
            <w:tcW w:w="882" w:type="dxa"/>
          </w:tcPr>
          <w:p>
            <w:pPr>
              <w:pStyle w:val="14"/>
              <w:spacing w:before="18" w:line="234" w:lineRule="exact"/>
              <w:ind w:left="118" w:right="110"/>
              <w:rPr>
                <w:rFonts w:ascii="Times New Roman"/>
                <w:sz w:val="21"/>
              </w:rPr>
            </w:pPr>
            <w:bookmarkStart w:id="473" w:name="0.01"/>
            <w:bookmarkEnd w:id="473"/>
            <w:r>
              <w:rPr>
                <w:rFonts w:ascii="Times New Roman"/>
                <w:sz w:val="21"/>
              </w:rPr>
              <w:t>0.01</w:t>
            </w:r>
          </w:p>
        </w:tc>
        <w:tc>
          <w:tcPr>
            <w:tcW w:w="888" w:type="dxa"/>
          </w:tcPr>
          <w:p>
            <w:pPr>
              <w:pStyle w:val="14"/>
              <w:spacing w:before="18" w:line="234" w:lineRule="exact"/>
              <w:ind w:left="122" w:right="113"/>
              <w:rPr>
                <w:rFonts w:ascii="Times New Roman"/>
                <w:sz w:val="21"/>
              </w:rPr>
            </w:pPr>
            <w:bookmarkStart w:id="474" w:name="0.01"/>
            <w:bookmarkEnd w:id="474"/>
            <w:r>
              <w:rPr>
                <w:rFonts w:ascii="Times New Roman"/>
                <w:sz w:val="21"/>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400" w:type="dxa"/>
          </w:tcPr>
          <w:p>
            <w:pPr>
              <w:pStyle w:val="14"/>
              <w:spacing w:line="252" w:lineRule="exact"/>
              <w:ind w:left="109"/>
              <w:jc w:val="left"/>
              <w:rPr>
                <w:sz w:val="21"/>
              </w:rPr>
            </w:pPr>
            <w:r>
              <w:rPr>
                <w:sz w:val="21"/>
              </w:rPr>
              <w:t>总汞（</w:t>
            </w:r>
            <w:r>
              <w:rPr>
                <w:rFonts w:ascii="Times New Roman" w:hAnsi="Times New Roman" w:eastAsia="Times New Roman"/>
                <w:sz w:val="21"/>
              </w:rPr>
              <w:t>μg/L</w:t>
            </w:r>
            <w:r>
              <w:rPr>
                <w:sz w:val="21"/>
              </w:rPr>
              <w:t>）</w:t>
            </w:r>
          </w:p>
        </w:tc>
        <w:tc>
          <w:tcPr>
            <w:tcW w:w="882" w:type="dxa"/>
          </w:tcPr>
          <w:p>
            <w:pPr>
              <w:pStyle w:val="14"/>
              <w:spacing w:before="17" w:line="236" w:lineRule="exact"/>
              <w:ind w:left="119" w:right="109"/>
              <w:rPr>
                <w:rFonts w:ascii="Times New Roman"/>
                <w:sz w:val="21"/>
              </w:rPr>
            </w:pPr>
            <w:bookmarkStart w:id="475" w:name="0.04L"/>
            <w:bookmarkEnd w:id="475"/>
            <w:r>
              <w:rPr>
                <w:rFonts w:ascii="Times New Roman"/>
                <w:sz w:val="21"/>
              </w:rPr>
              <w:t>0.04L</w:t>
            </w:r>
          </w:p>
        </w:tc>
        <w:tc>
          <w:tcPr>
            <w:tcW w:w="882" w:type="dxa"/>
          </w:tcPr>
          <w:p>
            <w:pPr>
              <w:pStyle w:val="14"/>
              <w:spacing w:before="17" w:line="236" w:lineRule="exact"/>
              <w:ind w:left="119" w:right="109"/>
              <w:rPr>
                <w:rFonts w:ascii="Times New Roman"/>
                <w:sz w:val="21"/>
              </w:rPr>
            </w:pPr>
            <w:bookmarkStart w:id="476" w:name="0.04L"/>
            <w:bookmarkEnd w:id="476"/>
            <w:r>
              <w:rPr>
                <w:rFonts w:ascii="Times New Roman"/>
                <w:sz w:val="21"/>
              </w:rPr>
              <w:t>0.04L</w:t>
            </w:r>
          </w:p>
        </w:tc>
        <w:tc>
          <w:tcPr>
            <w:tcW w:w="882" w:type="dxa"/>
          </w:tcPr>
          <w:p>
            <w:pPr>
              <w:pStyle w:val="14"/>
              <w:spacing w:before="17" w:line="236" w:lineRule="exact"/>
              <w:ind w:left="119" w:right="109"/>
              <w:rPr>
                <w:rFonts w:ascii="Times New Roman"/>
                <w:sz w:val="21"/>
              </w:rPr>
            </w:pPr>
            <w:bookmarkStart w:id="477" w:name="0.04L"/>
            <w:bookmarkEnd w:id="477"/>
            <w:r>
              <w:rPr>
                <w:rFonts w:ascii="Times New Roman"/>
                <w:sz w:val="21"/>
              </w:rPr>
              <w:t>0.04L</w:t>
            </w:r>
          </w:p>
        </w:tc>
        <w:tc>
          <w:tcPr>
            <w:tcW w:w="882" w:type="dxa"/>
          </w:tcPr>
          <w:p>
            <w:pPr>
              <w:pStyle w:val="14"/>
              <w:spacing w:before="17" w:line="236" w:lineRule="exact"/>
              <w:ind w:left="119" w:right="109"/>
              <w:rPr>
                <w:rFonts w:ascii="Times New Roman"/>
                <w:sz w:val="21"/>
              </w:rPr>
            </w:pPr>
            <w:bookmarkStart w:id="478" w:name="0.04L"/>
            <w:bookmarkEnd w:id="478"/>
            <w:r>
              <w:rPr>
                <w:rFonts w:ascii="Times New Roman"/>
                <w:sz w:val="21"/>
              </w:rPr>
              <w:t>0.04L</w:t>
            </w:r>
          </w:p>
        </w:tc>
        <w:tc>
          <w:tcPr>
            <w:tcW w:w="882" w:type="dxa"/>
          </w:tcPr>
          <w:p>
            <w:pPr>
              <w:pStyle w:val="14"/>
              <w:spacing w:before="17" w:line="236" w:lineRule="exact"/>
              <w:ind w:left="119" w:right="109"/>
              <w:rPr>
                <w:rFonts w:ascii="Times New Roman"/>
                <w:sz w:val="21"/>
              </w:rPr>
            </w:pPr>
            <w:bookmarkStart w:id="479" w:name="0.04L"/>
            <w:bookmarkEnd w:id="479"/>
            <w:r>
              <w:rPr>
                <w:rFonts w:ascii="Times New Roman"/>
                <w:sz w:val="21"/>
              </w:rPr>
              <w:t>0.04L</w:t>
            </w:r>
          </w:p>
        </w:tc>
        <w:tc>
          <w:tcPr>
            <w:tcW w:w="882" w:type="dxa"/>
          </w:tcPr>
          <w:p>
            <w:pPr>
              <w:pStyle w:val="14"/>
              <w:spacing w:before="17" w:line="236" w:lineRule="exact"/>
              <w:ind w:left="119" w:right="109"/>
              <w:rPr>
                <w:rFonts w:ascii="Times New Roman"/>
                <w:sz w:val="21"/>
              </w:rPr>
            </w:pPr>
            <w:bookmarkStart w:id="480" w:name="0.04L"/>
            <w:bookmarkEnd w:id="480"/>
            <w:r>
              <w:rPr>
                <w:rFonts w:ascii="Times New Roman"/>
                <w:sz w:val="21"/>
              </w:rPr>
              <w:t>0.04L</w:t>
            </w:r>
          </w:p>
        </w:tc>
        <w:tc>
          <w:tcPr>
            <w:tcW w:w="882" w:type="dxa"/>
          </w:tcPr>
          <w:p>
            <w:pPr>
              <w:pStyle w:val="14"/>
              <w:spacing w:before="17" w:line="236" w:lineRule="exact"/>
              <w:ind w:left="119" w:right="109"/>
              <w:rPr>
                <w:rFonts w:ascii="Times New Roman"/>
                <w:sz w:val="21"/>
              </w:rPr>
            </w:pPr>
            <w:bookmarkStart w:id="481" w:name="0.04L"/>
            <w:bookmarkEnd w:id="481"/>
            <w:r>
              <w:rPr>
                <w:rFonts w:ascii="Times New Roman"/>
                <w:sz w:val="21"/>
              </w:rPr>
              <w:t>0.04L</w:t>
            </w:r>
          </w:p>
        </w:tc>
        <w:tc>
          <w:tcPr>
            <w:tcW w:w="882" w:type="dxa"/>
          </w:tcPr>
          <w:p>
            <w:pPr>
              <w:pStyle w:val="14"/>
              <w:spacing w:before="17" w:line="236" w:lineRule="exact"/>
              <w:ind w:left="119" w:right="109"/>
              <w:rPr>
                <w:rFonts w:ascii="Times New Roman"/>
                <w:sz w:val="21"/>
              </w:rPr>
            </w:pPr>
            <w:bookmarkStart w:id="482" w:name="0.04L"/>
            <w:bookmarkEnd w:id="482"/>
            <w:r>
              <w:rPr>
                <w:rFonts w:ascii="Times New Roman"/>
                <w:sz w:val="21"/>
              </w:rPr>
              <w:t>0.04L</w:t>
            </w:r>
          </w:p>
        </w:tc>
        <w:tc>
          <w:tcPr>
            <w:tcW w:w="888" w:type="dxa"/>
          </w:tcPr>
          <w:p>
            <w:pPr>
              <w:pStyle w:val="14"/>
              <w:spacing w:before="17" w:line="236" w:lineRule="exact"/>
              <w:ind w:left="121" w:right="113"/>
              <w:rPr>
                <w:rFonts w:ascii="Times New Roman"/>
                <w:sz w:val="21"/>
              </w:rPr>
            </w:pPr>
            <w:bookmarkStart w:id="483" w:name="0.04L"/>
            <w:bookmarkEnd w:id="483"/>
            <w:r>
              <w:rPr>
                <w:rFonts w:ascii="Times New Roman"/>
                <w:sz w:val="21"/>
              </w:rPr>
              <w:t>0.04L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400" w:type="dxa"/>
          </w:tcPr>
          <w:p>
            <w:pPr>
              <w:pStyle w:val="14"/>
              <w:spacing w:line="251" w:lineRule="exact"/>
              <w:ind w:left="109"/>
              <w:jc w:val="left"/>
              <w:rPr>
                <w:sz w:val="21"/>
              </w:rPr>
            </w:pPr>
            <w:r>
              <w:rPr>
                <w:sz w:val="21"/>
              </w:rPr>
              <w:t>总镉（</w:t>
            </w:r>
            <w:r>
              <w:rPr>
                <w:rFonts w:ascii="Times New Roman" w:hAnsi="Times New Roman" w:eastAsia="Times New Roman"/>
                <w:sz w:val="21"/>
              </w:rPr>
              <w:t>μg/L</w:t>
            </w:r>
            <w:r>
              <w:rPr>
                <w:sz w:val="21"/>
              </w:rPr>
              <w:t>）</w:t>
            </w:r>
          </w:p>
        </w:tc>
        <w:tc>
          <w:tcPr>
            <w:tcW w:w="882" w:type="dxa"/>
          </w:tcPr>
          <w:p>
            <w:pPr>
              <w:pStyle w:val="14"/>
              <w:spacing w:before="17" w:line="235" w:lineRule="exact"/>
              <w:ind w:left="119" w:right="109"/>
              <w:rPr>
                <w:rFonts w:ascii="Times New Roman"/>
                <w:sz w:val="21"/>
              </w:rPr>
            </w:pPr>
            <w:bookmarkStart w:id="484" w:name="0.1L"/>
            <w:bookmarkEnd w:id="484"/>
            <w:r>
              <w:rPr>
                <w:rFonts w:ascii="Times New Roman"/>
                <w:sz w:val="21"/>
              </w:rPr>
              <w:t>0.1L</w:t>
            </w:r>
          </w:p>
        </w:tc>
        <w:tc>
          <w:tcPr>
            <w:tcW w:w="882" w:type="dxa"/>
          </w:tcPr>
          <w:p>
            <w:pPr>
              <w:pStyle w:val="14"/>
              <w:spacing w:before="17" w:line="235" w:lineRule="exact"/>
              <w:ind w:left="119" w:right="107"/>
              <w:rPr>
                <w:rFonts w:ascii="Times New Roman"/>
                <w:sz w:val="21"/>
              </w:rPr>
            </w:pPr>
            <w:bookmarkStart w:id="485" w:name="0.1L"/>
            <w:bookmarkEnd w:id="485"/>
            <w:r>
              <w:rPr>
                <w:rFonts w:ascii="Times New Roman"/>
                <w:sz w:val="21"/>
              </w:rPr>
              <w:t>0.1L</w:t>
            </w:r>
          </w:p>
        </w:tc>
        <w:tc>
          <w:tcPr>
            <w:tcW w:w="882" w:type="dxa"/>
          </w:tcPr>
          <w:p>
            <w:pPr>
              <w:pStyle w:val="14"/>
              <w:spacing w:before="17" w:line="235" w:lineRule="exact"/>
              <w:ind w:left="119" w:right="109"/>
              <w:rPr>
                <w:rFonts w:ascii="Times New Roman"/>
                <w:sz w:val="21"/>
              </w:rPr>
            </w:pPr>
            <w:bookmarkStart w:id="486" w:name="0.1L"/>
            <w:bookmarkEnd w:id="486"/>
            <w:r>
              <w:rPr>
                <w:rFonts w:ascii="Times New Roman"/>
                <w:sz w:val="21"/>
              </w:rPr>
              <w:t>0.1L</w:t>
            </w:r>
          </w:p>
        </w:tc>
        <w:tc>
          <w:tcPr>
            <w:tcW w:w="882" w:type="dxa"/>
          </w:tcPr>
          <w:p>
            <w:pPr>
              <w:pStyle w:val="14"/>
              <w:spacing w:before="17" w:line="235" w:lineRule="exact"/>
              <w:ind w:left="119" w:right="107"/>
              <w:rPr>
                <w:rFonts w:ascii="Times New Roman"/>
                <w:sz w:val="21"/>
              </w:rPr>
            </w:pPr>
            <w:bookmarkStart w:id="487" w:name="0.1L"/>
            <w:bookmarkEnd w:id="487"/>
            <w:r>
              <w:rPr>
                <w:rFonts w:ascii="Times New Roman"/>
                <w:sz w:val="21"/>
              </w:rPr>
              <w:t>0.1L</w:t>
            </w:r>
          </w:p>
        </w:tc>
        <w:tc>
          <w:tcPr>
            <w:tcW w:w="882" w:type="dxa"/>
          </w:tcPr>
          <w:p>
            <w:pPr>
              <w:pStyle w:val="14"/>
              <w:spacing w:before="17" w:line="235" w:lineRule="exact"/>
              <w:ind w:left="119" w:right="109"/>
              <w:rPr>
                <w:rFonts w:ascii="Times New Roman"/>
                <w:sz w:val="21"/>
              </w:rPr>
            </w:pPr>
            <w:bookmarkStart w:id="488" w:name="0.1L"/>
            <w:bookmarkEnd w:id="488"/>
            <w:r>
              <w:rPr>
                <w:rFonts w:ascii="Times New Roman"/>
                <w:sz w:val="21"/>
              </w:rPr>
              <w:t>0.1L</w:t>
            </w:r>
          </w:p>
        </w:tc>
        <w:tc>
          <w:tcPr>
            <w:tcW w:w="882" w:type="dxa"/>
          </w:tcPr>
          <w:p>
            <w:pPr>
              <w:pStyle w:val="14"/>
              <w:spacing w:before="17" w:line="235" w:lineRule="exact"/>
              <w:ind w:left="119" w:right="107"/>
              <w:rPr>
                <w:rFonts w:ascii="Times New Roman"/>
                <w:sz w:val="21"/>
              </w:rPr>
            </w:pPr>
            <w:bookmarkStart w:id="489" w:name="0.1L"/>
            <w:bookmarkEnd w:id="489"/>
            <w:r>
              <w:rPr>
                <w:rFonts w:ascii="Times New Roman"/>
                <w:sz w:val="21"/>
              </w:rPr>
              <w:t>0.1L</w:t>
            </w:r>
          </w:p>
        </w:tc>
        <w:tc>
          <w:tcPr>
            <w:tcW w:w="882" w:type="dxa"/>
          </w:tcPr>
          <w:p>
            <w:pPr>
              <w:pStyle w:val="14"/>
              <w:spacing w:before="17" w:line="235" w:lineRule="exact"/>
              <w:ind w:left="119" w:right="109"/>
              <w:rPr>
                <w:rFonts w:ascii="Times New Roman"/>
                <w:sz w:val="21"/>
              </w:rPr>
            </w:pPr>
            <w:bookmarkStart w:id="490" w:name="0.1L"/>
            <w:bookmarkEnd w:id="490"/>
            <w:r>
              <w:rPr>
                <w:rFonts w:ascii="Times New Roman"/>
                <w:sz w:val="21"/>
              </w:rPr>
              <w:t>0.1L</w:t>
            </w:r>
          </w:p>
        </w:tc>
        <w:tc>
          <w:tcPr>
            <w:tcW w:w="882" w:type="dxa"/>
          </w:tcPr>
          <w:p>
            <w:pPr>
              <w:pStyle w:val="14"/>
              <w:spacing w:before="17" w:line="235" w:lineRule="exact"/>
              <w:ind w:left="119" w:right="107"/>
              <w:rPr>
                <w:rFonts w:ascii="Times New Roman"/>
                <w:sz w:val="21"/>
              </w:rPr>
            </w:pPr>
            <w:bookmarkStart w:id="491" w:name="0.1L"/>
            <w:bookmarkEnd w:id="491"/>
            <w:r>
              <w:rPr>
                <w:rFonts w:ascii="Times New Roman"/>
                <w:sz w:val="21"/>
              </w:rPr>
              <w:t>0.1L</w:t>
            </w:r>
          </w:p>
        </w:tc>
        <w:tc>
          <w:tcPr>
            <w:tcW w:w="888" w:type="dxa"/>
          </w:tcPr>
          <w:p>
            <w:pPr>
              <w:pStyle w:val="14"/>
              <w:spacing w:before="17" w:line="235" w:lineRule="exact"/>
              <w:ind w:left="121" w:right="113"/>
              <w:rPr>
                <w:rFonts w:ascii="Times New Roman"/>
                <w:sz w:val="21"/>
              </w:rPr>
            </w:pPr>
            <w:bookmarkStart w:id="492" w:name="0.1L"/>
            <w:bookmarkEnd w:id="492"/>
            <w:r>
              <w:rPr>
                <w:rFonts w:ascii="Times New Roman"/>
                <w:sz w:val="21"/>
              </w:rPr>
              <w:t>0.1L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400" w:type="dxa"/>
          </w:tcPr>
          <w:p>
            <w:pPr>
              <w:pStyle w:val="14"/>
              <w:spacing w:line="252" w:lineRule="exact"/>
              <w:ind w:left="106" w:right="-15"/>
              <w:jc w:val="left"/>
              <w:rPr>
                <w:sz w:val="21"/>
              </w:rPr>
            </w:pPr>
            <w:r>
              <w:rPr>
                <w:spacing w:val="-2"/>
                <w:sz w:val="21"/>
              </w:rPr>
              <w:t>总铬</w:t>
            </w:r>
            <w:r>
              <w:rPr>
                <w:sz w:val="21"/>
              </w:rPr>
              <w:t>（</w:t>
            </w:r>
            <w:r>
              <w:rPr>
                <w:rFonts w:ascii="Times New Roman" w:eastAsia="Times New Roman"/>
                <w:sz w:val="21"/>
              </w:rPr>
              <w:t>mg/L</w:t>
            </w:r>
            <w:r>
              <w:rPr>
                <w:sz w:val="21"/>
              </w:rPr>
              <w:t>）</w:t>
            </w:r>
          </w:p>
        </w:tc>
        <w:tc>
          <w:tcPr>
            <w:tcW w:w="882" w:type="dxa"/>
          </w:tcPr>
          <w:p>
            <w:pPr>
              <w:pStyle w:val="14"/>
              <w:spacing w:before="16" w:line="236" w:lineRule="exact"/>
              <w:ind w:left="119" w:right="109"/>
              <w:rPr>
                <w:rFonts w:ascii="Times New Roman"/>
                <w:sz w:val="21"/>
              </w:rPr>
            </w:pPr>
            <w:bookmarkStart w:id="493" w:name="0.03L"/>
            <w:bookmarkEnd w:id="493"/>
            <w:r>
              <w:rPr>
                <w:rFonts w:ascii="Times New Roman"/>
                <w:sz w:val="21"/>
              </w:rPr>
              <w:t>0.03L</w:t>
            </w:r>
          </w:p>
        </w:tc>
        <w:tc>
          <w:tcPr>
            <w:tcW w:w="882" w:type="dxa"/>
          </w:tcPr>
          <w:p>
            <w:pPr>
              <w:pStyle w:val="14"/>
              <w:spacing w:before="16" w:line="236" w:lineRule="exact"/>
              <w:ind w:left="119" w:right="109"/>
              <w:rPr>
                <w:rFonts w:ascii="Times New Roman"/>
                <w:sz w:val="21"/>
              </w:rPr>
            </w:pPr>
            <w:bookmarkStart w:id="494" w:name="0.03L"/>
            <w:bookmarkEnd w:id="494"/>
            <w:r>
              <w:rPr>
                <w:rFonts w:ascii="Times New Roman"/>
                <w:sz w:val="21"/>
              </w:rPr>
              <w:t>0.03L</w:t>
            </w:r>
          </w:p>
        </w:tc>
        <w:tc>
          <w:tcPr>
            <w:tcW w:w="882" w:type="dxa"/>
          </w:tcPr>
          <w:p>
            <w:pPr>
              <w:pStyle w:val="14"/>
              <w:spacing w:before="16" w:line="236" w:lineRule="exact"/>
              <w:ind w:left="119" w:right="109"/>
              <w:rPr>
                <w:rFonts w:ascii="Times New Roman"/>
                <w:sz w:val="21"/>
              </w:rPr>
            </w:pPr>
            <w:bookmarkStart w:id="495" w:name="0.03L"/>
            <w:bookmarkEnd w:id="495"/>
            <w:r>
              <w:rPr>
                <w:rFonts w:ascii="Times New Roman"/>
                <w:sz w:val="21"/>
              </w:rPr>
              <w:t>0.03L</w:t>
            </w:r>
          </w:p>
        </w:tc>
        <w:tc>
          <w:tcPr>
            <w:tcW w:w="882" w:type="dxa"/>
          </w:tcPr>
          <w:p>
            <w:pPr>
              <w:pStyle w:val="14"/>
              <w:spacing w:before="16" w:line="236" w:lineRule="exact"/>
              <w:ind w:left="119" w:right="109"/>
              <w:rPr>
                <w:rFonts w:ascii="Times New Roman"/>
                <w:sz w:val="21"/>
              </w:rPr>
            </w:pPr>
            <w:bookmarkStart w:id="496" w:name="0.03L"/>
            <w:bookmarkEnd w:id="496"/>
            <w:r>
              <w:rPr>
                <w:rFonts w:ascii="Times New Roman"/>
                <w:sz w:val="21"/>
              </w:rPr>
              <w:t>0.03L</w:t>
            </w:r>
          </w:p>
        </w:tc>
        <w:tc>
          <w:tcPr>
            <w:tcW w:w="882" w:type="dxa"/>
          </w:tcPr>
          <w:p>
            <w:pPr>
              <w:pStyle w:val="14"/>
              <w:spacing w:before="16" w:line="236" w:lineRule="exact"/>
              <w:ind w:left="119" w:right="109"/>
              <w:rPr>
                <w:rFonts w:ascii="Times New Roman"/>
                <w:sz w:val="21"/>
              </w:rPr>
            </w:pPr>
            <w:bookmarkStart w:id="497" w:name="0.03L"/>
            <w:bookmarkEnd w:id="497"/>
            <w:r>
              <w:rPr>
                <w:rFonts w:ascii="Times New Roman"/>
                <w:sz w:val="21"/>
              </w:rPr>
              <w:t>0.03L</w:t>
            </w:r>
          </w:p>
        </w:tc>
        <w:tc>
          <w:tcPr>
            <w:tcW w:w="882" w:type="dxa"/>
          </w:tcPr>
          <w:p>
            <w:pPr>
              <w:pStyle w:val="14"/>
              <w:spacing w:before="16" w:line="236" w:lineRule="exact"/>
              <w:ind w:left="119" w:right="109"/>
              <w:rPr>
                <w:rFonts w:ascii="Times New Roman"/>
                <w:sz w:val="21"/>
              </w:rPr>
            </w:pPr>
            <w:bookmarkStart w:id="498" w:name="0.03L"/>
            <w:bookmarkEnd w:id="498"/>
            <w:r>
              <w:rPr>
                <w:rFonts w:ascii="Times New Roman"/>
                <w:sz w:val="21"/>
              </w:rPr>
              <w:t>0.03L</w:t>
            </w:r>
          </w:p>
        </w:tc>
        <w:tc>
          <w:tcPr>
            <w:tcW w:w="882" w:type="dxa"/>
          </w:tcPr>
          <w:p>
            <w:pPr>
              <w:pStyle w:val="14"/>
              <w:spacing w:before="16" w:line="236" w:lineRule="exact"/>
              <w:ind w:left="119" w:right="109"/>
              <w:rPr>
                <w:rFonts w:ascii="Times New Roman"/>
                <w:sz w:val="21"/>
              </w:rPr>
            </w:pPr>
            <w:bookmarkStart w:id="499" w:name="0.03L"/>
            <w:bookmarkEnd w:id="499"/>
            <w:r>
              <w:rPr>
                <w:rFonts w:ascii="Times New Roman"/>
                <w:sz w:val="21"/>
              </w:rPr>
              <w:t>0.03L</w:t>
            </w:r>
          </w:p>
        </w:tc>
        <w:tc>
          <w:tcPr>
            <w:tcW w:w="882" w:type="dxa"/>
          </w:tcPr>
          <w:p>
            <w:pPr>
              <w:pStyle w:val="14"/>
              <w:spacing w:before="16" w:line="236" w:lineRule="exact"/>
              <w:ind w:left="119" w:right="109"/>
              <w:rPr>
                <w:rFonts w:ascii="Times New Roman"/>
                <w:sz w:val="21"/>
              </w:rPr>
            </w:pPr>
            <w:bookmarkStart w:id="500" w:name="0.03L"/>
            <w:bookmarkEnd w:id="500"/>
            <w:r>
              <w:rPr>
                <w:rFonts w:ascii="Times New Roman"/>
                <w:sz w:val="21"/>
              </w:rPr>
              <w:t>0.03L</w:t>
            </w:r>
          </w:p>
        </w:tc>
        <w:tc>
          <w:tcPr>
            <w:tcW w:w="888" w:type="dxa"/>
          </w:tcPr>
          <w:p>
            <w:pPr>
              <w:pStyle w:val="14"/>
              <w:spacing w:before="16" w:line="236" w:lineRule="exact"/>
              <w:ind w:left="121" w:right="113"/>
              <w:rPr>
                <w:rFonts w:ascii="Times New Roman"/>
                <w:sz w:val="21"/>
              </w:rPr>
            </w:pPr>
            <w:bookmarkStart w:id="501" w:name="0.03L"/>
            <w:bookmarkEnd w:id="501"/>
            <w:r>
              <w:rPr>
                <w:rFonts w:ascii="Times New Roman"/>
                <w:sz w:val="21"/>
              </w:rPr>
              <w:t>0.03L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400" w:type="dxa"/>
          </w:tcPr>
          <w:p>
            <w:pPr>
              <w:pStyle w:val="14"/>
              <w:spacing w:before="1" w:line="252" w:lineRule="exact"/>
              <w:ind w:left="109"/>
              <w:jc w:val="left"/>
              <w:rPr>
                <w:sz w:val="21"/>
              </w:rPr>
            </w:pPr>
            <w:r>
              <w:rPr>
                <w:sz w:val="21"/>
              </w:rPr>
              <w:t>总铅（</w:t>
            </w:r>
            <w:r>
              <w:rPr>
                <w:rFonts w:ascii="Times New Roman" w:hAnsi="Times New Roman" w:eastAsia="Times New Roman"/>
                <w:sz w:val="21"/>
              </w:rPr>
              <w:t>μg/L</w:t>
            </w:r>
            <w:r>
              <w:rPr>
                <w:sz w:val="21"/>
              </w:rPr>
              <w:t>）</w:t>
            </w:r>
          </w:p>
        </w:tc>
        <w:tc>
          <w:tcPr>
            <w:tcW w:w="882" w:type="dxa"/>
          </w:tcPr>
          <w:p>
            <w:pPr>
              <w:pStyle w:val="14"/>
              <w:spacing w:before="17" w:line="236" w:lineRule="exact"/>
              <w:ind w:left="119" w:right="109"/>
              <w:rPr>
                <w:rFonts w:ascii="Times New Roman"/>
                <w:sz w:val="21"/>
              </w:rPr>
            </w:pPr>
            <w:bookmarkStart w:id="502" w:name="10L"/>
            <w:bookmarkEnd w:id="502"/>
            <w:r>
              <w:rPr>
                <w:rFonts w:ascii="Times New Roman"/>
                <w:sz w:val="21"/>
              </w:rPr>
              <w:t>10L</w:t>
            </w:r>
          </w:p>
        </w:tc>
        <w:tc>
          <w:tcPr>
            <w:tcW w:w="882" w:type="dxa"/>
          </w:tcPr>
          <w:p>
            <w:pPr>
              <w:pStyle w:val="14"/>
              <w:spacing w:before="17" w:line="236" w:lineRule="exact"/>
              <w:ind w:left="119" w:right="107"/>
              <w:rPr>
                <w:rFonts w:ascii="Times New Roman"/>
                <w:sz w:val="21"/>
              </w:rPr>
            </w:pPr>
            <w:bookmarkStart w:id="503" w:name="10L"/>
            <w:bookmarkEnd w:id="503"/>
            <w:r>
              <w:rPr>
                <w:rFonts w:ascii="Times New Roman"/>
                <w:sz w:val="21"/>
              </w:rPr>
              <w:t>10L</w:t>
            </w:r>
          </w:p>
        </w:tc>
        <w:tc>
          <w:tcPr>
            <w:tcW w:w="882" w:type="dxa"/>
          </w:tcPr>
          <w:p>
            <w:pPr>
              <w:pStyle w:val="14"/>
              <w:spacing w:before="17" w:line="236" w:lineRule="exact"/>
              <w:ind w:left="119" w:right="109"/>
              <w:rPr>
                <w:rFonts w:ascii="Times New Roman"/>
                <w:sz w:val="21"/>
              </w:rPr>
            </w:pPr>
            <w:bookmarkStart w:id="504" w:name="10L"/>
            <w:bookmarkEnd w:id="504"/>
            <w:r>
              <w:rPr>
                <w:rFonts w:ascii="Times New Roman"/>
                <w:sz w:val="21"/>
              </w:rPr>
              <w:t>10L</w:t>
            </w:r>
          </w:p>
        </w:tc>
        <w:tc>
          <w:tcPr>
            <w:tcW w:w="882" w:type="dxa"/>
          </w:tcPr>
          <w:p>
            <w:pPr>
              <w:pStyle w:val="14"/>
              <w:spacing w:before="17" w:line="236" w:lineRule="exact"/>
              <w:ind w:left="119" w:right="107"/>
              <w:rPr>
                <w:rFonts w:ascii="Times New Roman"/>
                <w:sz w:val="21"/>
              </w:rPr>
            </w:pPr>
            <w:bookmarkStart w:id="505" w:name="10L"/>
            <w:bookmarkEnd w:id="505"/>
            <w:r>
              <w:rPr>
                <w:rFonts w:ascii="Times New Roman"/>
                <w:sz w:val="21"/>
              </w:rPr>
              <w:t>10L</w:t>
            </w:r>
          </w:p>
        </w:tc>
        <w:tc>
          <w:tcPr>
            <w:tcW w:w="882" w:type="dxa"/>
          </w:tcPr>
          <w:p>
            <w:pPr>
              <w:pStyle w:val="14"/>
              <w:spacing w:before="17" w:line="236" w:lineRule="exact"/>
              <w:ind w:left="119" w:right="109"/>
              <w:rPr>
                <w:rFonts w:ascii="Times New Roman"/>
                <w:sz w:val="21"/>
              </w:rPr>
            </w:pPr>
            <w:bookmarkStart w:id="506" w:name="10L"/>
            <w:bookmarkEnd w:id="506"/>
            <w:r>
              <w:rPr>
                <w:rFonts w:ascii="Times New Roman"/>
                <w:sz w:val="21"/>
              </w:rPr>
              <w:t>10L</w:t>
            </w:r>
          </w:p>
        </w:tc>
        <w:tc>
          <w:tcPr>
            <w:tcW w:w="882" w:type="dxa"/>
          </w:tcPr>
          <w:p>
            <w:pPr>
              <w:pStyle w:val="14"/>
              <w:spacing w:before="17" w:line="236" w:lineRule="exact"/>
              <w:ind w:left="119" w:right="107"/>
              <w:rPr>
                <w:rFonts w:ascii="Times New Roman"/>
                <w:sz w:val="21"/>
              </w:rPr>
            </w:pPr>
            <w:bookmarkStart w:id="507" w:name="10L"/>
            <w:bookmarkEnd w:id="507"/>
            <w:r>
              <w:rPr>
                <w:rFonts w:ascii="Times New Roman"/>
                <w:sz w:val="21"/>
              </w:rPr>
              <w:t>10L</w:t>
            </w:r>
          </w:p>
        </w:tc>
        <w:tc>
          <w:tcPr>
            <w:tcW w:w="882" w:type="dxa"/>
          </w:tcPr>
          <w:p>
            <w:pPr>
              <w:pStyle w:val="14"/>
              <w:spacing w:before="17" w:line="236" w:lineRule="exact"/>
              <w:ind w:left="119" w:right="109"/>
              <w:rPr>
                <w:rFonts w:ascii="Times New Roman"/>
                <w:sz w:val="21"/>
              </w:rPr>
            </w:pPr>
            <w:bookmarkStart w:id="508" w:name="10L"/>
            <w:bookmarkEnd w:id="508"/>
            <w:r>
              <w:rPr>
                <w:rFonts w:ascii="Times New Roman"/>
                <w:sz w:val="21"/>
              </w:rPr>
              <w:t>10L</w:t>
            </w:r>
          </w:p>
        </w:tc>
        <w:tc>
          <w:tcPr>
            <w:tcW w:w="882" w:type="dxa"/>
          </w:tcPr>
          <w:p>
            <w:pPr>
              <w:pStyle w:val="14"/>
              <w:spacing w:before="17" w:line="236" w:lineRule="exact"/>
              <w:ind w:left="119" w:right="107"/>
              <w:rPr>
                <w:rFonts w:ascii="Times New Roman"/>
                <w:sz w:val="21"/>
              </w:rPr>
            </w:pPr>
            <w:bookmarkStart w:id="509" w:name="10L"/>
            <w:bookmarkEnd w:id="509"/>
            <w:r>
              <w:rPr>
                <w:rFonts w:ascii="Times New Roman"/>
                <w:sz w:val="21"/>
              </w:rPr>
              <w:t>10L</w:t>
            </w:r>
          </w:p>
        </w:tc>
        <w:tc>
          <w:tcPr>
            <w:tcW w:w="888" w:type="dxa"/>
          </w:tcPr>
          <w:p>
            <w:pPr>
              <w:pStyle w:val="14"/>
              <w:spacing w:before="17" w:line="236" w:lineRule="exact"/>
              <w:ind w:left="121" w:right="113"/>
              <w:rPr>
                <w:rFonts w:ascii="Times New Roman"/>
                <w:sz w:val="21"/>
              </w:rPr>
            </w:pPr>
            <w:bookmarkStart w:id="510" w:name="10L"/>
            <w:bookmarkEnd w:id="510"/>
            <w:r>
              <w:rPr>
                <w:rFonts w:ascii="Times New Roman"/>
                <w:sz w:val="21"/>
              </w:rPr>
              <w:t>10L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400" w:type="dxa"/>
          </w:tcPr>
          <w:p>
            <w:pPr>
              <w:pStyle w:val="14"/>
              <w:spacing w:before="1" w:line="251" w:lineRule="exact"/>
              <w:ind w:left="109"/>
              <w:jc w:val="left"/>
              <w:rPr>
                <w:sz w:val="21"/>
              </w:rPr>
            </w:pPr>
            <w:r>
              <w:rPr>
                <w:sz w:val="21"/>
              </w:rPr>
              <w:t>总砷（</w:t>
            </w:r>
            <w:r>
              <w:rPr>
                <w:rFonts w:ascii="Times New Roman" w:hAnsi="Times New Roman" w:eastAsia="Times New Roman"/>
                <w:sz w:val="21"/>
              </w:rPr>
              <w:t>μg/L</w:t>
            </w:r>
            <w:r>
              <w:rPr>
                <w:sz w:val="21"/>
              </w:rPr>
              <w:t>）</w:t>
            </w:r>
          </w:p>
        </w:tc>
        <w:tc>
          <w:tcPr>
            <w:tcW w:w="882" w:type="dxa"/>
          </w:tcPr>
          <w:p>
            <w:pPr>
              <w:pStyle w:val="14"/>
              <w:spacing w:before="17" w:line="235" w:lineRule="exact"/>
              <w:ind w:left="119" w:right="109"/>
              <w:rPr>
                <w:rFonts w:ascii="Times New Roman"/>
                <w:sz w:val="21"/>
              </w:rPr>
            </w:pPr>
            <w:bookmarkStart w:id="511" w:name="0.3L"/>
            <w:bookmarkEnd w:id="511"/>
            <w:r>
              <w:rPr>
                <w:rFonts w:ascii="Times New Roman"/>
                <w:sz w:val="21"/>
              </w:rPr>
              <w:t>0.3L</w:t>
            </w:r>
          </w:p>
        </w:tc>
        <w:tc>
          <w:tcPr>
            <w:tcW w:w="882" w:type="dxa"/>
          </w:tcPr>
          <w:p>
            <w:pPr>
              <w:pStyle w:val="14"/>
              <w:spacing w:before="17" w:line="235" w:lineRule="exact"/>
              <w:ind w:left="119" w:right="107"/>
              <w:rPr>
                <w:rFonts w:ascii="Times New Roman"/>
                <w:sz w:val="21"/>
              </w:rPr>
            </w:pPr>
            <w:bookmarkStart w:id="512" w:name="0.3L"/>
            <w:bookmarkEnd w:id="512"/>
            <w:r>
              <w:rPr>
                <w:rFonts w:ascii="Times New Roman"/>
                <w:sz w:val="21"/>
              </w:rPr>
              <w:t>0.3L</w:t>
            </w:r>
          </w:p>
        </w:tc>
        <w:tc>
          <w:tcPr>
            <w:tcW w:w="882" w:type="dxa"/>
          </w:tcPr>
          <w:p>
            <w:pPr>
              <w:pStyle w:val="14"/>
              <w:spacing w:before="17" w:line="235" w:lineRule="exact"/>
              <w:ind w:left="119" w:right="109"/>
              <w:rPr>
                <w:rFonts w:ascii="Times New Roman"/>
                <w:sz w:val="21"/>
              </w:rPr>
            </w:pPr>
            <w:bookmarkStart w:id="513" w:name="0.3L"/>
            <w:bookmarkEnd w:id="513"/>
            <w:r>
              <w:rPr>
                <w:rFonts w:ascii="Times New Roman"/>
                <w:sz w:val="21"/>
              </w:rPr>
              <w:t>0.3L</w:t>
            </w:r>
          </w:p>
        </w:tc>
        <w:tc>
          <w:tcPr>
            <w:tcW w:w="882" w:type="dxa"/>
          </w:tcPr>
          <w:p>
            <w:pPr>
              <w:pStyle w:val="14"/>
              <w:spacing w:before="17" w:line="235" w:lineRule="exact"/>
              <w:ind w:left="119" w:right="107"/>
              <w:rPr>
                <w:rFonts w:ascii="Times New Roman"/>
                <w:sz w:val="21"/>
              </w:rPr>
            </w:pPr>
            <w:bookmarkStart w:id="514" w:name="0.3L"/>
            <w:bookmarkEnd w:id="514"/>
            <w:r>
              <w:rPr>
                <w:rFonts w:ascii="Times New Roman"/>
                <w:sz w:val="21"/>
              </w:rPr>
              <w:t>0.3L</w:t>
            </w:r>
          </w:p>
        </w:tc>
        <w:tc>
          <w:tcPr>
            <w:tcW w:w="882" w:type="dxa"/>
          </w:tcPr>
          <w:p>
            <w:pPr>
              <w:pStyle w:val="14"/>
              <w:spacing w:before="17" w:line="235" w:lineRule="exact"/>
              <w:ind w:left="119" w:right="109"/>
              <w:rPr>
                <w:rFonts w:ascii="Times New Roman"/>
                <w:sz w:val="21"/>
              </w:rPr>
            </w:pPr>
            <w:bookmarkStart w:id="515" w:name="0.3L"/>
            <w:bookmarkEnd w:id="515"/>
            <w:r>
              <w:rPr>
                <w:rFonts w:ascii="Times New Roman"/>
                <w:sz w:val="21"/>
              </w:rPr>
              <w:t>0.3L</w:t>
            </w:r>
          </w:p>
        </w:tc>
        <w:tc>
          <w:tcPr>
            <w:tcW w:w="882" w:type="dxa"/>
          </w:tcPr>
          <w:p>
            <w:pPr>
              <w:pStyle w:val="14"/>
              <w:spacing w:before="17" w:line="235" w:lineRule="exact"/>
              <w:ind w:left="119" w:right="107"/>
              <w:rPr>
                <w:rFonts w:ascii="Times New Roman"/>
                <w:sz w:val="21"/>
              </w:rPr>
            </w:pPr>
            <w:bookmarkStart w:id="516" w:name="0.3L"/>
            <w:bookmarkEnd w:id="516"/>
            <w:r>
              <w:rPr>
                <w:rFonts w:ascii="Times New Roman"/>
                <w:sz w:val="21"/>
              </w:rPr>
              <w:t>0.3L</w:t>
            </w:r>
          </w:p>
        </w:tc>
        <w:tc>
          <w:tcPr>
            <w:tcW w:w="882" w:type="dxa"/>
          </w:tcPr>
          <w:p>
            <w:pPr>
              <w:pStyle w:val="14"/>
              <w:spacing w:before="17" w:line="235" w:lineRule="exact"/>
              <w:ind w:left="119" w:right="109"/>
              <w:rPr>
                <w:rFonts w:ascii="Times New Roman"/>
                <w:sz w:val="21"/>
              </w:rPr>
            </w:pPr>
            <w:bookmarkStart w:id="517" w:name="0.3L"/>
            <w:bookmarkEnd w:id="517"/>
            <w:r>
              <w:rPr>
                <w:rFonts w:ascii="Times New Roman"/>
                <w:sz w:val="21"/>
              </w:rPr>
              <w:t>0.3L</w:t>
            </w:r>
          </w:p>
        </w:tc>
        <w:tc>
          <w:tcPr>
            <w:tcW w:w="882" w:type="dxa"/>
          </w:tcPr>
          <w:p>
            <w:pPr>
              <w:pStyle w:val="14"/>
              <w:spacing w:before="17" w:line="235" w:lineRule="exact"/>
              <w:ind w:left="119" w:right="107"/>
              <w:rPr>
                <w:rFonts w:ascii="Times New Roman"/>
                <w:sz w:val="21"/>
              </w:rPr>
            </w:pPr>
            <w:bookmarkStart w:id="518" w:name="0.3L"/>
            <w:bookmarkEnd w:id="518"/>
            <w:r>
              <w:rPr>
                <w:rFonts w:ascii="Times New Roman"/>
                <w:sz w:val="21"/>
              </w:rPr>
              <w:t>0.3L</w:t>
            </w:r>
          </w:p>
        </w:tc>
        <w:tc>
          <w:tcPr>
            <w:tcW w:w="888" w:type="dxa"/>
          </w:tcPr>
          <w:p>
            <w:pPr>
              <w:pStyle w:val="14"/>
              <w:spacing w:before="17" w:line="235" w:lineRule="exact"/>
              <w:ind w:left="121" w:right="113"/>
              <w:rPr>
                <w:rFonts w:ascii="Times New Roman"/>
                <w:sz w:val="21"/>
              </w:rPr>
            </w:pPr>
            <w:bookmarkStart w:id="519" w:name="0.3L"/>
            <w:bookmarkEnd w:id="519"/>
            <w:r>
              <w:rPr>
                <w:rFonts w:ascii="Times New Roman"/>
                <w:sz w:val="21"/>
              </w:rPr>
              <w:t>0.3L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400" w:type="dxa"/>
          </w:tcPr>
          <w:p>
            <w:pPr>
              <w:pStyle w:val="14"/>
              <w:spacing w:line="252" w:lineRule="exact"/>
              <w:ind w:left="106" w:right="-15"/>
              <w:jc w:val="left"/>
              <w:rPr>
                <w:sz w:val="21"/>
              </w:rPr>
            </w:pPr>
            <w:r>
              <w:rPr>
                <w:spacing w:val="-2"/>
                <w:sz w:val="21"/>
              </w:rPr>
              <w:t>总锌</w:t>
            </w:r>
            <w:r>
              <w:rPr>
                <w:sz w:val="21"/>
              </w:rPr>
              <w:t>（</w:t>
            </w:r>
            <w:r>
              <w:rPr>
                <w:rFonts w:ascii="Times New Roman" w:eastAsia="Times New Roman"/>
                <w:sz w:val="21"/>
              </w:rPr>
              <w:t>mg/L</w:t>
            </w:r>
            <w:r>
              <w:rPr>
                <w:sz w:val="21"/>
              </w:rPr>
              <w:t>）</w:t>
            </w:r>
          </w:p>
        </w:tc>
        <w:tc>
          <w:tcPr>
            <w:tcW w:w="882" w:type="dxa"/>
          </w:tcPr>
          <w:p>
            <w:pPr>
              <w:pStyle w:val="14"/>
              <w:spacing w:before="16" w:line="236" w:lineRule="exact"/>
              <w:ind w:left="119" w:right="109"/>
              <w:rPr>
                <w:rFonts w:ascii="Times New Roman"/>
                <w:sz w:val="21"/>
              </w:rPr>
            </w:pPr>
            <w:bookmarkStart w:id="520" w:name="0.05L"/>
            <w:bookmarkEnd w:id="520"/>
            <w:r>
              <w:rPr>
                <w:rFonts w:ascii="Times New Roman"/>
                <w:sz w:val="21"/>
              </w:rPr>
              <w:t>0.05L</w:t>
            </w:r>
          </w:p>
        </w:tc>
        <w:tc>
          <w:tcPr>
            <w:tcW w:w="882" w:type="dxa"/>
          </w:tcPr>
          <w:p>
            <w:pPr>
              <w:pStyle w:val="14"/>
              <w:spacing w:before="16" w:line="236" w:lineRule="exact"/>
              <w:ind w:left="118" w:right="110"/>
              <w:rPr>
                <w:rFonts w:ascii="Times New Roman"/>
                <w:sz w:val="21"/>
              </w:rPr>
            </w:pPr>
            <w:bookmarkStart w:id="521" w:name="0.05"/>
            <w:bookmarkEnd w:id="521"/>
            <w:r>
              <w:rPr>
                <w:rFonts w:ascii="Times New Roman"/>
                <w:sz w:val="21"/>
              </w:rPr>
              <w:t>0.05</w:t>
            </w:r>
          </w:p>
        </w:tc>
        <w:tc>
          <w:tcPr>
            <w:tcW w:w="882" w:type="dxa"/>
          </w:tcPr>
          <w:p>
            <w:pPr>
              <w:pStyle w:val="14"/>
              <w:spacing w:before="16" w:line="236" w:lineRule="exact"/>
              <w:ind w:left="119" w:right="109"/>
              <w:rPr>
                <w:rFonts w:ascii="Times New Roman"/>
                <w:sz w:val="21"/>
              </w:rPr>
            </w:pPr>
            <w:bookmarkStart w:id="522" w:name="0.05"/>
            <w:bookmarkEnd w:id="522"/>
            <w:r>
              <w:rPr>
                <w:rFonts w:ascii="Times New Roman"/>
                <w:sz w:val="21"/>
              </w:rPr>
              <w:t>0.05</w:t>
            </w:r>
          </w:p>
        </w:tc>
        <w:tc>
          <w:tcPr>
            <w:tcW w:w="882" w:type="dxa"/>
          </w:tcPr>
          <w:p>
            <w:pPr>
              <w:pStyle w:val="14"/>
              <w:spacing w:before="16" w:line="236" w:lineRule="exact"/>
              <w:ind w:left="118" w:right="110"/>
              <w:rPr>
                <w:rFonts w:ascii="Times New Roman"/>
                <w:sz w:val="21"/>
              </w:rPr>
            </w:pPr>
            <w:bookmarkStart w:id="523" w:name="0.05"/>
            <w:bookmarkEnd w:id="523"/>
            <w:r>
              <w:rPr>
                <w:rFonts w:ascii="Times New Roman"/>
                <w:sz w:val="21"/>
              </w:rPr>
              <w:t>0.05</w:t>
            </w:r>
          </w:p>
        </w:tc>
        <w:tc>
          <w:tcPr>
            <w:tcW w:w="882" w:type="dxa"/>
          </w:tcPr>
          <w:p>
            <w:pPr>
              <w:pStyle w:val="14"/>
              <w:spacing w:before="16" w:line="236" w:lineRule="exact"/>
              <w:ind w:left="119" w:right="109"/>
              <w:rPr>
                <w:rFonts w:ascii="Times New Roman"/>
                <w:sz w:val="21"/>
              </w:rPr>
            </w:pPr>
            <w:bookmarkStart w:id="524" w:name="0.05"/>
            <w:bookmarkEnd w:id="524"/>
            <w:r>
              <w:rPr>
                <w:rFonts w:ascii="Times New Roman"/>
                <w:sz w:val="21"/>
              </w:rPr>
              <w:t>0.05</w:t>
            </w:r>
          </w:p>
        </w:tc>
        <w:tc>
          <w:tcPr>
            <w:tcW w:w="882" w:type="dxa"/>
          </w:tcPr>
          <w:p>
            <w:pPr>
              <w:pStyle w:val="14"/>
              <w:spacing w:before="16" w:line="236" w:lineRule="exact"/>
              <w:ind w:left="118" w:right="110"/>
              <w:rPr>
                <w:rFonts w:ascii="Times New Roman"/>
                <w:sz w:val="21"/>
              </w:rPr>
            </w:pPr>
            <w:bookmarkStart w:id="525" w:name="0.05"/>
            <w:bookmarkEnd w:id="525"/>
            <w:r>
              <w:rPr>
                <w:rFonts w:ascii="Times New Roman"/>
                <w:sz w:val="21"/>
              </w:rPr>
              <w:t>0.05</w:t>
            </w:r>
          </w:p>
        </w:tc>
        <w:tc>
          <w:tcPr>
            <w:tcW w:w="882" w:type="dxa"/>
          </w:tcPr>
          <w:p>
            <w:pPr>
              <w:pStyle w:val="14"/>
              <w:spacing w:before="16" w:line="236" w:lineRule="exact"/>
              <w:ind w:left="119" w:right="109"/>
              <w:rPr>
                <w:rFonts w:ascii="Times New Roman"/>
                <w:sz w:val="21"/>
              </w:rPr>
            </w:pPr>
            <w:bookmarkStart w:id="526" w:name="0.05"/>
            <w:bookmarkEnd w:id="526"/>
            <w:r>
              <w:rPr>
                <w:rFonts w:ascii="Times New Roman"/>
                <w:sz w:val="21"/>
              </w:rPr>
              <w:t>0.05</w:t>
            </w:r>
          </w:p>
        </w:tc>
        <w:tc>
          <w:tcPr>
            <w:tcW w:w="882" w:type="dxa"/>
          </w:tcPr>
          <w:p>
            <w:pPr>
              <w:pStyle w:val="14"/>
              <w:spacing w:before="16" w:line="236" w:lineRule="exact"/>
              <w:ind w:left="118" w:right="110"/>
              <w:rPr>
                <w:rFonts w:ascii="Times New Roman"/>
                <w:sz w:val="21"/>
              </w:rPr>
            </w:pPr>
            <w:bookmarkStart w:id="527" w:name="0.05"/>
            <w:bookmarkEnd w:id="527"/>
            <w:r>
              <w:rPr>
                <w:rFonts w:ascii="Times New Roman"/>
                <w:sz w:val="21"/>
              </w:rPr>
              <w:t>0.05</w:t>
            </w:r>
          </w:p>
        </w:tc>
        <w:tc>
          <w:tcPr>
            <w:tcW w:w="888" w:type="dxa"/>
          </w:tcPr>
          <w:p>
            <w:pPr>
              <w:pStyle w:val="14"/>
              <w:spacing w:before="16" w:line="236" w:lineRule="exact"/>
              <w:ind w:left="122" w:right="113"/>
              <w:rPr>
                <w:rFonts w:ascii="Times New Roman"/>
                <w:sz w:val="21"/>
              </w:rPr>
            </w:pPr>
            <w:bookmarkStart w:id="528" w:name="0.05"/>
            <w:bookmarkEnd w:id="528"/>
            <w:r>
              <w:rPr>
                <w:rFonts w:ascii="Times New Roman"/>
                <w:sz w:val="21"/>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400" w:type="dxa"/>
          </w:tcPr>
          <w:p>
            <w:pPr>
              <w:pStyle w:val="14"/>
              <w:spacing w:before="1"/>
              <w:ind w:left="242" w:right="233"/>
              <w:rPr>
                <w:sz w:val="21"/>
              </w:rPr>
            </w:pPr>
            <w:r>
              <w:rPr>
                <w:sz w:val="21"/>
              </w:rPr>
              <w:t>六价铬</w:t>
            </w:r>
          </w:p>
          <w:p>
            <w:pPr>
              <w:pStyle w:val="14"/>
              <w:spacing w:before="2" w:line="253" w:lineRule="exact"/>
              <w:ind w:left="242" w:right="233"/>
              <w:rPr>
                <w:sz w:val="21"/>
              </w:rPr>
            </w:pPr>
            <w:r>
              <w:rPr>
                <w:sz w:val="21"/>
              </w:rPr>
              <w:t>（</w:t>
            </w:r>
            <w:r>
              <w:rPr>
                <w:rFonts w:ascii="Times New Roman" w:eastAsia="Times New Roman"/>
                <w:sz w:val="21"/>
              </w:rPr>
              <w:t>mg/L</w:t>
            </w:r>
            <w:r>
              <w:rPr>
                <w:sz w:val="21"/>
              </w:rPr>
              <w:t>）</w:t>
            </w:r>
          </w:p>
        </w:tc>
        <w:tc>
          <w:tcPr>
            <w:tcW w:w="882" w:type="dxa"/>
          </w:tcPr>
          <w:p>
            <w:pPr>
              <w:pStyle w:val="14"/>
              <w:spacing w:before="154"/>
              <w:ind w:left="117" w:right="110"/>
              <w:rPr>
                <w:rFonts w:ascii="Times New Roman"/>
                <w:sz w:val="21"/>
              </w:rPr>
            </w:pPr>
            <w:bookmarkStart w:id="529" w:name="0.004L"/>
            <w:bookmarkEnd w:id="529"/>
            <w:r>
              <w:rPr>
                <w:rFonts w:ascii="Times New Roman"/>
                <w:sz w:val="21"/>
              </w:rPr>
              <w:t>0.004L</w:t>
            </w:r>
          </w:p>
        </w:tc>
        <w:tc>
          <w:tcPr>
            <w:tcW w:w="882" w:type="dxa"/>
          </w:tcPr>
          <w:p>
            <w:pPr>
              <w:pStyle w:val="14"/>
              <w:spacing w:before="154"/>
              <w:ind w:left="119" w:right="109"/>
              <w:rPr>
                <w:rFonts w:ascii="Times New Roman"/>
                <w:sz w:val="21"/>
              </w:rPr>
            </w:pPr>
            <w:bookmarkStart w:id="530" w:name="0.004L"/>
            <w:bookmarkEnd w:id="530"/>
            <w:r>
              <w:rPr>
                <w:rFonts w:ascii="Times New Roman"/>
                <w:sz w:val="21"/>
              </w:rPr>
              <w:t>0.004L</w:t>
            </w:r>
          </w:p>
        </w:tc>
        <w:tc>
          <w:tcPr>
            <w:tcW w:w="882" w:type="dxa"/>
          </w:tcPr>
          <w:p>
            <w:pPr>
              <w:pStyle w:val="14"/>
              <w:spacing w:before="154"/>
              <w:ind w:left="117" w:right="110"/>
              <w:rPr>
                <w:rFonts w:ascii="Times New Roman"/>
                <w:sz w:val="21"/>
              </w:rPr>
            </w:pPr>
            <w:bookmarkStart w:id="531" w:name="0.004L"/>
            <w:bookmarkEnd w:id="531"/>
            <w:r>
              <w:rPr>
                <w:rFonts w:ascii="Times New Roman"/>
                <w:sz w:val="21"/>
              </w:rPr>
              <w:t>0.004L</w:t>
            </w:r>
          </w:p>
        </w:tc>
        <w:tc>
          <w:tcPr>
            <w:tcW w:w="882" w:type="dxa"/>
          </w:tcPr>
          <w:p>
            <w:pPr>
              <w:pStyle w:val="14"/>
              <w:spacing w:before="154"/>
              <w:ind w:left="119" w:right="109"/>
              <w:rPr>
                <w:rFonts w:ascii="Times New Roman"/>
                <w:sz w:val="21"/>
              </w:rPr>
            </w:pPr>
            <w:bookmarkStart w:id="532" w:name="0.004L"/>
            <w:bookmarkEnd w:id="532"/>
            <w:r>
              <w:rPr>
                <w:rFonts w:ascii="Times New Roman"/>
                <w:sz w:val="21"/>
              </w:rPr>
              <w:t>0.004L</w:t>
            </w:r>
          </w:p>
        </w:tc>
        <w:tc>
          <w:tcPr>
            <w:tcW w:w="882" w:type="dxa"/>
          </w:tcPr>
          <w:p>
            <w:pPr>
              <w:pStyle w:val="14"/>
              <w:spacing w:before="154"/>
              <w:ind w:left="117" w:right="110"/>
              <w:rPr>
                <w:rFonts w:ascii="Times New Roman"/>
                <w:sz w:val="21"/>
              </w:rPr>
            </w:pPr>
            <w:bookmarkStart w:id="533" w:name="0.004L"/>
            <w:bookmarkEnd w:id="533"/>
            <w:r>
              <w:rPr>
                <w:rFonts w:ascii="Times New Roman"/>
                <w:sz w:val="21"/>
              </w:rPr>
              <w:t>0.004L</w:t>
            </w:r>
          </w:p>
        </w:tc>
        <w:tc>
          <w:tcPr>
            <w:tcW w:w="882" w:type="dxa"/>
          </w:tcPr>
          <w:p>
            <w:pPr>
              <w:pStyle w:val="14"/>
              <w:spacing w:before="154"/>
              <w:ind w:left="119" w:right="109"/>
              <w:rPr>
                <w:rFonts w:ascii="Times New Roman"/>
                <w:sz w:val="21"/>
              </w:rPr>
            </w:pPr>
            <w:bookmarkStart w:id="534" w:name="0.004L"/>
            <w:bookmarkEnd w:id="534"/>
            <w:r>
              <w:rPr>
                <w:rFonts w:ascii="Times New Roman"/>
                <w:sz w:val="21"/>
              </w:rPr>
              <w:t>0.004L</w:t>
            </w:r>
          </w:p>
        </w:tc>
        <w:tc>
          <w:tcPr>
            <w:tcW w:w="882" w:type="dxa"/>
          </w:tcPr>
          <w:p>
            <w:pPr>
              <w:pStyle w:val="14"/>
              <w:spacing w:before="154"/>
              <w:ind w:left="117" w:right="110"/>
              <w:rPr>
                <w:rFonts w:ascii="Times New Roman"/>
                <w:sz w:val="21"/>
              </w:rPr>
            </w:pPr>
            <w:bookmarkStart w:id="535" w:name="0.004L"/>
            <w:bookmarkEnd w:id="535"/>
            <w:r>
              <w:rPr>
                <w:rFonts w:ascii="Times New Roman"/>
                <w:sz w:val="21"/>
              </w:rPr>
              <w:t>0.004L</w:t>
            </w:r>
          </w:p>
        </w:tc>
        <w:tc>
          <w:tcPr>
            <w:tcW w:w="882" w:type="dxa"/>
          </w:tcPr>
          <w:p>
            <w:pPr>
              <w:pStyle w:val="14"/>
              <w:spacing w:before="154"/>
              <w:ind w:left="119" w:right="109"/>
              <w:rPr>
                <w:rFonts w:ascii="Times New Roman"/>
                <w:sz w:val="21"/>
              </w:rPr>
            </w:pPr>
            <w:bookmarkStart w:id="536" w:name="0.004L"/>
            <w:bookmarkEnd w:id="536"/>
            <w:r>
              <w:rPr>
                <w:rFonts w:ascii="Times New Roman"/>
                <w:sz w:val="21"/>
              </w:rPr>
              <w:t>0.004L</w:t>
            </w:r>
          </w:p>
        </w:tc>
        <w:tc>
          <w:tcPr>
            <w:tcW w:w="888" w:type="dxa"/>
          </w:tcPr>
          <w:p>
            <w:pPr>
              <w:pStyle w:val="14"/>
              <w:spacing w:before="154"/>
              <w:ind w:left="124" w:right="113"/>
              <w:rPr>
                <w:rFonts w:ascii="Times New Roman"/>
                <w:sz w:val="21"/>
              </w:rPr>
            </w:pPr>
            <w:bookmarkStart w:id="537" w:name="0.004L"/>
            <w:bookmarkEnd w:id="537"/>
            <w:r>
              <w:rPr>
                <w:rFonts w:ascii="Times New Roman"/>
                <w:sz w:val="21"/>
              </w:rPr>
              <w:t>0.004L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400" w:type="dxa"/>
          </w:tcPr>
          <w:p>
            <w:pPr>
              <w:pStyle w:val="14"/>
              <w:ind w:left="242" w:right="233"/>
              <w:rPr>
                <w:sz w:val="21"/>
              </w:rPr>
            </w:pPr>
            <w:r>
              <w:rPr>
                <w:sz w:val="21"/>
              </w:rPr>
              <w:t>氟化物</w:t>
            </w:r>
          </w:p>
          <w:p>
            <w:pPr>
              <w:pStyle w:val="14"/>
              <w:spacing w:before="2" w:line="253" w:lineRule="exact"/>
              <w:ind w:left="242" w:right="233"/>
              <w:rPr>
                <w:sz w:val="21"/>
              </w:rPr>
            </w:pPr>
            <w:r>
              <w:rPr>
                <w:sz w:val="21"/>
              </w:rPr>
              <w:t>（</w:t>
            </w:r>
            <w:r>
              <w:rPr>
                <w:rFonts w:ascii="Times New Roman" w:eastAsia="Times New Roman"/>
                <w:sz w:val="21"/>
              </w:rPr>
              <w:t>mg/L</w:t>
            </w:r>
            <w:r>
              <w:rPr>
                <w:sz w:val="21"/>
              </w:rPr>
              <w:t>）</w:t>
            </w:r>
          </w:p>
        </w:tc>
        <w:tc>
          <w:tcPr>
            <w:tcW w:w="882" w:type="dxa"/>
          </w:tcPr>
          <w:p>
            <w:pPr>
              <w:pStyle w:val="14"/>
              <w:spacing w:before="153"/>
              <w:ind w:left="119" w:right="109"/>
              <w:rPr>
                <w:rFonts w:ascii="Times New Roman"/>
                <w:sz w:val="21"/>
              </w:rPr>
            </w:pPr>
            <w:bookmarkStart w:id="538" w:name="0.05L"/>
            <w:bookmarkEnd w:id="538"/>
            <w:r>
              <w:rPr>
                <w:rFonts w:ascii="Times New Roman"/>
                <w:sz w:val="21"/>
              </w:rPr>
              <w:t>0.05L</w:t>
            </w:r>
          </w:p>
        </w:tc>
        <w:tc>
          <w:tcPr>
            <w:tcW w:w="882" w:type="dxa"/>
          </w:tcPr>
          <w:p>
            <w:pPr>
              <w:pStyle w:val="14"/>
              <w:spacing w:before="153"/>
              <w:ind w:left="119" w:right="109"/>
              <w:rPr>
                <w:rFonts w:ascii="Times New Roman"/>
                <w:sz w:val="21"/>
              </w:rPr>
            </w:pPr>
            <w:bookmarkStart w:id="539" w:name="0.05L"/>
            <w:bookmarkEnd w:id="539"/>
            <w:r>
              <w:rPr>
                <w:rFonts w:ascii="Times New Roman"/>
                <w:sz w:val="21"/>
              </w:rPr>
              <w:t>0.05L</w:t>
            </w:r>
          </w:p>
        </w:tc>
        <w:tc>
          <w:tcPr>
            <w:tcW w:w="882" w:type="dxa"/>
          </w:tcPr>
          <w:p>
            <w:pPr>
              <w:pStyle w:val="14"/>
              <w:spacing w:before="153"/>
              <w:ind w:left="119" w:right="109"/>
              <w:rPr>
                <w:rFonts w:ascii="Times New Roman"/>
                <w:sz w:val="21"/>
              </w:rPr>
            </w:pPr>
            <w:bookmarkStart w:id="540" w:name="0.05L"/>
            <w:bookmarkEnd w:id="540"/>
            <w:r>
              <w:rPr>
                <w:rFonts w:ascii="Times New Roman"/>
                <w:sz w:val="21"/>
              </w:rPr>
              <w:t>0.05L</w:t>
            </w:r>
          </w:p>
        </w:tc>
        <w:tc>
          <w:tcPr>
            <w:tcW w:w="882" w:type="dxa"/>
          </w:tcPr>
          <w:p>
            <w:pPr>
              <w:pStyle w:val="14"/>
              <w:spacing w:before="153"/>
              <w:ind w:left="119" w:right="109"/>
              <w:rPr>
                <w:rFonts w:ascii="Times New Roman"/>
                <w:sz w:val="21"/>
              </w:rPr>
            </w:pPr>
            <w:bookmarkStart w:id="541" w:name="0.05L"/>
            <w:bookmarkEnd w:id="541"/>
            <w:r>
              <w:rPr>
                <w:rFonts w:ascii="Times New Roman"/>
                <w:sz w:val="21"/>
              </w:rPr>
              <w:t>0.05L</w:t>
            </w:r>
          </w:p>
        </w:tc>
        <w:tc>
          <w:tcPr>
            <w:tcW w:w="882" w:type="dxa"/>
          </w:tcPr>
          <w:p>
            <w:pPr>
              <w:pStyle w:val="14"/>
              <w:spacing w:before="153"/>
              <w:ind w:left="119" w:right="109"/>
              <w:rPr>
                <w:rFonts w:ascii="Times New Roman"/>
                <w:sz w:val="21"/>
              </w:rPr>
            </w:pPr>
            <w:bookmarkStart w:id="542" w:name="0.05L"/>
            <w:bookmarkEnd w:id="542"/>
            <w:r>
              <w:rPr>
                <w:rFonts w:ascii="Times New Roman"/>
                <w:sz w:val="21"/>
              </w:rPr>
              <w:t>0.05L</w:t>
            </w:r>
          </w:p>
        </w:tc>
        <w:tc>
          <w:tcPr>
            <w:tcW w:w="882" w:type="dxa"/>
          </w:tcPr>
          <w:p>
            <w:pPr>
              <w:pStyle w:val="14"/>
              <w:spacing w:before="153"/>
              <w:ind w:left="119" w:right="109"/>
              <w:rPr>
                <w:rFonts w:ascii="Times New Roman"/>
                <w:sz w:val="21"/>
              </w:rPr>
            </w:pPr>
            <w:bookmarkStart w:id="543" w:name="0.05L"/>
            <w:bookmarkEnd w:id="543"/>
            <w:r>
              <w:rPr>
                <w:rFonts w:ascii="Times New Roman"/>
                <w:sz w:val="21"/>
              </w:rPr>
              <w:t>0.05L</w:t>
            </w:r>
          </w:p>
        </w:tc>
        <w:tc>
          <w:tcPr>
            <w:tcW w:w="882" w:type="dxa"/>
          </w:tcPr>
          <w:p>
            <w:pPr>
              <w:pStyle w:val="14"/>
              <w:spacing w:before="153"/>
              <w:ind w:left="119" w:right="109"/>
              <w:rPr>
                <w:rFonts w:ascii="Times New Roman"/>
                <w:sz w:val="21"/>
              </w:rPr>
            </w:pPr>
            <w:bookmarkStart w:id="544" w:name="0.05L"/>
            <w:bookmarkEnd w:id="544"/>
            <w:r>
              <w:rPr>
                <w:rFonts w:ascii="Times New Roman"/>
                <w:sz w:val="21"/>
              </w:rPr>
              <w:t>0.05L</w:t>
            </w:r>
          </w:p>
        </w:tc>
        <w:tc>
          <w:tcPr>
            <w:tcW w:w="882" w:type="dxa"/>
          </w:tcPr>
          <w:p>
            <w:pPr>
              <w:pStyle w:val="14"/>
              <w:spacing w:before="153"/>
              <w:ind w:left="119" w:right="109"/>
              <w:rPr>
                <w:rFonts w:ascii="Times New Roman"/>
                <w:sz w:val="21"/>
              </w:rPr>
            </w:pPr>
            <w:bookmarkStart w:id="545" w:name="0.05L"/>
            <w:bookmarkEnd w:id="545"/>
            <w:r>
              <w:rPr>
                <w:rFonts w:ascii="Times New Roman"/>
                <w:sz w:val="21"/>
              </w:rPr>
              <w:t>0.05L</w:t>
            </w:r>
          </w:p>
        </w:tc>
        <w:tc>
          <w:tcPr>
            <w:tcW w:w="888" w:type="dxa"/>
          </w:tcPr>
          <w:p>
            <w:pPr>
              <w:pStyle w:val="14"/>
              <w:spacing w:before="153"/>
              <w:ind w:left="121" w:right="113"/>
              <w:rPr>
                <w:rFonts w:ascii="Times New Roman"/>
                <w:sz w:val="21"/>
              </w:rPr>
            </w:pPr>
            <w:bookmarkStart w:id="546" w:name="0.05L"/>
            <w:bookmarkEnd w:id="546"/>
            <w:r>
              <w:rPr>
                <w:rFonts w:ascii="Times New Roman"/>
                <w:sz w:val="21"/>
              </w:rPr>
              <w:t>0.05L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1400" w:type="dxa"/>
          </w:tcPr>
          <w:p>
            <w:pPr>
              <w:pStyle w:val="14"/>
              <w:spacing w:line="269" w:lineRule="exact"/>
              <w:ind w:left="242" w:right="233"/>
              <w:rPr>
                <w:sz w:val="21"/>
              </w:rPr>
            </w:pPr>
            <w:r>
              <w:rPr>
                <w:sz w:val="21"/>
              </w:rPr>
              <w:t>溶解氧</w:t>
            </w:r>
          </w:p>
          <w:p>
            <w:pPr>
              <w:pStyle w:val="14"/>
              <w:spacing w:before="2" w:line="253" w:lineRule="exact"/>
              <w:ind w:left="242" w:right="233"/>
              <w:rPr>
                <w:sz w:val="21"/>
              </w:rPr>
            </w:pPr>
            <w:r>
              <w:rPr>
                <w:sz w:val="21"/>
              </w:rPr>
              <w:t>（</w:t>
            </w:r>
            <w:r>
              <w:rPr>
                <w:rFonts w:ascii="Times New Roman" w:eastAsia="Times New Roman"/>
                <w:sz w:val="21"/>
              </w:rPr>
              <w:t>mg/L</w:t>
            </w:r>
            <w:r>
              <w:rPr>
                <w:sz w:val="21"/>
              </w:rPr>
              <w:t>）</w:t>
            </w:r>
          </w:p>
        </w:tc>
        <w:tc>
          <w:tcPr>
            <w:tcW w:w="882" w:type="dxa"/>
          </w:tcPr>
          <w:p>
            <w:pPr>
              <w:pStyle w:val="14"/>
              <w:spacing w:before="153"/>
              <w:ind w:left="119" w:right="109"/>
              <w:rPr>
                <w:rFonts w:ascii="Times New Roman"/>
                <w:sz w:val="21"/>
              </w:rPr>
            </w:pPr>
            <w:bookmarkStart w:id="547" w:name="6.11"/>
            <w:bookmarkEnd w:id="547"/>
            <w:r>
              <w:rPr>
                <w:rFonts w:ascii="Times New Roman"/>
                <w:sz w:val="21"/>
              </w:rPr>
              <w:t>6.11</w:t>
            </w:r>
          </w:p>
        </w:tc>
        <w:tc>
          <w:tcPr>
            <w:tcW w:w="882" w:type="dxa"/>
          </w:tcPr>
          <w:p>
            <w:pPr>
              <w:pStyle w:val="14"/>
              <w:spacing w:before="153"/>
              <w:ind w:left="118" w:right="110"/>
              <w:rPr>
                <w:rFonts w:ascii="Times New Roman"/>
                <w:sz w:val="21"/>
              </w:rPr>
            </w:pPr>
            <w:bookmarkStart w:id="548" w:name="6.13"/>
            <w:bookmarkEnd w:id="548"/>
            <w:r>
              <w:rPr>
                <w:rFonts w:ascii="Times New Roman"/>
                <w:sz w:val="21"/>
              </w:rPr>
              <w:t>6.13</w:t>
            </w:r>
          </w:p>
        </w:tc>
        <w:tc>
          <w:tcPr>
            <w:tcW w:w="882" w:type="dxa"/>
          </w:tcPr>
          <w:p>
            <w:pPr>
              <w:pStyle w:val="14"/>
              <w:spacing w:before="153"/>
              <w:ind w:left="119" w:right="109"/>
              <w:rPr>
                <w:rFonts w:ascii="Times New Roman"/>
                <w:sz w:val="21"/>
              </w:rPr>
            </w:pPr>
            <w:bookmarkStart w:id="549" w:name="6.09"/>
            <w:bookmarkEnd w:id="549"/>
            <w:r>
              <w:rPr>
                <w:rFonts w:ascii="Times New Roman"/>
                <w:sz w:val="21"/>
              </w:rPr>
              <w:t>6.09</w:t>
            </w:r>
          </w:p>
        </w:tc>
        <w:tc>
          <w:tcPr>
            <w:tcW w:w="882" w:type="dxa"/>
          </w:tcPr>
          <w:p>
            <w:pPr>
              <w:pStyle w:val="14"/>
              <w:spacing w:before="153"/>
              <w:ind w:left="118" w:right="110"/>
              <w:rPr>
                <w:rFonts w:ascii="Times New Roman"/>
                <w:sz w:val="21"/>
              </w:rPr>
            </w:pPr>
            <w:bookmarkStart w:id="550" w:name="6.12"/>
            <w:bookmarkEnd w:id="550"/>
            <w:r>
              <w:rPr>
                <w:rFonts w:ascii="Times New Roman"/>
                <w:sz w:val="21"/>
              </w:rPr>
              <w:t>6.12</w:t>
            </w:r>
          </w:p>
        </w:tc>
        <w:tc>
          <w:tcPr>
            <w:tcW w:w="882" w:type="dxa"/>
          </w:tcPr>
          <w:p>
            <w:pPr>
              <w:pStyle w:val="14"/>
              <w:spacing w:before="153"/>
              <w:ind w:left="119" w:right="109"/>
              <w:rPr>
                <w:rFonts w:ascii="Times New Roman"/>
                <w:sz w:val="21"/>
              </w:rPr>
            </w:pPr>
            <w:bookmarkStart w:id="551" w:name="6.14"/>
            <w:bookmarkEnd w:id="551"/>
            <w:r>
              <w:rPr>
                <w:rFonts w:ascii="Times New Roman"/>
                <w:sz w:val="21"/>
              </w:rPr>
              <w:t>6.14</w:t>
            </w:r>
          </w:p>
        </w:tc>
        <w:tc>
          <w:tcPr>
            <w:tcW w:w="882" w:type="dxa"/>
          </w:tcPr>
          <w:p>
            <w:pPr>
              <w:pStyle w:val="14"/>
              <w:spacing w:before="153"/>
              <w:ind w:left="118" w:right="110"/>
              <w:rPr>
                <w:rFonts w:ascii="Times New Roman"/>
                <w:sz w:val="21"/>
              </w:rPr>
            </w:pPr>
            <w:bookmarkStart w:id="552" w:name="6.08"/>
            <w:bookmarkEnd w:id="552"/>
            <w:r>
              <w:rPr>
                <w:rFonts w:ascii="Times New Roman"/>
                <w:sz w:val="21"/>
              </w:rPr>
              <w:t>6.08</w:t>
            </w:r>
          </w:p>
        </w:tc>
        <w:tc>
          <w:tcPr>
            <w:tcW w:w="882" w:type="dxa"/>
          </w:tcPr>
          <w:p>
            <w:pPr>
              <w:pStyle w:val="14"/>
              <w:spacing w:before="153"/>
              <w:ind w:left="119" w:right="109"/>
              <w:rPr>
                <w:rFonts w:ascii="Times New Roman"/>
                <w:sz w:val="21"/>
              </w:rPr>
            </w:pPr>
            <w:bookmarkStart w:id="553" w:name="6.11"/>
            <w:bookmarkEnd w:id="553"/>
            <w:r>
              <w:rPr>
                <w:rFonts w:ascii="Times New Roman"/>
                <w:sz w:val="21"/>
              </w:rPr>
              <w:t>6.11</w:t>
            </w:r>
          </w:p>
        </w:tc>
        <w:tc>
          <w:tcPr>
            <w:tcW w:w="882" w:type="dxa"/>
          </w:tcPr>
          <w:p>
            <w:pPr>
              <w:pStyle w:val="14"/>
              <w:spacing w:before="153"/>
              <w:ind w:left="118" w:right="110"/>
              <w:rPr>
                <w:rFonts w:ascii="Times New Roman"/>
                <w:sz w:val="21"/>
              </w:rPr>
            </w:pPr>
            <w:bookmarkStart w:id="554" w:name="6.12"/>
            <w:bookmarkEnd w:id="554"/>
            <w:r>
              <w:rPr>
                <w:rFonts w:ascii="Times New Roman"/>
                <w:sz w:val="21"/>
              </w:rPr>
              <w:t>6.12</w:t>
            </w:r>
          </w:p>
        </w:tc>
        <w:tc>
          <w:tcPr>
            <w:tcW w:w="888" w:type="dxa"/>
          </w:tcPr>
          <w:p>
            <w:pPr>
              <w:pStyle w:val="14"/>
              <w:spacing w:before="153"/>
              <w:ind w:left="122" w:right="113"/>
              <w:rPr>
                <w:rFonts w:ascii="Times New Roman"/>
                <w:sz w:val="21"/>
              </w:rPr>
            </w:pPr>
            <w:bookmarkStart w:id="555" w:name="6.15"/>
            <w:bookmarkEnd w:id="555"/>
            <w:r>
              <w:rPr>
                <w:rFonts w:ascii="Times New Roman"/>
                <w:sz w:val="21"/>
              </w:rPr>
              <w:t>6.15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400" w:type="dxa"/>
          </w:tcPr>
          <w:p>
            <w:pPr>
              <w:pStyle w:val="14"/>
              <w:spacing w:line="253" w:lineRule="exact"/>
              <w:ind w:left="109" w:right="-15"/>
              <w:jc w:val="left"/>
              <w:rPr>
                <w:sz w:val="21"/>
              </w:rPr>
            </w:pPr>
            <w:r>
              <w:rPr>
                <w:rFonts w:ascii="Times New Roman" w:eastAsia="Times New Roman"/>
                <w:spacing w:val="-1"/>
                <w:w w:val="99"/>
                <w:position w:val="2"/>
                <w:sz w:val="21"/>
              </w:rPr>
              <w:t>B</w:t>
            </w:r>
            <w:r>
              <w:rPr>
                <w:rFonts w:ascii="Times New Roman" w:eastAsia="Times New Roman"/>
                <w:w w:val="99"/>
                <w:position w:val="2"/>
                <w:sz w:val="21"/>
              </w:rPr>
              <w:t>O</w:t>
            </w:r>
            <w:r>
              <w:rPr>
                <w:rFonts w:ascii="Times New Roman" w:eastAsia="Times New Roman"/>
                <w:spacing w:val="-29"/>
                <w:w w:val="99"/>
                <w:position w:val="2"/>
                <w:sz w:val="21"/>
              </w:rPr>
              <w:t>D</w:t>
            </w:r>
            <w:r>
              <w:rPr>
                <w:spacing w:val="-181"/>
                <w:w w:val="99"/>
                <w:position w:val="2"/>
                <w:sz w:val="21"/>
              </w:rPr>
              <w:t>（</w:t>
            </w:r>
            <w:r>
              <w:rPr>
                <w:rFonts w:ascii="Times New Roman" w:eastAsia="Times New Roman"/>
                <w:w w:val="105"/>
                <w:sz w:val="13"/>
              </w:rPr>
              <w:t>5</w:t>
            </w:r>
            <w:r>
              <w:rPr>
                <w:rFonts w:ascii="Times New Roman" w:eastAsia="Times New Roman"/>
                <w:sz w:val="13"/>
              </w:rPr>
              <w:t xml:space="preserve">   </w:t>
            </w:r>
            <w:r>
              <w:rPr>
                <w:rFonts w:ascii="Times New Roman" w:eastAsia="Times New Roman"/>
                <w:spacing w:val="-17"/>
                <w:sz w:val="13"/>
              </w:rPr>
              <w:t xml:space="preserve"> </w:t>
            </w:r>
            <w:r>
              <w:rPr>
                <w:rFonts w:ascii="Times New Roman" w:eastAsia="Times New Roman"/>
                <w:spacing w:val="-2"/>
                <w:w w:val="99"/>
                <w:position w:val="2"/>
                <w:sz w:val="21"/>
              </w:rPr>
              <w:t>mg</w:t>
            </w:r>
            <w:r>
              <w:rPr>
                <w:rFonts w:ascii="Times New Roman" w:eastAsia="Times New Roman"/>
                <w:spacing w:val="1"/>
                <w:w w:val="99"/>
                <w:position w:val="2"/>
                <w:sz w:val="21"/>
              </w:rPr>
              <w:t>/L</w:t>
            </w:r>
            <w:r>
              <w:rPr>
                <w:w w:val="99"/>
                <w:position w:val="2"/>
                <w:sz w:val="21"/>
              </w:rPr>
              <w:t>）</w:t>
            </w:r>
          </w:p>
        </w:tc>
        <w:tc>
          <w:tcPr>
            <w:tcW w:w="882" w:type="dxa"/>
          </w:tcPr>
          <w:p>
            <w:pPr>
              <w:pStyle w:val="14"/>
              <w:spacing w:before="19" w:line="234" w:lineRule="exact"/>
              <w:ind w:left="119" w:right="109"/>
              <w:rPr>
                <w:rFonts w:ascii="Times New Roman"/>
                <w:sz w:val="21"/>
              </w:rPr>
            </w:pPr>
            <w:bookmarkStart w:id="556" w:name="15.3"/>
            <w:bookmarkEnd w:id="556"/>
            <w:r>
              <w:rPr>
                <w:rFonts w:ascii="Times New Roman"/>
                <w:sz w:val="21"/>
              </w:rPr>
              <w:t>15.3</w:t>
            </w:r>
          </w:p>
        </w:tc>
        <w:tc>
          <w:tcPr>
            <w:tcW w:w="882" w:type="dxa"/>
          </w:tcPr>
          <w:p>
            <w:pPr>
              <w:pStyle w:val="14"/>
              <w:spacing w:before="19" w:line="234" w:lineRule="exact"/>
              <w:ind w:left="118" w:right="110"/>
              <w:rPr>
                <w:rFonts w:ascii="Times New Roman"/>
                <w:sz w:val="21"/>
              </w:rPr>
            </w:pPr>
            <w:bookmarkStart w:id="557" w:name="16.2"/>
            <w:bookmarkEnd w:id="557"/>
            <w:r>
              <w:rPr>
                <w:rFonts w:ascii="Times New Roman"/>
                <w:sz w:val="21"/>
              </w:rPr>
              <w:t>16.2</w:t>
            </w:r>
          </w:p>
        </w:tc>
        <w:tc>
          <w:tcPr>
            <w:tcW w:w="882" w:type="dxa"/>
          </w:tcPr>
          <w:p>
            <w:pPr>
              <w:pStyle w:val="14"/>
              <w:spacing w:before="19" w:line="234" w:lineRule="exact"/>
              <w:ind w:left="119" w:right="109"/>
              <w:rPr>
                <w:rFonts w:ascii="Times New Roman"/>
                <w:sz w:val="21"/>
              </w:rPr>
            </w:pPr>
            <w:bookmarkStart w:id="558" w:name="15.7"/>
            <w:bookmarkEnd w:id="558"/>
            <w:r>
              <w:rPr>
                <w:rFonts w:ascii="Times New Roman"/>
                <w:sz w:val="21"/>
              </w:rPr>
              <w:t>15.7</w:t>
            </w:r>
          </w:p>
        </w:tc>
        <w:tc>
          <w:tcPr>
            <w:tcW w:w="882" w:type="dxa"/>
          </w:tcPr>
          <w:p>
            <w:pPr>
              <w:pStyle w:val="14"/>
              <w:spacing w:before="19" w:line="234" w:lineRule="exact"/>
              <w:ind w:left="118" w:right="110"/>
              <w:rPr>
                <w:rFonts w:ascii="Times New Roman"/>
                <w:sz w:val="21"/>
              </w:rPr>
            </w:pPr>
            <w:bookmarkStart w:id="559" w:name="16.2"/>
            <w:bookmarkEnd w:id="559"/>
            <w:r>
              <w:rPr>
                <w:rFonts w:ascii="Times New Roman"/>
                <w:sz w:val="21"/>
              </w:rPr>
              <w:t>16.2</w:t>
            </w:r>
          </w:p>
        </w:tc>
        <w:tc>
          <w:tcPr>
            <w:tcW w:w="882" w:type="dxa"/>
          </w:tcPr>
          <w:p>
            <w:pPr>
              <w:pStyle w:val="14"/>
              <w:spacing w:before="19" w:line="234" w:lineRule="exact"/>
              <w:ind w:left="119" w:right="109"/>
              <w:rPr>
                <w:rFonts w:ascii="Times New Roman"/>
                <w:sz w:val="21"/>
              </w:rPr>
            </w:pPr>
            <w:bookmarkStart w:id="560" w:name="16.6"/>
            <w:bookmarkEnd w:id="560"/>
            <w:r>
              <w:rPr>
                <w:rFonts w:ascii="Times New Roman"/>
                <w:sz w:val="21"/>
              </w:rPr>
              <w:t>16.6</w:t>
            </w:r>
          </w:p>
        </w:tc>
        <w:tc>
          <w:tcPr>
            <w:tcW w:w="882" w:type="dxa"/>
          </w:tcPr>
          <w:p>
            <w:pPr>
              <w:pStyle w:val="14"/>
              <w:spacing w:before="19" w:line="234" w:lineRule="exact"/>
              <w:ind w:left="118" w:right="110"/>
              <w:rPr>
                <w:rFonts w:ascii="Times New Roman"/>
                <w:sz w:val="21"/>
              </w:rPr>
            </w:pPr>
            <w:bookmarkStart w:id="561" w:name="14.1"/>
            <w:bookmarkEnd w:id="561"/>
            <w:r>
              <w:rPr>
                <w:rFonts w:ascii="Times New Roman"/>
                <w:sz w:val="21"/>
              </w:rPr>
              <w:t>14.1</w:t>
            </w:r>
          </w:p>
        </w:tc>
        <w:tc>
          <w:tcPr>
            <w:tcW w:w="882" w:type="dxa"/>
          </w:tcPr>
          <w:p>
            <w:pPr>
              <w:pStyle w:val="14"/>
              <w:spacing w:before="19" w:line="234" w:lineRule="exact"/>
              <w:ind w:left="119" w:right="109"/>
              <w:rPr>
                <w:rFonts w:ascii="Times New Roman"/>
                <w:sz w:val="21"/>
              </w:rPr>
            </w:pPr>
            <w:bookmarkStart w:id="562" w:name="14.0"/>
            <w:bookmarkEnd w:id="562"/>
            <w:r>
              <w:rPr>
                <w:rFonts w:ascii="Times New Roman"/>
                <w:sz w:val="21"/>
              </w:rPr>
              <w:t>14.0</w:t>
            </w:r>
          </w:p>
        </w:tc>
        <w:tc>
          <w:tcPr>
            <w:tcW w:w="882" w:type="dxa"/>
          </w:tcPr>
          <w:p>
            <w:pPr>
              <w:pStyle w:val="14"/>
              <w:spacing w:before="19" w:line="234" w:lineRule="exact"/>
              <w:ind w:left="118" w:right="110"/>
              <w:rPr>
                <w:rFonts w:ascii="Times New Roman"/>
                <w:sz w:val="21"/>
              </w:rPr>
            </w:pPr>
            <w:bookmarkStart w:id="563" w:name="15.2"/>
            <w:bookmarkEnd w:id="563"/>
            <w:r>
              <w:rPr>
                <w:rFonts w:ascii="Times New Roman"/>
                <w:sz w:val="21"/>
              </w:rPr>
              <w:t>15.2</w:t>
            </w:r>
          </w:p>
        </w:tc>
        <w:tc>
          <w:tcPr>
            <w:tcW w:w="888" w:type="dxa"/>
          </w:tcPr>
          <w:p>
            <w:pPr>
              <w:pStyle w:val="14"/>
              <w:spacing w:before="19" w:line="234" w:lineRule="exact"/>
              <w:ind w:left="122" w:right="113"/>
              <w:rPr>
                <w:rFonts w:ascii="Times New Roman"/>
                <w:sz w:val="21"/>
              </w:rPr>
            </w:pPr>
            <w:bookmarkStart w:id="564" w:name="15.9"/>
            <w:bookmarkEnd w:id="564"/>
            <w:r>
              <w:rPr>
                <w:rFonts w:ascii="Times New Roman"/>
                <w:sz w:val="21"/>
              </w:rPr>
              <w:t>15.9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400" w:type="dxa"/>
          </w:tcPr>
          <w:p>
            <w:pPr>
              <w:pStyle w:val="14"/>
              <w:spacing w:line="252" w:lineRule="exact"/>
              <w:ind w:left="106" w:right="-15"/>
              <w:jc w:val="left"/>
              <w:rPr>
                <w:sz w:val="21"/>
              </w:rPr>
            </w:pPr>
            <w:r>
              <w:rPr>
                <w:spacing w:val="-2"/>
                <w:sz w:val="21"/>
              </w:rPr>
              <w:t>氨氮</w:t>
            </w:r>
            <w:r>
              <w:rPr>
                <w:sz w:val="21"/>
              </w:rPr>
              <w:t>（</w:t>
            </w:r>
            <w:r>
              <w:rPr>
                <w:rFonts w:ascii="Times New Roman" w:eastAsia="Times New Roman"/>
                <w:sz w:val="21"/>
              </w:rPr>
              <w:t>mg/L</w:t>
            </w:r>
            <w:r>
              <w:rPr>
                <w:sz w:val="21"/>
              </w:rPr>
              <w:t>）</w:t>
            </w:r>
          </w:p>
        </w:tc>
        <w:tc>
          <w:tcPr>
            <w:tcW w:w="882" w:type="dxa"/>
          </w:tcPr>
          <w:p>
            <w:pPr>
              <w:pStyle w:val="14"/>
              <w:spacing w:before="16" w:line="235" w:lineRule="exact"/>
              <w:ind w:left="119" w:right="109"/>
              <w:rPr>
                <w:rFonts w:ascii="Times New Roman"/>
                <w:sz w:val="21"/>
              </w:rPr>
            </w:pPr>
            <w:bookmarkStart w:id="565" w:name="0.40"/>
            <w:bookmarkEnd w:id="565"/>
            <w:r>
              <w:rPr>
                <w:rFonts w:ascii="Times New Roman"/>
                <w:sz w:val="21"/>
              </w:rPr>
              <w:t>0.40</w:t>
            </w:r>
          </w:p>
        </w:tc>
        <w:tc>
          <w:tcPr>
            <w:tcW w:w="882" w:type="dxa"/>
          </w:tcPr>
          <w:p>
            <w:pPr>
              <w:pStyle w:val="14"/>
              <w:spacing w:before="16" w:line="235" w:lineRule="exact"/>
              <w:ind w:left="118" w:right="110"/>
              <w:rPr>
                <w:rFonts w:ascii="Times New Roman"/>
                <w:sz w:val="21"/>
              </w:rPr>
            </w:pPr>
            <w:bookmarkStart w:id="566" w:name="0.40"/>
            <w:bookmarkEnd w:id="566"/>
            <w:r>
              <w:rPr>
                <w:rFonts w:ascii="Times New Roman"/>
                <w:sz w:val="21"/>
              </w:rPr>
              <w:t>0.40</w:t>
            </w:r>
          </w:p>
        </w:tc>
        <w:tc>
          <w:tcPr>
            <w:tcW w:w="882" w:type="dxa"/>
          </w:tcPr>
          <w:p>
            <w:pPr>
              <w:pStyle w:val="14"/>
              <w:spacing w:before="16" w:line="235" w:lineRule="exact"/>
              <w:ind w:left="119" w:right="109"/>
              <w:rPr>
                <w:rFonts w:ascii="Times New Roman"/>
                <w:sz w:val="21"/>
              </w:rPr>
            </w:pPr>
            <w:bookmarkStart w:id="567" w:name="0.40"/>
            <w:bookmarkEnd w:id="567"/>
            <w:r>
              <w:rPr>
                <w:rFonts w:ascii="Times New Roman"/>
                <w:sz w:val="21"/>
              </w:rPr>
              <w:t>0.40</w:t>
            </w:r>
          </w:p>
        </w:tc>
        <w:tc>
          <w:tcPr>
            <w:tcW w:w="882" w:type="dxa"/>
          </w:tcPr>
          <w:p>
            <w:pPr>
              <w:pStyle w:val="14"/>
              <w:spacing w:before="16" w:line="235" w:lineRule="exact"/>
              <w:ind w:left="118" w:right="110"/>
              <w:rPr>
                <w:rFonts w:ascii="Times New Roman"/>
                <w:sz w:val="21"/>
              </w:rPr>
            </w:pPr>
            <w:bookmarkStart w:id="568" w:name="0.40"/>
            <w:bookmarkEnd w:id="568"/>
            <w:r>
              <w:rPr>
                <w:rFonts w:ascii="Times New Roman"/>
                <w:sz w:val="21"/>
              </w:rPr>
              <w:t>0.40</w:t>
            </w:r>
          </w:p>
        </w:tc>
        <w:tc>
          <w:tcPr>
            <w:tcW w:w="882" w:type="dxa"/>
          </w:tcPr>
          <w:p>
            <w:pPr>
              <w:pStyle w:val="14"/>
              <w:spacing w:before="16" w:line="235" w:lineRule="exact"/>
              <w:ind w:left="119" w:right="109"/>
              <w:rPr>
                <w:rFonts w:ascii="Times New Roman"/>
                <w:sz w:val="21"/>
              </w:rPr>
            </w:pPr>
            <w:bookmarkStart w:id="569" w:name="0.40"/>
            <w:bookmarkEnd w:id="569"/>
            <w:r>
              <w:rPr>
                <w:rFonts w:ascii="Times New Roman"/>
                <w:sz w:val="21"/>
              </w:rPr>
              <w:t>0.40</w:t>
            </w:r>
          </w:p>
        </w:tc>
        <w:tc>
          <w:tcPr>
            <w:tcW w:w="882" w:type="dxa"/>
          </w:tcPr>
          <w:p>
            <w:pPr>
              <w:pStyle w:val="14"/>
              <w:spacing w:before="16" w:line="235" w:lineRule="exact"/>
              <w:ind w:left="118" w:right="110"/>
              <w:rPr>
                <w:rFonts w:ascii="Times New Roman"/>
                <w:sz w:val="21"/>
              </w:rPr>
            </w:pPr>
            <w:bookmarkStart w:id="570" w:name="0.40"/>
            <w:bookmarkEnd w:id="570"/>
            <w:r>
              <w:rPr>
                <w:rFonts w:ascii="Times New Roman"/>
                <w:sz w:val="21"/>
              </w:rPr>
              <w:t>0.40</w:t>
            </w:r>
          </w:p>
        </w:tc>
        <w:tc>
          <w:tcPr>
            <w:tcW w:w="882" w:type="dxa"/>
          </w:tcPr>
          <w:p>
            <w:pPr>
              <w:pStyle w:val="14"/>
              <w:spacing w:before="16" w:line="235" w:lineRule="exact"/>
              <w:ind w:left="119" w:right="109"/>
              <w:rPr>
                <w:rFonts w:ascii="Times New Roman"/>
                <w:sz w:val="21"/>
              </w:rPr>
            </w:pPr>
            <w:bookmarkStart w:id="571" w:name="0.40"/>
            <w:bookmarkEnd w:id="571"/>
            <w:r>
              <w:rPr>
                <w:rFonts w:ascii="Times New Roman"/>
                <w:sz w:val="21"/>
              </w:rPr>
              <w:t>0.40</w:t>
            </w:r>
          </w:p>
        </w:tc>
        <w:tc>
          <w:tcPr>
            <w:tcW w:w="882" w:type="dxa"/>
          </w:tcPr>
          <w:p>
            <w:pPr>
              <w:pStyle w:val="14"/>
              <w:spacing w:before="16" w:line="235" w:lineRule="exact"/>
              <w:ind w:left="118" w:right="110"/>
              <w:rPr>
                <w:rFonts w:ascii="Times New Roman"/>
                <w:sz w:val="21"/>
              </w:rPr>
            </w:pPr>
            <w:bookmarkStart w:id="572" w:name="0.40"/>
            <w:bookmarkEnd w:id="572"/>
            <w:r>
              <w:rPr>
                <w:rFonts w:ascii="Times New Roman"/>
                <w:sz w:val="21"/>
              </w:rPr>
              <w:t>0.40</w:t>
            </w:r>
          </w:p>
        </w:tc>
        <w:tc>
          <w:tcPr>
            <w:tcW w:w="888" w:type="dxa"/>
          </w:tcPr>
          <w:p>
            <w:pPr>
              <w:pStyle w:val="14"/>
              <w:spacing w:before="16" w:line="235" w:lineRule="exact"/>
              <w:ind w:left="122" w:right="113"/>
              <w:rPr>
                <w:rFonts w:ascii="Times New Roman"/>
                <w:sz w:val="21"/>
              </w:rPr>
            </w:pPr>
            <w:bookmarkStart w:id="573" w:name="0.40"/>
            <w:bookmarkEnd w:id="573"/>
            <w:r>
              <w:rPr>
                <w:rFonts w:ascii="Times New Roman"/>
                <w:sz w:val="21"/>
              </w:rPr>
              <w:t>0.40</w:t>
            </w:r>
          </w:p>
        </w:tc>
      </w:tr>
    </w:tbl>
    <w:p>
      <w:pPr>
        <w:pStyle w:val="6"/>
        <w:spacing w:before="5"/>
        <w:rPr>
          <w:b/>
          <w:sz w:val="32"/>
        </w:rPr>
      </w:pPr>
    </w:p>
    <w:p>
      <w:pPr>
        <w:pStyle w:val="6"/>
        <w:spacing w:line="364" w:lineRule="auto"/>
        <w:ind w:left="215" w:right="573" w:firstLine="480"/>
        <w:jc w:val="both"/>
      </w:pPr>
      <w:r>
        <w:t>本次地表水环境质量监测中，水样采集方法、采样频率、分析方法等均符合《地表</w:t>
      </w:r>
      <w:r>
        <w:rPr>
          <w:spacing w:val="-3"/>
        </w:rPr>
        <w:t>水和污水监测技术规范》</w:t>
      </w:r>
      <w:r>
        <w:t>（</w:t>
      </w:r>
      <w:r>
        <w:rPr>
          <w:rFonts w:ascii="Times New Roman" w:eastAsia="Times New Roman"/>
        </w:rPr>
        <w:t>HJ/T91-2002</w:t>
      </w:r>
      <w:r>
        <w:t>）</w:t>
      </w:r>
      <w:r>
        <w:rPr>
          <w:spacing w:val="-5"/>
        </w:rPr>
        <w:t>规范要求，监测结果具有代表性，可作为本次</w:t>
      </w:r>
      <w:r>
        <w:t>地表水环境质量现状评价的基础数据。</w:t>
      </w:r>
    </w:p>
    <w:p>
      <w:pPr>
        <w:pStyle w:val="4"/>
        <w:numPr>
          <w:ilvl w:val="2"/>
          <w:numId w:val="61"/>
        </w:numPr>
        <w:tabs>
          <w:tab w:val="left" w:pos="917"/>
        </w:tabs>
        <w:spacing w:before="1" w:after="0" w:line="240" w:lineRule="auto"/>
        <w:ind w:left="916" w:right="0" w:hanging="702"/>
        <w:jc w:val="left"/>
      </w:pPr>
      <w:bookmarkStart w:id="574" w:name="7.3.2 地表水环境质量现状评价"/>
      <w:bookmarkEnd w:id="574"/>
      <w:bookmarkStart w:id="575" w:name="7.3.2 地表水环境质量现状评价"/>
      <w:bookmarkEnd w:id="575"/>
      <w:r>
        <w:t>地表水环境质量现状评价</w:t>
      </w:r>
    </w:p>
    <w:p>
      <w:pPr>
        <w:pStyle w:val="5"/>
        <w:numPr>
          <w:ilvl w:val="3"/>
          <w:numId w:val="61"/>
        </w:numPr>
        <w:tabs>
          <w:tab w:val="left" w:pos="996"/>
        </w:tabs>
        <w:spacing w:before="185" w:after="0" w:line="240" w:lineRule="auto"/>
        <w:ind w:left="996" w:right="0" w:hanging="781"/>
        <w:jc w:val="left"/>
      </w:pPr>
      <w:r>
        <w:t>评价范围</w:t>
      </w:r>
    </w:p>
    <w:p>
      <w:pPr>
        <w:pStyle w:val="6"/>
        <w:spacing w:before="158"/>
        <w:ind w:left="696"/>
      </w:pPr>
      <w:r>
        <w:t>同现状监测范围。</w:t>
      </w:r>
    </w:p>
    <w:p>
      <w:pPr>
        <w:pStyle w:val="5"/>
        <w:numPr>
          <w:ilvl w:val="3"/>
          <w:numId w:val="61"/>
        </w:numPr>
        <w:tabs>
          <w:tab w:val="left" w:pos="996"/>
        </w:tabs>
        <w:spacing w:before="161" w:after="0" w:line="240" w:lineRule="auto"/>
        <w:ind w:left="996" w:right="0" w:hanging="781"/>
        <w:jc w:val="left"/>
      </w:pPr>
      <w:r>
        <w:t>评价参数的选择</w:t>
      </w:r>
    </w:p>
    <w:p>
      <w:pPr>
        <w:pStyle w:val="6"/>
        <w:spacing w:before="158" w:line="364" w:lineRule="auto"/>
        <w:ind w:left="215" w:right="580" w:firstLine="480"/>
      </w:pPr>
      <w:r>
        <w:t>根据地表水的水质特点及其功能，结合对水监测结果的分析和新项目的排污情况， 为较全面了解地表水水质现状，对评价区域的河段进行现状评价。</w:t>
      </w:r>
    </w:p>
    <w:p>
      <w:pPr>
        <w:spacing w:after="0" w:line="364" w:lineRule="auto"/>
        <w:sectPr>
          <w:pgSz w:w="11910" w:h="16840"/>
          <w:pgMar w:top="1580" w:right="780" w:bottom="1320" w:left="1200" w:header="0" w:footer="1058" w:gutter="0"/>
        </w:sectPr>
      </w:pPr>
    </w:p>
    <w:p>
      <w:pPr>
        <w:pStyle w:val="5"/>
        <w:numPr>
          <w:ilvl w:val="3"/>
          <w:numId w:val="61"/>
        </w:numPr>
        <w:tabs>
          <w:tab w:val="left" w:pos="996"/>
        </w:tabs>
        <w:spacing w:before="66" w:after="0" w:line="240" w:lineRule="auto"/>
        <w:ind w:left="996" w:right="0" w:hanging="781"/>
        <w:jc w:val="left"/>
      </w:pPr>
      <w:r>
        <w:t>评价标准</w:t>
      </w:r>
    </w:p>
    <w:p>
      <w:pPr>
        <w:pStyle w:val="6"/>
        <w:spacing w:before="158" w:line="364" w:lineRule="auto"/>
        <w:ind w:left="215" w:right="578" w:firstLine="480"/>
      </w:pPr>
      <w:r>
        <w:t>评价区地表水执行《地表水环境质量标准》（</w:t>
      </w:r>
      <w:r>
        <w:rPr>
          <w:rFonts w:ascii="Times New Roman" w:hAnsi="Times New Roman" w:eastAsia="Times New Roman"/>
        </w:rPr>
        <w:t>GB3838-2002</w:t>
      </w:r>
      <w:r>
        <w:t xml:space="preserve">）中Ⅲ类标准。具体标准限值见表 </w:t>
      </w:r>
      <w:r>
        <w:rPr>
          <w:rFonts w:ascii="Times New Roman" w:hAnsi="Times New Roman" w:eastAsia="Times New Roman"/>
        </w:rPr>
        <w:t>7.3-3</w:t>
      </w:r>
      <w:r>
        <w:t>。</w:t>
      </w:r>
    </w:p>
    <w:p>
      <w:pPr>
        <w:pStyle w:val="5"/>
        <w:tabs>
          <w:tab w:val="left" w:pos="1286"/>
        </w:tabs>
        <w:spacing w:after="3" w:line="307" w:lineRule="exact"/>
        <w:ind w:left="125"/>
        <w:jc w:val="center"/>
      </w:pPr>
      <w:r>
        <w:t>表</w:t>
      </w:r>
      <w:r>
        <w:rPr>
          <w:spacing w:val="-61"/>
        </w:rPr>
        <w:t xml:space="preserve"> </w:t>
      </w:r>
      <w:r>
        <w:rPr>
          <w:rFonts w:ascii="Times New Roman" w:eastAsia="Times New Roman"/>
        </w:rPr>
        <w:t>7.3-3</w:t>
      </w:r>
      <w:r>
        <w:rPr>
          <w:rFonts w:ascii="Times New Roman" w:eastAsia="Times New Roman"/>
        </w:rPr>
        <w:tab/>
      </w:r>
      <w:r>
        <w:t>评价标准</w:t>
      </w:r>
      <w:r>
        <w:rPr>
          <w:spacing w:val="-2"/>
        </w:rPr>
        <w:t xml:space="preserve"> </w:t>
      </w:r>
      <w:r>
        <w:t>（</w:t>
      </w:r>
      <w:r>
        <w:rPr>
          <w:rFonts w:ascii="Times New Roman" w:eastAsia="Times New Roman"/>
        </w:rPr>
        <w:t>mg/L</w:t>
      </w:r>
      <w:r>
        <w:t>）</w:t>
      </w: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67"/>
        <w:gridCol w:w="2337"/>
        <w:gridCol w:w="2320"/>
        <w:gridCol w:w="23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367" w:type="dxa"/>
          </w:tcPr>
          <w:p>
            <w:pPr>
              <w:pStyle w:val="14"/>
              <w:spacing w:line="252" w:lineRule="exact"/>
              <w:ind w:left="508" w:right="501"/>
              <w:rPr>
                <w:sz w:val="21"/>
              </w:rPr>
            </w:pPr>
            <w:r>
              <w:rPr>
                <w:sz w:val="21"/>
              </w:rPr>
              <w:t>项目</w:t>
            </w:r>
          </w:p>
        </w:tc>
        <w:tc>
          <w:tcPr>
            <w:tcW w:w="2337" w:type="dxa"/>
          </w:tcPr>
          <w:p>
            <w:pPr>
              <w:pStyle w:val="14"/>
              <w:spacing w:line="252" w:lineRule="exact"/>
              <w:ind w:left="623" w:right="614"/>
              <w:rPr>
                <w:sz w:val="21"/>
              </w:rPr>
            </w:pPr>
            <w:r>
              <w:rPr>
                <w:sz w:val="21"/>
              </w:rPr>
              <w:t>Ⅲ类标准值</w:t>
            </w:r>
          </w:p>
        </w:tc>
        <w:tc>
          <w:tcPr>
            <w:tcW w:w="2320" w:type="dxa"/>
          </w:tcPr>
          <w:p>
            <w:pPr>
              <w:pStyle w:val="14"/>
              <w:spacing w:line="252" w:lineRule="exact"/>
              <w:ind w:left="611" w:right="605"/>
              <w:rPr>
                <w:sz w:val="21"/>
              </w:rPr>
            </w:pPr>
            <w:r>
              <w:rPr>
                <w:sz w:val="21"/>
              </w:rPr>
              <w:t>项目</w:t>
            </w:r>
          </w:p>
        </w:tc>
        <w:tc>
          <w:tcPr>
            <w:tcW w:w="2320" w:type="dxa"/>
          </w:tcPr>
          <w:p>
            <w:pPr>
              <w:pStyle w:val="14"/>
              <w:spacing w:line="252" w:lineRule="exact"/>
              <w:ind w:left="615" w:right="605"/>
              <w:rPr>
                <w:sz w:val="21"/>
              </w:rPr>
            </w:pPr>
            <w:r>
              <w:rPr>
                <w:sz w:val="21"/>
              </w:rPr>
              <w:t>Ⅲ类标准值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2367" w:type="dxa"/>
          </w:tcPr>
          <w:p>
            <w:pPr>
              <w:pStyle w:val="14"/>
              <w:spacing w:before="18"/>
              <w:ind w:left="508" w:right="501"/>
              <w:rPr>
                <w:sz w:val="21"/>
              </w:rPr>
            </w:pPr>
            <w:r>
              <w:rPr>
                <w:rFonts w:ascii="Times New Roman" w:eastAsia="Times New Roman"/>
                <w:sz w:val="21"/>
              </w:rPr>
              <w:t>pH</w:t>
            </w:r>
            <w:r>
              <w:rPr>
                <w:sz w:val="21"/>
              </w:rPr>
              <w:t>（无量纲）</w:t>
            </w:r>
          </w:p>
        </w:tc>
        <w:tc>
          <w:tcPr>
            <w:tcW w:w="2337" w:type="dxa"/>
          </w:tcPr>
          <w:p>
            <w:pPr>
              <w:pStyle w:val="14"/>
              <w:spacing w:before="32"/>
              <w:ind w:left="622" w:right="614"/>
              <w:rPr>
                <w:rFonts w:ascii="Times New Roman"/>
                <w:sz w:val="21"/>
              </w:rPr>
            </w:pPr>
            <w:r>
              <w:rPr>
                <w:rFonts w:ascii="Times New Roman"/>
                <w:sz w:val="21"/>
              </w:rPr>
              <w:t>6~9</w:t>
            </w:r>
          </w:p>
        </w:tc>
        <w:tc>
          <w:tcPr>
            <w:tcW w:w="2320" w:type="dxa"/>
          </w:tcPr>
          <w:p>
            <w:pPr>
              <w:pStyle w:val="14"/>
              <w:spacing w:before="18"/>
              <w:ind w:left="611" w:right="605"/>
              <w:rPr>
                <w:sz w:val="21"/>
              </w:rPr>
            </w:pPr>
            <w:r>
              <w:rPr>
                <w:sz w:val="21"/>
              </w:rPr>
              <w:t>总铁</w:t>
            </w:r>
          </w:p>
        </w:tc>
        <w:tc>
          <w:tcPr>
            <w:tcW w:w="2320" w:type="dxa"/>
          </w:tcPr>
          <w:p>
            <w:pPr>
              <w:pStyle w:val="14"/>
              <w:spacing w:before="32"/>
              <w:ind w:left="615" w:right="604"/>
              <w:rPr>
                <w:rFonts w:ascii="Times New Roman"/>
                <w:sz w:val="21"/>
              </w:rPr>
            </w:pPr>
            <w:r>
              <w:rPr>
                <w:rFonts w:ascii="Times New Roman"/>
                <w:sz w:val="21"/>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2367" w:type="dxa"/>
          </w:tcPr>
          <w:p>
            <w:pPr>
              <w:pStyle w:val="14"/>
              <w:spacing w:before="31"/>
              <w:ind w:left="507" w:right="501"/>
              <w:rPr>
                <w:rFonts w:ascii="Times New Roman"/>
                <w:sz w:val="21"/>
              </w:rPr>
            </w:pPr>
            <w:r>
              <w:rPr>
                <w:rFonts w:ascii="Times New Roman"/>
                <w:sz w:val="21"/>
              </w:rPr>
              <w:t>COD</w:t>
            </w:r>
          </w:p>
        </w:tc>
        <w:tc>
          <w:tcPr>
            <w:tcW w:w="2337" w:type="dxa"/>
          </w:tcPr>
          <w:p>
            <w:pPr>
              <w:pStyle w:val="14"/>
              <w:spacing w:before="31"/>
              <w:ind w:left="623" w:right="613"/>
              <w:rPr>
                <w:rFonts w:ascii="Times New Roman"/>
                <w:sz w:val="21"/>
              </w:rPr>
            </w:pPr>
            <w:r>
              <w:rPr>
                <w:rFonts w:ascii="Times New Roman"/>
                <w:sz w:val="21"/>
              </w:rPr>
              <w:t>20</w:t>
            </w:r>
          </w:p>
        </w:tc>
        <w:tc>
          <w:tcPr>
            <w:tcW w:w="2320" w:type="dxa"/>
          </w:tcPr>
          <w:p>
            <w:pPr>
              <w:pStyle w:val="14"/>
              <w:spacing w:before="18"/>
              <w:ind w:left="611" w:right="605"/>
              <w:rPr>
                <w:sz w:val="21"/>
              </w:rPr>
            </w:pPr>
            <w:r>
              <w:rPr>
                <w:sz w:val="21"/>
              </w:rPr>
              <w:t>总锰</w:t>
            </w:r>
          </w:p>
        </w:tc>
        <w:tc>
          <w:tcPr>
            <w:tcW w:w="2320" w:type="dxa"/>
          </w:tcPr>
          <w:p>
            <w:pPr>
              <w:pStyle w:val="14"/>
              <w:spacing w:before="31"/>
              <w:ind w:left="615" w:right="604"/>
              <w:rPr>
                <w:rFonts w:ascii="Times New Roman"/>
                <w:sz w:val="21"/>
              </w:rPr>
            </w:pPr>
            <w:r>
              <w:rPr>
                <w:rFonts w:ascii="Times New Roman"/>
                <w:sz w:val="21"/>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2367" w:type="dxa"/>
          </w:tcPr>
          <w:p>
            <w:pPr>
              <w:pStyle w:val="14"/>
              <w:spacing w:before="28" w:line="259" w:lineRule="exact"/>
              <w:ind w:left="508" w:right="498"/>
              <w:rPr>
                <w:rFonts w:ascii="Times New Roman"/>
                <w:sz w:val="21"/>
              </w:rPr>
            </w:pPr>
            <w:r>
              <w:rPr>
                <w:rFonts w:ascii="Times New Roman"/>
                <w:position w:val="2"/>
                <w:sz w:val="21"/>
              </w:rPr>
              <w:t>BOD</w:t>
            </w:r>
            <w:r>
              <w:rPr>
                <w:rFonts w:ascii="Times New Roman"/>
                <w:position w:val="2"/>
                <w:sz w:val="21"/>
                <w:vertAlign w:val="subscript"/>
              </w:rPr>
              <w:t>5</w:t>
            </w:r>
          </w:p>
        </w:tc>
        <w:tc>
          <w:tcPr>
            <w:tcW w:w="2337" w:type="dxa"/>
          </w:tcPr>
          <w:p>
            <w:pPr>
              <w:pStyle w:val="14"/>
              <w:spacing w:before="31"/>
              <w:ind w:left="10"/>
              <w:rPr>
                <w:rFonts w:ascii="Times New Roman"/>
                <w:sz w:val="21"/>
              </w:rPr>
            </w:pPr>
            <w:r>
              <w:rPr>
                <w:rFonts w:ascii="Times New Roman"/>
                <w:w w:val="99"/>
                <w:sz w:val="21"/>
              </w:rPr>
              <w:t>4</w:t>
            </w:r>
          </w:p>
        </w:tc>
        <w:tc>
          <w:tcPr>
            <w:tcW w:w="2320" w:type="dxa"/>
          </w:tcPr>
          <w:p>
            <w:pPr>
              <w:pStyle w:val="14"/>
              <w:spacing w:before="17"/>
              <w:ind w:left="611" w:right="605"/>
              <w:rPr>
                <w:sz w:val="21"/>
              </w:rPr>
            </w:pPr>
            <w:r>
              <w:rPr>
                <w:sz w:val="21"/>
              </w:rPr>
              <w:t>总镉</w:t>
            </w:r>
          </w:p>
        </w:tc>
        <w:tc>
          <w:tcPr>
            <w:tcW w:w="2320" w:type="dxa"/>
          </w:tcPr>
          <w:p>
            <w:pPr>
              <w:pStyle w:val="14"/>
              <w:spacing w:before="31"/>
              <w:ind w:left="615" w:right="604"/>
              <w:rPr>
                <w:rFonts w:ascii="Times New Roman"/>
                <w:sz w:val="21"/>
              </w:rPr>
            </w:pPr>
            <w:r>
              <w:rPr>
                <w:rFonts w:ascii="Times New Roman"/>
                <w:sz w:val="21"/>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2367" w:type="dxa"/>
          </w:tcPr>
          <w:p>
            <w:pPr>
              <w:pStyle w:val="14"/>
              <w:spacing w:before="17"/>
              <w:ind w:left="508" w:right="501"/>
              <w:rPr>
                <w:sz w:val="21"/>
              </w:rPr>
            </w:pPr>
            <w:r>
              <w:rPr>
                <w:sz w:val="21"/>
              </w:rPr>
              <w:t>氨氮</w:t>
            </w:r>
          </w:p>
        </w:tc>
        <w:tc>
          <w:tcPr>
            <w:tcW w:w="2337" w:type="dxa"/>
          </w:tcPr>
          <w:p>
            <w:pPr>
              <w:pStyle w:val="14"/>
              <w:spacing w:before="31"/>
              <w:ind w:left="623" w:right="613"/>
              <w:rPr>
                <w:rFonts w:ascii="Times New Roman"/>
                <w:sz w:val="21"/>
              </w:rPr>
            </w:pPr>
            <w:r>
              <w:rPr>
                <w:rFonts w:ascii="Times New Roman"/>
                <w:sz w:val="21"/>
              </w:rPr>
              <w:t>1.0</w:t>
            </w:r>
          </w:p>
        </w:tc>
        <w:tc>
          <w:tcPr>
            <w:tcW w:w="2320" w:type="dxa"/>
          </w:tcPr>
          <w:p>
            <w:pPr>
              <w:pStyle w:val="14"/>
              <w:spacing w:before="17"/>
              <w:ind w:left="611" w:right="605"/>
              <w:rPr>
                <w:sz w:val="21"/>
              </w:rPr>
            </w:pPr>
            <w:r>
              <w:rPr>
                <w:sz w:val="21"/>
              </w:rPr>
              <w:t>总铅</w:t>
            </w:r>
          </w:p>
        </w:tc>
        <w:tc>
          <w:tcPr>
            <w:tcW w:w="2320" w:type="dxa"/>
          </w:tcPr>
          <w:p>
            <w:pPr>
              <w:pStyle w:val="14"/>
              <w:spacing w:before="31"/>
              <w:ind w:left="615" w:right="604"/>
              <w:rPr>
                <w:rFonts w:ascii="Times New Roman"/>
                <w:sz w:val="21"/>
              </w:rPr>
            </w:pPr>
            <w:r>
              <w:rPr>
                <w:rFonts w:ascii="Times New Roman"/>
                <w:sz w:val="21"/>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2367" w:type="dxa"/>
          </w:tcPr>
          <w:p>
            <w:pPr>
              <w:pStyle w:val="14"/>
              <w:spacing w:before="17"/>
              <w:ind w:left="508" w:right="501"/>
              <w:rPr>
                <w:sz w:val="21"/>
              </w:rPr>
            </w:pPr>
            <w:r>
              <w:rPr>
                <w:sz w:val="21"/>
              </w:rPr>
              <w:t>六价铬</w:t>
            </w:r>
          </w:p>
        </w:tc>
        <w:tc>
          <w:tcPr>
            <w:tcW w:w="2337" w:type="dxa"/>
          </w:tcPr>
          <w:p>
            <w:pPr>
              <w:pStyle w:val="14"/>
              <w:spacing w:before="31"/>
              <w:ind w:left="623" w:right="613"/>
              <w:rPr>
                <w:rFonts w:ascii="Times New Roman"/>
                <w:sz w:val="21"/>
              </w:rPr>
            </w:pPr>
            <w:r>
              <w:rPr>
                <w:rFonts w:ascii="Times New Roman"/>
                <w:sz w:val="21"/>
              </w:rPr>
              <w:t>0.05</w:t>
            </w:r>
          </w:p>
        </w:tc>
        <w:tc>
          <w:tcPr>
            <w:tcW w:w="2320" w:type="dxa"/>
          </w:tcPr>
          <w:p>
            <w:pPr>
              <w:pStyle w:val="14"/>
              <w:spacing w:before="17"/>
              <w:ind w:left="611" w:right="605"/>
              <w:rPr>
                <w:sz w:val="21"/>
              </w:rPr>
            </w:pPr>
            <w:r>
              <w:rPr>
                <w:sz w:val="21"/>
              </w:rPr>
              <w:t>总锌</w:t>
            </w:r>
          </w:p>
        </w:tc>
        <w:tc>
          <w:tcPr>
            <w:tcW w:w="2320" w:type="dxa"/>
          </w:tcPr>
          <w:p>
            <w:pPr>
              <w:pStyle w:val="14"/>
              <w:spacing w:before="31"/>
              <w:ind w:left="615" w:right="604"/>
              <w:rPr>
                <w:rFonts w:ascii="Times New Roman"/>
                <w:sz w:val="21"/>
              </w:rPr>
            </w:pPr>
            <w:r>
              <w:rPr>
                <w:rFonts w:ascii="Times New Roman"/>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2367" w:type="dxa"/>
          </w:tcPr>
          <w:p>
            <w:pPr>
              <w:pStyle w:val="14"/>
              <w:spacing w:before="17"/>
              <w:ind w:left="508" w:right="501"/>
              <w:rPr>
                <w:sz w:val="21"/>
              </w:rPr>
            </w:pPr>
            <w:r>
              <w:rPr>
                <w:sz w:val="21"/>
              </w:rPr>
              <w:t>石油类</w:t>
            </w:r>
          </w:p>
        </w:tc>
        <w:tc>
          <w:tcPr>
            <w:tcW w:w="2337" w:type="dxa"/>
          </w:tcPr>
          <w:p>
            <w:pPr>
              <w:pStyle w:val="14"/>
              <w:spacing w:before="31"/>
              <w:ind w:left="623" w:right="613"/>
              <w:rPr>
                <w:rFonts w:ascii="Times New Roman"/>
                <w:sz w:val="21"/>
              </w:rPr>
            </w:pPr>
            <w:r>
              <w:rPr>
                <w:rFonts w:ascii="Times New Roman"/>
                <w:sz w:val="21"/>
              </w:rPr>
              <w:t>0.05</w:t>
            </w:r>
          </w:p>
        </w:tc>
        <w:tc>
          <w:tcPr>
            <w:tcW w:w="2320" w:type="dxa"/>
          </w:tcPr>
          <w:p>
            <w:pPr>
              <w:pStyle w:val="14"/>
              <w:spacing w:before="17"/>
              <w:ind w:left="611" w:right="605"/>
              <w:rPr>
                <w:sz w:val="21"/>
              </w:rPr>
            </w:pPr>
            <w:r>
              <w:rPr>
                <w:sz w:val="21"/>
              </w:rPr>
              <w:t>溶解氧</w:t>
            </w:r>
          </w:p>
        </w:tc>
        <w:tc>
          <w:tcPr>
            <w:tcW w:w="2320" w:type="dxa"/>
          </w:tcPr>
          <w:p>
            <w:pPr>
              <w:pStyle w:val="14"/>
              <w:spacing w:before="17"/>
              <w:ind w:left="613" w:right="605"/>
              <w:rPr>
                <w:rFonts w:ascii="Times New Roman" w:hAnsi="Times New Roman"/>
                <w:sz w:val="21"/>
              </w:rPr>
            </w:pPr>
            <w:r>
              <w:rPr>
                <w:sz w:val="21"/>
              </w:rPr>
              <w:t>≥</w:t>
            </w:r>
            <w:r>
              <w:rPr>
                <w:rFonts w:ascii="Times New Roman" w:hAnsi="Times New Roman"/>
                <w:sz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2367" w:type="dxa"/>
          </w:tcPr>
          <w:p>
            <w:pPr>
              <w:pStyle w:val="14"/>
              <w:spacing w:before="19" w:line="268" w:lineRule="exact"/>
              <w:ind w:left="508" w:right="501"/>
              <w:rPr>
                <w:sz w:val="21"/>
              </w:rPr>
            </w:pPr>
            <w:r>
              <w:rPr>
                <w:sz w:val="21"/>
              </w:rPr>
              <w:t>氟化物</w:t>
            </w:r>
          </w:p>
        </w:tc>
        <w:tc>
          <w:tcPr>
            <w:tcW w:w="2337" w:type="dxa"/>
          </w:tcPr>
          <w:p>
            <w:pPr>
              <w:pStyle w:val="14"/>
              <w:spacing w:before="33"/>
              <w:ind w:left="623" w:right="613"/>
              <w:rPr>
                <w:rFonts w:ascii="Times New Roman"/>
                <w:sz w:val="21"/>
              </w:rPr>
            </w:pPr>
            <w:r>
              <w:rPr>
                <w:rFonts w:ascii="Times New Roman"/>
                <w:sz w:val="21"/>
              </w:rPr>
              <w:t>1.0</w:t>
            </w:r>
          </w:p>
        </w:tc>
        <w:tc>
          <w:tcPr>
            <w:tcW w:w="2320" w:type="dxa"/>
          </w:tcPr>
          <w:p>
            <w:pPr>
              <w:pStyle w:val="14"/>
              <w:jc w:val="left"/>
              <w:rPr>
                <w:rFonts w:ascii="Times New Roman"/>
                <w:sz w:val="22"/>
              </w:rPr>
            </w:pPr>
          </w:p>
        </w:tc>
        <w:tc>
          <w:tcPr>
            <w:tcW w:w="2320" w:type="dxa"/>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2367" w:type="dxa"/>
          </w:tcPr>
          <w:p>
            <w:pPr>
              <w:pStyle w:val="14"/>
              <w:spacing w:before="19" w:line="268" w:lineRule="exact"/>
              <w:ind w:left="508" w:right="501"/>
              <w:rPr>
                <w:sz w:val="21"/>
              </w:rPr>
            </w:pPr>
            <w:r>
              <w:rPr>
                <w:sz w:val="21"/>
              </w:rPr>
              <w:t>总汞</w:t>
            </w:r>
          </w:p>
        </w:tc>
        <w:tc>
          <w:tcPr>
            <w:tcW w:w="2337" w:type="dxa"/>
          </w:tcPr>
          <w:p>
            <w:pPr>
              <w:pStyle w:val="14"/>
              <w:spacing w:before="33"/>
              <w:ind w:left="622" w:right="614"/>
              <w:rPr>
                <w:rFonts w:ascii="Times New Roman"/>
                <w:sz w:val="21"/>
              </w:rPr>
            </w:pPr>
            <w:r>
              <w:rPr>
                <w:rFonts w:ascii="Times New Roman"/>
                <w:sz w:val="21"/>
              </w:rPr>
              <w:t>0.0001</w:t>
            </w:r>
          </w:p>
        </w:tc>
        <w:tc>
          <w:tcPr>
            <w:tcW w:w="2320" w:type="dxa"/>
          </w:tcPr>
          <w:p>
            <w:pPr>
              <w:pStyle w:val="14"/>
              <w:jc w:val="left"/>
              <w:rPr>
                <w:rFonts w:ascii="Times New Roman"/>
                <w:sz w:val="22"/>
              </w:rPr>
            </w:pPr>
          </w:p>
        </w:tc>
        <w:tc>
          <w:tcPr>
            <w:tcW w:w="2320" w:type="dxa"/>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2367" w:type="dxa"/>
          </w:tcPr>
          <w:p>
            <w:pPr>
              <w:pStyle w:val="14"/>
              <w:spacing w:before="19" w:line="268" w:lineRule="exact"/>
              <w:ind w:left="508" w:right="501"/>
              <w:rPr>
                <w:sz w:val="21"/>
              </w:rPr>
            </w:pPr>
            <w:r>
              <w:rPr>
                <w:sz w:val="21"/>
              </w:rPr>
              <w:t>总砷</w:t>
            </w:r>
          </w:p>
        </w:tc>
        <w:tc>
          <w:tcPr>
            <w:tcW w:w="2337" w:type="dxa"/>
          </w:tcPr>
          <w:p>
            <w:pPr>
              <w:pStyle w:val="14"/>
              <w:spacing w:before="32"/>
              <w:ind w:left="623" w:right="613"/>
              <w:rPr>
                <w:rFonts w:ascii="Times New Roman"/>
                <w:sz w:val="21"/>
              </w:rPr>
            </w:pPr>
            <w:r>
              <w:rPr>
                <w:rFonts w:ascii="Times New Roman"/>
                <w:sz w:val="21"/>
              </w:rPr>
              <w:t>0.05</w:t>
            </w:r>
          </w:p>
        </w:tc>
        <w:tc>
          <w:tcPr>
            <w:tcW w:w="2320" w:type="dxa"/>
          </w:tcPr>
          <w:p>
            <w:pPr>
              <w:pStyle w:val="14"/>
              <w:jc w:val="left"/>
              <w:rPr>
                <w:rFonts w:ascii="Times New Roman"/>
                <w:sz w:val="22"/>
              </w:rPr>
            </w:pPr>
          </w:p>
        </w:tc>
        <w:tc>
          <w:tcPr>
            <w:tcW w:w="2320" w:type="dxa"/>
          </w:tcPr>
          <w:p>
            <w:pPr>
              <w:pStyle w:val="14"/>
              <w:jc w:val="left"/>
              <w:rPr>
                <w:rFonts w:ascii="Times New Roman"/>
                <w:sz w:val="22"/>
              </w:rPr>
            </w:pPr>
          </w:p>
        </w:tc>
      </w:tr>
    </w:tbl>
    <w:p>
      <w:pPr>
        <w:spacing w:after="0"/>
        <w:jc w:val="left"/>
        <w:rPr>
          <w:rFonts w:ascii="Times New Roman"/>
          <w:sz w:val="22"/>
        </w:rPr>
        <w:sectPr>
          <w:pgSz w:w="11910" w:h="16840"/>
          <w:pgMar w:top="1520" w:right="780" w:bottom="1320" w:left="1200" w:header="0" w:footer="1058" w:gutter="0"/>
        </w:sectPr>
      </w:pPr>
    </w:p>
    <w:p>
      <w:pPr>
        <w:pStyle w:val="13"/>
        <w:numPr>
          <w:ilvl w:val="3"/>
          <w:numId w:val="61"/>
        </w:numPr>
        <w:tabs>
          <w:tab w:val="left" w:pos="996"/>
        </w:tabs>
        <w:spacing w:before="3" w:after="0" w:line="240" w:lineRule="auto"/>
        <w:ind w:left="996" w:right="0" w:hanging="781"/>
        <w:jc w:val="left"/>
        <w:rPr>
          <w:b/>
          <w:sz w:val="24"/>
        </w:rPr>
      </w:pPr>
      <w:r>
        <w:rPr>
          <w:b/>
          <w:sz w:val="24"/>
        </w:rPr>
        <w:t>评价方法</w:t>
      </w:r>
    </w:p>
    <w:p>
      <w:pPr>
        <w:pStyle w:val="6"/>
        <w:spacing w:before="158"/>
        <w:ind w:left="696"/>
      </w:pPr>
      <w:r>
        <w:t>采用单项污染指数法。模式如下：</w:t>
      </w:r>
    </w:p>
    <w:p>
      <w:pPr>
        <w:pStyle w:val="6"/>
      </w:pPr>
    </w:p>
    <w:p>
      <w:pPr>
        <w:pStyle w:val="6"/>
        <w:spacing w:before="9"/>
        <w:rPr>
          <w:sz w:val="20"/>
        </w:rPr>
      </w:pPr>
    </w:p>
    <w:p>
      <w:pPr>
        <w:pStyle w:val="6"/>
        <w:spacing w:before="1"/>
        <w:ind w:left="696"/>
      </w:pPr>
      <w:r>
        <w:rPr>
          <w:rFonts w:ascii="Times New Roman" w:eastAsia="Times New Roman"/>
        </w:rPr>
        <w:t xml:space="preserve">pH </w:t>
      </w:r>
      <w:r>
        <w:t>的标准指数为：</w:t>
      </w:r>
    </w:p>
    <w:p>
      <w:pPr>
        <w:pStyle w:val="6"/>
        <w:rPr>
          <w:sz w:val="26"/>
        </w:rPr>
      </w:pPr>
      <w:r>
        <w:br w:type="column"/>
      </w:r>
    </w:p>
    <w:p>
      <w:pPr>
        <w:pStyle w:val="6"/>
        <w:rPr>
          <w:sz w:val="26"/>
        </w:rPr>
      </w:pPr>
    </w:p>
    <w:p>
      <w:pPr>
        <w:pStyle w:val="6"/>
        <w:spacing w:before="7"/>
        <w:rPr>
          <w:sz w:val="20"/>
        </w:rPr>
      </w:pPr>
    </w:p>
    <w:p>
      <w:pPr>
        <w:spacing w:before="1"/>
        <w:ind w:left="216" w:right="0" w:firstLine="0"/>
        <w:jc w:val="left"/>
        <w:rPr>
          <w:rFonts w:ascii="Times New Roman"/>
          <w:sz w:val="15"/>
        </w:rPr>
      </w:pPr>
      <w:r>
        <w:rPr>
          <w:rFonts w:ascii="Times New Roman"/>
          <w:position w:val="2"/>
          <w:sz w:val="24"/>
        </w:rPr>
        <w:t>P</w:t>
      </w:r>
      <w:r>
        <w:rPr>
          <w:rFonts w:ascii="Times New Roman"/>
          <w:sz w:val="15"/>
        </w:rPr>
        <w:t>i,j</w:t>
      </w:r>
      <w:r>
        <w:rPr>
          <w:rFonts w:ascii="Times New Roman"/>
          <w:position w:val="2"/>
          <w:sz w:val="24"/>
        </w:rPr>
        <w:t>=c</w:t>
      </w:r>
      <w:r>
        <w:rPr>
          <w:rFonts w:ascii="Times New Roman"/>
          <w:sz w:val="15"/>
        </w:rPr>
        <w:t>i,j</w:t>
      </w:r>
      <w:r>
        <w:rPr>
          <w:rFonts w:ascii="Times New Roman"/>
          <w:position w:val="2"/>
          <w:sz w:val="24"/>
        </w:rPr>
        <w:t>/c</w:t>
      </w:r>
      <w:r>
        <w:rPr>
          <w:rFonts w:ascii="Times New Roman"/>
          <w:sz w:val="15"/>
        </w:rPr>
        <w:t>oi</w:t>
      </w:r>
    </w:p>
    <w:p>
      <w:pPr>
        <w:spacing w:after="0"/>
        <w:jc w:val="left"/>
        <w:rPr>
          <w:rFonts w:ascii="Times New Roman"/>
          <w:sz w:val="15"/>
        </w:rPr>
        <w:sectPr>
          <w:type w:val="continuous"/>
          <w:pgSz w:w="11910" w:h="16840"/>
          <w:pgMar w:top="1580" w:right="780" w:bottom="280" w:left="1200" w:header="720" w:footer="720" w:gutter="0"/>
          <w:cols w:equalWidth="0" w:num="2">
            <w:col w:w="4297" w:space="52"/>
            <w:col w:w="5581"/>
          </w:cols>
        </w:sectPr>
      </w:pPr>
    </w:p>
    <w:p>
      <w:pPr>
        <w:pStyle w:val="6"/>
        <w:spacing w:before="157" w:line="360" w:lineRule="auto"/>
        <w:ind w:left="2973" w:right="3148" w:firstLine="38"/>
        <w:rPr>
          <w:rFonts w:ascii="Times New Roman" w:hAnsi="Times New Roman" w:eastAsia="Times New Roman"/>
        </w:rPr>
      </w:pPr>
      <w:r>
        <w:rPr>
          <w:rFonts w:ascii="Times New Roman" w:hAnsi="Times New Roman" w:eastAsia="Times New Roman"/>
          <w:position w:val="2"/>
        </w:rPr>
        <w:t>P</w:t>
      </w:r>
      <w:r>
        <w:rPr>
          <w:rFonts w:ascii="Times New Roman" w:hAnsi="Times New Roman" w:eastAsia="Times New Roman"/>
          <w:position w:val="2"/>
          <w:vertAlign w:val="subscript"/>
        </w:rPr>
        <w:t>pH,j</w:t>
      </w:r>
      <w:r>
        <w:rPr>
          <w:rFonts w:ascii="Times New Roman" w:hAnsi="Times New Roman" w:eastAsia="Times New Roman"/>
          <w:position w:val="2"/>
          <w:vertAlign w:val="baseline"/>
        </w:rPr>
        <w:t>=(7.0-pH</w:t>
      </w:r>
      <w:r>
        <w:rPr>
          <w:rFonts w:ascii="Times New Roman" w:hAnsi="Times New Roman" w:eastAsia="Times New Roman"/>
          <w:position w:val="2"/>
          <w:vertAlign w:val="subscript"/>
        </w:rPr>
        <w:t>j</w:t>
      </w:r>
      <w:r>
        <w:rPr>
          <w:rFonts w:ascii="Times New Roman" w:hAnsi="Times New Roman" w:eastAsia="Times New Roman"/>
          <w:position w:val="2"/>
          <w:vertAlign w:val="baseline"/>
        </w:rPr>
        <w:t>)/(7.0-PH</w:t>
      </w:r>
      <w:r>
        <w:rPr>
          <w:rFonts w:ascii="Times New Roman" w:hAnsi="Times New Roman" w:eastAsia="Times New Roman"/>
          <w:position w:val="2"/>
          <w:vertAlign w:val="subscript"/>
        </w:rPr>
        <w:t>sd)</w:t>
      </w:r>
      <w:r>
        <w:rPr>
          <w:position w:val="2"/>
          <w:vertAlign w:val="baseline"/>
        </w:rPr>
        <w:t>，</w:t>
      </w:r>
      <w:r>
        <w:rPr>
          <w:rFonts w:ascii="Times New Roman" w:hAnsi="Times New Roman" w:eastAsia="Times New Roman"/>
          <w:position w:val="2"/>
          <w:vertAlign w:val="baseline"/>
        </w:rPr>
        <w:t>pH</w:t>
      </w:r>
      <w:r>
        <w:rPr>
          <w:rFonts w:ascii="Times New Roman" w:hAnsi="Times New Roman" w:eastAsia="Times New Roman"/>
          <w:position w:val="2"/>
          <w:vertAlign w:val="subscript"/>
        </w:rPr>
        <w:t>j</w:t>
      </w:r>
      <w:r>
        <w:rPr>
          <w:rFonts w:ascii="Times New Roman" w:hAnsi="Times New Roman" w:eastAsia="Times New Roman"/>
          <w:position w:val="2"/>
          <w:vertAlign w:val="baseline"/>
        </w:rPr>
        <w:t xml:space="preserve"> ≤7.0</w:t>
      </w:r>
      <w:r>
        <w:rPr>
          <w:position w:val="2"/>
          <w:vertAlign w:val="baseline"/>
        </w:rPr>
        <w:t xml:space="preserve">； </w:t>
      </w:r>
      <w:r>
        <w:rPr>
          <w:rFonts w:ascii="Times New Roman" w:hAnsi="Times New Roman" w:eastAsia="Times New Roman"/>
          <w:position w:val="2"/>
          <w:vertAlign w:val="baseline"/>
        </w:rPr>
        <w:t>P</w:t>
      </w:r>
      <w:r>
        <w:rPr>
          <w:rFonts w:ascii="Times New Roman" w:hAnsi="Times New Roman" w:eastAsia="Times New Roman"/>
          <w:position w:val="2"/>
          <w:vertAlign w:val="subscript"/>
        </w:rPr>
        <w:t>pH,j</w:t>
      </w:r>
      <w:r>
        <w:rPr>
          <w:rFonts w:ascii="Times New Roman" w:hAnsi="Times New Roman" w:eastAsia="Times New Roman"/>
          <w:position w:val="2"/>
          <w:vertAlign w:val="baseline"/>
        </w:rPr>
        <w:t>=( pH</w:t>
      </w:r>
      <w:r>
        <w:rPr>
          <w:rFonts w:ascii="Times New Roman" w:hAnsi="Times New Roman" w:eastAsia="Times New Roman"/>
          <w:position w:val="2"/>
          <w:vertAlign w:val="subscript"/>
        </w:rPr>
        <w:t>j</w:t>
      </w:r>
      <w:r>
        <w:rPr>
          <w:rFonts w:ascii="Times New Roman" w:hAnsi="Times New Roman" w:eastAsia="Times New Roman"/>
          <w:position w:val="2"/>
          <w:vertAlign w:val="baseline"/>
        </w:rPr>
        <w:t>-7.0)/( PH</w:t>
      </w:r>
      <w:r>
        <w:rPr>
          <w:rFonts w:ascii="Times New Roman" w:hAnsi="Times New Roman" w:eastAsia="Times New Roman"/>
          <w:position w:val="2"/>
          <w:vertAlign w:val="subscript"/>
        </w:rPr>
        <w:t>su</w:t>
      </w:r>
      <w:r>
        <w:rPr>
          <w:rFonts w:ascii="Times New Roman" w:hAnsi="Times New Roman" w:eastAsia="Times New Roman"/>
          <w:position w:val="2"/>
          <w:vertAlign w:val="baseline"/>
        </w:rPr>
        <w:t>-7.0</w:t>
      </w:r>
      <w:r>
        <w:rPr>
          <w:rFonts w:ascii="Times New Roman" w:hAnsi="Times New Roman" w:eastAsia="Times New Roman"/>
          <w:position w:val="2"/>
          <w:vertAlign w:val="subscript"/>
        </w:rPr>
        <w:t>)</w:t>
      </w:r>
      <w:r>
        <w:rPr>
          <w:position w:val="2"/>
          <w:vertAlign w:val="baseline"/>
        </w:rPr>
        <w:t>，</w:t>
      </w:r>
      <w:r>
        <w:rPr>
          <w:rFonts w:ascii="Times New Roman" w:hAnsi="Times New Roman" w:eastAsia="Times New Roman"/>
          <w:position w:val="2"/>
          <w:vertAlign w:val="baseline"/>
        </w:rPr>
        <w:t>pH</w:t>
      </w:r>
      <w:r>
        <w:rPr>
          <w:rFonts w:ascii="Times New Roman" w:hAnsi="Times New Roman" w:eastAsia="Times New Roman"/>
          <w:position w:val="2"/>
          <w:vertAlign w:val="subscript"/>
        </w:rPr>
        <w:t>j</w:t>
      </w:r>
      <w:r>
        <w:rPr>
          <w:rFonts w:ascii="Times New Roman" w:hAnsi="Times New Roman" w:eastAsia="Times New Roman"/>
          <w:position w:val="2"/>
          <w:vertAlign w:val="baseline"/>
        </w:rPr>
        <w:t xml:space="preserve"> ≥7.0</w:t>
      </w:r>
    </w:p>
    <w:p>
      <w:pPr>
        <w:pStyle w:val="6"/>
        <w:spacing w:before="2"/>
        <w:ind w:left="696"/>
        <w:jc w:val="both"/>
      </w:pPr>
      <w:r>
        <w:rPr>
          <w:position w:val="2"/>
        </w:rPr>
        <w:t>式中：</w:t>
      </w:r>
      <w:r>
        <w:rPr>
          <w:rFonts w:ascii="Times New Roman" w:eastAsia="Times New Roman"/>
          <w:position w:val="2"/>
        </w:rPr>
        <w:t>P</w:t>
      </w:r>
      <w:r>
        <w:rPr>
          <w:rFonts w:ascii="Times New Roman" w:eastAsia="Times New Roman"/>
          <w:position w:val="2"/>
          <w:vertAlign w:val="subscript"/>
        </w:rPr>
        <w:t>i,j</w:t>
      </w:r>
      <w:r>
        <w:rPr>
          <w:rFonts w:ascii="Times New Roman" w:eastAsia="Times New Roman"/>
          <w:position w:val="2"/>
          <w:vertAlign w:val="baseline"/>
        </w:rPr>
        <w:t>--</w:t>
      </w:r>
      <w:r>
        <w:rPr>
          <w:position w:val="2"/>
          <w:vertAlign w:val="baseline"/>
        </w:rPr>
        <w:t xml:space="preserve">单项水质参数 </w:t>
      </w:r>
      <w:r>
        <w:rPr>
          <w:rFonts w:ascii="Times New Roman" w:eastAsia="Times New Roman"/>
          <w:position w:val="2"/>
          <w:vertAlign w:val="baseline"/>
        </w:rPr>
        <w:t xml:space="preserve">i </w:t>
      </w:r>
      <w:r>
        <w:rPr>
          <w:position w:val="2"/>
          <w:vertAlign w:val="baseline"/>
        </w:rPr>
        <w:t xml:space="preserve">在第 </w:t>
      </w:r>
      <w:r>
        <w:rPr>
          <w:rFonts w:ascii="Times New Roman" w:eastAsia="Times New Roman"/>
          <w:position w:val="2"/>
          <w:vertAlign w:val="baseline"/>
        </w:rPr>
        <w:t xml:space="preserve">j </w:t>
      </w:r>
      <w:r>
        <w:rPr>
          <w:position w:val="2"/>
          <w:vertAlign w:val="baseline"/>
        </w:rPr>
        <w:t>点的标准指数；</w:t>
      </w:r>
    </w:p>
    <w:p>
      <w:pPr>
        <w:pStyle w:val="6"/>
        <w:spacing w:before="154" w:line="360" w:lineRule="auto"/>
        <w:ind w:left="1377" w:right="3153"/>
        <w:jc w:val="both"/>
      </w:pPr>
      <w:r>
        <w:rPr>
          <w:rFonts w:ascii="Times New Roman" w:hAnsi="Times New Roman" w:eastAsia="Times New Roman"/>
          <w:position w:val="2"/>
        </w:rPr>
        <w:t>c</w:t>
      </w:r>
      <w:r>
        <w:rPr>
          <w:rFonts w:ascii="Times New Roman" w:hAnsi="Times New Roman" w:eastAsia="Times New Roman"/>
          <w:position w:val="2"/>
          <w:vertAlign w:val="subscript"/>
        </w:rPr>
        <w:t>i,j</w:t>
      </w:r>
      <w:r>
        <w:rPr>
          <w:rFonts w:ascii="Times New Roman" w:hAnsi="Times New Roman" w:eastAsia="Times New Roman"/>
          <w:position w:val="2"/>
          <w:vertAlign w:val="baseline"/>
        </w:rPr>
        <w:t>--</w:t>
      </w:r>
      <w:r>
        <w:rPr>
          <w:spacing w:val="-9"/>
          <w:position w:val="2"/>
          <w:vertAlign w:val="baseline"/>
        </w:rPr>
        <w:t xml:space="preserve">单项水质参数 </w:t>
      </w:r>
      <w:r>
        <w:rPr>
          <w:rFonts w:ascii="Times New Roman" w:hAnsi="Times New Roman" w:eastAsia="Times New Roman"/>
          <w:position w:val="2"/>
          <w:vertAlign w:val="baseline"/>
        </w:rPr>
        <w:t>i</w:t>
      </w:r>
      <w:r>
        <w:rPr>
          <w:rFonts w:ascii="Times New Roman" w:hAnsi="Times New Roman" w:eastAsia="Times New Roman"/>
          <w:spacing w:val="-2"/>
          <w:position w:val="2"/>
          <w:vertAlign w:val="baseline"/>
        </w:rPr>
        <w:t xml:space="preserve"> </w:t>
      </w:r>
      <w:r>
        <w:rPr>
          <w:spacing w:val="-20"/>
          <w:position w:val="2"/>
          <w:vertAlign w:val="baseline"/>
        </w:rPr>
        <w:t xml:space="preserve">在第 </w:t>
      </w:r>
      <w:r>
        <w:rPr>
          <w:rFonts w:ascii="Times New Roman" w:hAnsi="Times New Roman" w:eastAsia="Times New Roman"/>
          <w:position w:val="2"/>
          <w:vertAlign w:val="baseline"/>
        </w:rPr>
        <w:t xml:space="preserve">j </w:t>
      </w:r>
      <w:r>
        <w:rPr>
          <w:position w:val="2"/>
          <w:vertAlign w:val="baseline"/>
        </w:rPr>
        <w:t>点的实测浓度（</w:t>
      </w:r>
      <w:r>
        <w:rPr>
          <w:rFonts w:ascii="Times New Roman" w:hAnsi="Times New Roman" w:eastAsia="Times New Roman"/>
          <w:position w:val="2"/>
          <w:vertAlign w:val="baseline"/>
        </w:rPr>
        <w:t>mg/L</w:t>
      </w:r>
      <w:r>
        <w:rPr>
          <w:position w:val="2"/>
          <w:vertAlign w:val="baseline"/>
        </w:rPr>
        <w:t xml:space="preserve">）； </w:t>
      </w:r>
      <w:r>
        <w:rPr>
          <w:rFonts w:ascii="Times New Roman" w:hAnsi="Times New Roman" w:eastAsia="Times New Roman"/>
          <w:position w:val="2"/>
          <w:vertAlign w:val="baseline"/>
        </w:rPr>
        <w:t>c</w:t>
      </w:r>
      <w:r>
        <w:rPr>
          <w:rFonts w:ascii="Times New Roman" w:hAnsi="Times New Roman" w:eastAsia="Times New Roman"/>
          <w:position w:val="2"/>
          <w:vertAlign w:val="subscript"/>
        </w:rPr>
        <w:t>Oi</w:t>
      </w:r>
      <w:r>
        <w:rPr>
          <w:rFonts w:ascii="Times New Roman" w:hAnsi="Times New Roman" w:eastAsia="Times New Roman"/>
          <w:position w:val="2"/>
          <w:vertAlign w:val="baseline"/>
        </w:rPr>
        <w:t>--</w:t>
      </w:r>
      <w:r>
        <w:rPr>
          <w:spacing w:val="-9"/>
          <w:position w:val="2"/>
          <w:vertAlign w:val="baseline"/>
        </w:rPr>
        <w:t xml:space="preserve">单项水质参数 </w:t>
      </w:r>
      <w:r>
        <w:rPr>
          <w:rFonts w:ascii="Times New Roman" w:hAnsi="Times New Roman" w:eastAsia="Times New Roman"/>
          <w:position w:val="2"/>
          <w:vertAlign w:val="baseline"/>
        </w:rPr>
        <w:t>i</w:t>
      </w:r>
      <w:r>
        <w:rPr>
          <w:rFonts w:ascii="Times New Roman" w:hAnsi="Times New Roman" w:eastAsia="Times New Roman"/>
          <w:spacing w:val="2"/>
          <w:position w:val="2"/>
          <w:vertAlign w:val="baseline"/>
        </w:rPr>
        <w:t xml:space="preserve"> </w:t>
      </w:r>
      <w:r>
        <w:rPr>
          <w:spacing w:val="-20"/>
          <w:position w:val="2"/>
          <w:vertAlign w:val="baseline"/>
        </w:rPr>
        <w:t xml:space="preserve">在第 </w:t>
      </w:r>
      <w:r>
        <w:rPr>
          <w:rFonts w:ascii="Times New Roman" w:hAnsi="Times New Roman" w:eastAsia="Times New Roman"/>
          <w:position w:val="2"/>
          <w:vertAlign w:val="baseline"/>
        </w:rPr>
        <w:t>j</w:t>
      </w:r>
      <w:r>
        <w:rPr>
          <w:rFonts w:ascii="Times New Roman" w:hAnsi="Times New Roman" w:eastAsia="Times New Roman"/>
          <w:spacing w:val="2"/>
          <w:position w:val="2"/>
          <w:vertAlign w:val="baseline"/>
        </w:rPr>
        <w:t xml:space="preserve"> </w:t>
      </w:r>
      <w:r>
        <w:rPr>
          <w:position w:val="2"/>
          <w:vertAlign w:val="baseline"/>
        </w:rPr>
        <w:t>点的评价标准</w:t>
      </w:r>
      <w:r>
        <w:rPr>
          <w:spacing w:val="-4"/>
          <w:position w:val="2"/>
          <w:vertAlign w:val="baseline"/>
        </w:rPr>
        <w:t>（</w:t>
      </w:r>
      <w:r>
        <w:rPr>
          <w:rFonts w:ascii="Times New Roman" w:hAnsi="Times New Roman" w:eastAsia="Times New Roman"/>
          <w:spacing w:val="-4"/>
          <w:position w:val="2"/>
          <w:vertAlign w:val="baseline"/>
        </w:rPr>
        <w:t>mg/L</w:t>
      </w:r>
      <w:r>
        <w:rPr>
          <w:spacing w:val="-4"/>
          <w:position w:val="2"/>
          <w:vertAlign w:val="baseline"/>
        </w:rPr>
        <w:t xml:space="preserve">）； </w:t>
      </w:r>
      <w:r>
        <w:rPr>
          <w:rFonts w:ascii="Times New Roman" w:hAnsi="Times New Roman" w:eastAsia="Times New Roman"/>
          <w:position w:val="2"/>
          <w:vertAlign w:val="baseline"/>
        </w:rPr>
        <w:t>PH</w:t>
      </w:r>
      <w:r>
        <w:rPr>
          <w:rFonts w:ascii="Times New Roman" w:hAnsi="Times New Roman" w:eastAsia="Times New Roman"/>
          <w:position w:val="2"/>
          <w:vertAlign w:val="subscript"/>
        </w:rPr>
        <w:t>sd</w:t>
      </w:r>
      <w:r>
        <w:rPr>
          <w:rFonts w:ascii="Times New Roman" w:hAnsi="Times New Roman" w:eastAsia="Times New Roman"/>
          <w:position w:val="2"/>
          <w:vertAlign w:val="baseline"/>
        </w:rPr>
        <w:t>—pH</w:t>
      </w:r>
      <w:r>
        <w:rPr>
          <w:rFonts w:ascii="Times New Roman" w:hAnsi="Times New Roman" w:eastAsia="Times New Roman"/>
          <w:spacing w:val="-1"/>
          <w:position w:val="2"/>
          <w:vertAlign w:val="baseline"/>
        </w:rPr>
        <w:t xml:space="preserve"> </w:t>
      </w:r>
      <w:r>
        <w:rPr>
          <w:position w:val="2"/>
          <w:vertAlign w:val="baseline"/>
        </w:rPr>
        <w:t>值标准规定的下限值；</w:t>
      </w:r>
    </w:p>
    <w:p>
      <w:pPr>
        <w:pStyle w:val="6"/>
        <w:spacing w:before="4"/>
        <w:ind w:left="1403"/>
        <w:jc w:val="both"/>
      </w:pPr>
      <w:r>
        <w:rPr>
          <w:rFonts w:ascii="Times New Roman" w:eastAsia="Times New Roman"/>
          <w:position w:val="2"/>
        </w:rPr>
        <w:t>PH</w:t>
      </w:r>
      <w:r>
        <w:rPr>
          <w:rFonts w:ascii="Times New Roman" w:eastAsia="Times New Roman"/>
          <w:position w:val="2"/>
          <w:vertAlign w:val="subscript"/>
        </w:rPr>
        <w:t>su</w:t>
      </w:r>
      <w:r>
        <w:rPr>
          <w:rFonts w:ascii="Times New Roman" w:eastAsia="Times New Roman"/>
          <w:position w:val="2"/>
          <w:vertAlign w:val="baseline"/>
        </w:rPr>
        <w:t xml:space="preserve"> --pH</w:t>
      </w:r>
      <w:r>
        <w:rPr>
          <w:rFonts w:ascii="Times New Roman" w:eastAsia="Times New Roman"/>
          <w:spacing w:val="-1"/>
          <w:position w:val="2"/>
          <w:vertAlign w:val="baseline"/>
        </w:rPr>
        <w:t xml:space="preserve"> </w:t>
      </w:r>
      <w:r>
        <w:rPr>
          <w:position w:val="2"/>
          <w:vertAlign w:val="baseline"/>
        </w:rPr>
        <w:t>值标准规定的上限值；</w:t>
      </w:r>
    </w:p>
    <w:p>
      <w:pPr>
        <w:pStyle w:val="6"/>
        <w:spacing w:before="157" w:line="364" w:lineRule="auto"/>
        <w:ind w:left="215" w:right="578" w:firstLine="480"/>
      </w:pPr>
      <w:r>
        <w:t>水质参数的标准指数</w:t>
      </w:r>
      <w:r>
        <w:rPr>
          <w:rFonts w:ascii="Times New Roman" w:eastAsia="Times New Roman"/>
        </w:rPr>
        <w:t>&gt;1</w:t>
      </w:r>
      <w:r>
        <w:t>，表明该水质参数超过了规定的水质标准，已经不能满足使用要求。</w:t>
      </w:r>
    </w:p>
    <w:p>
      <w:pPr>
        <w:pStyle w:val="5"/>
        <w:numPr>
          <w:ilvl w:val="3"/>
          <w:numId w:val="61"/>
        </w:numPr>
        <w:tabs>
          <w:tab w:val="left" w:pos="996"/>
        </w:tabs>
        <w:spacing w:before="0" w:after="0" w:line="306" w:lineRule="exact"/>
        <w:ind w:left="996" w:right="0" w:hanging="781"/>
        <w:jc w:val="left"/>
      </w:pPr>
      <w:r>
        <w:t>评价结果及分析</w:t>
      </w:r>
    </w:p>
    <w:p>
      <w:pPr>
        <w:pStyle w:val="6"/>
        <w:spacing w:before="161"/>
        <w:ind w:left="696"/>
        <w:jc w:val="both"/>
      </w:pPr>
      <w:r>
        <w:t xml:space="preserve">地表水环境质量现状评价结果见表 </w:t>
      </w:r>
      <w:r>
        <w:rPr>
          <w:rFonts w:ascii="Times New Roman" w:eastAsia="Times New Roman"/>
        </w:rPr>
        <w:t>7.3-4</w:t>
      </w:r>
      <w:r>
        <w:t>。</w:t>
      </w:r>
    </w:p>
    <w:p>
      <w:pPr>
        <w:pStyle w:val="5"/>
        <w:spacing w:before="158" w:after="4"/>
        <w:ind w:left="3062"/>
      </w:pPr>
      <w:r>
        <w:t xml:space="preserve">表 </w:t>
      </w:r>
      <w:r>
        <w:rPr>
          <w:rFonts w:ascii="Times New Roman" w:eastAsia="Times New Roman"/>
        </w:rPr>
        <w:t xml:space="preserve">7.3-4  </w:t>
      </w:r>
      <w:r>
        <w:t>地表水环境质量现状评价结果</w:t>
      </w: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75"/>
        <w:gridCol w:w="1294"/>
        <w:gridCol w:w="1294"/>
        <w:gridCol w:w="1294"/>
        <w:gridCol w:w="1294"/>
        <w:gridCol w:w="1294"/>
        <w:gridCol w:w="12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vMerge w:val="restart"/>
          </w:tcPr>
          <w:p>
            <w:pPr>
              <w:pStyle w:val="14"/>
              <w:spacing w:before="179"/>
              <w:ind w:left="365"/>
              <w:jc w:val="left"/>
              <w:rPr>
                <w:sz w:val="21"/>
              </w:rPr>
            </w:pPr>
            <w:r>
              <w:rPr>
                <w:sz w:val="21"/>
              </w:rPr>
              <w:t>评价参数</w:t>
            </w:r>
          </w:p>
        </w:tc>
        <w:tc>
          <w:tcPr>
            <w:tcW w:w="7769" w:type="dxa"/>
            <w:gridSpan w:val="6"/>
          </w:tcPr>
          <w:p>
            <w:pPr>
              <w:pStyle w:val="14"/>
              <w:spacing w:before="18"/>
              <w:ind w:left="3259" w:right="2831"/>
              <w:rPr>
                <w:sz w:val="21"/>
              </w:rPr>
            </w:pPr>
            <w:r>
              <w:rPr>
                <w:sz w:val="21"/>
              </w:rPr>
              <w:t xml:space="preserve">上游 </w:t>
            </w:r>
            <w:r>
              <w:rPr>
                <w:rFonts w:ascii="Times New Roman" w:eastAsia="Times New Roman"/>
                <w:sz w:val="21"/>
              </w:rPr>
              <w:t xml:space="preserve">500 </w:t>
            </w:r>
            <w:r>
              <w:rPr>
                <w:sz w:val="21"/>
              </w:rPr>
              <w:t>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vMerge w:val="continue"/>
            <w:tcBorders>
              <w:top w:val="nil"/>
            </w:tcBorders>
          </w:tcPr>
          <w:p>
            <w:pPr>
              <w:rPr>
                <w:sz w:val="2"/>
                <w:szCs w:val="2"/>
              </w:rPr>
            </w:pPr>
          </w:p>
        </w:tc>
        <w:tc>
          <w:tcPr>
            <w:tcW w:w="1294" w:type="dxa"/>
          </w:tcPr>
          <w:p>
            <w:pPr>
              <w:pStyle w:val="14"/>
              <w:spacing w:before="18"/>
              <w:ind w:left="310" w:right="302"/>
              <w:rPr>
                <w:sz w:val="21"/>
              </w:rPr>
            </w:pPr>
            <w:r>
              <w:rPr>
                <w:sz w:val="21"/>
              </w:rPr>
              <w:t>实测值</w:t>
            </w:r>
          </w:p>
        </w:tc>
        <w:tc>
          <w:tcPr>
            <w:tcW w:w="1294" w:type="dxa"/>
          </w:tcPr>
          <w:p>
            <w:pPr>
              <w:pStyle w:val="14"/>
              <w:spacing w:before="33"/>
              <w:ind w:left="310" w:right="298"/>
              <w:rPr>
                <w:rFonts w:ascii="Times New Roman" w:eastAsia="Times New Roman"/>
                <w:sz w:val="13"/>
              </w:rPr>
            </w:pPr>
            <w:r>
              <w:rPr>
                <w:rFonts w:ascii="Times New Roman" w:eastAsia="Times New Roman"/>
                <w:spacing w:val="-2"/>
                <w:w w:val="99"/>
                <w:position w:val="3"/>
                <w:sz w:val="21"/>
              </w:rPr>
              <w:t>P</w:t>
            </w:r>
            <w:r>
              <w:rPr>
                <w:rFonts w:ascii="Times New Roman" w:eastAsia="Times New Roman"/>
                <w:w w:val="105"/>
                <w:position w:val="1"/>
                <w:sz w:val="13"/>
              </w:rPr>
              <w:t>i</w:t>
            </w:r>
            <w:r>
              <w:rPr>
                <w:spacing w:val="-1"/>
                <w:w w:val="106"/>
                <w:sz w:val="10"/>
              </w:rPr>
              <w:t>，</w:t>
            </w:r>
            <w:r>
              <w:rPr>
                <w:rFonts w:ascii="Times New Roman" w:eastAsia="Times New Roman"/>
                <w:w w:val="105"/>
                <w:position w:val="1"/>
                <w:sz w:val="13"/>
              </w:rPr>
              <w:t>j</w:t>
            </w:r>
          </w:p>
        </w:tc>
        <w:tc>
          <w:tcPr>
            <w:tcW w:w="1294" w:type="dxa"/>
          </w:tcPr>
          <w:p>
            <w:pPr>
              <w:pStyle w:val="14"/>
              <w:spacing w:before="18"/>
              <w:ind w:left="308" w:right="302"/>
              <w:rPr>
                <w:sz w:val="21"/>
              </w:rPr>
            </w:pPr>
            <w:r>
              <w:rPr>
                <w:sz w:val="21"/>
              </w:rPr>
              <w:t>实测值</w:t>
            </w:r>
          </w:p>
        </w:tc>
        <w:tc>
          <w:tcPr>
            <w:tcW w:w="1294" w:type="dxa"/>
          </w:tcPr>
          <w:p>
            <w:pPr>
              <w:pStyle w:val="14"/>
              <w:spacing w:before="33"/>
              <w:ind w:left="498"/>
              <w:jc w:val="left"/>
              <w:rPr>
                <w:rFonts w:ascii="Times New Roman" w:eastAsia="Times New Roman"/>
                <w:sz w:val="13"/>
              </w:rPr>
            </w:pPr>
            <w:r>
              <w:rPr>
                <w:rFonts w:ascii="Times New Roman" w:eastAsia="Times New Roman"/>
                <w:spacing w:val="-2"/>
                <w:w w:val="99"/>
                <w:position w:val="3"/>
                <w:sz w:val="21"/>
              </w:rPr>
              <w:t>P</w:t>
            </w:r>
            <w:r>
              <w:rPr>
                <w:rFonts w:ascii="Times New Roman" w:eastAsia="Times New Roman"/>
                <w:w w:val="105"/>
                <w:position w:val="1"/>
                <w:sz w:val="13"/>
              </w:rPr>
              <w:t>i</w:t>
            </w:r>
            <w:r>
              <w:rPr>
                <w:spacing w:val="-1"/>
                <w:w w:val="106"/>
                <w:sz w:val="10"/>
              </w:rPr>
              <w:t>，</w:t>
            </w:r>
            <w:r>
              <w:rPr>
                <w:rFonts w:ascii="Times New Roman" w:eastAsia="Times New Roman"/>
                <w:w w:val="105"/>
                <w:position w:val="1"/>
                <w:sz w:val="13"/>
              </w:rPr>
              <w:t>j</w:t>
            </w:r>
          </w:p>
        </w:tc>
        <w:tc>
          <w:tcPr>
            <w:tcW w:w="1294" w:type="dxa"/>
          </w:tcPr>
          <w:p>
            <w:pPr>
              <w:pStyle w:val="14"/>
              <w:spacing w:before="18"/>
              <w:ind w:left="310" w:right="300"/>
              <w:rPr>
                <w:sz w:val="21"/>
              </w:rPr>
            </w:pPr>
            <w:r>
              <w:rPr>
                <w:sz w:val="21"/>
              </w:rPr>
              <w:t>实测值</w:t>
            </w:r>
          </w:p>
        </w:tc>
        <w:tc>
          <w:tcPr>
            <w:tcW w:w="1299" w:type="dxa"/>
          </w:tcPr>
          <w:p>
            <w:pPr>
              <w:pStyle w:val="14"/>
              <w:spacing w:before="33"/>
              <w:ind w:left="314" w:right="301"/>
              <w:rPr>
                <w:rFonts w:ascii="Times New Roman" w:eastAsia="Times New Roman"/>
                <w:sz w:val="13"/>
              </w:rPr>
            </w:pPr>
            <w:r>
              <w:rPr>
                <w:rFonts w:ascii="Times New Roman" w:eastAsia="Times New Roman"/>
                <w:spacing w:val="-2"/>
                <w:w w:val="99"/>
                <w:position w:val="3"/>
                <w:sz w:val="21"/>
              </w:rPr>
              <w:t>P</w:t>
            </w:r>
            <w:r>
              <w:rPr>
                <w:rFonts w:ascii="Times New Roman" w:eastAsia="Times New Roman"/>
                <w:w w:val="105"/>
                <w:position w:val="1"/>
                <w:sz w:val="13"/>
              </w:rPr>
              <w:t>i</w:t>
            </w:r>
            <w:r>
              <w:rPr>
                <w:spacing w:val="-1"/>
                <w:w w:val="106"/>
                <w:sz w:val="10"/>
              </w:rPr>
              <w:t>，</w:t>
            </w:r>
            <w:r>
              <w:rPr>
                <w:rFonts w:ascii="Times New Roman" w:eastAsia="Times New Roman"/>
                <w:w w:val="105"/>
                <w:position w:val="1"/>
                <w:sz w:val="13"/>
              </w:rPr>
              <w:t>j</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20"/>
              <w:ind w:left="105" w:right="98"/>
              <w:rPr>
                <w:sz w:val="21"/>
              </w:rPr>
            </w:pPr>
            <w:r>
              <w:rPr>
                <w:rFonts w:ascii="Times New Roman" w:eastAsia="Times New Roman"/>
                <w:sz w:val="21"/>
              </w:rPr>
              <w:t>pH</w:t>
            </w:r>
            <w:r>
              <w:rPr>
                <w:sz w:val="21"/>
              </w:rPr>
              <w:t>（无量纲）</w:t>
            </w:r>
          </w:p>
        </w:tc>
        <w:tc>
          <w:tcPr>
            <w:tcW w:w="1294" w:type="dxa"/>
          </w:tcPr>
          <w:p>
            <w:pPr>
              <w:pStyle w:val="14"/>
              <w:spacing w:before="36"/>
              <w:ind w:left="310" w:right="301"/>
              <w:rPr>
                <w:rFonts w:ascii="Times New Roman"/>
                <w:sz w:val="21"/>
              </w:rPr>
            </w:pPr>
            <w:bookmarkStart w:id="576" w:name="7.32"/>
            <w:bookmarkEnd w:id="576"/>
            <w:r>
              <w:rPr>
                <w:rFonts w:ascii="Times New Roman"/>
                <w:sz w:val="21"/>
              </w:rPr>
              <w:t>7.32</w:t>
            </w:r>
          </w:p>
        </w:tc>
        <w:tc>
          <w:tcPr>
            <w:tcW w:w="1294" w:type="dxa"/>
          </w:tcPr>
          <w:p>
            <w:pPr>
              <w:pStyle w:val="14"/>
              <w:spacing w:before="36"/>
              <w:ind w:left="310" w:right="299"/>
              <w:rPr>
                <w:rFonts w:ascii="Times New Roman"/>
                <w:sz w:val="21"/>
              </w:rPr>
            </w:pPr>
            <w:bookmarkStart w:id="577" w:name="0.16"/>
            <w:bookmarkEnd w:id="577"/>
            <w:r>
              <w:rPr>
                <w:rFonts w:ascii="Times New Roman"/>
                <w:sz w:val="21"/>
              </w:rPr>
              <w:t>0.16</w:t>
            </w:r>
          </w:p>
        </w:tc>
        <w:tc>
          <w:tcPr>
            <w:tcW w:w="1294" w:type="dxa"/>
          </w:tcPr>
          <w:p>
            <w:pPr>
              <w:pStyle w:val="14"/>
              <w:spacing w:before="36"/>
              <w:ind w:left="310" w:right="300"/>
              <w:rPr>
                <w:rFonts w:ascii="Times New Roman"/>
                <w:sz w:val="21"/>
              </w:rPr>
            </w:pPr>
            <w:bookmarkStart w:id="578" w:name="7.34"/>
            <w:bookmarkEnd w:id="578"/>
            <w:r>
              <w:rPr>
                <w:rFonts w:ascii="Times New Roman"/>
                <w:sz w:val="21"/>
              </w:rPr>
              <w:t>7.34</w:t>
            </w:r>
          </w:p>
        </w:tc>
        <w:tc>
          <w:tcPr>
            <w:tcW w:w="1294" w:type="dxa"/>
          </w:tcPr>
          <w:p>
            <w:pPr>
              <w:pStyle w:val="14"/>
              <w:spacing w:before="34"/>
              <w:ind w:left="462"/>
              <w:jc w:val="left"/>
              <w:rPr>
                <w:rFonts w:ascii="Times New Roman"/>
                <w:sz w:val="21"/>
              </w:rPr>
            </w:pPr>
            <w:r>
              <w:rPr>
                <w:rFonts w:ascii="Times New Roman"/>
                <w:sz w:val="21"/>
              </w:rPr>
              <w:t>0.17</w:t>
            </w:r>
          </w:p>
        </w:tc>
        <w:tc>
          <w:tcPr>
            <w:tcW w:w="1294" w:type="dxa"/>
          </w:tcPr>
          <w:p>
            <w:pPr>
              <w:pStyle w:val="14"/>
              <w:spacing w:before="36"/>
              <w:ind w:left="310" w:right="302"/>
              <w:rPr>
                <w:rFonts w:ascii="Times New Roman"/>
                <w:sz w:val="21"/>
              </w:rPr>
            </w:pPr>
            <w:bookmarkStart w:id="579" w:name="7.35"/>
            <w:bookmarkEnd w:id="579"/>
            <w:r>
              <w:rPr>
                <w:rFonts w:ascii="Times New Roman"/>
                <w:sz w:val="21"/>
              </w:rPr>
              <w:t>7.35</w:t>
            </w:r>
          </w:p>
        </w:tc>
        <w:tc>
          <w:tcPr>
            <w:tcW w:w="1299" w:type="dxa"/>
          </w:tcPr>
          <w:p>
            <w:pPr>
              <w:pStyle w:val="14"/>
              <w:spacing w:before="34"/>
              <w:ind w:left="314" w:right="302"/>
              <w:rPr>
                <w:rFonts w:ascii="Times New Roman"/>
                <w:sz w:val="21"/>
              </w:rPr>
            </w:pPr>
            <w:r>
              <w:rPr>
                <w:rFonts w:ascii="Times New Roman"/>
                <w:sz w:val="21"/>
              </w:rPr>
              <w:t>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575" w:type="dxa"/>
          </w:tcPr>
          <w:p>
            <w:pPr>
              <w:pStyle w:val="14"/>
              <w:spacing w:before="20"/>
              <w:ind w:left="107" w:right="98"/>
              <w:rPr>
                <w:sz w:val="21"/>
              </w:rPr>
            </w:pPr>
            <w:r>
              <w:rPr>
                <w:rFonts w:ascii="Times New Roman" w:eastAsia="Times New Roman"/>
                <w:sz w:val="21"/>
              </w:rPr>
              <w:t>COD</w:t>
            </w:r>
            <w:r>
              <w:rPr>
                <w:sz w:val="21"/>
              </w:rPr>
              <w:t>（</w:t>
            </w:r>
            <w:r>
              <w:rPr>
                <w:rFonts w:ascii="Times New Roman" w:eastAsia="Times New Roman"/>
                <w:sz w:val="21"/>
              </w:rPr>
              <w:t>mg/L</w:t>
            </w:r>
            <w:r>
              <w:rPr>
                <w:sz w:val="21"/>
              </w:rPr>
              <w:t>）</w:t>
            </w:r>
          </w:p>
        </w:tc>
        <w:tc>
          <w:tcPr>
            <w:tcW w:w="1294" w:type="dxa"/>
          </w:tcPr>
          <w:p>
            <w:pPr>
              <w:pStyle w:val="14"/>
              <w:spacing w:before="36"/>
              <w:ind w:left="309" w:right="302"/>
              <w:rPr>
                <w:rFonts w:ascii="Times New Roman"/>
                <w:sz w:val="21"/>
              </w:rPr>
            </w:pPr>
            <w:bookmarkStart w:id="580" w:name="46"/>
            <w:bookmarkEnd w:id="580"/>
            <w:r>
              <w:rPr>
                <w:rFonts w:ascii="Times New Roman"/>
                <w:sz w:val="21"/>
              </w:rPr>
              <w:t>46</w:t>
            </w:r>
          </w:p>
        </w:tc>
        <w:tc>
          <w:tcPr>
            <w:tcW w:w="1294" w:type="dxa"/>
          </w:tcPr>
          <w:p>
            <w:pPr>
              <w:pStyle w:val="14"/>
              <w:spacing w:before="36"/>
              <w:ind w:left="310" w:right="299"/>
              <w:rPr>
                <w:rFonts w:ascii="Times New Roman"/>
                <w:sz w:val="21"/>
              </w:rPr>
            </w:pPr>
            <w:bookmarkStart w:id="581" w:name="2.09"/>
            <w:bookmarkEnd w:id="581"/>
            <w:r>
              <w:rPr>
                <w:rFonts w:ascii="Times New Roman"/>
                <w:sz w:val="21"/>
              </w:rPr>
              <w:t>2.09</w:t>
            </w:r>
          </w:p>
        </w:tc>
        <w:tc>
          <w:tcPr>
            <w:tcW w:w="1294" w:type="dxa"/>
          </w:tcPr>
          <w:p>
            <w:pPr>
              <w:pStyle w:val="14"/>
              <w:spacing w:before="36"/>
              <w:ind w:left="310" w:right="300"/>
              <w:rPr>
                <w:rFonts w:ascii="Times New Roman"/>
                <w:sz w:val="21"/>
              </w:rPr>
            </w:pPr>
            <w:bookmarkStart w:id="582" w:name="48"/>
            <w:bookmarkEnd w:id="582"/>
            <w:r>
              <w:rPr>
                <w:rFonts w:ascii="Times New Roman"/>
                <w:sz w:val="21"/>
              </w:rPr>
              <w:t>48</w:t>
            </w:r>
          </w:p>
        </w:tc>
        <w:tc>
          <w:tcPr>
            <w:tcW w:w="1294" w:type="dxa"/>
          </w:tcPr>
          <w:p>
            <w:pPr>
              <w:pStyle w:val="14"/>
              <w:spacing w:before="33"/>
              <w:ind w:left="462"/>
              <w:jc w:val="left"/>
              <w:rPr>
                <w:rFonts w:ascii="Times New Roman"/>
                <w:sz w:val="21"/>
              </w:rPr>
            </w:pPr>
            <w:r>
              <w:rPr>
                <w:rFonts w:ascii="Times New Roman"/>
                <w:sz w:val="21"/>
              </w:rPr>
              <w:t>2.40</w:t>
            </w:r>
          </w:p>
        </w:tc>
        <w:tc>
          <w:tcPr>
            <w:tcW w:w="1294" w:type="dxa"/>
          </w:tcPr>
          <w:p>
            <w:pPr>
              <w:pStyle w:val="14"/>
              <w:spacing w:before="36"/>
              <w:ind w:left="310" w:right="302"/>
              <w:rPr>
                <w:rFonts w:ascii="Times New Roman"/>
                <w:sz w:val="21"/>
              </w:rPr>
            </w:pPr>
            <w:bookmarkStart w:id="583" w:name="45"/>
            <w:bookmarkEnd w:id="583"/>
            <w:r>
              <w:rPr>
                <w:rFonts w:ascii="Times New Roman"/>
                <w:sz w:val="21"/>
              </w:rPr>
              <w:t>45</w:t>
            </w:r>
          </w:p>
        </w:tc>
        <w:tc>
          <w:tcPr>
            <w:tcW w:w="1299" w:type="dxa"/>
          </w:tcPr>
          <w:p>
            <w:pPr>
              <w:pStyle w:val="14"/>
              <w:spacing w:before="33"/>
              <w:ind w:left="314" w:right="302"/>
              <w:rPr>
                <w:rFonts w:ascii="Times New Roman"/>
                <w:sz w:val="21"/>
              </w:rPr>
            </w:pPr>
            <w:r>
              <w:rPr>
                <w:rFonts w:ascii="Times New Roman"/>
                <w:sz w:val="21"/>
              </w:rPr>
              <w:t>2.25</w:t>
            </w:r>
          </w:p>
        </w:tc>
      </w:tr>
    </w:tbl>
    <w:p>
      <w:pPr>
        <w:spacing w:after="0"/>
        <w:rPr>
          <w:rFonts w:ascii="Times New Roman"/>
          <w:sz w:val="21"/>
        </w:rPr>
        <w:sectPr>
          <w:type w:val="continuous"/>
          <w:pgSz w:w="11910" w:h="16840"/>
          <w:pgMar w:top="1580" w:right="780" w:bottom="280" w:left="1200" w:header="720" w:footer="720" w:gutter="0"/>
        </w:sectPr>
      </w:pP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75"/>
        <w:gridCol w:w="1294"/>
        <w:gridCol w:w="1294"/>
        <w:gridCol w:w="1294"/>
        <w:gridCol w:w="1294"/>
        <w:gridCol w:w="1294"/>
        <w:gridCol w:w="12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575" w:type="dxa"/>
          </w:tcPr>
          <w:p>
            <w:pPr>
              <w:pStyle w:val="14"/>
              <w:spacing w:before="20"/>
              <w:ind w:left="106" w:right="-15"/>
              <w:jc w:val="left"/>
              <w:rPr>
                <w:sz w:val="21"/>
              </w:rPr>
            </w:pPr>
            <w:r>
              <w:rPr>
                <w:spacing w:val="-13"/>
                <w:sz w:val="21"/>
              </w:rPr>
              <w:t>石油类</w:t>
            </w:r>
            <w:r>
              <w:rPr>
                <w:sz w:val="21"/>
              </w:rPr>
              <w:t>（</w:t>
            </w:r>
            <w:r>
              <w:rPr>
                <w:rFonts w:ascii="Times New Roman" w:eastAsia="Times New Roman"/>
                <w:sz w:val="21"/>
              </w:rPr>
              <w:t>mg/L</w:t>
            </w:r>
            <w:r>
              <w:rPr>
                <w:sz w:val="21"/>
              </w:rPr>
              <w:t>）</w:t>
            </w:r>
          </w:p>
        </w:tc>
        <w:tc>
          <w:tcPr>
            <w:tcW w:w="1294" w:type="dxa"/>
          </w:tcPr>
          <w:p>
            <w:pPr>
              <w:pStyle w:val="14"/>
              <w:spacing w:before="38"/>
              <w:ind w:left="310" w:right="299"/>
              <w:rPr>
                <w:rFonts w:ascii="Times New Roman"/>
                <w:sz w:val="21"/>
              </w:rPr>
            </w:pPr>
            <w:bookmarkStart w:id="584" w:name="0.01L"/>
            <w:bookmarkEnd w:id="584"/>
            <w:r>
              <w:rPr>
                <w:rFonts w:ascii="Times New Roman"/>
                <w:sz w:val="21"/>
              </w:rPr>
              <w:t>0.01L</w:t>
            </w:r>
          </w:p>
        </w:tc>
        <w:tc>
          <w:tcPr>
            <w:tcW w:w="1294" w:type="dxa"/>
          </w:tcPr>
          <w:p>
            <w:pPr>
              <w:pStyle w:val="14"/>
              <w:spacing w:before="20"/>
              <w:ind w:left="309" w:right="302"/>
              <w:rPr>
                <w:sz w:val="21"/>
              </w:rPr>
            </w:pPr>
            <w:r>
              <w:rPr>
                <w:sz w:val="21"/>
              </w:rPr>
              <w:t>未检出</w:t>
            </w:r>
          </w:p>
        </w:tc>
        <w:tc>
          <w:tcPr>
            <w:tcW w:w="1294" w:type="dxa"/>
          </w:tcPr>
          <w:p>
            <w:pPr>
              <w:pStyle w:val="14"/>
              <w:spacing w:before="38"/>
              <w:ind w:left="310" w:right="301"/>
              <w:rPr>
                <w:rFonts w:ascii="Times New Roman"/>
                <w:sz w:val="21"/>
              </w:rPr>
            </w:pPr>
            <w:bookmarkStart w:id="585" w:name="0.01L"/>
            <w:bookmarkEnd w:id="585"/>
            <w:r>
              <w:rPr>
                <w:rFonts w:ascii="Times New Roman"/>
                <w:sz w:val="21"/>
              </w:rPr>
              <w:t>0.01L</w:t>
            </w:r>
          </w:p>
        </w:tc>
        <w:tc>
          <w:tcPr>
            <w:tcW w:w="1294" w:type="dxa"/>
          </w:tcPr>
          <w:p>
            <w:pPr>
              <w:pStyle w:val="14"/>
              <w:spacing w:before="20"/>
              <w:ind w:left="308" w:right="302"/>
              <w:rPr>
                <w:sz w:val="21"/>
              </w:rPr>
            </w:pPr>
            <w:r>
              <w:rPr>
                <w:sz w:val="21"/>
              </w:rPr>
              <w:t>未检出</w:t>
            </w:r>
          </w:p>
        </w:tc>
        <w:tc>
          <w:tcPr>
            <w:tcW w:w="1294" w:type="dxa"/>
          </w:tcPr>
          <w:p>
            <w:pPr>
              <w:pStyle w:val="14"/>
              <w:spacing w:before="38"/>
              <w:ind w:left="310" w:right="300"/>
              <w:rPr>
                <w:rFonts w:ascii="Times New Roman"/>
                <w:sz w:val="21"/>
              </w:rPr>
            </w:pPr>
            <w:bookmarkStart w:id="586" w:name="0.01L"/>
            <w:bookmarkEnd w:id="586"/>
            <w:r>
              <w:rPr>
                <w:rFonts w:ascii="Times New Roman"/>
                <w:sz w:val="21"/>
              </w:rPr>
              <w:t>0.01L</w:t>
            </w:r>
          </w:p>
        </w:tc>
        <w:tc>
          <w:tcPr>
            <w:tcW w:w="1299" w:type="dxa"/>
          </w:tcPr>
          <w:p>
            <w:pPr>
              <w:pStyle w:val="14"/>
              <w:spacing w:before="20"/>
              <w:ind w:left="314" w:right="305"/>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19"/>
              <w:ind w:left="140"/>
              <w:jc w:val="left"/>
              <w:rPr>
                <w:sz w:val="21"/>
              </w:rPr>
            </w:pPr>
            <w:r>
              <w:rPr>
                <w:sz w:val="21"/>
              </w:rPr>
              <w:t>总铁（</w:t>
            </w:r>
            <w:r>
              <w:rPr>
                <w:rFonts w:ascii="Times New Roman" w:eastAsia="Times New Roman"/>
                <w:sz w:val="21"/>
              </w:rPr>
              <w:t>mg/L</w:t>
            </w:r>
            <w:r>
              <w:rPr>
                <w:sz w:val="21"/>
              </w:rPr>
              <w:t>）</w:t>
            </w:r>
          </w:p>
        </w:tc>
        <w:tc>
          <w:tcPr>
            <w:tcW w:w="1294" w:type="dxa"/>
          </w:tcPr>
          <w:p>
            <w:pPr>
              <w:pStyle w:val="14"/>
              <w:spacing w:before="38"/>
              <w:ind w:left="310" w:right="301"/>
              <w:rPr>
                <w:rFonts w:ascii="Times New Roman"/>
                <w:sz w:val="21"/>
              </w:rPr>
            </w:pPr>
            <w:bookmarkStart w:id="587" w:name="0.39"/>
            <w:bookmarkEnd w:id="587"/>
            <w:r>
              <w:rPr>
                <w:rFonts w:ascii="Times New Roman"/>
                <w:sz w:val="21"/>
              </w:rPr>
              <w:t>0.39</w:t>
            </w:r>
          </w:p>
        </w:tc>
        <w:tc>
          <w:tcPr>
            <w:tcW w:w="1294" w:type="dxa"/>
          </w:tcPr>
          <w:p>
            <w:pPr>
              <w:pStyle w:val="14"/>
              <w:spacing w:before="36"/>
              <w:ind w:left="310" w:right="299"/>
              <w:rPr>
                <w:rFonts w:ascii="Times New Roman"/>
                <w:sz w:val="21"/>
              </w:rPr>
            </w:pPr>
            <w:r>
              <w:rPr>
                <w:rFonts w:ascii="Times New Roman"/>
                <w:sz w:val="21"/>
              </w:rPr>
              <w:t>1.30</w:t>
            </w:r>
          </w:p>
        </w:tc>
        <w:tc>
          <w:tcPr>
            <w:tcW w:w="1294" w:type="dxa"/>
          </w:tcPr>
          <w:p>
            <w:pPr>
              <w:pStyle w:val="14"/>
              <w:spacing w:before="38"/>
              <w:ind w:left="310" w:right="300"/>
              <w:rPr>
                <w:rFonts w:ascii="Times New Roman"/>
                <w:sz w:val="21"/>
              </w:rPr>
            </w:pPr>
            <w:bookmarkStart w:id="588" w:name="0.39"/>
            <w:bookmarkEnd w:id="588"/>
            <w:r>
              <w:rPr>
                <w:rFonts w:ascii="Times New Roman"/>
                <w:sz w:val="21"/>
              </w:rPr>
              <w:t>0.39</w:t>
            </w:r>
          </w:p>
        </w:tc>
        <w:tc>
          <w:tcPr>
            <w:tcW w:w="1294" w:type="dxa"/>
          </w:tcPr>
          <w:p>
            <w:pPr>
              <w:pStyle w:val="14"/>
              <w:spacing w:before="36"/>
              <w:ind w:left="310" w:right="301"/>
              <w:rPr>
                <w:rFonts w:ascii="Times New Roman"/>
                <w:sz w:val="21"/>
              </w:rPr>
            </w:pPr>
            <w:r>
              <w:rPr>
                <w:rFonts w:ascii="Times New Roman"/>
                <w:sz w:val="21"/>
              </w:rPr>
              <w:t>1.30</w:t>
            </w:r>
          </w:p>
        </w:tc>
        <w:tc>
          <w:tcPr>
            <w:tcW w:w="1294" w:type="dxa"/>
          </w:tcPr>
          <w:p>
            <w:pPr>
              <w:pStyle w:val="14"/>
              <w:spacing w:before="38"/>
              <w:ind w:left="310" w:right="302"/>
              <w:rPr>
                <w:rFonts w:ascii="Times New Roman"/>
                <w:sz w:val="21"/>
              </w:rPr>
            </w:pPr>
            <w:bookmarkStart w:id="589" w:name="0.40"/>
            <w:bookmarkEnd w:id="589"/>
            <w:r>
              <w:rPr>
                <w:rFonts w:ascii="Times New Roman"/>
                <w:sz w:val="21"/>
              </w:rPr>
              <w:t>0.40</w:t>
            </w:r>
          </w:p>
        </w:tc>
        <w:tc>
          <w:tcPr>
            <w:tcW w:w="1299" w:type="dxa"/>
          </w:tcPr>
          <w:p>
            <w:pPr>
              <w:pStyle w:val="14"/>
              <w:spacing w:before="36"/>
              <w:ind w:left="314" w:right="302"/>
              <w:rPr>
                <w:rFonts w:ascii="Times New Roman"/>
                <w:sz w:val="21"/>
              </w:rPr>
            </w:pPr>
            <w:r>
              <w:rPr>
                <w:rFonts w:ascii="Times New Roman"/>
                <w:sz w:val="21"/>
              </w:rPr>
              <w:t>1.33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19"/>
              <w:ind w:left="140"/>
              <w:jc w:val="left"/>
              <w:rPr>
                <w:sz w:val="21"/>
              </w:rPr>
            </w:pPr>
            <w:r>
              <w:rPr>
                <w:sz w:val="21"/>
              </w:rPr>
              <w:t>总锰（</w:t>
            </w:r>
            <w:r>
              <w:rPr>
                <w:rFonts w:ascii="Times New Roman" w:eastAsia="Times New Roman"/>
                <w:sz w:val="21"/>
              </w:rPr>
              <w:t>mg/L</w:t>
            </w:r>
            <w:r>
              <w:rPr>
                <w:sz w:val="21"/>
              </w:rPr>
              <w:t>）</w:t>
            </w:r>
          </w:p>
        </w:tc>
        <w:tc>
          <w:tcPr>
            <w:tcW w:w="1294" w:type="dxa"/>
          </w:tcPr>
          <w:p>
            <w:pPr>
              <w:pStyle w:val="14"/>
              <w:spacing w:before="38"/>
              <w:ind w:left="310" w:right="301"/>
              <w:rPr>
                <w:rFonts w:ascii="Times New Roman"/>
                <w:sz w:val="21"/>
              </w:rPr>
            </w:pPr>
            <w:bookmarkStart w:id="590" w:name="0.01"/>
            <w:bookmarkEnd w:id="590"/>
            <w:r>
              <w:rPr>
                <w:rFonts w:ascii="Times New Roman"/>
                <w:sz w:val="21"/>
              </w:rPr>
              <w:t>0.01</w:t>
            </w:r>
          </w:p>
        </w:tc>
        <w:tc>
          <w:tcPr>
            <w:tcW w:w="1294" w:type="dxa"/>
          </w:tcPr>
          <w:p>
            <w:pPr>
              <w:pStyle w:val="14"/>
              <w:spacing w:before="35"/>
              <w:ind w:left="310" w:right="299"/>
              <w:rPr>
                <w:rFonts w:ascii="Times New Roman"/>
                <w:sz w:val="21"/>
              </w:rPr>
            </w:pPr>
            <w:r>
              <w:rPr>
                <w:rFonts w:ascii="Times New Roman"/>
                <w:sz w:val="21"/>
              </w:rPr>
              <w:t>0.10</w:t>
            </w:r>
          </w:p>
        </w:tc>
        <w:tc>
          <w:tcPr>
            <w:tcW w:w="1294" w:type="dxa"/>
          </w:tcPr>
          <w:p>
            <w:pPr>
              <w:pStyle w:val="14"/>
              <w:spacing w:before="38"/>
              <w:ind w:left="310" w:right="300"/>
              <w:rPr>
                <w:rFonts w:ascii="Times New Roman"/>
                <w:sz w:val="21"/>
              </w:rPr>
            </w:pPr>
            <w:bookmarkStart w:id="591" w:name="0.01"/>
            <w:bookmarkEnd w:id="591"/>
            <w:r>
              <w:rPr>
                <w:rFonts w:ascii="Times New Roman"/>
                <w:sz w:val="21"/>
              </w:rPr>
              <w:t>0.01</w:t>
            </w:r>
          </w:p>
        </w:tc>
        <w:tc>
          <w:tcPr>
            <w:tcW w:w="1294" w:type="dxa"/>
          </w:tcPr>
          <w:p>
            <w:pPr>
              <w:pStyle w:val="14"/>
              <w:spacing w:before="35"/>
              <w:ind w:left="310" w:right="301"/>
              <w:rPr>
                <w:rFonts w:ascii="Times New Roman"/>
                <w:sz w:val="21"/>
              </w:rPr>
            </w:pPr>
            <w:r>
              <w:rPr>
                <w:rFonts w:ascii="Times New Roman"/>
                <w:sz w:val="21"/>
              </w:rPr>
              <w:t>0.10</w:t>
            </w:r>
          </w:p>
        </w:tc>
        <w:tc>
          <w:tcPr>
            <w:tcW w:w="1294" w:type="dxa"/>
          </w:tcPr>
          <w:p>
            <w:pPr>
              <w:pStyle w:val="14"/>
              <w:spacing w:before="38"/>
              <w:ind w:left="310" w:right="302"/>
              <w:rPr>
                <w:rFonts w:ascii="Times New Roman"/>
                <w:sz w:val="21"/>
              </w:rPr>
            </w:pPr>
            <w:bookmarkStart w:id="592" w:name="0.01"/>
            <w:bookmarkEnd w:id="592"/>
            <w:r>
              <w:rPr>
                <w:rFonts w:ascii="Times New Roman"/>
                <w:sz w:val="21"/>
              </w:rPr>
              <w:t>0.01</w:t>
            </w:r>
          </w:p>
        </w:tc>
        <w:tc>
          <w:tcPr>
            <w:tcW w:w="1299" w:type="dxa"/>
          </w:tcPr>
          <w:p>
            <w:pPr>
              <w:pStyle w:val="14"/>
              <w:spacing w:before="35"/>
              <w:ind w:left="314" w:right="302"/>
              <w:rPr>
                <w:rFonts w:ascii="Times New Roman"/>
                <w:sz w:val="21"/>
              </w:rPr>
            </w:pPr>
            <w:r>
              <w:rPr>
                <w:rFonts w:ascii="Times New Roman"/>
                <w:sz w:val="21"/>
              </w:rPr>
              <w: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21"/>
              <w:ind w:left="166"/>
              <w:jc w:val="left"/>
              <w:rPr>
                <w:sz w:val="21"/>
              </w:rPr>
            </w:pPr>
            <w:r>
              <w:rPr>
                <w:sz w:val="21"/>
              </w:rPr>
              <w:t>总汞（</w:t>
            </w:r>
            <w:r>
              <w:rPr>
                <w:rFonts w:ascii="Times New Roman" w:hAnsi="Times New Roman" w:eastAsia="Times New Roman"/>
                <w:sz w:val="21"/>
              </w:rPr>
              <w:t>μg/L</w:t>
            </w:r>
            <w:r>
              <w:rPr>
                <w:sz w:val="21"/>
              </w:rPr>
              <w:t>）</w:t>
            </w:r>
          </w:p>
        </w:tc>
        <w:tc>
          <w:tcPr>
            <w:tcW w:w="1294" w:type="dxa"/>
          </w:tcPr>
          <w:p>
            <w:pPr>
              <w:pStyle w:val="14"/>
              <w:spacing w:before="37"/>
              <w:ind w:left="310" w:right="299"/>
              <w:rPr>
                <w:rFonts w:ascii="Times New Roman"/>
                <w:sz w:val="21"/>
              </w:rPr>
            </w:pPr>
            <w:bookmarkStart w:id="593" w:name="0.04L"/>
            <w:bookmarkEnd w:id="593"/>
            <w:r>
              <w:rPr>
                <w:rFonts w:ascii="Times New Roman"/>
                <w:sz w:val="21"/>
              </w:rPr>
              <w:t>0.04L</w:t>
            </w:r>
          </w:p>
        </w:tc>
        <w:tc>
          <w:tcPr>
            <w:tcW w:w="1294" w:type="dxa"/>
          </w:tcPr>
          <w:p>
            <w:pPr>
              <w:pStyle w:val="14"/>
              <w:spacing w:before="21"/>
              <w:ind w:left="309" w:right="302"/>
              <w:rPr>
                <w:sz w:val="21"/>
              </w:rPr>
            </w:pPr>
            <w:r>
              <w:rPr>
                <w:sz w:val="21"/>
              </w:rPr>
              <w:t>未检出</w:t>
            </w:r>
          </w:p>
        </w:tc>
        <w:tc>
          <w:tcPr>
            <w:tcW w:w="1294" w:type="dxa"/>
          </w:tcPr>
          <w:p>
            <w:pPr>
              <w:pStyle w:val="14"/>
              <w:spacing w:before="37"/>
              <w:ind w:left="310" w:right="301"/>
              <w:rPr>
                <w:rFonts w:ascii="Times New Roman"/>
                <w:sz w:val="21"/>
              </w:rPr>
            </w:pPr>
            <w:bookmarkStart w:id="594" w:name="0.04L"/>
            <w:bookmarkEnd w:id="594"/>
            <w:r>
              <w:rPr>
                <w:rFonts w:ascii="Times New Roman"/>
                <w:sz w:val="21"/>
              </w:rPr>
              <w:t>0.04L</w:t>
            </w:r>
          </w:p>
        </w:tc>
        <w:tc>
          <w:tcPr>
            <w:tcW w:w="1294" w:type="dxa"/>
          </w:tcPr>
          <w:p>
            <w:pPr>
              <w:pStyle w:val="14"/>
              <w:spacing w:before="21"/>
              <w:ind w:left="308" w:right="302"/>
              <w:rPr>
                <w:sz w:val="21"/>
              </w:rPr>
            </w:pPr>
            <w:r>
              <w:rPr>
                <w:sz w:val="21"/>
              </w:rPr>
              <w:t>未检出</w:t>
            </w:r>
          </w:p>
        </w:tc>
        <w:tc>
          <w:tcPr>
            <w:tcW w:w="1294" w:type="dxa"/>
          </w:tcPr>
          <w:p>
            <w:pPr>
              <w:pStyle w:val="14"/>
              <w:spacing w:before="37"/>
              <w:ind w:left="310" w:right="300"/>
              <w:rPr>
                <w:rFonts w:ascii="Times New Roman"/>
                <w:sz w:val="21"/>
              </w:rPr>
            </w:pPr>
            <w:bookmarkStart w:id="595" w:name="0.04L"/>
            <w:bookmarkEnd w:id="595"/>
            <w:r>
              <w:rPr>
                <w:rFonts w:ascii="Times New Roman"/>
                <w:sz w:val="21"/>
              </w:rPr>
              <w:t>0.04L</w:t>
            </w:r>
          </w:p>
        </w:tc>
        <w:tc>
          <w:tcPr>
            <w:tcW w:w="1299" w:type="dxa"/>
          </w:tcPr>
          <w:p>
            <w:pPr>
              <w:pStyle w:val="14"/>
              <w:spacing w:before="21"/>
              <w:ind w:left="314" w:right="305"/>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21"/>
              <w:ind w:left="166"/>
              <w:jc w:val="left"/>
              <w:rPr>
                <w:sz w:val="21"/>
              </w:rPr>
            </w:pPr>
            <w:r>
              <w:rPr>
                <w:sz w:val="21"/>
              </w:rPr>
              <w:t>总镉（</w:t>
            </w:r>
            <w:r>
              <w:rPr>
                <w:rFonts w:ascii="Times New Roman" w:hAnsi="Times New Roman" w:eastAsia="Times New Roman"/>
                <w:sz w:val="21"/>
              </w:rPr>
              <w:t>μg/L</w:t>
            </w:r>
            <w:r>
              <w:rPr>
                <w:sz w:val="21"/>
              </w:rPr>
              <w:t>）</w:t>
            </w:r>
          </w:p>
        </w:tc>
        <w:tc>
          <w:tcPr>
            <w:tcW w:w="1294" w:type="dxa"/>
          </w:tcPr>
          <w:p>
            <w:pPr>
              <w:pStyle w:val="14"/>
              <w:spacing w:before="37"/>
              <w:ind w:left="310" w:right="299"/>
              <w:rPr>
                <w:rFonts w:ascii="Times New Roman"/>
                <w:sz w:val="21"/>
              </w:rPr>
            </w:pPr>
            <w:bookmarkStart w:id="596" w:name="0.1L"/>
            <w:bookmarkEnd w:id="596"/>
            <w:r>
              <w:rPr>
                <w:rFonts w:ascii="Times New Roman"/>
                <w:sz w:val="21"/>
              </w:rPr>
              <w:t>0.1L</w:t>
            </w:r>
          </w:p>
        </w:tc>
        <w:tc>
          <w:tcPr>
            <w:tcW w:w="1294" w:type="dxa"/>
          </w:tcPr>
          <w:p>
            <w:pPr>
              <w:pStyle w:val="14"/>
              <w:spacing w:before="21"/>
              <w:ind w:left="309" w:right="302"/>
              <w:rPr>
                <w:sz w:val="21"/>
              </w:rPr>
            </w:pPr>
            <w:r>
              <w:rPr>
                <w:sz w:val="21"/>
              </w:rPr>
              <w:t>未检出</w:t>
            </w:r>
          </w:p>
        </w:tc>
        <w:tc>
          <w:tcPr>
            <w:tcW w:w="1294" w:type="dxa"/>
          </w:tcPr>
          <w:p>
            <w:pPr>
              <w:pStyle w:val="14"/>
              <w:spacing w:before="37"/>
              <w:ind w:left="310" w:right="301"/>
              <w:rPr>
                <w:rFonts w:ascii="Times New Roman"/>
                <w:sz w:val="21"/>
              </w:rPr>
            </w:pPr>
            <w:bookmarkStart w:id="597" w:name="0.1L"/>
            <w:bookmarkEnd w:id="597"/>
            <w:r>
              <w:rPr>
                <w:rFonts w:ascii="Times New Roman"/>
                <w:sz w:val="21"/>
              </w:rPr>
              <w:t>0.1L</w:t>
            </w:r>
          </w:p>
        </w:tc>
        <w:tc>
          <w:tcPr>
            <w:tcW w:w="1294" w:type="dxa"/>
          </w:tcPr>
          <w:p>
            <w:pPr>
              <w:pStyle w:val="14"/>
              <w:spacing w:before="21"/>
              <w:ind w:left="308" w:right="302"/>
              <w:rPr>
                <w:sz w:val="21"/>
              </w:rPr>
            </w:pPr>
            <w:r>
              <w:rPr>
                <w:sz w:val="21"/>
              </w:rPr>
              <w:t>未检出</w:t>
            </w:r>
          </w:p>
        </w:tc>
        <w:tc>
          <w:tcPr>
            <w:tcW w:w="1294" w:type="dxa"/>
          </w:tcPr>
          <w:p>
            <w:pPr>
              <w:pStyle w:val="14"/>
              <w:spacing w:before="37"/>
              <w:ind w:left="310" w:right="298"/>
              <w:rPr>
                <w:rFonts w:ascii="Times New Roman"/>
                <w:sz w:val="21"/>
              </w:rPr>
            </w:pPr>
            <w:bookmarkStart w:id="598" w:name="0.1L"/>
            <w:bookmarkEnd w:id="598"/>
            <w:r>
              <w:rPr>
                <w:rFonts w:ascii="Times New Roman"/>
                <w:sz w:val="21"/>
              </w:rPr>
              <w:t>0.1L</w:t>
            </w:r>
          </w:p>
        </w:tc>
        <w:tc>
          <w:tcPr>
            <w:tcW w:w="1299" w:type="dxa"/>
          </w:tcPr>
          <w:p>
            <w:pPr>
              <w:pStyle w:val="14"/>
              <w:spacing w:before="21"/>
              <w:ind w:left="314" w:right="305"/>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575" w:type="dxa"/>
          </w:tcPr>
          <w:p>
            <w:pPr>
              <w:pStyle w:val="14"/>
              <w:spacing w:before="20"/>
              <w:ind w:left="140"/>
              <w:jc w:val="left"/>
              <w:rPr>
                <w:sz w:val="21"/>
              </w:rPr>
            </w:pPr>
            <w:r>
              <w:rPr>
                <w:sz w:val="21"/>
              </w:rPr>
              <w:t>总铬（</w:t>
            </w:r>
            <w:r>
              <w:rPr>
                <w:rFonts w:ascii="Times New Roman" w:eastAsia="Times New Roman"/>
                <w:sz w:val="21"/>
              </w:rPr>
              <w:t>mg/L</w:t>
            </w:r>
            <w:r>
              <w:rPr>
                <w:sz w:val="21"/>
              </w:rPr>
              <w:t>）</w:t>
            </w:r>
          </w:p>
        </w:tc>
        <w:tc>
          <w:tcPr>
            <w:tcW w:w="1294" w:type="dxa"/>
          </w:tcPr>
          <w:p>
            <w:pPr>
              <w:pStyle w:val="14"/>
              <w:spacing w:before="39"/>
              <w:ind w:left="310" w:right="299"/>
              <w:rPr>
                <w:rFonts w:ascii="Times New Roman"/>
                <w:sz w:val="21"/>
              </w:rPr>
            </w:pPr>
            <w:bookmarkStart w:id="599" w:name="0.03L"/>
            <w:bookmarkEnd w:id="599"/>
            <w:r>
              <w:rPr>
                <w:rFonts w:ascii="Times New Roman"/>
                <w:sz w:val="21"/>
              </w:rPr>
              <w:t>0.03L</w:t>
            </w:r>
          </w:p>
        </w:tc>
        <w:tc>
          <w:tcPr>
            <w:tcW w:w="1294" w:type="dxa"/>
          </w:tcPr>
          <w:p>
            <w:pPr>
              <w:pStyle w:val="14"/>
              <w:spacing w:before="20"/>
              <w:ind w:left="309" w:right="302"/>
              <w:rPr>
                <w:sz w:val="21"/>
              </w:rPr>
            </w:pPr>
            <w:r>
              <w:rPr>
                <w:sz w:val="21"/>
              </w:rPr>
              <w:t>未检出</w:t>
            </w:r>
          </w:p>
        </w:tc>
        <w:tc>
          <w:tcPr>
            <w:tcW w:w="1294" w:type="dxa"/>
          </w:tcPr>
          <w:p>
            <w:pPr>
              <w:pStyle w:val="14"/>
              <w:spacing w:before="39"/>
              <w:ind w:left="310" w:right="301"/>
              <w:rPr>
                <w:rFonts w:ascii="Times New Roman"/>
                <w:sz w:val="21"/>
              </w:rPr>
            </w:pPr>
            <w:bookmarkStart w:id="600" w:name="0.03L"/>
            <w:bookmarkEnd w:id="600"/>
            <w:r>
              <w:rPr>
                <w:rFonts w:ascii="Times New Roman"/>
                <w:sz w:val="21"/>
              </w:rPr>
              <w:t>0.03L</w:t>
            </w:r>
          </w:p>
        </w:tc>
        <w:tc>
          <w:tcPr>
            <w:tcW w:w="1294" w:type="dxa"/>
          </w:tcPr>
          <w:p>
            <w:pPr>
              <w:pStyle w:val="14"/>
              <w:spacing w:before="20"/>
              <w:ind w:left="308" w:right="302"/>
              <w:rPr>
                <w:sz w:val="21"/>
              </w:rPr>
            </w:pPr>
            <w:r>
              <w:rPr>
                <w:sz w:val="21"/>
              </w:rPr>
              <w:t>未检出</w:t>
            </w:r>
          </w:p>
        </w:tc>
        <w:tc>
          <w:tcPr>
            <w:tcW w:w="1294" w:type="dxa"/>
          </w:tcPr>
          <w:p>
            <w:pPr>
              <w:pStyle w:val="14"/>
              <w:spacing w:before="39"/>
              <w:ind w:left="310" w:right="300"/>
              <w:rPr>
                <w:rFonts w:ascii="Times New Roman"/>
                <w:sz w:val="21"/>
              </w:rPr>
            </w:pPr>
            <w:bookmarkStart w:id="601" w:name="0.03L"/>
            <w:bookmarkEnd w:id="601"/>
            <w:r>
              <w:rPr>
                <w:rFonts w:ascii="Times New Roman"/>
                <w:sz w:val="21"/>
              </w:rPr>
              <w:t>0.03L</w:t>
            </w:r>
          </w:p>
        </w:tc>
        <w:tc>
          <w:tcPr>
            <w:tcW w:w="1299" w:type="dxa"/>
          </w:tcPr>
          <w:p>
            <w:pPr>
              <w:pStyle w:val="14"/>
              <w:spacing w:before="20"/>
              <w:ind w:left="314" w:right="305"/>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20"/>
              <w:ind w:left="166"/>
              <w:jc w:val="left"/>
              <w:rPr>
                <w:sz w:val="21"/>
              </w:rPr>
            </w:pPr>
            <w:r>
              <w:rPr>
                <w:sz w:val="21"/>
              </w:rPr>
              <w:t>总铅（</w:t>
            </w:r>
            <w:r>
              <w:rPr>
                <w:rFonts w:ascii="Times New Roman" w:hAnsi="Times New Roman" w:eastAsia="Times New Roman"/>
                <w:sz w:val="21"/>
              </w:rPr>
              <w:t>μg/L</w:t>
            </w:r>
            <w:r>
              <w:rPr>
                <w:sz w:val="21"/>
              </w:rPr>
              <w:t>）</w:t>
            </w:r>
          </w:p>
        </w:tc>
        <w:tc>
          <w:tcPr>
            <w:tcW w:w="1294" w:type="dxa"/>
          </w:tcPr>
          <w:p>
            <w:pPr>
              <w:pStyle w:val="14"/>
              <w:spacing w:before="38"/>
              <w:ind w:left="310" w:right="299"/>
              <w:rPr>
                <w:rFonts w:ascii="Times New Roman"/>
                <w:sz w:val="21"/>
              </w:rPr>
            </w:pPr>
            <w:bookmarkStart w:id="602" w:name="10L"/>
            <w:bookmarkEnd w:id="602"/>
            <w:r>
              <w:rPr>
                <w:rFonts w:ascii="Times New Roman"/>
                <w:sz w:val="21"/>
              </w:rPr>
              <w:t>10L</w:t>
            </w:r>
          </w:p>
        </w:tc>
        <w:tc>
          <w:tcPr>
            <w:tcW w:w="1294" w:type="dxa"/>
          </w:tcPr>
          <w:p>
            <w:pPr>
              <w:pStyle w:val="14"/>
              <w:spacing w:before="20"/>
              <w:ind w:left="309" w:right="302"/>
              <w:rPr>
                <w:sz w:val="21"/>
              </w:rPr>
            </w:pPr>
            <w:r>
              <w:rPr>
                <w:sz w:val="21"/>
              </w:rPr>
              <w:t>未检出</w:t>
            </w:r>
          </w:p>
        </w:tc>
        <w:tc>
          <w:tcPr>
            <w:tcW w:w="1294" w:type="dxa"/>
          </w:tcPr>
          <w:p>
            <w:pPr>
              <w:pStyle w:val="14"/>
              <w:spacing w:before="38"/>
              <w:ind w:left="310" w:right="301"/>
              <w:rPr>
                <w:rFonts w:ascii="Times New Roman"/>
                <w:sz w:val="21"/>
              </w:rPr>
            </w:pPr>
            <w:bookmarkStart w:id="603" w:name="10L"/>
            <w:bookmarkEnd w:id="603"/>
            <w:r>
              <w:rPr>
                <w:rFonts w:ascii="Times New Roman"/>
                <w:sz w:val="21"/>
              </w:rPr>
              <w:t>10L</w:t>
            </w:r>
          </w:p>
        </w:tc>
        <w:tc>
          <w:tcPr>
            <w:tcW w:w="1294" w:type="dxa"/>
          </w:tcPr>
          <w:p>
            <w:pPr>
              <w:pStyle w:val="14"/>
              <w:spacing w:before="20"/>
              <w:ind w:left="308" w:right="302"/>
              <w:rPr>
                <w:sz w:val="21"/>
              </w:rPr>
            </w:pPr>
            <w:r>
              <w:rPr>
                <w:sz w:val="21"/>
              </w:rPr>
              <w:t>未检出</w:t>
            </w:r>
          </w:p>
        </w:tc>
        <w:tc>
          <w:tcPr>
            <w:tcW w:w="1294" w:type="dxa"/>
          </w:tcPr>
          <w:p>
            <w:pPr>
              <w:pStyle w:val="14"/>
              <w:spacing w:before="38"/>
              <w:ind w:left="310" w:right="302"/>
              <w:rPr>
                <w:rFonts w:ascii="Times New Roman"/>
                <w:sz w:val="21"/>
              </w:rPr>
            </w:pPr>
            <w:bookmarkStart w:id="604" w:name="10L"/>
            <w:bookmarkEnd w:id="604"/>
            <w:r>
              <w:rPr>
                <w:rFonts w:ascii="Times New Roman"/>
                <w:sz w:val="21"/>
              </w:rPr>
              <w:t>10L</w:t>
            </w:r>
          </w:p>
        </w:tc>
        <w:tc>
          <w:tcPr>
            <w:tcW w:w="1299" w:type="dxa"/>
          </w:tcPr>
          <w:p>
            <w:pPr>
              <w:pStyle w:val="14"/>
              <w:spacing w:before="20"/>
              <w:ind w:left="314" w:right="305"/>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19"/>
              <w:ind w:left="166"/>
              <w:jc w:val="left"/>
              <w:rPr>
                <w:sz w:val="21"/>
              </w:rPr>
            </w:pPr>
            <w:r>
              <w:rPr>
                <w:sz w:val="21"/>
              </w:rPr>
              <w:t>总砷（</w:t>
            </w:r>
            <w:r>
              <w:rPr>
                <w:rFonts w:ascii="Times New Roman" w:hAnsi="Times New Roman" w:eastAsia="Times New Roman"/>
                <w:sz w:val="21"/>
              </w:rPr>
              <w:t>μg/L</w:t>
            </w:r>
            <w:r>
              <w:rPr>
                <w:sz w:val="21"/>
              </w:rPr>
              <w:t>）</w:t>
            </w:r>
          </w:p>
        </w:tc>
        <w:tc>
          <w:tcPr>
            <w:tcW w:w="1294" w:type="dxa"/>
          </w:tcPr>
          <w:p>
            <w:pPr>
              <w:pStyle w:val="14"/>
              <w:spacing w:before="38"/>
              <w:ind w:left="310" w:right="299"/>
              <w:rPr>
                <w:rFonts w:ascii="Times New Roman"/>
                <w:sz w:val="21"/>
              </w:rPr>
            </w:pPr>
            <w:bookmarkStart w:id="605" w:name="0.3L"/>
            <w:bookmarkEnd w:id="605"/>
            <w:r>
              <w:rPr>
                <w:rFonts w:ascii="Times New Roman"/>
                <w:sz w:val="21"/>
              </w:rPr>
              <w:t>0.3L</w:t>
            </w:r>
          </w:p>
        </w:tc>
        <w:tc>
          <w:tcPr>
            <w:tcW w:w="1294" w:type="dxa"/>
          </w:tcPr>
          <w:p>
            <w:pPr>
              <w:pStyle w:val="14"/>
              <w:spacing w:before="24" w:line="268" w:lineRule="exact"/>
              <w:ind w:left="309" w:right="302"/>
              <w:rPr>
                <w:sz w:val="21"/>
              </w:rPr>
            </w:pPr>
            <w:bookmarkStart w:id="606" w:name="未检出"/>
            <w:bookmarkEnd w:id="606"/>
            <w:r>
              <w:rPr>
                <w:sz w:val="21"/>
              </w:rPr>
              <w:t>未检出</w:t>
            </w:r>
          </w:p>
        </w:tc>
        <w:tc>
          <w:tcPr>
            <w:tcW w:w="1294" w:type="dxa"/>
          </w:tcPr>
          <w:p>
            <w:pPr>
              <w:pStyle w:val="14"/>
              <w:spacing w:before="38"/>
              <w:ind w:left="310" w:right="301"/>
              <w:rPr>
                <w:rFonts w:ascii="Times New Roman"/>
                <w:sz w:val="21"/>
              </w:rPr>
            </w:pPr>
            <w:bookmarkStart w:id="607" w:name="0.3L"/>
            <w:bookmarkEnd w:id="607"/>
            <w:r>
              <w:rPr>
                <w:rFonts w:ascii="Times New Roman"/>
                <w:sz w:val="21"/>
              </w:rPr>
              <w:t>0.3L</w:t>
            </w:r>
          </w:p>
        </w:tc>
        <w:tc>
          <w:tcPr>
            <w:tcW w:w="1294" w:type="dxa"/>
          </w:tcPr>
          <w:p>
            <w:pPr>
              <w:pStyle w:val="14"/>
              <w:spacing w:before="19"/>
              <w:ind w:left="308" w:right="302"/>
              <w:rPr>
                <w:sz w:val="21"/>
              </w:rPr>
            </w:pPr>
            <w:r>
              <w:rPr>
                <w:sz w:val="21"/>
              </w:rPr>
              <w:t>未检出</w:t>
            </w:r>
          </w:p>
        </w:tc>
        <w:tc>
          <w:tcPr>
            <w:tcW w:w="1294" w:type="dxa"/>
          </w:tcPr>
          <w:p>
            <w:pPr>
              <w:pStyle w:val="14"/>
              <w:spacing w:before="38"/>
              <w:ind w:left="310" w:right="298"/>
              <w:rPr>
                <w:rFonts w:ascii="Times New Roman"/>
                <w:sz w:val="21"/>
              </w:rPr>
            </w:pPr>
            <w:bookmarkStart w:id="608" w:name="0.3L"/>
            <w:bookmarkEnd w:id="608"/>
            <w:r>
              <w:rPr>
                <w:rFonts w:ascii="Times New Roman"/>
                <w:sz w:val="21"/>
              </w:rPr>
              <w:t>0.3L</w:t>
            </w:r>
          </w:p>
        </w:tc>
        <w:tc>
          <w:tcPr>
            <w:tcW w:w="1299" w:type="dxa"/>
          </w:tcPr>
          <w:p>
            <w:pPr>
              <w:pStyle w:val="14"/>
              <w:spacing w:before="19"/>
              <w:ind w:left="314" w:right="305"/>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19"/>
              <w:ind w:left="140"/>
              <w:jc w:val="left"/>
              <w:rPr>
                <w:sz w:val="21"/>
              </w:rPr>
            </w:pPr>
            <w:r>
              <w:rPr>
                <w:sz w:val="21"/>
              </w:rPr>
              <w:t>总锌（</w:t>
            </w:r>
            <w:r>
              <w:rPr>
                <w:rFonts w:ascii="Times New Roman" w:eastAsia="Times New Roman"/>
                <w:sz w:val="21"/>
              </w:rPr>
              <w:t>mg/L</w:t>
            </w:r>
            <w:r>
              <w:rPr>
                <w:sz w:val="21"/>
              </w:rPr>
              <w:t>）</w:t>
            </w:r>
          </w:p>
        </w:tc>
        <w:tc>
          <w:tcPr>
            <w:tcW w:w="1294" w:type="dxa"/>
          </w:tcPr>
          <w:p>
            <w:pPr>
              <w:pStyle w:val="14"/>
              <w:spacing w:before="38"/>
              <w:ind w:left="310" w:right="299"/>
              <w:rPr>
                <w:rFonts w:ascii="Times New Roman"/>
                <w:sz w:val="21"/>
              </w:rPr>
            </w:pPr>
            <w:bookmarkStart w:id="609" w:name="0.05L"/>
            <w:bookmarkEnd w:id="609"/>
            <w:r>
              <w:rPr>
                <w:rFonts w:ascii="Times New Roman"/>
                <w:sz w:val="21"/>
              </w:rPr>
              <w:t>0.05L</w:t>
            </w:r>
          </w:p>
        </w:tc>
        <w:tc>
          <w:tcPr>
            <w:tcW w:w="1294" w:type="dxa"/>
          </w:tcPr>
          <w:p>
            <w:pPr>
              <w:pStyle w:val="14"/>
              <w:spacing w:before="24" w:line="268" w:lineRule="exact"/>
              <w:ind w:left="309" w:right="302"/>
              <w:rPr>
                <w:sz w:val="21"/>
              </w:rPr>
            </w:pPr>
            <w:bookmarkStart w:id="610" w:name="未检出"/>
            <w:bookmarkEnd w:id="610"/>
            <w:r>
              <w:rPr>
                <w:sz w:val="21"/>
              </w:rPr>
              <w:t>未检出</w:t>
            </w:r>
          </w:p>
        </w:tc>
        <w:tc>
          <w:tcPr>
            <w:tcW w:w="1294" w:type="dxa"/>
          </w:tcPr>
          <w:p>
            <w:pPr>
              <w:pStyle w:val="14"/>
              <w:spacing w:before="38"/>
              <w:ind w:left="310" w:right="300"/>
              <w:rPr>
                <w:rFonts w:ascii="Times New Roman"/>
                <w:sz w:val="21"/>
              </w:rPr>
            </w:pPr>
            <w:bookmarkStart w:id="611" w:name="0.05"/>
            <w:bookmarkEnd w:id="611"/>
            <w:r>
              <w:rPr>
                <w:rFonts w:ascii="Times New Roman"/>
                <w:sz w:val="21"/>
              </w:rPr>
              <w:t>0.05</w:t>
            </w:r>
          </w:p>
        </w:tc>
        <w:tc>
          <w:tcPr>
            <w:tcW w:w="1294" w:type="dxa"/>
          </w:tcPr>
          <w:p>
            <w:pPr>
              <w:pStyle w:val="14"/>
              <w:spacing w:before="35"/>
              <w:ind w:left="310" w:right="301"/>
              <w:rPr>
                <w:rFonts w:ascii="Times New Roman"/>
                <w:sz w:val="21"/>
              </w:rPr>
            </w:pPr>
            <w:r>
              <w:rPr>
                <w:rFonts w:ascii="Times New Roman"/>
                <w:sz w:val="21"/>
              </w:rPr>
              <w:t>0.05</w:t>
            </w:r>
          </w:p>
        </w:tc>
        <w:tc>
          <w:tcPr>
            <w:tcW w:w="1294" w:type="dxa"/>
          </w:tcPr>
          <w:p>
            <w:pPr>
              <w:pStyle w:val="14"/>
              <w:spacing w:before="38"/>
              <w:ind w:left="310" w:right="302"/>
              <w:rPr>
                <w:rFonts w:ascii="Times New Roman"/>
                <w:sz w:val="21"/>
              </w:rPr>
            </w:pPr>
            <w:bookmarkStart w:id="612" w:name="0.05"/>
            <w:bookmarkEnd w:id="612"/>
            <w:r>
              <w:rPr>
                <w:rFonts w:ascii="Times New Roman"/>
                <w:sz w:val="21"/>
              </w:rPr>
              <w:t>0.05</w:t>
            </w:r>
          </w:p>
        </w:tc>
        <w:tc>
          <w:tcPr>
            <w:tcW w:w="1299" w:type="dxa"/>
          </w:tcPr>
          <w:p>
            <w:pPr>
              <w:pStyle w:val="14"/>
              <w:spacing w:before="35"/>
              <w:ind w:left="314" w:right="302"/>
              <w:rPr>
                <w:rFonts w:ascii="Times New Roman"/>
                <w:sz w:val="21"/>
              </w:rPr>
            </w:pPr>
            <w:r>
              <w:rPr>
                <w:rFonts w:ascii="Times New Roman"/>
                <w:sz w:val="21"/>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21"/>
              <w:ind w:left="106" w:right="-15"/>
              <w:jc w:val="left"/>
              <w:rPr>
                <w:sz w:val="21"/>
              </w:rPr>
            </w:pPr>
            <w:r>
              <w:rPr>
                <w:spacing w:val="-13"/>
                <w:sz w:val="21"/>
              </w:rPr>
              <w:t>六价铬</w:t>
            </w:r>
            <w:r>
              <w:rPr>
                <w:sz w:val="21"/>
              </w:rPr>
              <w:t>（</w:t>
            </w:r>
            <w:r>
              <w:rPr>
                <w:rFonts w:ascii="Times New Roman" w:eastAsia="Times New Roman"/>
                <w:sz w:val="21"/>
              </w:rPr>
              <w:t>mg/L</w:t>
            </w:r>
            <w:r>
              <w:rPr>
                <w:sz w:val="21"/>
              </w:rPr>
              <w:t>）</w:t>
            </w:r>
          </w:p>
        </w:tc>
        <w:tc>
          <w:tcPr>
            <w:tcW w:w="1294" w:type="dxa"/>
          </w:tcPr>
          <w:p>
            <w:pPr>
              <w:pStyle w:val="14"/>
              <w:spacing w:before="37"/>
              <w:ind w:left="310" w:right="302"/>
              <w:rPr>
                <w:rFonts w:ascii="Times New Roman"/>
                <w:sz w:val="21"/>
              </w:rPr>
            </w:pPr>
            <w:bookmarkStart w:id="613" w:name="0.004L"/>
            <w:bookmarkEnd w:id="613"/>
            <w:r>
              <w:rPr>
                <w:rFonts w:ascii="Times New Roman"/>
                <w:sz w:val="21"/>
              </w:rPr>
              <w:t>0.004L</w:t>
            </w:r>
          </w:p>
        </w:tc>
        <w:tc>
          <w:tcPr>
            <w:tcW w:w="1294" w:type="dxa"/>
          </w:tcPr>
          <w:p>
            <w:pPr>
              <w:pStyle w:val="14"/>
              <w:spacing w:before="23" w:line="268" w:lineRule="exact"/>
              <w:ind w:left="309" w:right="302"/>
              <w:rPr>
                <w:sz w:val="21"/>
              </w:rPr>
            </w:pPr>
            <w:bookmarkStart w:id="614" w:name="未检出"/>
            <w:bookmarkEnd w:id="614"/>
            <w:r>
              <w:rPr>
                <w:sz w:val="21"/>
              </w:rPr>
              <w:t>未检出</w:t>
            </w:r>
          </w:p>
        </w:tc>
        <w:tc>
          <w:tcPr>
            <w:tcW w:w="1294" w:type="dxa"/>
          </w:tcPr>
          <w:p>
            <w:pPr>
              <w:pStyle w:val="14"/>
              <w:spacing w:before="37"/>
              <w:ind w:left="310" w:right="298"/>
              <w:rPr>
                <w:rFonts w:ascii="Times New Roman"/>
                <w:sz w:val="21"/>
              </w:rPr>
            </w:pPr>
            <w:bookmarkStart w:id="615" w:name="0.004L"/>
            <w:bookmarkEnd w:id="615"/>
            <w:r>
              <w:rPr>
                <w:rFonts w:ascii="Times New Roman"/>
                <w:sz w:val="21"/>
              </w:rPr>
              <w:t>0.004L</w:t>
            </w:r>
          </w:p>
        </w:tc>
        <w:tc>
          <w:tcPr>
            <w:tcW w:w="1294" w:type="dxa"/>
          </w:tcPr>
          <w:p>
            <w:pPr>
              <w:pStyle w:val="14"/>
              <w:spacing w:before="21"/>
              <w:ind w:left="308" w:right="302"/>
              <w:rPr>
                <w:sz w:val="21"/>
              </w:rPr>
            </w:pPr>
            <w:r>
              <w:rPr>
                <w:sz w:val="21"/>
              </w:rPr>
              <w:t>未检出</w:t>
            </w:r>
          </w:p>
        </w:tc>
        <w:tc>
          <w:tcPr>
            <w:tcW w:w="1294" w:type="dxa"/>
          </w:tcPr>
          <w:p>
            <w:pPr>
              <w:pStyle w:val="14"/>
              <w:spacing w:before="37"/>
              <w:ind w:left="310" w:right="300"/>
              <w:rPr>
                <w:rFonts w:ascii="Times New Roman"/>
                <w:sz w:val="21"/>
              </w:rPr>
            </w:pPr>
            <w:bookmarkStart w:id="616" w:name="0.004L"/>
            <w:bookmarkEnd w:id="616"/>
            <w:r>
              <w:rPr>
                <w:rFonts w:ascii="Times New Roman"/>
                <w:sz w:val="21"/>
              </w:rPr>
              <w:t>0.004L</w:t>
            </w:r>
          </w:p>
        </w:tc>
        <w:tc>
          <w:tcPr>
            <w:tcW w:w="1299" w:type="dxa"/>
          </w:tcPr>
          <w:p>
            <w:pPr>
              <w:pStyle w:val="14"/>
              <w:spacing w:before="21"/>
              <w:ind w:left="314" w:right="305"/>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575" w:type="dxa"/>
          </w:tcPr>
          <w:p>
            <w:pPr>
              <w:pStyle w:val="14"/>
              <w:spacing w:before="20"/>
              <w:ind w:left="106" w:right="-15"/>
              <w:jc w:val="left"/>
              <w:rPr>
                <w:sz w:val="21"/>
              </w:rPr>
            </w:pPr>
            <w:r>
              <w:rPr>
                <w:spacing w:val="-13"/>
                <w:sz w:val="21"/>
              </w:rPr>
              <w:t>氟化物</w:t>
            </w:r>
            <w:r>
              <w:rPr>
                <w:sz w:val="21"/>
              </w:rPr>
              <w:t>（</w:t>
            </w:r>
            <w:r>
              <w:rPr>
                <w:rFonts w:ascii="Times New Roman" w:eastAsia="Times New Roman"/>
                <w:sz w:val="21"/>
              </w:rPr>
              <w:t>mg/L</w:t>
            </w:r>
            <w:r>
              <w:rPr>
                <w:sz w:val="21"/>
              </w:rPr>
              <w:t>）</w:t>
            </w:r>
          </w:p>
        </w:tc>
        <w:tc>
          <w:tcPr>
            <w:tcW w:w="1294" w:type="dxa"/>
          </w:tcPr>
          <w:p>
            <w:pPr>
              <w:pStyle w:val="14"/>
              <w:spacing w:before="37"/>
              <w:ind w:left="310" w:right="299"/>
              <w:rPr>
                <w:rFonts w:ascii="Times New Roman"/>
                <w:sz w:val="21"/>
              </w:rPr>
            </w:pPr>
            <w:bookmarkStart w:id="617" w:name="0.05L"/>
            <w:bookmarkEnd w:id="617"/>
            <w:r>
              <w:rPr>
                <w:rFonts w:ascii="Times New Roman"/>
                <w:sz w:val="21"/>
              </w:rPr>
              <w:t>0.05L</w:t>
            </w:r>
          </w:p>
        </w:tc>
        <w:tc>
          <w:tcPr>
            <w:tcW w:w="1294" w:type="dxa"/>
          </w:tcPr>
          <w:p>
            <w:pPr>
              <w:pStyle w:val="14"/>
              <w:spacing w:before="23" w:line="269" w:lineRule="exact"/>
              <w:ind w:left="309" w:right="302"/>
              <w:rPr>
                <w:sz w:val="21"/>
              </w:rPr>
            </w:pPr>
            <w:bookmarkStart w:id="618" w:name="未检出"/>
            <w:bookmarkEnd w:id="618"/>
            <w:r>
              <w:rPr>
                <w:sz w:val="21"/>
              </w:rPr>
              <w:t>未检出</w:t>
            </w:r>
          </w:p>
        </w:tc>
        <w:tc>
          <w:tcPr>
            <w:tcW w:w="1294" w:type="dxa"/>
          </w:tcPr>
          <w:p>
            <w:pPr>
              <w:pStyle w:val="14"/>
              <w:spacing w:before="37"/>
              <w:ind w:left="310" w:right="301"/>
              <w:rPr>
                <w:rFonts w:ascii="Times New Roman"/>
                <w:sz w:val="21"/>
              </w:rPr>
            </w:pPr>
            <w:bookmarkStart w:id="619" w:name="0.05L"/>
            <w:bookmarkEnd w:id="619"/>
            <w:r>
              <w:rPr>
                <w:rFonts w:ascii="Times New Roman"/>
                <w:sz w:val="21"/>
              </w:rPr>
              <w:t>0.05L</w:t>
            </w:r>
          </w:p>
        </w:tc>
        <w:tc>
          <w:tcPr>
            <w:tcW w:w="1294" w:type="dxa"/>
          </w:tcPr>
          <w:p>
            <w:pPr>
              <w:pStyle w:val="14"/>
              <w:spacing w:before="20"/>
              <w:ind w:left="308" w:right="302"/>
              <w:rPr>
                <w:sz w:val="21"/>
              </w:rPr>
            </w:pPr>
            <w:r>
              <w:rPr>
                <w:sz w:val="21"/>
              </w:rPr>
              <w:t>未检出</w:t>
            </w:r>
          </w:p>
        </w:tc>
        <w:tc>
          <w:tcPr>
            <w:tcW w:w="1294" w:type="dxa"/>
          </w:tcPr>
          <w:p>
            <w:pPr>
              <w:pStyle w:val="14"/>
              <w:spacing w:before="37"/>
              <w:ind w:left="310" w:right="300"/>
              <w:rPr>
                <w:rFonts w:ascii="Times New Roman"/>
                <w:sz w:val="21"/>
              </w:rPr>
            </w:pPr>
            <w:bookmarkStart w:id="620" w:name="0.05L"/>
            <w:bookmarkEnd w:id="620"/>
            <w:r>
              <w:rPr>
                <w:rFonts w:ascii="Times New Roman"/>
                <w:sz w:val="21"/>
              </w:rPr>
              <w:t>0.05L</w:t>
            </w:r>
          </w:p>
        </w:tc>
        <w:tc>
          <w:tcPr>
            <w:tcW w:w="1299" w:type="dxa"/>
          </w:tcPr>
          <w:p>
            <w:pPr>
              <w:pStyle w:val="14"/>
              <w:spacing w:before="20"/>
              <w:ind w:left="314" w:right="305"/>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17" w:line="275" w:lineRule="exact"/>
              <w:ind w:left="109"/>
              <w:jc w:val="left"/>
              <w:rPr>
                <w:sz w:val="21"/>
              </w:rPr>
            </w:pPr>
            <w:r>
              <w:rPr>
                <w:rFonts w:ascii="Times New Roman" w:eastAsia="Times New Roman"/>
                <w:position w:val="2"/>
                <w:sz w:val="21"/>
              </w:rPr>
              <w:t>BOD</w:t>
            </w:r>
            <w:r>
              <w:rPr>
                <w:rFonts w:ascii="Times New Roman" w:eastAsia="Times New Roman"/>
                <w:position w:val="2"/>
                <w:sz w:val="21"/>
                <w:vertAlign w:val="subscript"/>
              </w:rPr>
              <w:t>5</w:t>
            </w:r>
            <w:r>
              <w:rPr>
                <w:position w:val="2"/>
                <w:sz w:val="21"/>
                <w:vertAlign w:val="baseline"/>
              </w:rPr>
              <w:t>（</w:t>
            </w:r>
            <w:r>
              <w:rPr>
                <w:rFonts w:ascii="Times New Roman" w:eastAsia="Times New Roman"/>
                <w:position w:val="2"/>
                <w:sz w:val="21"/>
                <w:vertAlign w:val="baseline"/>
              </w:rPr>
              <w:t>mg/L</w:t>
            </w:r>
            <w:r>
              <w:rPr>
                <w:position w:val="2"/>
                <w:sz w:val="21"/>
                <w:vertAlign w:val="baseline"/>
              </w:rPr>
              <w:t>）</w:t>
            </w:r>
          </w:p>
        </w:tc>
        <w:tc>
          <w:tcPr>
            <w:tcW w:w="1294" w:type="dxa"/>
          </w:tcPr>
          <w:p>
            <w:pPr>
              <w:pStyle w:val="14"/>
              <w:spacing w:before="39"/>
              <w:ind w:left="310" w:right="301"/>
              <w:rPr>
                <w:rFonts w:ascii="Times New Roman"/>
                <w:sz w:val="21"/>
              </w:rPr>
            </w:pPr>
            <w:bookmarkStart w:id="621" w:name="15.3"/>
            <w:bookmarkEnd w:id="621"/>
            <w:r>
              <w:rPr>
                <w:rFonts w:ascii="Times New Roman"/>
                <w:sz w:val="21"/>
              </w:rPr>
              <w:t>15.3</w:t>
            </w:r>
          </w:p>
        </w:tc>
        <w:tc>
          <w:tcPr>
            <w:tcW w:w="1294" w:type="dxa"/>
          </w:tcPr>
          <w:p>
            <w:pPr>
              <w:pStyle w:val="14"/>
              <w:spacing w:before="39"/>
              <w:ind w:left="310" w:right="299"/>
              <w:rPr>
                <w:rFonts w:ascii="Times New Roman"/>
                <w:sz w:val="21"/>
              </w:rPr>
            </w:pPr>
            <w:bookmarkStart w:id="622" w:name="3.83"/>
            <w:bookmarkEnd w:id="622"/>
            <w:r>
              <w:rPr>
                <w:rFonts w:ascii="Times New Roman"/>
                <w:sz w:val="21"/>
              </w:rPr>
              <w:t>3.83</w:t>
            </w:r>
          </w:p>
        </w:tc>
        <w:tc>
          <w:tcPr>
            <w:tcW w:w="1294" w:type="dxa"/>
          </w:tcPr>
          <w:p>
            <w:pPr>
              <w:pStyle w:val="14"/>
              <w:spacing w:before="39"/>
              <w:ind w:left="310" w:right="300"/>
              <w:rPr>
                <w:rFonts w:ascii="Times New Roman"/>
                <w:sz w:val="21"/>
              </w:rPr>
            </w:pPr>
            <w:bookmarkStart w:id="623" w:name="16.2"/>
            <w:bookmarkEnd w:id="623"/>
            <w:r>
              <w:rPr>
                <w:rFonts w:ascii="Times New Roman"/>
                <w:sz w:val="21"/>
              </w:rPr>
              <w:t>16.2</w:t>
            </w:r>
          </w:p>
        </w:tc>
        <w:tc>
          <w:tcPr>
            <w:tcW w:w="1294" w:type="dxa"/>
          </w:tcPr>
          <w:p>
            <w:pPr>
              <w:pStyle w:val="14"/>
              <w:spacing w:before="34"/>
              <w:ind w:left="310" w:right="301"/>
              <w:rPr>
                <w:rFonts w:ascii="Times New Roman"/>
                <w:sz w:val="21"/>
              </w:rPr>
            </w:pPr>
            <w:r>
              <w:rPr>
                <w:rFonts w:ascii="Times New Roman"/>
                <w:sz w:val="21"/>
              </w:rPr>
              <w:t>4.05</w:t>
            </w:r>
          </w:p>
        </w:tc>
        <w:tc>
          <w:tcPr>
            <w:tcW w:w="1294" w:type="dxa"/>
          </w:tcPr>
          <w:p>
            <w:pPr>
              <w:pStyle w:val="14"/>
              <w:spacing w:before="39"/>
              <w:ind w:left="310" w:right="302"/>
              <w:rPr>
                <w:rFonts w:ascii="Times New Roman"/>
                <w:sz w:val="21"/>
              </w:rPr>
            </w:pPr>
            <w:bookmarkStart w:id="624" w:name="15.7"/>
            <w:bookmarkEnd w:id="624"/>
            <w:r>
              <w:rPr>
                <w:rFonts w:ascii="Times New Roman"/>
                <w:sz w:val="21"/>
              </w:rPr>
              <w:t>15.7</w:t>
            </w:r>
          </w:p>
        </w:tc>
        <w:tc>
          <w:tcPr>
            <w:tcW w:w="1299" w:type="dxa"/>
          </w:tcPr>
          <w:p>
            <w:pPr>
              <w:pStyle w:val="14"/>
              <w:spacing w:before="34"/>
              <w:ind w:left="314" w:right="302"/>
              <w:rPr>
                <w:rFonts w:ascii="Times New Roman"/>
                <w:sz w:val="21"/>
              </w:rPr>
            </w:pPr>
            <w:r>
              <w:rPr>
                <w:rFonts w:ascii="Times New Roman"/>
                <w:sz w:val="21"/>
              </w:rPr>
              <w:t>3.93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575" w:type="dxa"/>
          </w:tcPr>
          <w:p>
            <w:pPr>
              <w:pStyle w:val="14"/>
              <w:spacing w:before="20"/>
              <w:ind w:left="140"/>
              <w:jc w:val="left"/>
              <w:rPr>
                <w:sz w:val="21"/>
              </w:rPr>
            </w:pPr>
            <w:r>
              <w:rPr>
                <w:sz w:val="21"/>
              </w:rPr>
              <w:t>氨氮（</w:t>
            </w:r>
            <w:r>
              <w:rPr>
                <w:rFonts w:ascii="Times New Roman" w:eastAsia="Times New Roman"/>
                <w:sz w:val="21"/>
              </w:rPr>
              <w:t>mg/L</w:t>
            </w:r>
            <w:r>
              <w:rPr>
                <w:sz w:val="21"/>
              </w:rPr>
              <w:t>）</w:t>
            </w:r>
          </w:p>
        </w:tc>
        <w:tc>
          <w:tcPr>
            <w:tcW w:w="1294" w:type="dxa"/>
          </w:tcPr>
          <w:p>
            <w:pPr>
              <w:pStyle w:val="14"/>
              <w:spacing w:before="38"/>
              <w:ind w:left="310" w:right="301"/>
              <w:rPr>
                <w:rFonts w:ascii="Times New Roman"/>
                <w:sz w:val="21"/>
              </w:rPr>
            </w:pPr>
            <w:bookmarkStart w:id="625" w:name="0.40"/>
            <w:bookmarkEnd w:id="625"/>
            <w:r>
              <w:rPr>
                <w:rFonts w:ascii="Times New Roman"/>
                <w:sz w:val="21"/>
              </w:rPr>
              <w:t>0.40</w:t>
            </w:r>
          </w:p>
        </w:tc>
        <w:tc>
          <w:tcPr>
            <w:tcW w:w="1294" w:type="dxa"/>
          </w:tcPr>
          <w:p>
            <w:pPr>
              <w:pStyle w:val="14"/>
              <w:spacing w:before="38"/>
              <w:ind w:left="310" w:right="299"/>
              <w:rPr>
                <w:rFonts w:ascii="Times New Roman"/>
                <w:sz w:val="21"/>
              </w:rPr>
            </w:pPr>
            <w:bookmarkStart w:id="626" w:name="0.40"/>
            <w:bookmarkEnd w:id="626"/>
            <w:r>
              <w:rPr>
                <w:rFonts w:ascii="Times New Roman"/>
                <w:sz w:val="21"/>
              </w:rPr>
              <w:t>0.40</w:t>
            </w:r>
          </w:p>
        </w:tc>
        <w:tc>
          <w:tcPr>
            <w:tcW w:w="1294" w:type="dxa"/>
          </w:tcPr>
          <w:p>
            <w:pPr>
              <w:pStyle w:val="14"/>
              <w:spacing w:before="38"/>
              <w:ind w:left="310" w:right="300"/>
              <w:rPr>
                <w:rFonts w:ascii="Times New Roman"/>
                <w:sz w:val="21"/>
              </w:rPr>
            </w:pPr>
            <w:bookmarkStart w:id="627" w:name="0.40"/>
            <w:bookmarkEnd w:id="627"/>
            <w:r>
              <w:rPr>
                <w:rFonts w:ascii="Times New Roman"/>
                <w:sz w:val="21"/>
              </w:rPr>
              <w:t>0.40</w:t>
            </w:r>
          </w:p>
        </w:tc>
        <w:tc>
          <w:tcPr>
            <w:tcW w:w="1294" w:type="dxa"/>
          </w:tcPr>
          <w:p>
            <w:pPr>
              <w:pStyle w:val="14"/>
              <w:spacing w:before="34"/>
              <w:ind w:left="310" w:right="301"/>
              <w:rPr>
                <w:rFonts w:ascii="Times New Roman"/>
                <w:sz w:val="21"/>
              </w:rPr>
            </w:pPr>
            <w:r>
              <w:rPr>
                <w:rFonts w:ascii="Times New Roman"/>
                <w:sz w:val="21"/>
              </w:rPr>
              <w:t>0.40</w:t>
            </w:r>
          </w:p>
        </w:tc>
        <w:tc>
          <w:tcPr>
            <w:tcW w:w="1294" w:type="dxa"/>
          </w:tcPr>
          <w:p>
            <w:pPr>
              <w:pStyle w:val="14"/>
              <w:spacing w:before="38"/>
              <w:ind w:left="310" w:right="302"/>
              <w:rPr>
                <w:rFonts w:ascii="Times New Roman"/>
                <w:sz w:val="21"/>
              </w:rPr>
            </w:pPr>
            <w:bookmarkStart w:id="628" w:name="0.40"/>
            <w:bookmarkEnd w:id="628"/>
            <w:r>
              <w:rPr>
                <w:rFonts w:ascii="Times New Roman"/>
                <w:sz w:val="21"/>
              </w:rPr>
              <w:t>0.40</w:t>
            </w:r>
          </w:p>
        </w:tc>
        <w:tc>
          <w:tcPr>
            <w:tcW w:w="1299" w:type="dxa"/>
          </w:tcPr>
          <w:p>
            <w:pPr>
              <w:pStyle w:val="14"/>
              <w:spacing w:before="34"/>
              <w:ind w:left="314" w:right="302"/>
              <w:rPr>
                <w:rFonts w:ascii="Times New Roman"/>
                <w:sz w:val="21"/>
              </w:rPr>
            </w:pPr>
            <w:r>
              <w:rPr>
                <w:rFonts w:ascii="Times New Roman"/>
                <w:sz w:val="21"/>
              </w:rPr>
              <w:t>0.40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vMerge w:val="restart"/>
          </w:tcPr>
          <w:p>
            <w:pPr>
              <w:pStyle w:val="14"/>
              <w:spacing w:before="1"/>
              <w:jc w:val="left"/>
              <w:rPr>
                <w:b/>
                <w:sz w:val="14"/>
              </w:rPr>
            </w:pPr>
          </w:p>
          <w:p>
            <w:pPr>
              <w:pStyle w:val="14"/>
              <w:ind w:left="365"/>
              <w:jc w:val="left"/>
              <w:rPr>
                <w:sz w:val="21"/>
              </w:rPr>
            </w:pPr>
            <w:r>
              <w:rPr>
                <w:sz w:val="21"/>
              </w:rPr>
              <w:t>评价参数</w:t>
            </w:r>
          </w:p>
        </w:tc>
        <w:tc>
          <w:tcPr>
            <w:tcW w:w="7769" w:type="dxa"/>
            <w:gridSpan w:val="6"/>
          </w:tcPr>
          <w:p>
            <w:pPr>
              <w:pStyle w:val="14"/>
              <w:spacing w:before="22"/>
              <w:ind w:left="3102" w:right="3094"/>
              <w:rPr>
                <w:sz w:val="21"/>
              </w:rPr>
            </w:pPr>
            <w:r>
              <w:rPr>
                <w:sz w:val="21"/>
              </w:rPr>
              <w:t xml:space="preserve">下游 </w:t>
            </w:r>
            <w:r>
              <w:rPr>
                <w:rFonts w:ascii="Times New Roman" w:eastAsia="Times New Roman"/>
                <w:sz w:val="21"/>
              </w:rPr>
              <w:t xml:space="preserve">1000 </w:t>
            </w:r>
            <w:r>
              <w:rPr>
                <w:sz w:val="21"/>
              </w:rPr>
              <w:t>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vMerge w:val="continue"/>
            <w:tcBorders>
              <w:top w:val="nil"/>
            </w:tcBorders>
          </w:tcPr>
          <w:p>
            <w:pPr>
              <w:rPr>
                <w:sz w:val="2"/>
                <w:szCs w:val="2"/>
              </w:rPr>
            </w:pPr>
          </w:p>
        </w:tc>
        <w:tc>
          <w:tcPr>
            <w:tcW w:w="1294" w:type="dxa"/>
          </w:tcPr>
          <w:p>
            <w:pPr>
              <w:pStyle w:val="14"/>
              <w:spacing w:before="19"/>
              <w:ind w:left="310" w:right="302"/>
              <w:rPr>
                <w:sz w:val="21"/>
              </w:rPr>
            </w:pPr>
            <w:r>
              <w:rPr>
                <w:sz w:val="21"/>
              </w:rPr>
              <w:t>实测值</w:t>
            </w:r>
          </w:p>
        </w:tc>
        <w:tc>
          <w:tcPr>
            <w:tcW w:w="1294" w:type="dxa"/>
          </w:tcPr>
          <w:p>
            <w:pPr>
              <w:pStyle w:val="14"/>
              <w:spacing w:before="34"/>
              <w:ind w:left="310" w:right="298"/>
              <w:rPr>
                <w:rFonts w:ascii="Times New Roman" w:eastAsia="Times New Roman"/>
                <w:sz w:val="13"/>
              </w:rPr>
            </w:pPr>
            <w:r>
              <w:rPr>
                <w:rFonts w:ascii="Times New Roman" w:eastAsia="Times New Roman"/>
                <w:spacing w:val="-2"/>
                <w:w w:val="99"/>
                <w:position w:val="3"/>
                <w:sz w:val="21"/>
              </w:rPr>
              <w:t>P</w:t>
            </w:r>
            <w:r>
              <w:rPr>
                <w:rFonts w:ascii="Times New Roman" w:eastAsia="Times New Roman"/>
                <w:w w:val="105"/>
                <w:position w:val="1"/>
                <w:sz w:val="13"/>
              </w:rPr>
              <w:t>i</w:t>
            </w:r>
            <w:r>
              <w:rPr>
                <w:spacing w:val="-1"/>
                <w:w w:val="106"/>
                <w:sz w:val="10"/>
              </w:rPr>
              <w:t>，</w:t>
            </w:r>
            <w:r>
              <w:rPr>
                <w:rFonts w:ascii="Times New Roman" w:eastAsia="Times New Roman"/>
                <w:w w:val="105"/>
                <w:position w:val="1"/>
                <w:sz w:val="13"/>
              </w:rPr>
              <w:t>j</w:t>
            </w:r>
          </w:p>
        </w:tc>
        <w:tc>
          <w:tcPr>
            <w:tcW w:w="1294" w:type="dxa"/>
          </w:tcPr>
          <w:p>
            <w:pPr>
              <w:pStyle w:val="14"/>
              <w:spacing w:before="19"/>
              <w:ind w:left="308" w:right="302"/>
              <w:rPr>
                <w:sz w:val="21"/>
              </w:rPr>
            </w:pPr>
            <w:r>
              <w:rPr>
                <w:sz w:val="21"/>
              </w:rPr>
              <w:t>实测值</w:t>
            </w:r>
          </w:p>
        </w:tc>
        <w:tc>
          <w:tcPr>
            <w:tcW w:w="1294" w:type="dxa"/>
          </w:tcPr>
          <w:p>
            <w:pPr>
              <w:pStyle w:val="14"/>
              <w:spacing w:before="34"/>
              <w:ind w:left="310" w:right="300"/>
              <w:rPr>
                <w:rFonts w:ascii="Times New Roman" w:eastAsia="Times New Roman"/>
                <w:sz w:val="13"/>
              </w:rPr>
            </w:pPr>
            <w:r>
              <w:rPr>
                <w:rFonts w:ascii="Times New Roman" w:eastAsia="Times New Roman"/>
                <w:spacing w:val="-2"/>
                <w:w w:val="99"/>
                <w:position w:val="3"/>
                <w:sz w:val="21"/>
              </w:rPr>
              <w:t>P</w:t>
            </w:r>
            <w:r>
              <w:rPr>
                <w:rFonts w:ascii="Times New Roman" w:eastAsia="Times New Roman"/>
                <w:w w:val="105"/>
                <w:position w:val="1"/>
                <w:sz w:val="13"/>
              </w:rPr>
              <w:t>i</w:t>
            </w:r>
            <w:r>
              <w:rPr>
                <w:spacing w:val="-1"/>
                <w:w w:val="106"/>
                <w:sz w:val="10"/>
              </w:rPr>
              <w:t>，</w:t>
            </w:r>
            <w:r>
              <w:rPr>
                <w:rFonts w:ascii="Times New Roman" w:eastAsia="Times New Roman"/>
                <w:w w:val="105"/>
                <w:position w:val="1"/>
                <w:sz w:val="13"/>
              </w:rPr>
              <w:t>j</w:t>
            </w:r>
          </w:p>
        </w:tc>
        <w:tc>
          <w:tcPr>
            <w:tcW w:w="1294" w:type="dxa"/>
          </w:tcPr>
          <w:p>
            <w:pPr>
              <w:pStyle w:val="14"/>
              <w:spacing w:before="19"/>
              <w:ind w:left="310" w:right="300"/>
              <w:rPr>
                <w:sz w:val="21"/>
              </w:rPr>
            </w:pPr>
            <w:r>
              <w:rPr>
                <w:sz w:val="21"/>
              </w:rPr>
              <w:t>实测值</w:t>
            </w:r>
          </w:p>
        </w:tc>
        <w:tc>
          <w:tcPr>
            <w:tcW w:w="1299" w:type="dxa"/>
          </w:tcPr>
          <w:p>
            <w:pPr>
              <w:pStyle w:val="14"/>
              <w:spacing w:before="34"/>
              <w:ind w:left="314" w:right="301"/>
              <w:rPr>
                <w:rFonts w:ascii="Times New Roman" w:eastAsia="Times New Roman"/>
                <w:sz w:val="13"/>
              </w:rPr>
            </w:pPr>
            <w:r>
              <w:rPr>
                <w:rFonts w:ascii="Times New Roman" w:eastAsia="Times New Roman"/>
                <w:spacing w:val="-2"/>
                <w:w w:val="99"/>
                <w:position w:val="3"/>
                <w:sz w:val="21"/>
              </w:rPr>
              <w:t>P</w:t>
            </w:r>
            <w:r>
              <w:rPr>
                <w:rFonts w:ascii="Times New Roman" w:eastAsia="Times New Roman"/>
                <w:w w:val="105"/>
                <w:position w:val="1"/>
                <w:sz w:val="13"/>
              </w:rPr>
              <w:t>i</w:t>
            </w:r>
            <w:r>
              <w:rPr>
                <w:spacing w:val="-1"/>
                <w:w w:val="106"/>
                <w:sz w:val="10"/>
              </w:rPr>
              <w:t>，</w:t>
            </w:r>
            <w:r>
              <w:rPr>
                <w:rFonts w:ascii="Times New Roman" w:eastAsia="Times New Roman"/>
                <w:w w:val="105"/>
                <w:position w:val="1"/>
                <w:sz w:val="13"/>
              </w:rPr>
              <w:t>j</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575" w:type="dxa"/>
          </w:tcPr>
          <w:p>
            <w:pPr>
              <w:pStyle w:val="14"/>
              <w:spacing w:before="21"/>
              <w:ind w:left="133"/>
              <w:jc w:val="left"/>
              <w:rPr>
                <w:sz w:val="21"/>
              </w:rPr>
            </w:pPr>
            <w:r>
              <w:rPr>
                <w:rFonts w:ascii="Times New Roman" w:eastAsia="Times New Roman"/>
                <w:sz w:val="21"/>
              </w:rPr>
              <w:t>pH</w:t>
            </w:r>
            <w:r>
              <w:rPr>
                <w:sz w:val="21"/>
              </w:rPr>
              <w:t>（无量纲）</w:t>
            </w:r>
          </w:p>
        </w:tc>
        <w:tc>
          <w:tcPr>
            <w:tcW w:w="1294" w:type="dxa"/>
          </w:tcPr>
          <w:p>
            <w:pPr>
              <w:pStyle w:val="14"/>
              <w:spacing w:before="37"/>
              <w:ind w:left="310" w:right="301"/>
              <w:rPr>
                <w:rFonts w:ascii="Times New Roman"/>
                <w:sz w:val="21"/>
              </w:rPr>
            </w:pPr>
            <w:bookmarkStart w:id="629" w:name="7.35"/>
            <w:bookmarkEnd w:id="629"/>
            <w:r>
              <w:rPr>
                <w:rFonts w:ascii="Times New Roman"/>
                <w:sz w:val="21"/>
              </w:rPr>
              <w:t>7.35</w:t>
            </w:r>
          </w:p>
        </w:tc>
        <w:tc>
          <w:tcPr>
            <w:tcW w:w="1294" w:type="dxa"/>
          </w:tcPr>
          <w:p>
            <w:pPr>
              <w:pStyle w:val="14"/>
              <w:spacing w:before="35"/>
              <w:ind w:left="310" w:right="299"/>
              <w:rPr>
                <w:rFonts w:ascii="Times New Roman"/>
                <w:sz w:val="21"/>
              </w:rPr>
            </w:pPr>
            <w:r>
              <w:rPr>
                <w:rFonts w:ascii="Times New Roman"/>
                <w:sz w:val="21"/>
              </w:rPr>
              <w:t>0.18</w:t>
            </w:r>
          </w:p>
        </w:tc>
        <w:tc>
          <w:tcPr>
            <w:tcW w:w="1294" w:type="dxa"/>
          </w:tcPr>
          <w:p>
            <w:pPr>
              <w:pStyle w:val="14"/>
              <w:spacing w:before="37"/>
              <w:ind w:left="310" w:right="300"/>
              <w:rPr>
                <w:rFonts w:ascii="Times New Roman"/>
                <w:sz w:val="21"/>
              </w:rPr>
            </w:pPr>
            <w:bookmarkStart w:id="630" w:name="7.32"/>
            <w:bookmarkEnd w:id="630"/>
            <w:r>
              <w:rPr>
                <w:rFonts w:ascii="Times New Roman"/>
                <w:sz w:val="21"/>
              </w:rPr>
              <w:t>7.32</w:t>
            </w:r>
          </w:p>
        </w:tc>
        <w:tc>
          <w:tcPr>
            <w:tcW w:w="1294" w:type="dxa"/>
          </w:tcPr>
          <w:p>
            <w:pPr>
              <w:pStyle w:val="14"/>
              <w:spacing w:before="35"/>
              <w:ind w:left="310" w:right="301"/>
              <w:rPr>
                <w:rFonts w:ascii="Times New Roman"/>
                <w:sz w:val="21"/>
              </w:rPr>
            </w:pPr>
            <w:r>
              <w:rPr>
                <w:rFonts w:ascii="Times New Roman"/>
                <w:sz w:val="21"/>
              </w:rPr>
              <w:t>0.16</w:t>
            </w:r>
          </w:p>
        </w:tc>
        <w:tc>
          <w:tcPr>
            <w:tcW w:w="1294" w:type="dxa"/>
          </w:tcPr>
          <w:p>
            <w:pPr>
              <w:pStyle w:val="14"/>
              <w:spacing w:before="37"/>
              <w:ind w:left="310" w:right="302"/>
              <w:rPr>
                <w:rFonts w:ascii="Times New Roman"/>
                <w:sz w:val="21"/>
              </w:rPr>
            </w:pPr>
            <w:bookmarkStart w:id="631" w:name="7.29"/>
            <w:bookmarkEnd w:id="631"/>
            <w:r>
              <w:rPr>
                <w:rFonts w:ascii="Times New Roman"/>
                <w:sz w:val="21"/>
              </w:rPr>
              <w:t>7.29</w:t>
            </w:r>
          </w:p>
        </w:tc>
        <w:tc>
          <w:tcPr>
            <w:tcW w:w="1299" w:type="dxa"/>
          </w:tcPr>
          <w:p>
            <w:pPr>
              <w:pStyle w:val="14"/>
              <w:spacing w:before="35"/>
              <w:ind w:left="314" w:right="302"/>
              <w:rPr>
                <w:rFonts w:ascii="Times New Roman"/>
                <w:sz w:val="21"/>
              </w:rPr>
            </w:pPr>
            <w:r>
              <w:rPr>
                <w:rFonts w:ascii="Times New Roman"/>
                <w:sz w:val="21"/>
              </w:rPr>
              <w:t>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20"/>
              <w:ind w:left="128"/>
              <w:jc w:val="left"/>
              <w:rPr>
                <w:sz w:val="21"/>
              </w:rPr>
            </w:pPr>
            <w:r>
              <w:rPr>
                <w:rFonts w:ascii="Times New Roman" w:eastAsia="Times New Roman"/>
                <w:sz w:val="21"/>
              </w:rPr>
              <w:t>COD</w:t>
            </w:r>
            <w:r>
              <w:rPr>
                <w:sz w:val="21"/>
              </w:rPr>
              <w:t>（</w:t>
            </w:r>
            <w:r>
              <w:rPr>
                <w:rFonts w:ascii="Times New Roman" w:eastAsia="Times New Roman"/>
                <w:sz w:val="21"/>
              </w:rPr>
              <w:t>mg/L</w:t>
            </w:r>
            <w:r>
              <w:rPr>
                <w:sz w:val="21"/>
              </w:rPr>
              <w:t>）</w:t>
            </w:r>
          </w:p>
        </w:tc>
        <w:tc>
          <w:tcPr>
            <w:tcW w:w="1294" w:type="dxa"/>
          </w:tcPr>
          <w:p>
            <w:pPr>
              <w:pStyle w:val="14"/>
              <w:spacing w:before="37"/>
              <w:ind w:left="309" w:right="302"/>
              <w:rPr>
                <w:rFonts w:ascii="Times New Roman"/>
                <w:sz w:val="21"/>
              </w:rPr>
            </w:pPr>
            <w:bookmarkStart w:id="632" w:name="47"/>
            <w:bookmarkEnd w:id="632"/>
            <w:r>
              <w:rPr>
                <w:rFonts w:ascii="Times New Roman"/>
                <w:sz w:val="21"/>
              </w:rPr>
              <w:t>47</w:t>
            </w:r>
          </w:p>
        </w:tc>
        <w:tc>
          <w:tcPr>
            <w:tcW w:w="1294" w:type="dxa"/>
          </w:tcPr>
          <w:p>
            <w:pPr>
              <w:pStyle w:val="14"/>
              <w:spacing w:before="34"/>
              <w:ind w:left="310" w:right="299"/>
              <w:rPr>
                <w:rFonts w:ascii="Times New Roman"/>
                <w:sz w:val="21"/>
              </w:rPr>
            </w:pPr>
            <w:r>
              <w:rPr>
                <w:rFonts w:ascii="Times New Roman"/>
                <w:sz w:val="21"/>
              </w:rPr>
              <w:t>2.35</w:t>
            </w:r>
          </w:p>
        </w:tc>
        <w:tc>
          <w:tcPr>
            <w:tcW w:w="1294" w:type="dxa"/>
          </w:tcPr>
          <w:p>
            <w:pPr>
              <w:pStyle w:val="14"/>
              <w:spacing w:before="37"/>
              <w:ind w:left="310" w:right="300"/>
              <w:rPr>
                <w:rFonts w:ascii="Times New Roman"/>
                <w:sz w:val="21"/>
              </w:rPr>
            </w:pPr>
            <w:bookmarkStart w:id="633" w:name="48"/>
            <w:bookmarkEnd w:id="633"/>
            <w:r>
              <w:rPr>
                <w:rFonts w:ascii="Times New Roman"/>
                <w:sz w:val="21"/>
              </w:rPr>
              <w:t>48</w:t>
            </w:r>
          </w:p>
        </w:tc>
        <w:tc>
          <w:tcPr>
            <w:tcW w:w="1294" w:type="dxa"/>
          </w:tcPr>
          <w:p>
            <w:pPr>
              <w:pStyle w:val="14"/>
              <w:spacing w:before="34"/>
              <w:ind w:left="310" w:right="301"/>
              <w:rPr>
                <w:rFonts w:ascii="Times New Roman"/>
                <w:sz w:val="21"/>
              </w:rPr>
            </w:pPr>
            <w:r>
              <w:rPr>
                <w:rFonts w:ascii="Times New Roman"/>
                <w:sz w:val="21"/>
              </w:rPr>
              <w:t>2.40</w:t>
            </w:r>
          </w:p>
        </w:tc>
        <w:tc>
          <w:tcPr>
            <w:tcW w:w="1294" w:type="dxa"/>
          </w:tcPr>
          <w:p>
            <w:pPr>
              <w:pStyle w:val="14"/>
              <w:spacing w:before="37"/>
              <w:ind w:left="310" w:right="302"/>
              <w:rPr>
                <w:rFonts w:ascii="Times New Roman"/>
                <w:sz w:val="21"/>
              </w:rPr>
            </w:pPr>
            <w:bookmarkStart w:id="634" w:name="42"/>
            <w:bookmarkEnd w:id="634"/>
            <w:r>
              <w:rPr>
                <w:rFonts w:ascii="Times New Roman"/>
                <w:sz w:val="21"/>
              </w:rPr>
              <w:t>42</w:t>
            </w:r>
          </w:p>
        </w:tc>
        <w:tc>
          <w:tcPr>
            <w:tcW w:w="1299" w:type="dxa"/>
          </w:tcPr>
          <w:p>
            <w:pPr>
              <w:pStyle w:val="14"/>
              <w:spacing w:before="34"/>
              <w:ind w:left="314" w:right="302"/>
              <w:rPr>
                <w:rFonts w:ascii="Times New Roman"/>
                <w:sz w:val="21"/>
              </w:rPr>
            </w:pPr>
            <w:r>
              <w:rPr>
                <w:rFonts w:ascii="Times New Roman"/>
                <w:sz w:val="21"/>
              </w:rPr>
              <w:t>2.10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575" w:type="dxa"/>
          </w:tcPr>
          <w:p>
            <w:pPr>
              <w:pStyle w:val="14"/>
              <w:spacing w:before="20"/>
              <w:ind w:left="106" w:right="-15"/>
              <w:jc w:val="left"/>
              <w:rPr>
                <w:sz w:val="21"/>
              </w:rPr>
            </w:pPr>
            <w:r>
              <w:rPr>
                <w:spacing w:val="-13"/>
                <w:sz w:val="21"/>
              </w:rPr>
              <w:t>石油类</w:t>
            </w:r>
            <w:r>
              <w:rPr>
                <w:sz w:val="21"/>
              </w:rPr>
              <w:t>（</w:t>
            </w:r>
            <w:r>
              <w:rPr>
                <w:rFonts w:ascii="Times New Roman" w:eastAsia="Times New Roman"/>
                <w:sz w:val="21"/>
              </w:rPr>
              <w:t>mg/L</w:t>
            </w:r>
            <w:r>
              <w:rPr>
                <w:sz w:val="21"/>
              </w:rPr>
              <w:t>）</w:t>
            </w:r>
          </w:p>
        </w:tc>
        <w:tc>
          <w:tcPr>
            <w:tcW w:w="1294" w:type="dxa"/>
          </w:tcPr>
          <w:p>
            <w:pPr>
              <w:pStyle w:val="14"/>
              <w:spacing w:before="39"/>
              <w:ind w:left="310" w:right="299"/>
              <w:rPr>
                <w:rFonts w:ascii="Times New Roman"/>
                <w:sz w:val="21"/>
              </w:rPr>
            </w:pPr>
            <w:bookmarkStart w:id="635" w:name="0.01L"/>
            <w:bookmarkEnd w:id="635"/>
            <w:r>
              <w:rPr>
                <w:rFonts w:ascii="Times New Roman"/>
                <w:sz w:val="21"/>
              </w:rPr>
              <w:t>0.01L</w:t>
            </w:r>
          </w:p>
        </w:tc>
        <w:tc>
          <w:tcPr>
            <w:tcW w:w="1294" w:type="dxa"/>
          </w:tcPr>
          <w:p>
            <w:pPr>
              <w:pStyle w:val="14"/>
              <w:spacing w:before="20"/>
              <w:ind w:left="309" w:right="302"/>
              <w:rPr>
                <w:sz w:val="21"/>
              </w:rPr>
            </w:pPr>
            <w:r>
              <w:rPr>
                <w:sz w:val="21"/>
              </w:rPr>
              <w:t>未检出</w:t>
            </w:r>
          </w:p>
        </w:tc>
        <w:tc>
          <w:tcPr>
            <w:tcW w:w="1294" w:type="dxa"/>
          </w:tcPr>
          <w:p>
            <w:pPr>
              <w:pStyle w:val="14"/>
              <w:spacing w:before="39"/>
              <w:ind w:left="310" w:right="301"/>
              <w:rPr>
                <w:rFonts w:ascii="Times New Roman"/>
                <w:sz w:val="21"/>
              </w:rPr>
            </w:pPr>
            <w:bookmarkStart w:id="636" w:name="0.01L"/>
            <w:bookmarkEnd w:id="636"/>
            <w:r>
              <w:rPr>
                <w:rFonts w:ascii="Times New Roman"/>
                <w:sz w:val="21"/>
              </w:rPr>
              <w:t>0.01L</w:t>
            </w:r>
          </w:p>
        </w:tc>
        <w:tc>
          <w:tcPr>
            <w:tcW w:w="1294" w:type="dxa"/>
          </w:tcPr>
          <w:p>
            <w:pPr>
              <w:pStyle w:val="14"/>
              <w:spacing w:before="20"/>
              <w:ind w:left="308" w:right="302"/>
              <w:rPr>
                <w:sz w:val="21"/>
              </w:rPr>
            </w:pPr>
            <w:r>
              <w:rPr>
                <w:sz w:val="21"/>
              </w:rPr>
              <w:t>未检出</w:t>
            </w:r>
          </w:p>
        </w:tc>
        <w:tc>
          <w:tcPr>
            <w:tcW w:w="1294" w:type="dxa"/>
          </w:tcPr>
          <w:p>
            <w:pPr>
              <w:pStyle w:val="14"/>
              <w:spacing w:before="39"/>
              <w:ind w:left="310" w:right="300"/>
              <w:rPr>
                <w:rFonts w:ascii="Times New Roman"/>
                <w:sz w:val="21"/>
              </w:rPr>
            </w:pPr>
            <w:bookmarkStart w:id="637" w:name="0.01L"/>
            <w:bookmarkEnd w:id="637"/>
            <w:r>
              <w:rPr>
                <w:rFonts w:ascii="Times New Roman"/>
                <w:sz w:val="21"/>
              </w:rPr>
              <w:t>0.01L</w:t>
            </w:r>
          </w:p>
        </w:tc>
        <w:tc>
          <w:tcPr>
            <w:tcW w:w="1299" w:type="dxa"/>
          </w:tcPr>
          <w:p>
            <w:pPr>
              <w:pStyle w:val="14"/>
              <w:spacing w:before="20"/>
              <w:ind w:left="314" w:right="305"/>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20"/>
              <w:ind w:left="140"/>
              <w:jc w:val="left"/>
              <w:rPr>
                <w:sz w:val="21"/>
              </w:rPr>
            </w:pPr>
            <w:r>
              <w:rPr>
                <w:sz w:val="21"/>
              </w:rPr>
              <w:t>总铁（</w:t>
            </w:r>
            <w:r>
              <w:rPr>
                <w:rFonts w:ascii="Times New Roman" w:eastAsia="Times New Roman"/>
                <w:sz w:val="21"/>
              </w:rPr>
              <w:t>mg/L</w:t>
            </w:r>
            <w:r>
              <w:rPr>
                <w:sz w:val="21"/>
              </w:rPr>
              <w:t>）</w:t>
            </w:r>
          </w:p>
        </w:tc>
        <w:tc>
          <w:tcPr>
            <w:tcW w:w="1294" w:type="dxa"/>
          </w:tcPr>
          <w:p>
            <w:pPr>
              <w:pStyle w:val="14"/>
              <w:spacing w:before="38"/>
              <w:ind w:left="310" w:right="301"/>
              <w:rPr>
                <w:rFonts w:ascii="Times New Roman"/>
                <w:sz w:val="21"/>
              </w:rPr>
            </w:pPr>
            <w:bookmarkStart w:id="638" w:name="0.41"/>
            <w:bookmarkEnd w:id="638"/>
            <w:r>
              <w:rPr>
                <w:rFonts w:ascii="Times New Roman"/>
                <w:sz w:val="21"/>
              </w:rPr>
              <w:t>0.41</w:t>
            </w:r>
          </w:p>
        </w:tc>
        <w:tc>
          <w:tcPr>
            <w:tcW w:w="1294" w:type="dxa"/>
          </w:tcPr>
          <w:p>
            <w:pPr>
              <w:pStyle w:val="14"/>
              <w:spacing w:before="34"/>
              <w:ind w:left="310" w:right="299"/>
              <w:rPr>
                <w:rFonts w:ascii="Times New Roman"/>
                <w:sz w:val="21"/>
              </w:rPr>
            </w:pPr>
            <w:r>
              <w:rPr>
                <w:rFonts w:ascii="Times New Roman"/>
                <w:sz w:val="21"/>
              </w:rPr>
              <w:t>1.37</w:t>
            </w:r>
          </w:p>
        </w:tc>
        <w:tc>
          <w:tcPr>
            <w:tcW w:w="1294" w:type="dxa"/>
          </w:tcPr>
          <w:p>
            <w:pPr>
              <w:pStyle w:val="14"/>
              <w:spacing w:before="38"/>
              <w:ind w:left="310" w:right="300"/>
              <w:rPr>
                <w:rFonts w:ascii="Times New Roman"/>
                <w:sz w:val="21"/>
              </w:rPr>
            </w:pPr>
            <w:bookmarkStart w:id="639" w:name="0.40"/>
            <w:bookmarkEnd w:id="639"/>
            <w:r>
              <w:rPr>
                <w:rFonts w:ascii="Times New Roman"/>
                <w:sz w:val="21"/>
              </w:rPr>
              <w:t>0.40</w:t>
            </w:r>
          </w:p>
        </w:tc>
        <w:tc>
          <w:tcPr>
            <w:tcW w:w="1294" w:type="dxa"/>
          </w:tcPr>
          <w:p>
            <w:pPr>
              <w:pStyle w:val="14"/>
              <w:spacing w:before="34"/>
              <w:ind w:left="310" w:right="301"/>
              <w:rPr>
                <w:rFonts w:ascii="Times New Roman"/>
                <w:sz w:val="21"/>
              </w:rPr>
            </w:pPr>
            <w:r>
              <w:rPr>
                <w:rFonts w:ascii="Times New Roman"/>
                <w:sz w:val="21"/>
              </w:rPr>
              <w:t>1.33</w:t>
            </w:r>
          </w:p>
        </w:tc>
        <w:tc>
          <w:tcPr>
            <w:tcW w:w="1294" w:type="dxa"/>
          </w:tcPr>
          <w:p>
            <w:pPr>
              <w:pStyle w:val="14"/>
              <w:spacing w:before="38"/>
              <w:ind w:left="310" w:right="302"/>
              <w:rPr>
                <w:rFonts w:ascii="Times New Roman"/>
                <w:sz w:val="21"/>
              </w:rPr>
            </w:pPr>
            <w:bookmarkStart w:id="640" w:name="0.39"/>
            <w:bookmarkEnd w:id="640"/>
            <w:r>
              <w:rPr>
                <w:rFonts w:ascii="Times New Roman"/>
                <w:sz w:val="21"/>
              </w:rPr>
              <w:t>0.39</w:t>
            </w:r>
          </w:p>
        </w:tc>
        <w:tc>
          <w:tcPr>
            <w:tcW w:w="1299" w:type="dxa"/>
          </w:tcPr>
          <w:p>
            <w:pPr>
              <w:pStyle w:val="14"/>
              <w:spacing w:before="34"/>
              <w:ind w:left="314" w:right="302"/>
              <w:rPr>
                <w:rFonts w:ascii="Times New Roman"/>
                <w:sz w:val="21"/>
              </w:rPr>
            </w:pPr>
            <w:r>
              <w:rPr>
                <w:rFonts w:ascii="Times New Roman"/>
                <w:sz w:val="21"/>
              </w:rPr>
              <w:t>1.30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575" w:type="dxa"/>
          </w:tcPr>
          <w:p>
            <w:pPr>
              <w:pStyle w:val="14"/>
              <w:spacing w:before="19"/>
              <w:ind w:left="140"/>
              <w:jc w:val="left"/>
              <w:rPr>
                <w:sz w:val="21"/>
              </w:rPr>
            </w:pPr>
            <w:r>
              <w:rPr>
                <w:sz w:val="21"/>
              </w:rPr>
              <w:t>总锰（</w:t>
            </w:r>
            <w:r>
              <w:rPr>
                <w:rFonts w:ascii="Times New Roman" w:eastAsia="Times New Roman"/>
                <w:sz w:val="21"/>
              </w:rPr>
              <w:t>mg/L</w:t>
            </w:r>
            <w:r>
              <w:rPr>
                <w:sz w:val="21"/>
              </w:rPr>
              <w:t>）</w:t>
            </w:r>
          </w:p>
        </w:tc>
        <w:tc>
          <w:tcPr>
            <w:tcW w:w="1294" w:type="dxa"/>
          </w:tcPr>
          <w:p>
            <w:pPr>
              <w:pStyle w:val="14"/>
              <w:spacing w:before="38"/>
              <w:ind w:left="310" w:right="301"/>
              <w:rPr>
                <w:rFonts w:ascii="Times New Roman"/>
                <w:sz w:val="21"/>
              </w:rPr>
            </w:pPr>
            <w:bookmarkStart w:id="641" w:name="0.01"/>
            <w:bookmarkEnd w:id="641"/>
            <w:r>
              <w:rPr>
                <w:rFonts w:ascii="Times New Roman"/>
                <w:sz w:val="21"/>
              </w:rPr>
              <w:t>0.01</w:t>
            </w:r>
          </w:p>
        </w:tc>
        <w:tc>
          <w:tcPr>
            <w:tcW w:w="1294" w:type="dxa"/>
          </w:tcPr>
          <w:p>
            <w:pPr>
              <w:pStyle w:val="14"/>
              <w:spacing w:before="36"/>
              <w:ind w:left="310" w:right="299"/>
              <w:rPr>
                <w:rFonts w:ascii="Times New Roman"/>
                <w:sz w:val="21"/>
              </w:rPr>
            </w:pPr>
            <w:r>
              <w:rPr>
                <w:rFonts w:ascii="Times New Roman"/>
                <w:sz w:val="21"/>
              </w:rPr>
              <w:t>0.10</w:t>
            </w:r>
          </w:p>
        </w:tc>
        <w:tc>
          <w:tcPr>
            <w:tcW w:w="1294" w:type="dxa"/>
          </w:tcPr>
          <w:p>
            <w:pPr>
              <w:pStyle w:val="14"/>
              <w:spacing w:before="38"/>
              <w:ind w:left="310" w:right="300"/>
              <w:rPr>
                <w:rFonts w:ascii="Times New Roman"/>
                <w:sz w:val="21"/>
              </w:rPr>
            </w:pPr>
            <w:bookmarkStart w:id="642" w:name="0.01"/>
            <w:bookmarkEnd w:id="642"/>
            <w:r>
              <w:rPr>
                <w:rFonts w:ascii="Times New Roman"/>
                <w:sz w:val="21"/>
              </w:rPr>
              <w:t>0.01</w:t>
            </w:r>
          </w:p>
        </w:tc>
        <w:tc>
          <w:tcPr>
            <w:tcW w:w="1294" w:type="dxa"/>
          </w:tcPr>
          <w:p>
            <w:pPr>
              <w:pStyle w:val="14"/>
              <w:spacing w:before="36"/>
              <w:ind w:left="310" w:right="301"/>
              <w:rPr>
                <w:rFonts w:ascii="Times New Roman"/>
                <w:sz w:val="21"/>
              </w:rPr>
            </w:pPr>
            <w:r>
              <w:rPr>
                <w:rFonts w:ascii="Times New Roman"/>
                <w:sz w:val="21"/>
              </w:rPr>
              <w:t>0.10</w:t>
            </w:r>
          </w:p>
        </w:tc>
        <w:tc>
          <w:tcPr>
            <w:tcW w:w="1294" w:type="dxa"/>
          </w:tcPr>
          <w:p>
            <w:pPr>
              <w:pStyle w:val="14"/>
              <w:spacing w:before="38"/>
              <w:ind w:left="310" w:right="302"/>
              <w:rPr>
                <w:rFonts w:ascii="Times New Roman"/>
                <w:sz w:val="21"/>
              </w:rPr>
            </w:pPr>
            <w:bookmarkStart w:id="643" w:name="0.01"/>
            <w:bookmarkEnd w:id="643"/>
            <w:r>
              <w:rPr>
                <w:rFonts w:ascii="Times New Roman"/>
                <w:sz w:val="21"/>
              </w:rPr>
              <w:t>0.01</w:t>
            </w:r>
          </w:p>
        </w:tc>
        <w:tc>
          <w:tcPr>
            <w:tcW w:w="1299" w:type="dxa"/>
          </w:tcPr>
          <w:p>
            <w:pPr>
              <w:pStyle w:val="14"/>
              <w:spacing w:before="36"/>
              <w:ind w:left="314" w:right="302"/>
              <w:rPr>
                <w:rFonts w:ascii="Times New Roman"/>
                <w:sz w:val="21"/>
              </w:rPr>
            </w:pPr>
            <w:r>
              <w:rPr>
                <w:rFonts w:ascii="Times New Roman"/>
                <w:sz w:val="21"/>
              </w:rPr>
              <w: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19"/>
              <w:ind w:left="166"/>
              <w:jc w:val="left"/>
              <w:rPr>
                <w:sz w:val="21"/>
              </w:rPr>
            </w:pPr>
            <w:r>
              <w:rPr>
                <w:sz w:val="21"/>
              </w:rPr>
              <w:t>总汞（</w:t>
            </w:r>
            <w:r>
              <w:rPr>
                <w:rFonts w:ascii="Times New Roman" w:hAnsi="Times New Roman" w:eastAsia="Times New Roman"/>
                <w:sz w:val="21"/>
              </w:rPr>
              <w:t>μg/L</w:t>
            </w:r>
            <w:r>
              <w:rPr>
                <w:sz w:val="21"/>
              </w:rPr>
              <w:t>）</w:t>
            </w:r>
          </w:p>
        </w:tc>
        <w:tc>
          <w:tcPr>
            <w:tcW w:w="1294" w:type="dxa"/>
          </w:tcPr>
          <w:p>
            <w:pPr>
              <w:pStyle w:val="14"/>
              <w:spacing w:before="38"/>
              <w:ind w:left="310" w:right="299"/>
              <w:rPr>
                <w:rFonts w:ascii="Times New Roman"/>
                <w:sz w:val="21"/>
              </w:rPr>
            </w:pPr>
            <w:bookmarkStart w:id="644" w:name="0.04L"/>
            <w:bookmarkEnd w:id="644"/>
            <w:r>
              <w:rPr>
                <w:rFonts w:ascii="Times New Roman"/>
                <w:sz w:val="21"/>
              </w:rPr>
              <w:t>0.04L</w:t>
            </w:r>
          </w:p>
        </w:tc>
        <w:tc>
          <w:tcPr>
            <w:tcW w:w="1294" w:type="dxa"/>
          </w:tcPr>
          <w:p>
            <w:pPr>
              <w:pStyle w:val="14"/>
              <w:spacing w:before="19"/>
              <w:ind w:left="309" w:right="302"/>
              <w:rPr>
                <w:sz w:val="21"/>
              </w:rPr>
            </w:pPr>
            <w:r>
              <w:rPr>
                <w:sz w:val="21"/>
              </w:rPr>
              <w:t>未检出</w:t>
            </w:r>
          </w:p>
        </w:tc>
        <w:tc>
          <w:tcPr>
            <w:tcW w:w="1294" w:type="dxa"/>
          </w:tcPr>
          <w:p>
            <w:pPr>
              <w:pStyle w:val="14"/>
              <w:spacing w:before="38"/>
              <w:ind w:left="310" w:right="301"/>
              <w:rPr>
                <w:rFonts w:ascii="Times New Roman"/>
                <w:sz w:val="21"/>
              </w:rPr>
            </w:pPr>
            <w:bookmarkStart w:id="645" w:name="0.04L"/>
            <w:bookmarkEnd w:id="645"/>
            <w:r>
              <w:rPr>
                <w:rFonts w:ascii="Times New Roman"/>
                <w:sz w:val="21"/>
              </w:rPr>
              <w:t>0.04L</w:t>
            </w:r>
          </w:p>
        </w:tc>
        <w:tc>
          <w:tcPr>
            <w:tcW w:w="1294" w:type="dxa"/>
          </w:tcPr>
          <w:p>
            <w:pPr>
              <w:pStyle w:val="14"/>
              <w:spacing w:before="19"/>
              <w:ind w:left="308" w:right="302"/>
              <w:rPr>
                <w:sz w:val="21"/>
              </w:rPr>
            </w:pPr>
            <w:r>
              <w:rPr>
                <w:sz w:val="21"/>
              </w:rPr>
              <w:t>未检出</w:t>
            </w:r>
          </w:p>
        </w:tc>
        <w:tc>
          <w:tcPr>
            <w:tcW w:w="1294" w:type="dxa"/>
          </w:tcPr>
          <w:p>
            <w:pPr>
              <w:pStyle w:val="14"/>
              <w:spacing w:before="38"/>
              <w:ind w:left="310" w:right="300"/>
              <w:rPr>
                <w:rFonts w:ascii="Times New Roman"/>
                <w:sz w:val="21"/>
              </w:rPr>
            </w:pPr>
            <w:bookmarkStart w:id="646" w:name="0.04L"/>
            <w:bookmarkEnd w:id="646"/>
            <w:r>
              <w:rPr>
                <w:rFonts w:ascii="Times New Roman"/>
                <w:sz w:val="21"/>
              </w:rPr>
              <w:t>0.04L</w:t>
            </w:r>
          </w:p>
        </w:tc>
        <w:tc>
          <w:tcPr>
            <w:tcW w:w="1299" w:type="dxa"/>
          </w:tcPr>
          <w:p>
            <w:pPr>
              <w:pStyle w:val="14"/>
              <w:spacing w:before="19"/>
              <w:ind w:left="314" w:right="305"/>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21"/>
              <w:ind w:left="166"/>
              <w:jc w:val="left"/>
              <w:rPr>
                <w:sz w:val="21"/>
              </w:rPr>
            </w:pPr>
            <w:r>
              <w:rPr>
                <w:sz w:val="21"/>
              </w:rPr>
              <w:t>总镉（</w:t>
            </w:r>
            <w:r>
              <w:rPr>
                <w:rFonts w:ascii="Times New Roman" w:hAnsi="Times New Roman" w:eastAsia="Times New Roman"/>
                <w:sz w:val="21"/>
              </w:rPr>
              <w:t>μg/L</w:t>
            </w:r>
            <w:r>
              <w:rPr>
                <w:sz w:val="21"/>
              </w:rPr>
              <w:t>）</w:t>
            </w:r>
          </w:p>
        </w:tc>
        <w:tc>
          <w:tcPr>
            <w:tcW w:w="1294" w:type="dxa"/>
          </w:tcPr>
          <w:p>
            <w:pPr>
              <w:pStyle w:val="14"/>
              <w:spacing w:before="37"/>
              <w:ind w:left="310" w:right="299"/>
              <w:rPr>
                <w:rFonts w:ascii="Times New Roman"/>
                <w:sz w:val="21"/>
              </w:rPr>
            </w:pPr>
            <w:bookmarkStart w:id="647" w:name="0.1L"/>
            <w:bookmarkEnd w:id="647"/>
            <w:r>
              <w:rPr>
                <w:rFonts w:ascii="Times New Roman"/>
                <w:sz w:val="21"/>
              </w:rPr>
              <w:t>0.1L</w:t>
            </w:r>
          </w:p>
        </w:tc>
        <w:tc>
          <w:tcPr>
            <w:tcW w:w="1294" w:type="dxa"/>
          </w:tcPr>
          <w:p>
            <w:pPr>
              <w:pStyle w:val="14"/>
              <w:spacing w:before="21"/>
              <w:ind w:left="309" w:right="302"/>
              <w:rPr>
                <w:sz w:val="21"/>
              </w:rPr>
            </w:pPr>
            <w:r>
              <w:rPr>
                <w:sz w:val="21"/>
              </w:rPr>
              <w:t>未检出</w:t>
            </w:r>
          </w:p>
        </w:tc>
        <w:tc>
          <w:tcPr>
            <w:tcW w:w="1294" w:type="dxa"/>
          </w:tcPr>
          <w:p>
            <w:pPr>
              <w:pStyle w:val="14"/>
              <w:spacing w:before="37"/>
              <w:ind w:left="310" w:right="301"/>
              <w:rPr>
                <w:rFonts w:ascii="Times New Roman"/>
                <w:sz w:val="21"/>
              </w:rPr>
            </w:pPr>
            <w:bookmarkStart w:id="648" w:name="0.1L"/>
            <w:bookmarkEnd w:id="648"/>
            <w:r>
              <w:rPr>
                <w:rFonts w:ascii="Times New Roman"/>
                <w:sz w:val="21"/>
              </w:rPr>
              <w:t>0.1L</w:t>
            </w:r>
          </w:p>
        </w:tc>
        <w:tc>
          <w:tcPr>
            <w:tcW w:w="1294" w:type="dxa"/>
          </w:tcPr>
          <w:p>
            <w:pPr>
              <w:pStyle w:val="14"/>
              <w:spacing w:before="21"/>
              <w:ind w:left="308" w:right="302"/>
              <w:rPr>
                <w:sz w:val="21"/>
              </w:rPr>
            </w:pPr>
            <w:r>
              <w:rPr>
                <w:sz w:val="21"/>
              </w:rPr>
              <w:t>未检出</w:t>
            </w:r>
          </w:p>
        </w:tc>
        <w:tc>
          <w:tcPr>
            <w:tcW w:w="1294" w:type="dxa"/>
          </w:tcPr>
          <w:p>
            <w:pPr>
              <w:pStyle w:val="14"/>
              <w:spacing w:before="37"/>
              <w:ind w:left="310" w:right="298"/>
              <w:rPr>
                <w:rFonts w:ascii="Times New Roman"/>
                <w:sz w:val="21"/>
              </w:rPr>
            </w:pPr>
            <w:bookmarkStart w:id="649" w:name="0.1L"/>
            <w:bookmarkEnd w:id="649"/>
            <w:r>
              <w:rPr>
                <w:rFonts w:ascii="Times New Roman"/>
                <w:sz w:val="21"/>
              </w:rPr>
              <w:t>0.1L</w:t>
            </w:r>
          </w:p>
        </w:tc>
        <w:tc>
          <w:tcPr>
            <w:tcW w:w="1299" w:type="dxa"/>
          </w:tcPr>
          <w:p>
            <w:pPr>
              <w:pStyle w:val="14"/>
              <w:spacing w:before="21"/>
              <w:ind w:left="314" w:right="305"/>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575" w:type="dxa"/>
          </w:tcPr>
          <w:p>
            <w:pPr>
              <w:pStyle w:val="14"/>
              <w:spacing w:before="20"/>
              <w:ind w:left="140"/>
              <w:jc w:val="left"/>
              <w:rPr>
                <w:sz w:val="21"/>
              </w:rPr>
            </w:pPr>
            <w:r>
              <w:rPr>
                <w:sz w:val="21"/>
              </w:rPr>
              <w:t>总铬（</w:t>
            </w:r>
            <w:r>
              <w:rPr>
                <w:rFonts w:ascii="Times New Roman" w:eastAsia="Times New Roman"/>
                <w:sz w:val="21"/>
              </w:rPr>
              <w:t>mg/L</w:t>
            </w:r>
            <w:r>
              <w:rPr>
                <w:sz w:val="21"/>
              </w:rPr>
              <w:t>）</w:t>
            </w:r>
          </w:p>
        </w:tc>
        <w:tc>
          <w:tcPr>
            <w:tcW w:w="1294" w:type="dxa"/>
          </w:tcPr>
          <w:p>
            <w:pPr>
              <w:pStyle w:val="14"/>
              <w:spacing w:before="37"/>
              <w:ind w:left="310" w:right="299"/>
              <w:rPr>
                <w:rFonts w:ascii="Times New Roman"/>
                <w:sz w:val="21"/>
              </w:rPr>
            </w:pPr>
            <w:bookmarkStart w:id="650" w:name="0.03L"/>
            <w:bookmarkEnd w:id="650"/>
            <w:r>
              <w:rPr>
                <w:rFonts w:ascii="Times New Roman"/>
                <w:sz w:val="21"/>
              </w:rPr>
              <w:t>0.03L</w:t>
            </w:r>
          </w:p>
        </w:tc>
        <w:tc>
          <w:tcPr>
            <w:tcW w:w="1294" w:type="dxa"/>
          </w:tcPr>
          <w:p>
            <w:pPr>
              <w:pStyle w:val="14"/>
              <w:spacing w:before="20"/>
              <w:ind w:left="309" w:right="302"/>
              <w:rPr>
                <w:sz w:val="21"/>
              </w:rPr>
            </w:pPr>
            <w:r>
              <w:rPr>
                <w:sz w:val="21"/>
              </w:rPr>
              <w:t>未检出</w:t>
            </w:r>
          </w:p>
        </w:tc>
        <w:tc>
          <w:tcPr>
            <w:tcW w:w="1294" w:type="dxa"/>
          </w:tcPr>
          <w:p>
            <w:pPr>
              <w:pStyle w:val="14"/>
              <w:spacing w:before="37"/>
              <w:ind w:left="310" w:right="301"/>
              <w:rPr>
                <w:rFonts w:ascii="Times New Roman"/>
                <w:sz w:val="21"/>
              </w:rPr>
            </w:pPr>
            <w:bookmarkStart w:id="651" w:name="0.03L"/>
            <w:bookmarkEnd w:id="651"/>
            <w:r>
              <w:rPr>
                <w:rFonts w:ascii="Times New Roman"/>
                <w:sz w:val="21"/>
              </w:rPr>
              <w:t>0.03L</w:t>
            </w:r>
          </w:p>
        </w:tc>
        <w:tc>
          <w:tcPr>
            <w:tcW w:w="1294" w:type="dxa"/>
          </w:tcPr>
          <w:p>
            <w:pPr>
              <w:pStyle w:val="14"/>
              <w:spacing w:before="20"/>
              <w:ind w:left="308" w:right="302"/>
              <w:rPr>
                <w:sz w:val="21"/>
              </w:rPr>
            </w:pPr>
            <w:r>
              <w:rPr>
                <w:sz w:val="21"/>
              </w:rPr>
              <w:t>未检出</w:t>
            </w:r>
          </w:p>
        </w:tc>
        <w:tc>
          <w:tcPr>
            <w:tcW w:w="1294" w:type="dxa"/>
          </w:tcPr>
          <w:p>
            <w:pPr>
              <w:pStyle w:val="14"/>
              <w:spacing w:before="37"/>
              <w:ind w:left="310" w:right="300"/>
              <w:rPr>
                <w:rFonts w:ascii="Times New Roman"/>
                <w:sz w:val="21"/>
              </w:rPr>
            </w:pPr>
            <w:bookmarkStart w:id="652" w:name="0.03L"/>
            <w:bookmarkEnd w:id="652"/>
            <w:r>
              <w:rPr>
                <w:rFonts w:ascii="Times New Roman"/>
                <w:sz w:val="21"/>
              </w:rPr>
              <w:t>0.03L</w:t>
            </w:r>
          </w:p>
        </w:tc>
        <w:tc>
          <w:tcPr>
            <w:tcW w:w="1299" w:type="dxa"/>
          </w:tcPr>
          <w:p>
            <w:pPr>
              <w:pStyle w:val="14"/>
              <w:spacing w:before="20"/>
              <w:ind w:left="314" w:right="305"/>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20"/>
              <w:ind w:left="166"/>
              <w:jc w:val="left"/>
              <w:rPr>
                <w:sz w:val="21"/>
              </w:rPr>
            </w:pPr>
            <w:r>
              <w:rPr>
                <w:sz w:val="21"/>
              </w:rPr>
              <w:t>总铅（</w:t>
            </w:r>
            <w:r>
              <w:rPr>
                <w:rFonts w:ascii="Times New Roman" w:hAnsi="Times New Roman" w:eastAsia="Times New Roman"/>
                <w:sz w:val="21"/>
              </w:rPr>
              <w:t>μg/L</w:t>
            </w:r>
            <w:r>
              <w:rPr>
                <w:sz w:val="21"/>
              </w:rPr>
              <w:t>）</w:t>
            </w:r>
          </w:p>
        </w:tc>
        <w:tc>
          <w:tcPr>
            <w:tcW w:w="1294" w:type="dxa"/>
          </w:tcPr>
          <w:p>
            <w:pPr>
              <w:pStyle w:val="14"/>
              <w:spacing w:before="39"/>
              <w:ind w:left="310" w:right="299"/>
              <w:rPr>
                <w:rFonts w:ascii="Times New Roman"/>
                <w:sz w:val="21"/>
              </w:rPr>
            </w:pPr>
            <w:bookmarkStart w:id="653" w:name="10L"/>
            <w:bookmarkEnd w:id="653"/>
            <w:r>
              <w:rPr>
                <w:rFonts w:ascii="Times New Roman"/>
                <w:sz w:val="21"/>
              </w:rPr>
              <w:t>10L</w:t>
            </w:r>
          </w:p>
        </w:tc>
        <w:tc>
          <w:tcPr>
            <w:tcW w:w="1294" w:type="dxa"/>
          </w:tcPr>
          <w:p>
            <w:pPr>
              <w:pStyle w:val="14"/>
              <w:spacing w:before="20"/>
              <w:ind w:left="309" w:right="302"/>
              <w:rPr>
                <w:sz w:val="21"/>
              </w:rPr>
            </w:pPr>
            <w:r>
              <w:rPr>
                <w:sz w:val="21"/>
              </w:rPr>
              <w:t>未检出</w:t>
            </w:r>
          </w:p>
        </w:tc>
        <w:tc>
          <w:tcPr>
            <w:tcW w:w="1294" w:type="dxa"/>
          </w:tcPr>
          <w:p>
            <w:pPr>
              <w:pStyle w:val="14"/>
              <w:spacing w:before="39"/>
              <w:ind w:left="310" w:right="301"/>
              <w:rPr>
                <w:rFonts w:ascii="Times New Roman"/>
                <w:sz w:val="21"/>
              </w:rPr>
            </w:pPr>
            <w:bookmarkStart w:id="654" w:name="10L"/>
            <w:bookmarkEnd w:id="654"/>
            <w:r>
              <w:rPr>
                <w:rFonts w:ascii="Times New Roman"/>
                <w:sz w:val="21"/>
              </w:rPr>
              <w:t>10L</w:t>
            </w:r>
          </w:p>
        </w:tc>
        <w:tc>
          <w:tcPr>
            <w:tcW w:w="1294" w:type="dxa"/>
          </w:tcPr>
          <w:p>
            <w:pPr>
              <w:pStyle w:val="14"/>
              <w:spacing w:before="20"/>
              <w:ind w:left="308" w:right="302"/>
              <w:rPr>
                <w:sz w:val="21"/>
              </w:rPr>
            </w:pPr>
            <w:r>
              <w:rPr>
                <w:sz w:val="21"/>
              </w:rPr>
              <w:t>未检出</w:t>
            </w:r>
          </w:p>
        </w:tc>
        <w:tc>
          <w:tcPr>
            <w:tcW w:w="1294" w:type="dxa"/>
          </w:tcPr>
          <w:p>
            <w:pPr>
              <w:pStyle w:val="14"/>
              <w:spacing w:before="39"/>
              <w:ind w:left="310" w:right="302"/>
              <w:rPr>
                <w:rFonts w:ascii="Times New Roman"/>
                <w:sz w:val="21"/>
              </w:rPr>
            </w:pPr>
            <w:bookmarkStart w:id="655" w:name="10L"/>
            <w:bookmarkEnd w:id="655"/>
            <w:r>
              <w:rPr>
                <w:rFonts w:ascii="Times New Roman"/>
                <w:sz w:val="21"/>
              </w:rPr>
              <w:t>10L</w:t>
            </w:r>
          </w:p>
        </w:tc>
        <w:tc>
          <w:tcPr>
            <w:tcW w:w="1299" w:type="dxa"/>
          </w:tcPr>
          <w:p>
            <w:pPr>
              <w:pStyle w:val="14"/>
              <w:spacing w:before="20"/>
              <w:ind w:left="314" w:right="305"/>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575" w:type="dxa"/>
          </w:tcPr>
          <w:p>
            <w:pPr>
              <w:pStyle w:val="14"/>
              <w:spacing w:before="20"/>
              <w:ind w:left="166"/>
              <w:jc w:val="left"/>
              <w:rPr>
                <w:sz w:val="21"/>
              </w:rPr>
            </w:pPr>
            <w:r>
              <w:rPr>
                <w:sz w:val="21"/>
              </w:rPr>
              <w:t>总砷（</w:t>
            </w:r>
            <w:r>
              <w:rPr>
                <w:rFonts w:ascii="Times New Roman" w:hAnsi="Times New Roman" w:eastAsia="Times New Roman"/>
                <w:sz w:val="21"/>
              </w:rPr>
              <w:t>μg/L</w:t>
            </w:r>
            <w:r>
              <w:rPr>
                <w:sz w:val="21"/>
              </w:rPr>
              <w:t>）</w:t>
            </w:r>
          </w:p>
        </w:tc>
        <w:tc>
          <w:tcPr>
            <w:tcW w:w="1294" w:type="dxa"/>
          </w:tcPr>
          <w:p>
            <w:pPr>
              <w:pStyle w:val="14"/>
              <w:spacing w:before="38"/>
              <w:ind w:left="310" w:right="299"/>
              <w:rPr>
                <w:rFonts w:ascii="Times New Roman"/>
                <w:sz w:val="21"/>
              </w:rPr>
            </w:pPr>
            <w:bookmarkStart w:id="656" w:name="0.3L"/>
            <w:bookmarkEnd w:id="656"/>
            <w:r>
              <w:rPr>
                <w:rFonts w:ascii="Times New Roman"/>
                <w:sz w:val="21"/>
              </w:rPr>
              <w:t>0.3L</w:t>
            </w:r>
          </w:p>
        </w:tc>
        <w:tc>
          <w:tcPr>
            <w:tcW w:w="1294" w:type="dxa"/>
          </w:tcPr>
          <w:p>
            <w:pPr>
              <w:pStyle w:val="14"/>
              <w:spacing w:before="20"/>
              <w:ind w:left="309" w:right="302"/>
              <w:rPr>
                <w:sz w:val="21"/>
              </w:rPr>
            </w:pPr>
            <w:r>
              <w:rPr>
                <w:sz w:val="21"/>
              </w:rPr>
              <w:t>未检出</w:t>
            </w:r>
          </w:p>
        </w:tc>
        <w:tc>
          <w:tcPr>
            <w:tcW w:w="1294" w:type="dxa"/>
          </w:tcPr>
          <w:p>
            <w:pPr>
              <w:pStyle w:val="14"/>
              <w:spacing w:before="38"/>
              <w:ind w:left="310" w:right="301"/>
              <w:rPr>
                <w:rFonts w:ascii="Times New Roman"/>
                <w:sz w:val="21"/>
              </w:rPr>
            </w:pPr>
            <w:bookmarkStart w:id="657" w:name="0.3L"/>
            <w:bookmarkEnd w:id="657"/>
            <w:r>
              <w:rPr>
                <w:rFonts w:ascii="Times New Roman"/>
                <w:sz w:val="21"/>
              </w:rPr>
              <w:t>0.3L</w:t>
            </w:r>
          </w:p>
        </w:tc>
        <w:tc>
          <w:tcPr>
            <w:tcW w:w="1294" w:type="dxa"/>
          </w:tcPr>
          <w:p>
            <w:pPr>
              <w:pStyle w:val="14"/>
              <w:spacing w:before="20"/>
              <w:ind w:left="308" w:right="302"/>
              <w:rPr>
                <w:sz w:val="21"/>
              </w:rPr>
            </w:pPr>
            <w:r>
              <w:rPr>
                <w:sz w:val="21"/>
              </w:rPr>
              <w:t>未检出</w:t>
            </w:r>
          </w:p>
        </w:tc>
        <w:tc>
          <w:tcPr>
            <w:tcW w:w="1294" w:type="dxa"/>
          </w:tcPr>
          <w:p>
            <w:pPr>
              <w:pStyle w:val="14"/>
              <w:spacing w:before="38"/>
              <w:ind w:left="310" w:right="298"/>
              <w:rPr>
                <w:rFonts w:ascii="Times New Roman"/>
                <w:sz w:val="21"/>
              </w:rPr>
            </w:pPr>
            <w:bookmarkStart w:id="658" w:name="0.3L"/>
            <w:bookmarkEnd w:id="658"/>
            <w:r>
              <w:rPr>
                <w:rFonts w:ascii="Times New Roman"/>
                <w:sz w:val="21"/>
              </w:rPr>
              <w:t>0.3L</w:t>
            </w:r>
          </w:p>
        </w:tc>
        <w:tc>
          <w:tcPr>
            <w:tcW w:w="1299" w:type="dxa"/>
          </w:tcPr>
          <w:p>
            <w:pPr>
              <w:pStyle w:val="14"/>
              <w:spacing w:before="20"/>
              <w:ind w:left="314" w:right="305"/>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19"/>
              <w:ind w:left="140"/>
              <w:jc w:val="left"/>
              <w:rPr>
                <w:sz w:val="21"/>
              </w:rPr>
            </w:pPr>
            <w:r>
              <w:rPr>
                <w:sz w:val="21"/>
              </w:rPr>
              <w:t>总锌（</w:t>
            </w:r>
            <w:r>
              <w:rPr>
                <w:rFonts w:ascii="Times New Roman" w:eastAsia="Times New Roman"/>
                <w:sz w:val="21"/>
              </w:rPr>
              <w:t>mg/L</w:t>
            </w:r>
            <w:r>
              <w:rPr>
                <w:sz w:val="21"/>
              </w:rPr>
              <w:t>）</w:t>
            </w:r>
          </w:p>
        </w:tc>
        <w:tc>
          <w:tcPr>
            <w:tcW w:w="1294" w:type="dxa"/>
          </w:tcPr>
          <w:p>
            <w:pPr>
              <w:pStyle w:val="14"/>
              <w:spacing w:before="38"/>
              <w:ind w:left="310" w:right="301"/>
              <w:rPr>
                <w:rFonts w:ascii="Times New Roman"/>
                <w:sz w:val="21"/>
              </w:rPr>
            </w:pPr>
            <w:bookmarkStart w:id="659" w:name="0.05"/>
            <w:bookmarkEnd w:id="659"/>
            <w:r>
              <w:rPr>
                <w:rFonts w:ascii="Times New Roman"/>
                <w:sz w:val="21"/>
              </w:rPr>
              <w:t>0.05</w:t>
            </w:r>
          </w:p>
        </w:tc>
        <w:tc>
          <w:tcPr>
            <w:tcW w:w="1294" w:type="dxa"/>
          </w:tcPr>
          <w:p>
            <w:pPr>
              <w:pStyle w:val="14"/>
              <w:spacing w:before="36"/>
              <w:ind w:left="310" w:right="299"/>
              <w:rPr>
                <w:rFonts w:ascii="Times New Roman"/>
                <w:sz w:val="21"/>
              </w:rPr>
            </w:pPr>
            <w:r>
              <w:rPr>
                <w:rFonts w:ascii="Times New Roman"/>
                <w:sz w:val="21"/>
              </w:rPr>
              <w:t>0.05</w:t>
            </w:r>
          </w:p>
        </w:tc>
        <w:tc>
          <w:tcPr>
            <w:tcW w:w="1294" w:type="dxa"/>
          </w:tcPr>
          <w:p>
            <w:pPr>
              <w:pStyle w:val="14"/>
              <w:spacing w:before="38"/>
              <w:ind w:left="310" w:right="300"/>
              <w:rPr>
                <w:rFonts w:ascii="Times New Roman"/>
                <w:sz w:val="21"/>
              </w:rPr>
            </w:pPr>
            <w:bookmarkStart w:id="660" w:name="0.05"/>
            <w:bookmarkEnd w:id="660"/>
            <w:r>
              <w:rPr>
                <w:rFonts w:ascii="Times New Roman"/>
                <w:sz w:val="21"/>
              </w:rPr>
              <w:t>0.05</w:t>
            </w:r>
          </w:p>
        </w:tc>
        <w:tc>
          <w:tcPr>
            <w:tcW w:w="1294" w:type="dxa"/>
          </w:tcPr>
          <w:p>
            <w:pPr>
              <w:pStyle w:val="14"/>
              <w:spacing w:before="36"/>
              <w:ind w:left="310" w:right="301"/>
              <w:rPr>
                <w:rFonts w:ascii="Times New Roman"/>
                <w:sz w:val="21"/>
              </w:rPr>
            </w:pPr>
            <w:r>
              <w:rPr>
                <w:rFonts w:ascii="Times New Roman"/>
                <w:sz w:val="21"/>
              </w:rPr>
              <w:t>0.05</w:t>
            </w:r>
          </w:p>
        </w:tc>
        <w:tc>
          <w:tcPr>
            <w:tcW w:w="1294" w:type="dxa"/>
          </w:tcPr>
          <w:p>
            <w:pPr>
              <w:pStyle w:val="14"/>
              <w:spacing w:before="38"/>
              <w:ind w:left="310" w:right="302"/>
              <w:rPr>
                <w:rFonts w:ascii="Times New Roman"/>
                <w:sz w:val="21"/>
              </w:rPr>
            </w:pPr>
            <w:bookmarkStart w:id="661" w:name="0.05"/>
            <w:bookmarkEnd w:id="661"/>
            <w:r>
              <w:rPr>
                <w:rFonts w:ascii="Times New Roman"/>
                <w:sz w:val="21"/>
              </w:rPr>
              <w:t>0.05</w:t>
            </w:r>
          </w:p>
        </w:tc>
        <w:tc>
          <w:tcPr>
            <w:tcW w:w="1299" w:type="dxa"/>
          </w:tcPr>
          <w:p>
            <w:pPr>
              <w:pStyle w:val="14"/>
              <w:spacing w:before="36"/>
              <w:ind w:left="314" w:right="302"/>
              <w:rPr>
                <w:rFonts w:ascii="Times New Roman"/>
                <w:sz w:val="21"/>
              </w:rPr>
            </w:pPr>
            <w:r>
              <w:rPr>
                <w:rFonts w:ascii="Times New Roman"/>
                <w:sz w:val="21"/>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575" w:type="dxa"/>
          </w:tcPr>
          <w:p>
            <w:pPr>
              <w:pStyle w:val="14"/>
              <w:spacing w:before="19"/>
              <w:ind w:left="106" w:right="-15"/>
              <w:jc w:val="left"/>
              <w:rPr>
                <w:sz w:val="21"/>
              </w:rPr>
            </w:pPr>
            <w:r>
              <w:rPr>
                <w:spacing w:val="-13"/>
                <w:sz w:val="21"/>
              </w:rPr>
              <w:t>六价铬</w:t>
            </w:r>
            <w:r>
              <w:rPr>
                <w:sz w:val="21"/>
              </w:rPr>
              <w:t>（</w:t>
            </w:r>
            <w:r>
              <w:rPr>
                <w:rFonts w:ascii="Times New Roman" w:eastAsia="Times New Roman"/>
                <w:sz w:val="21"/>
              </w:rPr>
              <w:t>mg/L</w:t>
            </w:r>
            <w:r>
              <w:rPr>
                <w:sz w:val="21"/>
              </w:rPr>
              <w:t>）</w:t>
            </w:r>
          </w:p>
        </w:tc>
        <w:tc>
          <w:tcPr>
            <w:tcW w:w="1294" w:type="dxa"/>
          </w:tcPr>
          <w:p>
            <w:pPr>
              <w:pStyle w:val="14"/>
              <w:spacing w:before="38"/>
              <w:ind w:left="310" w:right="302"/>
              <w:rPr>
                <w:rFonts w:ascii="Times New Roman"/>
                <w:sz w:val="21"/>
              </w:rPr>
            </w:pPr>
            <w:bookmarkStart w:id="662" w:name="0.004L"/>
            <w:bookmarkEnd w:id="662"/>
            <w:r>
              <w:rPr>
                <w:rFonts w:ascii="Times New Roman"/>
                <w:sz w:val="21"/>
              </w:rPr>
              <w:t>0.004L</w:t>
            </w:r>
          </w:p>
        </w:tc>
        <w:tc>
          <w:tcPr>
            <w:tcW w:w="1294" w:type="dxa"/>
          </w:tcPr>
          <w:p>
            <w:pPr>
              <w:pStyle w:val="14"/>
              <w:spacing w:before="19"/>
              <w:ind w:left="309" w:right="302"/>
              <w:rPr>
                <w:sz w:val="21"/>
              </w:rPr>
            </w:pPr>
            <w:r>
              <w:rPr>
                <w:sz w:val="21"/>
              </w:rPr>
              <w:t>未检出</w:t>
            </w:r>
          </w:p>
        </w:tc>
        <w:tc>
          <w:tcPr>
            <w:tcW w:w="1294" w:type="dxa"/>
          </w:tcPr>
          <w:p>
            <w:pPr>
              <w:pStyle w:val="14"/>
              <w:spacing w:before="38"/>
              <w:ind w:left="310" w:right="298"/>
              <w:rPr>
                <w:rFonts w:ascii="Times New Roman"/>
                <w:sz w:val="21"/>
              </w:rPr>
            </w:pPr>
            <w:bookmarkStart w:id="663" w:name="0.004L"/>
            <w:bookmarkEnd w:id="663"/>
            <w:r>
              <w:rPr>
                <w:rFonts w:ascii="Times New Roman"/>
                <w:sz w:val="21"/>
              </w:rPr>
              <w:t>0.004L</w:t>
            </w:r>
          </w:p>
        </w:tc>
        <w:tc>
          <w:tcPr>
            <w:tcW w:w="1294" w:type="dxa"/>
          </w:tcPr>
          <w:p>
            <w:pPr>
              <w:pStyle w:val="14"/>
              <w:spacing w:before="19"/>
              <w:ind w:left="308" w:right="302"/>
              <w:rPr>
                <w:sz w:val="21"/>
              </w:rPr>
            </w:pPr>
            <w:r>
              <w:rPr>
                <w:sz w:val="21"/>
              </w:rPr>
              <w:t>未检出</w:t>
            </w:r>
          </w:p>
        </w:tc>
        <w:tc>
          <w:tcPr>
            <w:tcW w:w="1294" w:type="dxa"/>
          </w:tcPr>
          <w:p>
            <w:pPr>
              <w:pStyle w:val="14"/>
              <w:spacing w:before="38"/>
              <w:ind w:left="310" w:right="300"/>
              <w:rPr>
                <w:rFonts w:ascii="Times New Roman"/>
                <w:sz w:val="21"/>
              </w:rPr>
            </w:pPr>
            <w:bookmarkStart w:id="664" w:name="0.004L"/>
            <w:bookmarkEnd w:id="664"/>
            <w:r>
              <w:rPr>
                <w:rFonts w:ascii="Times New Roman"/>
                <w:sz w:val="21"/>
              </w:rPr>
              <w:t>0.004L</w:t>
            </w:r>
          </w:p>
        </w:tc>
        <w:tc>
          <w:tcPr>
            <w:tcW w:w="1299" w:type="dxa"/>
          </w:tcPr>
          <w:p>
            <w:pPr>
              <w:pStyle w:val="14"/>
              <w:spacing w:before="19"/>
              <w:ind w:left="314" w:right="305"/>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21"/>
              <w:ind w:left="106" w:right="-15"/>
              <w:jc w:val="left"/>
              <w:rPr>
                <w:sz w:val="21"/>
              </w:rPr>
            </w:pPr>
            <w:r>
              <w:rPr>
                <w:spacing w:val="-13"/>
                <w:sz w:val="21"/>
              </w:rPr>
              <w:t>氟化物</w:t>
            </w:r>
            <w:r>
              <w:rPr>
                <w:sz w:val="21"/>
              </w:rPr>
              <w:t>（</w:t>
            </w:r>
            <w:r>
              <w:rPr>
                <w:rFonts w:ascii="Times New Roman" w:eastAsia="Times New Roman"/>
                <w:sz w:val="21"/>
              </w:rPr>
              <w:t>mg/L</w:t>
            </w:r>
            <w:r>
              <w:rPr>
                <w:sz w:val="21"/>
              </w:rPr>
              <w:t>）</w:t>
            </w:r>
          </w:p>
        </w:tc>
        <w:tc>
          <w:tcPr>
            <w:tcW w:w="1294" w:type="dxa"/>
          </w:tcPr>
          <w:p>
            <w:pPr>
              <w:pStyle w:val="14"/>
              <w:spacing w:before="37"/>
              <w:ind w:left="310" w:right="299"/>
              <w:rPr>
                <w:rFonts w:ascii="Times New Roman"/>
                <w:sz w:val="21"/>
              </w:rPr>
            </w:pPr>
            <w:bookmarkStart w:id="665" w:name="0.05L"/>
            <w:bookmarkEnd w:id="665"/>
            <w:r>
              <w:rPr>
                <w:rFonts w:ascii="Times New Roman"/>
                <w:sz w:val="21"/>
              </w:rPr>
              <w:t>0.05L</w:t>
            </w:r>
          </w:p>
        </w:tc>
        <w:tc>
          <w:tcPr>
            <w:tcW w:w="1294" w:type="dxa"/>
          </w:tcPr>
          <w:p>
            <w:pPr>
              <w:pStyle w:val="14"/>
              <w:spacing w:before="21"/>
              <w:ind w:left="309" w:right="302"/>
              <w:rPr>
                <w:sz w:val="21"/>
              </w:rPr>
            </w:pPr>
            <w:r>
              <w:rPr>
                <w:sz w:val="21"/>
              </w:rPr>
              <w:t>未检出</w:t>
            </w:r>
          </w:p>
        </w:tc>
        <w:tc>
          <w:tcPr>
            <w:tcW w:w="1294" w:type="dxa"/>
          </w:tcPr>
          <w:p>
            <w:pPr>
              <w:pStyle w:val="14"/>
              <w:spacing w:before="37"/>
              <w:ind w:left="310" w:right="301"/>
              <w:rPr>
                <w:rFonts w:ascii="Times New Roman"/>
                <w:sz w:val="21"/>
              </w:rPr>
            </w:pPr>
            <w:bookmarkStart w:id="666" w:name="0.05L"/>
            <w:bookmarkEnd w:id="666"/>
            <w:r>
              <w:rPr>
                <w:rFonts w:ascii="Times New Roman"/>
                <w:sz w:val="21"/>
              </w:rPr>
              <w:t>0.05L</w:t>
            </w:r>
          </w:p>
        </w:tc>
        <w:tc>
          <w:tcPr>
            <w:tcW w:w="1294" w:type="dxa"/>
          </w:tcPr>
          <w:p>
            <w:pPr>
              <w:pStyle w:val="14"/>
              <w:spacing w:before="21"/>
              <w:ind w:left="308" w:right="302"/>
              <w:rPr>
                <w:sz w:val="21"/>
              </w:rPr>
            </w:pPr>
            <w:r>
              <w:rPr>
                <w:sz w:val="21"/>
              </w:rPr>
              <w:t>未检出</w:t>
            </w:r>
          </w:p>
        </w:tc>
        <w:tc>
          <w:tcPr>
            <w:tcW w:w="1294" w:type="dxa"/>
          </w:tcPr>
          <w:p>
            <w:pPr>
              <w:pStyle w:val="14"/>
              <w:spacing w:before="37"/>
              <w:ind w:left="310" w:right="300"/>
              <w:rPr>
                <w:rFonts w:ascii="Times New Roman"/>
                <w:sz w:val="21"/>
              </w:rPr>
            </w:pPr>
            <w:bookmarkStart w:id="667" w:name="0.05L"/>
            <w:bookmarkEnd w:id="667"/>
            <w:r>
              <w:rPr>
                <w:rFonts w:ascii="Times New Roman"/>
                <w:sz w:val="21"/>
              </w:rPr>
              <w:t>0.05L</w:t>
            </w:r>
          </w:p>
        </w:tc>
        <w:tc>
          <w:tcPr>
            <w:tcW w:w="1299" w:type="dxa"/>
          </w:tcPr>
          <w:p>
            <w:pPr>
              <w:pStyle w:val="14"/>
              <w:spacing w:before="21"/>
              <w:ind w:left="314" w:right="305"/>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17" w:line="274" w:lineRule="exact"/>
              <w:ind w:left="109"/>
              <w:jc w:val="left"/>
              <w:rPr>
                <w:sz w:val="21"/>
              </w:rPr>
            </w:pPr>
            <w:r>
              <w:rPr>
                <w:rFonts w:ascii="Times New Roman" w:eastAsia="Times New Roman"/>
                <w:position w:val="2"/>
                <w:sz w:val="21"/>
              </w:rPr>
              <w:t>BOD</w:t>
            </w:r>
            <w:r>
              <w:rPr>
                <w:rFonts w:ascii="Times New Roman" w:eastAsia="Times New Roman"/>
                <w:position w:val="2"/>
                <w:sz w:val="21"/>
                <w:vertAlign w:val="subscript"/>
              </w:rPr>
              <w:t>5</w:t>
            </w:r>
            <w:r>
              <w:rPr>
                <w:position w:val="2"/>
                <w:sz w:val="21"/>
                <w:vertAlign w:val="baseline"/>
              </w:rPr>
              <w:t>（</w:t>
            </w:r>
            <w:r>
              <w:rPr>
                <w:rFonts w:ascii="Times New Roman" w:eastAsia="Times New Roman"/>
                <w:position w:val="2"/>
                <w:sz w:val="21"/>
                <w:vertAlign w:val="baseline"/>
              </w:rPr>
              <w:t>mg/L</w:t>
            </w:r>
            <w:r>
              <w:rPr>
                <w:position w:val="2"/>
                <w:sz w:val="21"/>
                <w:vertAlign w:val="baseline"/>
              </w:rPr>
              <w:t>）</w:t>
            </w:r>
          </w:p>
        </w:tc>
        <w:tc>
          <w:tcPr>
            <w:tcW w:w="1294" w:type="dxa"/>
          </w:tcPr>
          <w:p>
            <w:pPr>
              <w:pStyle w:val="14"/>
              <w:spacing w:before="37"/>
              <w:ind w:left="310" w:right="301"/>
              <w:rPr>
                <w:rFonts w:ascii="Times New Roman"/>
                <w:sz w:val="21"/>
              </w:rPr>
            </w:pPr>
            <w:bookmarkStart w:id="668" w:name="16.2"/>
            <w:bookmarkEnd w:id="668"/>
            <w:r>
              <w:rPr>
                <w:rFonts w:ascii="Times New Roman"/>
                <w:sz w:val="21"/>
              </w:rPr>
              <w:t>16.2</w:t>
            </w:r>
          </w:p>
        </w:tc>
        <w:tc>
          <w:tcPr>
            <w:tcW w:w="1294" w:type="dxa"/>
          </w:tcPr>
          <w:p>
            <w:pPr>
              <w:pStyle w:val="14"/>
              <w:spacing w:before="34"/>
              <w:ind w:left="310" w:right="299"/>
              <w:rPr>
                <w:rFonts w:ascii="Times New Roman"/>
                <w:sz w:val="21"/>
              </w:rPr>
            </w:pPr>
            <w:r>
              <w:rPr>
                <w:rFonts w:ascii="Times New Roman"/>
                <w:sz w:val="21"/>
              </w:rPr>
              <w:t>4.05</w:t>
            </w:r>
          </w:p>
        </w:tc>
        <w:tc>
          <w:tcPr>
            <w:tcW w:w="1294" w:type="dxa"/>
          </w:tcPr>
          <w:p>
            <w:pPr>
              <w:pStyle w:val="14"/>
              <w:spacing w:before="37"/>
              <w:ind w:left="310" w:right="300"/>
              <w:rPr>
                <w:rFonts w:ascii="Times New Roman"/>
                <w:sz w:val="21"/>
              </w:rPr>
            </w:pPr>
            <w:bookmarkStart w:id="669" w:name="16.6"/>
            <w:bookmarkEnd w:id="669"/>
            <w:r>
              <w:rPr>
                <w:rFonts w:ascii="Times New Roman"/>
                <w:sz w:val="21"/>
              </w:rPr>
              <w:t>16.6</w:t>
            </w:r>
          </w:p>
        </w:tc>
        <w:tc>
          <w:tcPr>
            <w:tcW w:w="1294" w:type="dxa"/>
          </w:tcPr>
          <w:p>
            <w:pPr>
              <w:pStyle w:val="14"/>
              <w:spacing w:before="34"/>
              <w:ind w:left="310" w:right="301"/>
              <w:rPr>
                <w:rFonts w:ascii="Times New Roman"/>
                <w:sz w:val="21"/>
              </w:rPr>
            </w:pPr>
            <w:r>
              <w:rPr>
                <w:rFonts w:ascii="Times New Roman"/>
                <w:sz w:val="21"/>
              </w:rPr>
              <w:t>4.15</w:t>
            </w:r>
          </w:p>
        </w:tc>
        <w:tc>
          <w:tcPr>
            <w:tcW w:w="1294" w:type="dxa"/>
          </w:tcPr>
          <w:p>
            <w:pPr>
              <w:pStyle w:val="14"/>
              <w:spacing w:before="37"/>
              <w:ind w:left="310" w:right="302"/>
              <w:rPr>
                <w:rFonts w:ascii="Times New Roman"/>
                <w:sz w:val="21"/>
              </w:rPr>
            </w:pPr>
            <w:bookmarkStart w:id="670" w:name="14.1"/>
            <w:bookmarkEnd w:id="670"/>
            <w:r>
              <w:rPr>
                <w:rFonts w:ascii="Times New Roman"/>
                <w:sz w:val="21"/>
              </w:rPr>
              <w:t>14.1</w:t>
            </w:r>
          </w:p>
        </w:tc>
        <w:tc>
          <w:tcPr>
            <w:tcW w:w="1299" w:type="dxa"/>
          </w:tcPr>
          <w:p>
            <w:pPr>
              <w:pStyle w:val="14"/>
              <w:spacing w:before="34"/>
              <w:ind w:left="314" w:right="302"/>
              <w:rPr>
                <w:rFonts w:ascii="Times New Roman"/>
                <w:sz w:val="21"/>
              </w:rPr>
            </w:pPr>
            <w:r>
              <w:rPr>
                <w:rFonts w:ascii="Times New Roman"/>
                <w:sz w:val="21"/>
              </w:rPr>
              <w:t>3.53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20"/>
              <w:ind w:left="140"/>
              <w:jc w:val="left"/>
              <w:rPr>
                <w:sz w:val="21"/>
              </w:rPr>
            </w:pPr>
            <w:r>
              <w:rPr>
                <w:sz w:val="21"/>
              </w:rPr>
              <w:t>氨氮（</w:t>
            </w:r>
            <w:r>
              <w:rPr>
                <w:rFonts w:ascii="Times New Roman" w:eastAsia="Times New Roman"/>
                <w:sz w:val="21"/>
              </w:rPr>
              <w:t>mg/L</w:t>
            </w:r>
            <w:r>
              <w:rPr>
                <w:sz w:val="21"/>
              </w:rPr>
              <w:t>）</w:t>
            </w:r>
          </w:p>
        </w:tc>
        <w:tc>
          <w:tcPr>
            <w:tcW w:w="1294" w:type="dxa"/>
          </w:tcPr>
          <w:p>
            <w:pPr>
              <w:pStyle w:val="14"/>
              <w:spacing w:before="39"/>
              <w:ind w:left="310" w:right="301"/>
              <w:rPr>
                <w:rFonts w:ascii="Times New Roman"/>
                <w:sz w:val="21"/>
              </w:rPr>
            </w:pPr>
            <w:bookmarkStart w:id="671" w:name="0.40"/>
            <w:bookmarkEnd w:id="671"/>
            <w:r>
              <w:rPr>
                <w:rFonts w:ascii="Times New Roman"/>
                <w:sz w:val="21"/>
              </w:rPr>
              <w:t>0.40</w:t>
            </w:r>
          </w:p>
        </w:tc>
        <w:tc>
          <w:tcPr>
            <w:tcW w:w="1294" w:type="dxa"/>
          </w:tcPr>
          <w:p>
            <w:pPr>
              <w:pStyle w:val="14"/>
              <w:spacing w:before="34"/>
              <w:ind w:left="310" w:right="299"/>
              <w:rPr>
                <w:rFonts w:ascii="Times New Roman"/>
                <w:sz w:val="21"/>
              </w:rPr>
            </w:pPr>
            <w:r>
              <w:rPr>
                <w:rFonts w:ascii="Times New Roman"/>
                <w:sz w:val="21"/>
              </w:rPr>
              <w:t>0.40</w:t>
            </w:r>
          </w:p>
        </w:tc>
        <w:tc>
          <w:tcPr>
            <w:tcW w:w="1294" w:type="dxa"/>
          </w:tcPr>
          <w:p>
            <w:pPr>
              <w:pStyle w:val="14"/>
              <w:spacing w:before="39"/>
              <w:ind w:left="310" w:right="300"/>
              <w:rPr>
                <w:rFonts w:ascii="Times New Roman"/>
                <w:sz w:val="21"/>
              </w:rPr>
            </w:pPr>
            <w:bookmarkStart w:id="672" w:name="0.40"/>
            <w:bookmarkEnd w:id="672"/>
            <w:r>
              <w:rPr>
                <w:rFonts w:ascii="Times New Roman"/>
                <w:sz w:val="21"/>
              </w:rPr>
              <w:t>0.40</w:t>
            </w:r>
          </w:p>
        </w:tc>
        <w:tc>
          <w:tcPr>
            <w:tcW w:w="1294" w:type="dxa"/>
          </w:tcPr>
          <w:p>
            <w:pPr>
              <w:pStyle w:val="14"/>
              <w:spacing w:before="34"/>
              <w:ind w:left="310" w:right="301"/>
              <w:rPr>
                <w:rFonts w:ascii="Times New Roman"/>
                <w:sz w:val="21"/>
              </w:rPr>
            </w:pPr>
            <w:r>
              <w:rPr>
                <w:rFonts w:ascii="Times New Roman"/>
                <w:sz w:val="21"/>
              </w:rPr>
              <w:t>0.40</w:t>
            </w:r>
          </w:p>
        </w:tc>
        <w:tc>
          <w:tcPr>
            <w:tcW w:w="1294" w:type="dxa"/>
          </w:tcPr>
          <w:p>
            <w:pPr>
              <w:pStyle w:val="14"/>
              <w:spacing w:before="39"/>
              <w:ind w:left="310" w:right="302"/>
              <w:rPr>
                <w:rFonts w:ascii="Times New Roman"/>
                <w:sz w:val="21"/>
              </w:rPr>
            </w:pPr>
            <w:bookmarkStart w:id="673" w:name="0.40"/>
            <w:bookmarkEnd w:id="673"/>
            <w:r>
              <w:rPr>
                <w:rFonts w:ascii="Times New Roman"/>
                <w:sz w:val="21"/>
              </w:rPr>
              <w:t>0.40</w:t>
            </w:r>
          </w:p>
        </w:tc>
        <w:tc>
          <w:tcPr>
            <w:tcW w:w="1299" w:type="dxa"/>
          </w:tcPr>
          <w:p>
            <w:pPr>
              <w:pStyle w:val="14"/>
              <w:spacing w:before="34"/>
              <w:ind w:left="314" w:right="302"/>
              <w:rPr>
                <w:rFonts w:ascii="Times New Roman"/>
                <w:sz w:val="21"/>
              </w:rPr>
            </w:pPr>
            <w:r>
              <w:rPr>
                <w:rFonts w:ascii="Times New Roman"/>
                <w:sz w:val="21"/>
              </w:rPr>
              <w:t>0.40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vMerge w:val="restart"/>
          </w:tcPr>
          <w:p>
            <w:pPr>
              <w:pStyle w:val="14"/>
              <w:spacing w:before="1"/>
              <w:jc w:val="left"/>
              <w:rPr>
                <w:b/>
                <w:sz w:val="14"/>
              </w:rPr>
            </w:pPr>
          </w:p>
          <w:p>
            <w:pPr>
              <w:pStyle w:val="14"/>
              <w:ind w:left="365"/>
              <w:jc w:val="left"/>
              <w:rPr>
                <w:sz w:val="21"/>
              </w:rPr>
            </w:pPr>
            <w:r>
              <w:rPr>
                <w:sz w:val="21"/>
              </w:rPr>
              <w:t>评价参数</w:t>
            </w:r>
          </w:p>
        </w:tc>
        <w:tc>
          <w:tcPr>
            <w:tcW w:w="7769" w:type="dxa"/>
            <w:gridSpan w:val="6"/>
          </w:tcPr>
          <w:p>
            <w:pPr>
              <w:pStyle w:val="14"/>
              <w:spacing w:before="20"/>
              <w:ind w:left="3102" w:right="3094"/>
              <w:rPr>
                <w:sz w:val="21"/>
              </w:rPr>
            </w:pPr>
            <w:r>
              <w:rPr>
                <w:sz w:val="21"/>
              </w:rPr>
              <w:t xml:space="preserve">下游 </w:t>
            </w:r>
            <w:r>
              <w:rPr>
                <w:rFonts w:ascii="Times New Roman" w:eastAsia="Times New Roman"/>
                <w:sz w:val="21"/>
              </w:rPr>
              <w:t xml:space="preserve">5000 </w:t>
            </w:r>
            <w:r>
              <w:rPr>
                <w:sz w:val="21"/>
              </w:rPr>
              <w:t>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575" w:type="dxa"/>
            <w:vMerge w:val="continue"/>
            <w:tcBorders>
              <w:top w:val="nil"/>
            </w:tcBorders>
          </w:tcPr>
          <w:p>
            <w:pPr>
              <w:rPr>
                <w:sz w:val="2"/>
                <w:szCs w:val="2"/>
              </w:rPr>
            </w:pPr>
          </w:p>
        </w:tc>
        <w:tc>
          <w:tcPr>
            <w:tcW w:w="1294" w:type="dxa"/>
          </w:tcPr>
          <w:p>
            <w:pPr>
              <w:pStyle w:val="14"/>
              <w:spacing w:before="19"/>
              <w:ind w:left="310" w:right="302"/>
              <w:rPr>
                <w:sz w:val="21"/>
              </w:rPr>
            </w:pPr>
            <w:r>
              <w:rPr>
                <w:sz w:val="21"/>
              </w:rPr>
              <w:t>实测值</w:t>
            </w:r>
          </w:p>
        </w:tc>
        <w:tc>
          <w:tcPr>
            <w:tcW w:w="1294" w:type="dxa"/>
          </w:tcPr>
          <w:p>
            <w:pPr>
              <w:pStyle w:val="14"/>
              <w:spacing w:before="34"/>
              <w:ind w:left="310" w:right="298"/>
              <w:rPr>
                <w:rFonts w:ascii="Times New Roman" w:eastAsia="Times New Roman"/>
                <w:sz w:val="13"/>
              </w:rPr>
            </w:pPr>
            <w:r>
              <w:rPr>
                <w:rFonts w:ascii="Times New Roman" w:eastAsia="Times New Roman"/>
                <w:spacing w:val="-2"/>
                <w:w w:val="99"/>
                <w:position w:val="3"/>
                <w:sz w:val="21"/>
              </w:rPr>
              <w:t>P</w:t>
            </w:r>
            <w:r>
              <w:rPr>
                <w:rFonts w:ascii="Times New Roman" w:eastAsia="Times New Roman"/>
                <w:w w:val="105"/>
                <w:position w:val="1"/>
                <w:sz w:val="13"/>
              </w:rPr>
              <w:t>i</w:t>
            </w:r>
            <w:r>
              <w:rPr>
                <w:spacing w:val="-1"/>
                <w:w w:val="106"/>
                <w:sz w:val="10"/>
              </w:rPr>
              <w:t>，</w:t>
            </w:r>
            <w:r>
              <w:rPr>
                <w:rFonts w:ascii="Times New Roman" w:eastAsia="Times New Roman"/>
                <w:w w:val="105"/>
                <w:position w:val="1"/>
                <w:sz w:val="13"/>
              </w:rPr>
              <w:t>j</w:t>
            </w:r>
          </w:p>
        </w:tc>
        <w:tc>
          <w:tcPr>
            <w:tcW w:w="1294" w:type="dxa"/>
          </w:tcPr>
          <w:p>
            <w:pPr>
              <w:pStyle w:val="14"/>
              <w:spacing w:before="19"/>
              <w:ind w:left="308" w:right="302"/>
              <w:rPr>
                <w:sz w:val="21"/>
              </w:rPr>
            </w:pPr>
            <w:r>
              <w:rPr>
                <w:sz w:val="21"/>
              </w:rPr>
              <w:t>实测值</w:t>
            </w:r>
          </w:p>
        </w:tc>
        <w:tc>
          <w:tcPr>
            <w:tcW w:w="1294" w:type="dxa"/>
          </w:tcPr>
          <w:p>
            <w:pPr>
              <w:pStyle w:val="14"/>
              <w:spacing w:before="34"/>
              <w:ind w:left="310" w:right="300"/>
              <w:rPr>
                <w:rFonts w:ascii="Times New Roman" w:eastAsia="Times New Roman"/>
                <w:sz w:val="13"/>
              </w:rPr>
            </w:pPr>
            <w:r>
              <w:rPr>
                <w:rFonts w:ascii="Times New Roman" w:eastAsia="Times New Roman"/>
                <w:spacing w:val="-2"/>
                <w:w w:val="99"/>
                <w:position w:val="3"/>
                <w:sz w:val="21"/>
              </w:rPr>
              <w:t>P</w:t>
            </w:r>
            <w:r>
              <w:rPr>
                <w:rFonts w:ascii="Times New Roman" w:eastAsia="Times New Roman"/>
                <w:w w:val="105"/>
                <w:position w:val="1"/>
                <w:sz w:val="13"/>
              </w:rPr>
              <w:t>i</w:t>
            </w:r>
            <w:r>
              <w:rPr>
                <w:spacing w:val="-1"/>
                <w:w w:val="106"/>
                <w:sz w:val="10"/>
              </w:rPr>
              <w:t>，</w:t>
            </w:r>
            <w:r>
              <w:rPr>
                <w:rFonts w:ascii="Times New Roman" w:eastAsia="Times New Roman"/>
                <w:w w:val="105"/>
                <w:position w:val="1"/>
                <w:sz w:val="13"/>
              </w:rPr>
              <w:t>j</w:t>
            </w:r>
          </w:p>
        </w:tc>
        <w:tc>
          <w:tcPr>
            <w:tcW w:w="1294" w:type="dxa"/>
          </w:tcPr>
          <w:p>
            <w:pPr>
              <w:pStyle w:val="14"/>
              <w:spacing w:before="19"/>
              <w:ind w:left="310" w:right="300"/>
              <w:rPr>
                <w:sz w:val="21"/>
              </w:rPr>
            </w:pPr>
            <w:r>
              <w:rPr>
                <w:sz w:val="21"/>
              </w:rPr>
              <w:t>实测值</w:t>
            </w:r>
          </w:p>
        </w:tc>
        <w:tc>
          <w:tcPr>
            <w:tcW w:w="1299" w:type="dxa"/>
          </w:tcPr>
          <w:p>
            <w:pPr>
              <w:pStyle w:val="14"/>
              <w:spacing w:before="34"/>
              <w:ind w:left="314" w:right="301"/>
              <w:rPr>
                <w:rFonts w:ascii="Times New Roman" w:eastAsia="Times New Roman"/>
                <w:sz w:val="13"/>
              </w:rPr>
            </w:pPr>
            <w:r>
              <w:rPr>
                <w:rFonts w:ascii="Times New Roman" w:eastAsia="Times New Roman"/>
                <w:spacing w:val="-2"/>
                <w:w w:val="99"/>
                <w:position w:val="3"/>
                <w:sz w:val="21"/>
              </w:rPr>
              <w:t>P</w:t>
            </w:r>
            <w:r>
              <w:rPr>
                <w:rFonts w:ascii="Times New Roman" w:eastAsia="Times New Roman"/>
                <w:w w:val="105"/>
                <w:position w:val="1"/>
                <w:sz w:val="13"/>
              </w:rPr>
              <w:t>i</w:t>
            </w:r>
            <w:r>
              <w:rPr>
                <w:spacing w:val="-1"/>
                <w:w w:val="106"/>
                <w:sz w:val="10"/>
              </w:rPr>
              <w:t>，</w:t>
            </w:r>
            <w:r>
              <w:rPr>
                <w:rFonts w:ascii="Times New Roman" w:eastAsia="Times New Roman"/>
                <w:w w:val="105"/>
                <w:position w:val="1"/>
                <w:sz w:val="13"/>
              </w:rPr>
              <w:t>j</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19"/>
              <w:ind w:left="133"/>
              <w:jc w:val="left"/>
              <w:rPr>
                <w:sz w:val="21"/>
              </w:rPr>
            </w:pPr>
            <w:r>
              <w:rPr>
                <w:rFonts w:ascii="Times New Roman" w:eastAsia="Times New Roman"/>
                <w:sz w:val="21"/>
              </w:rPr>
              <w:t>pH</w:t>
            </w:r>
            <w:r>
              <w:rPr>
                <w:sz w:val="21"/>
              </w:rPr>
              <w:t>（无量纲）</w:t>
            </w:r>
          </w:p>
        </w:tc>
        <w:tc>
          <w:tcPr>
            <w:tcW w:w="1294" w:type="dxa"/>
          </w:tcPr>
          <w:p>
            <w:pPr>
              <w:pStyle w:val="14"/>
              <w:spacing w:before="38"/>
              <w:ind w:left="310" w:right="301"/>
              <w:rPr>
                <w:rFonts w:ascii="Times New Roman"/>
                <w:sz w:val="21"/>
              </w:rPr>
            </w:pPr>
            <w:bookmarkStart w:id="674" w:name="7.37"/>
            <w:bookmarkEnd w:id="674"/>
            <w:r>
              <w:rPr>
                <w:rFonts w:ascii="Times New Roman"/>
                <w:sz w:val="21"/>
              </w:rPr>
              <w:t>7.37</w:t>
            </w:r>
          </w:p>
        </w:tc>
        <w:tc>
          <w:tcPr>
            <w:tcW w:w="1294" w:type="dxa"/>
          </w:tcPr>
          <w:p>
            <w:pPr>
              <w:pStyle w:val="14"/>
              <w:spacing w:before="35"/>
              <w:ind w:left="310" w:right="299"/>
              <w:rPr>
                <w:rFonts w:ascii="Times New Roman"/>
                <w:sz w:val="21"/>
              </w:rPr>
            </w:pPr>
            <w:r>
              <w:rPr>
                <w:rFonts w:ascii="Times New Roman"/>
                <w:sz w:val="21"/>
              </w:rPr>
              <w:t>0.19</w:t>
            </w:r>
          </w:p>
        </w:tc>
        <w:tc>
          <w:tcPr>
            <w:tcW w:w="1294" w:type="dxa"/>
          </w:tcPr>
          <w:p>
            <w:pPr>
              <w:pStyle w:val="14"/>
              <w:spacing w:before="38"/>
              <w:ind w:left="310" w:right="300"/>
              <w:rPr>
                <w:rFonts w:ascii="Times New Roman"/>
                <w:sz w:val="21"/>
              </w:rPr>
            </w:pPr>
            <w:bookmarkStart w:id="675" w:name="7.35"/>
            <w:bookmarkEnd w:id="675"/>
            <w:r>
              <w:rPr>
                <w:rFonts w:ascii="Times New Roman"/>
                <w:sz w:val="21"/>
              </w:rPr>
              <w:t>7.35</w:t>
            </w:r>
          </w:p>
        </w:tc>
        <w:tc>
          <w:tcPr>
            <w:tcW w:w="1294" w:type="dxa"/>
          </w:tcPr>
          <w:p>
            <w:pPr>
              <w:pStyle w:val="14"/>
              <w:spacing w:before="35"/>
              <w:ind w:left="310" w:right="301"/>
              <w:rPr>
                <w:rFonts w:ascii="Times New Roman"/>
                <w:sz w:val="21"/>
              </w:rPr>
            </w:pPr>
            <w:r>
              <w:rPr>
                <w:rFonts w:ascii="Times New Roman"/>
                <w:sz w:val="21"/>
              </w:rPr>
              <w:t>0.18</w:t>
            </w:r>
          </w:p>
        </w:tc>
        <w:tc>
          <w:tcPr>
            <w:tcW w:w="1294" w:type="dxa"/>
          </w:tcPr>
          <w:p>
            <w:pPr>
              <w:pStyle w:val="14"/>
              <w:spacing w:before="38"/>
              <w:ind w:left="310" w:right="302"/>
              <w:rPr>
                <w:rFonts w:ascii="Times New Roman"/>
                <w:sz w:val="21"/>
              </w:rPr>
            </w:pPr>
            <w:bookmarkStart w:id="676" w:name="7.22"/>
            <w:bookmarkEnd w:id="676"/>
            <w:r>
              <w:rPr>
                <w:rFonts w:ascii="Times New Roman"/>
                <w:sz w:val="21"/>
              </w:rPr>
              <w:t>7.22</w:t>
            </w:r>
          </w:p>
        </w:tc>
        <w:tc>
          <w:tcPr>
            <w:tcW w:w="1299" w:type="dxa"/>
          </w:tcPr>
          <w:p>
            <w:pPr>
              <w:pStyle w:val="14"/>
              <w:spacing w:before="35"/>
              <w:ind w:left="314" w:right="302"/>
              <w:rPr>
                <w:rFonts w:ascii="Times New Roman"/>
                <w:sz w:val="21"/>
              </w:rPr>
            </w:pPr>
            <w:r>
              <w:rPr>
                <w:rFonts w:ascii="Times New Roman"/>
                <w:sz w:val="21"/>
              </w:rPr>
              <w:t>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21"/>
              <w:ind w:left="128"/>
              <w:jc w:val="left"/>
              <w:rPr>
                <w:sz w:val="21"/>
              </w:rPr>
            </w:pPr>
            <w:r>
              <w:rPr>
                <w:rFonts w:ascii="Times New Roman" w:eastAsia="Times New Roman"/>
                <w:sz w:val="21"/>
              </w:rPr>
              <w:t>COD</w:t>
            </w:r>
            <w:r>
              <w:rPr>
                <w:sz w:val="21"/>
              </w:rPr>
              <w:t>（</w:t>
            </w:r>
            <w:r>
              <w:rPr>
                <w:rFonts w:ascii="Times New Roman" w:eastAsia="Times New Roman"/>
                <w:sz w:val="21"/>
              </w:rPr>
              <w:t>mg/L</w:t>
            </w:r>
            <w:r>
              <w:rPr>
                <w:sz w:val="21"/>
              </w:rPr>
              <w:t>）</w:t>
            </w:r>
          </w:p>
        </w:tc>
        <w:tc>
          <w:tcPr>
            <w:tcW w:w="1294" w:type="dxa"/>
          </w:tcPr>
          <w:p>
            <w:pPr>
              <w:pStyle w:val="14"/>
              <w:spacing w:before="37"/>
              <w:ind w:left="309" w:right="302"/>
              <w:rPr>
                <w:rFonts w:ascii="Times New Roman"/>
                <w:sz w:val="21"/>
              </w:rPr>
            </w:pPr>
            <w:bookmarkStart w:id="677" w:name="42"/>
            <w:bookmarkEnd w:id="677"/>
            <w:r>
              <w:rPr>
                <w:rFonts w:ascii="Times New Roman"/>
                <w:sz w:val="21"/>
              </w:rPr>
              <w:t>42</w:t>
            </w:r>
          </w:p>
        </w:tc>
        <w:tc>
          <w:tcPr>
            <w:tcW w:w="1294" w:type="dxa"/>
          </w:tcPr>
          <w:p>
            <w:pPr>
              <w:pStyle w:val="14"/>
              <w:spacing w:before="35"/>
              <w:ind w:left="310" w:right="299"/>
              <w:rPr>
                <w:rFonts w:ascii="Times New Roman"/>
                <w:sz w:val="21"/>
              </w:rPr>
            </w:pPr>
            <w:r>
              <w:rPr>
                <w:rFonts w:ascii="Times New Roman"/>
                <w:sz w:val="21"/>
              </w:rPr>
              <w:t>2.10</w:t>
            </w:r>
          </w:p>
        </w:tc>
        <w:tc>
          <w:tcPr>
            <w:tcW w:w="1294" w:type="dxa"/>
          </w:tcPr>
          <w:p>
            <w:pPr>
              <w:pStyle w:val="14"/>
              <w:spacing w:before="37"/>
              <w:ind w:left="310" w:right="300"/>
              <w:rPr>
                <w:rFonts w:ascii="Times New Roman"/>
                <w:sz w:val="21"/>
              </w:rPr>
            </w:pPr>
            <w:bookmarkStart w:id="678" w:name="44"/>
            <w:bookmarkEnd w:id="678"/>
            <w:r>
              <w:rPr>
                <w:rFonts w:ascii="Times New Roman"/>
                <w:sz w:val="21"/>
              </w:rPr>
              <w:t>44</w:t>
            </w:r>
          </w:p>
        </w:tc>
        <w:tc>
          <w:tcPr>
            <w:tcW w:w="1294" w:type="dxa"/>
          </w:tcPr>
          <w:p>
            <w:pPr>
              <w:pStyle w:val="14"/>
              <w:spacing w:before="35"/>
              <w:ind w:left="310" w:right="301"/>
              <w:rPr>
                <w:rFonts w:ascii="Times New Roman"/>
                <w:sz w:val="21"/>
              </w:rPr>
            </w:pPr>
            <w:r>
              <w:rPr>
                <w:rFonts w:ascii="Times New Roman"/>
                <w:sz w:val="21"/>
              </w:rPr>
              <w:t>2.20</w:t>
            </w:r>
          </w:p>
        </w:tc>
        <w:tc>
          <w:tcPr>
            <w:tcW w:w="1294" w:type="dxa"/>
          </w:tcPr>
          <w:p>
            <w:pPr>
              <w:pStyle w:val="14"/>
              <w:spacing w:before="37"/>
              <w:ind w:left="310" w:right="302"/>
              <w:rPr>
                <w:rFonts w:ascii="Times New Roman"/>
                <w:sz w:val="21"/>
              </w:rPr>
            </w:pPr>
            <w:bookmarkStart w:id="679" w:name="48"/>
            <w:bookmarkEnd w:id="679"/>
            <w:r>
              <w:rPr>
                <w:rFonts w:ascii="Times New Roman"/>
                <w:sz w:val="21"/>
              </w:rPr>
              <w:t>48</w:t>
            </w:r>
          </w:p>
        </w:tc>
        <w:tc>
          <w:tcPr>
            <w:tcW w:w="1299" w:type="dxa"/>
          </w:tcPr>
          <w:p>
            <w:pPr>
              <w:pStyle w:val="14"/>
              <w:spacing w:before="35"/>
              <w:ind w:left="314" w:right="302"/>
              <w:rPr>
                <w:rFonts w:ascii="Times New Roman"/>
                <w:sz w:val="21"/>
              </w:rPr>
            </w:pPr>
            <w:r>
              <w:rPr>
                <w:rFonts w:ascii="Times New Roman"/>
                <w:sz w:val="21"/>
              </w:rPr>
              <w:t>2.40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21"/>
              <w:ind w:left="106" w:right="-15"/>
              <w:jc w:val="left"/>
              <w:rPr>
                <w:sz w:val="21"/>
              </w:rPr>
            </w:pPr>
            <w:r>
              <w:rPr>
                <w:spacing w:val="-13"/>
                <w:sz w:val="21"/>
              </w:rPr>
              <w:t>石油类</w:t>
            </w:r>
            <w:r>
              <w:rPr>
                <w:sz w:val="21"/>
              </w:rPr>
              <w:t>（</w:t>
            </w:r>
            <w:r>
              <w:rPr>
                <w:rFonts w:ascii="Times New Roman" w:eastAsia="Times New Roman"/>
                <w:sz w:val="21"/>
              </w:rPr>
              <w:t>mg/L</w:t>
            </w:r>
            <w:r>
              <w:rPr>
                <w:sz w:val="21"/>
              </w:rPr>
              <w:t>）</w:t>
            </w:r>
          </w:p>
        </w:tc>
        <w:tc>
          <w:tcPr>
            <w:tcW w:w="1294" w:type="dxa"/>
          </w:tcPr>
          <w:p>
            <w:pPr>
              <w:pStyle w:val="14"/>
              <w:spacing w:before="37"/>
              <w:ind w:left="310" w:right="299"/>
              <w:rPr>
                <w:rFonts w:ascii="Times New Roman"/>
                <w:sz w:val="21"/>
              </w:rPr>
            </w:pPr>
            <w:bookmarkStart w:id="680" w:name="0.01L"/>
            <w:bookmarkEnd w:id="680"/>
            <w:r>
              <w:rPr>
                <w:rFonts w:ascii="Times New Roman"/>
                <w:sz w:val="21"/>
              </w:rPr>
              <w:t>0.01L</w:t>
            </w:r>
          </w:p>
        </w:tc>
        <w:tc>
          <w:tcPr>
            <w:tcW w:w="1294" w:type="dxa"/>
          </w:tcPr>
          <w:p>
            <w:pPr>
              <w:pStyle w:val="14"/>
              <w:spacing w:before="21"/>
              <w:ind w:left="309" w:right="302"/>
              <w:rPr>
                <w:sz w:val="21"/>
              </w:rPr>
            </w:pPr>
            <w:r>
              <w:rPr>
                <w:sz w:val="21"/>
              </w:rPr>
              <w:t>未检出</w:t>
            </w:r>
          </w:p>
        </w:tc>
        <w:tc>
          <w:tcPr>
            <w:tcW w:w="1294" w:type="dxa"/>
          </w:tcPr>
          <w:p>
            <w:pPr>
              <w:pStyle w:val="14"/>
              <w:spacing w:before="37"/>
              <w:ind w:left="310" w:right="301"/>
              <w:rPr>
                <w:rFonts w:ascii="Times New Roman"/>
                <w:sz w:val="21"/>
              </w:rPr>
            </w:pPr>
            <w:bookmarkStart w:id="681" w:name="0.01L"/>
            <w:bookmarkEnd w:id="681"/>
            <w:r>
              <w:rPr>
                <w:rFonts w:ascii="Times New Roman"/>
                <w:sz w:val="21"/>
              </w:rPr>
              <w:t>0.01L</w:t>
            </w:r>
          </w:p>
        </w:tc>
        <w:tc>
          <w:tcPr>
            <w:tcW w:w="1294" w:type="dxa"/>
          </w:tcPr>
          <w:p>
            <w:pPr>
              <w:pStyle w:val="14"/>
              <w:spacing w:before="21"/>
              <w:ind w:left="308" w:right="302"/>
              <w:rPr>
                <w:sz w:val="21"/>
              </w:rPr>
            </w:pPr>
            <w:r>
              <w:rPr>
                <w:sz w:val="21"/>
              </w:rPr>
              <w:t>未检出</w:t>
            </w:r>
          </w:p>
        </w:tc>
        <w:tc>
          <w:tcPr>
            <w:tcW w:w="1294" w:type="dxa"/>
          </w:tcPr>
          <w:p>
            <w:pPr>
              <w:pStyle w:val="14"/>
              <w:spacing w:before="37"/>
              <w:ind w:left="310" w:right="300"/>
              <w:rPr>
                <w:rFonts w:ascii="Times New Roman"/>
                <w:sz w:val="21"/>
              </w:rPr>
            </w:pPr>
            <w:bookmarkStart w:id="682" w:name="0.01L"/>
            <w:bookmarkEnd w:id="682"/>
            <w:r>
              <w:rPr>
                <w:rFonts w:ascii="Times New Roman"/>
                <w:sz w:val="21"/>
              </w:rPr>
              <w:t>0.01L</w:t>
            </w:r>
          </w:p>
        </w:tc>
        <w:tc>
          <w:tcPr>
            <w:tcW w:w="1299" w:type="dxa"/>
          </w:tcPr>
          <w:p>
            <w:pPr>
              <w:pStyle w:val="14"/>
              <w:spacing w:before="21"/>
              <w:ind w:left="314" w:right="305"/>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20"/>
              <w:ind w:left="140"/>
              <w:jc w:val="left"/>
              <w:rPr>
                <w:sz w:val="21"/>
              </w:rPr>
            </w:pPr>
            <w:r>
              <w:rPr>
                <w:sz w:val="21"/>
              </w:rPr>
              <w:t>总铁（</w:t>
            </w:r>
            <w:r>
              <w:rPr>
                <w:rFonts w:ascii="Times New Roman" w:eastAsia="Times New Roman"/>
                <w:sz w:val="21"/>
              </w:rPr>
              <w:t>mg/L</w:t>
            </w:r>
            <w:r>
              <w:rPr>
                <w:sz w:val="21"/>
              </w:rPr>
              <w:t>）</w:t>
            </w:r>
          </w:p>
        </w:tc>
        <w:tc>
          <w:tcPr>
            <w:tcW w:w="1294" w:type="dxa"/>
          </w:tcPr>
          <w:p>
            <w:pPr>
              <w:pStyle w:val="14"/>
              <w:spacing w:before="39"/>
              <w:ind w:left="310" w:right="301"/>
              <w:rPr>
                <w:rFonts w:ascii="Times New Roman"/>
                <w:sz w:val="21"/>
              </w:rPr>
            </w:pPr>
            <w:bookmarkStart w:id="683" w:name="0.40"/>
            <w:bookmarkEnd w:id="683"/>
            <w:r>
              <w:rPr>
                <w:rFonts w:ascii="Times New Roman"/>
                <w:sz w:val="21"/>
              </w:rPr>
              <w:t>0.40</w:t>
            </w:r>
          </w:p>
        </w:tc>
        <w:tc>
          <w:tcPr>
            <w:tcW w:w="1294" w:type="dxa"/>
          </w:tcPr>
          <w:p>
            <w:pPr>
              <w:pStyle w:val="14"/>
              <w:spacing w:before="34"/>
              <w:ind w:left="310" w:right="299"/>
              <w:rPr>
                <w:rFonts w:ascii="Times New Roman"/>
                <w:sz w:val="21"/>
              </w:rPr>
            </w:pPr>
            <w:r>
              <w:rPr>
                <w:rFonts w:ascii="Times New Roman"/>
                <w:sz w:val="21"/>
              </w:rPr>
              <w:t>1.33</w:t>
            </w:r>
          </w:p>
        </w:tc>
        <w:tc>
          <w:tcPr>
            <w:tcW w:w="1294" w:type="dxa"/>
          </w:tcPr>
          <w:p>
            <w:pPr>
              <w:pStyle w:val="14"/>
              <w:spacing w:before="39"/>
              <w:ind w:left="310" w:right="300"/>
              <w:rPr>
                <w:rFonts w:ascii="Times New Roman"/>
                <w:sz w:val="21"/>
              </w:rPr>
            </w:pPr>
            <w:bookmarkStart w:id="684" w:name="0.39"/>
            <w:bookmarkEnd w:id="684"/>
            <w:r>
              <w:rPr>
                <w:rFonts w:ascii="Times New Roman"/>
                <w:sz w:val="21"/>
              </w:rPr>
              <w:t>0.39</w:t>
            </w:r>
          </w:p>
        </w:tc>
        <w:tc>
          <w:tcPr>
            <w:tcW w:w="1294" w:type="dxa"/>
          </w:tcPr>
          <w:p>
            <w:pPr>
              <w:pStyle w:val="14"/>
              <w:spacing w:before="34"/>
              <w:ind w:left="310" w:right="301"/>
              <w:rPr>
                <w:rFonts w:ascii="Times New Roman"/>
                <w:sz w:val="21"/>
              </w:rPr>
            </w:pPr>
            <w:r>
              <w:rPr>
                <w:rFonts w:ascii="Times New Roman"/>
                <w:sz w:val="21"/>
              </w:rPr>
              <w:t>1.30</w:t>
            </w:r>
          </w:p>
        </w:tc>
        <w:tc>
          <w:tcPr>
            <w:tcW w:w="1294" w:type="dxa"/>
          </w:tcPr>
          <w:p>
            <w:pPr>
              <w:pStyle w:val="14"/>
              <w:spacing w:before="39"/>
              <w:ind w:left="310" w:right="302"/>
              <w:rPr>
                <w:rFonts w:ascii="Times New Roman"/>
                <w:sz w:val="21"/>
              </w:rPr>
            </w:pPr>
            <w:bookmarkStart w:id="685" w:name="0.42"/>
            <w:bookmarkEnd w:id="685"/>
            <w:r>
              <w:rPr>
                <w:rFonts w:ascii="Times New Roman"/>
                <w:sz w:val="21"/>
              </w:rPr>
              <w:t>0.42</w:t>
            </w:r>
          </w:p>
        </w:tc>
        <w:tc>
          <w:tcPr>
            <w:tcW w:w="1299" w:type="dxa"/>
          </w:tcPr>
          <w:p>
            <w:pPr>
              <w:pStyle w:val="14"/>
              <w:spacing w:before="34"/>
              <w:ind w:left="314" w:right="302"/>
              <w:rPr>
                <w:rFonts w:ascii="Times New Roman"/>
                <w:sz w:val="21"/>
              </w:rPr>
            </w:pPr>
            <w:r>
              <w:rPr>
                <w:rFonts w:ascii="Times New Roman"/>
                <w:sz w:val="21"/>
              </w:rPr>
              <w:t>1.40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575" w:type="dxa"/>
          </w:tcPr>
          <w:p>
            <w:pPr>
              <w:pStyle w:val="14"/>
              <w:spacing w:before="20"/>
              <w:ind w:left="140"/>
              <w:jc w:val="left"/>
              <w:rPr>
                <w:sz w:val="21"/>
              </w:rPr>
            </w:pPr>
            <w:r>
              <w:rPr>
                <w:sz w:val="21"/>
              </w:rPr>
              <w:t>总锰（</w:t>
            </w:r>
            <w:r>
              <w:rPr>
                <w:rFonts w:ascii="Times New Roman" w:eastAsia="Times New Roman"/>
                <w:sz w:val="21"/>
              </w:rPr>
              <w:t>mg/L</w:t>
            </w:r>
            <w:r>
              <w:rPr>
                <w:sz w:val="21"/>
              </w:rPr>
              <w:t>）</w:t>
            </w:r>
          </w:p>
        </w:tc>
        <w:tc>
          <w:tcPr>
            <w:tcW w:w="1294" w:type="dxa"/>
          </w:tcPr>
          <w:p>
            <w:pPr>
              <w:pStyle w:val="14"/>
              <w:spacing w:before="38"/>
              <w:ind w:left="310" w:right="301"/>
              <w:rPr>
                <w:rFonts w:ascii="Times New Roman"/>
                <w:sz w:val="21"/>
              </w:rPr>
            </w:pPr>
            <w:bookmarkStart w:id="686" w:name="0.01"/>
            <w:bookmarkEnd w:id="686"/>
            <w:r>
              <w:rPr>
                <w:rFonts w:ascii="Times New Roman"/>
                <w:sz w:val="21"/>
              </w:rPr>
              <w:t>0.01</w:t>
            </w:r>
          </w:p>
        </w:tc>
        <w:tc>
          <w:tcPr>
            <w:tcW w:w="1294" w:type="dxa"/>
          </w:tcPr>
          <w:p>
            <w:pPr>
              <w:pStyle w:val="14"/>
              <w:spacing w:before="34"/>
              <w:ind w:left="310" w:right="299"/>
              <w:rPr>
                <w:rFonts w:ascii="Times New Roman"/>
                <w:sz w:val="21"/>
              </w:rPr>
            </w:pPr>
            <w:r>
              <w:rPr>
                <w:rFonts w:ascii="Times New Roman"/>
                <w:sz w:val="21"/>
              </w:rPr>
              <w:t>0.10</w:t>
            </w:r>
          </w:p>
        </w:tc>
        <w:tc>
          <w:tcPr>
            <w:tcW w:w="1294" w:type="dxa"/>
          </w:tcPr>
          <w:p>
            <w:pPr>
              <w:pStyle w:val="14"/>
              <w:spacing w:before="38"/>
              <w:ind w:left="310" w:right="300"/>
              <w:rPr>
                <w:rFonts w:ascii="Times New Roman"/>
                <w:sz w:val="21"/>
              </w:rPr>
            </w:pPr>
            <w:bookmarkStart w:id="687" w:name="0.01"/>
            <w:bookmarkEnd w:id="687"/>
            <w:r>
              <w:rPr>
                <w:rFonts w:ascii="Times New Roman"/>
                <w:sz w:val="21"/>
              </w:rPr>
              <w:t>0.01</w:t>
            </w:r>
          </w:p>
        </w:tc>
        <w:tc>
          <w:tcPr>
            <w:tcW w:w="1294" w:type="dxa"/>
          </w:tcPr>
          <w:p>
            <w:pPr>
              <w:pStyle w:val="14"/>
              <w:spacing w:before="34"/>
              <w:ind w:left="310" w:right="301"/>
              <w:rPr>
                <w:rFonts w:ascii="Times New Roman"/>
                <w:sz w:val="21"/>
              </w:rPr>
            </w:pPr>
            <w:r>
              <w:rPr>
                <w:rFonts w:ascii="Times New Roman"/>
                <w:sz w:val="21"/>
              </w:rPr>
              <w:t>0.10</w:t>
            </w:r>
          </w:p>
        </w:tc>
        <w:tc>
          <w:tcPr>
            <w:tcW w:w="1294" w:type="dxa"/>
          </w:tcPr>
          <w:p>
            <w:pPr>
              <w:pStyle w:val="14"/>
              <w:spacing w:before="38"/>
              <w:ind w:left="310" w:right="302"/>
              <w:rPr>
                <w:rFonts w:ascii="Times New Roman"/>
                <w:sz w:val="21"/>
              </w:rPr>
            </w:pPr>
            <w:bookmarkStart w:id="688" w:name="0.01"/>
            <w:bookmarkEnd w:id="688"/>
            <w:r>
              <w:rPr>
                <w:rFonts w:ascii="Times New Roman"/>
                <w:sz w:val="21"/>
              </w:rPr>
              <w:t>0.01</w:t>
            </w:r>
          </w:p>
        </w:tc>
        <w:tc>
          <w:tcPr>
            <w:tcW w:w="1299" w:type="dxa"/>
          </w:tcPr>
          <w:p>
            <w:pPr>
              <w:pStyle w:val="14"/>
              <w:spacing w:before="34"/>
              <w:ind w:left="314" w:right="302"/>
              <w:rPr>
                <w:rFonts w:ascii="Times New Roman"/>
                <w:sz w:val="21"/>
              </w:rPr>
            </w:pPr>
            <w:r>
              <w:rPr>
                <w:rFonts w:ascii="Times New Roman"/>
                <w:sz w:val="21"/>
              </w:rPr>
              <w: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19"/>
              <w:ind w:left="166"/>
              <w:jc w:val="left"/>
              <w:rPr>
                <w:sz w:val="21"/>
              </w:rPr>
            </w:pPr>
            <w:r>
              <w:rPr>
                <w:sz w:val="21"/>
              </w:rPr>
              <w:t>总汞（</w:t>
            </w:r>
            <w:r>
              <w:rPr>
                <w:rFonts w:ascii="Times New Roman" w:hAnsi="Times New Roman" w:eastAsia="Times New Roman"/>
                <w:sz w:val="21"/>
              </w:rPr>
              <w:t>μg/L</w:t>
            </w:r>
            <w:r>
              <w:rPr>
                <w:sz w:val="21"/>
              </w:rPr>
              <w:t>）</w:t>
            </w:r>
          </w:p>
        </w:tc>
        <w:tc>
          <w:tcPr>
            <w:tcW w:w="1294" w:type="dxa"/>
          </w:tcPr>
          <w:p>
            <w:pPr>
              <w:pStyle w:val="14"/>
              <w:spacing w:before="38"/>
              <w:ind w:left="310" w:right="301"/>
              <w:rPr>
                <w:rFonts w:ascii="Times New Roman"/>
                <w:sz w:val="21"/>
              </w:rPr>
            </w:pPr>
            <w:bookmarkStart w:id="689" w:name="0.04"/>
            <w:bookmarkEnd w:id="689"/>
            <w:r>
              <w:rPr>
                <w:rFonts w:ascii="Times New Roman"/>
                <w:sz w:val="21"/>
              </w:rPr>
              <w:t>0.04</w:t>
            </w:r>
          </w:p>
        </w:tc>
        <w:tc>
          <w:tcPr>
            <w:tcW w:w="1294" w:type="dxa"/>
          </w:tcPr>
          <w:p>
            <w:pPr>
              <w:pStyle w:val="14"/>
              <w:spacing w:before="19"/>
              <w:ind w:left="309" w:right="302"/>
              <w:rPr>
                <w:sz w:val="21"/>
              </w:rPr>
            </w:pPr>
            <w:r>
              <w:rPr>
                <w:sz w:val="21"/>
              </w:rPr>
              <w:t>未检出</w:t>
            </w:r>
          </w:p>
        </w:tc>
        <w:tc>
          <w:tcPr>
            <w:tcW w:w="1294" w:type="dxa"/>
          </w:tcPr>
          <w:p>
            <w:pPr>
              <w:pStyle w:val="14"/>
              <w:spacing w:before="38"/>
              <w:ind w:left="310" w:right="300"/>
              <w:rPr>
                <w:rFonts w:ascii="Times New Roman"/>
                <w:sz w:val="21"/>
              </w:rPr>
            </w:pPr>
            <w:bookmarkStart w:id="690" w:name="0.04"/>
            <w:bookmarkEnd w:id="690"/>
            <w:r>
              <w:rPr>
                <w:rFonts w:ascii="Times New Roman"/>
                <w:sz w:val="21"/>
              </w:rPr>
              <w:t>0.04</w:t>
            </w:r>
          </w:p>
        </w:tc>
        <w:tc>
          <w:tcPr>
            <w:tcW w:w="1294" w:type="dxa"/>
          </w:tcPr>
          <w:p>
            <w:pPr>
              <w:pStyle w:val="14"/>
              <w:spacing w:before="19"/>
              <w:ind w:left="308" w:right="302"/>
              <w:rPr>
                <w:sz w:val="21"/>
              </w:rPr>
            </w:pPr>
            <w:r>
              <w:rPr>
                <w:sz w:val="21"/>
              </w:rPr>
              <w:t>未检出</w:t>
            </w:r>
          </w:p>
        </w:tc>
        <w:tc>
          <w:tcPr>
            <w:tcW w:w="1294" w:type="dxa"/>
          </w:tcPr>
          <w:p>
            <w:pPr>
              <w:pStyle w:val="14"/>
              <w:spacing w:before="38"/>
              <w:ind w:left="310" w:right="302"/>
              <w:rPr>
                <w:rFonts w:ascii="Times New Roman"/>
                <w:sz w:val="21"/>
              </w:rPr>
            </w:pPr>
            <w:bookmarkStart w:id="691" w:name="0.04"/>
            <w:bookmarkEnd w:id="691"/>
            <w:r>
              <w:rPr>
                <w:rFonts w:ascii="Times New Roman"/>
                <w:sz w:val="21"/>
              </w:rPr>
              <w:t>0.04</w:t>
            </w:r>
          </w:p>
        </w:tc>
        <w:tc>
          <w:tcPr>
            <w:tcW w:w="1299" w:type="dxa"/>
          </w:tcPr>
          <w:p>
            <w:pPr>
              <w:pStyle w:val="14"/>
              <w:spacing w:before="19"/>
              <w:ind w:left="314" w:right="305"/>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19"/>
              <w:ind w:left="166"/>
              <w:jc w:val="left"/>
              <w:rPr>
                <w:sz w:val="21"/>
              </w:rPr>
            </w:pPr>
            <w:r>
              <w:rPr>
                <w:sz w:val="21"/>
              </w:rPr>
              <w:t>总镉（</w:t>
            </w:r>
            <w:r>
              <w:rPr>
                <w:rFonts w:ascii="Times New Roman" w:hAnsi="Times New Roman" w:eastAsia="Times New Roman"/>
                <w:sz w:val="21"/>
              </w:rPr>
              <w:t>μg/L</w:t>
            </w:r>
            <w:r>
              <w:rPr>
                <w:sz w:val="21"/>
              </w:rPr>
              <w:t>）</w:t>
            </w:r>
          </w:p>
        </w:tc>
        <w:tc>
          <w:tcPr>
            <w:tcW w:w="1294" w:type="dxa"/>
          </w:tcPr>
          <w:p>
            <w:pPr>
              <w:pStyle w:val="14"/>
              <w:spacing w:before="38"/>
              <w:ind w:left="310" w:right="299"/>
              <w:rPr>
                <w:rFonts w:ascii="Times New Roman"/>
                <w:sz w:val="21"/>
              </w:rPr>
            </w:pPr>
            <w:bookmarkStart w:id="692" w:name="0.1L"/>
            <w:bookmarkEnd w:id="692"/>
            <w:r>
              <w:rPr>
                <w:rFonts w:ascii="Times New Roman"/>
                <w:sz w:val="21"/>
              </w:rPr>
              <w:t>0.1L</w:t>
            </w:r>
          </w:p>
        </w:tc>
        <w:tc>
          <w:tcPr>
            <w:tcW w:w="1294" w:type="dxa"/>
          </w:tcPr>
          <w:p>
            <w:pPr>
              <w:pStyle w:val="14"/>
              <w:spacing w:before="19"/>
              <w:ind w:left="309" w:right="302"/>
              <w:rPr>
                <w:sz w:val="21"/>
              </w:rPr>
            </w:pPr>
            <w:r>
              <w:rPr>
                <w:sz w:val="21"/>
              </w:rPr>
              <w:t>未检出</w:t>
            </w:r>
          </w:p>
        </w:tc>
        <w:tc>
          <w:tcPr>
            <w:tcW w:w="1294" w:type="dxa"/>
          </w:tcPr>
          <w:p>
            <w:pPr>
              <w:pStyle w:val="14"/>
              <w:spacing w:before="38"/>
              <w:ind w:left="310" w:right="301"/>
              <w:rPr>
                <w:rFonts w:ascii="Times New Roman"/>
                <w:sz w:val="21"/>
              </w:rPr>
            </w:pPr>
            <w:bookmarkStart w:id="693" w:name="0.1L"/>
            <w:bookmarkEnd w:id="693"/>
            <w:r>
              <w:rPr>
                <w:rFonts w:ascii="Times New Roman"/>
                <w:sz w:val="21"/>
              </w:rPr>
              <w:t>0.1L</w:t>
            </w:r>
          </w:p>
        </w:tc>
        <w:tc>
          <w:tcPr>
            <w:tcW w:w="1294" w:type="dxa"/>
          </w:tcPr>
          <w:p>
            <w:pPr>
              <w:pStyle w:val="14"/>
              <w:spacing w:before="19"/>
              <w:ind w:left="308" w:right="302"/>
              <w:rPr>
                <w:sz w:val="21"/>
              </w:rPr>
            </w:pPr>
            <w:r>
              <w:rPr>
                <w:sz w:val="21"/>
              </w:rPr>
              <w:t>未检出</w:t>
            </w:r>
          </w:p>
        </w:tc>
        <w:tc>
          <w:tcPr>
            <w:tcW w:w="1294" w:type="dxa"/>
          </w:tcPr>
          <w:p>
            <w:pPr>
              <w:pStyle w:val="14"/>
              <w:spacing w:before="38"/>
              <w:ind w:left="310" w:right="298"/>
              <w:rPr>
                <w:rFonts w:ascii="Times New Roman"/>
                <w:sz w:val="21"/>
              </w:rPr>
            </w:pPr>
            <w:bookmarkStart w:id="694" w:name="0.1L"/>
            <w:bookmarkEnd w:id="694"/>
            <w:r>
              <w:rPr>
                <w:rFonts w:ascii="Times New Roman"/>
                <w:sz w:val="21"/>
              </w:rPr>
              <w:t>0.1L</w:t>
            </w:r>
          </w:p>
        </w:tc>
        <w:tc>
          <w:tcPr>
            <w:tcW w:w="1299" w:type="dxa"/>
          </w:tcPr>
          <w:p>
            <w:pPr>
              <w:pStyle w:val="14"/>
              <w:spacing w:before="19"/>
              <w:ind w:left="314" w:right="305"/>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21"/>
              <w:ind w:left="140"/>
              <w:jc w:val="left"/>
              <w:rPr>
                <w:sz w:val="21"/>
              </w:rPr>
            </w:pPr>
            <w:r>
              <w:rPr>
                <w:sz w:val="21"/>
              </w:rPr>
              <w:t>总铬（</w:t>
            </w:r>
            <w:r>
              <w:rPr>
                <w:rFonts w:ascii="Times New Roman" w:eastAsia="Times New Roman"/>
                <w:sz w:val="21"/>
              </w:rPr>
              <w:t>mg/L</w:t>
            </w:r>
            <w:r>
              <w:rPr>
                <w:sz w:val="21"/>
              </w:rPr>
              <w:t>）</w:t>
            </w:r>
          </w:p>
        </w:tc>
        <w:tc>
          <w:tcPr>
            <w:tcW w:w="1294" w:type="dxa"/>
          </w:tcPr>
          <w:p>
            <w:pPr>
              <w:pStyle w:val="14"/>
              <w:spacing w:before="37"/>
              <w:ind w:left="310" w:right="299"/>
              <w:rPr>
                <w:rFonts w:ascii="Times New Roman"/>
                <w:sz w:val="21"/>
              </w:rPr>
            </w:pPr>
            <w:bookmarkStart w:id="695" w:name="0.03L"/>
            <w:bookmarkEnd w:id="695"/>
            <w:r>
              <w:rPr>
                <w:rFonts w:ascii="Times New Roman"/>
                <w:sz w:val="21"/>
              </w:rPr>
              <w:t>0.03L</w:t>
            </w:r>
          </w:p>
        </w:tc>
        <w:tc>
          <w:tcPr>
            <w:tcW w:w="1294" w:type="dxa"/>
          </w:tcPr>
          <w:p>
            <w:pPr>
              <w:pStyle w:val="14"/>
              <w:spacing w:before="21"/>
              <w:ind w:left="309" w:right="302"/>
              <w:rPr>
                <w:sz w:val="21"/>
              </w:rPr>
            </w:pPr>
            <w:r>
              <w:rPr>
                <w:sz w:val="21"/>
              </w:rPr>
              <w:t>未检出</w:t>
            </w:r>
          </w:p>
        </w:tc>
        <w:tc>
          <w:tcPr>
            <w:tcW w:w="1294" w:type="dxa"/>
          </w:tcPr>
          <w:p>
            <w:pPr>
              <w:pStyle w:val="14"/>
              <w:spacing w:before="37"/>
              <w:ind w:left="310" w:right="301"/>
              <w:rPr>
                <w:rFonts w:ascii="Times New Roman"/>
                <w:sz w:val="21"/>
              </w:rPr>
            </w:pPr>
            <w:bookmarkStart w:id="696" w:name="0.03L"/>
            <w:bookmarkEnd w:id="696"/>
            <w:r>
              <w:rPr>
                <w:rFonts w:ascii="Times New Roman"/>
                <w:sz w:val="21"/>
              </w:rPr>
              <w:t>0.03L</w:t>
            </w:r>
          </w:p>
        </w:tc>
        <w:tc>
          <w:tcPr>
            <w:tcW w:w="1294" w:type="dxa"/>
          </w:tcPr>
          <w:p>
            <w:pPr>
              <w:pStyle w:val="14"/>
              <w:spacing w:before="21"/>
              <w:ind w:left="308" w:right="302"/>
              <w:rPr>
                <w:sz w:val="21"/>
              </w:rPr>
            </w:pPr>
            <w:r>
              <w:rPr>
                <w:sz w:val="21"/>
              </w:rPr>
              <w:t>未检出</w:t>
            </w:r>
          </w:p>
        </w:tc>
        <w:tc>
          <w:tcPr>
            <w:tcW w:w="1294" w:type="dxa"/>
          </w:tcPr>
          <w:p>
            <w:pPr>
              <w:pStyle w:val="14"/>
              <w:spacing w:before="37"/>
              <w:ind w:left="310" w:right="300"/>
              <w:rPr>
                <w:rFonts w:ascii="Times New Roman"/>
                <w:sz w:val="21"/>
              </w:rPr>
            </w:pPr>
            <w:bookmarkStart w:id="697" w:name="0.03L"/>
            <w:bookmarkEnd w:id="697"/>
            <w:r>
              <w:rPr>
                <w:rFonts w:ascii="Times New Roman"/>
                <w:sz w:val="21"/>
              </w:rPr>
              <w:t>0.03L</w:t>
            </w:r>
          </w:p>
        </w:tc>
        <w:tc>
          <w:tcPr>
            <w:tcW w:w="1299" w:type="dxa"/>
          </w:tcPr>
          <w:p>
            <w:pPr>
              <w:pStyle w:val="14"/>
              <w:spacing w:before="21"/>
              <w:ind w:left="314" w:right="305"/>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21"/>
              <w:ind w:left="166"/>
              <w:jc w:val="left"/>
              <w:rPr>
                <w:sz w:val="21"/>
              </w:rPr>
            </w:pPr>
            <w:r>
              <w:rPr>
                <w:sz w:val="21"/>
              </w:rPr>
              <w:t>总铅（</w:t>
            </w:r>
            <w:r>
              <w:rPr>
                <w:rFonts w:ascii="Times New Roman" w:hAnsi="Times New Roman" w:eastAsia="Times New Roman"/>
                <w:sz w:val="21"/>
              </w:rPr>
              <w:t>μg/L</w:t>
            </w:r>
            <w:r>
              <w:rPr>
                <w:sz w:val="21"/>
              </w:rPr>
              <w:t>）</w:t>
            </w:r>
          </w:p>
        </w:tc>
        <w:tc>
          <w:tcPr>
            <w:tcW w:w="1294" w:type="dxa"/>
          </w:tcPr>
          <w:p>
            <w:pPr>
              <w:pStyle w:val="14"/>
              <w:spacing w:before="37"/>
              <w:ind w:left="310" w:right="299"/>
              <w:rPr>
                <w:rFonts w:ascii="Times New Roman"/>
                <w:sz w:val="21"/>
              </w:rPr>
            </w:pPr>
            <w:bookmarkStart w:id="698" w:name="10L"/>
            <w:bookmarkEnd w:id="698"/>
            <w:r>
              <w:rPr>
                <w:rFonts w:ascii="Times New Roman"/>
                <w:sz w:val="21"/>
              </w:rPr>
              <w:t>10L</w:t>
            </w:r>
          </w:p>
        </w:tc>
        <w:tc>
          <w:tcPr>
            <w:tcW w:w="1294" w:type="dxa"/>
          </w:tcPr>
          <w:p>
            <w:pPr>
              <w:pStyle w:val="14"/>
              <w:spacing w:before="21"/>
              <w:ind w:left="309" w:right="302"/>
              <w:rPr>
                <w:sz w:val="21"/>
              </w:rPr>
            </w:pPr>
            <w:r>
              <w:rPr>
                <w:sz w:val="21"/>
              </w:rPr>
              <w:t>未检出</w:t>
            </w:r>
          </w:p>
        </w:tc>
        <w:tc>
          <w:tcPr>
            <w:tcW w:w="1294" w:type="dxa"/>
          </w:tcPr>
          <w:p>
            <w:pPr>
              <w:pStyle w:val="14"/>
              <w:spacing w:before="37"/>
              <w:ind w:left="310" w:right="301"/>
              <w:rPr>
                <w:rFonts w:ascii="Times New Roman"/>
                <w:sz w:val="21"/>
              </w:rPr>
            </w:pPr>
            <w:bookmarkStart w:id="699" w:name="10L"/>
            <w:bookmarkEnd w:id="699"/>
            <w:r>
              <w:rPr>
                <w:rFonts w:ascii="Times New Roman"/>
                <w:sz w:val="21"/>
              </w:rPr>
              <w:t>10L</w:t>
            </w:r>
          </w:p>
        </w:tc>
        <w:tc>
          <w:tcPr>
            <w:tcW w:w="1294" w:type="dxa"/>
          </w:tcPr>
          <w:p>
            <w:pPr>
              <w:pStyle w:val="14"/>
              <w:spacing w:before="21"/>
              <w:ind w:left="308" w:right="302"/>
              <w:rPr>
                <w:sz w:val="21"/>
              </w:rPr>
            </w:pPr>
            <w:r>
              <w:rPr>
                <w:sz w:val="21"/>
              </w:rPr>
              <w:t>未检出</w:t>
            </w:r>
          </w:p>
        </w:tc>
        <w:tc>
          <w:tcPr>
            <w:tcW w:w="1294" w:type="dxa"/>
          </w:tcPr>
          <w:p>
            <w:pPr>
              <w:pStyle w:val="14"/>
              <w:spacing w:before="37"/>
              <w:ind w:left="310" w:right="302"/>
              <w:rPr>
                <w:rFonts w:ascii="Times New Roman"/>
                <w:sz w:val="21"/>
              </w:rPr>
            </w:pPr>
            <w:bookmarkStart w:id="700" w:name="10L"/>
            <w:bookmarkEnd w:id="700"/>
            <w:r>
              <w:rPr>
                <w:rFonts w:ascii="Times New Roman"/>
                <w:sz w:val="21"/>
              </w:rPr>
              <w:t>10L</w:t>
            </w:r>
          </w:p>
        </w:tc>
        <w:tc>
          <w:tcPr>
            <w:tcW w:w="1299" w:type="dxa"/>
          </w:tcPr>
          <w:p>
            <w:pPr>
              <w:pStyle w:val="14"/>
              <w:spacing w:before="21"/>
              <w:ind w:left="314" w:right="305"/>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575" w:type="dxa"/>
          </w:tcPr>
          <w:p>
            <w:pPr>
              <w:pStyle w:val="14"/>
              <w:spacing w:before="20"/>
              <w:ind w:left="166"/>
              <w:jc w:val="left"/>
              <w:rPr>
                <w:sz w:val="21"/>
              </w:rPr>
            </w:pPr>
            <w:r>
              <w:rPr>
                <w:sz w:val="21"/>
              </w:rPr>
              <w:t>总砷（</w:t>
            </w:r>
            <w:r>
              <w:rPr>
                <w:rFonts w:ascii="Times New Roman" w:hAnsi="Times New Roman" w:eastAsia="Times New Roman"/>
                <w:sz w:val="21"/>
              </w:rPr>
              <w:t>μg/L</w:t>
            </w:r>
            <w:r>
              <w:rPr>
                <w:sz w:val="21"/>
              </w:rPr>
              <w:t>）</w:t>
            </w:r>
          </w:p>
        </w:tc>
        <w:tc>
          <w:tcPr>
            <w:tcW w:w="1294" w:type="dxa"/>
          </w:tcPr>
          <w:p>
            <w:pPr>
              <w:pStyle w:val="14"/>
              <w:spacing w:before="39"/>
              <w:ind w:left="310" w:right="299"/>
              <w:rPr>
                <w:rFonts w:ascii="Times New Roman"/>
                <w:sz w:val="21"/>
              </w:rPr>
            </w:pPr>
            <w:bookmarkStart w:id="701" w:name="0.3L"/>
            <w:bookmarkEnd w:id="701"/>
            <w:r>
              <w:rPr>
                <w:rFonts w:ascii="Times New Roman"/>
                <w:sz w:val="21"/>
              </w:rPr>
              <w:t>0.3L</w:t>
            </w:r>
          </w:p>
        </w:tc>
        <w:tc>
          <w:tcPr>
            <w:tcW w:w="1294" w:type="dxa"/>
          </w:tcPr>
          <w:p>
            <w:pPr>
              <w:pStyle w:val="14"/>
              <w:spacing w:before="20"/>
              <w:ind w:left="309" w:right="302"/>
              <w:rPr>
                <w:sz w:val="21"/>
              </w:rPr>
            </w:pPr>
            <w:r>
              <w:rPr>
                <w:sz w:val="21"/>
              </w:rPr>
              <w:t>未检出</w:t>
            </w:r>
          </w:p>
        </w:tc>
        <w:tc>
          <w:tcPr>
            <w:tcW w:w="1294" w:type="dxa"/>
          </w:tcPr>
          <w:p>
            <w:pPr>
              <w:pStyle w:val="14"/>
              <w:spacing w:before="39"/>
              <w:ind w:left="310" w:right="301"/>
              <w:rPr>
                <w:rFonts w:ascii="Times New Roman"/>
                <w:sz w:val="21"/>
              </w:rPr>
            </w:pPr>
            <w:bookmarkStart w:id="702" w:name="0.3L"/>
            <w:bookmarkEnd w:id="702"/>
            <w:r>
              <w:rPr>
                <w:rFonts w:ascii="Times New Roman"/>
                <w:sz w:val="21"/>
              </w:rPr>
              <w:t>0.3L</w:t>
            </w:r>
          </w:p>
        </w:tc>
        <w:tc>
          <w:tcPr>
            <w:tcW w:w="1294" w:type="dxa"/>
          </w:tcPr>
          <w:p>
            <w:pPr>
              <w:pStyle w:val="14"/>
              <w:spacing w:before="20"/>
              <w:ind w:left="308" w:right="302"/>
              <w:rPr>
                <w:sz w:val="21"/>
              </w:rPr>
            </w:pPr>
            <w:r>
              <w:rPr>
                <w:sz w:val="21"/>
              </w:rPr>
              <w:t>未检出</w:t>
            </w:r>
          </w:p>
        </w:tc>
        <w:tc>
          <w:tcPr>
            <w:tcW w:w="1294" w:type="dxa"/>
          </w:tcPr>
          <w:p>
            <w:pPr>
              <w:pStyle w:val="14"/>
              <w:spacing w:before="39"/>
              <w:ind w:left="310" w:right="298"/>
              <w:rPr>
                <w:rFonts w:ascii="Times New Roman"/>
                <w:sz w:val="21"/>
              </w:rPr>
            </w:pPr>
            <w:bookmarkStart w:id="703" w:name="0.3L"/>
            <w:bookmarkEnd w:id="703"/>
            <w:r>
              <w:rPr>
                <w:rFonts w:ascii="Times New Roman"/>
                <w:sz w:val="21"/>
              </w:rPr>
              <w:t>0.3L</w:t>
            </w:r>
          </w:p>
        </w:tc>
        <w:tc>
          <w:tcPr>
            <w:tcW w:w="1299" w:type="dxa"/>
          </w:tcPr>
          <w:p>
            <w:pPr>
              <w:pStyle w:val="14"/>
              <w:spacing w:before="20"/>
              <w:ind w:left="314" w:right="305"/>
              <w:rPr>
                <w:sz w:val="21"/>
              </w:rPr>
            </w:pPr>
            <w:r>
              <w:rPr>
                <w:sz w:val="21"/>
              </w:rPr>
              <w:t>未检出</w:t>
            </w:r>
          </w:p>
        </w:tc>
      </w:tr>
    </w:tbl>
    <w:p>
      <w:pPr>
        <w:spacing w:after="0"/>
        <w:rPr>
          <w:sz w:val="21"/>
        </w:rPr>
        <w:sectPr>
          <w:pgSz w:w="11910" w:h="16840"/>
          <w:pgMar w:top="1580" w:right="780" w:bottom="1240" w:left="1200" w:header="0" w:footer="1058" w:gutter="0"/>
        </w:sectPr>
      </w:pP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75"/>
        <w:gridCol w:w="1294"/>
        <w:gridCol w:w="1294"/>
        <w:gridCol w:w="1294"/>
        <w:gridCol w:w="1294"/>
        <w:gridCol w:w="1294"/>
        <w:gridCol w:w="12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575" w:type="dxa"/>
          </w:tcPr>
          <w:p>
            <w:pPr>
              <w:pStyle w:val="14"/>
              <w:spacing w:before="20"/>
              <w:ind w:left="140"/>
              <w:jc w:val="left"/>
              <w:rPr>
                <w:sz w:val="21"/>
              </w:rPr>
            </w:pPr>
            <w:r>
              <w:rPr>
                <w:sz w:val="21"/>
              </w:rPr>
              <w:t>总锌（</w:t>
            </w:r>
            <w:r>
              <w:rPr>
                <w:rFonts w:ascii="Times New Roman" w:eastAsia="Times New Roman"/>
                <w:sz w:val="21"/>
              </w:rPr>
              <w:t>mg/L</w:t>
            </w:r>
            <w:r>
              <w:rPr>
                <w:sz w:val="21"/>
              </w:rPr>
              <w:t>）</w:t>
            </w:r>
          </w:p>
        </w:tc>
        <w:tc>
          <w:tcPr>
            <w:tcW w:w="1294" w:type="dxa"/>
          </w:tcPr>
          <w:p>
            <w:pPr>
              <w:pStyle w:val="14"/>
              <w:spacing w:before="38"/>
              <w:ind w:left="310" w:right="301"/>
              <w:rPr>
                <w:rFonts w:ascii="Times New Roman"/>
                <w:sz w:val="21"/>
              </w:rPr>
            </w:pPr>
            <w:bookmarkStart w:id="704" w:name="0.05"/>
            <w:bookmarkEnd w:id="704"/>
            <w:r>
              <w:rPr>
                <w:rFonts w:ascii="Times New Roman"/>
                <w:sz w:val="21"/>
              </w:rPr>
              <w:t>0.05</w:t>
            </w:r>
          </w:p>
        </w:tc>
        <w:tc>
          <w:tcPr>
            <w:tcW w:w="1294" w:type="dxa"/>
          </w:tcPr>
          <w:p>
            <w:pPr>
              <w:pStyle w:val="14"/>
              <w:spacing w:before="34"/>
              <w:ind w:left="310" w:right="299"/>
              <w:rPr>
                <w:rFonts w:ascii="Times New Roman"/>
                <w:sz w:val="21"/>
              </w:rPr>
            </w:pPr>
            <w:r>
              <w:rPr>
                <w:rFonts w:ascii="Times New Roman"/>
                <w:sz w:val="21"/>
              </w:rPr>
              <w:t>0.05</w:t>
            </w:r>
          </w:p>
        </w:tc>
        <w:tc>
          <w:tcPr>
            <w:tcW w:w="1294" w:type="dxa"/>
          </w:tcPr>
          <w:p>
            <w:pPr>
              <w:pStyle w:val="14"/>
              <w:spacing w:before="38"/>
              <w:ind w:left="310" w:right="300"/>
              <w:rPr>
                <w:rFonts w:ascii="Times New Roman"/>
                <w:sz w:val="21"/>
              </w:rPr>
            </w:pPr>
            <w:bookmarkStart w:id="705" w:name="0.05"/>
            <w:bookmarkEnd w:id="705"/>
            <w:r>
              <w:rPr>
                <w:rFonts w:ascii="Times New Roman"/>
                <w:sz w:val="21"/>
              </w:rPr>
              <w:t>0.05</w:t>
            </w:r>
          </w:p>
        </w:tc>
        <w:tc>
          <w:tcPr>
            <w:tcW w:w="1294" w:type="dxa"/>
          </w:tcPr>
          <w:p>
            <w:pPr>
              <w:pStyle w:val="14"/>
              <w:spacing w:before="34"/>
              <w:ind w:left="310" w:right="301"/>
              <w:rPr>
                <w:rFonts w:ascii="Times New Roman"/>
                <w:sz w:val="21"/>
              </w:rPr>
            </w:pPr>
            <w:r>
              <w:rPr>
                <w:rFonts w:ascii="Times New Roman"/>
                <w:sz w:val="21"/>
              </w:rPr>
              <w:t>0.05</w:t>
            </w:r>
          </w:p>
        </w:tc>
        <w:tc>
          <w:tcPr>
            <w:tcW w:w="1294" w:type="dxa"/>
          </w:tcPr>
          <w:p>
            <w:pPr>
              <w:pStyle w:val="14"/>
              <w:spacing w:before="38"/>
              <w:ind w:left="310" w:right="302"/>
              <w:rPr>
                <w:rFonts w:ascii="Times New Roman"/>
                <w:sz w:val="21"/>
              </w:rPr>
            </w:pPr>
            <w:bookmarkStart w:id="706" w:name="0.05"/>
            <w:bookmarkEnd w:id="706"/>
            <w:r>
              <w:rPr>
                <w:rFonts w:ascii="Times New Roman"/>
                <w:sz w:val="21"/>
              </w:rPr>
              <w:t>0.05</w:t>
            </w:r>
          </w:p>
        </w:tc>
        <w:tc>
          <w:tcPr>
            <w:tcW w:w="1299" w:type="dxa"/>
          </w:tcPr>
          <w:p>
            <w:pPr>
              <w:pStyle w:val="14"/>
              <w:spacing w:before="34"/>
              <w:ind w:left="314" w:right="302"/>
              <w:rPr>
                <w:rFonts w:ascii="Times New Roman"/>
                <w:sz w:val="21"/>
              </w:rPr>
            </w:pPr>
            <w:r>
              <w:rPr>
                <w:rFonts w:ascii="Times New Roman"/>
                <w:sz w:val="21"/>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19"/>
              <w:ind w:left="106" w:right="-15"/>
              <w:jc w:val="left"/>
              <w:rPr>
                <w:sz w:val="21"/>
              </w:rPr>
            </w:pPr>
            <w:r>
              <w:rPr>
                <w:spacing w:val="-13"/>
                <w:sz w:val="21"/>
              </w:rPr>
              <w:t>六价铬</w:t>
            </w:r>
            <w:r>
              <w:rPr>
                <w:sz w:val="21"/>
              </w:rPr>
              <w:t>（</w:t>
            </w:r>
            <w:r>
              <w:rPr>
                <w:rFonts w:ascii="Times New Roman" w:eastAsia="Times New Roman"/>
                <w:sz w:val="21"/>
              </w:rPr>
              <w:t>mg/L</w:t>
            </w:r>
            <w:r>
              <w:rPr>
                <w:sz w:val="21"/>
              </w:rPr>
              <w:t>）</w:t>
            </w:r>
          </w:p>
        </w:tc>
        <w:tc>
          <w:tcPr>
            <w:tcW w:w="1294" w:type="dxa"/>
          </w:tcPr>
          <w:p>
            <w:pPr>
              <w:pStyle w:val="14"/>
              <w:spacing w:before="38"/>
              <w:ind w:right="335"/>
              <w:jc w:val="right"/>
              <w:rPr>
                <w:rFonts w:ascii="Times New Roman"/>
                <w:sz w:val="21"/>
              </w:rPr>
            </w:pPr>
            <w:bookmarkStart w:id="707" w:name="0.004L"/>
            <w:bookmarkEnd w:id="707"/>
            <w:r>
              <w:rPr>
                <w:rFonts w:ascii="Times New Roman"/>
                <w:w w:val="95"/>
                <w:sz w:val="21"/>
              </w:rPr>
              <w:t>0.004L</w:t>
            </w:r>
          </w:p>
        </w:tc>
        <w:tc>
          <w:tcPr>
            <w:tcW w:w="1294" w:type="dxa"/>
          </w:tcPr>
          <w:p>
            <w:pPr>
              <w:pStyle w:val="14"/>
              <w:spacing w:before="19"/>
              <w:ind w:left="309" w:right="302"/>
              <w:rPr>
                <w:sz w:val="21"/>
              </w:rPr>
            </w:pPr>
            <w:r>
              <w:rPr>
                <w:sz w:val="21"/>
              </w:rPr>
              <w:t>未检出</w:t>
            </w:r>
          </w:p>
        </w:tc>
        <w:tc>
          <w:tcPr>
            <w:tcW w:w="1294" w:type="dxa"/>
          </w:tcPr>
          <w:p>
            <w:pPr>
              <w:pStyle w:val="14"/>
              <w:spacing w:before="38"/>
              <w:ind w:left="310" w:right="298"/>
              <w:rPr>
                <w:rFonts w:ascii="Times New Roman"/>
                <w:sz w:val="21"/>
              </w:rPr>
            </w:pPr>
            <w:bookmarkStart w:id="708" w:name="0.004L"/>
            <w:bookmarkEnd w:id="708"/>
            <w:r>
              <w:rPr>
                <w:rFonts w:ascii="Times New Roman"/>
                <w:sz w:val="21"/>
              </w:rPr>
              <w:t>0.004L</w:t>
            </w:r>
          </w:p>
        </w:tc>
        <w:tc>
          <w:tcPr>
            <w:tcW w:w="1294" w:type="dxa"/>
          </w:tcPr>
          <w:p>
            <w:pPr>
              <w:pStyle w:val="14"/>
              <w:spacing w:before="19"/>
              <w:ind w:left="308" w:right="302"/>
              <w:rPr>
                <w:sz w:val="21"/>
              </w:rPr>
            </w:pPr>
            <w:r>
              <w:rPr>
                <w:sz w:val="21"/>
              </w:rPr>
              <w:t>未检出</w:t>
            </w:r>
          </w:p>
        </w:tc>
        <w:tc>
          <w:tcPr>
            <w:tcW w:w="1294" w:type="dxa"/>
          </w:tcPr>
          <w:p>
            <w:pPr>
              <w:pStyle w:val="14"/>
              <w:spacing w:before="38"/>
              <w:ind w:left="310" w:right="300"/>
              <w:rPr>
                <w:rFonts w:ascii="Times New Roman"/>
                <w:sz w:val="21"/>
              </w:rPr>
            </w:pPr>
            <w:bookmarkStart w:id="709" w:name="0.004L"/>
            <w:bookmarkEnd w:id="709"/>
            <w:r>
              <w:rPr>
                <w:rFonts w:ascii="Times New Roman"/>
                <w:sz w:val="21"/>
              </w:rPr>
              <w:t>0.004L</w:t>
            </w:r>
          </w:p>
        </w:tc>
        <w:tc>
          <w:tcPr>
            <w:tcW w:w="1299" w:type="dxa"/>
          </w:tcPr>
          <w:p>
            <w:pPr>
              <w:pStyle w:val="14"/>
              <w:spacing w:before="19"/>
              <w:ind w:left="314" w:right="305"/>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19"/>
              <w:ind w:left="106" w:right="-15"/>
              <w:jc w:val="left"/>
              <w:rPr>
                <w:sz w:val="21"/>
              </w:rPr>
            </w:pPr>
            <w:r>
              <w:rPr>
                <w:spacing w:val="-13"/>
                <w:sz w:val="21"/>
              </w:rPr>
              <w:t>氟化物</w:t>
            </w:r>
            <w:r>
              <w:rPr>
                <w:sz w:val="21"/>
              </w:rPr>
              <w:t>（</w:t>
            </w:r>
            <w:r>
              <w:rPr>
                <w:rFonts w:ascii="Times New Roman" w:eastAsia="Times New Roman"/>
                <w:sz w:val="21"/>
              </w:rPr>
              <w:t>mg/L</w:t>
            </w:r>
            <w:r>
              <w:rPr>
                <w:sz w:val="21"/>
              </w:rPr>
              <w:t>）</w:t>
            </w:r>
          </w:p>
        </w:tc>
        <w:tc>
          <w:tcPr>
            <w:tcW w:w="1294" w:type="dxa"/>
          </w:tcPr>
          <w:p>
            <w:pPr>
              <w:pStyle w:val="14"/>
              <w:spacing w:before="38"/>
              <w:ind w:right="385"/>
              <w:jc w:val="right"/>
              <w:rPr>
                <w:rFonts w:ascii="Times New Roman"/>
                <w:sz w:val="21"/>
              </w:rPr>
            </w:pPr>
            <w:bookmarkStart w:id="710" w:name="0.05L"/>
            <w:bookmarkEnd w:id="710"/>
            <w:r>
              <w:rPr>
                <w:rFonts w:ascii="Times New Roman"/>
                <w:sz w:val="21"/>
              </w:rPr>
              <w:t>0.05L</w:t>
            </w:r>
          </w:p>
        </w:tc>
        <w:tc>
          <w:tcPr>
            <w:tcW w:w="1294" w:type="dxa"/>
          </w:tcPr>
          <w:p>
            <w:pPr>
              <w:pStyle w:val="14"/>
              <w:spacing w:before="19"/>
              <w:ind w:left="309" w:right="302"/>
              <w:rPr>
                <w:sz w:val="21"/>
              </w:rPr>
            </w:pPr>
            <w:r>
              <w:rPr>
                <w:sz w:val="21"/>
              </w:rPr>
              <w:t>未检出</w:t>
            </w:r>
          </w:p>
        </w:tc>
        <w:tc>
          <w:tcPr>
            <w:tcW w:w="1294" w:type="dxa"/>
          </w:tcPr>
          <w:p>
            <w:pPr>
              <w:pStyle w:val="14"/>
              <w:spacing w:before="38"/>
              <w:ind w:left="310" w:right="301"/>
              <w:rPr>
                <w:rFonts w:ascii="Times New Roman"/>
                <w:sz w:val="21"/>
              </w:rPr>
            </w:pPr>
            <w:bookmarkStart w:id="711" w:name="0.05L"/>
            <w:bookmarkEnd w:id="711"/>
            <w:r>
              <w:rPr>
                <w:rFonts w:ascii="Times New Roman"/>
                <w:sz w:val="21"/>
              </w:rPr>
              <w:t>0.05L</w:t>
            </w:r>
          </w:p>
        </w:tc>
        <w:tc>
          <w:tcPr>
            <w:tcW w:w="1294" w:type="dxa"/>
          </w:tcPr>
          <w:p>
            <w:pPr>
              <w:pStyle w:val="14"/>
              <w:spacing w:before="19"/>
              <w:ind w:left="308" w:right="302"/>
              <w:rPr>
                <w:sz w:val="21"/>
              </w:rPr>
            </w:pPr>
            <w:r>
              <w:rPr>
                <w:sz w:val="21"/>
              </w:rPr>
              <w:t>未检出</w:t>
            </w:r>
          </w:p>
        </w:tc>
        <w:tc>
          <w:tcPr>
            <w:tcW w:w="1294" w:type="dxa"/>
          </w:tcPr>
          <w:p>
            <w:pPr>
              <w:pStyle w:val="14"/>
              <w:spacing w:before="38"/>
              <w:ind w:left="310" w:right="300"/>
              <w:rPr>
                <w:rFonts w:ascii="Times New Roman"/>
                <w:sz w:val="21"/>
              </w:rPr>
            </w:pPr>
            <w:bookmarkStart w:id="712" w:name="0.05L"/>
            <w:bookmarkEnd w:id="712"/>
            <w:r>
              <w:rPr>
                <w:rFonts w:ascii="Times New Roman"/>
                <w:sz w:val="21"/>
              </w:rPr>
              <w:t>0.05L</w:t>
            </w:r>
          </w:p>
        </w:tc>
        <w:tc>
          <w:tcPr>
            <w:tcW w:w="1299" w:type="dxa"/>
          </w:tcPr>
          <w:p>
            <w:pPr>
              <w:pStyle w:val="14"/>
              <w:spacing w:before="19"/>
              <w:ind w:left="314" w:right="305"/>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18" w:line="274" w:lineRule="exact"/>
              <w:ind w:left="109"/>
              <w:jc w:val="left"/>
              <w:rPr>
                <w:sz w:val="21"/>
              </w:rPr>
            </w:pPr>
            <w:r>
              <w:rPr>
                <w:rFonts w:ascii="Times New Roman" w:eastAsia="Times New Roman"/>
                <w:position w:val="2"/>
                <w:sz w:val="21"/>
              </w:rPr>
              <w:t>BOD</w:t>
            </w:r>
            <w:r>
              <w:rPr>
                <w:rFonts w:ascii="Times New Roman" w:eastAsia="Times New Roman"/>
                <w:position w:val="2"/>
                <w:sz w:val="21"/>
                <w:vertAlign w:val="subscript"/>
              </w:rPr>
              <w:t>5</w:t>
            </w:r>
            <w:r>
              <w:rPr>
                <w:position w:val="2"/>
                <w:sz w:val="21"/>
                <w:vertAlign w:val="baseline"/>
              </w:rPr>
              <w:t>（</w:t>
            </w:r>
            <w:r>
              <w:rPr>
                <w:rFonts w:ascii="Times New Roman" w:eastAsia="Times New Roman"/>
                <w:position w:val="2"/>
                <w:sz w:val="21"/>
                <w:vertAlign w:val="baseline"/>
              </w:rPr>
              <w:t>mg/L</w:t>
            </w:r>
            <w:r>
              <w:rPr>
                <w:position w:val="2"/>
                <w:sz w:val="21"/>
                <w:vertAlign w:val="baseline"/>
              </w:rPr>
              <w:t>）</w:t>
            </w:r>
          </w:p>
        </w:tc>
        <w:tc>
          <w:tcPr>
            <w:tcW w:w="1294" w:type="dxa"/>
          </w:tcPr>
          <w:p>
            <w:pPr>
              <w:pStyle w:val="14"/>
              <w:spacing w:before="37"/>
              <w:ind w:left="310" w:right="301"/>
              <w:rPr>
                <w:rFonts w:ascii="Times New Roman"/>
                <w:sz w:val="21"/>
              </w:rPr>
            </w:pPr>
            <w:bookmarkStart w:id="713" w:name="14.0"/>
            <w:bookmarkEnd w:id="713"/>
            <w:r>
              <w:rPr>
                <w:rFonts w:ascii="Times New Roman"/>
                <w:sz w:val="21"/>
              </w:rPr>
              <w:t>14.0</w:t>
            </w:r>
          </w:p>
        </w:tc>
        <w:tc>
          <w:tcPr>
            <w:tcW w:w="1294" w:type="dxa"/>
          </w:tcPr>
          <w:p>
            <w:pPr>
              <w:pStyle w:val="14"/>
              <w:spacing w:before="35"/>
              <w:ind w:left="310" w:right="299"/>
              <w:rPr>
                <w:rFonts w:ascii="Times New Roman"/>
                <w:sz w:val="21"/>
              </w:rPr>
            </w:pPr>
            <w:r>
              <w:rPr>
                <w:rFonts w:ascii="Times New Roman"/>
                <w:sz w:val="21"/>
              </w:rPr>
              <w:t>3.50</w:t>
            </w:r>
          </w:p>
        </w:tc>
        <w:tc>
          <w:tcPr>
            <w:tcW w:w="1294" w:type="dxa"/>
          </w:tcPr>
          <w:p>
            <w:pPr>
              <w:pStyle w:val="14"/>
              <w:spacing w:before="37"/>
              <w:ind w:left="310" w:right="300"/>
              <w:rPr>
                <w:rFonts w:ascii="Times New Roman"/>
                <w:sz w:val="21"/>
              </w:rPr>
            </w:pPr>
            <w:bookmarkStart w:id="714" w:name="15.2"/>
            <w:bookmarkEnd w:id="714"/>
            <w:r>
              <w:rPr>
                <w:rFonts w:ascii="Times New Roman"/>
                <w:sz w:val="21"/>
              </w:rPr>
              <w:t>15.2</w:t>
            </w:r>
          </w:p>
        </w:tc>
        <w:tc>
          <w:tcPr>
            <w:tcW w:w="1294" w:type="dxa"/>
          </w:tcPr>
          <w:p>
            <w:pPr>
              <w:pStyle w:val="14"/>
              <w:spacing w:before="35"/>
              <w:ind w:left="310" w:right="301"/>
              <w:rPr>
                <w:rFonts w:ascii="Times New Roman"/>
                <w:sz w:val="21"/>
              </w:rPr>
            </w:pPr>
            <w:r>
              <w:rPr>
                <w:rFonts w:ascii="Times New Roman"/>
                <w:sz w:val="21"/>
              </w:rPr>
              <w:t>3.80</w:t>
            </w:r>
          </w:p>
        </w:tc>
        <w:tc>
          <w:tcPr>
            <w:tcW w:w="1294" w:type="dxa"/>
          </w:tcPr>
          <w:p>
            <w:pPr>
              <w:pStyle w:val="14"/>
              <w:spacing w:before="37"/>
              <w:ind w:left="310" w:right="302"/>
              <w:rPr>
                <w:rFonts w:ascii="Times New Roman"/>
                <w:sz w:val="21"/>
              </w:rPr>
            </w:pPr>
            <w:bookmarkStart w:id="715" w:name="15.9"/>
            <w:bookmarkEnd w:id="715"/>
            <w:r>
              <w:rPr>
                <w:rFonts w:ascii="Times New Roman"/>
                <w:sz w:val="21"/>
              </w:rPr>
              <w:t>15.9</w:t>
            </w:r>
          </w:p>
        </w:tc>
        <w:tc>
          <w:tcPr>
            <w:tcW w:w="1299" w:type="dxa"/>
          </w:tcPr>
          <w:p>
            <w:pPr>
              <w:pStyle w:val="14"/>
              <w:spacing w:before="35"/>
              <w:ind w:left="314" w:right="302"/>
              <w:rPr>
                <w:rFonts w:ascii="Times New Roman"/>
                <w:sz w:val="21"/>
              </w:rPr>
            </w:pPr>
            <w:r>
              <w:rPr>
                <w:rFonts w:ascii="Times New Roman"/>
                <w:sz w:val="21"/>
              </w:rPr>
              <w:t>3.98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21"/>
              <w:ind w:left="140"/>
              <w:jc w:val="left"/>
              <w:rPr>
                <w:sz w:val="21"/>
              </w:rPr>
            </w:pPr>
            <w:r>
              <w:rPr>
                <w:sz w:val="21"/>
              </w:rPr>
              <w:t>氨氮（</w:t>
            </w:r>
            <w:r>
              <w:rPr>
                <w:rFonts w:ascii="Times New Roman" w:eastAsia="Times New Roman"/>
                <w:sz w:val="21"/>
              </w:rPr>
              <w:t>mg/L</w:t>
            </w:r>
            <w:r>
              <w:rPr>
                <w:sz w:val="21"/>
              </w:rPr>
              <w:t>）</w:t>
            </w:r>
          </w:p>
        </w:tc>
        <w:tc>
          <w:tcPr>
            <w:tcW w:w="1294" w:type="dxa"/>
          </w:tcPr>
          <w:p>
            <w:pPr>
              <w:pStyle w:val="14"/>
              <w:spacing w:before="37"/>
              <w:ind w:left="310" w:right="301"/>
              <w:rPr>
                <w:rFonts w:ascii="Times New Roman"/>
                <w:sz w:val="21"/>
              </w:rPr>
            </w:pPr>
            <w:bookmarkStart w:id="716" w:name="0.40"/>
            <w:bookmarkEnd w:id="716"/>
            <w:r>
              <w:rPr>
                <w:rFonts w:ascii="Times New Roman"/>
                <w:sz w:val="21"/>
              </w:rPr>
              <w:t>0.40</w:t>
            </w:r>
          </w:p>
        </w:tc>
        <w:tc>
          <w:tcPr>
            <w:tcW w:w="1294" w:type="dxa"/>
          </w:tcPr>
          <w:p>
            <w:pPr>
              <w:pStyle w:val="14"/>
              <w:spacing w:before="34"/>
              <w:ind w:left="310" w:right="299"/>
              <w:rPr>
                <w:rFonts w:ascii="Times New Roman"/>
                <w:sz w:val="21"/>
              </w:rPr>
            </w:pPr>
            <w:r>
              <w:rPr>
                <w:rFonts w:ascii="Times New Roman"/>
                <w:sz w:val="21"/>
              </w:rPr>
              <w:t>0.40</w:t>
            </w:r>
          </w:p>
        </w:tc>
        <w:tc>
          <w:tcPr>
            <w:tcW w:w="1294" w:type="dxa"/>
          </w:tcPr>
          <w:p>
            <w:pPr>
              <w:pStyle w:val="14"/>
              <w:spacing w:before="37"/>
              <w:ind w:left="310" w:right="300"/>
              <w:rPr>
                <w:rFonts w:ascii="Times New Roman"/>
                <w:sz w:val="21"/>
              </w:rPr>
            </w:pPr>
            <w:bookmarkStart w:id="717" w:name="0.40"/>
            <w:bookmarkEnd w:id="717"/>
            <w:r>
              <w:rPr>
                <w:rFonts w:ascii="Times New Roman"/>
                <w:sz w:val="21"/>
              </w:rPr>
              <w:t>0.40</w:t>
            </w:r>
          </w:p>
        </w:tc>
        <w:tc>
          <w:tcPr>
            <w:tcW w:w="1294" w:type="dxa"/>
          </w:tcPr>
          <w:p>
            <w:pPr>
              <w:pStyle w:val="14"/>
              <w:spacing w:before="34"/>
              <w:ind w:left="310" w:right="301"/>
              <w:rPr>
                <w:rFonts w:ascii="Times New Roman"/>
                <w:sz w:val="21"/>
              </w:rPr>
            </w:pPr>
            <w:r>
              <w:rPr>
                <w:rFonts w:ascii="Times New Roman"/>
                <w:sz w:val="21"/>
              </w:rPr>
              <w:t>0.40</w:t>
            </w:r>
          </w:p>
        </w:tc>
        <w:tc>
          <w:tcPr>
            <w:tcW w:w="1294" w:type="dxa"/>
          </w:tcPr>
          <w:p>
            <w:pPr>
              <w:pStyle w:val="14"/>
              <w:spacing w:before="37"/>
              <w:ind w:left="310" w:right="302"/>
              <w:rPr>
                <w:rFonts w:ascii="Times New Roman"/>
                <w:sz w:val="21"/>
              </w:rPr>
            </w:pPr>
            <w:bookmarkStart w:id="718" w:name="0.40"/>
            <w:bookmarkEnd w:id="718"/>
            <w:r>
              <w:rPr>
                <w:rFonts w:ascii="Times New Roman"/>
                <w:sz w:val="21"/>
              </w:rPr>
              <w:t>0.40</w:t>
            </w:r>
          </w:p>
        </w:tc>
        <w:tc>
          <w:tcPr>
            <w:tcW w:w="1299" w:type="dxa"/>
          </w:tcPr>
          <w:p>
            <w:pPr>
              <w:pStyle w:val="14"/>
              <w:spacing w:before="34"/>
              <w:ind w:left="314" w:right="302"/>
              <w:rPr>
                <w:rFonts w:ascii="Times New Roman"/>
                <w:sz w:val="21"/>
              </w:rPr>
            </w:pPr>
            <w:r>
              <w:rPr>
                <w:rFonts w:ascii="Times New Roman"/>
                <w:sz w:val="21"/>
              </w:rPr>
              <w:t>0.40</w:t>
            </w:r>
          </w:p>
        </w:tc>
      </w:tr>
    </w:tbl>
    <w:p>
      <w:pPr>
        <w:pStyle w:val="13"/>
        <w:numPr>
          <w:ilvl w:val="3"/>
          <w:numId w:val="61"/>
        </w:numPr>
        <w:tabs>
          <w:tab w:val="left" w:pos="996"/>
        </w:tabs>
        <w:spacing w:before="6" w:after="0" w:line="240" w:lineRule="auto"/>
        <w:ind w:left="996" w:right="0" w:hanging="781"/>
        <w:jc w:val="left"/>
        <w:rPr>
          <w:b/>
          <w:sz w:val="24"/>
        </w:rPr>
      </w:pPr>
      <w:r>
        <w:rPr>
          <w:b/>
          <w:sz w:val="24"/>
        </w:rPr>
        <w:t>地表水环境质量现状评价结论</w:t>
      </w:r>
    </w:p>
    <w:p>
      <w:pPr>
        <w:pStyle w:val="6"/>
        <w:spacing w:before="155" w:line="364" w:lineRule="auto"/>
        <w:ind w:left="215" w:right="577" w:firstLine="480"/>
        <w:jc w:val="both"/>
      </w:pPr>
      <w:r>
        <w:rPr>
          <w:spacing w:val="-20"/>
          <w:position w:val="2"/>
        </w:rPr>
        <w:t xml:space="preserve">从表 </w:t>
      </w:r>
      <w:r>
        <w:rPr>
          <w:rFonts w:ascii="Times New Roman" w:hAnsi="Times New Roman" w:eastAsia="Times New Roman"/>
          <w:position w:val="2"/>
        </w:rPr>
        <w:t xml:space="preserve">7.3-4 </w:t>
      </w:r>
      <w:r>
        <w:rPr>
          <w:spacing w:val="-4"/>
          <w:position w:val="2"/>
        </w:rPr>
        <w:t>中水质结果可看出，纳污水体扁石河各项指标除铁、</w:t>
      </w:r>
      <w:r>
        <w:rPr>
          <w:rFonts w:ascii="Times New Roman" w:hAnsi="Times New Roman" w:eastAsia="Times New Roman"/>
          <w:position w:val="2"/>
        </w:rPr>
        <w:t>COD</w:t>
      </w:r>
      <w:r>
        <w:rPr>
          <w:spacing w:val="-22"/>
          <w:position w:val="2"/>
        </w:rPr>
        <w:t>、</w:t>
      </w:r>
      <w:r>
        <w:rPr>
          <w:rFonts w:ascii="Times New Roman" w:hAnsi="Times New Roman" w:eastAsia="Times New Roman"/>
          <w:position w:val="2"/>
        </w:rPr>
        <w:t>BOD</w:t>
      </w:r>
      <w:r>
        <w:rPr>
          <w:rFonts w:ascii="Times New Roman" w:hAnsi="Times New Roman" w:eastAsia="Times New Roman"/>
          <w:position w:val="2"/>
          <w:vertAlign w:val="subscript"/>
        </w:rPr>
        <w:t>5</w:t>
      </w:r>
      <w:r>
        <w:rPr>
          <w:rFonts w:ascii="Times New Roman" w:hAnsi="Times New Roman" w:eastAsia="Times New Roman"/>
          <w:position w:val="2"/>
          <w:vertAlign w:val="baseline"/>
        </w:rPr>
        <w:t xml:space="preserve"> </w:t>
      </w:r>
      <w:r>
        <w:rPr>
          <w:spacing w:val="-5"/>
          <w:position w:val="2"/>
          <w:vertAlign w:val="baseline"/>
        </w:rPr>
        <w:t>以外均</w:t>
      </w:r>
      <w:r>
        <w:rPr>
          <w:vertAlign w:val="baseline"/>
        </w:rPr>
        <w:t>满足《地表水环境质量标准》</w:t>
      </w:r>
      <w:r>
        <w:rPr>
          <w:rFonts w:ascii="Times New Roman" w:hAnsi="Times New Roman" w:eastAsia="Times New Roman"/>
          <w:vertAlign w:val="baseline"/>
        </w:rPr>
        <w:t xml:space="preserve">GB3838-2002 </w:t>
      </w:r>
      <w:r>
        <w:rPr>
          <w:vertAlign w:val="baseline"/>
        </w:rPr>
        <w:t>中的Ⅲ类水体水质标准。</w:t>
      </w:r>
    </w:p>
    <w:p>
      <w:pPr>
        <w:pStyle w:val="3"/>
        <w:numPr>
          <w:ilvl w:val="1"/>
          <w:numId w:val="61"/>
        </w:numPr>
        <w:tabs>
          <w:tab w:val="left" w:pos="668"/>
        </w:tabs>
        <w:spacing w:before="0" w:after="0" w:line="240" w:lineRule="auto"/>
        <w:ind w:left="667" w:right="0" w:hanging="453"/>
        <w:jc w:val="left"/>
        <w:rPr>
          <w:rFonts w:ascii="Times New Roman" w:eastAsia="Times New Roman"/>
        </w:rPr>
      </w:pPr>
      <w:bookmarkStart w:id="719" w:name="7.4建设期地表水环境影响分析与防治措施"/>
      <w:bookmarkEnd w:id="719"/>
      <w:bookmarkStart w:id="720" w:name="_bookmark40"/>
      <w:bookmarkEnd w:id="720"/>
      <w:bookmarkStart w:id="721" w:name="_bookmark40"/>
      <w:bookmarkEnd w:id="721"/>
      <w:r>
        <w:t>建设期地表水环境影响分析与防治措施</w:t>
      </w:r>
    </w:p>
    <w:p>
      <w:pPr>
        <w:pStyle w:val="6"/>
        <w:spacing w:before="199" w:line="364" w:lineRule="auto"/>
        <w:ind w:left="215" w:right="578" w:firstLine="480"/>
        <w:jc w:val="both"/>
      </w:pPr>
      <w:r>
        <w:t>建设期间由于矿区的污水处理系统尚未健全，难以集中处理并排放，这些污水如果不做处理直接排入地面水系扁石河，对扁石河水质会有一定的影响。所以建议对矿井工业场地施工过程中产生的污废水要按地方施工现场的环境保护要求进行集中管理和处理，避免任意排放。</w:t>
      </w:r>
    </w:p>
    <w:p>
      <w:pPr>
        <w:pStyle w:val="3"/>
        <w:numPr>
          <w:ilvl w:val="1"/>
          <w:numId w:val="61"/>
        </w:numPr>
        <w:tabs>
          <w:tab w:val="left" w:pos="668"/>
        </w:tabs>
        <w:spacing w:before="0" w:after="0" w:line="382" w:lineRule="exact"/>
        <w:ind w:left="667" w:right="0" w:hanging="453"/>
        <w:jc w:val="left"/>
        <w:rPr>
          <w:rFonts w:ascii="Times New Roman" w:eastAsia="Times New Roman"/>
        </w:rPr>
      </w:pPr>
      <w:bookmarkStart w:id="722" w:name="7.5运营期地表水环境影响预测与评价"/>
      <w:bookmarkEnd w:id="722"/>
      <w:bookmarkStart w:id="723" w:name="_bookmark41"/>
      <w:bookmarkEnd w:id="723"/>
      <w:bookmarkStart w:id="724" w:name="_bookmark41"/>
      <w:bookmarkEnd w:id="724"/>
      <w:r>
        <w:t>运营期地表水环境影响预测与评价</w:t>
      </w:r>
    </w:p>
    <w:p>
      <w:pPr>
        <w:pStyle w:val="4"/>
        <w:numPr>
          <w:ilvl w:val="2"/>
          <w:numId w:val="61"/>
        </w:numPr>
        <w:tabs>
          <w:tab w:val="left" w:pos="848"/>
        </w:tabs>
        <w:spacing w:before="200" w:after="0" w:line="240" w:lineRule="auto"/>
        <w:ind w:left="847" w:right="0" w:hanging="633"/>
        <w:jc w:val="left"/>
      </w:pPr>
      <w:bookmarkStart w:id="725" w:name="7.5.1水污染源"/>
      <w:bookmarkEnd w:id="725"/>
      <w:bookmarkStart w:id="726" w:name="7.5.1水污染源"/>
      <w:bookmarkEnd w:id="726"/>
      <w:r>
        <w:t>水污染源</w:t>
      </w:r>
    </w:p>
    <w:p>
      <w:pPr>
        <w:pStyle w:val="6"/>
        <w:spacing w:before="185"/>
        <w:ind w:left="696"/>
      </w:pPr>
      <w:r>
        <w:t>矿井生产期水污染源有矿井水、生活污水。</w:t>
      </w:r>
    </w:p>
    <w:p>
      <w:pPr>
        <w:pStyle w:val="6"/>
        <w:spacing w:before="158" w:line="364" w:lineRule="auto"/>
        <w:ind w:left="215" w:right="580" w:firstLine="480"/>
      </w:pPr>
      <w:r>
        <w:t xml:space="preserve">根据工程分析，本项目矿井涌水处理后部分回用，剩余部分外排至扁石河，生活污水处理后作为矿井工业场地绿化洒水用水。项目废水污染物产生和排放量见表 </w:t>
      </w:r>
      <w:r>
        <w:rPr>
          <w:rFonts w:ascii="Times New Roman" w:eastAsia="Times New Roman"/>
        </w:rPr>
        <w:t>7.5-1</w:t>
      </w:r>
      <w:r>
        <w:t>。</w:t>
      </w:r>
    </w:p>
    <w:p>
      <w:pPr>
        <w:pStyle w:val="5"/>
        <w:tabs>
          <w:tab w:val="left" w:pos="4101"/>
        </w:tabs>
        <w:spacing w:after="3" w:line="306" w:lineRule="exact"/>
        <w:ind w:left="3060"/>
      </w:pPr>
      <w:r>
        <mc:AlternateContent>
          <mc:Choice Requires="wps">
            <w:drawing>
              <wp:anchor distT="0" distB="0" distL="114300" distR="114300" simplePos="0" relativeHeight="214360064" behindDoc="1" locked="0" layoutInCell="1" allowOverlap="1">
                <wp:simplePos x="0" y="0"/>
                <wp:positionH relativeFrom="page">
                  <wp:posOffset>832485</wp:posOffset>
                </wp:positionH>
                <wp:positionV relativeFrom="paragraph">
                  <wp:posOffset>200660</wp:posOffset>
                </wp:positionV>
                <wp:extent cx="2421255" cy="348615"/>
                <wp:effectExtent l="635" t="4445" r="16510" b="8890"/>
                <wp:wrapNone/>
                <wp:docPr id="58" name="直线 140"/>
                <wp:cNvGraphicFramePr/>
                <a:graphic xmlns:a="http://schemas.openxmlformats.org/drawingml/2006/main">
                  <a:graphicData uri="http://schemas.microsoft.com/office/word/2010/wordprocessingShape">
                    <wps:wsp>
                      <wps:cNvSpPr/>
                      <wps:spPr>
                        <a:xfrm>
                          <a:off x="0" y="0"/>
                          <a:ext cx="2421255" cy="348615"/>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140" o:spid="_x0000_s1026" o:spt="20" style="position:absolute;left:0pt;margin-left:65.55pt;margin-top:15.8pt;height:27.45pt;width:190.65pt;mso-position-horizontal-relative:page;z-index:-288956416;mso-width-relative:page;mso-height-relative:page;" filled="f" stroked="t" coordsize="21600,21600" o:gfxdata="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iWQ81gAAAAkBAAAPAAAAAAAAAAEAIAAAACIA&#10;AABkcnMvZG93bnJldi54bWxQSwECFAAUAAAACACHTuJAQ6K8vtIBAACVAwAADgAAAAAAAAABACAA&#10;AAAlAQAAZHJzL2Uyb0RvYy54bWxQSwUGAAAAAAYABgBZAQAAaQUAAAAA&#10;">
                <v:fill on="f" focussize="0,0"/>
                <v:stroke weight="0.5pt" color="#000000" joinstyle="round"/>
                <v:imagedata o:title=""/>
                <o:lock v:ext="edit" aspectratio="f"/>
              </v:line>
            </w:pict>
          </mc:Fallback>
        </mc:AlternateContent>
      </w:r>
      <w:r>
        <w:t>表</w:t>
      </w:r>
      <w:r>
        <w:rPr>
          <w:spacing w:val="-62"/>
        </w:rPr>
        <w:t xml:space="preserve"> </w:t>
      </w:r>
      <w:r>
        <w:rPr>
          <w:rFonts w:ascii="Times New Roman" w:eastAsia="Times New Roman"/>
        </w:rPr>
        <w:t>7.5-1</w:t>
      </w:r>
      <w:r>
        <w:rPr>
          <w:rFonts w:ascii="Times New Roman" w:eastAsia="Times New Roman"/>
        </w:rPr>
        <w:tab/>
      </w:r>
      <w:r>
        <w:t>项目主要水污染物源强</w:t>
      </w: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499"/>
        <w:gridCol w:w="1462"/>
        <w:gridCol w:w="1305"/>
        <w:gridCol w:w="1056"/>
        <w:gridCol w:w="1055"/>
        <w:gridCol w:w="1056"/>
        <w:gridCol w:w="10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3818" w:type="dxa"/>
            <w:gridSpan w:val="3"/>
          </w:tcPr>
          <w:p>
            <w:pPr>
              <w:pStyle w:val="14"/>
              <w:ind w:left="3289"/>
              <w:jc w:val="left"/>
              <w:rPr>
                <w:sz w:val="21"/>
              </w:rPr>
            </w:pPr>
            <w:r>
              <w:rPr>
                <w:sz w:val="21"/>
              </w:rPr>
              <w:t>项目</w:t>
            </w:r>
          </w:p>
          <w:p>
            <w:pPr>
              <w:pStyle w:val="14"/>
              <w:spacing w:before="2" w:line="254" w:lineRule="exact"/>
              <w:ind w:left="106"/>
              <w:jc w:val="left"/>
              <w:rPr>
                <w:sz w:val="21"/>
              </w:rPr>
            </w:pPr>
            <w:r>
              <w:rPr>
                <w:sz w:val="21"/>
              </w:rPr>
              <w:t>名称</w:t>
            </w:r>
          </w:p>
        </w:tc>
        <w:tc>
          <w:tcPr>
            <w:tcW w:w="1305" w:type="dxa"/>
          </w:tcPr>
          <w:p>
            <w:pPr>
              <w:pStyle w:val="14"/>
              <w:spacing w:before="150"/>
              <w:ind w:right="420"/>
              <w:jc w:val="right"/>
              <w:rPr>
                <w:rFonts w:ascii="Times New Roman"/>
                <w:sz w:val="21"/>
              </w:rPr>
            </w:pPr>
            <w:r>
              <w:rPr>
                <w:rFonts w:ascii="Times New Roman"/>
                <w:w w:val="95"/>
                <w:sz w:val="21"/>
              </w:rPr>
              <w:t>COD</w:t>
            </w:r>
          </w:p>
        </w:tc>
        <w:tc>
          <w:tcPr>
            <w:tcW w:w="1056" w:type="dxa"/>
          </w:tcPr>
          <w:p>
            <w:pPr>
              <w:pStyle w:val="14"/>
              <w:spacing w:before="150"/>
              <w:ind w:left="126" w:right="117"/>
              <w:rPr>
                <w:rFonts w:ascii="Times New Roman"/>
                <w:sz w:val="21"/>
              </w:rPr>
            </w:pPr>
            <w:r>
              <w:rPr>
                <w:rFonts w:ascii="Times New Roman"/>
                <w:sz w:val="21"/>
              </w:rPr>
              <w:t>BOD</w:t>
            </w:r>
          </w:p>
        </w:tc>
        <w:tc>
          <w:tcPr>
            <w:tcW w:w="1055" w:type="dxa"/>
          </w:tcPr>
          <w:p>
            <w:pPr>
              <w:pStyle w:val="14"/>
              <w:spacing w:before="134"/>
              <w:ind w:left="190" w:right="185"/>
              <w:rPr>
                <w:sz w:val="21"/>
              </w:rPr>
            </w:pPr>
            <w:r>
              <w:rPr>
                <w:sz w:val="21"/>
              </w:rPr>
              <w:t>石油类</w:t>
            </w:r>
          </w:p>
        </w:tc>
        <w:tc>
          <w:tcPr>
            <w:tcW w:w="1056" w:type="dxa"/>
          </w:tcPr>
          <w:p>
            <w:pPr>
              <w:pStyle w:val="14"/>
              <w:spacing w:before="150"/>
              <w:ind w:right="401"/>
              <w:jc w:val="right"/>
              <w:rPr>
                <w:rFonts w:ascii="Times New Roman"/>
                <w:sz w:val="21"/>
              </w:rPr>
            </w:pPr>
            <w:r>
              <w:rPr>
                <w:rFonts w:ascii="Times New Roman"/>
                <w:w w:val="95"/>
                <w:sz w:val="21"/>
              </w:rPr>
              <w:t>SS</w:t>
            </w:r>
          </w:p>
        </w:tc>
        <w:tc>
          <w:tcPr>
            <w:tcW w:w="1054" w:type="dxa"/>
          </w:tcPr>
          <w:p>
            <w:pPr>
              <w:pStyle w:val="14"/>
              <w:spacing w:before="147"/>
              <w:ind w:left="209" w:right="201"/>
              <w:rPr>
                <w:rFonts w:ascii="Times New Roman"/>
                <w:sz w:val="21"/>
              </w:rPr>
            </w:pPr>
            <w:r>
              <w:rPr>
                <w:rFonts w:ascii="Times New Roman"/>
                <w:position w:val="2"/>
                <w:sz w:val="21"/>
              </w:rPr>
              <w:t>NH</w:t>
            </w:r>
            <w:r>
              <w:rPr>
                <w:rFonts w:ascii="Times New Roman"/>
                <w:position w:val="2"/>
                <w:sz w:val="21"/>
                <w:vertAlign w:val="subscript"/>
              </w:rPr>
              <w:t>3</w:t>
            </w:r>
            <w:r>
              <w:rPr>
                <w:rFonts w:ascii="Times New Roman"/>
                <w:position w:val="2"/>
                <w:sz w:val="21"/>
                <w:vertAlign w:val="baseline"/>
              </w:rPr>
              <w:t>-N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857" w:type="dxa"/>
            <w:vMerge w:val="restart"/>
          </w:tcPr>
          <w:p>
            <w:pPr>
              <w:pStyle w:val="14"/>
              <w:spacing w:before="7"/>
              <w:jc w:val="left"/>
              <w:rPr>
                <w:b/>
                <w:sz w:val="23"/>
              </w:rPr>
            </w:pPr>
          </w:p>
          <w:p>
            <w:pPr>
              <w:pStyle w:val="14"/>
              <w:ind w:left="111"/>
              <w:jc w:val="left"/>
              <w:rPr>
                <w:sz w:val="21"/>
              </w:rPr>
            </w:pPr>
            <w:r>
              <w:rPr>
                <w:sz w:val="21"/>
              </w:rPr>
              <w:t>矿井水</w:t>
            </w:r>
          </w:p>
        </w:tc>
        <w:tc>
          <w:tcPr>
            <w:tcW w:w="2961" w:type="dxa"/>
            <w:gridSpan w:val="2"/>
          </w:tcPr>
          <w:p>
            <w:pPr>
              <w:pStyle w:val="14"/>
              <w:spacing w:before="21"/>
              <w:ind w:left="336"/>
              <w:jc w:val="left"/>
              <w:rPr>
                <w:sz w:val="21"/>
              </w:rPr>
            </w:pPr>
            <w:r>
              <w:rPr>
                <w:sz w:val="21"/>
              </w:rPr>
              <w:t>废水产、排放量（</w:t>
            </w:r>
            <w:r>
              <w:rPr>
                <w:rFonts w:ascii="Times New Roman" w:eastAsia="Times New Roman"/>
                <w:sz w:val="21"/>
              </w:rPr>
              <w:t>m</w:t>
            </w:r>
            <w:r>
              <w:rPr>
                <w:rFonts w:ascii="Times New Roman" w:eastAsia="Times New Roman"/>
                <w:position w:val="7"/>
                <w:sz w:val="13"/>
              </w:rPr>
              <w:t>3</w:t>
            </w:r>
            <w:r>
              <w:rPr>
                <w:rFonts w:ascii="Times New Roman" w:eastAsia="Times New Roman"/>
                <w:sz w:val="21"/>
              </w:rPr>
              <w:t>/d</w:t>
            </w:r>
            <w:r>
              <w:rPr>
                <w:sz w:val="21"/>
              </w:rPr>
              <w:t>）</w:t>
            </w:r>
          </w:p>
        </w:tc>
        <w:tc>
          <w:tcPr>
            <w:tcW w:w="5526" w:type="dxa"/>
            <w:gridSpan w:val="5"/>
          </w:tcPr>
          <w:p>
            <w:pPr>
              <w:pStyle w:val="14"/>
              <w:spacing w:line="268" w:lineRule="exact"/>
              <w:ind w:left="1239"/>
              <w:jc w:val="left"/>
              <w:rPr>
                <w:rFonts w:ascii="Times New Roman" w:eastAsia="Times New Roman"/>
                <w:sz w:val="21"/>
              </w:rPr>
            </w:pPr>
            <w:r>
              <w:rPr>
                <w:sz w:val="21"/>
              </w:rPr>
              <w:t xml:space="preserve">产生 </w:t>
            </w:r>
            <w:r>
              <w:rPr>
                <w:rFonts w:ascii="Times New Roman" w:eastAsia="Times New Roman"/>
                <w:sz w:val="21"/>
              </w:rPr>
              <w:t>1824m</w:t>
            </w:r>
            <w:r>
              <w:rPr>
                <w:rFonts w:ascii="Times New Roman" w:eastAsia="Times New Roman"/>
                <w:position w:val="7"/>
                <w:sz w:val="13"/>
              </w:rPr>
              <w:t>3</w:t>
            </w:r>
            <w:r>
              <w:rPr>
                <w:rFonts w:ascii="Times New Roman" w:eastAsia="Times New Roman"/>
                <w:sz w:val="21"/>
              </w:rPr>
              <w:t>/d</w:t>
            </w:r>
            <w:r>
              <w:rPr>
                <w:sz w:val="21"/>
              </w:rPr>
              <w:t xml:space="preserve">、排放 </w:t>
            </w:r>
            <w:r>
              <w:rPr>
                <w:rFonts w:ascii="Times New Roman" w:eastAsia="Times New Roman"/>
                <w:sz w:val="21"/>
              </w:rPr>
              <w:t>1435.68m</w:t>
            </w:r>
            <w:r>
              <w:rPr>
                <w:rFonts w:ascii="Times New Roman" w:eastAsia="Times New Roman"/>
                <w:position w:val="7"/>
                <w:sz w:val="13"/>
              </w:rPr>
              <w:t>3</w:t>
            </w:r>
            <w:r>
              <w:rPr>
                <w:rFonts w:ascii="Times New Roman" w:eastAsia="Times New Roman"/>
                <w:sz w:val="21"/>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57" w:type="dxa"/>
            <w:vMerge w:val="continue"/>
            <w:tcBorders>
              <w:top w:val="nil"/>
            </w:tcBorders>
          </w:tcPr>
          <w:p>
            <w:pPr>
              <w:rPr>
                <w:sz w:val="2"/>
                <w:szCs w:val="2"/>
              </w:rPr>
            </w:pPr>
          </w:p>
        </w:tc>
        <w:tc>
          <w:tcPr>
            <w:tcW w:w="1499" w:type="dxa"/>
            <w:vMerge w:val="restart"/>
          </w:tcPr>
          <w:p>
            <w:pPr>
              <w:pStyle w:val="14"/>
              <w:spacing w:before="3" w:line="270" w:lineRule="atLeast"/>
              <w:ind w:left="207" w:right="110" w:hanging="89"/>
              <w:jc w:val="left"/>
              <w:rPr>
                <w:sz w:val="21"/>
              </w:rPr>
            </w:pPr>
            <w:r>
              <w:rPr>
                <w:sz w:val="21"/>
              </w:rPr>
              <w:t>主要污染物浓度（</w:t>
            </w:r>
            <w:r>
              <w:rPr>
                <w:rFonts w:ascii="Times New Roman" w:eastAsia="Times New Roman"/>
                <w:sz w:val="21"/>
              </w:rPr>
              <w:t>mg/L</w:t>
            </w:r>
            <w:r>
              <w:rPr>
                <w:sz w:val="21"/>
              </w:rPr>
              <w:t>）</w:t>
            </w:r>
          </w:p>
        </w:tc>
        <w:tc>
          <w:tcPr>
            <w:tcW w:w="1462" w:type="dxa"/>
          </w:tcPr>
          <w:p>
            <w:pPr>
              <w:pStyle w:val="14"/>
              <w:spacing w:line="252" w:lineRule="exact"/>
              <w:ind w:left="394" w:right="388"/>
              <w:rPr>
                <w:sz w:val="21"/>
              </w:rPr>
            </w:pPr>
            <w:r>
              <w:rPr>
                <w:sz w:val="21"/>
              </w:rPr>
              <w:t>处理前</w:t>
            </w:r>
          </w:p>
        </w:tc>
        <w:tc>
          <w:tcPr>
            <w:tcW w:w="1305" w:type="dxa"/>
          </w:tcPr>
          <w:p>
            <w:pPr>
              <w:pStyle w:val="14"/>
              <w:spacing w:before="13" w:line="239" w:lineRule="exact"/>
              <w:ind w:right="483"/>
              <w:jc w:val="right"/>
              <w:rPr>
                <w:rFonts w:ascii="Times New Roman"/>
                <w:sz w:val="21"/>
              </w:rPr>
            </w:pPr>
            <w:r>
              <w:rPr>
                <w:rFonts w:ascii="Times New Roman"/>
                <w:sz w:val="21"/>
              </w:rPr>
              <w:t>150</w:t>
            </w:r>
          </w:p>
        </w:tc>
        <w:tc>
          <w:tcPr>
            <w:tcW w:w="1056" w:type="dxa"/>
          </w:tcPr>
          <w:p>
            <w:pPr>
              <w:pStyle w:val="14"/>
              <w:spacing w:before="13" w:line="239" w:lineRule="exact"/>
              <w:ind w:left="7"/>
              <w:rPr>
                <w:rFonts w:ascii="Times New Roman"/>
                <w:sz w:val="21"/>
              </w:rPr>
            </w:pPr>
            <w:r>
              <w:rPr>
                <w:rFonts w:ascii="Times New Roman"/>
                <w:w w:val="99"/>
                <w:sz w:val="21"/>
              </w:rPr>
              <w:t>-</w:t>
            </w:r>
          </w:p>
        </w:tc>
        <w:tc>
          <w:tcPr>
            <w:tcW w:w="1055" w:type="dxa"/>
          </w:tcPr>
          <w:p>
            <w:pPr>
              <w:pStyle w:val="14"/>
              <w:spacing w:before="13" w:line="239" w:lineRule="exact"/>
              <w:ind w:left="9"/>
              <w:rPr>
                <w:rFonts w:ascii="Times New Roman"/>
                <w:sz w:val="21"/>
              </w:rPr>
            </w:pPr>
            <w:r>
              <w:rPr>
                <w:rFonts w:ascii="Times New Roman"/>
                <w:w w:val="99"/>
                <w:sz w:val="21"/>
              </w:rPr>
              <w:t>2</w:t>
            </w:r>
          </w:p>
        </w:tc>
        <w:tc>
          <w:tcPr>
            <w:tcW w:w="1056" w:type="dxa"/>
          </w:tcPr>
          <w:p>
            <w:pPr>
              <w:pStyle w:val="14"/>
              <w:spacing w:before="13" w:line="239" w:lineRule="exact"/>
              <w:ind w:right="360"/>
              <w:jc w:val="right"/>
              <w:rPr>
                <w:rFonts w:ascii="Times New Roman"/>
                <w:sz w:val="21"/>
              </w:rPr>
            </w:pPr>
            <w:r>
              <w:rPr>
                <w:rFonts w:ascii="Times New Roman"/>
                <w:sz w:val="21"/>
              </w:rPr>
              <w:t>400</w:t>
            </w:r>
          </w:p>
        </w:tc>
        <w:tc>
          <w:tcPr>
            <w:tcW w:w="1054" w:type="dxa"/>
          </w:tcPr>
          <w:p>
            <w:pPr>
              <w:pStyle w:val="14"/>
              <w:spacing w:before="13" w:line="239" w:lineRule="exact"/>
              <w:ind w:left="11"/>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57" w:type="dxa"/>
            <w:vMerge w:val="continue"/>
            <w:tcBorders>
              <w:top w:val="nil"/>
            </w:tcBorders>
          </w:tcPr>
          <w:p>
            <w:pPr>
              <w:rPr>
                <w:sz w:val="2"/>
                <w:szCs w:val="2"/>
              </w:rPr>
            </w:pPr>
          </w:p>
        </w:tc>
        <w:tc>
          <w:tcPr>
            <w:tcW w:w="1499" w:type="dxa"/>
            <w:vMerge w:val="continue"/>
            <w:tcBorders>
              <w:top w:val="nil"/>
            </w:tcBorders>
          </w:tcPr>
          <w:p>
            <w:pPr>
              <w:rPr>
                <w:sz w:val="2"/>
                <w:szCs w:val="2"/>
              </w:rPr>
            </w:pPr>
          </w:p>
        </w:tc>
        <w:tc>
          <w:tcPr>
            <w:tcW w:w="1462" w:type="dxa"/>
          </w:tcPr>
          <w:p>
            <w:pPr>
              <w:pStyle w:val="14"/>
              <w:spacing w:line="251" w:lineRule="exact"/>
              <w:ind w:left="394" w:right="388"/>
              <w:rPr>
                <w:sz w:val="21"/>
              </w:rPr>
            </w:pPr>
            <w:r>
              <w:rPr>
                <w:sz w:val="21"/>
              </w:rPr>
              <w:t>处理后</w:t>
            </w:r>
          </w:p>
        </w:tc>
        <w:tc>
          <w:tcPr>
            <w:tcW w:w="1305" w:type="dxa"/>
          </w:tcPr>
          <w:p>
            <w:pPr>
              <w:pStyle w:val="14"/>
              <w:spacing w:before="14" w:line="237" w:lineRule="exact"/>
              <w:ind w:right="536"/>
              <w:jc w:val="right"/>
              <w:rPr>
                <w:rFonts w:ascii="Times New Roman"/>
                <w:sz w:val="21"/>
              </w:rPr>
            </w:pPr>
            <w:r>
              <w:rPr>
                <w:rFonts w:ascii="Times New Roman"/>
                <w:sz w:val="21"/>
              </w:rPr>
              <w:t>15</w:t>
            </w:r>
          </w:p>
        </w:tc>
        <w:tc>
          <w:tcPr>
            <w:tcW w:w="1056" w:type="dxa"/>
          </w:tcPr>
          <w:p>
            <w:pPr>
              <w:pStyle w:val="14"/>
              <w:jc w:val="left"/>
              <w:rPr>
                <w:rFonts w:ascii="Times New Roman"/>
                <w:sz w:val="20"/>
              </w:rPr>
            </w:pPr>
          </w:p>
        </w:tc>
        <w:tc>
          <w:tcPr>
            <w:tcW w:w="1055" w:type="dxa"/>
          </w:tcPr>
          <w:p>
            <w:pPr>
              <w:pStyle w:val="14"/>
              <w:spacing w:before="14" w:line="237" w:lineRule="exact"/>
              <w:ind w:left="190" w:right="183"/>
              <w:rPr>
                <w:rFonts w:ascii="Times New Roman"/>
                <w:sz w:val="21"/>
              </w:rPr>
            </w:pPr>
            <w:r>
              <w:rPr>
                <w:rFonts w:ascii="Times New Roman"/>
                <w:sz w:val="21"/>
              </w:rPr>
              <w:t>0.02</w:t>
            </w:r>
          </w:p>
        </w:tc>
        <w:tc>
          <w:tcPr>
            <w:tcW w:w="1056" w:type="dxa"/>
          </w:tcPr>
          <w:p>
            <w:pPr>
              <w:pStyle w:val="14"/>
              <w:spacing w:before="14" w:line="237" w:lineRule="exact"/>
              <w:ind w:right="410"/>
              <w:jc w:val="right"/>
              <w:rPr>
                <w:rFonts w:ascii="Times New Roman"/>
                <w:sz w:val="21"/>
              </w:rPr>
            </w:pPr>
            <w:r>
              <w:rPr>
                <w:rFonts w:ascii="Times New Roman"/>
                <w:sz w:val="21"/>
              </w:rPr>
              <w:t>40</w:t>
            </w:r>
          </w:p>
        </w:tc>
        <w:tc>
          <w:tcPr>
            <w:tcW w:w="1054" w:type="dxa"/>
          </w:tcPr>
          <w:p>
            <w:pPr>
              <w:pStyle w:val="14"/>
              <w:spacing w:before="14" w:line="237" w:lineRule="exact"/>
              <w:ind w:left="11"/>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57" w:type="dxa"/>
            <w:vMerge w:val="restart"/>
          </w:tcPr>
          <w:p>
            <w:pPr>
              <w:pStyle w:val="14"/>
              <w:spacing w:before="148" w:line="242" w:lineRule="auto"/>
              <w:ind w:left="217" w:right="210"/>
              <w:jc w:val="left"/>
              <w:rPr>
                <w:sz w:val="21"/>
              </w:rPr>
            </w:pPr>
            <w:r>
              <w:rPr>
                <w:sz w:val="21"/>
              </w:rPr>
              <w:t>生活污水</w:t>
            </w:r>
          </w:p>
        </w:tc>
        <w:tc>
          <w:tcPr>
            <w:tcW w:w="2961" w:type="dxa"/>
            <w:gridSpan w:val="2"/>
          </w:tcPr>
          <w:p>
            <w:pPr>
              <w:pStyle w:val="14"/>
              <w:spacing w:before="1" w:line="251" w:lineRule="exact"/>
              <w:ind w:left="548"/>
              <w:jc w:val="left"/>
              <w:rPr>
                <w:sz w:val="21"/>
              </w:rPr>
            </w:pPr>
            <w:r>
              <w:rPr>
                <w:sz w:val="21"/>
              </w:rPr>
              <w:t>废水排放量（</w:t>
            </w:r>
            <w:r>
              <w:rPr>
                <w:rFonts w:ascii="Times New Roman" w:eastAsia="Times New Roman"/>
                <w:sz w:val="21"/>
              </w:rPr>
              <w:t>m</w:t>
            </w:r>
            <w:r>
              <w:rPr>
                <w:rFonts w:ascii="Times New Roman" w:eastAsia="Times New Roman"/>
                <w:position w:val="7"/>
                <w:sz w:val="13"/>
              </w:rPr>
              <w:t>3</w:t>
            </w:r>
            <w:r>
              <w:rPr>
                <w:rFonts w:ascii="Times New Roman" w:eastAsia="Times New Roman"/>
                <w:sz w:val="21"/>
              </w:rPr>
              <w:t>/d</w:t>
            </w:r>
            <w:r>
              <w:rPr>
                <w:sz w:val="21"/>
              </w:rPr>
              <w:t>）</w:t>
            </w:r>
          </w:p>
        </w:tc>
        <w:tc>
          <w:tcPr>
            <w:tcW w:w="5526" w:type="dxa"/>
            <w:gridSpan w:val="5"/>
          </w:tcPr>
          <w:p>
            <w:pPr>
              <w:pStyle w:val="14"/>
              <w:spacing w:before="1" w:line="251" w:lineRule="exact"/>
              <w:ind w:left="1501"/>
              <w:jc w:val="left"/>
              <w:rPr>
                <w:rFonts w:ascii="Times New Roman" w:eastAsia="Times New Roman"/>
                <w:sz w:val="21"/>
              </w:rPr>
            </w:pPr>
            <w:r>
              <w:rPr>
                <w:sz w:val="21"/>
              </w:rPr>
              <w:t xml:space="preserve">产生 </w:t>
            </w:r>
            <w:r>
              <w:rPr>
                <w:rFonts w:ascii="Times New Roman" w:eastAsia="Times New Roman"/>
                <w:sz w:val="21"/>
              </w:rPr>
              <w:t>86.92m</w:t>
            </w:r>
            <w:r>
              <w:rPr>
                <w:rFonts w:ascii="Times New Roman" w:eastAsia="Times New Roman"/>
                <w:position w:val="7"/>
                <w:sz w:val="13"/>
              </w:rPr>
              <w:t>3</w:t>
            </w:r>
            <w:r>
              <w:rPr>
                <w:rFonts w:ascii="Times New Roman" w:eastAsia="Times New Roman"/>
                <w:sz w:val="21"/>
              </w:rPr>
              <w:t>/d</w:t>
            </w:r>
            <w:r>
              <w:rPr>
                <w:sz w:val="21"/>
              </w:rPr>
              <w:t xml:space="preserve">，排放 </w:t>
            </w:r>
            <w:r>
              <w:rPr>
                <w:rFonts w:ascii="Times New Roman" w:eastAsia="Times New Roman"/>
                <w:sz w:val="21"/>
              </w:rPr>
              <w:t>0m</w:t>
            </w:r>
            <w:r>
              <w:rPr>
                <w:rFonts w:ascii="Times New Roman" w:eastAsia="Times New Roman"/>
                <w:position w:val="7"/>
                <w:sz w:val="13"/>
              </w:rPr>
              <w:t>3</w:t>
            </w:r>
            <w:r>
              <w:rPr>
                <w:rFonts w:ascii="Times New Roman" w:eastAsia="Times New Roman"/>
                <w:sz w:val="21"/>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57" w:type="dxa"/>
            <w:vMerge w:val="continue"/>
            <w:tcBorders>
              <w:top w:val="nil"/>
            </w:tcBorders>
          </w:tcPr>
          <w:p>
            <w:pPr>
              <w:rPr>
                <w:sz w:val="2"/>
                <w:szCs w:val="2"/>
              </w:rPr>
            </w:pPr>
          </w:p>
        </w:tc>
        <w:tc>
          <w:tcPr>
            <w:tcW w:w="1499" w:type="dxa"/>
            <w:vMerge w:val="restart"/>
          </w:tcPr>
          <w:p>
            <w:pPr>
              <w:pStyle w:val="14"/>
              <w:spacing w:before="3" w:line="270" w:lineRule="atLeast"/>
              <w:ind w:left="207" w:right="110" w:hanging="89"/>
              <w:jc w:val="left"/>
              <w:rPr>
                <w:sz w:val="21"/>
              </w:rPr>
            </w:pPr>
            <w:r>
              <w:rPr>
                <w:sz w:val="21"/>
              </w:rPr>
              <w:t>主要污染物浓度（</w:t>
            </w:r>
            <w:r>
              <w:rPr>
                <w:rFonts w:ascii="Times New Roman" w:eastAsia="Times New Roman"/>
                <w:sz w:val="21"/>
              </w:rPr>
              <w:t>mg/L</w:t>
            </w:r>
            <w:r>
              <w:rPr>
                <w:sz w:val="21"/>
              </w:rPr>
              <w:t>）</w:t>
            </w:r>
          </w:p>
        </w:tc>
        <w:tc>
          <w:tcPr>
            <w:tcW w:w="1462" w:type="dxa"/>
          </w:tcPr>
          <w:p>
            <w:pPr>
              <w:pStyle w:val="14"/>
              <w:spacing w:line="252" w:lineRule="exact"/>
              <w:ind w:left="394" w:right="388"/>
              <w:rPr>
                <w:sz w:val="21"/>
              </w:rPr>
            </w:pPr>
            <w:r>
              <w:rPr>
                <w:sz w:val="21"/>
              </w:rPr>
              <w:t>处理前</w:t>
            </w:r>
          </w:p>
        </w:tc>
        <w:tc>
          <w:tcPr>
            <w:tcW w:w="1305" w:type="dxa"/>
          </w:tcPr>
          <w:p>
            <w:pPr>
              <w:pStyle w:val="14"/>
              <w:spacing w:before="13" w:line="238" w:lineRule="exact"/>
              <w:ind w:right="483"/>
              <w:jc w:val="right"/>
              <w:rPr>
                <w:rFonts w:ascii="Times New Roman"/>
                <w:sz w:val="21"/>
              </w:rPr>
            </w:pPr>
            <w:r>
              <w:rPr>
                <w:rFonts w:ascii="Times New Roman"/>
                <w:sz w:val="21"/>
              </w:rPr>
              <w:t>300</w:t>
            </w:r>
          </w:p>
        </w:tc>
        <w:tc>
          <w:tcPr>
            <w:tcW w:w="1056" w:type="dxa"/>
          </w:tcPr>
          <w:p>
            <w:pPr>
              <w:pStyle w:val="14"/>
              <w:spacing w:before="13" w:line="238" w:lineRule="exact"/>
              <w:ind w:left="125" w:right="117"/>
              <w:rPr>
                <w:rFonts w:ascii="Times New Roman"/>
                <w:sz w:val="21"/>
              </w:rPr>
            </w:pPr>
            <w:r>
              <w:rPr>
                <w:rFonts w:ascii="Times New Roman"/>
                <w:sz w:val="21"/>
              </w:rPr>
              <w:t>200</w:t>
            </w:r>
          </w:p>
        </w:tc>
        <w:tc>
          <w:tcPr>
            <w:tcW w:w="1055" w:type="dxa"/>
          </w:tcPr>
          <w:p>
            <w:pPr>
              <w:pStyle w:val="14"/>
              <w:spacing w:before="13" w:line="238" w:lineRule="exact"/>
              <w:ind w:left="8"/>
              <w:rPr>
                <w:rFonts w:ascii="Times New Roman"/>
                <w:sz w:val="21"/>
              </w:rPr>
            </w:pPr>
            <w:r>
              <w:rPr>
                <w:rFonts w:ascii="Times New Roman"/>
                <w:w w:val="99"/>
                <w:sz w:val="21"/>
              </w:rPr>
              <w:t>-</w:t>
            </w:r>
          </w:p>
        </w:tc>
        <w:tc>
          <w:tcPr>
            <w:tcW w:w="1056" w:type="dxa"/>
          </w:tcPr>
          <w:p>
            <w:pPr>
              <w:pStyle w:val="14"/>
              <w:spacing w:before="13" w:line="238" w:lineRule="exact"/>
              <w:ind w:right="357"/>
              <w:jc w:val="right"/>
              <w:rPr>
                <w:rFonts w:ascii="Times New Roman"/>
                <w:sz w:val="21"/>
              </w:rPr>
            </w:pPr>
            <w:r>
              <w:rPr>
                <w:rFonts w:ascii="Times New Roman"/>
                <w:sz w:val="21"/>
              </w:rPr>
              <w:t>200</w:t>
            </w:r>
          </w:p>
        </w:tc>
        <w:tc>
          <w:tcPr>
            <w:tcW w:w="1054" w:type="dxa"/>
          </w:tcPr>
          <w:p>
            <w:pPr>
              <w:pStyle w:val="14"/>
              <w:spacing w:before="13" w:line="238" w:lineRule="exact"/>
              <w:ind w:left="208" w:right="201"/>
              <w:rPr>
                <w:rFonts w:ascii="Times New Roman"/>
                <w:sz w:val="21"/>
              </w:rPr>
            </w:pPr>
            <w:r>
              <w:rPr>
                <w:rFonts w:ascii="Times New Roman"/>
                <w:sz w:val="21"/>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57" w:type="dxa"/>
            <w:vMerge w:val="continue"/>
            <w:tcBorders>
              <w:top w:val="nil"/>
            </w:tcBorders>
          </w:tcPr>
          <w:p>
            <w:pPr>
              <w:rPr>
                <w:sz w:val="2"/>
                <w:szCs w:val="2"/>
              </w:rPr>
            </w:pPr>
          </w:p>
        </w:tc>
        <w:tc>
          <w:tcPr>
            <w:tcW w:w="1499" w:type="dxa"/>
            <w:vMerge w:val="continue"/>
            <w:tcBorders>
              <w:top w:val="nil"/>
            </w:tcBorders>
          </w:tcPr>
          <w:p>
            <w:pPr>
              <w:rPr>
                <w:sz w:val="2"/>
                <w:szCs w:val="2"/>
              </w:rPr>
            </w:pPr>
          </w:p>
        </w:tc>
        <w:tc>
          <w:tcPr>
            <w:tcW w:w="1462" w:type="dxa"/>
          </w:tcPr>
          <w:p>
            <w:pPr>
              <w:pStyle w:val="14"/>
              <w:spacing w:line="251" w:lineRule="exact"/>
              <w:ind w:left="394" w:right="388"/>
              <w:rPr>
                <w:sz w:val="21"/>
              </w:rPr>
            </w:pPr>
            <w:r>
              <w:rPr>
                <w:sz w:val="21"/>
              </w:rPr>
              <w:t>处理后</w:t>
            </w:r>
          </w:p>
        </w:tc>
        <w:tc>
          <w:tcPr>
            <w:tcW w:w="1305" w:type="dxa"/>
          </w:tcPr>
          <w:p>
            <w:pPr>
              <w:pStyle w:val="14"/>
              <w:spacing w:before="14" w:line="237" w:lineRule="exact"/>
              <w:ind w:right="536"/>
              <w:jc w:val="right"/>
              <w:rPr>
                <w:rFonts w:ascii="Times New Roman"/>
                <w:sz w:val="21"/>
              </w:rPr>
            </w:pPr>
            <w:r>
              <w:rPr>
                <w:rFonts w:ascii="Times New Roman"/>
                <w:sz w:val="21"/>
              </w:rPr>
              <w:t>30</w:t>
            </w:r>
          </w:p>
        </w:tc>
        <w:tc>
          <w:tcPr>
            <w:tcW w:w="1056" w:type="dxa"/>
          </w:tcPr>
          <w:p>
            <w:pPr>
              <w:pStyle w:val="14"/>
              <w:spacing w:before="14" w:line="237" w:lineRule="exact"/>
              <w:ind w:left="125" w:right="117"/>
              <w:rPr>
                <w:rFonts w:ascii="Times New Roman"/>
                <w:sz w:val="21"/>
              </w:rPr>
            </w:pPr>
            <w:r>
              <w:rPr>
                <w:rFonts w:ascii="Times New Roman"/>
                <w:sz w:val="21"/>
              </w:rPr>
              <w:t>10</w:t>
            </w:r>
          </w:p>
        </w:tc>
        <w:tc>
          <w:tcPr>
            <w:tcW w:w="1055" w:type="dxa"/>
          </w:tcPr>
          <w:p>
            <w:pPr>
              <w:pStyle w:val="14"/>
              <w:spacing w:before="14" w:line="237" w:lineRule="exact"/>
              <w:ind w:left="8"/>
              <w:rPr>
                <w:rFonts w:ascii="Times New Roman"/>
                <w:sz w:val="21"/>
              </w:rPr>
            </w:pPr>
            <w:r>
              <w:rPr>
                <w:rFonts w:ascii="Times New Roman"/>
                <w:w w:val="99"/>
                <w:sz w:val="21"/>
              </w:rPr>
              <w:t>-</w:t>
            </w:r>
          </w:p>
        </w:tc>
        <w:tc>
          <w:tcPr>
            <w:tcW w:w="1056" w:type="dxa"/>
          </w:tcPr>
          <w:p>
            <w:pPr>
              <w:pStyle w:val="14"/>
              <w:spacing w:before="14" w:line="237" w:lineRule="exact"/>
              <w:ind w:right="410"/>
              <w:jc w:val="right"/>
              <w:rPr>
                <w:rFonts w:ascii="Times New Roman"/>
                <w:sz w:val="21"/>
              </w:rPr>
            </w:pPr>
            <w:r>
              <w:rPr>
                <w:rFonts w:ascii="Times New Roman"/>
                <w:sz w:val="21"/>
              </w:rPr>
              <w:t>10</w:t>
            </w:r>
          </w:p>
        </w:tc>
        <w:tc>
          <w:tcPr>
            <w:tcW w:w="1054" w:type="dxa"/>
          </w:tcPr>
          <w:p>
            <w:pPr>
              <w:pStyle w:val="14"/>
              <w:spacing w:before="14" w:line="237" w:lineRule="exact"/>
              <w:ind w:left="7"/>
              <w:rPr>
                <w:rFonts w:ascii="Times New Roman"/>
                <w:sz w:val="21"/>
              </w:rPr>
            </w:pPr>
            <w:r>
              <w:rPr>
                <w:rFonts w:ascii="Times New Roman"/>
                <w:w w:val="99"/>
                <w:sz w:val="21"/>
              </w:rPr>
              <w:t>5</w:t>
            </w:r>
          </w:p>
        </w:tc>
      </w:tr>
    </w:tbl>
    <w:p>
      <w:pPr>
        <w:pStyle w:val="13"/>
        <w:numPr>
          <w:ilvl w:val="2"/>
          <w:numId w:val="61"/>
        </w:numPr>
        <w:tabs>
          <w:tab w:val="left" w:pos="848"/>
        </w:tabs>
        <w:spacing w:before="4" w:after="0" w:line="240" w:lineRule="auto"/>
        <w:ind w:left="847" w:right="0" w:hanging="633"/>
        <w:jc w:val="left"/>
        <w:rPr>
          <w:b/>
          <w:sz w:val="28"/>
        </w:rPr>
      </w:pPr>
      <w:bookmarkStart w:id="727" w:name="7.5.2地表水影响评价"/>
      <w:bookmarkEnd w:id="727"/>
      <w:bookmarkStart w:id="728" w:name="7.5.2地表水影响评价"/>
      <w:bookmarkEnd w:id="728"/>
      <w:r>
        <w:rPr>
          <w:b/>
          <w:sz w:val="28"/>
        </w:rPr>
        <w:t>地表水影响评价</w:t>
      </w:r>
    </w:p>
    <w:p>
      <w:pPr>
        <w:pStyle w:val="6"/>
        <w:spacing w:before="183"/>
        <w:ind w:left="696"/>
      </w:pPr>
      <w:r>
        <w:rPr>
          <w:rFonts w:ascii="Times New Roman" w:eastAsia="Times New Roman"/>
        </w:rPr>
        <w:t>1</w:t>
      </w:r>
      <w:r>
        <w:t>、预测参数</w:t>
      </w:r>
    </w:p>
    <w:p>
      <w:pPr>
        <w:pStyle w:val="6"/>
        <w:spacing w:before="160"/>
        <w:ind w:left="696"/>
      </w:pPr>
      <w:r>
        <w:t>本项目预测参数见下表。</w:t>
      </w:r>
    </w:p>
    <w:p>
      <w:pPr>
        <w:pStyle w:val="5"/>
        <w:spacing w:before="158" w:after="4"/>
        <w:ind w:right="360"/>
        <w:jc w:val="center"/>
      </w:pPr>
      <w:r>
        <w:t xml:space="preserve">表 </w:t>
      </w:r>
      <w:r>
        <w:rPr>
          <w:rFonts w:ascii="Times New Roman" w:eastAsia="Times New Roman"/>
        </w:rPr>
        <w:t xml:space="preserve">7.5-2  </w:t>
      </w:r>
      <w:r>
        <w:t>预测参数</w:t>
      </w: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8"/>
        <w:gridCol w:w="1080"/>
        <w:gridCol w:w="1280"/>
        <w:gridCol w:w="1215"/>
        <w:gridCol w:w="1611"/>
        <w:gridCol w:w="1611"/>
        <w:gridCol w:w="16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928" w:type="dxa"/>
            <w:vMerge w:val="restart"/>
          </w:tcPr>
          <w:p>
            <w:pPr>
              <w:pStyle w:val="14"/>
              <w:spacing w:before="8"/>
              <w:jc w:val="left"/>
              <w:rPr>
                <w:b/>
                <w:sz w:val="21"/>
              </w:rPr>
            </w:pPr>
          </w:p>
          <w:p>
            <w:pPr>
              <w:pStyle w:val="14"/>
              <w:spacing w:before="1" w:line="242" w:lineRule="auto"/>
              <w:ind w:left="358" w:right="139" w:hanging="212"/>
              <w:jc w:val="left"/>
              <w:rPr>
                <w:sz w:val="21"/>
              </w:rPr>
            </w:pPr>
            <w:r>
              <w:rPr>
                <w:sz w:val="21"/>
              </w:rPr>
              <w:t>预测因子</w:t>
            </w:r>
          </w:p>
        </w:tc>
        <w:tc>
          <w:tcPr>
            <w:tcW w:w="3575" w:type="dxa"/>
            <w:gridSpan w:val="3"/>
          </w:tcPr>
          <w:p>
            <w:pPr>
              <w:pStyle w:val="14"/>
              <w:spacing w:line="252" w:lineRule="exact"/>
              <w:ind w:left="1346" w:right="1339"/>
              <w:rPr>
                <w:sz w:val="21"/>
              </w:rPr>
            </w:pPr>
            <w:r>
              <w:rPr>
                <w:sz w:val="21"/>
              </w:rPr>
              <w:t>矿井涌水</w:t>
            </w:r>
          </w:p>
        </w:tc>
        <w:tc>
          <w:tcPr>
            <w:tcW w:w="4837" w:type="dxa"/>
            <w:gridSpan w:val="3"/>
          </w:tcPr>
          <w:p>
            <w:pPr>
              <w:pStyle w:val="14"/>
              <w:spacing w:line="252" w:lineRule="exact"/>
              <w:ind w:left="2082" w:right="2075"/>
              <w:rPr>
                <w:sz w:val="21"/>
              </w:rPr>
            </w:pPr>
            <w:r>
              <w:rPr>
                <w:sz w:val="21"/>
              </w:rPr>
              <w:t>扁石河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trPr>
        <w:tc>
          <w:tcPr>
            <w:tcW w:w="928" w:type="dxa"/>
            <w:vMerge w:val="continue"/>
            <w:tcBorders>
              <w:top w:val="nil"/>
            </w:tcBorders>
          </w:tcPr>
          <w:p>
            <w:pPr>
              <w:rPr>
                <w:sz w:val="2"/>
                <w:szCs w:val="2"/>
              </w:rPr>
            </w:pPr>
          </w:p>
        </w:tc>
        <w:tc>
          <w:tcPr>
            <w:tcW w:w="1080" w:type="dxa"/>
          </w:tcPr>
          <w:p>
            <w:pPr>
              <w:pStyle w:val="14"/>
              <w:spacing w:before="137"/>
              <w:ind w:left="225"/>
              <w:jc w:val="left"/>
              <w:rPr>
                <w:sz w:val="21"/>
              </w:rPr>
            </w:pPr>
            <w:r>
              <w:rPr>
                <w:sz w:val="21"/>
              </w:rPr>
              <w:t>排放量</w:t>
            </w:r>
          </w:p>
          <w:p>
            <w:pPr>
              <w:pStyle w:val="14"/>
              <w:spacing w:before="2"/>
              <w:ind w:left="143"/>
              <w:jc w:val="left"/>
              <w:rPr>
                <w:sz w:val="21"/>
              </w:rPr>
            </w:pPr>
            <w:r>
              <w:rPr>
                <w:sz w:val="21"/>
              </w:rPr>
              <w:t>（</w:t>
            </w:r>
            <w:r>
              <w:rPr>
                <w:rFonts w:ascii="Times New Roman" w:eastAsia="Times New Roman"/>
                <w:sz w:val="21"/>
              </w:rPr>
              <w:t>m</w:t>
            </w:r>
            <w:r>
              <w:rPr>
                <w:rFonts w:ascii="Times New Roman" w:eastAsia="Times New Roman"/>
                <w:position w:val="7"/>
                <w:sz w:val="13"/>
              </w:rPr>
              <w:t>3</w:t>
            </w:r>
            <w:r>
              <w:rPr>
                <w:rFonts w:ascii="Times New Roman" w:eastAsia="Times New Roman"/>
                <w:sz w:val="21"/>
              </w:rPr>
              <w:t>/s</w:t>
            </w:r>
            <w:r>
              <w:rPr>
                <w:sz w:val="21"/>
              </w:rPr>
              <w:t>）</w:t>
            </w:r>
          </w:p>
        </w:tc>
        <w:tc>
          <w:tcPr>
            <w:tcW w:w="1280" w:type="dxa"/>
          </w:tcPr>
          <w:p>
            <w:pPr>
              <w:pStyle w:val="14"/>
              <w:spacing w:before="1" w:line="242" w:lineRule="auto"/>
              <w:ind w:left="114" w:right="104"/>
              <w:rPr>
                <w:sz w:val="21"/>
              </w:rPr>
            </w:pPr>
            <w:r>
              <w:rPr>
                <w:sz w:val="21"/>
              </w:rPr>
              <w:t>初始排放浓度</w:t>
            </w:r>
          </w:p>
          <w:p>
            <w:pPr>
              <w:pStyle w:val="14"/>
              <w:spacing w:before="1" w:line="249" w:lineRule="exact"/>
              <w:ind w:left="112" w:right="104"/>
              <w:rPr>
                <w:sz w:val="21"/>
              </w:rPr>
            </w:pPr>
            <w:r>
              <w:rPr>
                <w:sz w:val="21"/>
              </w:rPr>
              <w:t>（</w:t>
            </w:r>
            <w:r>
              <w:rPr>
                <w:rFonts w:ascii="Times New Roman" w:eastAsia="Times New Roman"/>
                <w:sz w:val="21"/>
              </w:rPr>
              <w:t>mg/L</w:t>
            </w:r>
            <w:r>
              <w:rPr>
                <w:sz w:val="21"/>
              </w:rPr>
              <w:t>）</w:t>
            </w:r>
          </w:p>
        </w:tc>
        <w:tc>
          <w:tcPr>
            <w:tcW w:w="1215" w:type="dxa"/>
          </w:tcPr>
          <w:p>
            <w:pPr>
              <w:pStyle w:val="14"/>
              <w:spacing w:before="1" w:line="242" w:lineRule="auto"/>
              <w:ind w:left="185" w:right="179"/>
              <w:rPr>
                <w:sz w:val="21"/>
              </w:rPr>
            </w:pPr>
            <w:r>
              <w:rPr>
                <w:sz w:val="21"/>
              </w:rPr>
              <w:t>处理后排放浓度</w:t>
            </w:r>
          </w:p>
          <w:p>
            <w:pPr>
              <w:pStyle w:val="14"/>
              <w:spacing w:before="1" w:line="249" w:lineRule="exact"/>
              <w:ind w:left="148" w:right="141"/>
              <w:rPr>
                <w:sz w:val="21"/>
              </w:rPr>
            </w:pPr>
            <w:r>
              <w:rPr>
                <w:sz w:val="21"/>
              </w:rPr>
              <w:t>（</w:t>
            </w:r>
            <w:r>
              <w:rPr>
                <w:rFonts w:ascii="Times New Roman" w:eastAsia="Times New Roman"/>
                <w:sz w:val="21"/>
              </w:rPr>
              <w:t>mg/L</w:t>
            </w:r>
            <w:r>
              <w:rPr>
                <w:sz w:val="21"/>
              </w:rPr>
              <w:t>）</w:t>
            </w:r>
          </w:p>
        </w:tc>
        <w:tc>
          <w:tcPr>
            <w:tcW w:w="1611" w:type="dxa"/>
          </w:tcPr>
          <w:p>
            <w:pPr>
              <w:pStyle w:val="14"/>
              <w:spacing w:before="2"/>
              <w:jc w:val="left"/>
              <w:rPr>
                <w:b/>
                <w:sz w:val="21"/>
              </w:rPr>
            </w:pPr>
          </w:p>
          <w:p>
            <w:pPr>
              <w:pStyle w:val="14"/>
              <w:spacing w:before="1"/>
              <w:ind w:left="199"/>
              <w:jc w:val="left"/>
              <w:rPr>
                <w:sz w:val="21"/>
              </w:rPr>
            </w:pPr>
            <w:r>
              <w:rPr>
                <w:sz w:val="21"/>
              </w:rPr>
              <w:t>流量（</w:t>
            </w:r>
            <w:r>
              <w:rPr>
                <w:rFonts w:ascii="Times New Roman" w:eastAsia="Times New Roman"/>
                <w:sz w:val="21"/>
              </w:rPr>
              <w:t>m</w:t>
            </w:r>
            <w:r>
              <w:rPr>
                <w:rFonts w:ascii="Times New Roman" w:eastAsia="Times New Roman"/>
                <w:position w:val="7"/>
                <w:sz w:val="13"/>
              </w:rPr>
              <w:t>3</w:t>
            </w:r>
            <w:r>
              <w:rPr>
                <w:rFonts w:ascii="Times New Roman" w:eastAsia="Times New Roman"/>
                <w:sz w:val="21"/>
              </w:rPr>
              <w:t>/s</w:t>
            </w:r>
            <w:r>
              <w:rPr>
                <w:sz w:val="21"/>
              </w:rPr>
              <w:t>）</w:t>
            </w:r>
          </w:p>
        </w:tc>
        <w:tc>
          <w:tcPr>
            <w:tcW w:w="1611" w:type="dxa"/>
          </w:tcPr>
          <w:p>
            <w:pPr>
              <w:pStyle w:val="14"/>
              <w:spacing w:before="137" w:line="242" w:lineRule="auto"/>
              <w:ind w:left="595" w:right="586"/>
              <w:rPr>
                <w:sz w:val="21"/>
              </w:rPr>
            </w:pPr>
            <w:r>
              <w:rPr>
                <w:sz w:val="21"/>
              </w:rPr>
              <w:t>水面宽度</w:t>
            </w:r>
          </w:p>
        </w:tc>
        <w:tc>
          <w:tcPr>
            <w:tcW w:w="1615" w:type="dxa"/>
          </w:tcPr>
          <w:p>
            <w:pPr>
              <w:pStyle w:val="14"/>
              <w:spacing w:before="2"/>
              <w:jc w:val="left"/>
              <w:rPr>
                <w:b/>
                <w:sz w:val="21"/>
              </w:rPr>
            </w:pPr>
          </w:p>
          <w:p>
            <w:pPr>
              <w:pStyle w:val="14"/>
              <w:spacing w:before="1"/>
              <w:ind w:left="575" w:right="569"/>
              <w:rPr>
                <w:sz w:val="21"/>
              </w:rPr>
            </w:pPr>
            <w:r>
              <w:rPr>
                <w:sz w:val="21"/>
              </w:rPr>
              <w:t>水深</w:t>
            </w:r>
          </w:p>
        </w:tc>
      </w:tr>
    </w:tbl>
    <w:p>
      <w:pPr>
        <w:spacing w:after="0"/>
        <w:rPr>
          <w:sz w:val="21"/>
        </w:rPr>
        <w:sectPr>
          <w:footerReference r:id="rId23" w:type="default"/>
          <w:pgSz w:w="11910" w:h="16840"/>
          <w:pgMar w:top="1580" w:right="780" w:bottom="1240" w:left="1200" w:header="0" w:footer="1058" w:gutter="0"/>
          <w:pgNumType w:start="130"/>
        </w:sectPr>
      </w:pP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8"/>
        <w:gridCol w:w="1080"/>
        <w:gridCol w:w="1280"/>
        <w:gridCol w:w="1215"/>
        <w:gridCol w:w="1611"/>
        <w:gridCol w:w="1611"/>
        <w:gridCol w:w="16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928" w:type="dxa"/>
          </w:tcPr>
          <w:p>
            <w:pPr>
              <w:pStyle w:val="14"/>
              <w:spacing w:before="139"/>
              <w:ind w:left="243"/>
              <w:jc w:val="left"/>
              <w:rPr>
                <w:rFonts w:ascii="Times New Roman"/>
                <w:sz w:val="21"/>
              </w:rPr>
            </w:pPr>
            <w:r>
              <w:rPr>
                <w:rFonts w:ascii="Times New Roman"/>
                <w:sz w:val="21"/>
              </w:rPr>
              <w:t>COD</w:t>
            </w:r>
          </w:p>
        </w:tc>
        <w:tc>
          <w:tcPr>
            <w:tcW w:w="1080" w:type="dxa"/>
          </w:tcPr>
          <w:p>
            <w:pPr>
              <w:pStyle w:val="14"/>
              <w:spacing w:before="139"/>
              <w:ind w:left="251"/>
              <w:jc w:val="left"/>
              <w:rPr>
                <w:rFonts w:ascii="Times New Roman"/>
                <w:sz w:val="21"/>
              </w:rPr>
            </w:pPr>
            <w:r>
              <w:rPr>
                <w:rFonts w:ascii="Times New Roman"/>
                <w:sz w:val="21"/>
              </w:rPr>
              <w:t>0.0167</w:t>
            </w:r>
          </w:p>
        </w:tc>
        <w:tc>
          <w:tcPr>
            <w:tcW w:w="1280" w:type="dxa"/>
          </w:tcPr>
          <w:p>
            <w:pPr>
              <w:pStyle w:val="14"/>
              <w:spacing w:before="139"/>
              <w:ind w:left="113" w:right="104"/>
              <w:rPr>
                <w:rFonts w:ascii="Times New Roman"/>
                <w:sz w:val="21"/>
              </w:rPr>
            </w:pPr>
            <w:r>
              <w:rPr>
                <w:rFonts w:ascii="Times New Roman"/>
                <w:sz w:val="21"/>
              </w:rPr>
              <w:t>150</w:t>
            </w:r>
          </w:p>
        </w:tc>
        <w:tc>
          <w:tcPr>
            <w:tcW w:w="1215" w:type="dxa"/>
          </w:tcPr>
          <w:p>
            <w:pPr>
              <w:pStyle w:val="14"/>
              <w:spacing w:before="139"/>
              <w:ind w:left="185" w:right="175"/>
              <w:rPr>
                <w:rFonts w:ascii="Times New Roman"/>
                <w:sz w:val="21"/>
              </w:rPr>
            </w:pPr>
            <w:r>
              <w:rPr>
                <w:rFonts w:ascii="Times New Roman"/>
                <w:sz w:val="21"/>
              </w:rPr>
              <w:t>15</w:t>
            </w:r>
          </w:p>
        </w:tc>
        <w:tc>
          <w:tcPr>
            <w:tcW w:w="1611" w:type="dxa"/>
          </w:tcPr>
          <w:p>
            <w:pPr>
              <w:pStyle w:val="14"/>
              <w:spacing w:before="139"/>
              <w:ind w:left="7"/>
              <w:rPr>
                <w:rFonts w:ascii="Times New Roman"/>
                <w:sz w:val="21"/>
              </w:rPr>
            </w:pPr>
            <w:r>
              <w:rPr>
                <w:rFonts w:ascii="Times New Roman"/>
                <w:w w:val="99"/>
                <w:sz w:val="21"/>
              </w:rPr>
              <w:t>4</w:t>
            </w:r>
          </w:p>
        </w:tc>
        <w:tc>
          <w:tcPr>
            <w:tcW w:w="1611" w:type="dxa"/>
          </w:tcPr>
          <w:p>
            <w:pPr>
              <w:pStyle w:val="14"/>
              <w:spacing w:before="89"/>
              <w:ind w:left="595" w:right="585"/>
              <w:rPr>
                <w:rFonts w:ascii="Times New Roman"/>
                <w:sz w:val="21"/>
              </w:rPr>
            </w:pPr>
            <w:r>
              <w:rPr>
                <w:rFonts w:ascii="Times New Roman"/>
                <w:sz w:val="21"/>
              </w:rPr>
              <w:t>25</w:t>
            </w:r>
          </w:p>
        </w:tc>
        <w:tc>
          <w:tcPr>
            <w:tcW w:w="1615" w:type="dxa"/>
          </w:tcPr>
          <w:p>
            <w:pPr>
              <w:pStyle w:val="14"/>
              <w:spacing w:before="89"/>
              <w:ind w:left="575" w:right="565"/>
              <w:rPr>
                <w:rFonts w:ascii="Times New Roman"/>
                <w:sz w:val="21"/>
              </w:rPr>
            </w:pPr>
            <w:r>
              <w:rPr>
                <w:rFonts w:ascii="Times New Roman"/>
                <w:sz w:val="21"/>
              </w:rPr>
              <w:t>1.0</w:t>
            </w:r>
          </w:p>
        </w:tc>
      </w:tr>
    </w:tbl>
    <w:p>
      <w:pPr>
        <w:pStyle w:val="13"/>
        <w:numPr>
          <w:ilvl w:val="0"/>
          <w:numId w:val="63"/>
        </w:numPr>
        <w:tabs>
          <w:tab w:val="left" w:pos="1297"/>
        </w:tabs>
        <w:spacing w:before="6" w:after="0" w:line="240" w:lineRule="auto"/>
        <w:ind w:left="1297" w:right="0" w:hanging="601"/>
        <w:jc w:val="left"/>
        <w:rPr>
          <w:sz w:val="24"/>
        </w:rPr>
      </w:pPr>
      <w:r>
        <w:rPr>
          <w:sz w:val="24"/>
        </w:rPr>
        <w:t>预测评价方案</w:t>
      </w:r>
    </w:p>
    <w:p>
      <w:pPr>
        <w:pStyle w:val="6"/>
        <w:spacing w:before="158" w:line="364" w:lineRule="auto"/>
        <w:ind w:left="215" w:right="580" w:firstLine="480"/>
      </w:pPr>
      <w:r>
        <w:t>本项目运行期对地表水影响进行预测，评价按照矿井涌水处理站正常运行废水达标排放扁石河及事故状况下排水时分别进行预测与评价。</w:t>
      </w:r>
    </w:p>
    <w:p>
      <w:pPr>
        <w:pStyle w:val="6"/>
        <w:spacing w:before="1" w:line="364" w:lineRule="auto"/>
        <w:ind w:left="215" w:right="578" w:firstLine="480"/>
        <w:jc w:val="both"/>
      </w:pPr>
      <w:r>
        <w:t>由于扁石河河道水质现状监测结果已经是受面源排放影响后的叠加值，加之本项目最大排水量排水占扁石河地表径流流量较小，不会对地表径流造成明显水力冲击，且扁石河沿岸无新增其他面源，因此仅考虑本项目点源汇入影响，不再对原有污染源进行重复叠加预测计算。</w:t>
      </w:r>
    </w:p>
    <w:p>
      <w:pPr>
        <w:pStyle w:val="13"/>
        <w:numPr>
          <w:ilvl w:val="0"/>
          <w:numId w:val="63"/>
        </w:numPr>
        <w:tabs>
          <w:tab w:val="left" w:pos="1297"/>
        </w:tabs>
        <w:spacing w:before="0" w:after="0" w:line="305" w:lineRule="exact"/>
        <w:ind w:left="1297" w:right="0" w:hanging="601"/>
        <w:jc w:val="left"/>
        <w:rPr>
          <w:sz w:val="24"/>
        </w:rPr>
      </w:pPr>
      <w:r>
        <w:rPr>
          <w:sz w:val="24"/>
        </w:rPr>
        <w:t>预测模式</w:t>
      </w:r>
    </w:p>
    <w:p>
      <w:pPr>
        <w:pStyle w:val="6"/>
        <w:spacing w:before="158"/>
        <w:ind w:left="696"/>
      </w:pPr>
      <w:r>
        <w:t>预测模式采用完全混合模式，其公式如下：</w:t>
      </w:r>
    </w:p>
    <w:p>
      <w:pPr>
        <w:pStyle w:val="6"/>
        <w:spacing w:before="6"/>
        <w:rPr>
          <w:sz w:val="25"/>
        </w:rPr>
      </w:pPr>
      <w:r>
        <w:drawing>
          <wp:anchor distT="0" distB="0" distL="0" distR="0" simplePos="0" relativeHeight="1024" behindDoc="0" locked="0" layoutInCell="1" allowOverlap="1">
            <wp:simplePos x="0" y="0"/>
            <wp:positionH relativeFrom="page">
              <wp:posOffset>1938655</wp:posOffset>
            </wp:positionH>
            <wp:positionV relativeFrom="paragraph">
              <wp:posOffset>232410</wp:posOffset>
            </wp:positionV>
            <wp:extent cx="3651885" cy="331470"/>
            <wp:effectExtent l="0" t="0" r="0" b="0"/>
            <wp:wrapTopAndBottom/>
            <wp:docPr id="6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7.jpeg"/>
                    <pic:cNvPicPr>
                      <a:picLocks noChangeAspect="1"/>
                    </pic:cNvPicPr>
                  </pic:nvPicPr>
                  <pic:blipFill>
                    <a:blip r:embed="rId72" cstate="print"/>
                    <a:stretch>
                      <a:fillRect/>
                    </a:stretch>
                  </pic:blipFill>
                  <pic:spPr>
                    <a:xfrm>
                      <a:off x="0" y="0"/>
                      <a:ext cx="3652186" cy="331470"/>
                    </a:xfrm>
                    <a:prstGeom prst="rect">
                      <a:avLst/>
                    </a:prstGeom>
                  </pic:spPr>
                </pic:pic>
              </a:graphicData>
            </a:graphic>
          </wp:anchor>
        </w:drawing>
      </w:r>
    </w:p>
    <w:p>
      <w:pPr>
        <w:pStyle w:val="6"/>
        <w:spacing w:before="143" w:line="362" w:lineRule="auto"/>
        <w:ind w:left="696" w:right="5653"/>
      </w:pPr>
      <w:r>
        <w:t>式中：</w:t>
      </w:r>
      <w:r>
        <w:rPr>
          <w:rFonts w:ascii="Times New Roman" w:hAnsi="Times New Roman" w:eastAsia="Times New Roman"/>
        </w:rPr>
        <w:t>C——</w:t>
      </w:r>
      <w:r>
        <w:t>污染物浓度，</w:t>
      </w:r>
      <w:r>
        <w:rPr>
          <w:rFonts w:ascii="Times New Roman" w:hAnsi="Times New Roman" w:eastAsia="Times New Roman"/>
        </w:rPr>
        <w:t>mg/L</w:t>
      </w:r>
      <w:r>
        <w:t xml:space="preserve">； </w:t>
      </w:r>
      <w:r>
        <w:rPr>
          <w:rFonts w:ascii="Times New Roman" w:hAnsi="Times New Roman" w:eastAsia="Times New Roman"/>
          <w:position w:val="2"/>
        </w:rPr>
        <w:t>C</w:t>
      </w:r>
      <w:r>
        <w:rPr>
          <w:rFonts w:ascii="Times New Roman" w:hAnsi="Times New Roman" w:eastAsia="Times New Roman"/>
          <w:position w:val="2"/>
          <w:vertAlign w:val="subscript"/>
        </w:rPr>
        <w:t>p</w:t>
      </w:r>
      <w:r>
        <w:rPr>
          <w:rFonts w:ascii="Times New Roman" w:hAnsi="Times New Roman" w:eastAsia="Times New Roman"/>
          <w:position w:val="2"/>
          <w:vertAlign w:val="baseline"/>
        </w:rPr>
        <w:t>——</w:t>
      </w:r>
      <w:r>
        <w:rPr>
          <w:position w:val="2"/>
          <w:vertAlign w:val="baseline"/>
        </w:rPr>
        <w:t>污染物排放浓度，</w:t>
      </w:r>
      <w:r>
        <w:rPr>
          <w:rFonts w:ascii="Times New Roman" w:hAnsi="Times New Roman" w:eastAsia="Times New Roman"/>
          <w:position w:val="2"/>
          <w:vertAlign w:val="baseline"/>
        </w:rPr>
        <w:t>mg/L</w:t>
      </w:r>
      <w:r>
        <w:rPr>
          <w:position w:val="2"/>
          <w:vertAlign w:val="baseline"/>
        </w:rPr>
        <w:t xml:space="preserve">； </w:t>
      </w:r>
      <w:r>
        <w:rPr>
          <w:rFonts w:ascii="Times New Roman" w:hAnsi="Times New Roman" w:eastAsia="Times New Roman"/>
          <w:position w:val="2"/>
          <w:vertAlign w:val="baseline"/>
        </w:rPr>
        <w:t>Q</w:t>
      </w:r>
      <w:r>
        <w:rPr>
          <w:rFonts w:ascii="Times New Roman" w:hAnsi="Times New Roman" w:eastAsia="Times New Roman"/>
          <w:position w:val="2"/>
          <w:vertAlign w:val="subscript"/>
        </w:rPr>
        <w:t>p</w:t>
      </w:r>
      <w:r>
        <w:rPr>
          <w:rFonts w:ascii="Times New Roman" w:hAnsi="Times New Roman" w:eastAsia="Times New Roman"/>
          <w:position w:val="2"/>
          <w:vertAlign w:val="baseline"/>
        </w:rPr>
        <w:t>——</w:t>
      </w:r>
      <w:r>
        <w:rPr>
          <w:position w:val="2"/>
          <w:vertAlign w:val="baseline"/>
        </w:rPr>
        <w:t>污水排放量，</w:t>
      </w:r>
      <w:r>
        <w:rPr>
          <w:rFonts w:ascii="Times New Roman" w:hAnsi="Times New Roman" w:eastAsia="Times New Roman"/>
          <w:position w:val="2"/>
          <w:vertAlign w:val="baseline"/>
        </w:rPr>
        <w:t>m</w:t>
      </w:r>
      <w:r>
        <w:rPr>
          <w:rFonts w:ascii="Times New Roman" w:hAnsi="Times New Roman" w:eastAsia="Times New Roman"/>
          <w:position w:val="2"/>
          <w:vertAlign w:val="superscript"/>
        </w:rPr>
        <w:t>3</w:t>
      </w:r>
      <w:r>
        <w:rPr>
          <w:rFonts w:ascii="Times New Roman" w:hAnsi="Times New Roman" w:eastAsia="Times New Roman"/>
          <w:position w:val="2"/>
          <w:vertAlign w:val="baseline"/>
        </w:rPr>
        <w:t>/s</w:t>
      </w:r>
      <w:r>
        <w:rPr>
          <w:position w:val="2"/>
          <w:vertAlign w:val="baseline"/>
        </w:rPr>
        <w:t>；</w:t>
      </w:r>
    </w:p>
    <w:p>
      <w:pPr>
        <w:pStyle w:val="6"/>
        <w:spacing w:line="360" w:lineRule="auto"/>
        <w:ind w:left="696" w:right="5335"/>
      </w:pPr>
      <w:r>
        <w:rPr>
          <w:rFonts w:ascii="Times New Roman" w:hAnsi="Times New Roman" w:eastAsia="Times New Roman"/>
          <w:position w:val="2"/>
        </w:rPr>
        <w:t>C</w:t>
      </w:r>
      <w:r>
        <w:rPr>
          <w:rFonts w:ascii="Times New Roman" w:hAnsi="Times New Roman" w:eastAsia="Times New Roman"/>
          <w:position w:val="2"/>
          <w:vertAlign w:val="subscript"/>
        </w:rPr>
        <w:t>h</w:t>
      </w:r>
      <w:r>
        <w:rPr>
          <w:rFonts w:ascii="Times New Roman" w:hAnsi="Times New Roman" w:eastAsia="Times New Roman"/>
          <w:position w:val="2"/>
          <w:vertAlign w:val="baseline"/>
        </w:rPr>
        <w:t>——</w:t>
      </w:r>
      <w:r>
        <w:rPr>
          <w:position w:val="2"/>
          <w:vertAlign w:val="baseline"/>
        </w:rPr>
        <w:t>河流上游污染物浓度，</w:t>
      </w:r>
      <w:r>
        <w:rPr>
          <w:rFonts w:ascii="Times New Roman" w:hAnsi="Times New Roman" w:eastAsia="Times New Roman"/>
          <w:position w:val="2"/>
          <w:vertAlign w:val="baseline"/>
        </w:rPr>
        <w:t>mg/L</w:t>
      </w:r>
      <w:r>
        <w:rPr>
          <w:position w:val="2"/>
          <w:vertAlign w:val="baseline"/>
        </w:rPr>
        <w:t xml:space="preserve">； </w:t>
      </w:r>
      <w:r>
        <w:rPr>
          <w:rFonts w:ascii="Times New Roman" w:hAnsi="Times New Roman" w:eastAsia="Times New Roman"/>
          <w:position w:val="2"/>
          <w:vertAlign w:val="baseline"/>
        </w:rPr>
        <w:t>Q</w:t>
      </w:r>
      <w:r>
        <w:rPr>
          <w:rFonts w:ascii="Times New Roman" w:hAnsi="Times New Roman" w:eastAsia="Times New Roman"/>
          <w:position w:val="2"/>
          <w:vertAlign w:val="subscript"/>
        </w:rPr>
        <w:t>h</w:t>
      </w:r>
      <w:r>
        <w:rPr>
          <w:rFonts w:ascii="Times New Roman" w:hAnsi="Times New Roman" w:eastAsia="Times New Roman"/>
          <w:position w:val="2"/>
          <w:vertAlign w:val="baseline"/>
        </w:rPr>
        <w:t>——</w:t>
      </w:r>
      <w:r>
        <w:rPr>
          <w:position w:val="2"/>
          <w:vertAlign w:val="baseline"/>
        </w:rPr>
        <w:t>河流流量，</w:t>
      </w:r>
      <w:r>
        <w:rPr>
          <w:rFonts w:ascii="Times New Roman" w:hAnsi="Times New Roman" w:eastAsia="Times New Roman"/>
          <w:position w:val="2"/>
          <w:vertAlign w:val="baseline"/>
        </w:rPr>
        <w:t>m</w:t>
      </w:r>
      <w:r>
        <w:rPr>
          <w:rFonts w:ascii="Times New Roman" w:hAnsi="Times New Roman" w:eastAsia="Times New Roman"/>
          <w:position w:val="2"/>
          <w:vertAlign w:val="superscript"/>
        </w:rPr>
        <w:t>3</w:t>
      </w:r>
      <w:r>
        <w:rPr>
          <w:rFonts w:ascii="Times New Roman" w:hAnsi="Times New Roman" w:eastAsia="Times New Roman"/>
          <w:position w:val="2"/>
          <w:vertAlign w:val="baseline"/>
        </w:rPr>
        <w:t>/s</w:t>
      </w:r>
      <w:r>
        <w:rPr>
          <w:position w:val="2"/>
          <w:vertAlign w:val="baseline"/>
        </w:rPr>
        <w:t>；</w:t>
      </w:r>
    </w:p>
    <w:p>
      <w:pPr>
        <w:pStyle w:val="13"/>
        <w:numPr>
          <w:ilvl w:val="0"/>
          <w:numId w:val="63"/>
        </w:numPr>
        <w:tabs>
          <w:tab w:val="left" w:pos="1297"/>
        </w:tabs>
        <w:spacing w:before="2" w:after="0" w:line="240" w:lineRule="auto"/>
        <w:ind w:left="1297" w:right="0" w:hanging="601"/>
        <w:jc w:val="left"/>
        <w:rPr>
          <w:sz w:val="24"/>
        </w:rPr>
      </w:pPr>
      <w:r>
        <w:rPr>
          <w:sz w:val="24"/>
        </w:rPr>
        <w:t>预测评价因子</w:t>
      </w:r>
    </w:p>
    <w:p>
      <w:pPr>
        <w:pStyle w:val="6"/>
        <w:spacing w:before="161"/>
        <w:ind w:left="696"/>
      </w:pPr>
      <w:r>
        <w:t xml:space="preserve">本次地表水预测评价因子为 </w:t>
      </w:r>
      <w:r>
        <w:rPr>
          <w:rFonts w:ascii="Times New Roman" w:eastAsia="Times New Roman"/>
        </w:rPr>
        <w:t>COD</w:t>
      </w:r>
      <w:r>
        <w:t>。</w:t>
      </w:r>
    </w:p>
    <w:p>
      <w:pPr>
        <w:pStyle w:val="13"/>
        <w:numPr>
          <w:ilvl w:val="0"/>
          <w:numId w:val="63"/>
        </w:numPr>
        <w:tabs>
          <w:tab w:val="left" w:pos="1297"/>
        </w:tabs>
        <w:spacing w:before="158" w:after="0" w:line="240" w:lineRule="auto"/>
        <w:ind w:left="1297" w:right="0" w:hanging="601"/>
        <w:jc w:val="left"/>
        <w:rPr>
          <w:sz w:val="24"/>
        </w:rPr>
      </w:pPr>
      <w:r>
        <w:rPr>
          <w:sz w:val="24"/>
        </w:rPr>
        <w:t>预测结果</w:t>
      </w:r>
    </w:p>
    <w:p>
      <w:pPr>
        <w:pStyle w:val="6"/>
        <w:spacing w:before="158"/>
        <w:ind w:left="696"/>
      </w:pPr>
      <w:r>
        <w:t>经过预测计算，预测断面相关污染物预测值见下表。</w:t>
      </w:r>
    </w:p>
    <w:p>
      <w:pPr>
        <w:pStyle w:val="5"/>
        <w:spacing w:before="161" w:after="2"/>
        <w:ind w:right="352"/>
        <w:jc w:val="center"/>
      </w:pPr>
      <w:r>
        <mc:AlternateContent>
          <mc:Choice Requires="wps">
            <w:drawing>
              <wp:anchor distT="0" distB="0" distL="114300" distR="114300" simplePos="0" relativeHeight="214362112" behindDoc="1" locked="0" layoutInCell="1" allowOverlap="1">
                <wp:simplePos x="0" y="0"/>
                <wp:positionH relativeFrom="page">
                  <wp:posOffset>832485</wp:posOffset>
                </wp:positionH>
                <wp:positionV relativeFrom="paragraph">
                  <wp:posOffset>303530</wp:posOffset>
                </wp:positionV>
                <wp:extent cx="2310130" cy="387985"/>
                <wp:effectExtent l="635" t="4445" r="13335" b="7620"/>
                <wp:wrapNone/>
                <wp:docPr id="60" name="直线 141"/>
                <wp:cNvGraphicFramePr/>
                <a:graphic xmlns:a="http://schemas.openxmlformats.org/drawingml/2006/main">
                  <a:graphicData uri="http://schemas.microsoft.com/office/word/2010/wordprocessingShape">
                    <wps:wsp>
                      <wps:cNvSpPr/>
                      <wps:spPr>
                        <a:xfrm>
                          <a:off x="0" y="0"/>
                          <a:ext cx="2310130" cy="387985"/>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141" o:spid="_x0000_s1026" o:spt="20" style="position:absolute;left:0pt;margin-left:65.55pt;margin-top:23.9pt;height:30.55pt;width:181.9pt;mso-position-horizontal-relative:page;z-index:-288954368;mso-width-relative:page;mso-height-relative:page;" filled="f" stroked="t" coordsize="21600,21600" o:gfxdata="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ouHzWAAAACgEAAA8AAAAAAAAAAQAgAAAAIgAA&#10;AGRycy9kb3ducmV2LnhtbFBLAQIUABQAAAAIAIdO4kAPAMPu0QEAAJUDAAAOAAAAAAAAAAEAIAAA&#10;ACUBAABkcnMvZTJvRG9jLnhtbFBLBQYAAAAABgAGAFkBAABoBQAAAAA=&#10;">
                <v:fill on="f" focussize="0,0"/>
                <v:stroke weight="0.5pt" color="#000000" joinstyle="round"/>
                <v:imagedata o:title=""/>
                <o:lock v:ext="edit" aspectratio="f"/>
              </v:line>
            </w:pict>
          </mc:Fallback>
        </mc:AlternateContent>
      </w:r>
      <w:r>
        <w:t xml:space="preserve">表 </w:t>
      </w:r>
      <w:r>
        <w:rPr>
          <w:rFonts w:ascii="Times New Roman" w:eastAsia="Times New Roman"/>
        </w:rPr>
        <w:t xml:space="preserve">7.5-3  </w:t>
      </w:r>
      <w:r>
        <w:t>地表水预测结果一览表</w:t>
      </w: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1"/>
        <w:gridCol w:w="2712"/>
        <w:gridCol w:w="1824"/>
        <w:gridCol w:w="2150"/>
        <w:gridCol w:w="1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3643" w:type="dxa"/>
            <w:gridSpan w:val="2"/>
            <w:vMerge w:val="restart"/>
          </w:tcPr>
          <w:p>
            <w:pPr>
              <w:pStyle w:val="14"/>
              <w:spacing w:before="32"/>
              <w:ind w:left="3113"/>
              <w:jc w:val="left"/>
              <w:rPr>
                <w:sz w:val="21"/>
              </w:rPr>
            </w:pPr>
            <w:r>
              <w:rPr>
                <w:sz w:val="21"/>
              </w:rPr>
              <w:t>项目</w:t>
            </w:r>
          </w:p>
          <w:p>
            <w:pPr>
              <w:pStyle w:val="14"/>
              <w:spacing w:before="2"/>
              <w:ind w:left="106"/>
              <w:jc w:val="left"/>
              <w:rPr>
                <w:sz w:val="21"/>
              </w:rPr>
            </w:pPr>
            <w:r>
              <w:rPr>
                <w:sz w:val="21"/>
              </w:rPr>
              <w:t>名称</w:t>
            </w:r>
          </w:p>
        </w:tc>
        <w:tc>
          <w:tcPr>
            <w:tcW w:w="5701" w:type="dxa"/>
            <w:gridSpan w:val="3"/>
          </w:tcPr>
          <w:p>
            <w:pPr>
              <w:pStyle w:val="14"/>
              <w:spacing w:before="41"/>
              <w:ind w:left="2608" w:right="2599"/>
              <w:rPr>
                <w:rFonts w:ascii="Times New Roman"/>
                <w:sz w:val="21"/>
              </w:rPr>
            </w:pPr>
            <w:r>
              <w:rPr>
                <w:rFonts w:ascii="Times New Roman"/>
                <w:sz w:val="21"/>
              </w:rPr>
              <w:t>COD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3643" w:type="dxa"/>
            <w:gridSpan w:val="2"/>
            <w:vMerge w:val="continue"/>
            <w:tcBorders>
              <w:top w:val="nil"/>
            </w:tcBorders>
          </w:tcPr>
          <w:p>
            <w:pPr>
              <w:rPr>
                <w:sz w:val="2"/>
                <w:szCs w:val="2"/>
              </w:rPr>
            </w:pPr>
          </w:p>
        </w:tc>
        <w:tc>
          <w:tcPr>
            <w:tcW w:w="1824" w:type="dxa"/>
          </w:tcPr>
          <w:p>
            <w:pPr>
              <w:pStyle w:val="14"/>
              <w:spacing w:line="252" w:lineRule="exact"/>
              <w:ind w:left="132" w:right="11"/>
              <w:rPr>
                <w:sz w:val="21"/>
              </w:rPr>
            </w:pPr>
            <w:r>
              <w:rPr>
                <w:w w:val="95"/>
                <w:sz w:val="21"/>
              </w:rPr>
              <w:t>现状浓度（</w:t>
            </w:r>
            <w:r>
              <w:rPr>
                <w:rFonts w:ascii="Times New Roman" w:eastAsia="Times New Roman"/>
                <w:w w:val="95"/>
                <w:sz w:val="21"/>
              </w:rPr>
              <w:t>mg/L</w:t>
            </w:r>
            <w:r>
              <w:rPr>
                <w:w w:val="95"/>
                <w:sz w:val="21"/>
              </w:rPr>
              <w:t>）</w:t>
            </w:r>
          </w:p>
        </w:tc>
        <w:tc>
          <w:tcPr>
            <w:tcW w:w="2150" w:type="dxa"/>
          </w:tcPr>
          <w:p>
            <w:pPr>
              <w:pStyle w:val="14"/>
              <w:spacing w:line="252" w:lineRule="exact"/>
              <w:ind w:left="196" w:right="188"/>
              <w:rPr>
                <w:sz w:val="21"/>
              </w:rPr>
            </w:pPr>
            <w:r>
              <w:rPr>
                <w:sz w:val="21"/>
              </w:rPr>
              <w:t>预测浓度（</w:t>
            </w:r>
            <w:r>
              <w:rPr>
                <w:rFonts w:ascii="Times New Roman" w:eastAsia="Times New Roman"/>
                <w:sz w:val="21"/>
              </w:rPr>
              <w:t>mg/L</w:t>
            </w:r>
            <w:r>
              <w:rPr>
                <w:sz w:val="21"/>
              </w:rPr>
              <w:t>）</w:t>
            </w:r>
          </w:p>
        </w:tc>
        <w:tc>
          <w:tcPr>
            <w:tcW w:w="1727" w:type="dxa"/>
          </w:tcPr>
          <w:p>
            <w:pPr>
              <w:pStyle w:val="14"/>
              <w:spacing w:line="252" w:lineRule="exact"/>
              <w:ind w:left="107" w:right="-15"/>
              <w:jc w:val="left"/>
              <w:rPr>
                <w:sz w:val="21"/>
              </w:rPr>
            </w:pPr>
            <w:r>
              <w:rPr>
                <w:spacing w:val="-25"/>
                <w:sz w:val="21"/>
              </w:rPr>
              <w:t>变化情况</w:t>
            </w:r>
            <w:r>
              <w:rPr>
                <w:sz w:val="21"/>
              </w:rPr>
              <w:t>（</w:t>
            </w:r>
            <w:r>
              <w:rPr>
                <w:rFonts w:ascii="Times New Roman" w:eastAsia="Times New Roman"/>
                <w:sz w:val="21"/>
              </w:rPr>
              <w:t>mg/L</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931" w:type="dxa"/>
            <w:vMerge w:val="restart"/>
          </w:tcPr>
          <w:p>
            <w:pPr>
              <w:pStyle w:val="14"/>
              <w:spacing w:before="10" w:line="270" w:lineRule="atLeast"/>
              <w:ind w:left="149" w:right="140"/>
              <w:jc w:val="both"/>
              <w:rPr>
                <w:sz w:val="21"/>
              </w:rPr>
            </w:pPr>
            <w:r>
              <w:rPr>
                <w:sz w:val="21"/>
              </w:rPr>
              <w:t>正常废水达标排放</w:t>
            </w:r>
          </w:p>
        </w:tc>
        <w:tc>
          <w:tcPr>
            <w:tcW w:w="2712" w:type="dxa"/>
          </w:tcPr>
          <w:p>
            <w:pPr>
              <w:pStyle w:val="14"/>
              <w:spacing w:before="1" w:line="251" w:lineRule="exact"/>
              <w:ind w:right="317"/>
              <w:jc w:val="right"/>
              <w:rPr>
                <w:sz w:val="21"/>
              </w:rPr>
            </w:pPr>
            <w:r>
              <w:rPr>
                <w:sz w:val="21"/>
              </w:rPr>
              <w:t xml:space="preserve">上游 </w:t>
            </w:r>
            <w:r>
              <w:rPr>
                <w:rFonts w:ascii="Times New Roman" w:eastAsia="Times New Roman"/>
                <w:sz w:val="21"/>
              </w:rPr>
              <w:t xml:space="preserve">500m </w:t>
            </w:r>
            <w:r>
              <w:rPr>
                <w:sz w:val="21"/>
              </w:rPr>
              <w:t>断面预测值</w:t>
            </w:r>
          </w:p>
        </w:tc>
        <w:tc>
          <w:tcPr>
            <w:tcW w:w="1824" w:type="dxa"/>
          </w:tcPr>
          <w:p>
            <w:pPr>
              <w:pStyle w:val="14"/>
              <w:spacing w:before="15" w:line="237" w:lineRule="exact"/>
              <w:ind w:left="22" w:right="11"/>
              <w:rPr>
                <w:rFonts w:ascii="Times New Roman"/>
                <w:sz w:val="21"/>
              </w:rPr>
            </w:pPr>
            <w:r>
              <w:rPr>
                <w:rFonts w:ascii="Times New Roman"/>
                <w:sz w:val="21"/>
              </w:rPr>
              <w:t>46</w:t>
            </w:r>
          </w:p>
        </w:tc>
        <w:tc>
          <w:tcPr>
            <w:tcW w:w="2150" w:type="dxa"/>
          </w:tcPr>
          <w:p>
            <w:pPr>
              <w:pStyle w:val="14"/>
              <w:spacing w:before="15" w:line="237" w:lineRule="exact"/>
              <w:ind w:left="196" w:right="187"/>
              <w:rPr>
                <w:rFonts w:ascii="Times New Roman"/>
                <w:sz w:val="21"/>
              </w:rPr>
            </w:pPr>
            <w:r>
              <w:rPr>
                <w:rFonts w:ascii="Times New Roman"/>
                <w:sz w:val="21"/>
              </w:rPr>
              <w:t>45.8710</w:t>
            </w:r>
          </w:p>
        </w:tc>
        <w:tc>
          <w:tcPr>
            <w:tcW w:w="1727" w:type="dxa"/>
          </w:tcPr>
          <w:p>
            <w:pPr>
              <w:pStyle w:val="14"/>
              <w:spacing w:before="15" w:line="237" w:lineRule="exact"/>
              <w:ind w:left="539"/>
              <w:jc w:val="left"/>
              <w:rPr>
                <w:rFonts w:ascii="Times New Roman"/>
                <w:sz w:val="21"/>
              </w:rPr>
            </w:pPr>
            <w:r>
              <w:rPr>
                <w:rFonts w:ascii="Times New Roman"/>
                <w:sz w:val="21"/>
              </w:rPr>
              <w:t>-0.1290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931" w:type="dxa"/>
            <w:vMerge w:val="continue"/>
            <w:tcBorders>
              <w:top w:val="nil"/>
            </w:tcBorders>
          </w:tcPr>
          <w:p>
            <w:pPr>
              <w:rPr>
                <w:sz w:val="2"/>
                <w:szCs w:val="2"/>
              </w:rPr>
            </w:pPr>
          </w:p>
        </w:tc>
        <w:tc>
          <w:tcPr>
            <w:tcW w:w="2712" w:type="dxa"/>
          </w:tcPr>
          <w:p>
            <w:pPr>
              <w:pStyle w:val="14"/>
              <w:spacing w:before="1" w:line="250" w:lineRule="exact"/>
              <w:ind w:right="267"/>
              <w:jc w:val="right"/>
              <w:rPr>
                <w:sz w:val="21"/>
              </w:rPr>
            </w:pPr>
            <w:r>
              <w:rPr>
                <w:sz w:val="21"/>
              </w:rPr>
              <w:t xml:space="preserve">下游 </w:t>
            </w:r>
            <w:r>
              <w:rPr>
                <w:rFonts w:ascii="Times New Roman" w:eastAsia="Times New Roman"/>
                <w:sz w:val="21"/>
              </w:rPr>
              <w:t xml:space="preserve">1000m </w:t>
            </w:r>
            <w:r>
              <w:rPr>
                <w:sz w:val="21"/>
              </w:rPr>
              <w:t>断面预测值</w:t>
            </w:r>
          </w:p>
        </w:tc>
        <w:tc>
          <w:tcPr>
            <w:tcW w:w="1824" w:type="dxa"/>
          </w:tcPr>
          <w:p>
            <w:pPr>
              <w:pStyle w:val="14"/>
              <w:spacing w:before="13" w:line="239" w:lineRule="exact"/>
              <w:ind w:left="22" w:right="11"/>
              <w:rPr>
                <w:rFonts w:ascii="Times New Roman"/>
                <w:sz w:val="21"/>
              </w:rPr>
            </w:pPr>
            <w:r>
              <w:rPr>
                <w:rFonts w:ascii="Times New Roman"/>
                <w:sz w:val="21"/>
              </w:rPr>
              <w:t>46</w:t>
            </w:r>
          </w:p>
        </w:tc>
        <w:tc>
          <w:tcPr>
            <w:tcW w:w="2150" w:type="dxa"/>
          </w:tcPr>
          <w:p>
            <w:pPr>
              <w:pStyle w:val="14"/>
              <w:spacing w:before="13" w:line="239" w:lineRule="exact"/>
              <w:ind w:left="196" w:right="187"/>
              <w:rPr>
                <w:rFonts w:ascii="Times New Roman"/>
                <w:sz w:val="21"/>
              </w:rPr>
            </w:pPr>
            <w:r>
              <w:rPr>
                <w:rFonts w:ascii="Times New Roman"/>
                <w:sz w:val="21"/>
              </w:rPr>
              <w:t>45.8710</w:t>
            </w:r>
          </w:p>
        </w:tc>
        <w:tc>
          <w:tcPr>
            <w:tcW w:w="1727" w:type="dxa"/>
          </w:tcPr>
          <w:p>
            <w:pPr>
              <w:pStyle w:val="14"/>
              <w:spacing w:before="13" w:line="239" w:lineRule="exact"/>
              <w:ind w:left="539"/>
              <w:jc w:val="left"/>
              <w:rPr>
                <w:rFonts w:ascii="Times New Roman"/>
                <w:sz w:val="21"/>
              </w:rPr>
            </w:pPr>
            <w:r>
              <w:rPr>
                <w:rFonts w:ascii="Times New Roman"/>
                <w:sz w:val="21"/>
              </w:rPr>
              <w:t>-0.1290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931" w:type="dxa"/>
            <w:vMerge w:val="continue"/>
            <w:tcBorders>
              <w:top w:val="nil"/>
            </w:tcBorders>
          </w:tcPr>
          <w:p>
            <w:pPr>
              <w:rPr>
                <w:sz w:val="2"/>
                <w:szCs w:val="2"/>
              </w:rPr>
            </w:pPr>
          </w:p>
        </w:tc>
        <w:tc>
          <w:tcPr>
            <w:tcW w:w="2712" w:type="dxa"/>
          </w:tcPr>
          <w:p>
            <w:pPr>
              <w:pStyle w:val="14"/>
              <w:spacing w:before="3" w:line="249" w:lineRule="exact"/>
              <w:ind w:right="267"/>
              <w:jc w:val="right"/>
              <w:rPr>
                <w:sz w:val="21"/>
              </w:rPr>
            </w:pPr>
            <w:r>
              <w:rPr>
                <w:sz w:val="21"/>
              </w:rPr>
              <w:t xml:space="preserve">下游 </w:t>
            </w:r>
            <w:r>
              <w:rPr>
                <w:rFonts w:ascii="Times New Roman" w:eastAsia="Times New Roman"/>
                <w:sz w:val="21"/>
              </w:rPr>
              <w:t xml:space="preserve">5000m </w:t>
            </w:r>
            <w:r>
              <w:rPr>
                <w:sz w:val="21"/>
              </w:rPr>
              <w:t>断面预测值</w:t>
            </w:r>
          </w:p>
        </w:tc>
        <w:tc>
          <w:tcPr>
            <w:tcW w:w="1824" w:type="dxa"/>
          </w:tcPr>
          <w:p>
            <w:pPr>
              <w:pStyle w:val="14"/>
              <w:spacing w:before="14" w:line="237" w:lineRule="exact"/>
              <w:ind w:left="22" w:right="11"/>
              <w:rPr>
                <w:rFonts w:ascii="Times New Roman"/>
                <w:sz w:val="21"/>
              </w:rPr>
            </w:pPr>
            <w:r>
              <w:rPr>
                <w:rFonts w:ascii="Times New Roman"/>
                <w:sz w:val="21"/>
              </w:rPr>
              <w:t>45</w:t>
            </w:r>
          </w:p>
        </w:tc>
        <w:tc>
          <w:tcPr>
            <w:tcW w:w="2150" w:type="dxa"/>
          </w:tcPr>
          <w:p>
            <w:pPr>
              <w:pStyle w:val="14"/>
              <w:spacing w:before="14" w:line="237" w:lineRule="exact"/>
              <w:ind w:left="196" w:right="187"/>
              <w:rPr>
                <w:rFonts w:ascii="Times New Roman"/>
                <w:sz w:val="21"/>
              </w:rPr>
            </w:pPr>
            <w:r>
              <w:rPr>
                <w:rFonts w:ascii="Times New Roman"/>
                <w:sz w:val="21"/>
              </w:rPr>
              <w:t>44.8753</w:t>
            </w:r>
          </w:p>
        </w:tc>
        <w:tc>
          <w:tcPr>
            <w:tcW w:w="1727" w:type="dxa"/>
          </w:tcPr>
          <w:p>
            <w:pPr>
              <w:pStyle w:val="14"/>
              <w:spacing w:before="14" w:line="237" w:lineRule="exact"/>
              <w:ind w:left="539"/>
              <w:jc w:val="left"/>
              <w:rPr>
                <w:rFonts w:ascii="Times New Roman"/>
                <w:sz w:val="21"/>
              </w:rPr>
            </w:pPr>
            <w:r>
              <w:rPr>
                <w:rFonts w:ascii="Times New Roman"/>
                <w:sz w:val="21"/>
              </w:rPr>
              <w:t>-0.1247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31" w:type="dxa"/>
            <w:vMerge w:val="restart"/>
          </w:tcPr>
          <w:p>
            <w:pPr>
              <w:pStyle w:val="14"/>
              <w:spacing w:before="148" w:line="242" w:lineRule="auto"/>
              <w:ind w:left="255" w:right="140" w:hanging="106"/>
              <w:jc w:val="left"/>
              <w:rPr>
                <w:sz w:val="21"/>
              </w:rPr>
            </w:pPr>
            <w:r>
              <w:rPr>
                <w:sz w:val="21"/>
              </w:rPr>
              <w:t>非正常排放</w:t>
            </w:r>
          </w:p>
        </w:tc>
        <w:tc>
          <w:tcPr>
            <w:tcW w:w="2712" w:type="dxa"/>
          </w:tcPr>
          <w:p>
            <w:pPr>
              <w:pStyle w:val="14"/>
              <w:spacing w:before="1" w:line="251" w:lineRule="exact"/>
              <w:ind w:right="317"/>
              <w:jc w:val="right"/>
              <w:rPr>
                <w:sz w:val="21"/>
              </w:rPr>
            </w:pPr>
            <w:r>
              <w:rPr>
                <w:sz w:val="21"/>
              </w:rPr>
              <w:t xml:space="preserve">上游 </w:t>
            </w:r>
            <w:r>
              <w:rPr>
                <w:rFonts w:ascii="Times New Roman" w:eastAsia="Times New Roman"/>
                <w:sz w:val="21"/>
              </w:rPr>
              <w:t xml:space="preserve">500m </w:t>
            </w:r>
            <w:r>
              <w:rPr>
                <w:sz w:val="21"/>
              </w:rPr>
              <w:t>断面预测值</w:t>
            </w:r>
          </w:p>
        </w:tc>
        <w:tc>
          <w:tcPr>
            <w:tcW w:w="1824" w:type="dxa"/>
          </w:tcPr>
          <w:p>
            <w:pPr>
              <w:pStyle w:val="14"/>
              <w:spacing w:before="15" w:line="237" w:lineRule="exact"/>
              <w:ind w:left="22" w:right="11"/>
              <w:rPr>
                <w:rFonts w:ascii="Times New Roman"/>
                <w:sz w:val="21"/>
              </w:rPr>
            </w:pPr>
            <w:r>
              <w:rPr>
                <w:rFonts w:ascii="Times New Roman"/>
                <w:sz w:val="21"/>
              </w:rPr>
              <w:t>46</w:t>
            </w:r>
          </w:p>
        </w:tc>
        <w:tc>
          <w:tcPr>
            <w:tcW w:w="2150" w:type="dxa"/>
          </w:tcPr>
          <w:p>
            <w:pPr>
              <w:pStyle w:val="14"/>
              <w:spacing w:before="15" w:line="237" w:lineRule="exact"/>
              <w:ind w:left="196" w:right="187"/>
              <w:rPr>
                <w:rFonts w:ascii="Times New Roman"/>
                <w:sz w:val="21"/>
              </w:rPr>
            </w:pPr>
            <w:r>
              <w:rPr>
                <w:rFonts w:ascii="Times New Roman"/>
                <w:sz w:val="21"/>
              </w:rPr>
              <w:t>46.4324</w:t>
            </w:r>
          </w:p>
        </w:tc>
        <w:tc>
          <w:tcPr>
            <w:tcW w:w="1727" w:type="dxa"/>
          </w:tcPr>
          <w:p>
            <w:pPr>
              <w:pStyle w:val="14"/>
              <w:spacing w:before="15" w:line="237" w:lineRule="exact"/>
              <w:ind w:left="515"/>
              <w:jc w:val="left"/>
              <w:rPr>
                <w:rFonts w:ascii="Times New Roman"/>
                <w:sz w:val="21"/>
              </w:rPr>
            </w:pPr>
            <w:r>
              <w:rPr>
                <w:rFonts w:ascii="Times New Roman"/>
                <w:sz w:val="21"/>
              </w:rPr>
              <w:t>+0.4324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931" w:type="dxa"/>
            <w:vMerge w:val="continue"/>
            <w:tcBorders>
              <w:top w:val="nil"/>
            </w:tcBorders>
          </w:tcPr>
          <w:p>
            <w:pPr>
              <w:rPr>
                <w:sz w:val="2"/>
                <w:szCs w:val="2"/>
              </w:rPr>
            </w:pPr>
          </w:p>
        </w:tc>
        <w:tc>
          <w:tcPr>
            <w:tcW w:w="2712" w:type="dxa"/>
          </w:tcPr>
          <w:p>
            <w:pPr>
              <w:pStyle w:val="14"/>
              <w:spacing w:before="2" w:line="250" w:lineRule="exact"/>
              <w:ind w:right="267"/>
              <w:jc w:val="right"/>
              <w:rPr>
                <w:sz w:val="21"/>
              </w:rPr>
            </w:pPr>
            <w:r>
              <w:rPr>
                <w:sz w:val="21"/>
              </w:rPr>
              <w:t xml:space="preserve">下游 </w:t>
            </w:r>
            <w:r>
              <w:rPr>
                <w:rFonts w:ascii="Times New Roman" w:eastAsia="Times New Roman"/>
                <w:sz w:val="21"/>
              </w:rPr>
              <w:t xml:space="preserve">1000m </w:t>
            </w:r>
            <w:r>
              <w:rPr>
                <w:sz w:val="21"/>
              </w:rPr>
              <w:t>断面预测值</w:t>
            </w:r>
          </w:p>
        </w:tc>
        <w:tc>
          <w:tcPr>
            <w:tcW w:w="1824" w:type="dxa"/>
          </w:tcPr>
          <w:p>
            <w:pPr>
              <w:pStyle w:val="14"/>
              <w:spacing w:before="13" w:line="238" w:lineRule="exact"/>
              <w:ind w:left="22" w:right="11"/>
              <w:rPr>
                <w:rFonts w:ascii="Times New Roman"/>
                <w:sz w:val="21"/>
              </w:rPr>
            </w:pPr>
            <w:r>
              <w:rPr>
                <w:rFonts w:ascii="Times New Roman"/>
                <w:sz w:val="21"/>
              </w:rPr>
              <w:t>46</w:t>
            </w:r>
          </w:p>
        </w:tc>
        <w:tc>
          <w:tcPr>
            <w:tcW w:w="2150" w:type="dxa"/>
          </w:tcPr>
          <w:p>
            <w:pPr>
              <w:pStyle w:val="14"/>
              <w:spacing w:before="13" w:line="238" w:lineRule="exact"/>
              <w:ind w:left="196" w:right="187"/>
              <w:rPr>
                <w:rFonts w:ascii="Times New Roman"/>
                <w:sz w:val="21"/>
              </w:rPr>
            </w:pPr>
            <w:r>
              <w:rPr>
                <w:rFonts w:ascii="Times New Roman"/>
                <w:sz w:val="21"/>
              </w:rPr>
              <w:t>46.4324</w:t>
            </w:r>
          </w:p>
        </w:tc>
        <w:tc>
          <w:tcPr>
            <w:tcW w:w="1727" w:type="dxa"/>
          </w:tcPr>
          <w:p>
            <w:pPr>
              <w:pStyle w:val="14"/>
              <w:spacing w:before="13" w:line="238" w:lineRule="exact"/>
              <w:ind w:left="515"/>
              <w:jc w:val="left"/>
              <w:rPr>
                <w:rFonts w:ascii="Times New Roman"/>
                <w:sz w:val="21"/>
              </w:rPr>
            </w:pPr>
            <w:r>
              <w:rPr>
                <w:rFonts w:ascii="Times New Roman"/>
                <w:sz w:val="21"/>
              </w:rPr>
              <w:t>+0.4324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931" w:type="dxa"/>
            <w:vMerge w:val="continue"/>
            <w:tcBorders>
              <w:top w:val="nil"/>
            </w:tcBorders>
          </w:tcPr>
          <w:p>
            <w:pPr>
              <w:rPr>
                <w:sz w:val="2"/>
                <w:szCs w:val="2"/>
              </w:rPr>
            </w:pPr>
          </w:p>
        </w:tc>
        <w:tc>
          <w:tcPr>
            <w:tcW w:w="2712" w:type="dxa"/>
          </w:tcPr>
          <w:p>
            <w:pPr>
              <w:pStyle w:val="14"/>
              <w:spacing w:before="3" w:line="249" w:lineRule="exact"/>
              <w:ind w:right="267"/>
              <w:jc w:val="right"/>
              <w:rPr>
                <w:sz w:val="21"/>
              </w:rPr>
            </w:pPr>
            <w:r>
              <w:rPr>
                <w:sz w:val="21"/>
              </w:rPr>
              <w:t xml:space="preserve">下游 </w:t>
            </w:r>
            <w:r>
              <w:rPr>
                <w:rFonts w:ascii="Times New Roman" w:eastAsia="Times New Roman"/>
                <w:sz w:val="21"/>
              </w:rPr>
              <w:t xml:space="preserve">5000m </w:t>
            </w:r>
            <w:r>
              <w:rPr>
                <w:sz w:val="21"/>
              </w:rPr>
              <w:t>断面预测值</w:t>
            </w:r>
          </w:p>
        </w:tc>
        <w:tc>
          <w:tcPr>
            <w:tcW w:w="1824" w:type="dxa"/>
          </w:tcPr>
          <w:p>
            <w:pPr>
              <w:pStyle w:val="14"/>
              <w:spacing w:before="14" w:line="237" w:lineRule="exact"/>
              <w:ind w:left="22" w:right="11"/>
              <w:rPr>
                <w:rFonts w:ascii="Times New Roman"/>
                <w:sz w:val="21"/>
              </w:rPr>
            </w:pPr>
            <w:r>
              <w:rPr>
                <w:rFonts w:ascii="Times New Roman"/>
                <w:sz w:val="21"/>
              </w:rPr>
              <w:t>45</w:t>
            </w:r>
          </w:p>
        </w:tc>
        <w:tc>
          <w:tcPr>
            <w:tcW w:w="2150" w:type="dxa"/>
          </w:tcPr>
          <w:p>
            <w:pPr>
              <w:pStyle w:val="14"/>
              <w:spacing w:before="14" w:line="237" w:lineRule="exact"/>
              <w:ind w:left="196" w:right="187"/>
              <w:rPr>
                <w:rFonts w:ascii="Times New Roman"/>
                <w:sz w:val="21"/>
              </w:rPr>
            </w:pPr>
            <w:r>
              <w:rPr>
                <w:rFonts w:ascii="Times New Roman"/>
                <w:sz w:val="21"/>
              </w:rPr>
              <w:t>45.4366</w:t>
            </w:r>
          </w:p>
        </w:tc>
        <w:tc>
          <w:tcPr>
            <w:tcW w:w="1727" w:type="dxa"/>
          </w:tcPr>
          <w:p>
            <w:pPr>
              <w:pStyle w:val="14"/>
              <w:spacing w:before="14" w:line="237" w:lineRule="exact"/>
              <w:ind w:left="515"/>
              <w:jc w:val="left"/>
              <w:rPr>
                <w:rFonts w:ascii="Times New Roman"/>
                <w:sz w:val="21"/>
              </w:rPr>
            </w:pPr>
            <w:r>
              <w:rPr>
                <w:rFonts w:ascii="Times New Roman"/>
                <w:sz w:val="21"/>
              </w:rPr>
              <w:t>+0.4366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3643" w:type="dxa"/>
            <w:gridSpan w:val="2"/>
          </w:tcPr>
          <w:p>
            <w:pPr>
              <w:pStyle w:val="14"/>
              <w:spacing w:before="2" w:line="251" w:lineRule="exact"/>
              <w:ind w:left="454"/>
              <w:jc w:val="left"/>
              <w:rPr>
                <w:sz w:val="21"/>
              </w:rPr>
            </w:pPr>
            <w:r>
              <w:rPr>
                <w:sz w:val="21"/>
              </w:rPr>
              <w:t>《地表水环境质量标准》Ⅲ类</w:t>
            </w:r>
          </w:p>
        </w:tc>
        <w:tc>
          <w:tcPr>
            <w:tcW w:w="3974" w:type="dxa"/>
            <w:gridSpan w:val="2"/>
          </w:tcPr>
          <w:p>
            <w:pPr>
              <w:pStyle w:val="14"/>
              <w:spacing w:before="16" w:line="237" w:lineRule="exact"/>
              <w:ind w:left="1860" w:right="1853"/>
              <w:rPr>
                <w:rFonts w:ascii="Times New Roman"/>
                <w:sz w:val="21"/>
              </w:rPr>
            </w:pPr>
            <w:r>
              <w:rPr>
                <w:rFonts w:ascii="Times New Roman"/>
                <w:sz w:val="21"/>
              </w:rPr>
              <w:t>20</w:t>
            </w:r>
          </w:p>
        </w:tc>
        <w:tc>
          <w:tcPr>
            <w:tcW w:w="1727" w:type="dxa"/>
          </w:tcPr>
          <w:p>
            <w:pPr>
              <w:pStyle w:val="14"/>
              <w:spacing w:before="16" w:line="237" w:lineRule="exact"/>
              <w:ind w:left="10"/>
              <w:rPr>
                <w:rFonts w:ascii="Times New Roman"/>
                <w:sz w:val="21"/>
              </w:rPr>
            </w:pPr>
            <w:r>
              <w:rPr>
                <w:rFonts w:ascii="Times New Roman"/>
                <w:w w:val="99"/>
                <w:sz w:val="21"/>
              </w:rPr>
              <w:t>/</w:t>
            </w:r>
          </w:p>
        </w:tc>
      </w:tr>
    </w:tbl>
    <w:p>
      <w:pPr>
        <w:pStyle w:val="6"/>
        <w:spacing w:before="121"/>
        <w:ind w:left="696"/>
      </w:pPr>
      <w:r>
        <w:rPr>
          <w:rFonts w:ascii="Times New Roman" w:eastAsia="Times New Roman"/>
        </w:rPr>
        <w:t>2</w:t>
      </w:r>
      <w:r>
        <w:t>、地表水影响评价</w:t>
      </w:r>
    </w:p>
    <w:p>
      <w:pPr>
        <w:pStyle w:val="13"/>
        <w:numPr>
          <w:ilvl w:val="0"/>
          <w:numId w:val="64"/>
        </w:numPr>
        <w:tabs>
          <w:tab w:val="left" w:pos="1297"/>
        </w:tabs>
        <w:spacing w:before="160" w:after="0" w:line="240" w:lineRule="auto"/>
        <w:ind w:left="1297" w:right="0" w:hanging="601"/>
        <w:jc w:val="left"/>
        <w:rPr>
          <w:sz w:val="24"/>
        </w:rPr>
      </w:pPr>
      <w:r>
        <w:rPr>
          <w:sz w:val="24"/>
        </w:rPr>
        <w:t>正常排放对扁石河河流水质影响</w:t>
      </w:r>
    </w:p>
    <w:p>
      <w:pPr>
        <w:spacing w:after="0" w:line="240" w:lineRule="auto"/>
        <w:jc w:val="left"/>
        <w:rPr>
          <w:sz w:val="24"/>
        </w:rPr>
        <w:sectPr>
          <w:pgSz w:w="11910" w:h="16840"/>
          <w:pgMar w:top="1580" w:right="780" w:bottom="1320" w:left="1200" w:header="0" w:footer="1058" w:gutter="0"/>
        </w:sectPr>
      </w:pPr>
    </w:p>
    <w:p>
      <w:pPr>
        <w:pStyle w:val="6"/>
        <w:spacing w:before="66" w:line="362" w:lineRule="auto"/>
        <w:ind w:left="215" w:right="578" w:firstLine="480"/>
      </w:pPr>
      <w:r>
        <w:t xml:space="preserve">由预测结果可知，正常情况下，矿井水处理后排入扁石河后，各断面最大 </w:t>
      </w:r>
      <w:r>
        <w:rPr>
          <w:rFonts w:ascii="Times New Roman" w:eastAsia="Times New Roman"/>
        </w:rPr>
        <w:t xml:space="preserve">COD </w:t>
      </w:r>
      <w:r>
        <w:t>浓度没有增加，对下游地表水体影响较小。</w:t>
      </w:r>
    </w:p>
    <w:p>
      <w:pPr>
        <w:pStyle w:val="13"/>
        <w:numPr>
          <w:ilvl w:val="0"/>
          <w:numId w:val="64"/>
        </w:numPr>
        <w:tabs>
          <w:tab w:val="left" w:pos="1297"/>
        </w:tabs>
        <w:spacing w:before="5" w:after="0" w:line="240" w:lineRule="auto"/>
        <w:ind w:left="1297" w:right="0" w:hanging="601"/>
        <w:jc w:val="left"/>
        <w:rPr>
          <w:sz w:val="24"/>
        </w:rPr>
      </w:pPr>
      <w:r>
        <w:rPr>
          <w:sz w:val="24"/>
        </w:rPr>
        <w:t>非正常排放对扁石河河流水质影响</w:t>
      </w:r>
    </w:p>
    <w:p>
      <w:pPr>
        <w:pStyle w:val="6"/>
        <w:spacing w:before="158" w:line="364" w:lineRule="auto"/>
        <w:ind w:left="215" w:right="576" w:firstLine="480"/>
        <w:jc w:val="both"/>
      </w:pPr>
      <w:r>
        <w:t xml:space="preserve">由预测结果可知，在非正常情况下，矿井水未经处理直接排放，矿井水中 </w:t>
      </w:r>
      <w:r>
        <w:rPr>
          <w:rFonts w:ascii="Times New Roman" w:eastAsia="Times New Roman"/>
        </w:rPr>
        <w:t xml:space="preserve">COD </w:t>
      </w:r>
      <w:r>
        <w:t xml:space="preserve">超过《煤炭工业污染物排放标准》。事故状态下，矿井水排放会对地表水中 </w:t>
      </w:r>
      <w:r>
        <w:rPr>
          <w:rFonts w:ascii="Times New Roman" w:eastAsia="Times New Roman"/>
        </w:rPr>
        <w:t xml:space="preserve">COD </w:t>
      </w:r>
      <w:r>
        <w:t xml:space="preserve">浓度增加 </w:t>
      </w:r>
      <w:r>
        <w:rPr>
          <w:rFonts w:ascii="Times New Roman" w:eastAsia="Times New Roman"/>
          <w:sz w:val="21"/>
        </w:rPr>
        <w:t>0.4366</w:t>
      </w:r>
      <w:r>
        <w:rPr>
          <w:rFonts w:ascii="Times New Roman" w:eastAsia="Times New Roman"/>
        </w:rPr>
        <w:t>mg/L</w:t>
      </w:r>
      <w:r>
        <w:t>，增加了地表水的污染负荷。因此，要求建设单位加强管理，禁止矿井水的非正常排放。</w:t>
      </w:r>
    </w:p>
    <w:p>
      <w:pPr>
        <w:pStyle w:val="6"/>
        <w:spacing w:line="362" w:lineRule="auto"/>
        <w:ind w:left="215" w:right="580" w:firstLine="480"/>
      </w:pPr>
      <w:r>
        <w:t>为防止项目产生的污、废水非正常排放对地表水的影响，评价加强对项目污废水处理站的运行管理，确保污废水处理设施正常稳定运行，生活污水全部回用不外排。</w:t>
      </w:r>
    </w:p>
    <w:p>
      <w:pPr>
        <w:pStyle w:val="4"/>
        <w:numPr>
          <w:ilvl w:val="1"/>
          <w:numId w:val="61"/>
        </w:numPr>
        <w:tabs>
          <w:tab w:val="left" w:pos="636"/>
        </w:tabs>
        <w:spacing w:before="3" w:after="0" w:line="240" w:lineRule="auto"/>
        <w:ind w:left="636" w:right="0" w:hanging="421"/>
        <w:jc w:val="left"/>
        <w:rPr>
          <w:rFonts w:ascii="Times New Roman" w:eastAsia="Times New Roman"/>
        </w:rPr>
      </w:pPr>
      <w:bookmarkStart w:id="729" w:name="_bookmark42"/>
      <w:bookmarkEnd w:id="729"/>
      <w:bookmarkStart w:id="730" w:name="_bookmark42"/>
      <w:bookmarkEnd w:id="730"/>
      <w:bookmarkStart w:id="731" w:name="7.6水资源利用及水污染物防治措施可行性分析"/>
      <w:bookmarkEnd w:id="731"/>
      <w:r>
        <w:t>水资源利用及水污染物防治措施可行性分析</w:t>
      </w:r>
    </w:p>
    <w:p>
      <w:pPr>
        <w:pStyle w:val="13"/>
        <w:numPr>
          <w:ilvl w:val="2"/>
          <w:numId w:val="61"/>
        </w:numPr>
        <w:tabs>
          <w:tab w:val="left" w:pos="848"/>
        </w:tabs>
        <w:spacing w:before="186" w:after="0" w:line="240" w:lineRule="auto"/>
        <w:ind w:left="847" w:right="0" w:hanging="633"/>
        <w:jc w:val="left"/>
        <w:rPr>
          <w:b/>
          <w:sz w:val="28"/>
        </w:rPr>
      </w:pPr>
      <w:bookmarkStart w:id="732" w:name="7.6.1生活污水污染防治措施"/>
      <w:bookmarkEnd w:id="732"/>
      <w:bookmarkStart w:id="733" w:name="7.6.1生活污水污染防治措施"/>
      <w:bookmarkEnd w:id="733"/>
      <w:r>
        <w:rPr>
          <w:b/>
          <w:sz w:val="28"/>
        </w:rPr>
        <w:t>生活污水污染防治措施</w:t>
      </w:r>
    </w:p>
    <w:p>
      <w:pPr>
        <w:pStyle w:val="6"/>
        <w:spacing w:before="186" w:line="364" w:lineRule="auto"/>
        <w:ind w:left="215" w:right="580" w:firstLine="480"/>
      </w:pPr>
      <w:r>
        <w:t>矿井的污水来源为工业场地的生活污、废水，处理后的污、废水作为矿井工业场地绿化洒水用水。</w:t>
      </w:r>
    </w:p>
    <w:p>
      <w:pPr>
        <w:pStyle w:val="6"/>
        <w:spacing w:before="1" w:line="362" w:lineRule="auto"/>
        <w:ind w:left="696" w:right="676"/>
      </w:pPr>
      <w:r>
        <w:t>达到设计投产规模（</w:t>
      </w:r>
      <w:r>
        <w:rPr>
          <w:spacing w:val="-20"/>
        </w:rPr>
        <w:t xml:space="preserve">矿井 </w:t>
      </w:r>
      <w:r>
        <w:rPr>
          <w:rFonts w:ascii="Times New Roman" w:eastAsia="Times New Roman"/>
        </w:rPr>
        <w:t xml:space="preserve">30 </w:t>
      </w:r>
      <w:r>
        <w:rPr>
          <w:spacing w:val="-30"/>
        </w:rPr>
        <w:t xml:space="preserve">万 </w:t>
      </w:r>
      <w:r>
        <w:rPr>
          <w:rFonts w:ascii="Times New Roman" w:eastAsia="Times New Roman"/>
        </w:rPr>
        <w:t>t/a</w:t>
      </w:r>
      <w:r>
        <w:t>）</w:t>
      </w:r>
      <w:r>
        <w:rPr>
          <w:spacing w:val="-4"/>
        </w:rPr>
        <w:t xml:space="preserve">时，工业场地生活污、废水量为 </w:t>
      </w:r>
      <w:r>
        <w:rPr>
          <w:rFonts w:ascii="Times New Roman" w:eastAsia="Times New Roman"/>
        </w:rPr>
        <w:t>108.65m</w:t>
      </w:r>
      <w:r>
        <w:rPr>
          <w:rFonts w:ascii="Times New Roman" w:eastAsia="Times New Roman"/>
          <w:position w:val="8"/>
          <w:sz w:val="15"/>
        </w:rPr>
        <w:t>3</w:t>
      </w:r>
      <w:r>
        <w:rPr>
          <w:rFonts w:ascii="Times New Roman" w:eastAsia="Times New Roman"/>
        </w:rPr>
        <w:t>/d</w:t>
      </w:r>
      <w:r>
        <w:rPr>
          <w:spacing w:val="-15"/>
        </w:rPr>
        <w:t>。</w:t>
      </w:r>
      <w:r>
        <w:t>生活污水处理工艺流程图如下：</w:t>
      </w:r>
    </w:p>
    <w:p>
      <w:pPr>
        <w:spacing w:after="0" w:line="362" w:lineRule="auto"/>
        <w:sectPr>
          <w:pgSz w:w="11910" w:h="16840"/>
          <w:pgMar w:top="1520" w:right="780" w:bottom="1320" w:left="1200" w:header="0" w:footer="1058" w:gutter="0"/>
        </w:sectPr>
      </w:pPr>
    </w:p>
    <w:p>
      <w:pPr>
        <w:pStyle w:val="6"/>
        <w:rPr>
          <w:sz w:val="20"/>
        </w:rPr>
      </w:pPr>
      <w:r>
        <mc:AlternateContent>
          <mc:Choice Requires="wpg">
            <w:drawing>
              <wp:anchor distT="0" distB="0" distL="114300" distR="114300" simplePos="0" relativeHeight="214385664" behindDoc="1" locked="0" layoutInCell="1" allowOverlap="1">
                <wp:simplePos x="0" y="0"/>
                <wp:positionH relativeFrom="page">
                  <wp:posOffset>2957195</wp:posOffset>
                </wp:positionH>
                <wp:positionV relativeFrom="page">
                  <wp:posOffset>3106420</wp:posOffset>
                </wp:positionV>
                <wp:extent cx="1638300" cy="396240"/>
                <wp:effectExtent l="0" t="0" r="0" b="3810"/>
                <wp:wrapNone/>
                <wp:docPr id="68" name="组合 142"/>
                <wp:cNvGraphicFramePr/>
                <a:graphic xmlns:a="http://schemas.openxmlformats.org/drawingml/2006/main">
                  <a:graphicData uri="http://schemas.microsoft.com/office/word/2010/wordprocessingGroup">
                    <wpg:wgp>
                      <wpg:cNvGrpSpPr/>
                      <wpg:grpSpPr>
                        <a:xfrm>
                          <a:off x="0" y="0"/>
                          <a:ext cx="1638300" cy="396240"/>
                          <a:chOff x="4657" y="4892"/>
                          <a:chExt cx="2580" cy="624"/>
                        </a:xfrm>
                      </wpg:grpSpPr>
                      <wps:wsp>
                        <wps:cNvPr id="62" name="任意多边形 143"/>
                        <wps:cNvSpPr/>
                        <wps:spPr>
                          <a:xfrm>
                            <a:off x="4657" y="4892"/>
                            <a:ext cx="780" cy="624"/>
                          </a:xfrm>
                          <a:custGeom>
                            <a:avLst/>
                            <a:gdLst/>
                            <a:ahLst/>
                            <a:cxnLst/>
                            <a:pathLst>
                              <a:path w="780" h="624">
                                <a:moveTo>
                                  <a:pt x="780" y="504"/>
                                </a:moveTo>
                                <a:lnTo>
                                  <a:pt x="728" y="504"/>
                                </a:lnTo>
                                <a:lnTo>
                                  <a:pt x="728" y="0"/>
                                </a:lnTo>
                                <a:lnTo>
                                  <a:pt x="713" y="0"/>
                                </a:lnTo>
                                <a:lnTo>
                                  <a:pt x="713" y="308"/>
                                </a:lnTo>
                                <a:lnTo>
                                  <a:pt x="705" y="304"/>
                                </a:lnTo>
                                <a:lnTo>
                                  <a:pt x="600" y="252"/>
                                </a:lnTo>
                                <a:lnTo>
                                  <a:pt x="600" y="304"/>
                                </a:lnTo>
                                <a:lnTo>
                                  <a:pt x="0" y="304"/>
                                </a:lnTo>
                                <a:lnTo>
                                  <a:pt x="0" y="319"/>
                                </a:lnTo>
                                <a:lnTo>
                                  <a:pt x="600" y="319"/>
                                </a:lnTo>
                                <a:lnTo>
                                  <a:pt x="600" y="372"/>
                                </a:lnTo>
                                <a:lnTo>
                                  <a:pt x="705" y="319"/>
                                </a:lnTo>
                                <a:lnTo>
                                  <a:pt x="713" y="316"/>
                                </a:lnTo>
                                <a:lnTo>
                                  <a:pt x="713" y="504"/>
                                </a:lnTo>
                                <a:lnTo>
                                  <a:pt x="660" y="504"/>
                                </a:lnTo>
                                <a:lnTo>
                                  <a:pt x="720" y="624"/>
                                </a:lnTo>
                                <a:lnTo>
                                  <a:pt x="765" y="534"/>
                                </a:lnTo>
                                <a:lnTo>
                                  <a:pt x="780" y="504"/>
                                </a:lnTo>
                              </a:path>
                            </a:pathLst>
                          </a:custGeom>
                          <a:solidFill>
                            <a:srgbClr val="000000"/>
                          </a:solidFill>
                          <a:ln>
                            <a:noFill/>
                          </a:ln>
                        </wps:spPr>
                        <wps:bodyPr upright="1"/>
                      </wps:wsp>
                      <wps:wsp>
                        <wps:cNvPr id="64" name="直线 144"/>
                        <wps:cNvSpPr/>
                        <wps:spPr>
                          <a:xfrm>
                            <a:off x="5377" y="5048"/>
                            <a:ext cx="1800" cy="0"/>
                          </a:xfrm>
                          <a:prstGeom prst="line">
                            <a:avLst/>
                          </a:prstGeom>
                          <a:ln w="9525" cap="flat" cmpd="sng">
                            <a:solidFill>
                              <a:srgbClr val="000000"/>
                            </a:solidFill>
                            <a:prstDash val="solid"/>
                            <a:headEnd type="none" w="med" len="med"/>
                            <a:tailEnd type="none" w="med" len="med"/>
                          </a:ln>
                        </wps:spPr>
                        <wps:bodyPr upright="1"/>
                      </wps:wsp>
                      <wps:wsp>
                        <wps:cNvPr id="66" name="任意多边形 145"/>
                        <wps:cNvSpPr/>
                        <wps:spPr>
                          <a:xfrm>
                            <a:off x="7117" y="5048"/>
                            <a:ext cx="120" cy="468"/>
                          </a:xfrm>
                          <a:custGeom>
                            <a:avLst/>
                            <a:gdLst/>
                            <a:ahLst/>
                            <a:cxnLst/>
                            <a:pathLst>
                              <a:path w="120" h="468">
                                <a:moveTo>
                                  <a:pt x="68" y="378"/>
                                </a:moveTo>
                                <a:lnTo>
                                  <a:pt x="53" y="378"/>
                                </a:lnTo>
                                <a:lnTo>
                                  <a:pt x="53" y="0"/>
                                </a:lnTo>
                                <a:lnTo>
                                  <a:pt x="68" y="0"/>
                                </a:lnTo>
                                <a:lnTo>
                                  <a:pt x="68" y="378"/>
                                </a:lnTo>
                                <a:close/>
                                <a:moveTo>
                                  <a:pt x="60" y="468"/>
                                </a:moveTo>
                                <a:lnTo>
                                  <a:pt x="0" y="348"/>
                                </a:lnTo>
                                <a:lnTo>
                                  <a:pt x="53" y="348"/>
                                </a:lnTo>
                                <a:lnTo>
                                  <a:pt x="53" y="378"/>
                                </a:lnTo>
                                <a:lnTo>
                                  <a:pt x="105" y="378"/>
                                </a:lnTo>
                                <a:lnTo>
                                  <a:pt x="60" y="468"/>
                                </a:lnTo>
                                <a:close/>
                                <a:moveTo>
                                  <a:pt x="105" y="378"/>
                                </a:moveTo>
                                <a:lnTo>
                                  <a:pt x="68" y="378"/>
                                </a:lnTo>
                                <a:lnTo>
                                  <a:pt x="68" y="348"/>
                                </a:lnTo>
                                <a:lnTo>
                                  <a:pt x="120" y="348"/>
                                </a:lnTo>
                                <a:lnTo>
                                  <a:pt x="105" y="378"/>
                                </a:lnTo>
                                <a:close/>
                              </a:path>
                            </a:pathLst>
                          </a:custGeom>
                          <a:solidFill>
                            <a:srgbClr val="000000"/>
                          </a:solidFill>
                          <a:ln>
                            <a:noFill/>
                          </a:ln>
                        </wps:spPr>
                        <wps:bodyPr upright="1"/>
                      </wps:wsp>
                    </wpg:wgp>
                  </a:graphicData>
                </a:graphic>
              </wp:anchor>
            </w:drawing>
          </mc:Choice>
          <mc:Fallback>
            <w:pict>
              <v:group id="组合 142" o:spid="_x0000_s1026" o:spt="203" style="position:absolute;left:0pt;margin-left:232.85pt;margin-top:244.6pt;height:31.2pt;width:129pt;mso-position-horizontal-relative:page;mso-position-vertical-relative:page;z-index:-288930816;mso-width-relative:page;mso-height-relative:page;" coordorigin="4657,4892" coordsize="2580,624" o:gfxdata="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">
                <o:lock v:ext="edit" aspectratio="f"/>
                <v:shape id="任意多边形 143" o:spid="_x0000_s1026" o:spt="100" style="position:absolute;left:4657;top:4892;height:624;width:780;" fillcolor="#000000" filled="t" stroked="f" coordsize="780,624" o:gfxdata="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WMB/ugAAANsA&#10;AAAPAAAAAAAAAAEAIAAAACIAAABkcnMvZG93bnJldi54bWxQSwECFAAUAAAACACHTuJAMy8FnjsA&#10;AAA5AAAAEAAAAAAAAAABACAAAAAJAQAAZHJzL3NoYXBleG1sLnhtbFBLBQYAAAAABgAGAFsBAACz&#10;AwAAAAA=&#10;" path="m780,504l728,504,728,0,713,0,713,308,705,304,600,252,600,304,0,304,0,319,600,319,600,372,705,319,713,316,713,504,660,504,720,624,765,534,780,504e">
                  <v:fill on="t" focussize="0,0"/>
                  <v:stroke on="f"/>
                  <v:imagedata o:title=""/>
                  <o:lock v:ext="edit" aspectratio="f"/>
                </v:shape>
                <v:line id="直线 144" o:spid="_x0000_s1026" o:spt="20" style="position:absolute;left:5377;top:5048;height:0;width:1800;" filled="f" stroked="t" coordsize="21600,21600" o:gfxdata="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Bpda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任意多边形 145" o:spid="_x0000_s1026" o:spt="100" style="position:absolute;left:7117;top:5048;height:468;width:120;" fillcolor="#000000" filled="t" stroked="f" coordsize="120,468" o:gfxdata="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W9rQrsAAADb&#10;AAAADwAAAAAAAAABACAAAAAiAAAAZHJzL2Rvd25yZXYueG1sUEsBAhQAFAAAAAgAh07iQDMvBZ47&#10;AAAAOQAAABAAAAAAAAAAAQAgAAAACgEAAGRycy9zaGFwZXhtbC54bWxQSwUGAAAAAAYABgBbAQAA&#10;tAMAAAAA&#10;" path="m68,378l53,378,53,0,68,0,68,378xm60,468l0,348,53,348,53,378,105,378,60,468xm105,378l68,378,68,348,120,348,105,378xe">
                  <v:fill on="t" focussize="0,0"/>
                  <v:stroke on="f"/>
                  <v:imagedata o:title=""/>
                  <o:lock v:ext="edit" aspectratio="f"/>
                </v:shape>
              </v:group>
            </w:pict>
          </mc:Fallback>
        </mc:AlternateContent>
      </w:r>
      <w:r>
        <mc:AlternateContent>
          <mc:Choice Requires="wps">
            <w:drawing>
              <wp:anchor distT="0" distB="0" distL="114300" distR="114300" simplePos="0" relativeHeight="214387712" behindDoc="1" locked="0" layoutInCell="1" allowOverlap="1">
                <wp:simplePos x="0" y="0"/>
                <wp:positionH relativeFrom="page">
                  <wp:posOffset>3376295</wp:posOffset>
                </wp:positionH>
                <wp:positionV relativeFrom="page">
                  <wp:posOffset>3799840</wp:posOffset>
                </wp:positionV>
                <wp:extent cx="76200" cy="396240"/>
                <wp:effectExtent l="0" t="0" r="0" b="3810"/>
                <wp:wrapNone/>
                <wp:docPr id="72" name="任意多边形 146"/>
                <wp:cNvGraphicFramePr/>
                <a:graphic xmlns:a="http://schemas.openxmlformats.org/drawingml/2006/main">
                  <a:graphicData uri="http://schemas.microsoft.com/office/word/2010/wordprocessingShape">
                    <wps:wsp>
                      <wps:cNvSpPr/>
                      <wps:spPr>
                        <a:xfrm>
                          <a:off x="0" y="0"/>
                          <a:ext cx="76200" cy="396240"/>
                        </a:xfrm>
                        <a:custGeom>
                          <a:avLst/>
                          <a:gdLst/>
                          <a:ahLst/>
                          <a:cxnLst/>
                          <a:pathLst>
                            <a:path w="120" h="624">
                              <a:moveTo>
                                <a:pt x="68" y="534"/>
                              </a:moveTo>
                              <a:lnTo>
                                <a:pt x="53" y="534"/>
                              </a:lnTo>
                              <a:lnTo>
                                <a:pt x="53" y="0"/>
                              </a:lnTo>
                              <a:lnTo>
                                <a:pt x="68" y="0"/>
                              </a:lnTo>
                              <a:lnTo>
                                <a:pt x="68" y="534"/>
                              </a:lnTo>
                              <a:close/>
                              <a:moveTo>
                                <a:pt x="60" y="624"/>
                              </a:moveTo>
                              <a:lnTo>
                                <a:pt x="0" y="504"/>
                              </a:lnTo>
                              <a:lnTo>
                                <a:pt x="53" y="504"/>
                              </a:lnTo>
                              <a:lnTo>
                                <a:pt x="53" y="534"/>
                              </a:lnTo>
                              <a:lnTo>
                                <a:pt x="105" y="534"/>
                              </a:lnTo>
                              <a:lnTo>
                                <a:pt x="60" y="624"/>
                              </a:lnTo>
                              <a:close/>
                              <a:moveTo>
                                <a:pt x="105" y="534"/>
                              </a:moveTo>
                              <a:lnTo>
                                <a:pt x="68" y="534"/>
                              </a:lnTo>
                              <a:lnTo>
                                <a:pt x="68" y="504"/>
                              </a:lnTo>
                              <a:lnTo>
                                <a:pt x="120" y="504"/>
                              </a:lnTo>
                              <a:lnTo>
                                <a:pt x="105" y="534"/>
                              </a:lnTo>
                              <a:close/>
                            </a:path>
                          </a:pathLst>
                        </a:custGeom>
                        <a:solidFill>
                          <a:srgbClr val="000000"/>
                        </a:solidFill>
                        <a:ln>
                          <a:noFill/>
                        </a:ln>
                      </wps:spPr>
                      <wps:bodyPr upright="1"/>
                    </wps:wsp>
                  </a:graphicData>
                </a:graphic>
              </wp:anchor>
            </w:drawing>
          </mc:Choice>
          <mc:Fallback>
            <w:pict>
              <v:shape id="任意多边形 146" o:spid="_x0000_s1026" o:spt="100" style="position:absolute;left:0pt;margin-left:265.85pt;margin-top:299.2pt;height:31.2pt;width:6pt;mso-position-horizontal-relative:page;mso-position-vertical-relative:page;z-index:-288928768;mso-width-relative:page;mso-height-relative:page;" fillcolor="#000000" filled="t" stroked="f" coordsize="120,624" o:gfxdata="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aUnMp2QAAAAsBAAAPAAAAAAAA&#10;AAEAIAAAACIAAABkcnMvZG93bnJldi54bWxQSwECFAAUAAAACACHTuJAXwHbJUoCAAD/BQAADgAA&#10;AAAAAAABACAAAAAoAQAAZHJzL2Uyb0RvYy54bWxQSwUGAAAAAAYABgBZAQAA5AUAAAAA&#10;" path="m68,534l53,534,53,0,68,0,68,534xm60,624l0,504,53,504,53,534,105,534,60,624xm105,534l68,534,68,504,120,504,105,534xe">
                <v:fill on="t" focussize="0,0"/>
                <v:stroke on="f"/>
                <v:imagedata o:title=""/>
                <o:lock v:ext="edit" aspectratio="f"/>
              </v:shape>
            </w:pict>
          </mc:Fallback>
        </mc:AlternateContent>
      </w:r>
      <w:r>
        <mc:AlternateContent>
          <mc:Choice Requires="wps">
            <w:drawing>
              <wp:anchor distT="0" distB="0" distL="114300" distR="114300" simplePos="0" relativeHeight="214388736" behindDoc="1" locked="0" layoutInCell="1" allowOverlap="1">
                <wp:simplePos x="0" y="0"/>
                <wp:positionH relativeFrom="page">
                  <wp:posOffset>3376295</wp:posOffset>
                </wp:positionH>
                <wp:positionV relativeFrom="page">
                  <wp:posOffset>4394200</wp:posOffset>
                </wp:positionV>
                <wp:extent cx="76200" cy="396240"/>
                <wp:effectExtent l="0" t="0" r="0" b="3810"/>
                <wp:wrapNone/>
                <wp:docPr id="74" name="任意多边形 147"/>
                <wp:cNvGraphicFramePr/>
                <a:graphic xmlns:a="http://schemas.openxmlformats.org/drawingml/2006/main">
                  <a:graphicData uri="http://schemas.microsoft.com/office/word/2010/wordprocessingShape">
                    <wps:wsp>
                      <wps:cNvSpPr/>
                      <wps:spPr>
                        <a:xfrm>
                          <a:off x="0" y="0"/>
                          <a:ext cx="76200" cy="396240"/>
                        </a:xfrm>
                        <a:custGeom>
                          <a:avLst/>
                          <a:gdLst/>
                          <a:ahLst/>
                          <a:cxnLst/>
                          <a:pathLst>
                            <a:path w="120" h="624">
                              <a:moveTo>
                                <a:pt x="68" y="534"/>
                              </a:moveTo>
                              <a:lnTo>
                                <a:pt x="53" y="534"/>
                              </a:lnTo>
                              <a:lnTo>
                                <a:pt x="53" y="0"/>
                              </a:lnTo>
                              <a:lnTo>
                                <a:pt x="68" y="0"/>
                              </a:lnTo>
                              <a:lnTo>
                                <a:pt x="68" y="534"/>
                              </a:lnTo>
                              <a:close/>
                              <a:moveTo>
                                <a:pt x="60" y="624"/>
                              </a:moveTo>
                              <a:lnTo>
                                <a:pt x="0" y="504"/>
                              </a:lnTo>
                              <a:lnTo>
                                <a:pt x="53" y="504"/>
                              </a:lnTo>
                              <a:lnTo>
                                <a:pt x="53" y="534"/>
                              </a:lnTo>
                              <a:lnTo>
                                <a:pt x="105" y="534"/>
                              </a:lnTo>
                              <a:lnTo>
                                <a:pt x="60" y="624"/>
                              </a:lnTo>
                              <a:close/>
                              <a:moveTo>
                                <a:pt x="105" y="534"/>
                              </a:moveTo>
                              <a:lnTo>
                                <a:pt x="68" y="534"/>
                              </a:lnTo>
                              <a:lnTo>
                                <a:pt x="68" y="504"/>
                              </a:lnTo>
                              <a:lnTo>
                                <a:pt x="120" y="504"/>
                              </a:lnTo>
                              <a:lnTo>
                                <a:pt x="105" y="534"/>
                              </a:lnTo>
                              <a:close/>
                            </a:path>
                          </a:pathLst>
                        </a:custGeom>
                        <a:solidFill>
                          <a:srgbClr val="000000"/>
                        </a:solidFill>
                        <a:ln>
                          <a:noFill/>
                        </a:ln>
                      </wps:spPr>
                      <wps:bodyPr upright="1"/>
                    </wps:wsp>
                  </a:graphicData>
                </a:graphic>
              </wp:anchor>
            </w:drawing>
          </mc:Choice>
          <mc:Fallback>
            <w:pict>
              <v:shape id="任意多边形 147" o:spid="_x0000_s1026" o:spt="100" style="position:absolute;left:0pt;margin-left:265.85pt;margin-top:346pt;height:31.2pt;width:6pt;mso-position-horizontal-relative:page;mso-position-vertical-relative:page;z-index:-288927744;mso-width-relative:page;mso-height-relative:page;" fillcolor="#000000" filled="t" stroked="f" coordsize="120,624" o:gfxdata="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jro/Y2gAAAAsBAAAPAAAAAAAA&#10;AAEAIAAAACIAAABkcnMvZG93bnJldi54bWxQSwECFAAUAAAACACHTuJAKpWVT0kCAAD/BQAADgAA&#10;AAAAAAABACAAAAApAQAAZHJzL2Uyb0RvYy54bWxQSwUGAAAAAAYABgBZAQAA5AUAAAAA&#10;" path="m68,534l53,534,53,0,68,0,68,534xm60,624l0,504,53,504,53,534,105,534,60,624xm105,534l68,534,68,504,120,504,105,534xe">
                <v:fill on="t" focussize="0,0"/>
                <v:stroke on="f"/>
                <v:imagedata o:title=""/>
                <o:lock v:ext="edit" aspectratio="f"/>
              </v:shape>
            </w:pict>
          </mc:Fallback>
        </mc:AlternateContent>
      </w:r>
      <w:r>
        <w:drawing>
          <wp:anchor distT="0" distB="0" distL="0" distR="0" simplePos="0" relativeHeight="214392832" behindDoc="1" locked="0" layoutInCell="1" allowOverlap="1">
            <wp:simplePos x="0" y="0"/>
            <wp:positionH relativeFrom="page">
              <wp:posOffset>4519295</wp:posOffset>
            </wp:positionH>
            <wp:positionV relativeFrom="page">
              <wp:posOffset>3700780</wp:posOffset>
            </wp:positionV>
            <wp:extent cx="76835" cy="200025"/>
            <wp:effectExtent l="0" t="0" r="0" b="0"/>
            <wp:wrapNone/>
            <wp:docPr id="7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8.png"/>
                    <pic:cNvPicPr>
                      <a:picLocks noChangeAspect="1"/>
                    </pic:cNvPicPr>
                  </pic:nvPicPr>
                  <pic:blipFill>
                    <a:blip r:embed="rId73" cstate="print"/>
                    <a:stretch>
                      <a:fillRect/>
                    </a:stretch>
                  </pic:blipFill>
                  <pic:spPr>
                    <a:xfrm>
                      <a:off x="0" y="0"/>
                      <a:ext cx="76932" cy="200025"/>
                    </a:xfrm>
                    <a:prstGeom prst="rect">
                      <a:avLst/>
                    </a:prstGeom>
                  </pic:spPr>
                </pic:pic>
              </a:graphicData>
            </a:graphic>
          </wp:anchor>
        </w:drawing>
      </w:r>
      <w:r>
        <w:drawing>
          <wp:anchor distT="0" distB="0" distL="0" distR="0" simplePos="0" relativeHeight="214393856" behindDoc="1" locked="0" layoutInCell="1" allowOverlap="1">
            <wp:simplePos x="0" y="0"/>
            <wp:positionH relativeFrom="page">
              <wp:posOffset>4519295</wp:posOffset>
            </wp:positionH>
            <wp:positionV relativeFrom="page">
              <wp:posOffset>3997960</wp:posOffset>
            </wp:positionV>
            <wp:extent cx="76835" cy="200025"/>
            <wp:effectExtent l="0" t="0" r="0" b="0"/>
            <wp:wrapNone/>
            <wp:docPr id="7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8.png"/>
                    <pic:cNvPicPr>
                      <a:picLocks noChangeAspect="1"/>
                    </pic:cNvPicPr>
                  </pic:nvPicPr>
                  <pic:blipFill>
                    <a:blip r:embed="rId73" cstate="print"/>
                    <a:stretch>
                      <a:fillRect/>
                    </a:stretch>
                  </pic:blipFill>
                  <pic:spPr>
                    <a:xfrm>
                      <a:off x="0" y="0"/>
                      <a:ext cx="76932" cy="200025"/>
                    </a:xfrm>
                    <a:prstGeom prst="rect">
                      <a:avLst/>
                    </a:prstGeom>
                  </pic:spPr>
                </pic:pic>
              </a:graphicData>
            </a:graphic>
          </wp:anchor>
        </w:drawing>
      </w:r>
      <w:r>
        <mc:AlternateContent>
          <mc:Choice Requires="wpg">
            <w:drawing>
              <wp:anchor distT="0" distB="0" distL="114300" distR="114300" simplePos="0" relativeHeight="214394880" behindDoc="1" locked="0" layoutInCell="1" allowOverlap="1">
                <wp:simplePos x="0" y="0"/>
                <wp:positionH relativeFrom="page">
                  <wp:posOffset>4519295</wp:posOffset>
                </wp:positionH>
                <wp:positionV relativeFrom="page">
                  <wp:posOffset>4295140</wp:posOffset>
                </wp:positionV>
                <wp:extent cx="266700" cy="495300"/>
                <wp:effectExtent l="0" t="0" r="0" b="0"/>
                <wp:wrapNone/>
                <wp:docPr id="82" name="组合 148"/>
                <wp:cNvGraphicFramePr/>
                <a:graphic xmlns:a="http://schemas.openxmlformats.org/drawingml/2006/main">
                  <a:graphicData uri="http://schemas.microsoft.com/office/word/2010/wordprocessingGroup">
                    <wpg:wgp>
                      <wpg:cNvGrpSpPr/>
                      <wpg:grpSpPr>
                        <a:xfrm>
                          <a:off x="0" y="0"/>
                          <a:ext cx="266700" cy="495300"/>
                          <a:chOff x="7117" y="6764"/>
                          <a:chExt cx="420" cy="780"/>
                        </a:xfrm>
                      </wpg:grpSpPr>
                      <wps:wsp>
                        <wps:cNvPr id="80" name="任意多边形 149"/>
                        <wps:cNvSpPr/>
                        <wps:spPr>
                          <a:xfrm>
                            <a:off x="7117" y="6764"/>
                            <a:ext cx="120" cy="780"/>
                          </a:xfrm>
                          <a:custGeom>
                            <a:avLst/>
                            <a:gdLst/>
                            <a:ahLst/>
                            <a:cxnLst/>
                            <a:pathLst>
                              <a:path w="120" h="780">
                                <a:moveTo>
                                  <a:pt x="68" y="690"/>
                                </a:moveTo>
                                <a:lnTo>
                                  <a:pt x="53" y="690"/>
                                </a:lnTo>
                                <a:lnTo>
                                  <a:pt x="53" y="0"/>
                                </a:lnTo>
                                <a:lnTo>
                                  <a:pt x="68" y="0"/>
                                </a:lnTo>
                                <a:lnTo>
                                  <a:pt x="68" y="690"/>
                                </a:lnTo>
                                <a:close/>
                                <a:moveTo>
                                  <a:pt x="60" y="780"/>
                                </a:moveTo>
                                <a:lnTo>
                                  <a:pt x="0" y="660"/>
                                </a:lnTo>
                                <a:lnTo>
                                  <a:pt x="53" y="660"/>
                                </a:lnTo>
                                <a:lnTo>
                                  <a:pt x="53" y="690"/>
                                </a:lnTo>
                                <a:lnTo>
                                  <a:pt x="105" y="690"/>
                                </a:lnTo>
                                <a:lnTo>
                                  <a:pt x="60" y="780"/>
                                </a:lnTo>
                                <a:close/>
                                <a:moveTo>
                                  <a:pt x="105" y="690"/>
                                </a:moveTo>
                                <a:lnTo>
                                  <a:pt x="68" y="690"/>
                                </a:lnTo>
                                <a:lnTo>
                                  <a:pt x="68" y="660"/>
                                </a:lnTo>
                                <a:lnTo>
                                  <a:pt x="120" y="660"/>
                                </a:lnTo>
                                <a:lnTo>
                                  <a:pt x="105" y="690"/>
                                </a:lnTo>
                                <a:close/>
                              </a:path>
                            </a:pathLst>
                          </a:custGeom>
                          <a:solidFill>
                            <a:srgbClr val="000000"/>
                          </a:solidFill>
                          <a:ln>
                            <a:noFill/>
                          </a:ln>
                        </wps:spPr>
                        <wps:bodyPr upright="1"/>
                      </wps:wsp>
                      <pic:pic xmlns:pic="http://schemas.openxmlformats.org/drawingml/2006/picture">
                        <pic:nvPicPr>
                          <pic:cNvPr id="81" name="图片 150"/>
                          <pic:cNvPicPr>
                            <a:picLocks noChangeAspect="1"/>
                          </pic:cNvPicPr>
                        </pic:nvPicPr>
                        <pic:blipFill>
                          <a:blip r:embed="rId74"/>
                          <a:stretch>
                            <a:fillRect/>
                          </a:stretch>
                        </pic:blipFill>
                        <pic:spPr>
                          <a:xfrm>
                            <a:off x="7177" y="7172"/>
                            <a:ext cx="360" cy="120"/>
                          </a:xfrm>
                          <a:prstGeom prst="rect">
                            <a:avLst/>
                          </a:prstGeom>
                          <a:noFill/>
                          <a:ln>
                            <a:noFill/>
                          </a:ln>
                        </pic:spPr>
                      </pic:pic>
                    </wpg:wgp>
                  </a:graphicData>
                </a:graphic>
              </wp:anchor>
            </w:drawing>
          </mc:Choice>
          <mc:Fallback>
            <w:pict>
              <v:group id="组合 148" o:spid="_x0000_s1026" o:spt="203" style="position:absolute;left:0pt;margin-left:355.85pt;margin-top:338.2pt;height:39pt;width:21pt;mso-position-horizontal-relative:page;mso-position-vertical-relative:page;z-index:-288921600;mso-width-relative:page;mso-height-relative:page;" coordorigin="7117,6764" coordsize="420,780" o:gfxdata="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">
                <o:lock v:ext="edit" aspectratio="f"/>
                <v:shape id="任意多边形 149" o:spid="_x0000_s1026" o:spt="100" style="position:absolute;left:7117;top:6764;height:780;width:120;" fillcolor="#000000" filled="t" stroked="f" coordsize="120,780" o:gfxdata="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7GMuugAAANsA&#10;AAAPAAAAAAAAAAEAIAAAACIAAABkcnMvZG93bnJldi54bWxQSwECFAAUAAAACACHTuJAMy8FnjsA&#10;AAA5AAAAEAAAAAAAAAABACAAAAAJAQAAZHJzL3NoYXBleG1sLnhtbFBLBQYAAAAABgAGAFsBAACz&#10;AwAAAAA=&#10;" path="m68,690l53,690,53,0,68,0,68,690xm60,780l0,660,53,660,53,690,105,690,60,780xm105,690l68,690,68,660,120,660,105,690xe">
                  <v:fill on="t" focussize="0,0"/>
                  <v:stroke on="f"/>
                  <v:imagedata o:title=""/>
                  <o:lock v:ext="edit" aspectratio="f"/>
                </v:shape>
                <v:shape id="图片 150" o:spid="_x0000_s1026" o:spt="75" alt="" type="#_x0000_t75" style="position:absolute;left:7177;top:7172;height:120;width:360;" filled="f" o:preferrelative="t" stroked="f" coordsize="21600,21600" o:gfxdata="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SlKavQAA&#10;ANsAAAAPAAAAAAAAAAEAIAAAACIAAABkcnMvZG93bnJldi54bWxQSwECFAAUAAAACACHTuJAMy8F&#10;njsAAAA5AAAAEAAAAAAAAAABACAAAAAMAQAAZHJzL3NoYXBleG1sLnhtbFBLBQYAAAAABgAGAFsB&#10;AAC2AwAAAAA=&#10;">
                  <v:fill on="f" focussize="0,0"/>
                  <v:stroke on="f"/>
                  <v:imagedata r:id="rId74" o:title=""/>
                  <o:lock v:ext="edit" aspectratio="t"/>
                </v:shape>
              </v:group>
            </w:pict>
          </mc:Fallback>
        </mc:AlternateContent>
      </w:r>
      <w:r>
        <mc:AlternateContent>
          <mc:Choice Requires="wpg">
            <w:drawing>
              <wp:anchor distT="0" distB="0" distL="114300" distR="114300" simplePos="0" relativeHeight="214395904" behindDoc="1" locked="0" layoutInCell="1" allowOverlap="1">
                <wp:simplePos x="0" y="0"/>
                <wp:positionH relativeFrom="page">
                  <wp:posOffset>4176395</wp:posOffset>
                </wp:positionH>
                <wp:positionV relativeFrom="page">
                  <wp:posOffset>4988560</wp:posOffset>
                </wp:positionV>
                <wp:extent cx="762000" cy="495300"/>
                <wp:effectExtent l="0" t="0" r="0" b="0"/>
                <wp:wrapNone/>
                <wp:docPr id="86" name="组合 151"/>
                <wp:cNvGraphicFramePr/>
                <a:graphic xmlns:a="http://schemas.openxmlformats.org/drawingml/2006/main">
                  <a:graphicData uri="http://schemas.microsoft.com/office/word/2010/wordprocessingGroup">
                    <wpg:wgp>
                      <wpg:cNvGrpSpPr/>
                      <wpg:grpSpPr>
                        <a:xfrm>
                          <a:off x="0" y="0"/>
                          <a:ext cx="762000" cy="495300"/>
                          <a:chOff x="6577" y="7856"/>
                          <a:chExt cx="1200" cy="780"/>
                        </a:xfrm>
                      </wpg:grpSpPr>
                      <wps:wsp>
                        <wps:cNvPr id="83" name="任意多边形 152"/>
                        <wps:cNvSpPr/>
                        <wps:spPr>
                          <a:xfrm>
                            <a:off x="6637" y="7856"/>
                            <a:ext cx="1080" cy="468"/>
                          </a:xfrm>
                          <a:custGeom>
                            <a:avLst/>
                            <a:gdLst/>
                            <a:ahLst/>
                            <a:cxnLst/>
                            <a:pathLst>
                              <a:path w="1080" h="468">
                                <a:moveTo>
                                  <a:pt x="540" y="0"/>
                                </a:moveTo>
                                <a:lnTo>
                                  <a:pt x="540" y="468"/>
                                </a:lnTo>
                                <a:moveTo>
                                  <a:pt x="0" y="468"/>
                                </a:moveTo>
                                <a:lnTo>
                                  <a:pt x="1080" y="468"/>
                                </a:lnTo>
                              </a:path>
                            </a:pathLst>
                          </a:custGeom>
                          <a:noFill/>
                          <a:ln w="9525" cap="flat" cmpd="sng">
                            <a:solidFill>
                              <a:srgbClr val="000000"/>
                            </a:solidFill>
                            <a:prstDash val="solid"/>
                            <a:headEnd type="none" w="med" len="med"/>
                            <a:tailEnd type="none" w="med" len="med"/>
                          </a:ln>
                        </wps:spPr>
                        <wps:bodyPr upright="1"/>
                      </wps:wsp>
                      <pic:pic xmlns:pic="http://schemas.openxmlformats.org/drawingml/2006/picture">
                        <pic:nvPicPr>
                          <pic:cNvPr id="84" name="图片 153"/>
                          <pic:cNvPicPr>
                            <a:picLocks noChangeAspect="1"/>
                          </pic:cNvPicPr>
                        </pic:nvPicPr>
                        <pic:blipFill>
                          <a:blip r:embed="rId75"/>
                          <a:stretch>
                            <a:fillRect/>
                          </a:stretch>
                        </pic:blipFill>
                        <pic:spPr>
                          <a:xfrm>
                            <a:off x="6577" y="8324"/>
                            <a:ext cx="120" cy="312"/>
                          </a:xfrm>
                          <a:prstGeom prst="rect">
                            <a:avLst/>
                          </a:prstGeom>
                          <a:noFill/>
                          <a:ln>
                            <a:noFill/>
                          </a:ln>
                        </pic:spPr>
                      </pic:pic>
                      <pic:pic xmlns:pic="http://schemas.openxmlformats.org/drawingml/2006/picture">
                        <pic:nvPicPr>
                          <pic:cNvPr id="85" name="图片 154"/>
                          <pic:cNvPicPr>
                            <a:picLocks noChangeAspect="1"/>
                          </pic:cNvPicPr>
                        </pic:nvPicPr>
                        <pic:blipFill>
                          <a:blip r:embed="rId75"/>
                          <a:stretch>
                            <a:fillRect/>
                          </a:stretch>
                        </pic:blipFill>
                        <pic:spPr>
                          <a:xfrm>
                            <a:off x="7657" y="8324"/>
                            <a:ext cx="120" cy="312"/>
                          </a:xfrm>
                          <a:prstGeom prst="rect">
                            <a:avLst/>
                          </a:prstGeom>
                          <a:noFill/>
                          <a:ln>
                            <a:noFill/>
                          </a:ln>
                        </pic:spPr>
                      </pic:pic>
                    </wpg:wgp>
                  </a:graphicData>
                </a:graphic>
              </wp:anchor>
            </w:drawing>
          </mc:Choice>
          <mc:Fallback>
            <w:pict>
              <v:group id="组合 151" o:spid="_x0000_s1026" o:spt="203" style="position:absolute;left:0pt;margin-left:328.85pt;margin-top:392.8pt;height:39pt;width:60pt;mso-position-horizontal-relative:page;mso-position-vertical-relative:page;z-index:-288920576;mso-width-relative:page;mso-height-relative:page;" coordorigin="6577,7856" coordsize="1200,780" o:gfxdata="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">
                <o:lock v:ext="edit" aspectratio="f"/>
                <v:shape id="任意多边形 152" o:spid="_x0000_s1026" o:spt="100" style="position:absolute;left:6637;top:7856;height:468;width:1080;" filled="f" stroked="t" coordsize="1080,468" o:gfxdata="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q6hb4A&#10;AADbAAAADwAAAAAAAAABACAAAAAiAAAAZHJzL2Rvd25yZXYueG1sUEsBAhQAFAAAAAgAh07iQDMv&#10;BZ47AAAAOQAAABAAAAAAAAAAAQAgAAAADQEAAGRycy9zaGFwZXhtbC54bWxQSwUGAAAAAAYABgBb&#10;AQAAtwMAAAAA&#10;" path="m540,0l540,468m0,468l1080,468e">
                  <v:fill on="f" focussize="0,0"/>
                  <v:stroke color="#000000" joinstyle="round"/>
                  <v:imagedata o:title=""/>
                  <o:lock v:ext="edit" aspectratio="f"/>
                </v:shape>
                <v:shape id="图片 153" o:spid="_x0000_s1026" o:spt="75" alt="" type="#_x0000_t75" style="position:absolute;left:6577;top:8324;height:312;width:120;" filled="f" o:preferrelative="t" stroked="f" coordsize="21600,21600" o:gfxdata="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Y0xi8AAAA&#10;2wAAAA8AAAAAAAAAAQAgAAAAIgAAAGRycy9kb3ducmV2LnhtbFBLAQIUABQAAAAIAIdO4kAzLwWe&#10;OwAAADkAAAAQAAAAAAAAAAEAIAAAAAsBAABkcnMvc2hhcGV4bWwueG1sUEsFBgAAAAAGAAYAWwEA&#10;ALUDAAAAAA==&#10;">
                  <v:fill on="f" focussize="0,0"/>
                  <v:stroke on="f"/>
                  <v:imagedata r:id="rId75" o:title=""/>
                  <o:lock v:ext="edit" aspectratio="t"/>
                </v:shape>
                <v:shape id="图片 154" o:spid="_x0000_s1026" o:spt="75" alt="" type="#_x0000_t75" style="position:absolute;left:7657;top:8324;height:312;width:120;" filled="f" o:preferrelative="t" stroked="f" coordsize="21600,21600" o:gfxdata="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UdoO8AAAA&#10;2wAAAA8AAAAAAAAAAQAgAAAAIgAAAGRycy9kb3ducmV2LnhtbFBLAQIUABQAAAAIAIdO4kAzLwWe&#10;OwAAADkAAAAQAAAAAAAAAAEAIAAAAAsBAABkcnMvc2hhcGV4bWwueG1sUEsFBgAAAAAGAAYAWwEA&#10;ALUDAAAAAA==&#10;">
                  <v:fill on="f" focussize="0,0"/>
                  <v:stroke on="f"/>
                  <v:imagedata r:id="rId75" o:title=""/>
                  <o:lock v:ext="edit" aspectratio="t"/>
                </v:shape>
              </v:group>
            </w:pict>
          </mc:Fallback>
        </mc:AlternateContent>
      </w:r>
    </w:p>
    <w:p>
      <w:pPr>
        <w:pStyle w:val="6"/>
        <w:rPr>
          <w:sz w:val="20"/>
        </w:rPr>
      </w:pPr>
    </w:p>
    <w:p>
      <w:pPr>
        <w:pStyle w:val="6"/>
        <w:spacing w:before="8"/>
        <w:rPr>
          <w:sz w:val="29"/>
        </w:rPr>
      </w:pPr>
    </w:p>
    <w:p>
      <w:pPr>
        <w:pStyle w:val="6"/>
        <w:tabs>
          <w:tab w:val="left" w:pos="3952"/>
        </w:tabs>
        <w:spacing w:before="67"/>
        <w:ind w:left="2136"/>
      </w:pPr>
      <w:r>
        <mc:AlternateContent>
          <mc:Choice Requires="wps">
            <w:drawing>
              <wp:anchor distT="0" distB="0" distL="114300" distR="114300" simplePos="0" relativeHeight="214386688" behindDoc="1" locked="0" layoutInCell="1" allowOverlap="1">
                <wp:simplePos x="0" y="0"/>
                <wp:positionH relativeFrom="page">
                  <wp:posOffset>3376295</wp:posOffset>
                </wp:positionH>
                <wp:positionV relativeFrom="paragraph">
                  <wp:posOffset>930275</wp:posOffset>
                </wp:positionV>
                <wp:extent cx="76200" cy="393700"/>
                <wp:effectExtent l="0" t="0" r="0" b="6350"/>
                <wp:wrapNone/>
                <wp:docPr id="70" name="任意多边形 155"/>
                <wp:cNvGraphicFramePr/>
                <a:graphic xmlns:a="http://schemas.openxmlformats.org/drawingml/2006/main">
                  <a:graphicData uri="http://schemas.microsoft.com/office/word/2010/wordprocessingShape">
                    <wps:wsp>
                      <wps:cNvSpPr/>
                      <wps:spPr>
                        <a:xfrm>
                          <a:off x="0" y="0"/>
                          <a:ext cx="76200" cy="393700"/>
                        </a:xfrm>
                        <a:custGeom>
                          <a:avLst/>
                          <a:gdLst/>
                          <a:ahLst/>
                          <a:cxnLst/>
                          <a:pathLst>
                            <a:path w="120" h="620">
                              <a:moveTo>
                                <a:pt x="68" y="530"/>
                              </a:moveTo>
                              <a:lnTo>
                                <a:pt x="53" y="530"/>
                              </a:lnTo>
                              <a:lnTo>
                                <a:pt x="53" y="0"/>
                              </a:lnTo>
                              <a:lnTo>
                                <a:pt x="68" y="0"/>
                              </a:lnTo>
                              <a:lnTo>
                                <a:pt x="68" y="530"/>
                              </a:lnTo>
                              <a:close/>
                              <a:moveTo>
                                <a:pt x="60" y="620"/>
                              </a:moveTo>
                              <a:lnTo>
                                <a:pt x="0" y="500"/>
                              </a:lnTo>
                              <a:lnTo>
                                <a:pt x="53" y="500"/>
                              </a:lnTo>
                              <a:lnTo>
                                <a:pt x="53" y="530"/>
                              </a:lnTo>
                              <a:lnTo>
                                <a:pt x="105" y="530"/>
                              </a:lnTo>
                              <a:lnTo>
                                <a:pt x="60" y="620"/>
                              </a:lnTo>
                              <a:close/>
                              <a:moveTo>
                                <a:pt x="105" y="530"/>
                              </a:moveTo>
                              <a:lnTo>
                                <a:pt x="68" y="530"/>
                              </a:lnTo>
                              <a:lnTo>
                                <a:pt x="68" y="500"/>
                              </a:lnTo>
                              <a:lnTo>
                                <a:pt x="120" y="500"/>
                              </a:lnTo>
                              <a:lnTo>
                                <a:pt x="105" y="530"/>
                              </a:lnTo>
                              <a:close/>
                            </a:path>
                          </a:pathLst>
                        </a:custGeom>
                        <a:solidFill>
                          <a:srgbClr val="000000"/>
                        </a:solidFill>
                        <a:ln>
                          <a:noFill/>
                        </a:ln>
                      </wps:spPr>
                      <wps:bodyPr upright="1"/>
                    </wps:wsp>
                  </a:graphicData>
                </a:graphic>
              </wp:anchor>
            </w:drawing>
          </mc:Choice>
          <mc:Fallback>
            <w:pict>
              <v:shape id="任意多边形 155" o:spid="_x0000_s1026" o:spt="100" style="position:absolute;left:0pt;margin-left:265.85pt;margin-top:73.25pt;height:31pt;width:6pt;mso-position-horizontal-relative:page;z-index:-288929792;mso-width-relative:page;mso-height-relative:page;" fillcolor="#000000" filled="t" stroked="f" coordsize="120,620" o:gfxdata="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0kaiP2gAAAAsBAAAPAAAA&#10;AAAAAAEAIAAAACIAAABkcnMvZG93bnJldi54bWxQSwECFAAUAAAACACHTuJA76AMpkwCAAD/BQAA&#10;DgAAAAAAAAABACAAAAApAQAAZHJzL2Uyb0RvYy54bWxQSwUGAAAAAAYABgBZAQAA5wUAAAAA&#10;" path="m68,530l53,530,53,0,68,0,68,530xm60,620l0,500,53,500,53,530,105,530,60,620xm105,530l68,530,68,500,120,500,105,530xe">
                <v:fill on="t" focussize="0,0"/>
                <v:stroke on="f"/>
                <v:imagedata o:title=""/>
                <o:lock v:ext="edit" aspectratio="f"/>
              </v:shape>
            </w:pict>
          </mc:Fallback>
        </mc:AlternateContent>
      </w:r>
      <w:r>
        <mc:AlternateContent>
          <mc:Choice Requires="wps">
            <w:drawing>
              <wp:anchor distT="0" distB="0" distL="114300" distR="114300" simplePos="0" relativeHeight="214391808" behindDoc="1" locked="0" layoutInCell="1" allowOverlap="1">
                <wp:simplePos x="0" y="0"/>
                <wp:positionH relativeFrom="page">
                  <wp:posOffset>2385695</wp:posOffset>
                </wp:positionH>
                <wp:positionV relativeFrom="paragraph">
                  <wp:posOffset>99695</wp:posOffset>
                </wp:positionV>
                <wp:extent cx="800100" cy="76200"/>
                <wp:effectExtent l="0" t="0" r="0" b="0"/>
                <wp:wrapNone/>
                <wp:docPr id="78" name="任意多边形 156"/>
                <wp:cNvGraphicFramePr/>
                <a:graphic xmlns:a="http://schemas.openxmlformats.org/drawingml/2006/main">
                  <a:graphicData uri="http://schemas.microsoft.com/office/word/2010/wordprocessingShape">
                    <wps:wsp>
                      <wps:cNvSpPr/>
                      <wps:spPr>
                        <a:xfrm>
                          <a:off x="0" y="0"/>
                          <a:ext cx="800100" cy="76200"/>
                        </a:xfrm>
                        <a:custGeom>
                          <a:avLst/>
                          <a:gdLst/>
                          <a:ahLst/>
                          <a:cxnLst/>
                          <a:pathLst>
                            <a:path w="1260" h="120">
                              <a:moveTo>
                                <a:pt x="1140" y="120"/>
                              </a:moveTo>
                              <a:lnTo>
                                <a:pt x="1140" y="0"/>
                              </a:lnTo>
                              <a:lnTo>
                                <a:pt x="1245" y="52"/>
                              </a:lnTo>
                              <a:lnTo>
                                <a:pt x="1170" y="52"/>
                              </a:lnTo>
                              <a:lnTo>
                                <a:pt x="1170" y="67"/>
                              </a:lnTo>
                              <a:lnTo>
                                <a:pt x="1245" y="67"/>
                              </a:lnTo>
                              <a:lnTo>
                                <a:pt x="1140" y="120"/>
                              </a:lnTo>
                              <a:close/>
                              <a:moveTo>
                                <a:pt x="1140" y="67"/>
                              </a:moveTo>
                              <a:lnTo>
                                <a:pt x="0" y="67"/>
                              </a:lnTo>
                              <a:lnTo>
                                <a:pt x="0" y="52"/>
                              </a:lnTo>
                              <a:lnTo>
                                <a:pt x="1140" y="52"/>
                              </a:lnTo>
                              <a:lnTo>
                                <a:pt x="1140" y="67"/>
                              </a:lnTo>
                              <a:close/>
                              <a:moveTo>
                                <a:pt x="1245" y="67"/>
                              </a:moveTo>
                              <a:lnTo>
                                <a:pt x="1170" y="67"/>
                              </a:lnTo>
                              <a:lnTo>
                                <a:pt x="1170" y="52"/>
                              </a:lnTo>
                              <a:lnTo>
                                <a:pt x="1245" y="52"/>
                              </a:lnTo>
                              <a:lnTo>
                                <a:pt x="1260" y="60"/>
                              </a:lnTo>
                              <a:lnTo>
                                <a:pt x="1245" y="67"/>
                              </a:lnTo>
                              <a:close/>
                            </a:path>
                          </a:pathLst>
                        </a:custGeom>
                        <a:solidFill>
                          <a:srgbClr val="000000"/>
                        </a:solidFill>
                        <a:ln>
                          <a:noFill/>
                        </a:ln>
                      </wps:spPr>
                      <wps:bodyPr upright="1"/>
                    </wps:wsp>
                  </a:graphicData>
                </a:graphic>
              </wp:anchor>
            </w:drawing>
          </mc:Choice>
          <mc:Fallback>
            <w:pict>
              <v:shape id="任意多边形 156" o:spid="_x0000_s1026" o:spt="100" style="position:absolute;left:0pt;margin-left:187.85pt;margin-top:7.85pt;height:6pt;width:63pt;mso-position-horizontal-relative:page;z-index:-288924672;mso-width-relative:page;mso-height-relative:page;" fillcolor="#000000" filled="t" stroked="f" coordsize="1260,120" o:gfxdata="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94n3ZAAAA&#10;CQEAAA8AAAAAAAAAAQAgAAAAIgAAAGRycy9kb3ducmV2LnhtbFBLAQIUABQAAAAIAIdO4kB8Kuwq&#10;VQIAAFwGAAAOAAAAAAAAAAEAIAAAACgBAABkcnMvZTJvRG9jLnhtbFBLBQYAAAAABgAGAFkBAADv&#10;BQAAAAA=&#10;" path="m1140,120l1140,0,1245,52,1170,52,1170,67,1245,67,1140,120xm1140,67l0,67,0,52,1140,52,1140,67xm1245,67l1170,67,1170,52,1245,52,1260,60,1245,67xe">
                <v:fill on="t" focussize="0,0"/>
                <v:stroke on="f"/>
                <v:imagedata o:title=""/>
                <o:lock v:ext="edit" aspectratio="f"/>
              </v:shape>
            </w:pict>
          </mc:Fallback>
        </mc:AlternateContent>
      </w:r>
      <w:r>
        <w:t>污水</w:t>
      </w:r>
      <w:r>
        <w:tab/>
      </w:r>
      <w:r>
        <w:t>格栅</w:t>
      </w:r>
    </w:p>
    <w:p>
      <w:pPr>
        <w:pStyle w:val="6"/>
        <w:ind w:left="1469"/>
        <w:rPr>
          <w:sz w:val="20"/>
        </w:rPr>
      </w:pPr>
      <w:r>
        <w:rPr>
          <w:sz w:val="20"/>
        </w:rPr>
        <mc:AlternateContent>
          <mc:Choice Requires="wpg">
            <w:drawing>
              <wp:inline distT="0" distB="0" distL="114300" distR="114300">
                <wp:extent cx="4124325" cy="5750560"/>
                <wp:effectExtent l="0" t="0" r="9525" b="2540"/>
                <wp:docPr id="226" name="组合 157"/>
                <wp:cNvGraphicFramePr/>
                <a:graphic xmlns:a="http://schemas.openxmlformats.org/drawingml/2006/main">
                  <a:graphicData uri="http://schemas.microsoft.com/office/word/2010/wordprocessingGroup">
                    <wpg:wgp>
                      <wpg:cNvGrpSpPr/>
                      <wpg:grpSpPr>
                        <a:xfrm>
                          <a:off x="0" y="0"/>
                          <a:ext cx="4124325" cy="5750560"/>
                          <a:chOff x="0" y="0"/>
                          <a:chExt cx="6495" cy="9056"/>
                        </a:xfrm>
                      </wpg:grpSpPr>
                      <wps:wsp>
                        <wps:cNvPr id="182" name="任意多边形 158"/>
                        <wps:cNvSpPr/>
                        <wps:spPr>
                          <a:xfrm>
                            <a:off x="2647" y="0"/>
                            <a:ext cx="120" cy="624"/>
                          </a:xfrm>
                          <a:custGeom>
                            <a:avLst/>
                            <a:gdLst/>
                            <a:ahLst/>
                            <a:cxnLst/>
                            <a:pathLst>
                              <a:path w="120" h="624">
                                <a:moveTo>
                                  <a:pt x="67" y="534"/>
                                </a:moveTo>
                                <a:lnTo>
                                  <a:pt x="52" y="534"/>
                                </a:lnTo>
                                <a:lnTo>
                                  <a:pt x="52" y="0"/>
                                </a:lnTo>
                                <a:lnTo>
                                  <a:pt x="67" y="0"/>
                                </a:lnTo>
                                <a:lnTo>
                                  <a:pt x="67" y="534"/>
                                </a:lnTo>
                                <a:close/>
                                <a:moveTo>
                                  <a:pt x="60" y="624"/>
                                </a:moveTo>
                                <a:lnTo>
                                  <a:pt x="0" y="504"/>
                                </a:lnTo>
                                <a:lnTo>
                                  <a:pt x="52" y="504"/>
                                </a:lnTo>
                                <a:lnTo>
                                  <a:pt x="52" y="534"/>
                                </a:lnTo>
                                <a:lnTo>
                                  <a:pt x="105" y="534"/>
                                </a:lnTo>
                                <a:lnTo>
                                  <a:pt x="60" y="624"/>
                                </a:lnTo>
                                <a:close/>
                                <a:moveTo>
                                  <a:pt x="105" y="534"/>
                                </a:moveTo>
                                <a:lnTo>
                                  <a:pt x="67" y="534"/>
                                </a:lnTo>
                                <a:lnTo>
                                  <a:pt x="67" y="504"/>
                                </a:lnTo>
                                <a:lnTo>
                                  <a:pt x="120" y="504"/>
                                </a:lnTo>
                                <a:lnTo>
                                  <a:pt x="105" y="534"/>
                                </a:lnTo>
                                <a:close/>
                              </a:path>
                            </a:pathLst>
                          </a:custGeom>
                          <a:solidFill>
                            <a:srgbClr val="000000"/>
                          </a:solidFill>
                          <a:ln>
                            <a:noFill/>
                          </a:ln>
                        </wps:spPr>
                        <wps:bodyPr upright="1"/>
                      </wps:wsp>
                      <wps:wsp>
                        <wps:cNvPr id="183" name="任意多边形 159"/>
                        <wps:cNvSpPr/>
                        <wps:spPr>
                          <a:xfrm>
                            <a:off x="2647" y="4992"/>
                            <a:ext cx="120" cy="624"/>
                          </a:xfrm>
                          <a:custGeom>
                            <a:avLst/>
                            <a:gdLst/>
                            <a:ahLst/>
                            <a:cxnLst/>
                            <a:pathLst>
                              <a:path w="120" h="624">
                                <a:moveTo>
                                  <a:pt x="67" y="534"/>
                                </a:moveTo>
                                <a:lnTo>
                                  <a:pt x="52" y="534"/>
                                </a:lnTo>
                                <a:lnTo>
                                  <a:pt x="52" y="0"/>
                                </a:lnTo>
                                <a:lnTo>
                                  <a:pt x="67" y="0"/>
                                </a:lnTo>
                                <a:lnTo>
                                  <a:pt x="67" y="534"/>
                                </a:lnTo>
                                <a:close/>
                                <a:moveTo>
                                  <a:pt x="60" y="624"/>
                                </a:moveTo>
                                <a:lnTo>
                                  <a:pt x="0" y="504"/>
                                </a:lnTo>
                                <a:lnTo>
                                  <a:pt x="52" y="504"/>
                                </a:lnTo>
                                <a:lnTo>
                                  <a:pt x="52" y="534"/>
                                </a:lnTo>
                                <a:lnTo>
                                  <a:pt x="105" y="534"/>
                                </a:lnTo>
                                <a:lnTo>
                                  <a:pt x="60" y="624"/>
                                </a:lnTo>
                                <a:close/>
                                <a:moveTo>
                                  <a:pt x="105" y="534"/>
                                </a:moveTo>
                                <a:lnTo>
                                  <a:pt x="67" y="534"/>
                                </a:lnTo>
                                <a:lnTo>
                                  <a:pt x="67" y="504"/>
                                </a:lnTo>
                                <a:lnTo>
                                  <a:pt x="120" y="504"/>
                                </a:lnTo>
                                <a:lnTo>
                                  <a:pt x="105" y="534"/>
                                </a:lnTo>
                                <a:close/>
                              </a:path>
                            </a:pathLst>
                          </a:custGeom>
                          <a:solidFill>
                            <a:srgbClr val="000000"/>
                          </a:solidFill>
                          <a:ln>
                            <a:noFill/>
                          </a:ln>
                        </wps:spPr>
                        <wps:bodyPr upright="1"/>
                      </wps:wsp>
                      <wps:wsp>
                        <wps:cNvPr id="184" name="直线 160"/>
                        <wps:cNvSpPr/>
                        <wps:spPr>
                          <a:xfrm>
                            <a:off x="1808" y="4992"/>
                            <a:ext cx="1800" cy="0"/>
                          </a:xfrm>
                          <a:prstGeom prst="line">
                            <a:avLst/>
                          </a:prstGeom>
                          <a:ln w="9525" cap="flat" cmpd="sng">
                            <a:solidFill>
                              <a:srgbClr val="000000"/>
                            </a:solidFill>
                            <a:prstDash val="solid"/>
                            <a:headEnd type="none" w="med" len="med"/>
                            <a:tailEnd type="none" w="med" len="med"/>
                          </a:ln>
                        </wps:spPr>
                        <wps:bodyPr upright="1"/>
                      </wps:wsp>
                      <pic:pic xmlns:pic="http://schemas.openxmlformats.org/drawingml/2006/picture">
                        <pic:nvPicPr>
                          <pic:cNvPr id="185" name="图片 161"/>
                          <pic:cNvPicPr>
                            <a:picLocks noChangeAspect="1"/>
                          </pic:cNvPicPr>
                        </pic:nvPicPr>
                        <pic:blipFill>
                          <a:blip r:embed="rId73"/>
                          <a:stretch>
                            <a:fillRect/>
                          </a:stretch>
                        </pic:blipFill>
                        <pic:spPr>
                          <a:xfrm>
                            <a:off x="3547" y="4992"/>
                            <a:ext cx="120" cy="312"/>
                          </a:xfrm>
                          <a:prstGeom prst="rect">
                            <a:avLst/>
                          </a:prstGeom>
                          <a:noFill/>
                          <a:ln>
                            <a:noFill/>
                          </a:ln>
                        </pic:spPr>
                      </pic:pic>
                      <wps:wsp>
                        <wps:cNvPr id="186" name="任意多边形 162"/>
                        <wps:cNvSpPr/>
                        <wps:spPr>
                          <a:xfrm>
                            <a:off x="3547" y="5460"/>
                            <a:ext cx="120" cy="780"/>
                          </a:xfrm>
                          <a:custGeom>
                            <a:avLst/>
                            <a:gdLst/>
                            <a:ahLst/>
                            <a:cxnLst/>
                            <a:pathLst>
                              <a:path w="120" h="780">
                                <a:moveTo>
                                  <a:pt x="67" y="690"/>
                                </a:moveTo>
                                <a:lnTo>
                                  <a:pt x="52" y="690"/>
                                </a:lnTo>
                                <a:lnTo>
                                  <a:pt x="52" y="0"/>
                                </a:lnTo>
                                <a:lnTo>
                                  <a:pt x="67" y="0"/>
                                </a:lnTo>
                                <a:lnTo>
                                  <a:pt x="67" y="690"/>
                                </a:lnTo>
                                <a:close/>
                                <a:moveTo>
                                  <a:pt x="60" y="780"/>
                                </a:moveTo>
                                <a:lnTo>
                                  <a:pt x="0" y="660"/>
                                </a:lnTo>
                                <a:lnTo>
                                  <a:pt x="52" y="660"/>
                                </a:lnTo>
                                <a:lnTo>
                                  <a:pt x="52" y="690"/>
                                </a:lnTo>
                                <a:lnTo>
                                  <a:pt x="105" y="690"/>
                                </a:lnTo>
                                <a:lnTo>
                                  <a:pt x="60" y="780"/>
                                </a:lnTo>
                                <a:close/>
                                <a:moveTo>
                                  <a:pt x="105" y="690"/>
                                </a:moveTo>
                                <a:lnTo>
                                  <a:pt x="67" y="690"/>
                                </a:lnTo>
                                <a:lnTo>
                                  <a:pt x="67" y="660"/>
                                </a:lnTo>
                                <a:lnTo>
                                  <a:pt x="120" y="660"/>
                                </a:lnTo>
                                <a:lnTo>
                                  <a:pt x="105" y="690"/>
                                </a:lnTo>
                                <a:close/>
                              </a:path>
                            </a:pathLst>
                          </a:custGeom>
                          <a:solidFill>
                            <a:srgbClr val="000000"/>
                          </a:solidFill>
                          <a:ln>
                            <a:noFill/>
                          </a:ln>
                        </wps:spPr>
                        <wps:bodyPr upright="1"/>
                      </wps:wsp>
                      <pic:pic xmlns:pic="http://schemas.openxmlformats.org/drawingml/2006/picture">
                        <pic:nvPicPr>
                          <pic:cNvPr id="187" name="图片 163"/>
                          <pic:cNvPicPr>
                            <a:picLocks noChangeAspect="1"/>
                          </pic:cNvPicPr>
                        </pic:nvPicPr>
                        <pic:blipFill>
                          <a:blip r:embed="rId76"/>
                          <a:stretch>
                            <a:fillRect/>
                          </a:stretch>
                        </pic:blipFill>
                        <pic:spPr>
                          <a:xfrm>
                            <a:off x="1747" y="4992"/>
                            <a:ext cx="120" cy="313"/>
                          </a:xfrm>
                          <a:prstGeom prst="rect">
                            <a:avLst/>
                          </a:prstGeom>
                          <a:noFill/>
                          <a:ln>
                            <a:noFill/>
                          </a:ln>
                        </pic:spPr>
                      </pic:pic>
                      <pic:pic xmlns:pic="http://schemas.openxmlformats.org/drawingml/2006/picture">
                        <pic:nvPicPr>
                          <pic:cNvPr id="188" name="图片 164"/>
                          <pic:cNvPicPr>
                            <a:picLocks noChangeAspect="1"/>
                          </pic:cNvPicPr>
                        </pic:nvPicPr>
                        <pic:blipFill>
                          <a:blip r:embed="rId73"/>
                          <a:stretch>
                            <a:fillRect/>
                          </a:stretch>
                        </pic:blipFill>
                        <pic:spPr>
                          <a:xfrm>
                            <a:off x="4987" y="5928"/>
                            <a:ext cx="120" cy="312"/>
                          </a:xfrm>
                          <a:prstGeom prst="rect">
                            <a:avLst/>
                          </a:prstGeom>
                          <a:noFill/>
                          <a:ln>
                            <a:noFill/>
                          </a:ln>
                        </pic:spPr>
                      </pic:pic>
                      <wps:wsp>
                        <wps:cNvPr id="189" name="直线 165"/>
                        <wps:cNvSpPr/>
                        <wps:spPr>
                          <a:xfrm>
                            <a:off x="3608" y="6240"/>
                            <a:ext cx="2880" cy="0"/>
                          </a:xfrm>
                          <a:prstGeom prst="line">
                            <a:avLst/>
                          </a:prstGeom>
                          <a:ln w="9525" cap="flat" cmpd="sng">
                            <a:solidFill>
                              <a:srgbClr val="000000"/>
                            </a:solidFill>
                            <a:prstDash val="solid"/>
                            <a:headEnd type="none" w="med" len="med"/>
                            <a:tailEnd type="none" w="med" len="med"/>
                          </a:ln>
                        </wps:spPr>
                        <wps:bodyPr upright="1"/>
                      </wps:wsp>
                      <wps:wsp>
                        <wps:cNvPr id="190" name="任意多边形 166"/>
                        <wps:cNvSpPr/>
                        <wps:spPr>
                          <a:xfrm>
                            <a:off x="2647" y="6084"/>
                            <a:ext cx="120" cy="624"/>
                          </a:xfrm>
                          <a:custGeom>
                            <a:avLst/>
                            <a:gdLst/>
                            <a:ahLst/>
                            <a:cxnLst/>
                            <a:pathLst>
                              <a:path w="120" h="624">
                                <a:moveTo>
                                  <a:pt x="67" y="534"/>
                                </a:moveTo>
                                <a:lnTo>
                                  <a:pt x="52" y="534"/>
                                </a:lnTo>
                                <a:lnTo>
                                  <a:pt x="52" y="0"/>
                                </a:lnTo>
                                <a:lnTo>
                                  <a:pt x="67" y="0"/>
                                </a:lnTo>
                                <a:lnTo>
                                  <a:pt x="67" y="534"/>
                                </a:lnTo>
                                <a:close/>
                                <a:moveTo>
                                  <a:pt x="60" y="624"/>
                                </a:moveTo>
                                <a:lnTo>
                                  <a:pt x="0" y="504"/>
                                </a:lnTo>
                                <a:lnTo>
                                  <a:pt x="52" y="504"/>
                                </a:lnTo>
                                <a:lnTo>
                                  <a:pt x="52" y="534"/>
                                </a:lnTo>
                                <a:lnTo>
                                  <a:pt x="105" y="534"/>
                                </a:lnTo>
                                <a:lnTo>
                                  <a:pt x="60" y="624"/>
                                </a:lnTo>
                                <a:close/>
                                <a:moveTo>
                                  <a:pt x="105" y="534"/>
                                </a:moveTo>
                                <a:lnTo>
                                  <a:pt x="67" y="534"/>
                                </a:lnTo>
                                <a:lnTo>
                                  <a:pt x="67" y="504"/>
                                </a:lnTo>
                                <a:lnTo>
                                  <a:pt x="120" y="504"/>
                                </a:lnTo>
                                <a:lnTo>
                                  <a:pt x="105" y="534"/>
                                </a:lnTo>
                                <a:close/>
                              </a:path>
                            </a:pathLst>
                          </a:custGeom>
                          <a:solidFill>
                            <a:srgbClr val="000000"/>
                          </a:solidFill>
                          <a:ln>
                            <a:noFill/>
                          </a:ln>
                        </wps:spPr>
                        <wps:bodyPr upright="1"/>
                      </wps:wsp>
                      <wps:wsp>
                        <wps:cNvPr id="191" name="直线 167"/>
                        <wps:cNvSpPr/>
                        <wps:spPr>
                          <a:xfrm>
                            <a:off x="1808" y="6240"/>
                            <a:ext cx="900" cy="0"/>
                          </a:xfrm>
                          <a:prstGeom prst="line">
                            <a:avLst/>
                          </a:prstGeom>
                          <a:ln w="9525" cap="flat" cmpd="sng">
                            <a:solidFill>
                              <a:srgbClr val="000000"/>
                            </a:solidFill>
                            <a:prstDash val="solid"/>
                            <a:headEnd type="none" w="med" len="med"/>
                            <a:tailEnd type="none" w="med" len="med"/>
                          </a:ln>
                        </wps:spPr>
                        <wps:bodyPr upright="1"/>
                      </wps:wsp>
                      <wps:wsp>
                        <wps:cNvPr id="192" name="任意多边形 168"/>
                        <wps:cNvSpPr/>
                        <wps:spPr>
                          <a:xfrm>
                            <a:off x="1747" y="6240"/>
                            <a:ext cx="120" cy="468"/>
                          </a:xfrm>
                          <a:custGeom>
                            <a:avLst/>
                            <a:gdLst/>
                            <a:ahLst/>
                            <a:cxnLst/>
                            <a:pathLst>
                              <a:path w="120" h="468">
                                <a:moveTo>
                                  <a:pt x="67" y="378"/>
                                </a:moveTo>
                                <a:lnTo>
                                  <a:pt x="52" y="378"/>
                                </a:lnTo>
                                <a:lnTo>
                                  <a:pt x="52" y="0"/>
                                </a:lnTo>
                                <a:lnTo>
                                  <a:pt x="67" y="0"/>
                                </a:lnTo>
                                <a:lnTo>
                                  <a:pt x="67" y="378"/>
                                </a:lnTo>
                                <a:close/>
                                <a:moveTo>
                                  <a:pt x="60" y="468"/>
                                </a:moveTo>
                                <a:lnTo>
                                  <a:pt x="0" y="348"/>
                                </a:lnTo>
                                <a:lnTo>
                                  <a:pt x="52" y="348"/>
                                </a:lnTo>
                                <a:lnTo>
                                  <a:pt x="52" y="378"/>
                                </a:lnTo>
                                <a:lnTo>
                                  <a:pt x="105" y="378"/>
                                </a:lnTo>
                                <a:lnTo>
                                  <a:pt x="60" y="468"/>
                                </a:lnTo>
                                <a:close/>
                                <a:moveTo>
                                  <a:pt x="105" y="378"/>
                                </a:moveTo>
                                <a:lnTo>
                                  <a:pt x="67" y="378"/>
                                </a:lnTo>
                                <a:lnTo>
                                  <a:pt x="67" y="348"/>
                                </a:lnTo>
                                <a:lnTo>
                                  <a:pt x="120" y="348"/>
                                </a:lnTo>
                                <a:lnTo>
                                  <a:pt x="105" y="378"/>
                                </a:lnTo>
                                <a:close/>
                              </a:path>
                            </a:pathLst>
                          </a:custGeom>
                          <a:solidFill>
                            <a:srgbClr val="000000"/>
                          </a:solidFill>
                          <a:ln>
                            <a:noFill/>
                          </a:ln>
                        </wps:spPr>
                        <wps:bodyPr upright="1"/>
                      </wps:wsp>
                      <wps:wsp>
                        <wps:cNvPr id="193" name="任意多边形 169"/>
                        <wps:cNvSpPr/>
                        <wps:spPr>
                          <a:xfrm>
                            <a:off x="2647" y="7020"/>
                            <a:ext cx="120" cy="624"/>
                          </a:xfrm>
                          <a:custGeom>
                            <a:avLst/>
                            <a:gdLst/>
                            <a:ahLst/>
                            <a:cxnLst/>
                            <a:pathLst>
                              <a:path w="120" h="624">
                                <a:moveTo>
                                  <a:pt x="67" y="534"/>
                                </a:moveTo>
                                <a:lnTo>
                                  <a:pt x="52" y="534"/>
                                </a:lnTo>
                                <a:lnTo>
                                  <a:pt x="52" y="0"/>
                                </a:lnTo>
                                <a:lnTo>
                                  <a:pt x="67" y="0"/>
                                </a:lnTo>
                                <a:lnTo>
                                  <a:pt x="67" y="534"/>
                                </a:lnTo>
                                <a:close/>
                                <a:moveTo>
                                  <a:pt x="60" y="624"/>
                                </a:moveTo>
                                <a:lnTo>
                                  <a:pt x="0" y="504"/>
                                </a:lnTo>
                                <a:lnTo>
                                  <a:pt x="52" y="504"/>
                                </a:lnTo>
                                <a:lnTo>
                                  <a:pt x="52" y="534"/>
                                </a:lnTo>
                                <a:lnTo>
                                  <a:pt x="105" y="534"/>
                                </a:lnTo>
                                <a:lnTo>
                                  <a:pt x="60" y="624"/>
                                </a:lnTo>
                                <a:close/>
                                <a:moveTo>
                                  <a:pt x="105" y="534"/>
                                </a:moveTo>
                                <a:lnTo>
                                  <a:pt x="67" y="534"/>
                                </a:lnTo>
                                <a:lnTo>
                                  <a:pt x="67" y="504"/>
                                </a:lnTo>
                                <a:lnTo>
                                  <a:pt x="120" y="504"/>
                                </a:lnTo>
                                <a:lnTo>
                                  <a:pt x="105" y="534"/>
                                </a:lnTo>
                                <a:close/>
                              </a:path>
                            </a:pathLst>
                          </a:custGeom>
                          <a:solidFill>
                            <a:srgbClr val="000000"/>
                          </a:solidFill>
                          <a:ln>
                            <a:noFill/>
                          </a:ln>
                        </wps:spPr>
                        <wps:bodyPr upright="1"/>
                      </wps:wsp>
                      <wps:wsp>
                        <wps:cNvPr id="194" name="任意多边形 170"/>
                        <wps:cNvSpPr/>
                        <wps:spPr>
                          <a:xfrm>
                            <a:off x="7" y="5244"/>
                            <a:ext cx="1260" cy="120"/>
                          </a:xfrm>
                          <a:custGeom>
                            <a:avLst/>
                            <a:gdLst/>
                            <a:ahLst/>
                            <a:cxnLst/>
                            <a:pathLst>
                              <a:path w="1260" h="120">
                                <a:moveTo>
                                  <a:pt x="1140" y="120"/>
                                </a:moveTo>
                                <a:lnTo>
                                  <a:pt x="1140" y="0"/>
                                </a:lnTo>
                                <a:lnTo>
                                  <a:pt x="1245" y="53"/>
                                </a:lnTo>
                                <a:lnTo>
                                  <a:pt x="1170" y="53"/>
                                </a:lnTo>
                                <a:lnTo>
                                  <a:pt x="1170" y="68"/>
                                </a:lnTo>
                                <a:lnTo>
                                  <a:pt x="1245" y="68"/>
                                </a:lnTo>
                                <a:lnTo>
                                  <a:pt x="1140" y="120"/>
                                </a:lnTo>
                                <a:close/>
                                <a:moveTo>
                                  <a:pt x="1140" y="68"/>
                                </a:moveTo>
                                <a:lnTo>
                                  <a:pt x="0" y="68"/>
                                </a:lnTo>
                                <a:lnTo>
                                  <a:pt x="0" y="53"/>
                                </a:lnTo>
                                <a:lnTo>
                                  <a:pt x="1140" y="53"/>
                                </a:lnTo>
                                <a:lnTo>
                                  <a:pt x="1140" y="68"/>
                                </a:lnTo>
                                <a:close/>
                                <a:moveTo>
                                  <a:pt x="1245" y="68"/>
                                </a:moveTo>
                                <a:lnTo>
                                  <a:pt x="1170" y="68"/>
                                </a:lnTo>
                                <a:lnTo>
                                  <a:pt x="1170" y="53"/>
                                </a:lnTo>
                                <a:lnTo>
                                  <a:pt x="1245" y="53"/>
                                </a:lnTo>
                                <a:lnTo>
                                  <a:pt x="1260" y="60"/>
                                </a:lnTo>
                                <a:lnTo>
                                  <a:pt x="1245" y="68"/>
                                </a:lnTo>
                                <a:close/>
                              </a:path>
                            </a:pathLst>
                          </a:custGeom>
                          <a:solidFill>
                            <a:srgbClr val="000000"/>
                          </a:solidFill>
                          <a:ln>
                            <a:noFill/>
                          </a:ln>
                        </wps:spPr>
                        <wps:bodyPr upright="1"/>
                      </wps:wsp>
                      <wps:wsp>
                        <wps:cNvPr id="195" name="直线 171"/>
                        <wps:cNvSpPr/>
                        <wps:spPr>
                          <a:xfrm>
                            <a:off x="8" y="5304"/>
                            <a:ext cx="0" cy="3432"/>
                          </a:xfrm>
                          <a:prstGeom prst="line">
                            <a:avLst/>
                          </a:prstGeom>
                          <a:ln w="9525" cap="flat" cmpd="sng">
                            <a:solidFill>
                              <a:srgbClr val="000000"/>
                            </a:solidFill>
                            <a:prstDash val="solid"/>
                            <a:headEnd type="none" w="med" len="med"/>
                            <a:tailEnd type="none" w="med" len="med"/>
                          </a:ln>
                        </wps:spPr>
                        <wps:bodyPr upright="1"/>
                      </wps:wsp>
                      <wps:wsp>
                        <wps:cNvPr id="196" name="直线 172"/>
                        <wps:cNvSpPr/>
                        <wps:spPr>
                          <a:xfrm>
                            <a:off x="548" y="7332"/>
                            <a:ext cx="3600" cy="0"/>
                          </a:xfrm>
                          <a:prstGeom prst="line">
                            <a:avLst/>
                          </a:prstGeom>
                          <a:ln w="9525" cap="flat" cmpd="sng">
                            <a:solidFill>
                              <a:srgbClr val="000000"/>
                            </a:solidFill>
                            <a:prstDash val="solid"/>
                            <a:headEnd type="none" w="med" len="med"/>
                            <a:tailEnd type="none" w="med" len="med"/>
                          </a:ln>
                        </wps:spPr>
                        <wps:bodyPr upright="1"/>
                      </wps:wsp>
                      <pic:pic xmlns:pic="http://schemas.openxmlformats.org/drawingml/2006/picture">
                        <pic:nvPicPr>
                          <pic:cNvPr id="197" name="图片 173"/>
                          <pic:cNvPicPr>
                            <a:picLocks noChangeAspect="1"/>
                          </pic:cNvPicPr>
                        </pic:nvPicPr>
                        <pic:blipFill>
                          <a:blip r:embed="rId76"/>
                          <a:stretch>
                            <a:fillRect/>
                          </a:stretch>
                        </pic:blipFill>
                        <pic:spPr>
                          <a:xfrm>
                            <a:off x="1567" y="7332"/>
                            <a:ext cx="120" cy="313"/>
                          </a:xfrm>
                          <a:prstGeom prst="rect">
                            <a:avLst/>
                          </a:prstGeom>
                          <a:noFill/>
                          <a:ln>
                            <a:noFill/>
                          </a:ln>
                        </pic:spPr>
                      </pic:pic>
                      <pic:pic xmlns:pic="http://schemas.openxmlformats.org/drawingml/2006/picture">
                        <pic:nvPicPr>
                          <pic:cNvPr id="198" name="图片 174"/>
                          <pic:cNvPicPr>
                            <a:picLocks noChangeAspect="1"/>
                          </pic:cNvPicPr>
                        </pic:nvPicPr>
                        <pic:blipFill>
                          <a:blip r:embed="rId76"/>
                          <a:stretch>
                            <a:fillRect/>
                          </a:stretch>
                        </pic:blipFill>
                        <pic:spPr>
                          <a:xfrm>
                            <a:off x="487" y="7332"/>
                            <a:ext cx="120" cy="313"/>
                          </a:xfrm>
                          <a:prstGeom prst="rect">
                            <a:avLst/>
                          </a:prstGeom>
                          <a:noFill/>
                          <a:ln>
                            <a:noFill/>
                          </a:ln>
                        </pic:spPr>
                      </pic:pic>
                      <wps:wsp>
                        <wps:cNvPr id="199" name="任意多边形 175"/>
                        <wps:cNvSpPr/>
                        <wps:spPr>
                          <a:xfrm>
                            <a:off x="1567" y="7956"/>
                            <a:ext cx="120" cy="780"/>
                          </a:xfrm>
                          <a:custGeom>
                            <a:avLst/>
                            <a:gdLst/>
                            <a:ahLst/>
                            <a:cxnLst/>
                            <a:pathLst>
                              <a:path w="120" h="780">
                                <a:moveTo>
                                  <a:pt x="52" y="120"/>
                                </a:moveTo>
                                <a:lnTo>
                                  <a:pt x="0" y="120"/>
                                </a:lnTo>
                                <a:lnTo>
                                  <a:pt x="60" y="0"/>
                                </a:lnTo>
                                <a:lnTo>
                                  <a:pt x="105" y="90"/>
                                </a:lnTo>
                                <a:lnTo>
                                  <a:pt x="52" y="90"/>
                                </a:lnTo>
                                <a:lnTo>
                                  <a:pt x="52" y="120"/>
                                </a:lnTo>
                                <a:close/>
                                <a:moveTo>
                                  <a:pt x="67" y="780"/>
                                </a:moveTo>
                                <a:lnTo>
                                  <a:pt x="52" y="780"/>
                                </a:lnTo>
                                <a:lnTo>
                                  <a:pt x="52" y="90"/>
                                </a:lnTo>
                                <a:lnTo>
                                  <a:pt x="67" y="90"/>
                                </a:lnTo>
                                <a:lnTo>
                                  <a:pt x="67" y="780"/>
                                </a:lnTo>
                                <a:close/>
                                <a:moveTo>
                                  <a:pt x="120" y="120"/>
                                </a:moveTo>
                                <a:lnTo>
                                  <a:pt x="67" y="120"/>
                                </a:lnTo>
                                <a:lnTo>
                                  <a:pt x="67" y="90"/>
                                </a:lnTo>
                                <a:lnTo>
                                  <a:pt x="105" y="90"/>
                                </a:lnTo>
                                <a:lnTo>
                                  <a:pt x="120" y="120"/>
                                </a:lnTo>
                                <a:close/>
                              </a:path>
                            </a:pathLst>
                          </a:custGeom>
                          <a:solidFill>
                            <a:srgbClr val="000000"/>
                          </a:solidFill>
                          <a:ln>
                            <a:noFill/>
                          </a:ln>
                        </wps:spPr>
                        <wps:bodyPr upright="1"/>
                      </wps:wsp>
                      <wps:wsp>
                        <wps:cNvPr id="200" name="直线 176"/>
                        <wps:cNvSpPr/>
                        <wps:spPr>
                          <a:xfrm>
                            <a:off x="8" y="8736"/>
                            <a:ext cx="1620" cy="0"/>
                          </a:xfrm>
                          <a:prstGeom prst="line">
                            <a:avLst/>
                          </a:prstGeom>
                          <a:ln w="9525" cap="flat" cmpd="sng">
                            <a:solidFill>
                              <a:srgbClr val="000000"/>
                            </a:solidFill>
                            <a:prstDash val="solid"/>
                            <a:headEnd type="none" w="med" len="med"/>
                            <a:tailEnd type="none" w="med" len="med"/>
                          </a:ln>
                        </wps:spPr>
                        <wps:bodyPr upright="1"/>
                      </wps:wsp>
                      <wps:wsp>
                        <wps:cNvPr id="201" name="任意多边形 177"/>
                        <wps:cNvSpPr/>
                        <wps:spPr>
                          <a:xfrm>
                            <a:off x="4087" y="7332"/>
                            <a:ext cx="120" cy="780"/>
                          </a:xfrm>
                          <a:custGeom>
                            <a:avLst/>
                            <a:gdLst/>
                            <a:ahLst/>
                            <a:cxnLst/>
                            <a:pathLst>
                              <a:path w="120" h="780">
                                <a:moveTo>
                                  <a:pt x="67" y="690"/>
                                </a:moveTo>
                                <a:lnTo>
                                  <a:pt x="52" y="690"/>
                                </a:lnTo>
                                <a:lnTo>
                                  <a:pt x="52" y="0"/>
                                </a:lnTo>
                                <a:lnTo>
                                  <a:pt x="67" y="0"/>
                                </a:lnTo>
                                <a:lnTo>
                                  <a:pt x="67" y="690"/>
                                </a:lnTo>
                                <a:close/>
                                <a:moveTo>
                                  <a:pt x="60" y="780"/>
                                </a:moveTo>
                                <a:lnTo>
                                  <a:pt x="0" y="660"/>
                                </a:lnTo>
                                <a:lnTo>
                                  <a:pt x="52" y="660"/>
                                </a:lnTo>
                                <a:lnTo>
                                  <a:pt x="52" y="690"/>
                                </a:lnTo>
                                <a:lnTo>
                                  <a:pt x="105" y="690"/>
                                </a:lnTo>
                                <a:lnTo>
                                  <a:pt x="60" y="780"/>
                                </a:lnTo>
                                <a:close/>
                                <a:moveTo>
                                  <a:pt x="105" y="690"/>
                                </a:moveTo>
                                <a:lnTo>
                                  <a:pt x="67" y="690"/>
                                </a:lnTo>
                                <a:lnTo>
                                  <a:pt x="67" y="660"/>
                                </a:lnTo>
                                <a:lnTo>
                                  <a:pt x="120" y="660"/>
                                </a:lnTo>
                                <a:lnTo>
                                  <a:pt x="105" y="690"/>
                                </a:lnTo>
                                <a:close/>
                              </a:path>
                            </a:pathLst>
                          </a:custGeom>
                          <a:solidFill>
                            <a:srgbClr val="000000"/>
                          </a:solidFill>
                          <a:ln>
                            <a:noFill/>
                          </a:ln>
                        </wps:spPr>
                        <wps:bodyPr upright="1"/>
                      </wps:wsp>
                      <wps:wsp>
                        <wps:cNvPr id="202" name="任意多边形 178"/>
                        <wps:cNvSpPr/>
                        <wps:spPr>
                          <a:xfrm>
                            <a:off x="4087" y="8424"/>
                            <a:ext cx="120" cy="624"/>
                          </a:xfrm>
                          <a:custGeom>
                            <a:avLst/>
                            <a:gdLst/>
                            <a:ahLst/>
                            <a:cxnLst/>
                            <a:pathLst>
                              <a:path w="120" h="624">
                                <a:moveTo>
                                  <a:pt x="67" y="534"/>
                                </a:moveTo>
                                <a:lnTo>
                                  <a:pt x="52" y="534"/>
                                </a:lnTo>
                                <a:lnTo>
                                  <a:pt x="52" y="0"/>
                                </a:lnTo>
                                <a:lnTo>
                                  <a:pt x="67" y="0"/>
                                </a:lnTo>
                                <a:lnTo>
                                  <a:pt x="67" y="534"/>
                                </a:lnTo>
                                <a:close/>
                                <a:moveTo>
                                  <a:pt x="60" y="624"/>
                                </a:moveTo>
                                <a:lnTo>
                                  <a:pt x="0" y="504"/>
                                </a:lnTo>
                                <a:lnTo>
                                  <a:pt x="52" y="504"/>
                                </a:lnTo>
                                <a:lnTo>
                                  <a:pt x="52" y="534"/>
                                </a:lnTo>
                                <a:lnTo>
                                  <a:pt x="105" y="534"/>
                                </a:lnTo>
                                <a:lnTo>
                                  <a:pt x="60" y="624"/>
                                </a:lnTo>
                                <a:close/>
                                <a:moveTo>
                                  <a:pt x="105" y="534"/>
                                </a:moveTo>
                                <a:lnTo>
                                  <a:pt x="67" y="534"/>
                                </a:lnTo>
                                <a:lnTo>
                                  <a:pt x="67" y="504"/>
                                </a:lnTo>
                                <a:lnTo>
                                  <a:pt x="120" y="504"/>
                                </a:lnTo>
                                <a:lnTo>
                                  <a:pt x="105" y="534"/>
                                </a:lnTo>
                                <a:close/>
                              </a:path>
                            </a:pathLst>
                          </a:custGeom>
                          <a:solidFill>
                            <a:srgbClr val="000000"/>
                          </a:solidFill>
                          <a:ln>
                            <a:noFill/>
                          </a:ln>
                        </wps:spPr>
                        <wps:bodyPr upright="1"/>
                      </wps:wsp>
                      <wps:wsp>
                        <wps:cNvPr id="203" name="直线 179"/>
                        <wps:cNvSpPr/>
                        <wps:spPr>
                          <a:xfrm>
                            <a:off x="4148" y="9048"/>
                            <a:ext cx="2340" cy="0"/>
                          </a:xfrm>
                          <a:prstGeom prst="line">
                            <a:avLst/>
                          </a:prstGeom>
                          <a:ln w="9525" cap="flat" cmpd="sng">
                            <a:solidFill>
                              <a:srgbClr val="000000"/>
                            </a:solidFill>
                            <a:prstDash val="solid"/>
                            <a:headEnd type="none" w="med" len="med"/>
                            <a:tailEnd type="none" w="med" len="med"/>
                          </a:ln>
                        </wps:spPr>
                        <wps:bodyPr upright="1"/>
                      </wps:wsp>
                      <wps:wsp>
                        <wps:cNvPr id="204" name="直线 180"/>
                        <wps:cNvSpPr/>
                        <wps:spPr>
                          <a:xfrm>
                            <a:off x="6488" y="312"/>
                            <a:ext cx="0" cy="8736"/>
                          </a:xfrm>
                          <a:prstGeom prst="line">
                            <a:avLst/>
                          </a:prstGeom>
                          <a:ln w="9525" cap="flat" cmpd="sng">
                            <a:solidFill>
                              <a:srgbClr val="000000"/>
                            </a:solidFill>
                            <a:prstDash val="solid"/>
                            <a:headEnd type="none" w="med" len="med"/>
                            <a:tailEnd type="none" w="med" len="med"/>
                          </a:ln>
                        </wps:spPr>
                        <wps:bodyPr upright="1"/>
                      </wps:wsp>
                      <wps:wsp>
                        <wps:cNvPr id="205" name="任意多边形 181"/>
                        <wps:cNvSpPr/>
                        <wps:spPr>
                          <a:xfrm>
                            <a:off x="7" y="6804"/>
                            <a:ext cx="1260" cy="120"/>
                          </a:xfrm>
                          <a:custGeom>
                            <a:avLst/>
                            <a:gdLst/>
                            <a:ahLst/>
                            <a:cxnLst/>
                            <a:pathLst>
                              <a:path w="1260" h="120">
                                <a:moveTo>
                                  <a:pt x="120" y="120"/>
                                </a:moveTo>
                                <a:lnTo>
                                  <a:pt x="0" y="60"/>
                                </a:lnTo>
                                <a:lnTo>
                                  <a:pt x="120" y="0"/>
                                </a:lnTo>
                                <a:lnTo>
                                  <a:pt x="120" y="53"/>
                                </a:lnTo>
                                <a:lnTo>
                                  <a:pt x="90" y="53"/>
                                </a:lnTo>
                                <a:lnTo>
                                  <a:pt x="90" y="68"/>
                                </a:lnTo>
                                <a:lnTo>
                                  <a:pt x="120" y="68"/>
                                </a:lnTo>
                                <a:lnTo>
                                  <a:pt x="120" y="120"/>
                                </a:lnTo>
                                <a:close/>
                                <a:moveTo>
                                  <a:pt x="120" y="68"/>
                                </a:moveTo>
                                <a:lnTo>
                                  <a:pt x="90" y="68"/>
                                </a:lnTo>
                                <a:lnTo>
                                  <a:pt x="90" y="53"/>
                                </a:lnTo>
                                <a:lnTo>
                                  <a:pt x="120" y="53"/>
                                </a:lnTo>
                                <a:lnTo>
                                  <a:pt x="120" y="68"/>
                                </a:lnTo>
                                <a:close/>
                                <a:moveTo>
                                  <a:pt x="1260" y="68"/>
                                </a:moveTo>
                                <a:lnTo>
                                  <a:pt x="120" y="68"/>
                                </a:lnTo>
                                <a:lnTo>
                                  <a:pt x="120" y="53"/>
                                </a:lnTo>
                                <a:lnTo>
                                  <a:pt x="1260" y="53"/>
                                </a:lnTo>
                                <a:lnTo>
                                  <a:pt x="1260" y="68"/>
                                </a:lnTo>
                                <a:close/>
                              </a:path>
                            </a:pathLst>
                          </a:custGeom>
                          <a:solidFill>
                            <a:srgbClr val="000000"/>
                          </a:solidFill>
                          <a:ln>
                            <a:noFill/>
                          </a:ln>
                        </wps:spPr>
                        <wps:bodyPr upright="1"/>
                      </wps:wsp>
                      <wps:wsp>
                        <wps:cNvPr id="206" name="任意多边形 182"/>
                        <wps:cNvSpPr/>
                        <wps:spPr>
                          <a:xfrm>
                            <a:off x="2707" y="252"/>
                            <a:ext cx="3780" cy="120"/>
                          </a:xfrm>
                          <a:custGeom>
                            <a:avLst/>
                            <a:gdLst/>
                            <a:ahLst/>
                            <a:cxnLst/>
                            <a:pathLst>
                              <a:path w="3780" h="120">
                                <a:moveTo>
                                  <a:pt x="120" y="120"/>
                                </a:moveTo>
                                <a:lnTo>
                                  <a:pt x="0" y="60"/>
                                </a:lnTo>
                                <a:lnTo>
                                  <a:pt x="120" y="0"/>
                                </a:lnTo>
                                <a:lnTo>
                                  <a:pt x="120" y="53"/>
                                </a:lnTo>
                                <a:lnTo>
                                  <a:pt x="90" y="53"/>
                                </a:lnTo>
                                <a:lnTo>
                                  <a:pt x="90" y="68"/>
                                </a:lnTo>
                                <a:lnTo>
                                  <a:pt x="120" y="68"/>
                                </a:lnTo>
                                <a:lnTo>
                                  <a:pt x="120" y="120"/>
                                </a:lnTo>
                                <a:close/>
                                <a:moveTo>
                                  <a:pt x="120" y="68"/>
                                </a:moveTo>
                                <a:lnTo>
                                  <a:pt x="90" y="68"/>
                                </a:lnTo>
                                <a:lnTo>
                                  <a:pt x="90" y="53"/>
                                </a:lnTo>
                                <a:lnTo>
                                  <a:pt x="120" y="53"/>
                                </a:lnTo>
                                <a:lnTo>
                                  <a:pt x="120" y="68"/>
                                </a:lnTo>
                                <a:close/>
                                <a:moveTo>
                                  <a:pt x="3780" y="68"/>
                                </a:moveTo>
                                <a:lnTo>
                                  <a:pt x="120" y="68"/>
                                </a:lnTo>
                                <a:lnTo>
                                  <a:pt x="120" y="53"/>
                                </a:lnTo>
                                <a:lnTo>
                                  <a:pt x="3780" y="53"/>
                                </a:lnTo>
                                <a:lnTo>
                                  <a:pt x="3780" y="68"/>
                                </a:lnTo>
                                <a:close/>
                              </a:path>
                            </a:pathLst>
                          </a:custGeom>
                          <a:solidFill>
                            <a:srgbClr val="000000"/>
                          </a:solidFill>
                          <a:ln>
                            <a:noFill/>
                          </a:ln>
                        </wps:spPr>
                        <wps:bodyPr upright="1"/>
                      </wps:wsp>
                      <wps:wsp>
                        <wps:cNvPr id="207" name="文本框 183"/>
                        <wps:cNvSpPr txBox="1"/>
                        <wps:spPr>
                          <a:xfrm>
                            <a:off x="2346" y="727"/>
                            <a:ext cx="740" cy="240"/>
                          </a:xfrm>
                          <a:prstGeom prst="rect">
                            <a:avLst/>
                          </a:prstGeom>
                          <a:noFill/>
                          <a:ln>
                            <a:noFill/>
                          </a:ln>
                        </wps:spPr>
                        <wps:txbx>
                          <w:txbxContent>
                            <w:p>
                              <w:pPr>
                                <w:spacing w:before="0" w:line="240" w:lineRule="exact"/>
                                <w:ind w:left="0" w:right="0" w:firstLine="0"/>
                                <w:jc w:val="left"/>
                                <w:rPr>
                                  <w:sz w:val="24"/>
                                </w:rPr>
                              </w:pPr>
                              <w:r>
                                <w:rPr>
                                  <w:sz w:val="24"/>
                                </w:rPr>
                                <w:t>调节池</w:t>
                              </w:r>
                            </w:p>
                          </w:txbxContent>
                        </wps:txbx>
                        <wps:bodyPr lIns="0" tIns="0" rIns="0" bIns="0" upright="1"/>
                      </wps:wsp>
                      <wps:wsp>
                        <wps:cNvPr id="208" name="文本框 184"/>
                        <wps:cNvSpPr txBox="1"/>
                        <wps:spPr>
                          <a:xfrm>
                            <a:off x="2346" y="1725"/>
                            <a:ext cx="740" cy="240"/>
                          </a:xfrm>
                          <a:prstGeom prst="rect">
                            <a:avLst/>
                          </a:prstGeom>
                          <a:noFill/>
                          <a:ln>
                            <a:noFill/>
                          </a:ln>
                        </wps:spPr>
                        <wps:txbx>
                          <w:txbxContent>
                            <w:p>
                              <w:pPr>
                                <w:spacing w:before="0" w:line="240" w:lineRule="exact"/>
                                <w:ind w:left="0" w:right="0" w:firstLine="0"/>
                                <w:jc w:val="left"/>
                                <w:rPr>
                                  <w:sz w:val="24"/>
                                </w:rPr>
                              </w:pPr>
                              <w:r>
                                <w:rPr>
                                  <w:sz w:val="24"/>
                                </w:rPr>
                                <w:t>提升泵</w:t>
                              </w:r>
                            </w:p>
                          </w:txbxContent>
                        </wps:txbx>
                        <wps:bodyPr lIns="0" tIns="0" rIns="0" bIns="0" upright="1"/>
                      </wps:wsp>
                      <wps:wsp>
                        <wps:cNvPr id="209" name="文本框 185"/>
                        <wps:cNvSpPr txBox="1"/>
                        <wps:spPr>
                          <a:xfrm>
                            <a:off x="1386" y="2227"/>
                            <a:ext cx="500" cy="240"/>
                          </a:xfrm>
                          <a:prstGeom prst="rect">
                            <a:avLst/>
                          </a:prstGeom>
                          <a:noFill/>
                          <a:ln>
                            <a:noFill/>
                          </a:ln>
                        </wps:spPr>
                        <wps:txbx>
                          <w:txbxContent>
                            <w:p>
                              <w:pPr>
                                <w:spacing w:before="0" w:line="240" w:lineRule="exact"/>
                                <w:ind w:left="0" w:right="0" w:firstLine="0"/>
                                <w:jc w:val="left"/>
                                <w:rPr>
                                  <w:sz w:val="24"/>
                                </w:rPr>
                              </w:pPr>
                              <w:r>
                                <w:rPr>
                                  <w:sz w:val="24"/>
                                </w:rPr>
                                <w:t>鼓风</w:t>
                              </w:r>
                            </w:p>
                          </w:txbxContent>
                        </wps:txbx>
                        <wps:bodyPr lIns="0" tIns="0" rIns="0" bIns="0" upright="1"/>
                      </wps:wsp>
                      <wps:wsp>
                        <wps:cNvPr id="210" name="文本框 186"/>
                        <wps:cNvSpPr txBox="1"/>
                        <wps:spPr>
                          <a:xfrm>
                            <a:off x="2346" y="2726"/>
                            <a:ext cx="740" cy="240"/>
                          </a:xfrm>
                          <a:prstGeom prst="rect">
                            <a:avLst/>
                          </a:prstGeom>
                          <a:noFill/>
                          <a:ln>
                            <a:noFill/>
                          </a:ln>
                        </wps:spPr>
                        <wps:txbx>
                          <w:txbxContent>
                            <w:p>
                              <w:pPr>
                                <w:spacing w:before="0" w:line="240" w:lineRule="exact"/>
                                <w:ind w:left="0" w:right="0" w:firstLine="0"/>
                                <w:jc w:val="left"/>
                                <w:rPr>
                                  <w:sz w:val="24"/>
                                </w:rPr>
                              </w:pPr>
                              <w:r>
                                <w:rPr>
                                  <w:sz w:val="24"/>
                                </w:rPr>
                                <w:t>缺氧段</w:t>
                              </w:r>
                            </w:p>
                          </w:txbxContent>
                        </wps:txbx>
                        <wps:bodyPr lIns="0" tIns="0" rIns="0" bIns="0" upright="1"/>
                      </wps:wsp>
                      <wps:wsp>
                        <wps:cNvPr id="211" name="文本框 187"/>
                        <wps:cNvSpPr txBox="1"/>
                        <wps:spPr>
                          <a:xfrm>
                            <a:off x="4266" y="2726"/>
                            <a:ext cx="740" cy="740"/>
                          </a:xfrm>
                          <a:prstGeom prst="rect">
                            <a:avLst/>
                          </a:prstGeom>
                          <a:noFill/>
                          <a:ln>
                            <a:noFill/>
                          </a:ln>
                        </wps:spPr>
                        <wps:txbx>
                          <w:txbxContent>
                            <w:p>
                              <w:pPr>
                                <w:spacing w:before="0" w:line="274" w:lineRule="exact"/>
                                <w:ind w:left="0" w:right="0" w:firstLine="0"/>
                                <w:jc w:val="left"/>
                                <w:rPr>
                                  <w:sz w:val="24"/>
                                </w:rPr>
                              </w:pPr>
                              <w:r>
                                <w:rPr>
                                  <w:sz w:val="24"/>
                                </w:rPr>
                                <w:t>排泥</w:t>
                              </w:r>
                            </w:p>
                            <w:p>
                              <w:pPr>
                                <w:spacing w:before="191" w:line="274" w:lineRule="exact"/>
                                <w:ind w:left="0" w:right="0" w:firstLine="0"/>
                                <w:jc w:val="left"/>
                                <w:rPr>
                                  <w:sz w:val="24"/>
                                </w:rPr>
                              </w:pPr>
                              <w:r>
                                <w:rPr>
                                  <w:sz w:val="24"/>
                                </w:rPr>
                                <w:t>污泥池</w:t>
                              </w:r>
                            </w:p>
                          </w:txbxContent>
                        </wps:txbx>
                        <wps:bodyPr lIns="0" tIns="0" rIns="0" bIns="0" upright="1"/>
                      </wps:wsp>
                      <wps:wsp>
                        <wps:cNvPr id="212" name="文本框 188"/>
                        <wps:cNvSpPr txBox="1"/>
                        <wps:spPr>
                          <a:xfrm>
                            <a:off x="2346" y="3727"/>
                            <a:ext cx="740" cy="240"/>
                          </a:xfrm>
                          <a:prstGeom prst="rect">
                            <a:avLst/>
                          </a:prstGeom>
                          <a:noFill/>
                          <a:ln>
                            <a:noFill/>
                          </a:ln>
                        </wps:spPr>
                        <wps:txbx>
                          <w:txbxContent>
                            <w:p>
                              <w:pPr>
                                <w:spacing w:before="0" w:line="240" w:lineRule="exact"/>
                                <w:ind w:left="0" w:right="0" w:firstLine="0"/>
                                <w:jc w:val="left"/>
                                <w:rPr>
                                  <w:sz w:val="24"/>
                                </w:rPr>
                              </w:pPr>
                              <w:r>
                                <w:rPr>
                                  <w:sz w:val="24"/>
                                </w:rPr>
                                <w:t>好氧段</w:t>
                              </w:r>
                            </w:p>
                          </w:txbxContent>
                        </wps:txbx>
                        <wps:bodyPr lIns="0" tIns="0" rIns="0" bIns="0" upright="1"/>
                      </wps:wsp>
                      <wps:wsp>
                        <wps:cNvPr id="213" name="文本框 189"/>
                        <wps:cNvSpPr txBox="1"/>
                        <wps:spPr>
                          <a:xfrm>
                            <a:off x="4386" y="3727"/>
                            <a:ext cx="740" cy="240"/>
                          </a:xfrm>
                          <a:prstGeom prst="rect">
                            <a:avLst/>
                          </a:prstGeom>
                          <a:noFill/>
                          <a:ln>
                            <a:noFill/>
                          </a:ln>
                        </wps:spPr>
                        <wps:txbx>
                          <w:txbxContent>
                            <w:p>
                              <w:pPr>
                                <w:spacing w:before="0" w:line="240" w:lineRule="exact"/>
                                <w:ind w:left="0" w:right="0" w:firstLine="0"/>
                                <w:jc w:val="left"/>
                                <w:rPr>
                                  <w:sz w:val="24"/>
                                </w:rPr>
                              </w:pPr>
                              <w:r>
                                <w:rPr>
                                  <w:sz w:val="24"/>
                                </w:rPr>
                                <w:t>污泥泵</w:t>
                              </w:r>
                            </w:p>
                          </w:txbxContent>
                        </wps:txbx>
                        <wps:bodyPr lIns="0" tIns="0" rIns="0" bIns="0" upright="1"/>
                      </wps:wsp>
                      <wps:wsp>
                        <wps:cNvPr id="214" name="文本框 190"/>
                        <wps:cNvSpPr txBox="1"/>
                        <wps:spPr>
                          <a:xfrm>
                            <a:off x="3546" y="4226"/>
                            <a:ext cx="740" cy="240"/>
                          </a:xfrm>
                          <a:prstGeom prst="rect">
                            <a:avLst/>
                          </a:prstGeom>
                          <a:noFill/>
                          <a:ln>
                            <a:noFill/>
                          </a:ln>
                        </wps:spPr>
                        <wps:txbx>
                          <w:txbxContent>
                            <w:p>
                              <w:pPr>
                                <w:spacing w:before="0" w:line="240" w:lineRule="exact"/>
                                <w:ind w:left="0" w:right="0" w:firstLine="0"/>
                                <w:jc w:val="left"/>
                                <w:rPr>
                                  <w:sz w:val="24"/>
                                </w:rPr>
                              </w:pPr>
                              <w:r>
                                <w:rPr>
                                  <w:sz w:val="24"/>
                                </w:rPr>
                                <w:t>空压机</w:t>
                              </w:r>
                            </w:p>
                          </w:txbxContent>
                        </wps:txbx>
                        <wps:bodyPr lIns="0" tIns="0" rIns="0" bIns="0" upright="1"/>
                      </wps:wsp>
                      <wps:wsp>
                        <wps:cNvPr id="215" name="文本框 191"/>
                        <wps:cNvSpPr txBox="1"/>
                        <wps:spPr>
                          <a:xfrm>
                            <a:off x="4986" y="4226"/>
                            <a:ext cx="500" cy="240"/>
                          </a:xfrm>
                          <a:prstGeom prst="rect">
                            <a:avLst/>
                          </a:prstGeom>
                          <a:noFill/>
                          <a:ln>
                            <a:noFill/>
                          </a:ln>
                        </wps:spPr>
                        <wps:txbx>
                          <w:txbxContent>
                            <w:p>
                              <w:pPr>
                                <w:spacing w:before="0" w:line="240" w:lineRule="exact"/>
                                <w:ind w:left="0" w:right="0" w:firstLine="0"/>
                                <w:jc w:val="left"/>
                                <w:rPr>
                                  <w:sz w:val="24"/>
                                </w:rPr>
                              </w:pPr>
                              <w:r>
                                <w:rPr>
                                  <w:sz w:val="24"/>
                                </w:rPr>
                                <w:t>加药</w:t>
                              </w:r>
                            </w:p>
                          </w:txbxContent>
                        </wps:txbx>
                        <wps:bodyPr lIns="0" tIns="0" rIns="0" bIns="0" upright="1"/>
                      </wps:wsp>
                      <wps:wsp>
                        <wps:cNvPr id="216" name="文本框 192"/>
                        <wps:cNvSpPr txBox="1"/>
                        <wps:spPr>
                          <a:xfrm>
                            <a:off x="2226" y="4725"/>
                            <a:ext cx="740" cy="240"/>
                          </a:xfrm>
                          <a:prstGeom prst="rect">
                            <a:avLst/>
                          </a:prstGeom>
                          <a:noFill/>
                          <a:ln>
                            <a:noFill/>
                          </a:ln>
                        </wps:spPr>
                        <wps:txbx>
                          <w:txbxContent>
                            <w:p>
                              <w:pPr>
                                <w:spacing w:before="0" w:line="240" w:lineRule="exact"/>
                                <w:ind w:left="0" w:right="0" w:firstLine="0"/>
                                <w:jc w:val="left"/>
                                <w:rPr>
                                  <w:sz w:val="24"/>
                                </w:rPr>
                              </w:pPr>
                              <w:r>
                                <w:rPr>
                                  <w:sz w:val="24"/>
                                </w:rPr>
                                <w:t>过滤段</w:t>
                              </w:r>
                            </w:p>
                          </w:txbxContent>
                        </wps:txbx>
                        <wps:bodyPr lIns="0" tIns="0" rIns="0" bIns="0" upright="1"/>
                      </wps:wsp>
                      <wps:wsp>
                        <wps:cNvPr id="217" name="文本框 193"/>
                        <wps:cNvSpPr txBox="1"/>
                        <wps:spPr>
                          <a:xfrm>
                            <a:off x="4146" y="4725"/>
                            <a:ext cx="1220" cy="240"/>
                          </a:xfrm>
                          <a:prstGeom prst="rect">
                            <a:avLst/>
                          </a:prstGeom>
                          <a:noFill/>
                          <a:ln>
                            <a:noFill/>
                          </a:ln>
                        </wps:spPr>
                        <wps:txbx>
                          <w:txbxContent>
                            <w:p>
                              <w:pPr>
                                <w:spacing w:before="0" w:line="240" w:lineRule="exact"/>
                                <w:ind w:left="0" w:right="0" w:firstLine="0"/>
                                <w:jc w:val="left"/>
                                <w:rPr>
                                  <w:sz w:val="24"/>
                                </w:rPr>
                              </w:pPr>
                              <w:r>
                                <w:rPr>
                                  <w:sz w:val="24"/>
                                </w:rPr>
                                <w:t>污泥脱水机</w:t>
                              </w:r>
                            </w:p>
                          </w:txbxContent>
                        </wps:txbx>
                        <wps:bodyPr lIns="0" tIns="0" rIns="0" bIns="0" upright="1"/>
                      </wps:wsp>
                      <wps:wsp>
                        <wps:cNvPr id="218" name="文本框 194"/>
                        <wps:cNvSpPr txBox="1"/>
                        <wps:spPr>
                          <a:xfrm>
                            <a:off x="1746" y="5227"/>
                            <a:ext cx="980" cy="240"/>
                          </a:xfrm>
                          <a:prstGeom prst="rect">
                            <a:avLst/>
                          </a:prstGeom>
                          <a:noFill/>
                          <a:ln>
                            <a:noFill/>
                          </a:ln>
                        </wps:spPr>
                        <wps:txbx>
                          <w:txbxContent>
                            <w:p>
                              <w:pPr>
                                <w:spacing w:before="0" w:line="240" w:lineRule="exact"/>
                                <w:ind w:left="0" w:right="0" w:firstLine="0"/>
                                <w:jc w:val="left"/>
                                <w:rPr>
                                  <w:sz w:val="24"/>
                                </w:rPr>
                              </w:pPr>
                              <w:r>
                                <w:rPr>
                                  <w:sz w:val="24"/>
                                </w:rPr>
                                <w:t>反洗进水</w:t>
                              </w:r>
                            </w:p>
                          </w:txbxContent>
                        </wps:txbx>
                        <wps:bodyPr lIns="0" tIns="0" rIns="0" bIns="0" upright="1"/>
                      </wps:wsp>
                      <wps:wsp>
                        <wps:cNvPr id="219" name="文本框 195"/>
                        <wps:cNvSpPr txBox="1"/>
                        <wps:spPr>
                          <a:xfrm>
                            <a:off x="3186" y="5227"/>
                            <a:ext cx="980" cy="240"/>
                          </a:xfrm>
                          <a:prstGeom prst="rect">
                            <a:avLst/>
                          </a:prstGeom>
                          <a:noFill/>
                          <a:ln>
                            <a:noFill/>
                          </a:ln>
                        </wps:spPr>
                        <wps:txbx>
                          <w:txbxContent>
                            <w:p>
                              <w:pPr>
                                <w:spacing w:before="0" w:line="240" w:lineRule="exact"/>
                                <w:ind w:left="0" w:right="0" w:firstLine="0"/>
                                <w:jc w:val="left"/>
                                <w:rPr>
                                  <w:sz w:val="24"/>
                                </w:rPr>
                              </w:pPr>
                              <w:r>
                                <w:rPr>
                                  <w:sz w:val="24"/>
                                </w:rPr>
                                <w:t>反洗排水</w:t>
                              </w:r>
                            </w:p>
                          </w:txbxContent>
                        </wps:txbx>
                        <wps:bodyPr lIns="0" tIns="0" rIns="0" bIns="0" upright="1"/>
                      </wps:wsp>
                      <wps:wsp>
                        <wps:cNvPr id="220" name="文本框 196"/>
                        <wps:cNvSpPr txBox="1"/>
                        <wps:spPr>
                          <a:xfrm>
                            <a:off x="1986" y="5726"/>
                            <a:ext cx="980" cy="240"/>
                          </a:xfrm>
                          <a:prstGeom prst="rect">
                            <a:avLst/>
                          </a:prstGeom>
                          <a:noFill/>
                          <a:ln>
                            <a:noFill/>
                          </a:ln>
                        </wps:spPr>
                        <wps:txbx>
                          <w:txbxContent>
                            <w:p>
                              <w:pPr>
                                <w:spacing w:before="0" w:line="240" w:lineRule="exact"/>
                                <w:ind w:left="0" w:right="0" w:firstLine="0"/>
                                <w:jc w:val="left"/>
                                <w:rPr>
                                  <w:sz w:val="24"/>
                                </w:rPr>
                              </w:pPr>
                              <w:r>
                                <w:rPr>
                                  <w:sz w:val="24"/>
                                </w:rPr>
                                <w:t>中间水池</w:t>
                              </w:r>
                            </w:p>
                          </w:txbxContent>
                        </wps:txbx>
                        <wps:bodyPr lIns="0" tIns="0" rIns="0" bIns="0" upright="1"/>
                      </wps:wsp>
                      <wps:wsp>
                        <wps:cNvPr id="221" name="文本框 197"/>
                        <wps:cNvSpPr txBox="1"/>
                        <wps:spPr>
                          <a:xfrm>
                            <a:off x="3666" y="5726"/>
                            <a:ext cx="1700" cy="240"/>
                          </a:xfrm>
                          <a:prstGeom prst="rect">
                            <a:avLst/>
                          </a:prstGeom>
                          <a:noFill/>
                          <a:ln>
                            <a:noFill/>
                          </a:ln>
                        </wps:spPr>
                        <wps:txbx>
                          <w:txbxContent>
                            <w:p>
                              <w:pPr>
                                <w:tabs>
                                  <w:tab w:val="left" w:pos="1199"/>
                                </w:tabs>
                                <w:spacing w:before="0" w:line="240" w:lineRule="exact"/>
                                <w:ind w:left="0" w:right="0" w:firstLine="0"/>
                                <w:jc w:val="left"/>
                                <w:rPr>
                                  <w:sz w:val="24"/>
                                </w:rPr>
                              </w:pPr>
                              <w:r>
                                <w:rPr>
                                  <w:sz w:val="24"/>
                                </w:rPr>
                                <w:t>泥饼外运</w:t>
                              </w:r>
                              <w:r>
                                <w:rPr>
                                  <w:sz w:val="24"/>
                                </w:rPr>
                                <w:tab/>
                              </w:r>
                              <w:r>
                                <w:rPr>
                                  <w:sz w:val="24"/>
                                </w:rPr>
                                <w:t>废水</w:t>
                              </w:r>
                            </w:p>
                          </w:txbxContent>
                        </wps:txbx>
                        <wps:bodyPr lIns="0" tIns="0" rIns="0" bIns="0" upright="1"/>
                      </wps:wsp>
                      <wps:wsp>
                        <wps:cNvPr id="222" name="文本框 198"/>
                        <wps:cNvSpPr txBox="1"/>
                        <wps:spPr>
                          <a:xfrm>
                            <a:off x="1386" y="6727"/>
                            <a:ext cx="2060" cy="240"/>
                          </a:xfrm>
                          <a:prstGeom prst="rect">
                            <a:avLst/>
                          </a:prstGeom>
                          <a:noFill/>
                          <a:ln>
                            <a:noFill/>
                          </a:ln>
                        </wps:spPr>
                        <wps:txbx>
                          <w:txbxContent>
                            <w:p>
                              <w:pPr>
                                <w:spacing w:before="0" w:line="240" w:lineRule="exact"/>
                                <w:ind w:left="0" w:right="0" w:firstLine="0"/>
                                <w:jc w:val="left"/>
                                <w:rPr>
                                  <w:sz w:val="24"/>
                                </w:rPr>
                              </w:pPr>
                              <w:r>
                                <w:rPr>
                                  <w:sz w:val="24"/>
                                </w:rPr>
                                <w:t>反洗水泵 中间水泵</w:t>
                              </w:r>
                            </w:p>
                          </w:txbxContent>
                        </wps:txbx>
                        <wps:bodyPr lIns="0" tIns="0" rIns="0" bIns="0" upright="1"/>
                      </wps:wsp>
                      <wps:wsp>
                        <wps:cNvPr id="223" name="文本框 199"/>
                        <wps:cNvSpPr txBox="1"/>
                        <wps:spPr>
                          <a:xfrm>
                            <a:off x="426" y="7725"/>
                            <a:ext cx="500" cy="240"/>
                          </a:xfrm>
                          <a:prstGeom prst="rect">
                            <a:avLst/>
                          </a:prstGeom>
                          <a:noFill/>
                          <a:ln>
                            <a:noFill/>
                          </a:ln>
                        </wps:spPr>
                        <wps:txbx>
                          <w:txbxContent>
                            <w:p>
                              <w:pPr>
                                <w:spacing w:before="0" w:line="240" w:lineRule="exact"/>
                                <w:ind w:left="0" w:right="0" w:firstLine="0"/>
                                <w:jc w:val="left"/>
                                <w:rPr>
                                  <w:sz w:val="24"/>
                                </w:rPr>
                              </w:pPr>
                              <w:r>
                                <w:rPr>
                                  <w:sz w:val="24"/>
                                </w:rPr>
                                <w:t>鼓风</w:t>
                              </w:r>
                            </w:p>
                          </w:txbxContent>
                        </wps:txbx>
                        <wps:bodyPr lIns="0" tIns="0" rIns="0" bIns="0" upright="1"/>
                      </wps:wsp>
                      <wps:wsp>
                        <wps:cNvPr id="224" name="文本框 200"/>
                        <wps:cNvSpPr txBox="1"/>
                        <wps:spPr>
                          <a:xfrm>
                            <a:off x="1506" y="7725"/>
                            <a:ext cx="3140" cy="742"/>
                          </a:xfrm>
                          <a:prstGeom prst="rect">
                            <a:avLst/>
                          </a:prstGeom>
                          <a:noFill/>
                          <a:ln>
                            <a:noFill/>
                          </a:ln>
                        </wps:spPr>
                        <wps:txbx>
                          <w:txbxContent>
                            <w:p>
                              <w:pPr>
                                <w:tabs>
                                  <w:tab w:val="left" w:pos="1199"/>
                                </w:tabs>
                                <w:spacing w:before="0" w:line="274" w:lineRule="exact"/>
                                <w:ind w:left="0" w:right="0" w:firstLine="0"/>
                                <w:jc w:val="left"/>
                                <w:rPr>
                                  <w:sz w:val="24"/>
                                </w:rPr>
                              </w:pPr>
                              <w:r>
                                <w:rPr>
                                  <w:sz w:val="24"/>
                                </w:rPr>
                                <w:t>反洗进水</w:t>
                              </w:r>
                              <w:r>
                                <w:rPr>
                                  <w:sz w:val="24"/>
                                </w:rPr>
                                <w:tab/>
                              </w:r>
                              <w:r>
                                <w:rPr>
                                  <w:sz w:val="24"/>
                                </w:rPr>
                                <w:t>生物活性炭塔</w:t>
                              </w:r>
                            </w:p>
                            <w:p>
                              <w:pPr>
                                <w:spacing w:before="194" w:line="274" w:lineRule="exact"/>
                                <w:ind w:left="0" w:right="18" w:firstLine="0"/>
                                <w:jc w:val="right"/>
                                <w:rPr>
                                  <w:sz w:val="24"/>
                                </w:rPr>
                              </w:pPr>
                              <w:r>
                                <w:rPr>
                                  <w:sz w:val="24"/>
                                </w:rPr>
                                <w:t>反洗排水</w:t>
                              </w:r>
                            </w:p>
                          </w:txbxContent>
                        </wps:txbx>
                        <wps:bodyPr lIns="0" tIns="0" rIns="0" bIns="0" upright="1"/>
                      </wps:wsp>
                      <wps:wsp>
                        <wps:cNvPr id="225" name="文本框 201"/>
                        <wps:cNvSpPr txBox="1"/>
                        <wps:spPr>
                          <a:xfrm>
                            <a:off x="2466" y="8726"/>
                            <a:ext cx="500" cy="240"/>
                          </a:xfrm>
                          <a:prstGeom prst="rect">
                            <a:avLst/>
                          </a:prstGeom>
                          <a:noFill/>
                          <a:ln>
                            <a:noFill/>
                          </a:ln>
                        </wps:spPr>
                        <wps:txbx>
                          <w:txbxContent>
                            <w:p>
                              <w:pPr>
                                <w:spacing w:before="0" w:line="240" w:lineRule="exact"/>
                                <w:ind w:left="0" w:right="0" w:firstLine="0"/>
                                <w:jc w:val="left"/>
                                <w:rPr>
                                  <w:sz w:val="24"/>
                                </w:rPr>
                              </w:pPr>
                              <w:r>
                                <w:rPr>
                                  <w:sz w:val="24"/>
                                </w:rPr>
                                <w:t>消毒</w:t>
                              </w:r>
                            </w:p>
                          </w:txbxContent>
                        </wps:txbx>
                        <wps:bodyPr lIns="0" tIns="0" rIns="0" bIns="0" upright="1"/>
                      </wps:wsp>
                    </wpg:wgp>
                  </a:graphicData>
                </a:graphic>
              </wp:inline>
            </w:drawing>
          </mc:Choice>
          <mc:Fallback>
            <w:pict>
              <v:group id="组合 157" o:spid="_x0000_s1026" o:spt="203" style="height:452.8pt;width:324.75pt;" coordsize="6495,9056" o:gfxdata="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">
                <o:lock v:ext="edit" aspectratio="f"/>
                <v:shape id="任意多边形 158" o:spid="_x0000_s1026" o:spt="100" style="position:absolute;left:2647;top:0;height:624;width:120;" fillcolor="#000000" filled="t" stroked="f" coordsize="120,624" o:gfxdata="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evWmi5AAAA3AAA&#10;AA8AAAAAAAAAAQAgAAAAIgAAAGRycy9kb3ducmV2LnhtbFBLAQIUABQAAAAIAIdO4kAzLwWeOwAA&#10;ADkAAAAQAAAAAAAAAAEAIAAAAAgBAABkcnMvc2hhcGV4bWwueG1sUEsFBgAAAAAGAAYAWwEAALID&#10;AAAAAA==&#10;" path="m67,534l52,534,52,0,67,0,67,534xm60,624l0,504,52,504,52,534,105,534,60,624xm105,534l67,534,67,504,120,504,105,534xe">
                  <v:fill on="t" focussize="0,0"/>
                  <v:stroke on="f"/>
                  <v:imagedata o:title=""/>
                  <o:lock v:ext="edit" aspectratio="f"/>
                </v:shape>
                <v:shape id="任意多边形 159" o:spid="_x0000_s1026" o:spt="100" style="position:absolute;left:2647;top:4992;height:624;width:120;" fillcolor="#000000" filled="t" stroked="f" coordsize="120,624" o:gfxdata="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4//zugAAANwA&#10;AAAPAAAAAAAAAAEAIAAAACIAAABkcnMvZG93bnJldi54bWxQSwECFAAUAAAACACHTuJAMy8FnjsA&#10;AAA5AAAAEAAAAAAAAAABACAAAAAJAQAAZHJzL3NoYXBleG1sLnhtbFBLBQYAAAAABgAGAFsBAACz&#10;AwAAAAA=&#10;" path="m67,534l52,534,52,0,67,0,67,534xm60,624l0,504,52,504,52,534,105,534,60,624xm105,534l67,534,67,504,120,504,105,534xe">
                  <v:fill on="t" focussize="0,0"/>
                  <v:stroke on="f"/>
                  <v:imagedata o:title=""/>
                  <o:lock v:ext="edit" aspectratio="f"/>
                </v:shape>
                <v:line id="直线 160" o:spid="_x0000_s1026" o:spt="20" style="position:absolute;left:1808;top:4992;height:0;width:1800;" filled="f" stroked="t" coordsize="21600,21600" o:gfxdata="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FZx+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图片 161" o:spid="_x0000_s1026" o:spt="75" alt="" type="#_x0000_t75" style="position:absolute;left:3547;top:4992;height:312;width:120;" filled="f" o:preferrelative="t" stroked="f" coordsize="21600,21600" o:gfxdata="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q3Ge8AAAA&#10;3AAAAA8AAAAAAAAAAQAgAAAAIgAAAGRycy9kb3ducmV2LnhtbFBLAQIUABQAAAAIAIdO4kAzLwWe&#10;OwAAADkAAAAQAAAAAAAAAAEAIAAAAAsBAABkcnMvc2hhcGV4bWwueG1sUEsFBgAAAAAGAAYAWwEA&#10;ALUDAAAAAA==&#10;">
                  <v:fill on="f" focussize="0,0"/>
                  <v:stroke on="f"/>
                  <v:imagedata r:id="rId73" o:title=""/>
                  <o:lock v:ext="edit" aspectratio="t"/>
                </v:shape>
                <v:shape id="任意多边形 162" o:spid="_x0000_s1026" o:spt="100" style="position:absolute;left:3547;top:5460;height:780;width:120;" fillcolor="#000000" filled="t" stroked="f" coordsize="120,780" o:gfxdata="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q838vQAA&#10;ANwAAAAPAAAAAAAAAAEAIAAAACIAAABkcnMvZG93bnJldi54bWxQSwECFAAUAAAACACHTuJAMy8F&#10;njsAAAA5AAAAEAAAAAAAAAABACAAAAAMAQAAZHJzL3NoYXBleG1sLnhtbFBLBQYAAAAABgAGAFsB&#10;AAC2AwAAAAA=&#10;" path="m67,690l52,690,52,0,67,0,67,690xm60,780l0,660,52,660,52,690,105,690,60,780xm105,690l67,690,67,660,120,660,105,690xe">
                  <v:fill on="t" focussize="0,0"/>
                  <v:stroke on="f"/>
                  <v:imagedata o:title=""/>
                  <o:lock v:ext="edit" aspectratio="f"/>
                </v:shape>
                <v:shape id="图片 163" o:spid="_x0000_s1026" o:spt="75" alt="" type="#_x0000_t75" style="position:absolute;left:1747;top:4992;height:313;width:120;" filled="f" o:preferrelative="t" stroked="f" coordsize="21600,21600" o:gfxdata="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V2mS8AAAA&#10;3AAAAA8AAAAAAAAAAQAgAAAAIgAAAGRycy9kb3ducmV2LnhtbFBLAQIUABQAAAAIAIdO4kAzLwWe&#10;OwAAADkAAAAQAAAAAAAAAAEAIAAAAAsBAABkcnMvc2hhcGV4bWwueG1sUEsFBgAAAAAGAAYAWwEA&#10;ALUDAAAAAA==&#10;">
                  <v:fill on="f" focussize="0,0"/>
                  <v:stroke on="f"/>
                  <v:imagedata r:id="rId76" o:title=""/>
                  <o:lock v:ext="edit" aspectratio="t"/>
                </v:shape>
                <v:shape id="图片 164" o:spid="_x0000_s1026" o:spt="75" alt="" type="#_x0000_t75" style="position:absolute;left:4987;top:5928;height:312;width:120;" filled="f" o:preferrelative="t" stroked="f" coordsize="21600,21600" o:gfxdata="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a3P5vQAA&#10;ANwAAAAPAAAAAAAAAAEAIAAAACIAAABkcnMvZG93bnJldi54bWxQSwECFAAUAAAACACHTuJAMy8F&#10;njsAAAA5AAAAEAAAAAAAAAABACAAAAAMAQAAZHJzL3NoYXBleG1sLnhtbFBLBQYAAAAABgAGAFsB&#10;AAC2AwAAAAA=&#10;">
                  <v:fill on="f" focussize="0,0"/>
                  <v:stroke on="f"/>
                  <v:imagedata r:id="rId73" o:title=""/>
                  <o:lock v:ext="edit" aspectratio="t"/>
                </v:shape>
                <v:line id="直线 165" o:spid="_x0000_s1026" o:spt="20" style="position:absolute;left:3608;top:6240;height:0;width:2880;" filled="f" stroked="t" coordsize="21600,21600" o:gfxdata="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FDPg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任意多边形 166" o:spid="_x0000_s1026" o:spt="100" style="position:absolute;left:2647;top:6084;height:624;width:120;" fillcolor="#000000" filled="t" stroked="f" coordsize="120,624" o:gfxdata="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6PdZvQAA&#10;ANwAAAAPAAAAAAAAAAEAIAAAACIAAABkcnMvZG93bnJldi54bWxQSwECFAAUAAAACACHTuJAMy8F&#10;njsAAAA5AAAAEAAAAAAAAAABACAAAAAMAQAAZHJzL3NoYXBleG1sLnhtbFBLBQYAAAAABgAGAFsB&#10;AAC2AwAAAAA=&#10;" path="m67,534l52,534,52,0,67,0,67,534xm60,624l0,504,52,504,52,534,105,534,60,624xm105,534l67,534,67,504,120,504,105,534xe">
                  <v:fill on="t" focussize="0,0"/>
                  <v:stroke on="f"/>
                  <v:imagedata o:title=""/>
                  <o:lock v:ext="edit" aspectratio="f"/>
                </v:shape>
                <v:line id="直线 167" o:spid="_x0000_s1026" o:spt="20" style="position:absolute;left:1808;top:6240;height:0;width:900;" filled="f" stroked="t" coordsize="21600,21600" o:gfxdata="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7upO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任意多边形 168" o:spid="_x0000_s1026" o:spt="100" style="position:absolute;left:1747;top:6240;height:468;width:120;" fillcolor="#000000" filled="t" stroked="f" coordsize="120,468" o:gfxdata="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tuTlK5AAAA3AAA&#10;AA8AAAAAAAAAAQAgAAAAIgAAAGRycy9kb3ducmV2LnhtbFBLAQIUABQAAAAIAIdO4kAzLwWeOwAA&#10;ADkAAAAQAAAAAAAAAAEAIAAAAAgBAABkcnMvc2hhcGV4bWwueG1sUEsFBgAAAAAGAAYAWwEAALID&#10;AAAAAA==&#10;" path="m67,378l52,378,52,0,67,0,67,378xm60,468l0,348,52,348,52,378,105,378,60,468xm105,378l67,378,67,348,120,348,105,378xe">
                  <v:fill on="t" focussize="0,0"/>
                  <v:stroke on="f"/>
                  <v:imagedata o:title=""/>
                  <o:lock v:ext="edit" aspectratio="f"/>
                </v:shape>
                <v:shape id="任意多边形 169" o:spid="_x0000_s1026" o:spt="100" style="position:absolute;left:2647;top:7020;height:624;width:120;" fillcolor="#000000" filled="t" stroked="f" coordsize="120,624" o:gfxdata="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OmkuugAAANwA&#10;AAAPAAAAAAAAAAEAIAAAACIAAABkcnMvZG93bnJldi54bWxQSwECFAAUAAAACACHTuJAMy8FnjsA&#10;AAA5AAAAEAAAAAAAAAABACAAAAAJAQAAZHJzL3NoYXBleG1sLnhtbFBLBQYAAAAABgAGAFsBAACz&#10;AwAAAAA=&#10;" path="m67,534l52,534,52,0,67,0,67,534xm60,624l0,504,52,504,52,534,105,534,60,624xm105,534l67,534,67,504,120,504,105,534xe">
                  <v:fill on="t" focussize="0,0"/>
                  <v:stroke on="f"/>
                  <v:imagedata o:title=""/>
                  <o:lock v:ext="edit" aspectratio="f"/>
                </v:shape>
                <v:shape id="任意多边形 170" o:spid="_x0000_s1026" o:spt="100" style="position:absolute;left:7;top:5244;height:120;width:1260;" fillcolor="#000000" filled="t" stroked="f" coordsize="1260,120" o:gfxdata="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5IbW8AAAA&#10;3AAAAA8AAAAAAAAAAQAgAAAAIgAAAGRycy9kb3ducmV2LnhtbFBLAQIUABQAAAAIAIdO4kAzLwWe&#10;OwAAADkAAAAQAAAAAAAAAAEAIAAAAAsBAABkcnMvc2hhcGV4bWwueG1sUEsFBgAAAAAGAAYAWwEA&#10;ALUDAAAAAA==&#10;" path="m1140,120l1140,0,1245,53,1170,53,1170,68,1245,68,1140,120xm1140,68l0,68,0,53,1140,53,1140,68xm1245,68l1170,68,1170,53,1245,53,1260,60,1245,68xe">
                  <v:fill on="t" focussize="0,0"/>
                  <v:stroke on="f"/>
                  <v:imagedata o:title=""/>
                  <o:lock v:ext="edit" aspectratio="f"/>
                </v:shape>
                <v:line id="直线 171" o:spid="_x0000_s1026" o:spt="20" style="position:absolute;left:8;top:5304;height:3432;width:0;" filled="f" stroked="t" coordsize="21600,21600" o:gfxdata="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gK84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72" o:spid="_x0000_s1026" o:spt="20" style="position:absolute;left:548;top:7332;height:0;width:3600;" filled="f" stroked="t" coordsize="21600,21600" o:gfxdata="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UjF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图片 173" o:spid="_x0000_s1026" o:spt="75" alt="" type="#_x0000_t75" style="position:absolute;left:1567;top:7332;height:313;width:120;" filled="f" o:preferrelative="t" stroked="f" coordsize="21600,21600" o:gfxdata="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jEy5vQAA&#10;ANwAAAAPAAAAAAAAAAEAIAAAACIAAABkcnMvZG93bnJldi54bWxQSwECFAAUAAAACACHTuJAMy8F&#10;njsAAAA5AAAAEAAAAAAAAAABACAAAAAMAQAAZHJzL3NoYXBleG1sLnhtbFBLBQYAAAAABgAGAFsB&#10;AAC2AwAAAAA=&#10;">
                  <v:fill on="f" focussize="0,0"/>
                  <v:stroke on="f"/>
                  <v:imagedata r:id="rId76" o:title=""/>
                  <o:lock v:ext="edit" aspectratio="t"/>
                </v:shape>
                <v:shape id="图片 174" o:spid="_x0000_s1026" o:spt="75" alt="" type="#_x0000_t75" style="position:absolute;left:487;top:7332;height:313;width:120;" filled="f" o:preferrelative="t" stroked="f" coordsize="21600,21600" o:gfxdata="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E9jL&#10;wAAAANwAAAAPAAAAAAAAAAEAIAAAACIAAABkcnMvZG93bnJldi54bWxQSwECFAAUAAAACACHTuJA&#10;My8FnjsAAAA5AAAAEAAAAAAAAAABACAAAAAPAQAAZHJzL3NoYXBleG1sLnhtbFBLBQYAAAAABgAG&#10;AFsBAAC5AwAAAAA=&#10;">
                  <v:fill on="f" focussize="0,0"/>
                  <v:stroke on="f"/>
                  <v:imagedata r:id="rId76" o:title=""/>
                  <o:lock v:ext="edit" aspectratio="t"/>
                </v:shape>
                <v:shape id="任意多边形 175" o:spid="_x0000_s1026" o:spt="100" style="position:absolute;left:1567;top:7956;height:780;width:120;" fillcolor="#000000" filled="t" stroked="f" coordsize="120,780" o:gfxdata="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7c9TvQAA&#10;ANwAAAAPAAAAAAAAAAEAIAAAACIAAABkcnMvZG93bnJldi54bWxQSwECFAAUAAAACACHTuJAMy8F&#10;njsAAAA5AAAAEAAAAAAAAAABACAAAAAMAQAAZHJzL3NoYXBleG1sLnhtbFBLBQYAAAAABgAGAFsB&#10;AAC2AwAAAAA=&#10;" path="m52,120l0,120,60,0,105,90,52,90,52,120xm67,780l52,780,52,90,67,90,67,780xm120,120l67,120,67,90,105,90,120,120xe">
                  <v:fill on="t" focussize="0,0"/>
                  <v:stroke on="f"/>
                  <v:imagedata o:title=""/>
                  <o:lock v:ext="edit" aspectratio="f"/>
                </v:shape>
                <v:line id="直线 176" o:spid="_x0000_s1026" o:spt="20" style="position:absolute;left:8;top:8736;height:0;width:1620;" filled="f" stroked="t" coordsize="21600,21600" o:gfxdata="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9j4W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任意多边形 177" o:spid="_x0000_s1026" o:spt="100" style="position:absolute;left:4087;top:7332;height:780;width:120;" fillcolor="#000000" filled="t" stroked="f" coordsize="120,780" o:gfxdata="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Q3rr4A&#10;AADcAAAADwAAAAAAAAABACAAAAAiAAAAZHJzL2Rvd25yZXYueG1sUEsBAhQAFAAAAAgAh07iQDMv&#10;BZ47AAAAOQAAABAAAAAAAAAAAQAgAAAADQEAAGRycy9zaGFwZXhtbC54bWxQSwUGAAAAAAYABgBb&#10;AQAAtwMAAAAA&#10;" path="m67,690l52,690,52,0,67,0,67,690xm60,780l0,660,52,660,52,690,105,690,60,780xm105,690l67,690,67,660,120,660,105,690xe">
                  <v:fill on="t" focussize="0,0"/>
                  <v:stroke on="f"/>
                  <v:imagedata o:title=""/>
                  <o:lock v:ext="edit" aspectratio="f"/>
                </v:shape>
                <v:shape id="任意多边形 178" o:spid="_x0000_s1026" o:spt="100" style="position:absolute;left:4087;top:8424;height:624;width:120;" fillcolor="#000000" filled="t" stroked="f" coordsize="120,624" o:gfxdata="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ZOE68AAAA&#10;3AAAAA8AAAAAAAAAAQAgAAAAIgAAAGRycy9kb3ducmV2LnhtbFBLAQIUABQAAAAIAIdO4kAzLwWe&#10;OwAAADkAAAAQAAAAAAAAAAEAIAAAAAsBAABkcnMvc2hhcGV4bWwueG1sUEsFBgAAAAAGAAYAWwEA&#10;ALUDAAAAAA==&#10;" path="m67,534l52,534,52,0,67,0,67,534xm60,624l0,504,52,504,52,534,105,534,60,624xm105,534l67,534,67,504,120,504,105,534xe">
                  <v:fill on="t" focussize="0,0"/>
                  <v:stroke on="f"/>
                  <v:imagedata o:title=""/>
                  <o:lock v:ext="edit" aspectratio="f"/>
                </v:shape>
                <v:line id="直线 179" o:spid="_x0000_s1026" o:spt="20" style="position:absolute;left:4148;top:9048;height:0;width:2340;" filled="f" stroked="t" coordsize="21600,21600" o:gfxdata="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CmYs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80" o:spid="_x0000_s1026" o:spt="20" style="position:absolute;left:6488;top:312;height:8736;width:0;" filled="f" stroked="t" coordsize="21600,21600" o:gfxdata="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4/5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任意多边形 181" o:spid="_x0000_s1026" o:spt="100" style="position:absolute;left:7;top:6804;height:120;width:1260;" fillcolor="#000000" filled="t" stroked="f" coordsize="1260,120" o:gfxdata="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Zpw1b4A&#10;AADcAAAADwAAAAAAAAABACAAAAAiAAAAZHJzL2Rvd25yZXYueG1sUEsBAhQAFAAAAAgAh07iQDMv&#10;BZ47AAAAOQAAABAAAAAAAAAAAQAgAAAADQEAAGRycy9zaGFwZXhtbC54bWxQSwUGAAAAAAYABgBb&#10;AQAAtwMAAAAA&#10;" path="m120,120l0,60,120,0,120,53,90,53,90,68,120,68,120,120xm120,68l90,68,90,53,120,53,120,68xm1260,68l120,68,120,53,1260,53,1260,68xe">
                  <v:fill on="t" focussize="0,0"/>
                  <v:stroke on="f"/>
                  <v:imagedata o:title=""/>
                  <o:lock v:ext="edit" aspectratio="f"/>
                </v:shape>
                <v:shape id="任意多边形 182" o:spid="_x0000_s1026" o:spt="100" style="position:absolute;left:2707;top:252;height:120;width:3780;" fillcolor="#000000" filled="t" stroked="f" coordsize="3780,120" o:gfxdata="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jhEC/&#10;AAAA3AAAAA8AAAAAAAAAAQAgAAAAIgAAAGRycy9kb3ducmV2LnhtbFBLAQIUABQAAAAIAIdO4kAz&#10;LwWeOwAAADkAAAAQAAAAAAAAAAEAIAAAAA4BAABkcnMvc2hhcGV4bWwueG1sUEsFBgAAAAAGAAYA&#10;WwEAALgDAAAAAA==&#10;" path="m120,120l0,60,120,0,120,53,90,53,90,68,120,68,120,120xm120,68l90,68,90,53,120,53,120,68xm3780,68l120,68,120,53,3780,53,3780,68xe">
                  <v:fill on="t" focussize="0,0"/>
                  <v:stroke on="f"/>
                  <v:imagedata o:title=""/>
                  <o:lock v:ext="edit" aspectratio="f"/>
                </v:shape>
                <v:shape id="文本框 183" o:spid="_x0000_s1026" o:spt="202" type="#_x0000_t202" style="position:absolute;left:2346;top:727;height:240;width:740;" filled="f" stroked="f" coordsize="21600,21600" o:gfxdata="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Mr2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40" w:lineRule="exact"/>
                          <w:ind w:left="0" w:right="0" w:firstLine="0"/>
                          <w:jc w:val="left"/>
                          <w:rPr>
                            <w:sz w:val="24"/>
                          </w:rPr>
                        </w:pPr>
                        <w:r>
                          <w:rPr>
                            <w:sz w:val="24"/>
                          </w:rPr>
                          <w:t>调节池</w:t>
                        </w:r>
                      </w:p>
                    </w:txbxContent>
                  </v:textbox>
                </v:shape>
                <v:shape id="文本框 184" o:spid="_x0000_s1026" o:spt="202" type="#_x0000_t202" style="position:absolute;left:2346;top:1725;height:240;width:740;" filled="f" stroked="f" coordsize="21600,21600" o:gfxdata="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TOx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40" w:lineRule="exact"/>
                          <w:ind w:left="0" w:right="0" w:firstLine="0"/>
                          <w:jc w:val="left"/>
                          <w:rPr>
                            <w:sz w:val="24"/>
                          </w:rPr>
                        </w:pPr>
                        <w:r>
                          <w:rPr>
                            <w:sz w:val="24"/>
                          </w:rPr>
                          <w:t>提升泵</w:t>
                        </w:r>
                      </w:p>
                    </w:txbxContent>
                  </v:textbox>
                </v:shape>
                <v:shape id="文本框 185" o:spid="_x0000_s1026" o:spt="202" type="#_x0000_t202" style="position:absolute;left:1386;top:2227;height:240;width:500;" filled="f" stroked="f" coordsize="21600,21600" o:gfxdata="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n56D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0" w:lineRule="exact"/>
                          <w:ind w:left="0" w:right="0" w:firstLine="0"/>
                          <w:jc w:val="left"/>
                          <w:rPr>
                            <w:sz w:val="24"/>
                          </w:rPr>
                        </w:pPr>
                        <w:r>
                          <w:rPr>
                            <w:sz w:val="24"/>
                          </w:rPr>
                          <w:t>鼓风</w:t>
                        </w:r>
                      </w:p>
                    </w:txbxContent>
                  </v:textbox>
                </v:shape>
                <v:shape id="文本框 186" o:spid="_x0000_s1026" o:spt="202" type="#_x0000_t202" style="position:absolute;left:2346;top:2726;height:240;width:740;" filled="f" stroked="f" coordsize="21600,21600" o:gfxdata="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8oc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40" w:lineRule="exact"/>
                          <w:ind w:left="0" w:right="0" w:firstLine="0"/>
                          <w:jc w:val="left"/>
                          <w:rPr>
                            <w:sz w:val="24"/>
                          </w:rPr>
                        </w:pPr>
                        <w:r>
                          <w:rPr>
                            <w:sz w:val="24"/>
                          </w:rPr>
                          <w:t>缺氧段</w:t>
                        </w:r>
                      </w:p>
                    </w:txbxContent>
                  </v:textbox>
                </v:shape>
                <v:shape id="文本框 187" o:spid="_x0000_s1026" o:spt="202" type="#_x0000_t202" style="position:absolute;left:4266;top:2726;height:740;width:740;" filled="f" stroked="f" coordsize="21600,21600" o:gfxdata="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wBF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74" w:lineRule="exact"/>
                          <w:ind w:left="0" w:right="0" w:firstLine="0"/>
                          <w:jc w:val="left"/>
                          <w:rPr>
                            <w:sz w:val="24"/>
                          </w:rPr>
                        </w:pPr>
                        <w:r>
                          <w:rPr>
                            <w:sz w:val="24"/>
                          </w:rPr>
                          <w:t>排泥</w:t>
                        </w:r>
                      </w:p>
                      <w:p>
                        <w:pPr>
                          <w:spacing w:before="191" w:line="274" w:lineRule="exact"/>
                          <w:ind w:left="0" w:right="0" w:firstLine="0"/>
                          <w:jc w:val="left"/>
                          <w:rPr>
                            <w:sz w:val="24"/>
                          </w:rPr>
                        </w:pPr>
                        <w:r>
                          <w:rPr>
                            <w:sz w:val="24"/>
                          </w:rPr>
                          <w:t>污泥池</w:t>
                        </w:r>
                      </w:p>
                    </w:txbxContent>
                  </v:textbox>
                </v:shape>
                <v:shape id="文本框 188" o:spid="_x0000_s1026" o:spt="202" type="#_x0000_t202" style="position:absolute;left:2346;top:3727;height:240;width:740;" filled="f" stroked="f" coordsize="21600,21600" o:gfxdata="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im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40" w:lineRule="exact"/>
                          <w:ind w:left="0" w:right="0" w:firstLine="0"/>
                          <w:jc w:val="left"/>
                          <w:rPr>
                            <w:sz w:val="24"/>
                          </w:rPr>
                        </w:pPr>
                        <w:r>
                          <w:rPr>
                            <w:sz w:val="24"/>
                          </w:rPr>
                          <w:t>好氧段</w:t>
                        </w:r>
                      </w:p>
                    </w:txbxContent>
                  </v:textbox>
                </v:shape>
                <v:shape id="文本框 189" o:spid="_x0000_s1026" o:spt="202" type="#_x0000_t202" style="position:absolute;left:4386;top:3727;height:240;width:740;" filled="f" stroked="f" coordsize="21600,21600" o:gfxdata="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4/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0" w:lineRule="exact"/>
                          <w:ind w:left="0" w:right="0" w:firstLine="0"/>
                          <w:jc w:val="left"/>
                          <w:rPr>
                            <w:sz w:val="24"/>
                          </w:rPr>
                        </w:pPr>
                        <w:r>
                          <w:rPr>
                            <w:sz w:val="24"/>
                          </w:rPr>
                          <w:t>污泥泵</w:t>
                        </w:r>
                      </w:p>
                    </w:txbxContent>
                  </v:textbox>
                </v:shape>
                <v:shape id="文本框 190" o:spid="_x0000_s1026" o:spt="202" type="#_x0000_t202" style="position:absolute;left:3546;top:4226;height:240;width:740;" filled="f" stroked="f" coordsize="21600,21600" o:gfxdata="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enw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0" w:lineRule="exact"/>
                          <w:ind w:left="0" w:right="0" w:firstLine="0"/>
                          <w:jc w:val="left"/>
                          <w:rPr>
                            <w:sz w:val="24"/>
                          </w:rPr>
                        </w:pPr>
                        <w:r>
                          <w:rPr>
                            <w:sz w:val="24"/>
                          </w:rPr>
                          <w:t>空压机</w:t>
                        </w:r>
                      </w:p>
                    </w:txbxContent>
                  </v:textbox>
                </v:shape>
                <v:shape id="文本框 191" o:spid="_x0000_s1026" o:spt="202" type="#_x0000_t202" style="position:absolute;left:4986;top:4226;height:240;width:500;" filled="f" stroked="f" coordsize="21600,21600" o:gfxdata="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QsCW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0" w:lineRule="exact"/>
                          <w:ind w:left="0" w:right="0" w:firstLine="0"/>
                          <w:jc w:val="left"/>
                          <w:rPr>
                            <w:sz w:val="24"/>
                          </w:rPr>
                        </w:pPr>
                        <w:r>
                          <w:rPr>
                            <w:sz w:val="24"/>
                          </w:rPr>
                          <w:t>加药</w:t>
                        </w:r>
                      </w:p>
                    </w:txbxContent>
                  </v:textbox>
                </v:shape>
                <v:shape id="文本框 192" o:spid="_x0000_s1026" o:spt="202" type="#_x0000_t202" style="position:absolute;left:2226;top:4725;height:240;width:740;" filled="f" stroked="f" coordsize="21600,21600" o:gfxdata="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mcL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0" w:lineRule="exact"/>
                          <w:ind w:left="0" w:right="0" w:firstLine="0"/>
                          <w:jc w:val="left"/>
                          <w:rPr>
                            <w:sz w:val="24"/>
                          </w:rPr>
                        </w:pPr>
                        <w:r>
                          <w:rPr>
                            <w:sz w:val="24"/>
                          </w:rPr>
                          <w:t>过滤段</w:t>
                        </w:r>
                      </w:p>
                    </w:txbxContent>
                  </v:textbox>
                </v:shape>
                <v:shape id="文本框 193" o:spid="_x0000_s1026" o:spt="202" type="#_x0000_t202" style="position:absolute;left:4146;top:4725;height:240;width:1220;" filled="f" stroked="f" coordsize="21600,21600" o:gfxdata="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VOb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40" w:lineRule="exact"/>
                          <w:ind w:left="0" w:right="0" w:firstLine="0"/>
                          <w:jc w:val="left"/>
                          <w:rPr>
                            <w:sz w:val="24"/>
                          </w:rPr>
                        </w:pPr>
                        <w:r>
                          <w:rPr>
                            <w:sz w:val="24"/>
                          </w:rPr>
                          <w:t>污泥脱水机</w:t>
                        </w:r>
                      </w:p>
                    </w:txbxContent>
                  </v:textbox>
                </v:shape>
                <v:shape id="文本框 194" o:spid="_x0000_s1026" o:spt="202" type="#_x0000_t202" style="position:absolute;left:1746;top:5227;height:240;width:980;" filled="f" stroked="f" coordsize="21600,21600" o:gfxdata="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Krc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40" w:lineRule="exact"/>
                          <w:ind w:left="0" w:right="0" w:firstLine="0"/>
                          <w:jc w:val="left"/>
                          <w:rPr>
                            <w:sz w:val="24"/>
                          </w:rPr>
                        </w:pPr>
                        <w:r>
                          <w:rPr>
                            <w:sz w:val="24"/>
                          </w:rPr>
                          <w:t>反洗进水</w:t>
                        </w:r>
                      </w:p>
                    </w:txbxContent>
                  </v:textbox>
                </v:shape>
                <v:shape id="文本框 195" o:spid="_x0000_s1026" o:spt="202" type="#_x0000_t202" style="position:absolute;left:3186;top:5227;height:240;width:980;" filled="f" stroked="f" coordsize="21600,21600" o:gfxdata="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EYIX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0" w:lineRule="exact"/>
                          <w:ind w:left="0" w:right="0" w:firstLine="0"/>
                          <w:jc w:val="left"/>
                          <w:rPr>
                            <w:sz w:val="24"/>
                          </w:rPr>
                        </w:pPr>
                        <w:r>
                          <w:rPr>
                            <w:sz w:val="24"/>
                          </w:rPr>
                          <w:t>反洗排水</w:t>
                        </w:r>
                      </w:p>
                    </w:txbxContent>
                  </v:textbox>
                </v:shape>
                <v:shape id="文本框 196" o:spid="_x0000_s1026" o:spt="202" type="#_x0000_t202" style="position:absolute;left:1986;top:5726;height:240;width:980;" filled="f" stroked="f" coordsize="21600,21600" o:gfxdata="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xBrf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40" w:lineRule="exact"/>
                          <w:ind w:left="0" w:right="0" w:firstLine="0"/>
                          <w:jc w:val="left"/>
                          <w:rPr>
                            <w:sz w:val="24"/>
                          </w:rPr>
                        </w:pPr>
                        <w:r>
                          <w:rPr>
                            <w:sz w:val="24"/>
                          </w:rPr>
                          <w:t>中间水池</w:t>
                        </w:r>
                      </w:p>
                    </w:txbxContent>
                  </v:textbox>
                </v:shape>
                <v:shape id="文本框 197" o:spid="_x0000_s1026" o:spt="202" type="#_x0000_t202" style="position:absolute;left:3666;top:5726;height:240;width:1700;" filled="f" stroked="f" coordsize="21600,21600" o:gfxdata="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czu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199"/>
                          </w:tabs>
                          <w:spacing w:before="0" w:line="240" w:lineRule="exact"/>
                          <w:ind w:left="0" w:right="0" w:firstLine="0"/>
                          <w:jc w:val="left"/>
                          <w:rPr>
                            <w:sz w:val="24"/>
                          </w:rPr>
                        </w:pPr>
                        <w:r>
                          <w:rPr>
                            <w:sz w:val="24"/>
                          </w:rPr>
                          <w:t>泥饼外运</w:t>
                        </w:r>
                        <w:r>
                          <w:rPr>
                            <w:sz w:val="24"/>
                          </w:rPr>
                          <w:tab/>
                        </w:r>
                        <w:r>
                          <w:rPr>
                            <w:sz w:val="24"/>
                          </w:rPr>
                          <w:t>废水</w:t>
                        </w:r>
                      </w:p>
                    </w:txbxContent>
                  </v:textbox>
                </v:shape>
                <v:shape id="文本框 198" o:spid="_x0000_s1026" o:spt="202" type="#_x0000_t202" style="position:absolute;left:1386;top:6727;height:240;width:2060;" filled="f" stroked="f" coordsize="21600,21600" o:gfxdata="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OUJ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40" w:lineRule="exact"/>
                          <w:ind w:left="0" w:right="0" w:firstLine="0"/>
                          <w:jc w:val="left"/>
                          <w:rPr>
                            <w:sz w:val="24"/>
                          </w:rPr>
                        </w:pPr>
                        <w:r>
                          <w:rPr>
                            <w:sz w:val="24"/>
                          </w:rPr>
                          <w:t>反洗水泵 中间水泵</w:t>
                        </w:r>
                      </w:p>
                    </w:txbxContent>
                  </v:textbox>
                </v:shape>
                <v:shape id="文本框 199" o:spid="_x0000_s1026" o:spt="202" type="#_x0000_t202" style="position:absolute;left:426;top:7725;height:240;width:500;" filled="f" stroked="f" coordsize="21600,21600" o:gfxdata="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C9Q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40" w:lineRule="exact"/>
                          <w:ind w:left="0" w:right="0" w:firstLine="0"/>
                          <w:jc w:val="left"/>
                          <w:rPr>
                            <w:sz w:val="24"/>
                          </w:rPr>
                        </w:pPr>
                        <w:r>
                          <w:rPr>
                            <w:sz w:val="24"/>
                          </w:rPr>
                          <w:t>鼓风</w:t>
                        </w:r>
                      </w:p>
                    </w:txbxContent>
                  </v:textbox>
                </v:shape>
                <v:shape id="文本框 200" o:spid="_x0000_s1026" o:spt="202" type="#_x0000_t202" style="position:absolute;left:1506;top:7725;height:742;width:3140;" filled="f" stroked="f" coordsize="21600,21600" o:gfxdata="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rbX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199"/>
                          </w:tabs>
                          <w:spacing w:before="0" w:line="274" w:lineRule="exact"/>
                          <w:ind w:left="0" w:right="0" w:firstLine="0"/>
                          <w:jc w:val="left"/>
                          <w:rPr>
                            <w:sz w:val="24"/>
                          </w:rPr>
                        </w:pPr>
                        <w:r>
                          <w:rPr>
                            <w:sz w:val="24"/>
                          </w:rPr>
                          <w:t>反洗进水</w:t>
                        </w:r>
                        <w:r>
                          <w:rPr>
                            <w:sz w:val="24"/>
                          </w:rPr>
                          <w:tab/>
                        </w:r>
                        <w:r>
                          <w:rPr>
                            <w:sz w:val="24"/>
                          </w:rPr>
                          <w:t>生物活性炭塔</w:t>
                        </w:r>
                      </w:p>
                      <w:p>
                        <w:pPr>
                          <w:spacing w:before="194" w:line="274" w:lineRule="exact"/>
                          <w:ind w:left="0" w:right="18" w:firstLine="0"/>
                          <w:jc w:val="right"/>
                          <w:rPr>
                            <w:sz w:val="24"/>
                          </w:rPr>
                        </w:pPr>
                        <w:r>
                          <w:rPr>
                            <w:sz w:val="24"/>
                          </w:rPr>
                          <w:t>反洗排水</w:t>
                        </w:r>
                      </w:p>
                    </w:txbxContent>
                  </v:textbox>
                </v:shape>
                <v:shape id="文本框 201" o:spid="_x0000_s1026" o:spt="202" type="#_x0000_t202" style="position:absolute;left:2466;top:8726;height:240;width:500;" filled="f" stroked="f" coordsize="21600,21600" o:gfxdata="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nyO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40" w:lineRule="exact"/>
                          <w:ind w:left="0" w:right="0" w:firstLine="0"/>
                          <w:jc w:val="left"/>
                          <w:rPr>
                            <w:sz w:val="24"/>
                          </w:rPr>
                        </w:pPr>
                        <w:r>
                          <w:rPr>
                            <w:sz w:val="24"/>
                          </w:rPr>
                          <w:t>消毒</w:t>
                        </w:r>
                      </w:p>
                    </w:txbxContent>
                  </v:textbox>
                </v:shape>
                <w10:wrap type="none"/>
                <w10:anchorlock/>
              </v:group>
            </w:pict>
          </mc:Fallback>
        </mc:AlternateContent>
      </w:r>
    </w:p>
    <w:p>
      <w:pPr>
        <w:pStyle w:val="6"/>
        <w:rPr>
          <w:sz w:val="20"/>
        </w:rPr>
      </w:pPr>
    </w:p>
    <w:p>
      <w:pPr>
        <w:pStyle w:val="6"/>
        <w:spacing w:before="8"/>
        <w:rPr>
          <w:sz w:val="22"/>
        </w:rPr>
      </w:pPr>
    </w:p>
    <w:p>
      <w:pPr>
        <w:pStyle w:val="6"/>
        <w:spacing w:before="67"/>
        <w:ind w:left="3816"/>
      </w:pPr>
      <w:r>
        <mc:AlternateContent>
          <mc:Choice Requires="wps">
            <w:drawing>
              <wp:anchor distT="0" distB="0" distL="114300" distR="114300" simplePos="0" relativeHeight="214389760" behindDoc="1" locked="0" layoutInCell="1" allowOverlap="1">
                <wp:simplePos x="0" y="0"/>
                <wp:positionH relativeFrom="page">
                  <wp:posOffset>3376295</wp:posOffset>
                </wp:positionH>
                <wp:positionV relativeFrom="paragraph">
                  <wp:posOffset>-961390</wp:posOffset>
                </wp:positionV>
                <wp:extent cx="76200" cy="396240"/>
                <wp:effectExtent l="0" t="0" r="0" b="3810"/>
                <wp:wrapNone/>
                <wp:docPr id="76" name="任意多边形 202"/>
                <wp:cNvGraphicFramePr/>
                <a:graphic xmlns:a="http://schemas.openxmlformats.org/drawingml/2006/main">
                  <a:graphicData uri="http://schemas.microsoft.com/office/word/2010/wordprocessingShape">
                    <wps:wsp>
                      <wps:cNvSpPr/>
                      <wps:spPr>
                        <a:xfrm>
                          <a:off x="0" y="0"/>
                          <a:ext cx="76200" cy="396240"/>
                        </a:xfrm>
                        <a:custGeom>
                          <a:avLst/>
                          <a:gdLst/>
                          <a:ahLst/>
                          <a:cxnLst/>
                          <a:pathLst>
                            <a:path w="120" h="624">
                              <a:moveTo>
                                <a:pt x="68" y="534"/>
                              </a:moveTo>
                              <a:lnTo>
                                <a:pt x="53" y="534"/>
                              </a:lnTo>
                              <a:lnTo>
                                <a:pt x="53" y="0"/>
                              </a:lnTo>
                              <a:lnTo>
                                <a:pt x="68" y="0"/>
                              </a:lnTo>
                              <a:lnTo>
                                <a:pt x="68" y="534"/>
                              </a:lnTo>
                              <a:close/>
                              <a:moveTo>
                                <a:pt x="60" y="624"/>
                              </a:moveTo>
                              <a:lnTo>
                                <a:pt x="0" y="504"/>
                              </a:lnTo>
                              <a:lnTo>
                                <a:pt x="53" y="504"/>
                              </a:lnTo>
                              <a:lnTo>
                                <a:pt x="53" y="534"/>
                              </a:lnTo>
                              <a:lnTo>
                                <a:pt x="105" y="534"/>
                              </a:lnTo>
                              <a:lnTo>
                                <a:pt x="60" y="624"/>
                              </a:lnTo>
                              <a:close/>
                              <a:moveTo>
                                <a:pt x="105" y="534"/>
                              </a:moveTo>
                              <a:lnTo>
                                <a:pt x="68" y="534"/>
                              </a:lnTo>
                              <a:lnTo>
                                <a:pt x="68" y="504"/>
                              </a:lnTo>
                              <a:lnTo>
                                <a:pt x="120" y="504"/>
                              </a:lnTo>
                              <a:lnTo>
                                <a:pt x="105" y="534"/>
                              </a:lnTo>
                              <a:close/>
                            </a:path>
                          </a:pathLst>
                        </a:custGeom>
                        <a:solidFill>
                          <a:srgbClr val="000000"/>
                        </a:solidFill>
                        <a:ln>
                          <a:noFill/>
                        </a:ln>
                      </wps:spPr>
                      <wps:bodyPr upright="1"/>
                    </wps:wsp>
                  </a:graphicData>
                </a:graphic>
              </wp:anchor>
            </w:drawing>
          </mc:Choice>
          <mc:Fallback>
            <w:pict>
              <v:shape id="任意多边形 202" o:spid="_x0000_s1026" o:spt="100" style="position:absolute;left:0pt;margin-left:265.85pt;margin-top:-75.7pt;height:31.2pt;width:6pt;mso-position-horizontal-relative:page;z-index:-288926720;mso-width-relative:page;mso-height-relative:page;" fillcolor="#000000" filled="t" stroked="f" coordsize="120,624" o:gfxdata="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Ap1VotoAAAAMAQAADwAAAAAA&#10;AAABACAAAAAiAAAAZHJzL2Rvd25yZXYueG1sUEsBAhQAFAAAAAgAh07iQP+h6ZRKAgAA/wUAAA4A&#10;AAAAAAAAAQAgAAAAKQEAAGRycy9lMm9Eb2MueG1sUEsFBgAAAAAGAAYAWQEAAOUFAAAAAA==&#10;" path="m68,534l53,534,53,0,68,0,68,534xm60,624l0,504,53,504,53,534,105,534,60,624xm105,534l68,534,68,504,120,504,105,534xe">
                <v:fill on="t" focussize="0,0"/>
                <v:stroke on="f"/>
                <v:imagedata o:title=""/>
                <o:lock v:ext="edit" aspectratio="f"/>
              </v:shape>
            </w:pict>
          </mc:Fallback>
        </mc:AlternateContent>
      </w:r>
      <w:r>
        <mc:AlternateContent>
          <mc:Choice Requires="wps">
            <w:drawing>
              <wp:anchor distT="0" distB="0" distL="114300" distR="114300" simplePos="0" relativeHeight="251800576" behindDoc="0" locked="0" layoutInCell="1" allowOverlap="1">
                <wp:simplePos x="0" y="0"/>
                <wp:positionH relativeFrom="page">
                  <wp:posOffset>3376295</wp:posOffset>
                </wp:positionH>
                <wp:positionV relativeFrom="paragraph">
                  <wp:posOffset>-367030</wp:posOffset>
                </wp:positionV>
                <wp:extent cx="76200" cy="396240"/>
                <wp:effectExtent l="0" t="0" r="0" b="3810"/>
                <wp:wrapNone/>
                <wp:docPr id="257" name="任意多边形 203"/>
                <wp:cNvGraphicFramePr/>
                <a:graphic xmlns:a="http://schemas.openxmlformats.org/drawingml/2006/main">
                  <a:graphicData uri="http://schemas.microsoft.com/office/word/2010/wordprocessingShape">
                    <wps:wsp>
                      <wps:cNvSpPr/>
                      <wps:spPr>
                        <a:xfrm>
                          <a:off x="0" y="0"/>
                          <a:ext cx="76200" cy="396240"/>
                        </a:xfrm>
                        <a:custGeom>
                          <a:avLst/>
                          <a:gdLst/>
                          <a:ahLst/>
                          <a:cxnLst/>
                          <a:pathLst>
                            <a:path w="120" h="624">
                              <a:moveTo>
                                <a:pt x="68" y="534"/>
                              </a:moveTo>
                              <a:lnTo>
                                <a:pt x="53" y="534"/>
                              </a:lnTo>
                              <a:lnTo>
                                <a:pt x="53" y="0"/>
                              </a:lnTo>
                              <a:lnTo>
                                <a:pt x="68" y="0"/>
                              </a:lnTo>
                              <a:lnTo>
                                <a:pt x="68" y="534"/>
                              </a:lnTo>
                              <a:close/>
                              <a:moveTo>
                                <a:pt x="60" y="624"/>
                              </a:moveTo>
                              <a:lnTo>
                                <a:pt x="0" y="504"/>
                              </a:lnTo>
                              <a:lnTo>
                                <a:pt x="53" y="504"/>
                              </a:lnTo>
                              <a:lnTo>
                                <a:pt x="53" y="534"/>
                              </a:lnTo>
                              <a:lnTo>
                                <a:pt x="105" y="534"/>
                              </a:lnTo>
                              <a:lnTo>
                                <a:pt x="60" y="624"/>
                              </a:lnTo>
                              <a:close/>
                              <a:moveTo>
                                <a:pt x="105" y="534"/>
                              </a:moveTo>
                              <a:lnTo>
                                <a:pt x="68" y="534"/>
                              </a:lnTo>
                              <a:lnTo>
                                <a:pt x="68" y="504"/>
                              </a:lnTo>
                              <a:lnTo>
                                <a:pt x="120" y="504"/>
                              </a:lnTo>
                              <a:lnTo>
                                <a:pt x="105" y="534"/>
                              </a:lnTo>
                              <a:close/>
                            </a:path>
                          </a:pathLst>
                        </a:custGeom>
                        <a:solidFill>
                          <a:srgbClr val="000000"/>
                        </a:solidFill>
                        <a:ln>
                          <a:noFill/>
                        </a:ln>
                      </wps:spPr>
                      <wps:bodyPr upright="1"/>
                    </wps:wsp>
                  </a:graphicData>
                </a:graphic>
              </wp:anchor>
            </w:drawing>
          </mc:Choice>
          <mc:Fallback>
            <w:pict>
              <v:shape id="任意多边形 203" o:spid="_x0000_s1026" o:spt="100" style="position:absolute;left:0pt;margin-left:265.85pt;margin-top:-28.9pt;height:31.2pt;width:6pt;mso-position-horizontal-relative:page;z-index:251800576;mso-width-relative:page;mso-height-relative:page;" fillcolor="#000000" filled="t" stroked="f" coordsize="120,624" o:gfxdata="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2nO2G2AAAAAkBAAAPAAAAAAAA&#10;AAEAIAAAACIAAABkcnMvZG93bnJldi54bWxQSwECFAAUAAAACACHTuJAc+BpYUsCAAAABgAADgAA&#10;AAAAAAABACAAAAAnAQAAZHJzL2Uyb0RvYy54bWxQSwUGAAAAAAYABgBZAQAA5AUAAAAA&#10;" path="m68,534l53,534,53,0,68,0,68,534xm60,624l0,504,53,504,53,534,105,534,60,624xm105,534l68,534,68,504,120,504,105,534xe">
                <v:fill on="t" focussize="0,0"/>
                <v:stroke on="f"/>
                <v:imagedata o:title=""/>
                <o:lock v:ext="edit" aspectratio="f"/>
              </v:shape>
            </w:pict>
          </mc:Fallback>
        </mc:AlternateContent>
      </w:r>
      <w:r>
        <w:t>回用水池</w:t>
      </w:r>
    </w:p>
    <w:p>
      <w:pPr>
        <w:pStyle w:val="6"/>
        <w:ind w:left="4117"/>
        <w:rPr>
          <w:sz w:val="20"/>
        </w:rPr>
      </w:pPr>
      <w:r>
        <w:rPr>
          <w:sz w:val="20"/>
        </w:rPr>
        <mc:AlternateContent>
          <mc:Choice Requires="wpg">
            <w:drawing>
              <wp:inline distT="0" distB="0" distL="114300" distR="114300">
                <wp:extent cx="76200" cy="396240"/>
                <wp:effectExtent l="0" t="0" r="0" b="3810"/>
                <wp:docPr id="230" name="组合 204"/>
                <wp:cNvGraphicFramePr/>
                <a:graphic xmlns:a="http://schemas.openxmlformats.org/drawingml/2006/main">
                  <a:graphicData uri="http://schemas.microsoft.com/office/word/2010/wordprocessingGroup">
                    <wpg:wgp>
                      <wpg:cNvGrpSpPr/>
                      <wpg:grpSpPr>
                        <a:xfrm>
                          <a:off x="0" y="0"/>
                          <a:ext cx="76200" cy="396240"/>
                          <a:chOff x="0" y="0"/>
                          <a:chExt cx="120" cy="624"/>
                        </a:xfrm>
                      </wpg:grpSpPr>
                      <wps:wsp>
                        <wps:cNvPr id="229" name="任意多边形 205"/>
                        <wps:cNvSpPr/>
                        <wps:spPr>
                          <a:xfrm>
                            <a:off x="0" y="0"/>
                            <a:ext cx="120" cy="624"/>
                          </a:xfrm>
                          <a:custGeom>
                            <a:avLst/>
                            <a:gdLst/>
                            <a:ahLst/>
                            <a:cxnLst/>
                            <a:pathLst>
                              <a:path w="120" h="624">
                                <a:moveTo>
                                  <a:pt x="68" y="534"/>
                                </a:moveTo>
                                <a:lnTo>
                                  <a:pt x="53" y="534"/>
                                </a:lnTo>
                                <a:lnTo>
                                  <a:pt x="53" y="0"/>
                                </a:lnTo>
                                <a:lnTo>
                                  <a:pt x="68" y="0"/>
                                </a:lnTo>
                                <a:lnTo>
                                  <a:pt x="68" y="534"/>
                                </a:lnTo>
                                <a:close/>
                                <a:moveTo>
                                  <a:pt x="60" y="624"/>
                                </a:moveTo>
                                <a:lnTo>
                                  <a:pt x="0" y="504"/>
                                </a:lnTo>
                                <a:lnTo>
                                  <a:pt x="53" y="504"/>
                                </a:lnTo>
                                <a:lnTo>
                                  <a:pt x="53" y="534"/>
                                </a:lnTo>
                                <a:lnTo>
                                  <a:pt x="105" y="534"/>
                                </a:lnTo>
                                <a:lnTo>
                                  <a:pt x="60" y="624"/>
                                </a:lnTo>
                                <a:close/>
                                <a:moveTo>
                                  <a:pt x="105" y="534"/>
                                </a:moveTo>
                                <a:lnTo>
                                  <a:pt x="68" y="534"/>
                                </a:lnTo>
                                <a:lnTo>
                                  <a:pt x="68" y="504"/>
                                </a:lnTo>
                                <a:lnTo>
                                  <a:pt x="120" y="504"/>
                                </a:lnTo>
                                <a:lnTo>
                                  <a:pt x="105" y="534"/>
                                </a:lnTo>
                                <a:close/>
                              </a:path>
                            </a:pathLst>
                          </a:custGeom>
                          <a:solidFill>
                            <a:srgbClr val="000000"/>
                          </a:solidFill>
                          <a:ln>
                            <a:noFill/>
                          </a:ln>
                        </wps:spPr>
                        <wps:bodyPr upright="1"/>
                      </wps:wsp>
                    </wpg:wgp>
                  </a:graphicData>
                </a:graphic>
              </wp:inline>
            </w:drawing>
          </mc:Choice>
          <mc:Fallback>
            <w:pict>
              <v:group id="组合 204" o:spid="_x0000_s1026" o:spt="203" style="height:31.2pt;width:6pt;" coordsize="120,624" o:gfxdata="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RRygr0wAAAAMBAAAPAAAAAAAAAAEAIAAAACIAAABkcnMvZG93bnJldi54bWxQSwECFAAU&#10;AAAACACHTuJA0UfjI6ECAAAlBwAADgAAAAAAAAABACAAAAAiAQAAZHJzL2Uyb0RvYy54bWxQSwUG&#10;AAAAAAYABgBZAQAANQYAAAAA&#10;">
                <o:lock v:ext="edit" aspectratio="f"/>
                <v:shape id="任意多边形 205" o:spid="_x0000_s1026" o:spt="100" style="position:absolute;left:0;top:0;height:624;width:120;" fillcolor="#000000" filled="t" stroked="f" coordsize="120,624" o:gfxdata="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I9l+8AAAA&#10;3AAAAA8AAAAAAAAAAQAgAAAAIgAAAGRycy9kb3ducmV2LnhtbFBLAQIUABQAAAAIAIdO4kAzLwWe&#10;OwAAADkAAAAQAAAAAAAAAAEAIAAAAAsBAABkcnMvc2hhcGV4bWwueG1sUEsFBgAAAAAGAAYAWwEA&#10;ALUDAAAAAA==&#10;" path="m68,534l53,534,53,0,68,0,68,534xm60,624l0,504,53,504,53,534,105,534,60,624xm105,534l68,534,68,504,120,504,105,534xe">
                  <v:fill on="t" focussize="0,0"/>
                  <v:stroke on="f"/>
                  <v:imagedata o:title=""/>
                  <o:lock v:ext="edit" aspectratio="f"/>
                </v:shape>
                <w10:wrap type="none"/>
                <w10:anchorlock/>
              </v:group>
            </w:pict>
          </mc:Fallback>
        </mc:AlternateContent>
      </w:r>
    </w:p>
    <w:p>
      <w:pPr>
        <w:pStyle w:val="6"/>
        <w:spacing w:before="36"/>
        <w:ind w:left="3696"/>
      </w:pPr>
      <w:r>
        <mc:AlternateContent>
          <mc:Choice Requires="wps">
            <w:drawing>
              <wp:anchor distT="0" distB="0" distL="0" distR="0" simplePos="0" relativeHeight="251794432" behindDoc="1" locked="0" layoutInCell="1" allowOverlap="1">
                <wp:simplePos x="0" y="0"/>
                <wp:positionH relativeFrom="page">
                  <wp:posOffset>3376295</wp:posOffset>
                </wp:positionH>
                <wp:positionV relativeFrom="paragraph">
                  <wp:posOffset>266065</wp:posOffset>
                </wp:positionV>
                <wp:extent cx="76200" cy="396240"/>
                <wp:effectExtent l="0" t="0" r="0" b="3810"/>
                <wp:wrapTopAndBottom/>
                <wp:docPr id="256" name="任意多边形 206"/>
                <wp:cNvGraphicFramePr/>
                <a:graphic xmlns:a="http://schemas.openxmlformats.org/drawingml/2006/main">
                  <a:graphicData uri="http://schemas.microsoft.com/office/word/2010/wordprocessingShape">
                    <wps:wsp>
                      <wps:cNvSpPr/>
                      <wps:spPr>
                        <a:xfrm>
                          <a:off x="0" y="0"/>
                          <a:ext cx="76200" cy="396240"/>
                        </a:xfrm>
                        <a:custGeom>
                          <a:avLst/>
                          <a:gdLst/>
                          <a:ahLst/>
                          <a:cxnLst/>
                          <a:pathLst>
                            <a:path w="120" h="624">
                              <a:moveTo>
                                <a:pt x="68" y="534"/>
                              </a:moveTo>
                              <a:lnTo>
                                <a:pt x="53" y="534"/>
                              </a:lnTo>
                              <a:lnTo>
                                <a:pt x="53" y="0"/>
                              </a:lnTo>
                              <a:lnTo>
                                <a:pt x="68" y="0"/>
                              </a:lnTo>
                              <a:lnTo>
                                <a:pt x="68" y="534"/>
                              </a:lnTo>
                              <a:close/>
                              <a:moveTo>
                                <a:pt x="60" y="624"/>
                              </a:moveTo>
                              <a:lnTo>
                                <a:pt x="0" y="504"/>
                              </a:lnTo>
                              <a:lnTo>
                                <a:pt x="53" y="504"/>
                              </a:lnTo>
                              <a:lnTo>
                                <a:pt x="53" y="534"/>
                              </a:lnTo>
                              <a:lnTo>
                                <a:pt x="105" y="534"/>
                              </a:lnTo>
                              <a:lnTo>
                                <a:pt x="60" y="624"/>
                              </a:lnTo>
                              <a:close/>
                              <a:moveTo>
                                <a:pt x="105" y="534"/>
                              </a:moveTo>
                              <a:lnTo>
                                <a:pt x="68" y="534"/>
                              </a:lnTo>
                              <a:lnTo>
                                <a:pt x="68" y="504"/>
                              </a:lnTo>
                              <a:lnTo>
                                <a:pt x="120" y="504"/>
                              </a:lnTo>
                              <a:lnTo>
                                <a:pt x="105" y="534"/>
                              </a:lnTo>
                              <a:close/>
                            </a:path>
                          </a:pathLst>
                        </a:custGeom>
                        <a:solidFill>
                          <a:srgbClr val="000000"/>
                        </a:solidFill>
                        <a:ln>
                          <a:noFill/>
                        </a:ln>
                      </wps:spPr>
                      <wps:bodyPr upright="1"/>
                    </wps:wsp>
                  </a:graphicData>
                </a:graphic>
              </wp:anchor>
            </w:drawing>
          </mc:Choice>
          <mc:Fallback>
            <w:pict>
              <v:shape id="任意多边形 206" o:spid="_x0000_s1026" o:spt="100" style="position:absolute;left:0pt;margin-left:265.85pt;margin-top:20.95pt;height:31.2pt;width:6pt;mso-position-horizontal-relative:page;mso-wrap-distance-bottom:0pt;mso-wrap-distance-top:0pt;z-index:-251522048;mso-width-relative:page;mso-height-relative:page;" fillcolor="#000000" filled="t" stroked="f" coordsize="120,624" o:gfxdata="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JArVi2AAAAAoBAAAPAAAAAAAA&#10;AAEAIAAAACIAAABkcnMvZG93bnJldi54bWxQSwECFAAUAAAACACHTuJAkNGdDUsCAAAABgAADgAA&#10;AAAAAAABACAAAAAnAQAAZHJzL2Uyb0RvYy54bWxQSwUGAAAAAAYABgBZAQAA5AUAAAAA&#10;" path="m68,534l53,534,53,0,68,0,68,534xm60,624l0,504,53,504,53,534,105,534,60,624xm105,534l68,534,68,504,120,504,105,534xe">
                <v:fill on="t" focussize="0,0"/>
                <v:stroke on="f"/>
                <v:imagedata o:title=""/>
                <o:lock v:ext="edit" aspectratio="f"/>
                <w10:wrap type="topAndBottom"/>
              </v:shape>
            </w:pict>
          </mc:Fallback>
        </mc:AlternateContent>
      </w:r>
      <w:r>
        <w:t>回用水泵</w:t>
      </w:r>
    </w:p>
    <w:p>
      <w:pPr>
        <w:pStyle w:val="6"/>
        <w:ind w:right="1573"/>
        <w:jc w:val="center"/>
      </w:pPr>
      <w:r>
        <w:t>道路及绿化洒水用水</w:t>
      </w:r>
    </w:p>
    <w:p>
      <w:pPr>
        <w:pStyle w:val="5"/>
        <w:tabs>
          <w:tab w:val="left" w:pos="1041"/>
        </w:tabs>
        <w:spacing w:before="33"/>
        <w:ind w:right="352"/>
        <w:jc w:val="center"/>
      </w:pPr>
      <w:r>
        <w:t>图</w:t>
      </w:r>
      <w:r>
        <w:rPr>
          <w:spacing w:val="-62"/>
        </w:rPr>
        <w:t xml:space="preserve"> </w:t>
      </w:r>
      <w:r>
        <w:rPr>
          <w:rFonts w:ascii="Times New Roman" w:eastAsia="Times New Roman"/>
        </w:rPr>
        <w:t>7.6-1</w:t>
      </w:r>
      <w:r>
        <w:rPr>
          <w:rFonts w:ascii="Times New Roman" w:eastAsia="Times New Roman"/>
        </w:rPr>
        <w:tab/>
      </w:r>
      <w:r>
        <w:t>生活污水处理工艺流程图</w:t>
      </w:r>
    </w:p>
    <w:p>
      <w:pPr>
        <w:spacing w:after="0"/>
        <w:jc w:val="center"/>
        <w:sectPr>
          <w:pgSz w:w="11910" w:h="16840"/>
          <w:pgMar w:top="1580" w:right="780" w:bottom="1320" w:left="1200" w:header="0" w:footer="1058" w:gutter="0"/>
        </w:sectPr>
      </w:pPr>
    </w:p>
    <w:p>
      <w:pPr>
        <w:pStyle w:val="6"/>
        <w:spacing w:before="66"/>
        <w:ind w:left="696"/>
      </w:pPr>
      <w:r>
        <w:t xml:space="preserve">采用这种工艺处理后的生活污水出水水质见表 </w:t>
      </w:r>
      <w:r>
        <w:rPr>
          <w:rFonts w:ascii="Times New Roman" w:eastAsia="Times New Roman"/>
        </w:rPr>
        <w:t>7.6-1</w:t>
      </w:r>
      <w:r>
        <w:t>。</w:t>
      </w:r>
    </w:p>
    <w:p>
      <w:pPr>
        <w:pStyle w:val="6"/>
        <w:spacing w:before="9"/>
        <w:rPr>
          <w:sz w:val="21"/>
        </w:rPr>
      </w:pPr>
    </w:p>
    <w:p>
      <w:pPr>
        <w:pStyle w:val="5"/>
        <w:tabs>
          <w:tab w:val="left" w:pos="4101"/>
        </w:tabs>
        <w:spacing w:after="3"/>
        <w:ind w:left="3060"/>
      </w:pPr>
      <w:r>
        <w:t>表</w:t>
      </w:r>
      <w:r>
        <w:rPr>
          <w:spacing w:val="-62"/>
        </w:rPr>
        <w:t xml:space="preserve"> </w:t>
      </w:r>
      <w:r>
        <w:rPr>
          <w:rFonts w:ascii="Times New Roman" w:eastAsia="Times New Roman"/>
        </w:rPr>
        <w:t>7.6-1</w:t>
      </w:r>
      <w:r>
        <w:rPr>
          <w:rFonts w:ascii="Times New Roman" w:eastAsia="Times New Roman"/>
        </w:rPr>
        <w:tab/>
      </w:r>
      <w:r>
        <w:t>生活污水处理效果预测</w:t>
      </w: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9"/>
        <w:gridCol w:w="1040"/>
        <w:gridCol w:w="1816"/>
        <w:gridCol w:w="1557"/>
        <w:gridCol w:w="1817"/>
        <w:gridCol w:w="18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7" w:hRule="atLeast"/>
        </w:trPr>
        <w:tc>
          <w:tcPr>
            <w:tcW w:w="1299" w:type="dxa"/>
          </w:tcPr>
          <w:p>
            <w:pPr>
              <w:pStyle w:val="14"/>
              <w:spacing w:before="6"/>
              <w:jc w:val="left"/>
              <w:rPr>
                <w:b/>
                <w:sz w:val="25"/>
              </w:rPr>
            </w:pPr>
          </w:p>
          <w:p>
            <w:pPr>
              <w:pStyle w:val="14"/>
              <w:ind w:left="229"/>
              <w:jc w:val="left"/>
              <w:rPr>
                <w:sz w:val="21"/>
              </w:rPr>
            </w:pPr>
            <w:r>
              <w:rPr>
                <w:w w:val="95"/>
                <w:sz w:val="21"/>
              </w:rPr>
              <w:t>处理规模</w:t>
            </w:r>
          </w:p>
          <w:p>
            <w:pPr>
              <w:pStyle w:val="14"/>
              <w:spacing w:before="2"/>
              <w:ind w:left="241"/>
              <w:jc w:val="left"/>
              <w:rPr>
                <w:sz w:val="21"/>
              </w:rPr>
            </w:pPr>
            <w:r>
              <w:rPr>
                <w:sz w:val="21"/>
              </w:rPr>
              <w:t>（</w:t>
            </w:r>
            <w:r>
              <w:rPr>
                <w:rFonts w:ascii="Times New Roman" w:eastAsia="Times New Roman"/>
                <w:sz w:val="21"/>
              </w:rPr>
              <w:t>m</w:t>
            </w:r>
            <w:r>
              <w:rPr>
                <w:rFonts w:ascii="Times New Roman" w:eastAsia="Times New Roman"/>
                <w:position w:val="7"/>
                <w:sz w:val="13"/>
              </w:rPr>
              <w:t>3</w:t>
            </w:r>
            <w:r>
              <w:rPr>
                <w:rFonts w:ascii="Times New Roman" w:eastAsia="Times New Roman"/>
                <w:sz w:val="21"/>
              </w:rPr>
              <w:t>/d</w:t>
            </w:r>
            <w:r>
              <w:rPr>
                <w:sz w:val="21"/>
              </w:rPr>
              <w:t>）</w:t>
            </w:r>
          </w:p>
        </w:tc>
        <w:tc>
          <w:tcPr>
            <w:tcW w:w="1040" w:type="dxa"/>
          </w:tcPr>
          <w:p>
            <w:pPr>
              <w:pStyle w:val="14"/>
              <w:jc w:val="left"/>
              <w:rPr>
                <w:b/>
                <w:sz w:val="20"/>
              </w:rPr>
            </w:pPr>
          </w:p>
          <w:p>
            <w:pPr>
              <w:pStyle w:val="14"/>
              <w:spacing w:before="2"/>
              <w:jc w:val="left"/>
              <w:rPr>
                <w:b/>
                <w:sz w:val="16"/>
              </w:rPr>
            </w:pPr>
          </w:p>
          <w:p>
            <w:pPr>
              <w:pStyle w:val="14"/>
              <w:ind w:left="184" w:right="176"/>
              <w:rPr>
                <w:sz w:val="21"/>
              </w:rPr>
            </w:pPr>
            <w:r>
              <w:rPr>
                <w:sz w:val="21"/>
              </w:rPr>
              <w:t>指标</w:t>
            </w:r>
          </w:p>
        </w:tc>
        <w:tc>
          <w:tcPr>
            <w:tcW w:w="1816" w:type="dxa"/>
          </w:tcPr>
          <w:p>
            <w:pPr>
              <w:pStyle w:val="14"/>
              <w:spacing w:before="6"/>
              <w:jc w:val="left"/>
              <w:rPr>
                <w:b/>
                <w:sz w:val="25"/>
              </w:rPr>
            </w:pPr>
          </w:p>
          <w:p>
            <w:pPr>
              <w:pStyle w:val="14"/>
              <w:ind w:left="257" w:right="249"/>
              <w:rPr>
                <w:sz w:val="21"/>
              </w:rPr>
            </w:pPr>
            <w:r>
              <w:rPr>
                <w:sz w:val="21"/>
              </w:rPr>
              <w:t>设计进水浓度</w:t>
            </w:r>
          </w:p>
          <w:p>
            <w:pPr>
              <w:pStyle w:val="14"/>
              <w:spacing w:before="2"/>
              <w:ind w:left="257" w:right="249"/>
              <w:rPr>
                <w:sz w:val="21"/>
              </w:rPr>
            </w:pPr>
            <w:r>
              <w:rPr>
                <w:sz w:val="21"/>
              </w:rPr>
              <w:t>（</w:t>
            </w:r>
            <w:r>
              <w:rPr>
                <w:rFonts w:ascii="Times New Roman" w:eastAsia="Times New Roman"/>
                <w:sz w:val="21"/>
              </w:rPr>
              <w:t>mg/L</w:t>
            </w:r>
            <w:r>
              <w:rPr>
                <w:sz w:val="21"/>
              </w:rPr>
              <w:t>）</w:t>
            </w:r>
          </w:p>
        </w:tc>
        <w:tc>
          <w:tcPr>
            <w:tcW w:w="1557" w:type="dxa"/>
          </w:tcPr>
          <w:p>
            <w:pPr>
              <w:pStyle w:val="14"/>
              <w:spacing w:before="6"/>
              <w:jc w:val="left"/>
              <w:rPr>
                <w:b/>
                <w:sz w:val="25"/>
              </w:rPr>
            </w:pPr>
          </w:p>
          <w:p>
            <w:pPr>
              <w:pStyle w:val="14"/>
              <w:spacing w:line="242" w:lineRule="auto"/>
              <w:ind w:left="463" w:right="243" w:hanging="212"/>
              <w:jc w:val="left"/>
              <w:rPr>
                <w:sz w:val="21"/>
              </w:rPr>
            </w:pPr>
            <w:r>
              <w:rPr>
                <w:sz w:val="21"/>
              </w:rPr>
              <w:t>预处理工段去除率</w:t>
            </w:r>
          </w:p>
        </w:tc>
        <w:tc>
          <w:tcPr>
            <w:tcW w:w="1817" w:type="dxa"/>
          </w:tcPr>
          <w:p>
            <w:pPr>
              <w:pStyle w:val="14"/>
              <w:spacing w:before="6"/>
              <w:jc w:val="left"/>
              <w:rPr>
                <w:b/>
                <w:sz w:val="25"/>
              </w:rPr>
            </w:pPr>
          </w:p>
          <w:p>
            <w:pPr>
              <w:pStyle w:val="14"/>
              <w:spacing w:line="242" w:lineRule="auto"/>
              <w:ind w:left="591" w:right="270" w:hanging="315"/>
              <w:jc w:val="left"/>
              <w:rPr>
                <w:sz w:val="21"/>
              </w:rPr>
            </w:pPr>
            <w:r>
              <w:rPr>
                <w:sz w:val="21"/>
              </w:rPr>
              <w:t>生化处理工段去除率</w:t>
            </w:r>
          </w:p>
        </w:tc>
        <w:tc>
          <w:tcPr>
            <w:tcW w:w="1815" w:type="dxa"/>
          </w:tcPr>
          <w:p>
            <w:pPr>
              <w:pStyle w:val="14"/>
              <w:spacing w:before="6"/>
              <w:jc w:val="left"/>
              <w:rPr>
                <w:b/>
                <w:sz w:val="25"/>
              </w:rPr>
            </w:pPr>
          </w:p>
          <w:p>
            <w:pPr>
              <w:pStyle w:val="14"/>
              <w:ind w:left="255" w:right="249"/>
              <w:rPr>
                <w:sz w:val="21"/>
              </w:rPr>
            </w:pPr>
            <w:r>
              <w:rPr>
                <w:sz w:val="21"/>
              </w:rPr>
              <w:t>设计出水浓度</w:t>
            </w:r>
          </w:p>
          <w:p>
            <w:pPr>
              <w:pStyle w:val="14"/>
              <w:spacing w:before="2"/>
              <w:ind w:left="255" w:right="249"/>
              <w:rPr>
                <w:sz w:val="21"/>
              </w:rPr>
            </w:pPr>
            <w:r>
              <w:rPr>
                <w:sz w:val="21"/>
              </w:rPr>
              <w:t>（</w:t>
            </w:r>
            <w:r>
              <w:rPr>
                <w:rFonts w:ascii="Times New Roman" w:eastAsia="Times New Roman"/>
                <w:sz w:val="21"/>
              </w:rPr>
              <w:t>mg/L</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1299" w:type="dxa"/>
            <w:vMerge w:val="restart"/>
          </w:tcPr>
          <w:p>
            <w:pPr>
              <w:pStyle w:val="14"/>
              <w:jc w:val="left"/>
              <w:rPr>
                <w:b/>
                <w:sz w:val="22"/>
              </w:rPr>
            </w:pPr>
          </w:p>
          <w:p>
            <w:pPr>
              <w:pStyle w:val="14"/>
              <w:jc w:val="left"/>
              <w:rPr>
                <w:b/>
                <w:sz w:val="22"/>
              </w:rPr>
            </w:pPr>
          </w:p>
          <w:p>
            <w:pPr>
              <w:pStyle w:val="14"/>
              <w:jc w:val="left"/>
              <w:rPr>
                <w:b/>
                <w:sz w:val="22"/>
              </w:rPr>
            </w:pPr>
          </w:p>
          <w:p>
            <w:pPr>
              <w:pStyle w:val="14"/>
              <w:spacing w:before="3"/>
              <w:jc w:val="left"/>
              <w:rPr>
                <w:b/>
                <w:sz w:val="20"/>
              </w:rPr>
            </w:pPr>
          </w:p>
          <w:p>
            <w:pPr>
              <w:pStyle w:val="14"/>
              <w:ind w:left="313" w:right="305"/>
              <w:rPr>
                <w:rFonts w:ascii="Times New Roman"/>
                <w:sz w:val="21"/>
              </w:rPr>
            </w:pPr>
            <w:r>
              <w:rPr>
                <w:rFonts w:ascii="Times New Roman"/>
                <w:sz w:val="21"/>
              </w:rPr>
              <w:t>360</w:t>
            </w:r>
          </w:p>
        </w:tc>
        <w:tc>
          <w:tcPr>
            <w:tcW w:w="1040" w:type="dxa"/>
          </w:tcPr>
          <w:p>
            <w:pPr>
              <w:pStyle w:val="14"/>
              <w:spacing w:before="119"/>
              <w:ind w:left="184" w:right="175"/>
              <w:rPr>
                <w:rFonts w:ascii="Times New Roman"/>
                <w:sz w:val="21"/>
              </w:rPr>
            </w:pPr>
            <w:r>
              <w:rPr>
                <w:rFonts w:ascii="Times New Roman"/>
                <w:sz w:val="21"/>
              </w:rPr>
              <w:t>SS</w:t>
            </w:r>
          </w:p>
        </w:tc>
        <w:tc>
          <w:tcPr>
            <w:tcW w:w="1816" w:type="dxa"/>
          </w:tcPr>
          <w:p>
            <w:pPr>
              <w:pStyle w:val="14"/>
              <w:spacing w:before="119"/>
              <w:ind w:right="739"/>
              <w:jc w:val="right"/>
              <w:rPr>
                <w:rFonts w:ascii="Times New Roman"/>
                <w:sz w:val="21"/>
              </w:rPr>
            </w:pPr>
            <w:r>
              <w:rPr>
                <w:rFonts w:ascii="Times New Roman"/>
                <w:sz w:val="21"/>
              </w:rPr>
              <w:t>200</w:t>
            </w:r>
          </w:p>
        </w:tc>
        <w:tc>
          <w:tcPr>
            <w:tcW w:w="1557" w:type="dxa"/>
          </w:tcPr>
          <w:p>
            <w:pPr>
              <w:pStyle w:val="14"/>
              <w:spacing w:line="241" w:lineRule="exact"/>
              <w:ind w:left="372" w:right="362"/>
              <w:rPr>
                <w:rFonts w:ascii="Times New Roman"/>
                <w:sz w:val="21"/>
              </w:rPr>
            </w:pPr>
            <w:r>
              <w:rPr>
                <w:rFonts w:ascii="Times New Roman"/>
                <w:sz w:val="21"/>
              </w:rPr>
              <w:t>75%</w:t>
            </w:r>
          </w:p>
          <w:p>
            <w:pPr>
              <w:pStyle w:val="14"/>
              <w:spacing w:before="1" w:line="221" w:lineRule="exact"/>
              <w:ind w:left="369" w:right="364"/>
              <w:rPr>
                <w:rFonts w:ascii="Times New Roman"/>
                <w:sz w:val="21"/>
              </w:rPr>
            </w:pPr>
            <w:r>
              <w:rPr>
                <w:rFonts w:ascii="Times New Roman"/>
                <w:sz w:val="21"/>
              </w:rPr>
              <w:t>50mg/L</w:t>
            </w:r>
          </w:p>
        </w:tc>
        <w:tc>
          <w:tcPr>
            <w:tcW w:w="1817" w:type="dxa"/>
          </w:tcPr>
          <w:p>
            <w:pPr>
              <w:pStyle w:val="14"/>
              <w:spacing w:line="241" w:lineRule="exact"/>
              <w:ind w:left="553" w:right="542"/>
              <w:rPr>
                <w:rFonts w:ascii="Times New Roman"/>
                <w:sz w:val="21"/>
              </w:rPr>
            </w:pPr>
            <w:r>
              <w:rPr>
                <w:rFonts w:ascii="Times New Roman"/>
                <w:sz w:val="21"/>
              </w:rPr>
              <w:t>80%</w:t>
            </w:r>
          </w:p>
          <w:p>
            <w:pPr>
              <w:pStyle w:val="14"/>
              <w:spacing w:before="1" w:line="221" w:lineRule="exact"/>
              <w:ind w:left="553" w:right="548"/>
              <w:rPr>
                <w:rFonts w:ascii="Times New Roman"/>
                <w:sz w:val="21"/>
              </w:rPr>
            </w:pPr>
            <w:r>
              <w:rPr>
                <w:rFonts w:ascii="Times New Roman"/>
                <w:sz w:val="21"/>
              </w:rPr>
              <w:t>10mg/L</w:t>
            </w:r>
          </w:p>
        </w:tc>
        <w:tc>
          <w:tcPr>
            <w:tcW w:w="1815" w:type="dxa"/>
          </w:tcPr>
          <w:p>
            <w:pPr>
              <w:pStyle w:val="14"/>
              <w:spacing w:before="119"/>
              <w:ind w:left="255" w:right="245"/>
              <w:rPr>
                <w:rFonts w:ascii="Times New Roman" w:hAnsi="Times New Roman"/>
                <w:sz w:val="21"/>
              </w:rPr>
            </w:pPr>
            <w:r>
              <w:rPr>
                <w:rFonts w:ascii="Times New Roman" w:hAnsi="Times New Roman"/>
                <w:sz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1299" w:type="dxa"/>
            <w:vMerge w:val="continue"/>
            <w:tcBorders>
              <w:top w:val="nil"/>
            </w:tcBorders>
          </w:tcPr>
          <w:p>
            <w:pPr>
              <w:rPr>
                <w:sz w:val="2"/>
                <w:szCs w:val="2"/>
              </w:rPr>
            </w:pPr>
          </w:p>
        </w:tc>
        <w:tc>
          <w:tcPr>
            <w:tcW w:w="1040" w:type="dxa"/>
          </w:tcPr>
          <w:p>
            <w:pPr>
              <w:pStyle w:val="14"/>
              <w:spacing w:before="120"/>
              <w:ind w:left="183" w:right="176"/>
              <w:rPr>
                <w:rFonts w:ascii="Times New Roman"/>
                <w:sz w:val="21"/>
              </w:rPr>
            </w:pPr>
            <w:r>
              <w:rPr>
                <w:rFonts w:ascii="Times New Roman"/>
                <w:sz w:val="21"/>
              </w:rPr>
              <w:t>COD</w:t>
            </w:r>
          </w:p>
        </w:tc>
        <w:tc>
          <w:tcPr>
            <w:tcW w:w="1816" w:type="dxa"/>
          </w:tcPr>
          <w:p>
            <w:pPr>
              <w:pStyle w:val="14"/>
              <w:spacing w:before="120"/>
              <w:ind w:right="739"/>
              <w:jc w:val="right"/>
              <w:rPr>
                <w:rFonts w:ascii="Times New Roman"/>
                <w:sz w:val="21"/>
              </w:rPr>
            </w:pPr>
            <w:r>
              <w:rPr>
                <w:rFonts w:ascii="Times New Roman"/>
                <w:sz w:val="21"/>
              </w:rPr>
              <w:t>300</w:t>
            </w:r>
          </w:p>
        </w:tc>
        <w:tc>
          <w:tcPr>
            <w:tcW w:w="1557" w:type="dxa"/>
          </w:tcPr>
          <w:p>
            <w:pPr>
              <w:pStyle w:val="14"/>
              <w:spacing w:line="241" w:lineRule="exact"/>
              <w:ind w:left="372" w:right="364"/>
              <w:rPr>
                <w:rFonts w:ascii="Times New Roman"/>
                <w:sz w:val="21"/>
              </w:rPr>
            </w:pPr>
            <w:r>
              <w:rPr>
                <w:rFonts w:ascii="Times New Roman"/>
                <w:sz w:val="21"/>
              </w:rPr>
              <w:t>10%</w:t>
            </w:r>
          </w:p>
          <w:p>
            <w:pPr>
              <w:pStyle w:val="14"/>
              <w:spacing w:line="222" w:lineRule="exact"/>
              <w:ind w:left="372" w:right="363"/>
              <w:rPr>
                <w:rFonts w:ascii="Times New Roman"/>
                <w:sz w:val="21"/>
              </w:rPr>
            </w:pPr>
            <w:r>
              <w:rPr>
                <w:rFonts w:ascii="Times New Roman"/>
                <w:sz w:val="21"/>
              </w:rPr>
              <w:t>270mg/L</w:t>
            </w:r>
          </w:p>
        </w:tc>
        <w:tc>
          <w:tcPr>
            <w:tcW w:w="1817" w:type="dxa"/>
          </w:tcPr>
          <w:p>
            <w:pPr>
              <w:pStyle w:val="14"/>
              <w:spacing w:line="241" w:lineRule="exact"/>
              <w:ind w:left="553" w:right="545"/>
              <w:rPr>
                <w:rFonts w:ascii="Times New Roman"/>
                <w:sz w:val="21"/>
              </w:rPr>
            </w:pPr>
            <w:r>
              <w:rPr>
                <w:rFonts w:ascii="Times New Roman"/>
                <w:sz w:val="21"/>
              </w:rPr>
              <w:t>90%</w:t>
            </w:r>
          </w:p>
          <w:p>
            <w:pPr>
              <w:pStyle w:val="14"/>
              <w:spacing w:line="222" w:lineRule="exact"/>
              <w:ind w:left="553" w:right="548"/>
              <w:rPr>
                <w:rFonts w:ascii="Times New Roman"/>
                <w:sz w:val="21"/>
              </w:rPr>
            </w:pPr>
            <w:r>
              <w:rPr>
                <w:rFonts w:ascii="Times New Roman"/>
                <w:sz w:val="21"/>
              </w:rPr>
              <w:t>30mg/L</w:t>
            </w:r>
          </w:p>
        </w:tc>
        <w:tc>
          <w:tcPr>
            <w:tcW w:w="1815" w:type="dxa"/>
          </w:tcPr>
          <w:p>
            <w:pPr>
              <w:pStyle w:val="14"/>
              <w:spacing w:before="120"/>
              <w:ind w:left="255" w:right="245"/>
              <w:rPr>
                <w:rFonts w:ascii="Times New Roman" w:hAnsi="Times New Roman"/>
                <w:sz w:val="21"/>
              </w:rPr>
            </w:pPr>
            <w:r>
              <w:rPr>
                <w:rFonts w:ascii="Times New Roman" w:hAnsi="Times New Roman"/>
                <w:sz w:val="21"/>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1299" w:type="dxa"/>
            <w:vMerge w:val="continue"/>
            <w:tcBorders>
              <w:top w:val="nil"/>
            </w:tcBorders>
          </w:tcPr>
          <w:p>
            <w:pPr>
              <w:rPr>
                <w:sz w:val="2"/>
                <w:szCs w:val="2"/>
              </w:rPr>
            </w:pPr>
          </w:p>
        </w:tc>
        <w:tc>
          <w:tcPr>
            <w:tcW w:w="1040" w:type="dxa"/>
          </w:tcPr>
          <w:p>
            <w:pPr>
              <w:pStyle w:val="14"/>
              <w:spacing w:before="116"/>
              <w:ind w:left="184" w:right="173"/>
              <w:rPr>
                <w:rFonts w:ascii="Times New Roman"/>
                <w:sz w:val="21"/>
              </w:rPr>
            </w:pPr>
            <w:r>
              <w:rPr>
                <w:rFonts w:ascii="Times New Roman"/>
                <w:position w:val="2"/>
                <w:sz w:val="21"/>
              </w:rPr>
              <w:t>BOD</w:t>
            </w:r>
            <w:r>
              <w:rPr>
                <w:rFonts w:ascii="Times New Roman"/>
                <w:position w:val="2"/>
                <w:sz w:val="21"/>
                <w:vertAlign w:val="subscript"/>
              </w:rPr>
              <w:t>5</w:t>
            </w:r>
          </w:p>
        </w:tc>
        <w:tc>
          <w:tcPr>
            <w:tcW w:w="1816" w:type="dxa"/>
          </w:tcPr>
          <w:p>
            <w:pPr>
              <w:pStyle w:val="14"/>
              <w:spacing w:before="119"/>
              <w:ind w:right="739"/>
              <w:jc w:val="right"/>
              <w:rPr>
                <w:rFonts w:ascii="Times New Roman"/>
                <w:sz w:val="21"/>
              </w:rPr>
            </w:pPr>
            <w:r>
              <w:rPr>
                <w:rFonts w:ascii="Times New Roman"/>
                <w:sz w:val="21"/>
              </w:rPr>
              <w:t>200</w:t>
            </w:r>
          </w:p>
        </w:tc>
        <w:tc>
          <w:tcPr>
            <w:tcW w:w="1557" w:type="dxa"/>
          </w:tcPr>
          <w:p>
            <w:pPr>
              <w:pStyle w:val="14"/>
              <w:spacing w:line="241" w:lineRule="exact"/>
              <w:ind w:left="372" w:right="364"/>
              <w:rPr>
                <w:rFonts w:ascii="Times New Roman"/>
                <w:sz w:val="21"/>
              </w:rPr>
            </w:pPr>
            <w:r>
              <w:rPr>
                <w:rFonts w:ascii="Times New Roman"/>
                <w:sz w:val="21"/>
              </w:rPr>
              <w:t>10%</w:t>
            </w:r>
          </w:p>
          <w:p>
            <w:pPr>
              <w:pStyle w:val="14"/>
              <w:spacing w:before="1" w:line="221" w:lineRule="exact"/>
              <w:ind w:left="371" w:right="364"/>
              <w:rPr>
                <w:rFonts w:ascii="Times New Roman"/>
                <w:sz w:val="21"/>
              </w:rPr>
            </w:pPr>
            <w:r>
              <w:rPr>
                <w:rFonts w:ascii="Times New Roman"/>
                <w:sz w:val="21"/>
              </w:rPr>
              <w:t>180mg/L</w:t>
            </w:r>
          </w:p>
        </w:tc>
        <w:tc>
          <w:tcPr>
            <w:tcW w:w="1817" w:type="dxa"/>
          </w:tcPr>
          <w:p>
            <w:pPr>
              <w:pStyle w:val="14"/>
              <w:spacing w:line="241" w:lineRule="exact"/>
              <w:ind w:left="553" w:right="545"/>
              <w:rPr>
                <w:rFonts w:ascii="Times New Roman"/>
                <w:sz w:val="21"/>
              </w:rPr>
            </w:pPr>
            <w:r>
              <w:rPr>
                <w:rFonts w:ascii="Times New Roman"/>
                <w:sz w:val="21"/>
              </w:rPr>
              <w:t>90%</w:t>
            </w:r>
          </w:p>
          <w:p>
            <w:pPr>
              <w:pStyle w:val="14"/>
              <w:spacing w:before="1" w:line="221" w:lineRule="exact"/>
              <w:ind w:left="553" w:right="548"/>
              <w:rPr>
                <w:rFonts w:ascii="Times New Roman"/>
                <w:sz w:val="21"/>
              </w:rPr>
            </w:pPr>
            <w:r>
              <w:rPr>
                <w:rFonts w:ascii="Times New Roman"/>
                <w:sz w:val="21"/>
              </w:rPr>
              <w:t>18mg/L</w:t>
            </w:r>
          </w:p>
        </w:tc>
        <w:tc>
          <w:tcPr>
            <w:tcW w:w="1815" w:type="dxa"/>
          </w:tcPr>
          <w:p>
            <w:pPr>
              <w:pStyle w:val="14"/>
              <w:spacing w:before="119"/>
              <w:ind w:left="255" w:right="245"/>
              <w:rPr>
                <w:rFonts w:ascii="Times New Roman" w:hAnsi="Times New Roman"/>
                <w:sz w:val="21"/>
              </w:rPr>
            </w:pPr>
            <w:r>
              <w:rPr>
                <w:rFonts w:ascii="Times New Roman" w:hAnsi="Times New Roman"/>
                <w:sz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1299" w:type="dxa"/>
            <w:vMerge w:val="continue"/>
            <w:tcBorders>
              <w:top w:val="nil"/>
            </w:tcBorders>
          </w:tcPr>
          <w:p>
            <w:pPr>
              <w:rPr>
                <w:sz w:val="2"/>
                <w:szCs w:val="2"/>
              </w:rPr>
            </w:pPr>
          </w:p>
        </w:tc>
        <w:tc>
          <w:tcPr>
            <w:tcW w:w="1040" w:type="dxa"/>
          </w:tcPr>
          <w:p>
            <w:pPr>
              <w:pStyle w:val="14"/>
              <w:spacing w:before="104"/>
              <w:ind w:left="184" w:right="176"/>
              <w:rPr>
                <w:sz w:val="21"/>
              </w:rPr>
            </w:pPr>
            <w:r>
              <w:rPr>
                <w:sz w:val="21"/>
              </w:rPr>
              <w:t>石油类</w:t>
            </w:r>
          </w:p>
        </w:tc>
        <w:tc>
          <w:tcPr>
            <w:tcW w:w="1816" w:type="dxa"/>
          </w:tcPr>
          <w:p>
            <w:pPr>
              <w:pStyle w:val="14"/>
              <w:spacing w:before="121"/>
              <w:ind w:right="790"/>
              <w:jc w:val="right"/>
              <w:rPr>
                <w:rFonts w:ascii="Times New Roman"/>
                <w:sz w:val="21"/>
              </w:rPr>
            </w:pPr>
            <w:r>
              <w:rPr>
                <w:rFonts w:ascii="Times New Roman"/>
                <w:sz w:val="21"/>
              </w:rPr>
              <w:t>20</w:t>
            </w:r>
          </w:p>
        </w:tc>
        <w:tc>
          <w:tcPr>
            <w:tcW w:w="1557" w:type="dxa"/>
          </w:tcPr>
          <w:p>
            <w:pPr>
              <w:pStyle w:val="14"/>
              <w:spacing w:before="1" w:line="241" w:lineRule="exact"/>
              <w:ind w:left="372" w:right="362"/>
              <w:rPr>
                <w:rFonts w:ascii="Times New Roman"/>
                <w:sz w:val="21"/>
              </w:rPr>
            </w:pPr>
            <w:r>
              <w:rPr>
                <w:rFonts w:ascii="Times New Roman"/>
                <w:sz w:val="21"/>
              </w:rPr>
              <w:t>90%</w:t>
            </w:r>
          </w:p>
          <w:p>
            <w:pPr>
              <w:pStyle w:val="14"/>
              <w:spacing w:line="221" w:lineRule="exact"/>
              <w:ind w:left="372" w:right="363"/>
              <w:rPr>
                <w:rFonts w:ascii="Times New Roman"/>
                <w:sz w:val="21"/>
              </w:rPr>
            </w:pPr>
            <w:r>
              <w:rPr>
                <w:rFonts w:ascii="Times New Roman"/>
                <w:sz w:val="21"/>
              </w:rPr>
              <w:t>2mg/L</w:t>
            </w:r>
          </w:p>
        </w:tc>
        <w:tc>
          <w:tcPr>
            <w:tcW w:w="1817" w:type="dxa"/>
          </w:tcPr>
          <w:p>
            <w:pPr>
              <w:pStyle w:val="14"/>
              <w:spacing w:before="1" w:line="241" w:lineRule="exact"/>
              <w:ind w:left="553" w:right="542"/>
              <w:rPr>
                <w:rFonts w:ascii="Times New Roman"/>
                <w:sz w:val="21"/>
              </w:rPr>
            </w:pPr>
            <w:r>
              <w:rPr>
                <w:rFonts w:ascii="Times New Roman"/>
                <w:sz w:val="21"/>
              </w:rPr>
              <w:t>0%</w:t>
            </w:r>
          </w:p>
          <w:p>
            <w:pPr>
              <w:pStyle w:val="14"/>
              <w:spacing w:line="221" w:lineRule="exact"/>
              <w:ind w:left="553" w:right="548"/>
              <w:rPr>
                <w:rFonts w:ascii="Times New Roman"/>
                <w:sz w:val="21"/>
              </w:rPr>
            </w:pPr>
            <w:r>
              <w:rPr>
                <w:rFonts w:ascii="Times New Roman"/>
                <w:sz w:val="21"/>
              </w:rPr>
              <w:t>2mg/L</w:t>
            </w:r>
          </w:p>
        </w:tc>
        <w:tc>
          <w:tcPr>
            <w:tcW w:w="1815" w:type="dxa"/>
          </w:tcPr>
          <w:p>
            <w:pPr>
              <w:pStyle w:val="14"/>
              <w:spacing w:before="121"/>
              <w:ind w:left="255" w:right="248"/>
              <w:rPr>
                <w:rFonts w:ascii="Times New Roman" w:hAnsi="Times New Roman"/>
                <w:sz w:val="21"/>
              </w:rPr>
            </w:pPr>
            <w:r>
              <w:rPr>
                <w:rFonts w:ascii="Times New Roman" w:hAnsi="Times New Roman"/>
                <w:sz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1299" w:type="dxa"/>
            <w:vMerge w:val="continue"/>
            <w:tcBorders>
              <w:top w:val="nil"/>
            </w:tcBorders>
          </w:tcPr>
          <w:p>
            <w:pPr>
              <w:rPr>
                <w:sz w:val="2"/>
                <w:szCs w:val="2"/>
              </w:rPr>
            </w:pPr>
          </w:p>
        </w:tc>
        <w:tc>
          <w:tcPr>
            <w:tcW w:w="1040" w:type="dxa"/>
          </w:tcPr>
          <w:p>
            <w:pPr>
              <w:pStyle w:val="14"/>
              <w:spacing w:before="103"/>
              <w:ind w:left="184" w:right="176"/>
              <w:rPr>
                <w:sz w:val="21"/>
              </w:rPr>
            </w:pPr>
            <w:r>
              <w:rPr>
                <w:sz w:val="21"/>
              </w:rPr>
              <w:t>氨氮</w:t>
            </w:r>
          </w:p>
        </w:tc>
        <w:tc>
          <w:tcPr>
            <w:tcW w:w="1816" w:type="dxa"/>
          </w:tcPr>
          <w:p>
            <w:pPr>
              <w:pStyle w:val="14"/>
              <w:spacing w:before="120"/>
              <w:ind w:right="790"/>
              <w:jc w:val="right"/>
              <w:rPr>
                <w:rFonts w:ascii="Times New Roman"/>
                <w:sz w:val="21"/>
              </w:rPr>
            </w:pPr>
            <w:r>
              <w:rPr>
                <w:rFonts w:ascii="Times New Roman"/>
                <w:sz w:val="21"/>
              </w:rPr>
              <w:t>25</w:t>
            </w:r>
          </w:p>
        </w:tc>
        <w:tc>
          <w:tcPr>
            <w:tcW w:w="1557" w:type="dxa"/>
          </w:tcPr>
          <w:p>
            <w:pPr>
              <w:pStyle w:val="14"/>
              <w:spacing w:line="241" w:lineRule="exact"/>
              <w:ind w:left="372" w:right="362"/>
              <w:rPr>
                <w:rFonts w:ascii="Times New Roman"/>
                <w:sz w:val="21"/>
              </w:rPr>
            </w:pPr>
            <w:r>
              <w:rPr>
                <w:rFonts w:ascii="Times New Roman"/>
                <w:sz w:val="21"/>
              </w:rPr>
              <w:t>0%</w:t>
            </w:r>
          </w:p>
          <w:p>
            <w:pPr>
              <w:pStyle w:val="14"/>
              <w:spacing w:line="222" w:lineRule="exact"/>
              <w:ind w:left="369" w:right="364"/>
              <w:rPr>
                <w:rFonts w:ascii="Times New Roman"/>
                <w:sz w:val="21"/>
              </w:rPr>
            </w:pPr>
            <w:r>
              <w:rPr>
                <w:rFonts w:ascii="Times New Roman"/>
                <w:sz w:val="21"/>
              </w:rPr>
              <w:t>25mg/L</w:t>
            </w:r>
          </w:p>
        </w:tc>
        <w:tc>
          <w:tcPr>
            <w:tcW w:w="1817" w:type="dxa"/>
          </w:tcPr>
          <w:p>
            <w:pPr>
              <w:pStyle w:val="14"/>
              <w:spacing w:line="241" w:lineRule="exact"/>
              <w:ind w:left="553" w:right="542"/>
              <w:rPr>
                <w:rFonts w:ascii="Times New Roman"/>
                <w:sz w:val="21"/>
              </w:rPr>
            </w:pPr>
            <w:r>
              <w:rPr>
                <w:rFonts w:ascii="Times New Roman"/>
                <w:sz w:val="21"/>
              </w:rPr>
              <w:t>80%</w:t>
            </w:r>
          </w:p>
          <w:p>
            <w:pPr>
              <w:pStyle w:val="14"/>
              <w:spacing w:line="222" w:lineRule="exact"/>
              <w:ind w:left="553" w:right="548"/>
              <w:rPr>
                <w:rFonts w:ascii="Times New Roman"/>
                <w:sz w:val="21"/>
              </w:rPr>
            </w:pPr>
            <w:r>
              <w:rPr>
                <w:rFonts w:ascii="Times New Roman"/>
                <w:sz w:val="21"/>
              </w:rPr>
              <w:t>5mg/L</w:t>
            </w:r>
          </w:p>
        </w:tc>
        <w:tc>
          <w:tcPr>
            <w:tcW w:w="1815" w:type="dxa"/>
          </w:tcPr>
          <w:p>
            <w:pPr>
              <w:pStyle w:val="14"/>
              <w:spacing w:before="120"/>
              <w:ind w:left="255" w:right="248"/>
              <w:rPr>
                <w:rFonts w:ascii="Times New Roman" w:hAnsi="Times New Roman"/>
                <w:sz w:val="21"/>
              </w:rPr>
            </w:pPr>
            <w:r>
              <w:rPr>
                <w:rFonts w:ascii="Times New Roman" w:hAnsi="Times New Roman"/>
                <w:sz w:val="21"/>
              </w:rPr>
              <w:t>≤6</w:t>
            </w:r>
          </w:p>
        </w:tc>
      </w:tr>
    </w:tbl>
    <w:p>
      <w:pPr>
        <w:pStyle w:val="13"/>
        <w:numPr>
          <w:ilvl w:val="2"/>
          <w:numId w:val="61"/>
        </w:numPr>
        <w:tabs>
          <w:tab w:val="left" w:pos="848"/>
        </w:tabs>
        <w:spacing w:before="1" w:after="0" w:line="240" w:lineRule="auto"/>
        <w:ind w:left="847" w:right="0" w:hanging="633"/>
        <w:jc w:val="left"/>
        <w:rPr>
          <w:b/>
          <w:sz w:val="28"/>
        </w:rPr>
      </w:pPr>
      <w:bookmarkStart w:id="734" w:name="7.6.2矿井水处理和利用方案"/>
      <w:bookmarkEnd w:id="734"/>
      <w:bookmarkStart w:id="735" w:name="7.6.2矿井水处理和利用方案"/>
      <w:bookmarkEnd w:id="735"/>
      <w:r>
        <w:rPr>
          <w:b/>
          <w:sz w:val="28"/>
        </w:rPr>
        <w:t>矿井水处理和利用方案</w:t>
      </w:r>
    </w:p>
    <w:p>
      <w:pPr>
        <w:pStyle w:val="6"/>
        <w:spacing w:before="186" w:line="364" w:lineRule="auto"/>
        <w:ind w:left="215" w:right="580" w:firstLine="480"/>
        <w:jc w:val="both"/>
      </w:pPr>
      <w:r>
        <w:t xml:space="preserve">根据《双鸭山大顺矿业有限公司改扩建可行性研究报告》，预计扩储后大顺煤矿正常涌水量为 </w:t>
      </w:r>
      <w:r>
        <w:rPr>
          <w:rFonts w:ascii="Times New Roman" w:eastAsia="Times New Roman"/>
        </w:rPr>
        <w:t>76m</w:t>
      </w:r>
      <w:r>
        <w:rPr>
          <w:rFonts w:ascii="Times New Roman" w:eastAsia="Times New Roman"/>
          <w:position w:val="8"/>
          <w:sz w:val="15"/>
        </w:rPr>
        <w:t>3</w:t>
      </w:r>
      <w:r>
        <w:rPr>
          <w:rFonts w:ascii="Times New Roman" w:eastAsia="Times New Roman"/>
        </w:rPr>
        <w:t>/h</w:t>
      </w:r>
      <w:r>
        <w:t xml:space="preserve">，最大涌水量为 </w:t>
      </w:r>
      <w:r>
        <w:rPr>
          <w:rFonts w:ascii="Times New Roman" w:eastAsia="Times New Roman"/>
        </w:rPr>
        <w:t>155m</w:t>
      </w:r>
      <w:r>
        <w:rPr>
          <w:rFonts w:ascii="Times New Roman" w:eastAsia="Times New Roman"/>
          <w:position w:val="8"/>
          <w:sz w:val="15"/>
        </w:rPr>
        <w:t>3</w:t>
      </w:r>
      <w:r>
        <w:rPr>
          <w:rFonts w:ascii="Times New Roman" w:eastAsia="Times New Roman"/>
        </w:rPr>
        <w:t>/h</w:t>
      </w:r>
      <w:r>
        <w:t>。</w:t>
      </w:r>
    </w:p>
    <w:p>
      <w:pPr>
        <w:pStyle w:val="6"/>
        <w:spacing w:line="306" w:lineRule="exact"/>
        <w:ind w:left="696"/>
      </w:pPr>
      <w:r>
        <w:t xml:space="preserve">矿井水中的主要污染因子是 </w:t>
      </w:r>
      <w:r>
        <w:rPr>
          <w:rFonts w:ascii="Times New Roman" w:eastAsia="Times New Roman"/>
        </w:rPr>
        <w:t xml:space="preserve">SS </w:t>
      </w:r>
      <w:r>
        <w:t xml:space="preserve">和 </w:t>
      </w:r>
      <w:r>
        <w:rPr>
          <w:rFonts w:ascii="Times New Roman" w:eastAsia="Times New Roman"/>
        </w:rPr>
        <w:t>COD</w:t>
      </w:r>
      <w:r>
        <w:t xml:space="preserve">，通常 </w:t>
      </w:r>
      <w:r>
        <w:rPr>
          <w:rFonts w:ascii="Times New Roman" w:eastAsia="Times New Roman"/>
        </w:rPr>
        <w:t xml:space="preserve">SS </w:t>
      </w:r>
      <w:r>
        <w:t xml:space="preserve">一般为 </w:t>
      </w:r>
      <w:r>
        <w:rPr>
          <w:rFonts w:ascii="Times New Roman" w:eastAsia="Times New Roman"/>
        </w:rPr>
        <w:t>350-1000mg/L</w:t>
      </w:r>
      <w:r>
        <w:t>，</w:t>
      </w:r>
      <w:r>
        <w:rPr>
          <w:rFonts w:ascii="Times New Roman" w:eastAsia="Times New Roman"/>
        </w:rPr>
        <w:t xml:space="preserve">COD </w:t>
      </w:r>
      <w:r>
        <w:t>为</w:t>
      </w:r>
    </w:p>
    <w:p>
      <w:pPr>
        <w:pStyle w:val="6"/>
        <w:spacing w:before="160"/>
        <w:ind w:left="215"/>
      </w:pPr>
      <w:r>
        <w:rPr>
          <w:rFonts w:ascii="Times New Roman" w:eastAsia="Times New Roman"/>
        </w:rPr>
        <w:t>100-200mg/L</w:t>
      </w:r>
      <w:r>
        <w:t>，为含悬浮物矿井水。</w:t>
      </w:r>
    </w:p>
    <w:p>
      <w:pPr>
        <w:pStyle w:val="6"/>
        <w:spacing w:before="161" w:line="362" w:lineRule="auto"/>
        <w:ind w:left="215" w:right="580" w:firstLine="480"/>
        <w:jc w:val="both"/>
      </w:pPr>
      <w:r>
        <w:t>从井下排放的矿井水运输至蓄凝池，通过水泵抽入预处理系统，经过预处理系统把相对洁净水经过精密过滤器再度净化，经高压泵加压打入反渗透处理系统，经反渗透处理后洁净水由增压泵输送至各用水点。</w:t>
      </w:r>
    </w:p>
    <w:p>
      <w:pPr>
        <w:pStyle w:val="6"/>
        <w:spacing w:before="6"/>
        <w:ind w:left="696"/>
      </w:pPr>
      <w:r>
        <w:t>工艺流程：矿井水</w:t>
      </w:r>
      <w:r>
        <w:rPr>
          <w:rFonts w:ascii="Times New Roman" w:hAnsi="Times New Roman" w:eastAsia="Times New Roman"/>
        </w:rPr>
        <w:t>→</w:t>
      </w:r>
      <w:r>
        <w:t>蓄凝池</w:t>
      </w:r>
      <w:r>
        <w:rPr>
          <w:rFonts w:ascii="Times New Roman" w:hAnsi="Times New Roman" w:eastAsia="Times New Roman"/>
        </w:rPr>
        <w:t>→</w:t>
      </w:r>
      <w:r>
        <w:t>水泵</w:t>
      </w:r>
      <w:r>
        <w:rPr>
          <w:rFonts w:ascii="Times New Roman" w:hAnsi="Times New Roman" w:eastAsia="Times New Roman"/>
        </w:rPr>
        <w:t>→</w:t>
      </w:r>
      <w:r>
        <w:t>多介质过滤器</w:t>
      </w:r>
      <w:r>
        <w:rPr>
          <w:rFonts w:ascii="Times New Roman" w:hAnsi="Times New Roman" w:eastAsia="Times New Roman"/>
        </w:rPr>
        <w:t>→</w:t>
      </w:r>
      <w:r>
        <w:t>过滤器</w:t>
      </w:r>
      <w:r>
        <w:rPr>
          <w:rFonts w:ascii="Times New Roman" w:hAnsi="Times New Roman" w:eastAsia="Times New Roman"/>
        </w:rPr>
        <w:t>→</w:t>
      </w:r>
      <w:r>
        <w:t>高压泵</w:t>
      </w:r>
      <w:r>
        <w:rPr>
          <w:rFonts w:ascii="Times New Roman" w:hAnsi="Times New Roman" w:eastAsia="Times New Roman"/>
        </w:rPr>
        <w:t>→</w:t>
      </w:r>
      <w:r>
        <w:t>反渗透系统</w:t>
      </w:r>
    </w:p>
    <w:p>
      <w:pPr>
        <w:pStyle w:val="6"/>
        <w:spacing w:before="160"/>
        <w:ind w:left="215"/>
      </w:pPr>
      <w:r>
        <w:rPr>
          <w:rFonts w:ascii="Times New Roman" w:hAnsi="Times New Roman" w:eastAsia="Times New Roman"/>
        </w:rPr>
        <w:t>→</w:t>
      </w:r>
      <w:r>
        <w:t>净水池</w:t>
      </w:r>
      <w:r>
        <w:rPr>
          <w:rFonts w:ascii="Times New Roman" w:hAnsi="Times New Roman" w:eastAsia="Times New Roman"/>
        </w:rPr>
        <w:t>→</w:t>
      </w:r>
      <w:r>
        <w:t>增压水泵</w:t>
      </w:r>
      <w:r>
        <w:rPr>
          <w:rFonts w:ascii="Times New Roman" w:hAnsi="Times New Roman" w:eastAsia="Times New Roman"/>
        </w:rPr>
        <w:t>→</w:t>
      </w:r>
      <w:r>
        <w:t>生活、生产、绿化用水。</w:t>
      </w:r>
    </w:p>
    <w:p>
      <w:pPr>
        <w:pStyle w:val="6"/>
        <w:spacing w:before="158" w:line="364" w:lineRule="auto"/>
        <w:ind w:left="215" w:right="580" w:firstLine="480"/>
      </w:pPr>
      <w:r>
        <w:t>采用循环供水系统，使废水在一定的生产过程中多次重复使，或者处理后再回用。既能减少废水排放量，减轻环境污染，又能减少新鲜水的补充量，节省水资源。</w:t>
      </w:r>
    </w:p>
    <w:p>
      <w:pPr>
        <w:pStyle w:val="6"/>
        <w:spacing w:line="364" w:lineRule="auto"/>
        <w:ind w:left="215" w:right="580" w:firstLine="480"/>
      </w:pPr>
      <w:r>
        <w:t>根据不同用水水质的要求可将处理后的用于矸石堆放场地和运输道路等洒水降尘用水和绿化用水。</w:t>
      </w:r>
    </w:p>
    <w:p>
      <w:pPr>
        <w:pStyle w:val="5"/>
        <w:tabs>
          <w:tab w:val="left" w:pos="4101"/>
        </w:tabs>
        <w:spacing w:before="118" w:after="3"/>
        <w:ind w:left="3060"/>
      </w:pPr>
      <w:r>
        <w:t>表</w:t>
      </w:r>
      <w:r>
        <w:rPr>
          <w:spacing w:val="-62"/>
        </w:rPr>
        <w:t xml:space="preserve"> </w:t>
      </w:r>
      <w:r>
        <w:rPr>
          <w:rFonts w:ascii="Times New Roman" w:eastAsia="Times New Roman"/>
        </w:rPr>
        <w:t>7.6-2</w:t>
      </w:r>
      <w:r>
        <w:rPr>
          <w:rFonts w:ascii="Times New Roman" w:eastAsia="Times New Roman"/>
        </w:rPr>
        <w:tab/>
      </w:r>
      <w:r>
        <w:t>矿井涌水处理效果预测</w:t>
      </w: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61"/>
        <w:gridCol w:w="787"/>
        <w:gridCol w:w="1761"/>
        <w:gridCol w:w="1511"/>
        <w:gridCol w:w="2263"/>
        <w:gridCol w:w="17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7" w:hRule="atLeast"/>
        </w:trPr>
        <w:tc>
          <w:tcPr>
            <w:tcW w:w="1261" w:type="dxa"/>
          </w:tcPr>
          <w:p>
            <w:pPr>
              <w:pStyle w:val="14"/>
              <w:spacing w:before="6"/>
              <w:jc w:val="left"/>
              <w:rPr>
                <w:b/>
                <w:sz w:val="25"/>
              </w:rPr>
            </w:pPr>
          </w:p>
          <w:p>
            <w:pPr>
              <w:pStyle w:val="14"/>
              <w:ind w:left="209"/>
              <w:jc w:val="left"/>
              <w:rPr>
                <w:sz w:val="21"/>
              </w:rPr>
            </w:pPr>
            <w:r>
              <w:rPr>
                <w:w w:val="95"/>
                <w:sz w:val="21"/>
              </w:rPr>
              <w:t>处理规模</w:t>
            </w:r>
          </w:p>
          <w:p>
            <w:pPr>
              <w:pStyle w:val="14"/>
              <w:spacing w:before="2"/>
              <w:ind w:left="221"/>
              <w:jc w:val="left"/>
              <w:rPr>
                <w:sz w:val="21"/>
              </w:rPr>
            </w:pPr>
            <w:r>
              <w:rPr>
                <w:sz w:val="21"/>
              </w:rPr>
              <w:t>（</w:t>
            </w:r>
            <w:r>
              <w:rPr>
                <w:rFonts w:ascii="Times New Roman" w:eastAsia="Times New Roman"/>
                <w:sz w:val="21"/>
              </w:rPr>
              <w:t>m</w:t>
            </w:r>
            <w:r>
              <w:rPr>
                <w:rFonts w:ascii="Times New Roman" w:eastAsia="Times New Roman"/>
                <w:position w:val="7"/>
                <w:sz w:val="13"/>
              </w:rPr>
              <w:t>3</w:t>
            </w:r>
            <w:r>
              <w:rPr>
                <w:rFonts w:ascii="Times New Roman" w:eastAsia="Times New Roman"/>
                <w:sz w:val="21"/>
              </w:rPr>
              <w:t>/d</w:t>
            </w:r>
            <w:r>
              <w:rPr>
                <w:sz w:val="21"/>
              </w:rPr>
              <w:t>）</w:t>
            </w:r>
          </w:p>
        </w:tc>
        <w:tc>
          <w:tcPr>
            <w:tcW w:w="787" w:type="dxa"/>
          </w:tcPr>
          <w:p>
            <w:pPr>
              <w:pStyle w:val="14"/>
              <w:jc w:val="left"/>
              <w:rPr>
                <w:b/>
                <w:sz w:val="20"/>
              </w:rPr>
            </w:pPr>
          </w:p>
          <w:p>
            <w:pPr>
              <w:pStyle w:val="14"/>
              <w:spacing w:before="2"/>
              <w:jc w:val="left"/>
              <w:rPr>
                <w:b/>
                <w:sz w:val="16"/>
              </w:rPr>
            </w:pPr>
          </w:p>
          <w:p>
            <w:pPr>
              <w:pStyle w:val="14"/>
              <w:ind w:left="149" w:right="144"/>
              <w:rPr>
                <w:sz w:val="21"/>
              </w:rPr>
            </w:pPr>
            <w:r>
              <w:rPr>
                <w:sz w:val="21"/>
              </w:rPr>
              <w:t>指标</w:t>
            </w:r>
          </w:p>
        </w:tc>
        <w:tc>
          <w:tcPr>
            <w:tcW w:w="1761" w:type="dxa"/>
          </w:tcPr>
          <w:p>
            <w:pPr>
              <w:pStyle w:val="14"/>
              <w:spacing w:before="6"/>
              <w:jc w:val="left"/>
              <w:rPr>
                <w:b/>
                <w:sz w:val="25"/>
              </w:rPr>
            </w:pPr>
          </w:p>
          <w:p>
            <w:pPr>
              <w:pStyle w:val="14"/>
              <w:ind w:left="223" w:right="217"/>
              <w:rPr>
                <w:sz w:val="21"/>
              </w:rPr>
            </w:pPr>
            <w:r>
              <w:rPr>
                <w:sz w:val="21"/>
              </w:rPr>
              <w:t>设计进水浓度</w:t>
            </w:r>
          </w:p>
          <w:p>
            <w:pPr>
              <w:pStyle w:val="14"/>
              <w:spacing w:before="2"/>
              <w:ind w:left="223" w:right="217"/>
              <w:rPr>
                <w:sz w:val="21"/>
              </w:rPr>
            </w:pPr>
            <w:r>
              <w:rPr>
                <w:sz w:val="21"/>
              </w:rPr>
              <w:t>（</w:t>
            </w:r>
            <w:r>
              <w:rPr>
                <w:rFonts w:ascii="Times New Roman" w:eastAsia="Times New Roman"/>
                <w:sz w:val="21"/>
              </w:rPr>
              <w:t>mg/L</w:t>
            </w:r>
            <w:r>
              <w:rPr>
                <w:sz w:val="21"/>
              </w:rPr>
              <w:t>）</w:t>
            </w:r>
          </w:p>
        </w:tc>
        <w:tc>
          <w:tcPr>
            <w:tcW w:w="1511" w:type="dxa"/>
          </w:tcPr>
          <w:p>
            <w:pPr>
              <w:pStyle w:val="14"/>
              <w:spacing w:before="6"/>
              <w:jc w:val="left"/>
              <w:rPr>
                <w:b/>
                <w:sz w:val="25"/>
              </w:rPr>
            </w:pPr>
          </w:p>
          <w:p>
            <w:pPr>
              <w:pStyle w:val="14"/>
              <w:spacing w:line="242" w:lineRule="auto"/>
              <w:ind w:left="440" w:right="221" w:hanging="212"/>
              <w:jc w:val="left"/>
              <w:rPr>
                <w:sz w:val="21"/>
              </w:rPr>
            </w:pPr>
            <w:r>
              <w:rPr>
                <w:sz w:val="21"/>
              </w:rPr>
              <w:t>预处理工段去除率</w:t>
            </w:r>
          </w:p>
        </w:tc>
        <w:tc>
          <w:tcPr>
            <w:tcW w:w="2263" w:type="dxa"/>
          </w:tcPr>
          <w:p>
            <w:pPr>
              <w:pStyle w:val="14"/>
              <w:spacing w:before="6"/>
              <w:jc w:val="left"/>
              <w:rPr>
                <w:b/>
                <w:sz w:val="25"/>
              </w:rPr>
            </w:pPr>
          </w:p>
          <w:p>
            <w:pPr>
              <w:pStyle w:val="14"/>
              <w:spacing w:line="242" w:lineRule="auto"/>
              <w:ind w:left="815" w:right="283" w:hanging="526"/>
              <w:jc w:val="left"/>
              <w:rPr>
                <w:sz w:val="21"/>
              </w:rPr>
            </w:pPr>
            <w:r>
              <w:rPr>
                <w:sz w:val="21"/>
              </w:rPr>
              <w:t>絮凝沉淀处理工段去除率</w:t>
            </w:r>
          </w:p>
        </w:tc>
        <w:tc>
          <w:tcPr>
            <w:tcW w:w="1761" w:type="dxa"/>
          </w:tcPr>
          <w:p>
            <w:pPr>
              <w:pStyle w:val="14"/>
              <w:spacing w:before="6"/>
              <w:jc w:val="left"/>
              <w:rPr>
                <w:b/>
                <w:sz w:val="25"/>
              </w:rPr>
            </w:pPr>
          </w:p>
          <w:p>
            <w:pPr>
              <w:pStyle w:val="14"/>
              <w:ind w:left="222" w:right="217"/>
              <w:rPr>
                <w:sz w:val="21"/>
              </w:rPr>
            </w:pPr>
            <w:r>
              <w:rPr>
                <w:sz w:val="21"/>
              </w:rPr>
              <w:t>设计出水浓度</w:t>
            </w:r>
          </w:p>
          <w:p>
            <w:pPr>
              <w:pStyle w:val="14"/>
              <w:spacing w:before="2"/>
              <w:ind w:left="224" w:right="217"/>
              <w:rPr>
                <w:sz w:val="21"/>
              </w:rPr>
            </w:pPr>
            <w:r>
              <w:rPr>
                <w:sz w:val="21"/>
              </w:rPr>
              <w:t>（</w:t>
            </w:r>
            <w:r>
              <w:rPr>
                <w:rFonts w:ascii="Times New Roman" w:eastAsia="Times New Roman"/>
                <w:sz w:val="21"/>
              </w:rPr>
              <w:t>mg/L</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1261" w:type="dxa"/>
            <w:vMerge w:val="restart"/>
          </w:tcPr>
          <w:p>
            <w:pPr>
              <w:pStyle w:val="14"/>
              <w:spacing w:before="2"/>
              <w:jc w:val="left"/>
              <w:rPr>
                <w:b/>
                <w:sz w:val="19"/>
              </w:rPr>
            </w:pPr>
          </w:p>
          <w:p>
            <w:pPr>
              <w:pStyle w:val="14"/>
              <w:spacing w:before="1"/>
              <w:ind w:left="418"/>
              <w:jc w:val="left"/>
              <w:rPr>
                <w:rFonts w:ascii="Times New Roman"/>
                <w:sz w:val="21"/>
              </w:rPr>
            </w:pPr>
            <w:r>
              <w:rPr>
                <w:rFonts w:ascii="Times New Roman"/>
                <w:sz w:val="21"/>
              </w:rPr>
              <w:t>3720</w:t>
            </w:r>
          </w:p>
        </w:tc>
        <w:tc>
          <w:tcPr>
            <w:tcW w:w="787" w:type="dxa"/>
          </w:tcPr>
          <w:p>
            <w:pPr>
              <w:pStyle w:val="14"/>
              <w:spacing w:before="119"/>
              <w:ind w:left="149" w:right="143"/>
              <w:rPr>
                <w:rFonts w:ascii="Times New Roman"/>
                <w:sz w:val="21"/>
              </w:rPr>
            </w:pPr>
            <w:r>
              <w:rPr>
                <w:rFonts w:ascii="Times New Roman"/>
                <w:sz w:val="21"/>
              </w:rPr>
              <w:t>SS</w:t>
            </w:r>
          </w:p>
        </w:tc>
        <w:tc>
          <w:tcPr>
            <w:tcW w:w="1761" w:type="dxa"/>
          </w:tcPr>
          <w:p>
            <w:pPr>
              <w:pStyle w:val="14"/>
              <w:spacing w:before="119"/>
              <w:ind w:left="227" w:right="217"/>
              <w:rPr>
                <w:rFonts w:ascii="Times New Roman"/>
                <w:sz w:val="21"/>
              </w:rPr>
            </w:pPr>
            <w:r>
              <w:rPr>
                <w:rFonts w:ascii="Times New Roman"/>
                <w:sz w:val="21"/>
              </w:rPr>
              <w:t>400</w:t>
            </w:r>
          </w:p>
        </w:tc>
        <w:tc>
          <w:tcPr>
            <w:tcW w:w="1511" w:type="dxa"/>
          </w:tcPr>
          <w:p>
            <w:pPr>
              <w:pStyle w:val="14"/>
              <w:spacing w:line="241" w:lineRule="exact"/>
              <w:ind w:left="349" w:right="340"/>
              <w:rPr>
                <w:rFonts w:ascii="Times New Roman"/>
                <w:sz w:val="21"/>
              </w:rPr>
            </w:pPr>
            <w:r>
              <w:rPr>
                <w:rFonts w:ascii="Times New Roman"/>
                <w:sz w:val="21"/>
              </w:rPr>
              <w:t>75%</w:t>
            </w:r>
          </w:p>
          <w:p>
            <w:pPr>
              <w:pStyle w:val="14"/>
              <w:spacing w:before="1" w:line="221" w:lineRule="exact"/>
              <w:ind w:left="349" w:right="341"/>
              <w:rPr>
                <w:rFonts w:ascii="Times New Roman"/>
                <w:sz w:val="21"/>
              </w:rPr>
            </w:pPr>
            <w:r>
              <w:rPr>
                <w:rFonts w:ascii="Times New Roman"/>
                <w:sz w:val="21"/>
              </w:rPr>
              <w:t>100mg/L</w:t>
            </w:r>
          </w:p>
        </w:tc>
        <w:tc>
          <w:tcPr>
            <w:tcW w:w="2263" w:type="dxa"/>
          </w:tcPr>
          <w:p>
            <w:pPr>
              <w:pStyle w:val="14"/>
              <w:spacing w:line="241" w:lineRule="exact"/>
              <w:ind w:left="777" w:right="769"/>
              <w:rPr>
                <w:rFonts w:ascii="Times New Roman"/>
                <w:sz w:val="21"/>
              </w:rPr>
            </w:pPr>
            <w:r>
              <w:rPr>
                <w:rFonts w:ascii="Times New Roman"/>
                <w:sz w:val="21"/>
              </w:rPr>
              <w:t>60%</w:t>
            </w:r>
          </w:p>
          <w:p>
            <w:pPr>
              <w:pStyle w:val="14"/>
              <w:spacing w:before="1" w:line="221" w:lineRule="exact"/>
              <w:ind w:left="777" w:right="770"/>
              <w:rPr>
                <w:rFonts w:ascii="Times New Roman"/>
                <w:sz w:val="21"/>
              </w:rPr>
            </w:pPr>
            <w:r>
              <w:rPr>
                <w:rFonts w:ascii="Times New Roman"/>
                <w:sz w:val="21"/>
              </w:rPr>
              <w:t>40mg/L</w:t>
            </w:r>
          </w:p>
        </w:tc>
        <w:tc>
          <w:tcPr>
            <w:tcW w:w="1761" w:type="dxa"/>
          </w:tcPr>
          <w:p>
            <w:pPr>
              <w:pStyle w:val="14"/>
              <w:spacing w:before="119"/>
              <w:ind w:left="226" w:right="217"/>
              <w:rPr>
                <w:rFonts w:ascii="Times New Roman" w:hAnsi="Times New Roman"/>
                <w:sz w:val="21"/>
              </w:rPr>
            </w:pPr>
            <w:r>
              <w:rPr>
                <w:rFonts w:ascii="Times New Roman" w:hAnsi="Times New Roman"/>
                <w:sz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1261" w:type="dxa"/>
            <w:vMerge w:val="continue"/>
            <w:tcBorders>
              <w:top w:val="nil"/>
            </w:tcBorders>
          </w:tcPr>
          <w:p>
            <w:pPr>
              <w:rPr>
                <w:sz w:val="2"/>
                <w:szCs w:val="2"/>
              </w:rPr>
            </w:pPr>
          </w:p>
        </w:tc>
        <w:tc>
          <w:tcPr>
            <w:tcW w:w="787" w:type="dxa"/>
          </w:tcPr>
          <w:p>
            <w:pPr>
              <w:pStyle w:val="14"/>
              <w:spacing w:line="229" w:lineRule="exact"/>
              <w:ind w:left="149" w:right="144"/>
              <w:rPr>
                <w:rFonts w:ascii="Times New Roman"/>
                <w:sz w:val="21"/>
              </w:rPr>
            </w:pPr>
            <w:r>
              <w:rPr>
                <w:rFonts w:ascii="Times New Roman"/>
                <w:sz w:val="21"/>
              </w:rPr>
              <w:t>COD</w:t>
            </w:r>
          </w:p>
        </w:tc>
        <w:tc>
          <w:tcPr>
            <w:tcW w:w="1761" w:type="dxa"/>
          </w:tcPr>
          <w:p>
            <w:pPr>
              <w:pStyle w:val="14"/>
              <w:spacing w:line="229" w:lineRule="exact"/>
              <w:ind w:left="227" w:right="217"/>
              <w:rPr>
                <w:rFonts w:ascii="Times New Roman"/>
                <w:sz w:val="21"/>
              </w:rPr>
            </w:pPr>
            <w:r>
              <w:rPr>
                <w:rFonts w:ascii="Times New Roman"/>
                <w:sz w:val="21"/>
              </w:rPr>
              <w:t>150</w:t>
            </w:r>
          </w:p>
        </w:tc>
        <w:tc>
          <w:tcPr>
            <w:tcW w:w="1511" w:type="dxa"/>
          </w:tcPr>
          <w:p>
            <w:pPr>
              <w:pStyle w:val="14"/>
              <w:spacing w:line="229" w:lineRule="exact"/>
              <w:ind w:left="349" w:right="340"/>
              <w:rPr>
                <w:rFonts w:ascii="Times New Roman"/>
                <w:sz w:val="21"/>
              </w:rPr>
            </w:pPr>
            <w:r>
              <w:rPr>
                <w:rFonts w:ascii="Times New Roman"/>
                <w:sz w:val="21"/>
              </w:rPr>
              <w:t>5%</w:t>
            </w:r>
          </w:p>
        </w:tc>
        <w:tc>
          <w:tcPr>
            <w:tcW w:w="2263" w:type="dxa"/>
          </w:tcPr>
          <w:p>
            <w:pPr>
              <w:pStyle w:val="14"/>
              <w:spacing w:line="229" w:lineRule="exact"/>
              <w:ind w:left="777" w:right="769"/>
              <w:rPr>
                <w:rFonts w:ascii="Times New Roman"/>
                <w:sz w:val="21"/>
              </w:rPr>
            </w:pPr>
            <w:r>
              <w:rPr>
                <w:rFonts w:ascii="Times New Roman"/>
                <w:sz w:val="21"/>
              </w:rPr>
              <w:t>90%</w:t>
            </w:r>
          </w:p>
        </w:tc>
        <w:tc>
          <w:tcPr>
            <w:tcW w:w="1761" w:type="dxa"/>
          </w:tcPr>
          <w:p>
            <w:pPr>
              <w:pStyle w:val="14"/>
              <w:spacing w:line="229" w:lineRule="exact"/>
              <w:ind w:left="226" w:right="217"/>
              <w:rPr>
                <w:rFonts w:ascii="Times New Roman" w:hAnsi="Times New Roman"/>
                <w:sz w:val="21"/>
              </w:rPr>
            </w:pPr>
            <w:r>
              <w:rPr>
                <w:rFonts w:ascii="Times New Roman" w:hAnsi="Times New Roman"/>
                <w:sz w:val="21"/>
              </w:rPr>
              <w:t>≤50</w:t>
            </w:r>
          </w:p>
        </w:tc>
      </w:tr>
    </w:tbl>
    <w:p>
      <w:pPr>
        <w:spacing w:after="0" w:line="229" w:lineRule="exact"/>
        <w:rPr>
          <w:rFonts w:ascii="Times New Roman" w:hAnsi="Times New Roman"/>
          <w:sz w:val="21"/>
        </w:rPr>
        <w:sectPr>
          <w:pgSz w:w="11910" w:h="16840"/>
          <w:pgMar w:top="1520" w:right="780" w:bottom="1320" w:left="1200" w:header="0" w:footer="1058" w:gutter="0"/>
        </w:sectPr>
      </w:pP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61"/>
        <w:gridCol w:w="787"/>
        <w:gridCol w:w="1761"/>
        <w:gridCol w:w="1511"/>
        <w:gridCol w:w="2263"/>
        <w:gridCol w:w="17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261" w:type="dxa"/>
          </w:tcPr>
          <w:p>
            <w:pPr>
              <w:pStyle w:val="14"/>
              <w:jc w:val="left"/>
              <w:rPr>
                <w:rFonts w:ascii="Times New Roman"/>
                <w:sz w:val="16"/>
              </w:rPr>
            </w:pPr>
          </w:p>
        </w:tc>
        <w:tc>
          <w:tcPr>
            <w:tcW w:w="787" w:type="dxa"/>
          </w:tcPr>
          <w:p>
            <w:pPr>
              <w:pStyle w:val="14"/>
              <w:jc w:val="left"/>
              <w:rPr>
                <w:rFonts w:ascii="Times New Roman"/>
                <w:sz w:val="16"/>
              </w:rPr>
            </w:pPr>
          </w:p>
        </w:tc>
        <w:tc>
          <w:tcPr>
            <w:tcW w:w="1761" w:type="dxa"/>
          </w:tcPr>
          <w:p>
            <w:pPr>
              <w:pStyle w:val="14"/>
              <w:jc w:val="left"/>
              <w:rPr>
                <w:rFonts w:ascii="Times New Roman"/>
                <w:sz w:val="16"/>
              </w:rPr>
            </w:pPr>
          </w:p>
        </w:tc>
        <w:tc>
          <w:tcPr>
            <w:tcW w:w="1511" w:type="dxa"/>
          </w:tcPr>
          <w:p>
            <w:pPr>
              <w:pStyle w:val="14"/>
              <w:spacing w:line="221" w:lineRule="exact"/>
              <w:ind w:left="370"/>
              <w:jc w:val="left"/>
              <w:rPr>
                <w:rFonts w:ascii="Times New Roman"/>
                <w:sz w:val="21"/>
              </w:rPr>
            </w:pPr>
            <w:r>
              <w:rPr>
                <w:rFonts w:ascii="Times New Roman"/>
                <w:sz w:val="21"/>
              </w:rPr>
              <w:t>143mg/L</w:t>
            </w:r>
          </w:p>
        </w:tc>
        <w:tc>
          <w:tcPr>
            <w:tcW w:w="2263" w:type="dxa"/>
          </w:tcPr>
          <w:p>
            <w:pPr>
              <w:pStyle w:val="14"/>
              <w:spacing w:line="221" w:lineRule="exact"/>
              <w:ind w:left="777" w:right="770"/>
              <w:rPr>
                <w:rFonts w:ascii="Times New Roman"/>
                <w:sz w:val="21"/>
              </w:rPr>
            </w:pPr>
            <w:r>
              <w:rPr>
                <w:rFonts w:ascii="Times New Roman"/>
                <w:sz w:val="21"/>
              </w:rPr>
              <w:t>15mg/L</w:t>
            </w:r>
          </w:p>
        </w:tc>
        <w:tc>
          <w:tcPr>
            <w:tcW w:w="1761" w:type="dxa"/>
          </w:tcPr>
          <w:p>
            <w:pPr>
              <w:pStyle w:val="14"/>
              <w:jc w:val="left"/>
              <w:rPr>
                <w:rFonts w:ascii="Times New Roman"/>
                <w:sz w:val="16"/>
              </w:rPr>
            </w:pPr>
          </w:p>
        </w:tc>
      </w:tr>
    </w:tbl>
    <w:p>
      <w:pPr>
        <w:pStyle w:val="6"/>
        <w:spacing w:before="7" w:line="362" w:lineRule="auto"/>
        <w:ind w:left="215" w:right="453" w:firstLine="480"/>
      </w:pPr>
      <w:r>
        <w:t>矿井涌水采用混凝、沉淀、消毒处理工艺后，矿井外排废水水质能满足《煤炭工业</w:t>
      </w:r>
      <w:r>
        <w:rPr>
          <w:spacing w:val="-3"/>
        </w:rPr>
        <w:t>污染物排放标准》</w:t>
      </w:r>
      <w:r>
        <w:t>（</w:t>
      </w:r>
      <w:r>
        <w:rPr>
          <w:rFonts w:ascii="Times New Roman" w:eastAsia="Times New Roman"/>
        </w:rPr>
        <w:t>GB20426-2006</w:t>
      </w:r>
      <w:r>
        <w:t>）</w:t>
      </w:r>
      <w:r>
        <w:rPr>
          <w:spacing w:val="-31"/>
        </w:rPr>
        <w:t xml:space="preserve">表 </w:t>
      </w:r>
      <w:r>
        <w:rPr>
          <w:rFonts w:ascii="Times New Roman" w:eastAsia="Times New Roman"/>
        </w:rPr>
        <w:t>1</w:t>
      </w:r>
      <w:r>
        <w:rPr>
          <w:spacing w:val="-10"/>
        </w:rPr>
        <w:t>、</w:t>
      </w:r>
      <w:r>
        <w:rPr>
          <w:rFonts w:ascii="Times New Roman" w:eastAsia="Times New Roman"/>
        </w:rPr>
        <w:t xml:space="preserve">2 </w:t>
      </w:r>
      <w:r>
        <w:rPr>
          <w:spacing w:val="-3"/>
        </w:rPr>
        <w:t>标准限值的要求及《地表水环境质量标准》</w:t>
      </w:r>
    </w:p>
    <w:p>
      <w:pPr>
        <w:pStyle w:val="6"/>
        <w:spacing w:before="5" w:line="362" w:lineRule="auto"/>
        <w:ind w:left="215" w:right="399"/>
      </w:pPr>
      <w:r>
        <w:t>（</w:t>
      </w:r>
      <w:r>
        <w:rPr>
          <w:rFonts w:ascii="Times New Roman" w:hAnsi="Times New Roman" w:eastAsia="Times New Roman"/>
        </w:rPr>
        <w:t>GB3838-2002</w:t>
      </w:r>
      <w:r>
        <w:t>）中Ⅲ类标准限值，处理后矿井涌水可作为扁石河补充用水资源化利用， 该处理工艺技术可行。</w:t>
      </w:r>
    </w:p>
    <w:p>
      <w:pPr>
        <w:spacing w:after="0" w:line="362" w:lineRule="auto"/>
        <w:sectPr>
          <w:pgSz w:w="11910" w:h="16840"/>
          <w:pgMar w:top="1580" w:right="780" w:bottom="1320" w:left="1200" w:header="0" w:footer="1058" w:gutter="0"/>
        </w:sectPr>
      </w:pPr>
    </w:p>
    <w:p>
      <w:pPr>
        <w:pStyle w:val="2"/>
        <w:numPr>
          <w:ilvl w:val="0"/>
          <w:numId w:val="62"/>
        </w:numPr>
        <w:tabs>
          <w:tab w:val="left" w:pos="3473"/>
        </w:tabs>
        <w:spacing w:before="46" w:after="0" w:line="240" w:lineRule="auto"/>
        <w:ind w:left="3472" w:right="360" w:hanging="3473"/>
        <w:jc w:val="left"/>
      </w:pPr>
      <w:bookmarkStart w:id="736" w:name="8.大气环境影响分析"/>
      <w:bookmarkEnd w:id="736"/>
      <w:bookmarkStart w:id="737" w:name="_bookmark43"/>
      <w:bookmarkEnd w:id="737"/>
      <w:bookmarkStart w:id="738" w:name="_bookmark43"/>
      <w:bookmarkEnd w:id="738"/>
      <w:r>
        <w:t>大气环境影响分析</w:t>
      </w:r>
    </w:p>
    <w:p>
      <w:pPr>
        <w:pStyle w:val="3"/>
        <w:numPr>
          <w:ilvl w:val="1"/>
          <w:numId w:val="65"/>
        </w:numPr>
        <w:tabs>
          <w:tab w:val="left" w:pos="668"/>
        </w:tabs>
        <w:spacing w:before="239" w:after="0" w:line="240" w:lineRule="auto"/>
        <w:ind w:left="667" w:right="0" w:hanging="453"/>
        <w:jc w:val="left"/>
        <w:rPr>
          <w:rFonts w:ascii="Times New Roman" w:eastAsia="Times New Roman"/>
        </w:rPr>
      </w:pPr>
      <w:bookmarkStart w:id="739" w:name="_bookmark44"/>
      <w:bookmarkEnd w:id="739"/>
      <w:bookmarkStart w:id="740" w:name="_bookmark44"/>
      <w:bookmarkEnd w:id="740"/>
      <w:bookmarkStart w:id="741" w:name="8.1评价工作等级及范围"/>
      <w:bookmarkEnd w:id="741"/>
      <w:r>
        <w:t>评价工作等级及范围</w:t>
      </w:r>
    </w:p>
    <w:p>
      <w:pPr>
        <w:pStyle w:val="6"/>
        <w:spacing w:before="197" w:line="364" w:lineRule="auto"/>
        <w:ind w:left="215" w:right="458" w:firstLine="480"/>
        <w:jc w:val="both"/>
      </w:pPr>
      <w:r>
        <w:rPr>
          <w:spacing w:val="-5"/>
        </w:rPr>
        <w:t>依据《环境影响评价技术导则 大气环境》</w:t>
      </w:r>
      <w:r>
        <w:rPr>
          <w:rFonts w:ascii="Times New Roman" w:hAnsi="Times New Roman" w:eastAsia="Times New Roman"/>
        </w:rPr>
        <w:t>(HJ2.2-2018)</w:t>
      </w:r>
      <w:r>
        <w:rPr>
          <w:spacing w:val="-9"/>
        </w:rPr>
        <w:t>中“</w:t>
      </w:r>
      <w:r>
        <w:rPr>
          <w:rFonts w:ascii="Times New Roman" w:hAnsi="Times New Roman" w:eastAsia="Times New Roman"/>
        </w:rPr>
        <w:t xml:space="preserve">5.3 </w:t>
      </w:r>
      <w:r>
        <w:rPr>
          <w:spacing w:val="-5"/>
        </w:rPr>
        <w:t>评价等级判定”，选</w:t>
      </w:r>
      <w:r>
        <w:rPr>
          <w:spacing w:val="-3"/>
        </w:rPr>
        <w:t xml:space="preserve">择正常排放的主要污染物及排放参数，采用附录 </w:t>
      </w:r>
      <w:r>
        <w:rPr>
          <w:rFonts w:ascii="Times New Roman" w:hAnsi="Times New Roman" w:eastAsia="Times New Roman"/>
        </w:rPr>
        <w:t xml:space="preserve">A </w:t>
      </w:r>
      <w:r>
        <w:rPr>
          <w:spacing w:val="-8"/>
        </w:rPr>
        <w:t xml:space="preserve">推荐模型中的 </w:t>
      </w:r>
      <w:r>
        <w:rPr>
          <w:rFonts w:ascii="Times New Roman" w:hAnsi="Times New Roman" w:eastAsia="Times New Roman"/>
        </w:rPr>
        <w:t xml:space="preserve">AERSCREEN </w:t>
      </w:r>
      <w:r>
        <w:rPr>
          <w:spacing w:val="1"/>
        </w:rPr>
        <w:t>模式分</w:t>
      </w:r>
      <w:r>
        <w:rPr>
          <w:spacing w:val="-13"/>
        </w:rPr>
        <w:t xml:space="preserve">别计算项目污染源的最大环境影响，然后按评价工作分级判据进行分级。详见 </w:t>
      </w:r>
      <w:r>
        <w:rPr>
          <w:rFonts w:ascii="Times New Roman" w:hAnsi="Times New Roman" w:eastAsia="Times New Roman"/>
        </w:rPr>
        <w:t xml:space="preserve">2.4.1 </w:t>
      </w:r>
      <w:r>
        <w:rPr>
          <w:spacing w:val="-5"/>
        </w:rPr>
        <w:t>章节。</w:t>
      </w:r>
    </w:p>
    <w:p>
      <w:pPr>
        <w:pStyle w:val="6"/>
        <w:spacing w:line="364" w:lineRule="auto"/>
        <w:ind w:left="215" w:right="576" w:firstLine="480"/>
        <w:jc w:val="both"/>
      </w:pPr>
      <w:r>
        <w:t>跟据《环境影响评价技术导则 大气环境》</w:t>
      </w:r>
      <w:r>
        <w:rPr>
          <w:rFonts w:ascii="Times New Roman" w:eastAsia="Times New Roman"/>
        </w:rPr>
        <w:t>(HJ2.2-2018)</w:t>
      </w:r>
      <w:r>
        <w:t xml:space="preserve">，二级评价大气环境影响评价范围：以项目厂址为中心区域，边长 </w:t>
      </w:r>
      <w:r>
        <w:rPr>
          <w:rFonts w:ascii="Times New Roman" w:eastAsia="Times New Roman"/>
        </w:rPr>
        <w:t xml:space="preserve">5km </w:t>
      </w:r>
      <w:r>
        <w:t>的矩形区域。</w:t>
      </w:r>
    </w:p>
    <w:p>
      <w:pPr>
        <w:pStyle w:val="3"/>
        <w:numPr>
          <w:ilvl w:val="1"/>
          <w:numId w:val="65"/>
        </w:numPr>
        <w:tabs>
          <w:tab w:val="left" w:pos="668"/>
        </w:tabs>
        <w:spacing w:before="0" w:after="0" w:line="240" w:lineRule="auto"/>
        <w:ind w:left="667" w:right="0" w:hanging="453"/>
        <w:jc w:val="left"/>
        <w:rPr>
          <w:rFonts w:ascii="Times New Roman" w:eastAsia="Times New Roman"/>
        </w:rPr>
      </w:pPr>
      <w:bookmarkStart w:id="742" w:name="8.2环境空气质量现状评价"/>
      <w:bookmarkEnd w:id="742"/>
      <w:bookmarkStart w:id="743" w:name="_bookmark45"/>
      <w:bookmarkEnd w:id="743"/>
      <w:bookmarkStart w:id="744" w:name="_bookmark45"/>
      <w:bookmarkEnd w:id="744"/>
      <w:r>
        <w:t>环境空气质量现状评价</w:t>
      </w:r>
    </w:p>
    <w:p>
      <w:pPr>
        <w:pStyle w:val="6"/>
        <w:spacing w:before="197" w:line="364" w:lineRule="auto"/>
        <w:ind w:left="215" w:right="578" w:firstLine="480"/>
        <w:jc w:val="both"/>
      </w:pPr>
      <w:r>
        <w:rPr>
          <w:spacing w:val="-2"/>
        </w:rPr>
        <w:t>环境空气质量常规污染物现状数据来源于双鸭山市人民政府网公示的《</w:t>
      </w:r>
      <w:r>
        <w:rPr>
          <w:rFonts w:ascii="Times New Roman" w:eastAsia="Times New Roman"/>
        </w:rPr>
        <w:t xml:space="preserve">2019 </w:t>
      </w:r>
      <w:r>
        <w:rPr>
          <w:spacing w:val="-6"/>
        </w:rPr>
        <w:t>年双鸭</w:t>
      </w:r>
      <w:r>
        <w:rPr>
          <w:spacing w:val="-1"/>
        </w:rPr>
        <w:t>山市环境空气质量状况》，环境空气质量特征污染物委托黑龙江康和检测有限公司提供</w:t>
      </w:r>
      <w:r>
        <w:t>的现状监测数据。</w:t>
      </w:r>
    </w:p>
    <w:p>
      <w:pPr>
        <w:pStyle w:val="6"/>
        <w:spacing w:line="364" w:lineRule="auto"/>
        <w:ind w:left="215" w:right="577" w:firstLine="480"/>
        <w:jc w:val="both"/>
      </w:pPr>
      <w:r>
        <w:rPr>
          <w:spacing w:val="-5"/>
        </w:rPr>
        <w:t>根据《环境影响评价技术导则 大气环境》</w:t>
      </w:r>
      <w:r>
        <w:t>（</w:t>
      </w:r>
      <w:r>
        <w:rPr>
          <w:rFonts w:ascii="Times New Roman" w:eastAsia="Times New Roman"/>
        </w:rPr>
        <w:t>HJ2.2-2018</w:t>
      </w:r>
      <w:r>
        <w:t>）</w:t>
      </w:r>
      <w:r>
        <w:rPr>
          <w:spacing w:val="-2"/>
        </w:rPr>
        <w:t>中环境空气二级评价等级</w:t>
      </w:r>
      <w:r>
        <w:rPr>
          <w:spacing w:val="-1"/>
        </w:rPr>
        <w:t>要求和本项目生产规模、建设性质，结合本项目厂址周围地形特点、排污特征和评价范</w:t>
      </w:r>
      <w:r>
        <w:t>围内环境空气保护目标分布的情况对环境空气质量现状进行调查，并进行了补充监测。</w:t>
      </w:r>
    </w:p>
    <w:p>
      <w:pPr>
        <w:pStyle w:val="4"/>
        <w:numPr>
          <w:ilvl w:val="2"/>
          <w:numId w:val="65"/>
        </w:numPr>
        <w:tabs>
          <w:tab w:val="left" w:pos="848"/>
        </w:tabs>
        <w:spacing w:before="0" w:after="0" w:line="240" w:lineRule="auto"/>
        <w:ind w:left="847" w:right="0" w:hanging="633"/>
        <w:jc w:val="both"/>
      </w:pPr>
      <w:bookmarkStart w:id="745" w:name="8.2.1区域环境空气质量现状调查"/>
      <w:bookmarkEnd w:id="745"/>
      <w:bookmarkStart w:id="746" w:name="8.2.1区域环境空气质量现状调查"/>
      <w:bookmarkEnd w:id="746"/>
      <w:r>
        <w:t>区域环境空气质量现状调查</w:t>
      </w:r>
    </w:p>
    <w:p>
      <w:pPr>
        <w:pStyle w:val="6"/>
        <w:spacing w:before="182" w:line="362" w:lineRule="auto"/>
        <w:ind w:left="215" w:right="571" w:firstLine="480"/>
        <w:jc w:val="both"/>
      </w:pPr>
      <w:r>
        <w:rPr>
          <w:spacing w:val="-2"/>
        </w:rPr>
        <w:t>根据双鸭山市人民政府网公示的《</w:t>
      </w:r>
      <w:r>
        <w:rPr>
          <w:rFonts w:ascii="Times New Roman" w:hAnsi="Times New Roman" w:eastAsia="Times New Roman"/>
        </w:rPr>
        <w:t xml:space="preserve">2019 </w:t>
      </w:r>
      <w:r>
        <w:rPr>
          <w:spacing w:val="-3"/>
        </w:rPr>
        <w:t>年双鸭山市环境空气质量状况》所示，</w:t>
      </w:r>
      <w:r>
        <w:rPr>
          <w:rFonts w:ascii="Times New Roman" w:hAnsi="Times New Roman" w:eastAsia="Times New Roman"/>
          <w:spacing w:val="-4"/>
        </w:rPr>
        <w:t xml:space="preserve">2019 </w:t>
      </w:r>
      <w:r>
        <w:rPr>
          <w:spacing w:val="-1"/>
          <w:position w:val="2"/>
        </w:rPr>
        <w:t>年双鸭山市环境空气质量现状为：</w:t>
      </w:r>
      <w:r>
        <w:rPr>
          <w:rFonts w:ascii="Times New Roman" w:hAnsi="Times New Roman" w:eastAsia="Times New Roman"/>
          <w:spacing w:val="-7"/>
          <w:position w:val="2"/>
        </w:rPr>
        <w:t>PM</w:t>
      </w:r>
      <w:r>
        <w:rPr>
          <w:rFonts w:ascii="Times New Roman" w:hAnsi="Times New Roman" w:eastAsia="Times New Roman"/>
          <w:spacing w:val="-7"/>
          <w:position w:val="2"/>
          <w:vertAlign w:val="subscript"/>
        </w:rPr>
        <w:t>2.5</w:t>
      </w:r>
      <w:r>
        <w:rPr>
          <w:rFonts w:ascii="Times New Roman" w:hAnsi="Times New Roman" w:eastAsia="Times New Roman"/>
          <w:spacing w:val="-7"/>
          <w:position w:val="2"/>
          <w:vertAlign w:val="baseline"/>
        </w:rPr>
        <w:t xml:space="preserve"> </w:t>
      </w:r>
      <w:r>
        <w:rPr>
          <w:spacing w:val="-6"/>
          <w:position w:val="2"/>
          <w:vertAlign w:val="baseline"/>
        </w:rPr>
        <w:t xml:space="preserve">全年平均浓度值为 </w:t>
      </w:r>
      <w:r>
        <w:rPr>
          <w:rFonts w:ascii="Times New Roman" w:hAnsi="Times New Roman" w:eastAsia="Times New Roman"/>
          <w:position w:val="2"/>
          <w:vertAlign w:val="baseline"/>
        </w:rPr>
        <w:t>29μg/m</w:t>
      </w:r>
      <w:r>
        <w:rPr>
          <w:rFonts w:ascii="Times New Roman" w:hAnsi="Times New Roman" w:eastAsia="Times New Roman"/>
          <w:position w:val="2"/>
          <w:vertAlign w:val="superscript"/>
        </w:rPr>
        <w:t>3</w:t>
      </w:r>
      <w:r>
        <w:rPr>
          <w:spacing w:val="-34"/>
          <w:position w:val="2"/>
          <w:vertAlign w:val="baseline"/>
        </w:rPr>
        <w:t>、</w:t>
      </w:r>
      <w:r>
        <w:rPr>
          <w:rFonts w:ascii="Times New Roman" w:hAnsi="Times New Roman" w:eastAsia="Times New Roman"/>
          <w:position w:val="2"/>
          <w:vertAlign w:val="baseline"/>
        </w:rPr>
        <w:t>PM</w:t>
      </w:r>
      <w:r>
        <w:rPr>
          <w:rFonts w:ascii="Times New Roman" w:hAnsi="Times New Roman" w:eastAsia="Times New Roman"/>
          <w:position w:val="2"/>
          <w:vertAlign w:val="subscript"/>
        </w:rPr>
        <w:t>10</w:t>
      </w:r>
      <w:r>
        <w:rPr>
          <w:rFonts w:ascii="Times New Roman" w:hAnsi="Times New Roman" w:eastAsia="Times New Roman"/>
          <w:position w:val="2"/>
          <w:vertAlign w:val="baseline"/>
        </w:rPr>
        <w:t xml:space="preserve"> </w:t>
      </w:r>
      <w:r>
        <w:rPr>
          <w:spacing w:val="-4"/>
          <w:position w:val="2"/>
          <w:vertAlign w:val="baseline"/>
        </w:rPr>
        <w:t>全年平均浓度</w:t>
      </w:r>
      <w:r>
        <w:rPr>
          <w:spacing w:val="-17"/>
          <w:position w:val="2"/>
          <w:vertAlign w:val="baseline"/>
        </w:rPr>
        <w:t xml:space="preserve">值为 </w:t>
      </w:r>
      <w:r>
        <w:rPr>
          <w:rFonts w:ascii="Times New Roman" w:hAnsi="Times New Roman" w:eastAsia="Times New Roman"/>
          <w:position w:val="2"/>
          <w:vertAlign w:val="baseline"/>
        </w:rPr>
        <w:t>50μg/m</w:t>
      </w:r>
      <w:r>
        <w:rPr>
          <w:rFonts w:ascii="Times New Roman" w:hAnsi="Times New Roman" w:eastAsia="Times New Roman"/>
          <w:position w:val="2"/>
          <w:vertAlign w:val="superscript"/>
        </w:rPr>
        <w:t>3</w:t>
      </w:r>
      <w:r>
        <w:rPr>
          <w:position w:val="2"/>
          <w:vertAlign w:val="baseline"/>
        </w:rPr>
        <w:t>、</w:t>
      </w:r>
      <w:r>
        <w:rPr>
          <w:rFonts w:ascii="Times New Roman" w:hAnsi="Times New Roman" w:eastAsia="Times New Roman"/>
          <w:position w:val="2"/>
          <w:vertAlign w:val="baseline"/>
        </w:rPr>
        <w:t>SO</w:t>
      </w:r>
      <w:r>
        <w:rPr>
          <w:rFonts w:ascii="Times New Roman" w:hAnsi="Times New Roman" w:eastAsia="Times New Roman"/>
          <w:position w:val="2"/>
          <w:vertAlign w:val="subscript"/>
        </w:rPr>
        <w:t>2</w:t>
      </w:r>
      <w:r>
        <w:rPr>
          <w:rFonts w:ascii="Times New Roman" w:hAnsi="Times New Roman" w:eastAsia="Times New Roman"/>
          <w:position w:val="2"/>
          <w:vertAlign w:val="baseline"/>
        </w:rPr>
        <w:t xml:space="preserve"> </w:t>
      </w:r>
      <w:r>
        <w:rPr>
          <w:spacing w:val="-6"/>
          <w:position w:val="2"/>
          <w:vertAlign w:val="baseline"/>
        </w:rPr>
        <w:t xml:space="preserve">全年平均浓度值为 </w:t>
      </w:r>
      <w:r>
        <w:rPr>
          <w:rFonts w:ascii="Times New Roman" w:hAnsi="Times New Roman" w:eastAsia="Times New Roman"/>
          <w:position w:val="2"/>
          <w:vertAlign w:val="baseline"/>
        </w:rPr>
        <w:t>8μg/m</w:t>
      </w:r>
      <w:r>
        <w:rPr>
          <w:rFonts w:ascii="Times New Roman" w:hAnsi="Times New Roman" w:eastAsia="Times New Roman"/>
          <w:position w:val="2"/>
          <w:vertAlign w:val="superscript"/>
        </w:rPr>
        <w:t>3</w:t>
      </w:r>
      <w:r>
        <w:rPr>
          <w:position w:val="2"/>
          <w:vertAlign w:val="baseline"/>
        </w:rPr>
        <w:t>、</w:t>
      </w:r>
      <w:r>
        <w:rPr>
          <w:rFonts w:ascii="Times New Roman" w:hAnsi="Times New Roman" w:eastAsia="Times New Roman"/>
          <w:position w:val="2"/>
          <w:vertAlign w:val="baseline"/>
        </w:rPr>
        <w:t>NO</w:t>
      </w:r>
      <w:r>
        <w:rPr>
          <w:rFonts w:ascii="Times New Roman" w:hAnsi="Times New Roman" w:eastAsia="Times New Roman"/>
          <w:position w:val="2"/>
          <w:vertAlign w:val="subscript"/>
        </w:rPr>
        <w:t>2</w:t>
      </w:r>
      <w:r>
        <w:rPr>
          <w:rFonts w:ascii="Times New Roman" w:hAnsi="Times New Roman" w:eastAsia="Times New Roman"/>
          <w:position w:val="2"/>
          <w:vertAlign w:val="baseline"/>
        </w:rPr>
        <w:t xml:space="preserve"> </w:t>
      </w:r>
      <w:r>
        <w:rPr>
          <w:spacing w:val="-6"/>
          <w:position w:val="2"/>
          <w:vertAlign w:val="baseline"/>
        </w:rPr>
        <w:t xml:space="preserve">全年平均浓度值为 </w:t>
      </w:r>
      <w:r>
        <w:rPr>
          <w:rFonts w:ascii="Times New Roman" w:hAnsi="Times New Roman" w:eastAsia="Times New Roman"/>
          <w:position w:val="2"/>
          <w:vertAlign w:val="baseline"/>
        </w:rPr>
        <w:t>15μg/m</w:t>
      </w:r>
      <w:r>
        <w:rPr>
          <w:rFonts w:ascii="Times New Roman" w:hAnsi="Times New Roman" w:eastAsia="Times New Roman"/>
          <w:position w:val="2"/>
          <w:vertAlign w:val="superscript"/>
        </w:rPr>
        <w:t>3</w:t>
      </w:r>
      <w:r>
        <w:rPr>
          <w:position w:val="2"/>
          <w:vertAlign w:val="baseline"/>
        </w:rPr>
        <w:t>、</w:t>
      </w:r>
      <w:r>
        <w:rPr>
          <w:rFonts w:ascii="Times New Roman" w:hAnsi="Times New Roman" w:eastAsia="Times New Roman"/>
          <w:position w:val="2"/>
          <w:vertAlign w:val="baseline"/>
        </w:rPr>
        <w:t xml:space="preserve">CO </w:t>
      </w:r>
      <w:r>
        <w:rPr>
          <w:spacing w:val="-14"/>
          <w:position w:val="2"/>
          <w:vertAlign w:val="baseline"/>
        </w:rPr>
        <w:t>全</w:t>
      </w:r>
      <w:r>
        <w:rPr>
          <w:spacing w:val="-8"/>
          <w:position w:val="2"/>
          <w:vertAlign w:val="baseline"/>
        </w:rPr>
        <w:t xml:space="preserve">年平均浓度值为 </w:t>
      </w:r>
      <w:r>
        <w:rPr>
          <w:rFonts w:ascii="Times New Roman" w:hAnsi="Times New Roman" w:eastAsia="Times New Roman"/>
          <w:position w:val="2"/>
          <w:vertAlign w:val="baseline"/>
        </w:rPr>
        <w:t>0.7mg/m</w:t>
      </w:r>
      <w:r>
        <w:rPr>
          <w:rFonts w:ascii="Times New Roman" w:hAnsi="Times New Roman" w:eastAsia="Times New Roman"/>
          <w:position w:val="2"/>
          <w:vertAlign w:val="superscript"/>
        </w:rPr>
        <w:t>3</w:t>
      </w:r>
      <w:r>
        <w:rPr>
          <w:spacing w:val="-9"/>
          <w:position w:val="2"/>
          <w:vertAlign w:val="baseline"/>
        </w:rPr>
        <w:t xml:space="preserve">，平均浓度第 </w:t>
      </w:r>
      <w:r>
        <w:rPr>
          <w:rFonts w:ascii="Times New Roman" w:hAnsi="Times New Roman" w:eastAsia="Times New Roman"/>
          <w:position w:val="2"/>
          <w:vertAlign w:val="baseline"/>
        </w:rPr>
        <w:t xml:space="preserve">95 </w:t>
      </w:r>
      <w:r>
        <w:rPr>
          <w:spacing w:val="-10"/>
          <w:position w:val="2"/>
          <w:vertAlign w:val="baseline"/>
        </w:rPr>
        <w:t xml:space="preserve">百分位数为 </w:t>
      </w:r>
      <w:r>
        <w:rPr>
          <w:rFonts w:ascii="Times New Roman" w:hAnsi="Times New Roman" w:eastAsia="Times New Roman"/>
          <w:position w:val="2"/>
          <w:vertAlign w:val="baseline"/>
        </w:rPr>
        <w:t>1.4mg/m</w:t>
      </w:r>
      <w:r>
        <w:rPr>
          <w:rFonts w:ascii="Times New Roman" w:hAnsi="Times New Roman" w:eastAsia="Times New Roman"/>
          <w:position w:val="2"/>
          <w:vertAlign w:val="superscript"/>
        </w:rPr>
        <w:t>3</w:t>
      </w:r>
      <w:r>
        <w:rPr>
          <w:spacing w:val="-10"/>
          <w:position w:val="2"/>
          <w:vertAlign w:val="baseline"/>
        </w:rPr>
        <w:t>、</w:t>
      </w:r>
      <w:r>
        <w:rPr>
          <w:rFonts w:ascii="Times New Roman" w:hAnsi="Times New Roman" w:eastAsia="Times New Roman"/>
          <w:position w:val="2"/>
          <w:vertAlign w:val="baseline"/>
        </w:rPr>
        <w:t>O</w:t>
      </w:r>
      <w:r>
        <w:rPr>
          <w:rFonts w:ascii="Times New Roman" w:hAnsi="Times New Roman" w:eastAsia="Times New Roman"/>
          <w:position w:val="2"/>
          <w:vertAlign w:val="subscript"/>
        </w:rPr>
        <w:t>3</w:t>
      </w:r>
      <w:r>
        <w:rPr>
          <w:rFonts w:ascii="Times New Roman" w:hAnsi="Times New Roman" w:eastAsia="Times New Roman"/>
          <w:position w:val="2"/>
          <w:vertAlign w:val="baseline"/>
        </w:rPr>
        <w:t xml:space="preserve">8h </w:t>
      </w:r>
      <w:r>
        <w:rPr>
          <w:spacing w:val="-3"/>
          <w:position w:val="2"/>
          <w:vertAlign w:val="baseline"/>
        </w:rPr>
        <w:t>全年平均浓度值</w:t>
      </w:r>
      <w:r>
        <w:rPr>
          <w:spacing w:val="-29"/>
          <w:vertAlign w:val="baseline"/>
        </w:rPr>
        <w:t xml:space="preserve">为 </w:t>
      </w:r>
      <w:r>
        <w:rPr>
          <w:rFonts w:ascii="Times New Roman" w:hAnsi="Times New Roman" w:eastAsia="Times New Roman"/>
          <w:vertAlign w:val="baseline"/>
        </w:rPr>
        <w:t>69μg/m</w:t>
      </w:r>
      <w:r>
        <w:rPr>
          <w:rFonts w:ascii="Times New Roman" w:hAnsi="Times New Roman" w:eastAsia="Times New Roman"/>
          <w:position w:val="8"/>
          <w:sz w:val="15"/>
          <w:vertAlign w:val="baseline"/>
        </w:rPr>
        <w:t>3</w:t>
      </w:r>
      <w:r>
        <w:rPr>
          <w:spacing w:val="-8"/>
          <w:vertAlign w:val="baseline"/>
        </w:rPr>
        <w:t xml:space="preserve">、平均浓度第 </w:t>
      </w:r>
      <w:r>
        <w:rPr>
          <w:rFonts w:ascii="Times New Roman" w:hAnsi="Times New Roman" w:eastAsia="Times New Roman"/>
          <w:vertAlign w:val="baseline"/>
        </w:rPr>
        <w:t xml:space="preserve">90 </w:t>
      </w:r>
      <w:r>
        <w:rPr>
          <w:spacing w:val="-10"/>
          <w:vertAlign w:val="baseline"/>
        </w:rPr>
        <w:t xml:space="preserve">百分位数为 </w:t>
      </w:r>
      <w:r>
        <w:rPr>
          <w:rFonts w:ascii="Times New Roman" w:hAnsi="Times New Roman" w:eastAsia="Times New Roman"/>
          <w:vertAlign w:val="baseline"/>
        </w:rPr>
        <w:t>102</w:t>
      </w:r>
      <w:r>
        <w:rPr>
          <w:vertAlign w:val="baseline"/>
        </w:rPr>
        <w:t>μ</w:t>
      </w:r>
      <w:r>
        <w:rPr>
          <w:rFonts w:ascii="Times New Roman" w:hAnsi="Times New Roman" w:eastAsia="Times New Roman"/>
          <w:vertAlign w:val="baseline"/>
        </w:rPr>
        <w:t>g/m3</w:t>
      </w:r>
      <w:r>
        <w:rPr>
          <w:vertAlign w:val="baseline"/>
        </w:rPr>
        <w:t>，总体评价达标，本项目区域空气质量现状评价见下表。</w:t>
      </w:r>
    </w:p>
    <w:p>
      <w:pPr>
        <w:spacing w:before="3" w:after="3"/>
        <w:ind w:left="106" w:right="41" w:firstLine="0"/>
        <w:jc w:val="center"/>
        <w:rPr>
          <w:b/>
          <w:sz w:val="21"/>
        </w:rPr>
      </w:pPr>
      <w:r>
        <w:rPr>
          <w:b/>
          <w:sz w:val="21"/>
        </w:rPr>
        <w:t xml:space="preserve">表 </w:t>
      </w:r>
      <w:r>
        <w:rPr>
          <w:rFonts w:ascii="Times New Roman" w:eastAsia="Times New Roman"/>
          <w:b/>
          <w:sz w:val="21"/>
        </w:rPr>
        <w:t xml:space="preserve">8.2-1  </w:t>
      </w:r>
      <w:r>
        <w:rPr>
          <w:b/>
          <w:sz w:val="21"/>
        </w:rPr>
        <w:t>区域空气质量现状评价表</w:t>
      </w: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8"/>
        <w:gridCol w:w="3015"/>
        <w:gridCol w:w="1399"/>
        <w:gridCol w:w="1621"/>
        <w:gridCol w:w="991"/>
        <w:gridCol w:w="8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968" w:type="dxa"/>
          </w:tcPr>
          <w:p>
            <w:pPr>
              <w:pStyle w:val="14"/>
              <w:spacing w:before="136"/>
              <w:ind w:left="148" w:right="139"/>
              <w:rPr>
                <w:sz w:val="21"/>
              </w:rPr>
            </w:pPr>
            <w:r>
              <w:rPr>
                <w:sz w:val="21"/>
              </w:rPr>
              <w:t>污染物</w:t>
            </w:r>
          </w:p>
        </w:tc>
        <w:tc>
          <w:tcPr>
            <w:tcW w:w="3015" w:type="dxa"/>
          </w:tcPr>
          <w:p>
            <w:pPr>
              <w:pStyle w:val="14"/>
              <w:spacing w:before="136"/>
              <w:ind w:left="37" w:right="30"/>
              <w:rPr>
                <w:sz w:val="21"/>
              </w:rPr>
            </w:pPr>
            <w:r>
              <w:rPr>
                <w:sz w:val="21"/>
              </w:rPr>
              <w:t>年评价指标</w:t>
            </w:r>
          </w:p>
        </w:tc>
        <w:tc>
          <w:tcPr>
            <w:tcW w:w="1399" w:type="dxa"/>
          </w:tcPr>
          <w:p>
            <w:pPr>
              <w:pStyle w:val="14"/>
              <w:spacing w:before="2"/>
              <w:ind w:left="249"/>
              <w:jc w:val="left"/>
              <w:rPr>
                <w:rFonts w:ascii="Times New Roman" w:eastAsia="Times New Roman"/>
                <w:sz w:val="21"/>
              </w:rPr>
            </w:pPr>
            <w:r>
              <w:rPr>
                <w:w w:val="95"/>
                <w:sz w:val="21"/>
              </w:rPr>
              <w:t>现状浓度</w:t>
            </w:r>
            <w:r>
              <w:rPr>
                <w:rFonts w:ascii="Times New Roman" w:eastAsia="Times New Roman"/>
                <w:w w:val="95"/>
                <w:sz w:val="21"/>
              </w:rPr>
              <w:t>/</w:t>
            </w:r>
          </w:p>
          <w:p>
            <w:pPr>
              <w:pStyle w:val="14"/>
              <w:spacing w:before="2" w:line="252" w:lineRule="exact"/>
              <w:ind w:left="234"/>
              <w:jc w:val="left"/>
              <w:rPr>
                <w:sz w:val="21"/>
              </w:rPr>
            </w:pPr>
            <w:r>
              <w:rPr>
                <w:sz w:val="21"/>
              </w:rPr>
              <w:t>（</w:t>
            </w:r>
            <w:r>
              <w:rPr>
                <w:rFonts w:ascii="Times New Roman" w:hAnsi="Times New Roman" w:eastAsia="Times New Roman"/>
                <w:sz w:val="21"/>
              </w:rPr>
              <w:t>μg/m</w:t>
            </w:r>
            <w:r>
              <w:rPr>
                <w:rFonts w:ascii="Times New Roman" w:hAnsi="Times New Roman" w:eastAsia="Times New Roman"/>
                <w:position w:val="7"/>
                <w:sz w:val="13"/>
              </w:rPr>
              <w:t>3</w:t>
            </w:r>
            <w:r>
              <w:rPr>
                <w:sz w:val="21"/>
              </w:rPr>
              <w:t>）</w:t>
            </w:r>
          </w:p>
        </w:tc>
        <w:tc>
          <w:tcPr>
            <w:tcW w:w="1621" w:type="dxa"/>
          </w:tcPr>
          <w:p>
            <w:pPr>
              <w:pStyle w:val="14"/>
              <w:spacing w:before="2"/>
              <w:ind w:left="326" w:right="317"/>
              <w:rPr>
                <w:rFonts w:ascii="Times New Roman" w:eastAsia="Times New Roman"/>
                <w:sz w:val="21"/>
              </w:rPr>
            </w:pPr>
            <w:r>
              <w:rPr>
                <w:sz w:val="21"/>
              </w:rPr>
              <w:t>标准值</w:t>
            </w:r>
            <w:r>
              <w:rPr>
                <w:rFonts w:ascii="Times New Roman" w:eastAsia="Times New Roman"/>
                <w:sz w:val="21"/>
              </w:rPr>
              <w:t>/</w:t>
            </w:r>
          </w:p>
          <w:p>
            <w:pPr>
              <w:pStyle w:val="14"/>
              <w:spacing w:before="2" w:line="252" w:lineRule="exact"/>
              <w:ind w:left="326" w:right="320"/>
              <w:rPr>
                <w:sz w:val="21"/>
              </w:rPr>
            </w:pPr>
            <w:r>
              <w:rPr>
                <w:sz w:val="21"/>
              </w:rPr>
              <w:t>（</w:t>
            </w:r>
            <w:r>
              <w:rPr>
                <w:rFonts w:ascii="Times New Roman" w:hAnsi="Times New Roman" w:eastAsia="Times New Roman"/>
                <w:sz w:val="21"/>
              </w:rPr>
              <w:t>μg/m</w:t>
            </w:r>
            <w:r>
              <w:rPr>
                <w:rFonts w:ascii="Times New Roman" w:hAnsi="Times New Roman" w:eastAsia="Times New Roman"/>
                <w:position w:val="7"/>
                <w:sz w:val="13"/>
              </w:rPr>
              <w:t>3</w:t>
            </w:r>
            <w:r>
              <w:rPr>
                <w:sz w:val="21"/>
              </w:rPr>
              <w:t>）</w:t>
            </w:r>
          </w:p>
        </w:tc>
        <w:tc>
          <w:tcPr>
            <w:tcW w:w="991" w:type="dxa"/>
          </w:tcPr>
          <w:p>
            <w:pPr>
              <w:pStyle w:val="14"/>
              <w:spacing w:before="16"/>
              <w:ind w:left="158" w:right="153"/>
              <w:rPr>
                <w:sz w:val="21"/>
              </w:rPr>
            </w:pPr>
            <w:r>
              <w:rPr>
                <w:sz w:val="21"/>
              </w:rPr>
              <w:t>占标率</w:t>
            </w:r>
          </w:p>
          <w:p>
            <w:pPr>
              <w:pStyle w:val="14"/>
              <w:spacing w:before="2" w:line="238" w:lineRule="exact"/>
              <w:ind w:left="158" w:right="151"/>
              <w:rPr>
                <w:rFonts w:ascii="Times New Roman"/>
                <w:sz w:val="21"/>
              </w:rPr>
            </w:pPr>
            <w:r>
              <w:rPr>
                <w:rFonts w:ascii="Times New Roman"/>
                <w:sz w:val="21"/>
              </w:rPr>
              <w:t>/%</w:t>
            </w:r>
          </w:p>
        </w:tc>
        <w:tc>
          <w:tcPr>
            <w:tcW w:w="861" w:type="dxa"/>
          </w:tcPr>
          <w:p>
            <w:pPr>
              <w:pStyle w:val="14"/>
              <w:spacing w:before="1" w:line="270" w:lineRule="atLeast"/>
              <w:ind w:left="325" w:right="105" w:hanging="212"/>
              <w:jc w:val="left"/>
              <w:rPr>
                <w:sz w:val="21"/>
              </w:rPr>
            </w:pPr>
            <w:r>
              <w:rPr>
                <w:sz w:val="21"/>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968" w:type="dxa"/>
          </w:tcPr>
          <w:p>
            <w:pPr>
              <w:pStyle w:val="14"/>
              <w:spacing w:before="12" w:line="240" w:lineRule="exact"/>
              <w:ind w:left="148" w:right="138"/>
              <w:rPr>
                <w:rFonts w:ascii="Times New Roman"/>
                <w:sz w:val="21"/>
              </w:rPr>
            </w:pPr>
            <w:r>
              <w:rPr>
                <w:rFonts w:ascii="Times New Roman"/>
                <w:position w:val="2"/>
                <w:sz w:val="21"/>
              </w:rPr>
              <w:t>SO</w:t>
            </w:r>
            <w:r>
              <w:rPr>
                <w:rFonts w:ascii="Times New Roman"/>
                <w:position w:val="2"/>
                <w:sz w:val="21"/>
                <w:vertAlign w:val="subscript"/>
              </w:rPr>
              <w:t>2</w:t>
            </w:r>
          </w:p>
        </w:tc>
        <w:tc>
          <w:tcPr>
            <w:tcW w:w="3015" w:type="dxa"/>
          </w:tcPr>
          <w:p>
            <w:pPr>
              <w:pStyle w:val="14"/>
              <w:spacing w:before="1" w:line="250" w:lineRule="exact"/>
              <w:ind w:left="37" w:right="32"/>
              <w:rPr>
                <w:sz w:val="21"/>
              </w:rPr>
            </w:pPr>
            <w:r>
              <w:rPr>
                <w:sz w:val="21"/>
              </w:rPr>
              <w:t>年平均质量浓度</w:t>
            </w:r>
          </w:p>
        </w:tc>
        <w:tc>
          <w:tcPr>
            <w:tcW w:w="1399" w:type="dxa"/>
          </w:tcPr>
          <w:p>
            <w:pPr>
              <w:pStyle w:val="14"/>
              <w:spacing w:before="15" w:line="236" w:lineRule="exact"/>
              <w:ind w:left="11"/>
              <w:rPr>
                <w:rFonts w:ascii="Times New Roman"/>
                <w:sz w:val="21"/>
              </w:rPr>
            </w:pPr>
            <w:r>
              <w:rPr>
                <w:rFonts w:ascii="Times New Roman"/>
                <w:w w:val="99"/>
                <w:sz w:val="21"/>
              </w:rPr>
              <w:t>8</w:t>
            </w:r>
          </w:p>
        </w:tc>
        <w:tc>
          <w:tcPr>
            <w:tcW w:w="1621" w:type="dxa"/>
          </w:tcPr>
          <w:p>
            <w:pPr>
              <w:pStyle w:val="14"/>
              <w:spacing w:before="15" w:line="236" w:lineRule="exact"/>
              <w:ind w:left="326" w:right="316"/>
              <w:rPr>
                <w:rFonts w:ascii="Times New Roman"/>
                <w:sz w:val="21"/>
              </w:rPr>
            </w:pPr>
            <w:r>
              <w:rPr>
                <w:rFonts w:ascii="Times New Roman"/>
                <w:sz w:val="21"/>
              </w:rPr>
              <w:t>60</w:t>
            </w:r>
          </w:p>
        </w:tc>
        <w:tc>
          <w:tcPr>
            <w:tcW w:w="991" w:type="dxa"/>
          </w:tcPr>
          <w:p>
            <w:pPr>
              <w:pStyle w:val="14"/>
              <w:spacing w:before="15" w:line="236" w:lineRule="exact"/>
              <w:ind w:left="158" w:right="149"/>
              <w:rPr>
                <w:rFonts w:ascii="Times New Roman"/>
                <w:sz w:val="21"/>
              </w:rPr>
            </w:pPr>
            <w:r>
              <w:rPr>
                <w:rFonts w:ascii="Times New Roman"/>
                <w:sz w:val="21"/>
              </w:rPr>
              <w:t>13.33</w:t>
            </w:r>
          </w:p>
        </w:tc>
        <w:tc>
          <w:tcPr>
            <w:tcW w:w="861" w:type="dxa"/>
          </w:tcPr>
          <w:p>
            <w:pPr>
              <w:pStyle w:val="14"/>
              <w:spacing w:before="1" w:line="250" w:lineRule="exact"/>
              <w:ind w:left="198" w:right="192"/>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968" w:type="dxa"/>
          </w:tcPr>
          <w:p>
            <w:pPr>
              <w:pStyle w:val="14"/>
              <w:spacing w:before="11" w:line="242" w:lineRule="exact"/>
              <w:ind w:left="148" w:right="138"/>
              <w:rPr>
                <w:rFonts w:ascii="Times New Roman"/>
                <w:sz w:val="21"/>
              </w:rPr>
            </w:pPr>
            <w:r>
              <w:rPr>
                <w:rFonts w:ascii="Times New Roman"/>
                <w:position w:val="2"/>
                <w:sz w:val="21"/>
              </w:rPr>
              <w:t>NO</w:t>
            </w:r>
            <w:r>
              <w:rPr>
                <w:rFonts w:ascii="Times New Roman"/>
                <w:position w:val="2"/>
                <w:sz w:val="21"/>
                <w:vertAlign w:val="subscript"/>
              </w:rPr>
              <w:t>2</w:t>
            </w:r>
          </w:p>
        </w:tc>
        <w:tc>
          <w:tcPr>
            <w:tcW w:w="3015" w:type="dxa"/>
          </w:tcPr>
          <w:p>
            <w:pPr>
              <w:pStyle w:val="14"/>
              <w:spacing w:line="253" w:lineRule="exact"/>
              <w:ind w:left="37" w:right="32"/>
              <w:rPr>
                <w:sz w:val="21"/>
              </w:rPr>
            </w:pPr>
            <w:r>
              <w:rPr>
                <w:sz w:val="21"/>
              </w:rPr>
              <w:t>年平均质量浓度</w:t>
            </w:r>
          </w:p>
        </w:tc>
        <w:tc>
          <w:tcPr>
            <w:tcW w:w="1399" w:type="dxa"/>
          </w:tcPr>
          <w:p>
            <w:pPr>
              <w:pStyle w:val="14"/>
              <w:spacing w:before="14" w:line="239" w:lineRule="exact"/>
              <w:ind w:left="466" w:right="460"/>
              <w:rPr>
                <w:rFonts w:ascii="Times New Roman"/>
                <w:sz w:val="21"/>
              </w:rPr>
            </w:pPr>
            <w:r>
              <w:rPr>
                <w:rFonts w:ascii="Times New Roman"/>
                <w:sz w:val="21"/>
              </w:rPr>
              <w:t>15</w:t>
            </w:r>
          </w:p>
        </w:tc>
        <w:tc>
          <w:tcPr>
            <w:tcW w:w="1621" w:type="dxa"/>
          </w:tcPr>
          <w:p>
            <w:pPr>
              <w:pStyle w:val="14"/>
              <w:spacing w:before="14" w:line="239" w:lineRule="exact"/>
              <w:ind w:left="326" w:right="316"/>
              <w:rPr>
                <w:rFonts w:ascii="Times New Roman"/>
                <w:sz w:val="21"/>
              </w:rPr>
            </w:pPr>
            <w:r>
              <w:rPr>
                <w:rFonts w:ascii="Times New Roman"/>
                <w:sz w:val="21"/>
              </w:rPr>
              <w:t>40</w:t>
            </w:r>
          </w:p>
        </w:tc>
        <w:tc>
          <w:tcPr>
            <w:tcW w:w="991" w:type="dxa"/>
          </w:tcPr>
          <w:p>
            <w:pPr>
              <w:pStyle w:val="14"/>
              <w:spacing w:before="14" w:line="239" w:lineRule="exact"/>
              <w:ind w:left="158" w:right="149"/>
              <w:rPr>
                <w:rFonts w:ascii="Times New Roman"/>
                <w:sz w:val="21"/>
              </w:rPr>
            </w:pPr>
            <w:r>
              <w:rPr>
                <w:rFonts w:ascii="Times New Roman"/>
                <w:sz w:val="21"/>
              </w:rPr>
              <w:t>37.5</w:t>
            </w:r>
          </w:p>
        </w:tc>
        <w:tc>
          <w:tcPr>
            <w:tcW w:w="861" w:type="dxa"/>
          </w:tcPr>
          <w:p>
            <w:pPr>
              <w:pStyle w:val="14"/>
              <w:spacing w:line="253" w:lineRule="exact"/>
              <w:ind w:left="198" w:right="192"/>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968" w:type="dxa"/>
          </w:tcPr>
          <w:p>
            <w:pPr>
              <w:pStyle w:val="14"/>
              <w:spacing w:before="11" w:line="241" w:lineRule="exact"/>
              <w:ind w:left="148" w:right="136"/>
              <w:rPr>
                <w:rFonts w:ascii="Times New Roman"/>
                <w:sz w:val="21"/>
              </w:rPr>
            </w:pPr>
            <w:r>
              <w:rPr>
                <w:rFonts w:ascii="Times New Roman"/>
                <w:position w:val="2"/>
                <w:sz w:val="21"/>
              </w:rPr>
              <w:t>PM</w:t>
            </w:r>
            <w:r>
              <w:rPr>
                <w:rFonts w:ascii="Times New Roman"/>
                <w:position w:val="2"/>
                <w:sz w:val="21"/>
                <w:vertAlign w:val="subscript"/>
              </w:rPr>
              <w:t>10</w:t>
            </w:r>
          </w:p>
        </w:tc>
        <w:tc>
          <w:tcPr>
            <w:tcW w:w="3015" w:type="dxa"/>
          </w:tcPr>
          <w:p>
            <w:pPr>
              <w:pStyle w:val="14"/>
              <w:spacing w:line="251" w:lineRule="exact"/>
              <w:ind w:left="37" w:right="32"/>
              <w:rPr>
                <w:sz w:val="21"/>
              </w:rPr>
            </w:pPr>
            <w:r>
              <w:rPr>
                <w:sz w:val="21"/>
              </w:rPr>
              <w:t>年平均质量浓度</w:t>
            </w:r>
          </w:p>
        </w:tc>
        <w:tc>
          <w:tcPr>
            <w:tcW w:w="1399" w:type="dxa"/>
          </w:tcPr>
          <w:p>
            <w:pPr>
              <w:pStyle w:val="14"/>
              <w:spacing w:before="14" w:line="237" w:lineRule="exact"/>
              <w:ind w:left="466" w:right="460"/>
              <w:rPr>
                <w:rFonts w:ascii="Times New Roman"/>
                <w:sz w:val="21"/>
              </w:rPr>
            </w:pPr>
            <w:r>
              <w:rPr>
                <w:rFonts w:ascii="Times New Roman"/>
                <w:sz w:val="21"/>
              </w:rPr>
              <w:t>50</w:t>
            </w:r>
          </w:p>
        </w:tc>
        <w:tc>
          <w:tcPr>
            <w:tcW w:w="1621" w:type="dxa"/>
          </w:tcPr>
          <w:p>
            <w:pPr>
              <w:pStyle w:val="14"/>
              <w:spacing w:before="14" w:line="237" w:lineRule="exact"/>
              <w:ind w:left="326" w:right="316"/>
              <w:rPr>
                <w:rFonts w:ascii="Times New Roman"/>
                <w:sz w:val="21"/>
              </w:rPr>
            </w:pPr>
            <w:r>
              <w:rPr>
                <w:rFonts w:ascii="Times New Roman"/>
                <w:sz w:val="21"/>
              </w:rPr>
              <w:t>70</w:t>
            </w:r>
          </w:p>
        </w:tc>
        <w:tc>
          <w:tcPr>
            <w:tcW w:w="991" w:type="dxa"/>
          </w:tcPr>
          <w:p>
            <w:pPr>
              <w:pStyle w:val="14"/>
              <w:spacing w:before="14" w:line="237" w:lineRule="exact"/>
              <w:ind w:left="158" w:right="149"/>
              <w:rPr>
                <w:rFonts w:ascii="Times New Roman"/>
                <w:sz w:val="21"/>
              </w:rPr>
            </w:pPr>
            <w:r>
              <w:rPr>
                <w:rFonts w:ascii="Times New Roman"/>
                <w:sz w:val="21"/>
              </w:rPr>
              <w:t>71.43</w:t>
            </w:r>
          </w:p>
        </w:tc>
        <w:tc>
          <w:tcPr>
            <w:tcW w:w="861" w:type="dxa"/>
          </w:tcPr>
          <w:p>
            <w:pPr>
              <w:pStyle w:val="14"/>
              <w:spacing w:line="251" w:lineRule="exact"/>
              <w:ind w:left="198" w:right="192"/>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968" w:type="dxa"/>
          </w:tcPr>
          <w:p>
            <w:pPr>
              <w:pStyle w:val="14"/>
              <w:spacing w:before="12" w:line="239" w:lineRule="exact"/>
              <w:ind w:left="148" w:right="136"/>
              <w:rPr>
                <w:rFonts w:ascii="Times New Roman"/>
                <w:sz w:val="13"/>
              </w:rPr>
            </w:pPr>
            <w:r>
              <w:rPr>
                <w:rFonts w:ascii="Times New Roman"/>
                <w:w w:val="105"/>
                <w:position w:val="2"/>
                <w:sz w:val="21"/>
              </w:rPr>
              <w:t>PM</w:t>
            </w:r>
            <w:r>
              <w:rPr>
                <w:rFonts w:ascii="Times New Roman"/>
                <w:w w:val="105"/>
                <w:sz w:val="13"/>
              </w:rPr>
              <w:t>2.5</w:t>
            </w:r>
          </w:p>
        </w:tc>
        <w:tc>
          <w:tcPr>
            <w:tcW w:w="3015" w:type="dxa"/>
          </w:tcPr>
          <w:p>
            <w:pPr>
              <w:pStyle w:val="14"/>
              <w:spacing w:before="1" w:line="250" w:lineRule="exact"/>
              <w:ind w:left="37" w:right="32"/>
              <w:rPr>
                <w:sz w:val="21"/>
              </w:rPr>
            </w:pPr>
            <w:r>
              <w:rPr>
                <w:sz w:val="21"/>
              </w:rPr>
              <w:t>年平均质量浓度</w:t>
            </w:r>
          </w:p>
        </w:tc>
        <w:tc>
          <w:tcPr>
            <w:tcW w:w="1399" w:type="dxa"/>
          </w:tcPr>
          <w:p>
            <w:pPr>
              <w:pStyle w:val="14"/>
              <w:spacing w:before="15" w:line="236" w:lineRule="exact"/>
              <w:ind w:left="466" w:right="460"/>
              <w:rPr>
                <w:rFonts w:ascii="Times New Roman"/>
                <w:sz w:val="21"/>
              </w:rPr>
            </w:pPr>
            <w:r>
              <w:rPr>
                <w:rFonts w:ascii="Times New Roman"/>
                <w:sz w:val="21"/>
              </w:rPr>
              <w:t>29</w:t>
            </w:r>
          </w:p>
        </w:tc>
        <w:tc>
          <w:tcPr>
            <w:tcW w:w="1621" w:type="dxa"/>
          </w:tcPr>
          <w:p>
            <w:pPr>
              <w:pStyle w:val="14"/>
              <w:spacing w:before="15" w:line="236" w:lineRule="exact"/>
              <w:ind w:left="326" w:right="316"/>
              <w:rPr>
                <w:rFonts w:ascii="Times New Roman"/>
                <w:sz w:val="21"/>
              </w:rPr>
            </w:pPr>
            <w:r>
              <w:rPr>
                <w:rFonts w:ascii="Times New Roman"/>
                <w:sz w:val="21"/>
              </w:rPr>
              <w:t>35</w:t>
            </w:r>
          </w:p>
        </w:tc>
        <w:tc>
          <w:tcPr>
            <w:tcW w:w="991" w:type="dxa"/>
          </w:tcPr>
          <w:p>
            <w:pPr>
              <w:pStyle w:val="14"/>
              <w:spacing w:before="15" w:line="236" w:lineRule="exact"/>
              <w:ind w:left="158" w:right="149"/>
              <w:rPr>
                <w:rFonts w:ascii="Times New Roman"/>
                <w:sz w:val="21"/>
              </w:rPr>
            </w:pPr>
            <w:r>
              <w:rPr>
                <w:rFonts w:ascii="Times New Roman"/>
                <w:sz w:val="21"/>
              </w:rPr>
              <w:t>82.86</w:t>
            </w:r>
          </w:p>
        </w:tc>
        <w:tc>
          <w:tcPr>
            <w:tcW w:w="861" w:type="dxa"/>
          </w:tcPr>
          <w:p>
            <w:pPr>
              <w:pStyle w:val="14"/>
              <w:spacing w:before="1" w:line="250" w:lineRule="exact"/>
              <w:ind w:left="198" w:right="192"/>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968" w:type="dxa"/>
          </w:tcPr>
          <w:p>
            <w:pPr>
              <w:pStyle w:val="14"/>
              <w:spacing w:before="14" w:line="238" w:lineRule="exact"/>
              <w:ind w:left="145" w:right="139"/>
              <w:rPr>
                <w:rFonts w:ascii="Times New Roman"/>
                <w:sz w:val="21"/>
              </w:rPr>
            </w:pPr>
            <w:r>
              <w:rPr>
                <w:rFonts w:ascii="Times New Roman"/>
                <w:sz w:val="21"/>
              </w:rPr>
              <w:t>CO</w:t>
            </w:r>
          </w:p>
        </w:tc>
        <w:tc>
          <w:tcPr>
            <w:tcW w:w="3015" w:type="dxa"/>
          </w:tcPr>
          <w:p>
            <w:pPr>
              <w:pStyle w:val="14"/>
              <w:spacing w:line="252" w:lineRule="exact"/>
              <w:ind w:left="37" w:right="30"/>
              <w:rPr>
                <w:sz w:val="21"/>
              </w:rPr>
            </w:pPr>
            <w:r>
              <w:rPr>
                <w:rFonts w:ascii="Times New Roman" w:eastAsia="Times New Roman"/>
                <w:sz w:val="21"/>
              </w:rPr>
              <w:t xml:space="preserve">24 </w:t>
            </w:r>
            <w:r>
              <w:rPr>
                <w:sz w:val="21"/>
              </w:rPr>
              <w:t xml:space="preserve">小时平均第 </w:t>
            </w:r>
            <w:r>
              <w:rPr>
                <w:rFonts w:ascii="Times New Roman" w:eastAsia="Times New Roman"/>
                <w:sz w:val="21"/>
              </w:rPr>
              <w:t xml:space="preserve">95 </w:t>
            </w:r>
            <w:r>
              <w:rPr>
                <w:sz w:val="21"/>
              </w:rPr>
              <w:t>百分位数</w:t>
            </w:r>
          </w:p>
        </w:tc>
        <w:tc>
          <w:tcPr>
            <w:tcW w:w="1399" w:type="dxa"/>
          </w:tcPr>
          <w:p>
            <w:pPr>
              <w:pStyle w:val="14"/>
              <w:spacing w:before="14" w:line="238" w:lineRule="exact"/>
              <w:ind w:left="468" w:right="460"/>
              <w:rPr>
                <w:rFonts w:ascii="Times New Roman"/>
                <w:sz w:val="21"/>
              </w:rPr>
            </w:pPr>
            <w:r>
              <w:rPr>
                <w:rFonts w:ascii="Times New Roman"/>
                <w:sz w:val="21"/>
              </w:rPr>
              <w:t>1400</w:t>
            </w:r>
          </w:p>
        </w:tc>
        <w:tc>
          <w:tcPr>
            <w:tcW w:w="1621" w:type="dxa"/>
          </w:tcPr>
          <w:p>
            <w:pPr>
              <w:pStyle w:val="14"/>
              <w:spacing w:before="14" w:line="238" w:lineRule="exact"/>
              <w:ind w:left="326" w:right="316"/>
              <w:rPr>
                <w:rFonts w:ascii="Times New Roman"/>
                <w:sz w:val="21"/>
              </w:rPr>
            </w:pPr>
            <w:r>
              <w:rPr>
                <w:rFonts w:ascii="Times New Roman"/>
                <w:sz w:val="21"/>
              </w:rPr>
              <w:t>4000</w:t>
            </w:r>
          </w:p>
        </w:tc>
        <w:tc>
          <w:tcPr>
            <w:tcW w:w="991" w:type="dxa"/>
          </w:tcPr>
          <w:p>
            <w:pPr>
              <w:pStyle w:val="14"/>
              <w:spacing w:before="14" w:line="238" w:lineRule="exact"/>
              <w:ind w:left="158" w:right="149"/>
              <w:rPr>
                <w:rFonts w:ascii="Times New Roman"/>
                <w:sz w:val="21"/>
              </w:rPr>
            </w:pPr>
            <w:r>
              <w:rPr>
                <w:rFonts w:ascii="Times New Roman"/>
                <w:sz w:val="21"/>
              </w:rPr>
              <w:t>35</w:t>
            </w:r>
          </w:p>
        </w:tc>
        <w:tc>
          <w:tcPr>
            <w:tcW w:w="861" w:type="dxa"/>
          </w:tcPr>
          <w:p>
            <w:pPr>
              <w:pStyle w:val="14"/>
              <w:spacing w:line="252" w:lineRule="exact"/>
              <w:ind w:left="198" w:right="192"/>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968" w:type="dxa"/>
          </w:tcPr>
          <w:p>
            <w:pPr>
              <w:pStyle w:val="14"/>
              <w:spacing w:before="146"/>
              <w:ind w:left="147" w:right="139"/>
              <w:rPr>
                <w:rFonts w:ascii="Times New Roman"/>
                <w:sz w:val="21"/>
              </w:rPr>
            </w:pPr>
            <w:r>
              <w:rPr>
                <w:rFonts w:ascii="Times New Roman"/>
                <w:position w:val="2"/>
                <w:sz w:val="21"/>
              </w:rPr>
              <w:t>O</w:t>
            </w:r>
            <w:r>
              <w:rPr>
                <w:rFonts w:ascii="Times New Roman"/>
                <w:position w:val="2"/>
                <w:sz w:val="21"/>
                <w:vertAlign w:val="subscript"/>
              </w:rPr>
              <w:t>3</w:t>
            </w:r>
          </w:p>
        </w:tc>
        <w:tc>
          <w:tcPr>
            <w:tcW w:w="3015" w:type="dxa"/>
          </w:tcPr>
          <w:p>
            <w:pPr>
              <w:pStyle w:val="14"/>
              <w:ind w:left="37" w:right="40"/>
              <w:rPr>
                <w:rFonts w:ascii="Times New Roman" w:eastAsia="Times New Roman"/>
                <w:sz w:val="21"/>
              </w:rPr>
            </w:pPr>
            <w:r>
              <w:rPr>
                <w:sz w:val="21"/>
              </w:rPr>
              <w:t xml:space="preserve">最大 </w:t>
            </w:r>
            <w:r>
              <w:rPr>
                <w:rFonts w:ascii="Times New Roman" w:eastAsia="Times New Roman"/>
                <w:sz w:val="21"/>
              </w:rPr>
              <w:t xml:space="preserve">8 </w:t>
            </w:r>
            <w:r>
              <w:rPr>
                <w:sz w:val="21"/>
              </w:rPr>
              <w:t xml:space="preserve">小时滑动平均值的第 </w:t>
            </w:r>
            <w:r>
              <w:rPr>
                <w:rFonts w:ascii="Times New Roman" w:eastAsia="Times New Roman"/>
                <w:sz w:val="21"/>
              </w:rPr>
              <w:t>90</w:t>
            </w:r>
          </w:p>
          <w:p>
            <w:pPr>
              <w:pStyle w:val="14"/>
              <w:spacing w:before="3" w:line="253" w:lineRule="exact"/>
              <w:ind w:left="37" w:right="30"/>
              <w:rPr>
                <w:sz w:val="21"/>
              </w:rPr>
            </w:pPr>
            <w:r>
              <w:rPr>
                <w:sz w:val="21"/>
              </w:rPr>
              <w:t>百分位数</w:t>
            </w:r>
          </w:p>
        </w:tc>
        <w:tc>
          <w:tcPr>
            <w:tcW w:w="1399" w:type="dxa"/>
          </w:tcPr>
          <w:p>
            <w:pPr>
              <w:pStyle w:val="14"/>
              <w:spacing w:before="149"/>
              <w:ind w:left="468" w:right="457"/>
              <w:rPr>
                <w:rFonts w:ascii="Times New Roman"/>
                <w:sz w:val="21"/>
              </w:rPr>
            </w:pPr>
            <w:r>
              <w:rPr>
                <w:rFonts w:ascii="Times New Roman"/>
                <w:sz w:val="21"/>
              </w:rPr>
              <w:t>102</w:t>
            </w:r>
          </w:p>
        </w:tc>
        <w:tc>
          <w:tcPr>
            <w:tcW w:w="1621" w:type="dxa"/>
          </w:tcPr>
          <w:p>
            <w:pPr>
              <w:pStyle w:val="14"/>
              <w:spacing w:before="149"/>
              <w:ind w:left="326" w:right="316"/>
              <w:rPr>
                <w:rFonts w:ascii="Times New Roman"/>
                <w:sz w:val="21"/>
              </w:rPr>
            </w:pPr>
            <w:r>
              <w:rPr>
                <w:rFonts w:ascii="Times New Roman"/>
                <w:sz w:val="21"/>
              </w:rPr>
              <w:t>160</w:t>
            </w:r>
          </w:p>
        </w:tc>
        <w:tc>
          <w:tcPr>
            <w:tcW w:w="991" w:type="dxa"/>
          </w:tcPr>
          <w:p>
            <w:pPr>
              <w:pStyle w:val="14"/>
              <w:spacing w:before="149"/>
              <w:ind w:left="158" w:right="149"/>
              <w:rPr>
                <w:rFonts w:ascii="Times New Roman"/>
                <w:sz w:val="21"/>
              </w:rPr>
            </w:pPr>
            <w:r>
              <w:rPr>
                <w:rFonts w:ascii="Times New Roman"/>
                <w:sz w:val="21"/>
              </w:rPr>
              <w:t>63.75</w:t>
            </w:r>
          </w:p>
        </w:tc>
        <w:tc>
          <w:tcPr>
            <w:tcW w:w="861" w:type="dxa"/>
          </w:tcPr>
          <w:p>
            <w:pPr>
              <w:pStyle w:val="14"/>
              <w:spacing w:before="135"/>
              <w:ind w:left="198" w:right="192"/>
              <w:rPr>
                <w:sz w:val="21"/>
              </w:rPr>
            </w:pPr>
            <w:r>
              <w:rPr>
                <w:sz w:val="21"/>
              </w:rPr>
              <w:t>达标</w:t>
            </w:r>
          </w:p>
        </w:tc>
      </w:tr>
    </w:tbl>
    <w:p>
      <w:pPr>
        <w:pStyle w:val="6"/>
        <w:spacing w:before="1"/>
        <w:ind w:left="127" w:right="9"/>
        <w:jc w:val="center"/>
      </w:pPr>
      <w:r>
        <w:t>根据《</w:t>
      </w:r>
      <w:r>
        <w:rPr>
          <w:rFonts w:ascii="Calibri" w:eastAsia="Calibri"/>
        </w:rPr>
        <w:t xml:space="preserve">2019 </w:t>
      </w:r>
      <w:r>
        <w:t>年双鸭山市环境空气质量状况》中相关数据，双鸭山市区域基本污染物</w:t>
      </w:r>
    </w:p>
    <w:p>
      <w:pPr>
        <w:spacing w:after="0"/>
        <w:jc w:val="center"/>
        <w:sectPr>
          <w:pgSz w:w="11910" w:h="16840"/>
          <w:pgMar w:top="1540" w:right="780" w:bottom="1320" w:left="1200" w:header="0" w:footer="1058" w:gutter="0"/>
        </w:sectPr>
      </w:pPr>
    </w:p>
    <w:p>
      <w:pPr>
        <w:pStyle w:val="6"/>
        <w:spacing w:before="46" w:line="362" w:lineRule="auto"/>
        <w:ind w:left="215" w:right="573"/>
      </w:pPr>
      <w:r>
        <w:t>均符合《环境空气质量标准》（</w:t>
      </w:r>
      <w:r>
        <w:rPr>
          <w:rFonts w:ascii="Calibri" w:eastAsia="Calibri"/>
        </w:rPr>
        <w:t>GB3095-2012</w:t>
      </w:r>
      <w:r>
        <w:t>）中二级标准要求，区域属于环境空气质量达标区。</w:t>
      </w:r>
    </w:p>
    <w:p>
      <w:pPr>
        <w:pStyle w:val="4"/>
        <w:numPr>
          <w:ilvl w:val="2"/>
          <w:numId w:val="65"/>
        </w:numPr>
        <w:tabs>
          <w:tab w:val="left" w:pos="848"/>
        </w:tabs>
        <w:spacing w:before="6" w:after="0" w:line="240" w:lineRule="auto"/>
        <w:ind w:left="847" w:right="0" w:hanging="633"/>
        <w:jc w:val="left"/>
      </w:pPr>
      <w:bookmarkStart w:id="747" w:name="8.2.2环境空气质量现状补充监测"/>
      <w:bookmarkEnd w:id="747"/>
      <w:bookmarkStart w:id="748" w:name="8.2.2环境空气质量现状补充监测"/>
      <w:bookmarkEnd w:id="748"/>
      <w:r>
        <w:t>环境空气质量现状补充监测</w:t>
      </w:r>
    </w:p>
    <w:p>
      <w:pPr>
        <w:pStyle w:val="6"/>
        <w:spacing w:before="185"/>
        <w:ind w:left="696"/>
      </w:pPr>
      <w:r>
        <w:rPr>
          <w:rFonts w:ascii="Times New Roman" w:eastAsia="Times New Roman"/>
        </w:rPr>
        <w:t>1</w:t>
      </w:r>
      <w:r>
        <w:t>、监测范围</w:t>
      </w:r>
    </w:p>
    <w:p>
      <w:pPr>
        <w:pStyle w:val="6"/>
        <w:spacing w:before="158"/>
        <w:ind w:left="696"/>
      </w:pPr>
      <w:r>
        <w:t xml:space="preserve">根据本项目地理位置及评价范围，即以工业广场场区为中心边长 </w:t>
      </w:r>
      <w:r>
        <w:rPr>
          <w:rFonts w:ascii="Times New Roman" w:eastAsia="Times New Roman"/>
        </w:rPr>
        <w:t xml:space="preserve">5km </w:t>
      </w:r>
      <w:r>
        <w:t>的矩形区域。</w:t>
      </w:r>
    </w:p>
    <w:p>
      <w:pPr>
        <w:pStyle w:val="6"/>
        <w:spacing w:before="160"/>
        <w:ind w:left="696"/>
      </w:pPr>
      <w:r>
        <w:rPr>
          <w:rFonts w:ascii="Times New Roman" w:eastAsia="Times New Roman"/>
        </w:rPr>
        <w:t>2</w:t>
      </w:r>
      <w:r>
        <w:t>、监测点位及监测因子</w:t>
      </w:r>
    </w:p>
    <w:p>
      <w:pPr>
        <w:pStyle w:val="6"/>
        <w:spacing w:before="159" w:line="364" w:lineRule="auto"/>
        <w:ind w:left="215" w:right="577" w:firstLine="480"/>
        <w:jc w:val="both"/>
      </w:pPr>
      <w:r>
        <w:rPr>
          <w:spacing w:val="-5"/>
        </w:rPr>
        <w:t>根据《环境影响评价技术导则 大气环境》</w:t>
      </w:r>
      <w:r>
        <w:t>（</w:t>
      </w:r>
      <w:r>
        <w:rPr>
          <w:rFonts w:ascii="Times New Roman" w:eastAsia="Times New Roman"/>
        </w:rPr>
        <w:t>HJ2.2-2018</w:t>
      </w:r>
      <w:r>
        <w:t>）</w:t>
      </w:r>
      <w:r>
        <w:rPr>
          <w:spacing w:val="-2"/>
        </w:rPr>
        <w:t>要求及本项目大气环境影</w:t>
      </w:r>
      <w:r>
        <w:rPr>
          <w:spacing w:val="-1"/>
        </w:rPr>
        <w:t>响评价等级，结合厂址结合本项目厂址周围地形特点、排污特征和评价范围，本次评价</w:t>
      </w:r>
      <w:r>
        <w:rPr>
          <w:spacing w:val="-15"/>
        </w:rPr>
        <w:t xml:space="preserve">共布设 </w:t>
      </w:r>
      <w:r>
        <w:rPr>
          <w:rFonts w:ascii="Times New Roman" w:eastAsia="Times New Roman"/>
        </w:rPr>
        <w:t xml:space="preserve">2 </w:t>
      </w:r>
      <w:r>
        <w:rPr>
          <w:spacing w:val="-10"/>
        </w:rPr>
        <w:t xml:space="preserve">个环境空气监测点，其他污染物补充监测点位基本信息表及监测因子见表 </w:t>
      </w:r>
      <w:r>
        <w:rPr>
          <w:rFonts w:ascii="Times New Roman" w:eastAsia="Times New Roman"/>
          <w:spacing w:val="-4"/>
        </w:rPr>
        <w:t xml:space="preserve">8.2-1 </w:t>
      </w:r>
      <w:r>
        <w:t>及附图。</w:t>
      </w:r>
    </w:p>
    <w:p>
      <w:pPr>
        <w:pStyle w:val="5"/>
        <w:tabs>
          <w:tab w:val="left" w:pos="1041"/>
        </w:tabs>
        <w:spacing w:line="305" w:lineRule="exact"/>
        <w:ind w:right="348"/>
        <w:jc w:val="center"/>
      </w:pPr>
      <w:r>
        <w:t>表</w:t>
      </w:r>
      <w:r>
        <w:rPr>
          <w:spacing w:val="-62"/>
        </w:rPr>
        <w:t xml:space="preserve"> </w:t>
      </w:r>
      <w:r>
        <w:rPr>
          <w:rFonts w:ascii="Times New Roman" w:eastAsia="Times New Roman"/>
        </w:rPr>
        <w:t>8.2-1</w:t>
      </w:r>
      <w:r>
        <w:rPr>
          <w:rFonts w:ascii="Times New Roman" w:eastAsia="Times New Roman"/>
        </w:rPr>
        <w:tab/>
      </w:r>
      <w:r>
        <w:t>其他污染物补充监测点位基本信息表</w:t>
      </w:r>
    </w:p>
    <w:p>
      <w:pPr>
        <w:pStyle w:val="6"/>
        <w:spacing w:before="4"/>
        <w:rPr>
          <w:b/>
          <w:sz w:val="12"/>
        </w:rPr>
      </w:pP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8"/>
        <w:gridCol w:w="2400"/>
        <w:gridCol w:w="1554"/>
        <w:gridCol w:w="1554"/>
        <w:gridCol w:w="1555"/>
        <w:gridCol w:w="15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728" w:type="dxa"/>
          </w:tcPr>
          <w:p>
            <w:pPr>
              <w:pStyle w:val="14"/>
              <w:spacing w:before="135"/>
              <w:ind w:left="133" w:right="124"/>
              <w:rPr>
                <w:sz w:val="21"/>
              </w:rPr>
            </w:pPr>
            <w:r>
              <w:rPr>
                <w:sz w:val="21"/>
              </w:rPr>
              <w:t>编号</w:t>
            </w:r>
          </w:p>
        </w:tc>
        <w:tc>
          <w:tcPr>
            <w:tcW w:w="2400" w:type="dxa"/>
          </w:tcPr>
          <w:p>
            <w:pPr>
              <w:pStyle w:val="14"/>
              <w:spacing w:before="135"/>
              <w:ind w:left="548" w:right="540"/>
              <w:rPr>
                <w:sz w:val="21"/>
              </w:rPr>
            </w:pPr>
            <w:r>
              <w:rPr>
                <w:sz w:val="21"/>
              </w:rPr>
              <w:t>监测点位</w:t>
            </w:r>
          </w:p>
        </w:tc>
        <w:tc>
          <w:tcPr>
            <w:tcW w:w="1554" w:type="dxa"/>
          </w:tcPr>
          <w:p>
            <w:pPr>
              <w:pStyle w:val="14"/>
              <w:ind w:left="355"/>
              <w:jc w:val="left"/>
              <w:rPr>
                <w:sz w:val="21"/>
              </w:rPr>
            </w:pPr>
            <w:r>
              <w:rPr>
                <w:sz w:val="21"/>
              </w:rPr>
              <w:t>监测因子</w:t>
            </w:r>
          </w:p>
        </w:tc>
        <w:tc>
          <w:tcPr>
            <w:tcW w:w="1554" w:type="dxa"/>
          </w:tcPr>
          <w:p>
            <w:pPr>
              <w:pStyle w:val="14"/>
              <w:ind w:left="356"/>
              <w:jc w:val="left"/>
              <w:rPr>
                <w:sz w:val="21"/>
              </w:rPr>
            </w:pPr>
            <w:r>
              <w:rPr>
                <w:sz w:val="21"/>
              </w:rPr>
              <w:t>检测时段</w:t>
            </w:r>
          </w:p>
        </w:tc>
        <w:tc>
          <w:tcPr>
            <w:tcW w:w="1555" w:type="dxa"/>
          </w:tcPr>
          <w:p>
            <w:pPr>
              <w:pStyle w:val="14"/>
              <w:spacing w:before="135"/>
              <w:ind w:left="125" w:right="119"/>
              <w:rPr>
                <w:sz w:val="21"/>
              </w:rPr>
            </w:pPr>
            <w:r>
              <w:rPr>
                <w:sz w:val="21"/>
              </w:rPr>
              <w:t>相对厂址方位</w:t>
            </w:r>
          </w:p>
        </w:tc>
        <w:tc>
          <w:tcPr>
            <w:tcW w:w="1553" w:type="dxa"/>
          </w:tcPr>
          <w:p>
            <w:pPr>
              <w:pStyle w:val="14"/>
              <w:ind w:left="217" w:right="235"/>
              <w:rPr>
                <w:sz w:val="21"/>
              </w:rPr>
            </w:pPr>
            <w:r>
              <w:rPr>
                <w:sz w:val="21"/>
              </w:rPr>
              <w:t>相对厂界距</w:t>
            </w:r>
          </w:p>
          <w:p>
            <w:pPr>
              <w:pStyle w:val="14"/>
              <w:spacing w:before="5" w:line="251" w:lineRule="exact"/>
              <w:ind w:left="217" w:right="221"/>
              <w:rPr>
                <w:rFonts w:ascii="Times New Roman" w:eastAsia="Times New Roman"/>
                <w:sz w:val="21"/>
              </w:rPr>
            </w:pPr>
            <w:r>
              <w:rPr>
                <w:sz w:val="21"/>
              </w:rPr>
              <w:t xml:space="preserve">离 </w:t>
            </w:r>
            <w:r>
              <w:rPr>
                <w:rFonts w:ascii="Times New Roman" w:eastAsia="Times New Roman"/>
                <w:sz w:val="21"/>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28" w:type="dxa"/>
          </w:tcPr>
          <w:p>
            <w:pPr>
              <w:pStyle w:val="14"/>
              <w:spacing w:before="76"/>
              <w:ind w:left="132" w:right="124"/>
              <w:rPr>
                <w:rFonts w:ascii="Times New Roman"/>
                <w:sz w:val="21"/>
              </w:rPr>
            </w:pPr>
            <w:r>
              <w:rPr>
                <w:rFonts w:ascii="Times New Roman"/>
                <w:sz w:val="21"/>
              </w:rPr>
              <w:t>1#</w:t>
            </w:r>
          </w:p>
        </w:tc>
        <w:tc>
          <w:tcPr>
            <w:tcW w:w="2400" w:type="dxa"/>
          </w:tcPr>
          <w:p>
            <w:pPr>
              <w:pStyle w:val="14"/>
              <w:spacing w:before="62"/>
              <w:ind w:left="548" w:right="542"/>
              <w:rPr>
                <w:sz w:val="21"/>
              </w:rPr>
            </w:pPr>
            <w:r>
              <w:rPr>
                <w:sz w:val="21"/>
              </w:rPr>
              <w:t>工业广场厂址</w:t>
            </w:r>
          </w:p>
        </w:tc>
        <w:tc>
          <w:tcPr>
            <w:tcW w:w="1554" w:type="dxa"/>
            <w:vMerge w:val="restart"/>
          </w:tcPr>
          <w:p>
            <w:pPr>
              <w:pStyle w:val="14"/>
              <w:spacing w:before="8"/>
              <w:jc w:val="left"/>
              <w:rPr>
                <w:b/>
                <w:sz w:val="20"/>
              </w:rPr>
            </w:pPr>
          </w:p>
          <w:p>
            <w:pPr>
              <w:pStyle w:val="14"/>
              <w:ind w:left="115" w:right="102"/>
              <w:rPr>
                <w:rFonts w:ascii="Times New Roman"/>
                <w:sz w:val="24"/>
              </w:rPr>
            </w:pPr>
            <w:r>
              <w:rPr>
                <w:rFonts w:ascii="Times New Roman"/>
                <w:sz w:val="24"/>
              </w:rPr>
              <w:t>TSP</w:t>
            </w:r>
          </w:p>
        </w:tc>
        <w:tc>
          <w:tcPr>
            <w:tcW w:w="1554" w:type="dxa"/>
            <w:vMerge w:val="restart"/>
          </w:tcPr>
          <w:p>
            <w:pPr>
              <w:pStyle w:val="14"/>
              <w:spacing w:before="146"/>
              <w:ind w:left="115" w:right="129"/>
              <w:rPr>
                <w:sz w:val="21"/>
              </w:rPr>
            </w:pPr>
            <w:r>
              <w:rPr>
                <w:rFonts w:ascii="Times New Roman" w:eastAsia="Times New Roman"/>
                <w:sz w:val="21"/>
              </w:rPr>
              <w:t xml:space="preserve">2020.04 .14 </w:t>
            </w:r>
            <w:r>
              <w:rPr>
                <w:sz w:val="21"/>
              </w:rPr>
              <w:t>～</w:t>
            </w:r>
          </w:p>
          <w:p>
            <w:pPr>
              <w:pStyle w:val="14"/>
              <w:spacing w:before="2"/>
              <w:ind w:left="115" w:right="121"/>
              <w:rPr>
                <w:rFonts w:ascii="Times New Roman"/>
                <w:sz w:val="21"/>
              </w:rPr>
            </w:pPr>
            <w:r>
              <w:rPr>
                <w:rFonts w:ascii="Times New Roman"/>
                <w:sz w:val="21"/>
              </w:rPr>
              <w:t>2020.04.20</w:t>
            </w:r>
          </w:p>
        </w:tc>
        <w:tc>
          <w:tcPr>
            <w:tcW w:w="1555" w:type="dxa"/>
          </w:tcPr>
          <w:p>
            <w:pPr>
              <w:pStyle w:val="14"/>
              <w:spacing w:before="62"/>
              <w:ind w:left="101" w:right="119"/>
              <w:rPr>
                <w:sz w:val="21"/>
              </w:rPr>
            </w:pPr>
            <w:r>
              <w:rPr>
                <w:sz w:val="21"/>
              </w:rPr>
              <w:t>厂区内</w:t>
            </w:r>
          </w:p>
        </w:tc>
        <w:tc>
          <w:tcPr>
            <w:tcW w:w="1553" w:type="dxa"/>
          </w:tcPr>
          <w:p>
            <w:pPr>
              <w:pStyle w:val="14"/>
              <w:spacing w:before="76"/>
              <w:ind w:right="1"/>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28" w:type="dxa"/>
          </w:tcPr>
          <w:p>
            <w:pPr>
              <w:pStyle w:val="14"/>
              <w:spacing w:before="77"/>
              <w:ind w:left="132" w:right="124"/>
              <w:rPr>
                <w:rFonts w:ascii="Times New Roman"/>
                <w:sz w:val="21"/>
              </w:rPr>
            </w:pPr>
            <w:r>
              <w:rPr>
                <w:rFonts w:ascii="Times New Roman"/>
                <w:sz w:val="21"/>
              </w:rPr>
              <w:t>2#</w:t>
            </w:r>
          </w:p>
        </w:tc>
        <w:tc>
          <w:tcPr>
            <w:tcW w:w="2400" w:type="dxa"/>
          </w:tcPr>
          <w:p>
            <w:pPr>
              <w:pStyle w:val="14"/>
              <w:spacing w:before="63"/>
              <w:ind w:left="548" w:right="541"/>
              <w:rPr>
                <w:rFonts w:ascii="Times New Roman" w:eastAsia="Times New Roman"/>
                <w:sz w:val="21"/>
              </w:rPr>
            </w:pPr>
            <w:r>
              <w:rPr>
                <w:sz w:val="21"/>
              </w:rPr>
              <w:t xml:space="preserve">下风向 </w:t>
            </w:r>
            <w:r>
              <w:rPr>
                <w:rFonts w:ascii="Times New Roman" w:eastAsia="Times New Roman"/>
                <w:sz w:val="21"/>
              </w:rPr>
              <w:t>500m</w:t>
            </w:r>
          </w:p>
        </w:tc>
        <w:tc>
          <w:tcPr>
            <w:tcW w:w="1554" w:type="dxa"/>
            <w:vMerge w:val="continue"/>
            <w:tcBorders>
              <w:top w:val="nil"/>
            </w:tcBorders>
          </w:tcPr>
          <w:p>
            <w:pPr>
              <w:rPr>
                <w:sz w:val="2"/>
                <w:szCs w:val="2"/>
              </w:rPr>
            </w:pPr>
          </w:p>
        </w:tc>
        <w:tc>
          <w:tcPr>
            <w:tcW w:w="1554" w:type="dxa"/>
            <w:vMerge w:val="continue"/>
            <w:tcBorders>
              <w:top w:val="nil"/>
            </w:tcBorders>
          </w:tcPr>
          <w:p>
            <w:pPr>
              <w:rPr>
                <w:sz w:val="2"/>
                <w:szCs w:val="2"/>
              </w:rPr>
            </w:pPr>
          </w:p>
        </w:tc>
        <w:tc>
          <w:tcPr>
            <w:tcW w:w="1555" w:type="dxa"/>
          </w:tcPr>
          <w:p>
            <w:pPr>
              <w:pStyle w:val="14"/>
              <w:spacing w:before="77"/>
              <w:ind w:left="125" w:right="119"/>
              <w:rPr>
                <w:rFonts w:ascii="Times New Roman"/>
                <w:sz w:val="21"/>
              </w:rPr>
            </w:pPr>
            <w:r>
              <w:rPr>
                <w:rFonts w:ascii="Times New Roman"/>
                <w:sz w:val="21"/>
              </w:rPr>
              <w:t>SW</w:t>
            </w:r>
          </w:p>
        </w:tc>
        <w:tc>
          <w:tcPr>
            <w:tcW w:w="1553" w:type="dxa"/>
          </w:tcPr>
          <w:p>
            <w:pPr>
              <w:pStyle w:val="14"/>
              <w:spacing w:before="77"/>
              <w:ind w:left="217" w:right="223"/>
              <w:rPr>
                <w:rFonts w:ascii="Times New Roman"/>
                <w:sz w:val="21"/>
              </w:rPr>
            </w:pPr>
            <w:r>
              <w:rPr>
                <w:rFonts w:ascii="Times New Roman"/>
                <w:sz w:val="21"/>
              </w:rPr>
              <w:t>500m</w:t>
            </w:r>
          </w:p>
        </w:tc>
      </w:tr>
    </w:tbl>
    <w:p>
      <w:pPr>
        <w:pStyle w:val="6"/>
        <w:spacing w:before="3"/>
        <w:ind w:left="696"/>
      </w:pPr>
      <w:r>
        <w:rPr>
          <w:rFonts w:ascii="Times New Roman" w:eastAsia="Times New Roman"/>
        </w:rPr>
        <w:t>3</w:t>
      </w:r>
      <w:r>
        <w:t>、监测采样时间、频率</w:t>
      </w:r>
    </w:p>
    <w:p>
      <w:pPr>
        <w:pStyle w:val="6"/>
        <w:spacing w:before="158" w:line="362" w:lineRule="auto"/>
        <w:ind w:left="696" w:right="4361"/>
      </w:pPr>
      <w:r>
        <w:t>监测时间：</w:t>
      </w:r>
      <w:r>
        <w:rPr>
          <w:rFonts w:ascii="Times New Roman" w:eastAsia="Times New Roman"/>
        </w:rPr>
        <w:t>2020.04.14</w:t>
      </w:r>
      <w:r>
        <w:t>～</w:t>
      </w:r>
      <w:r>
        <w:rPr>
          <w:rFonts w:ascii="Times New Roman" w:eastAsia="Times New Roman"/>
        </w:rPr>
        <w:t>2020.04.20</w:t>
      </w:r>
      <w:r>
        <w:t xml:space="preserve">，连续 </w:t>
      </w:r>
      <w:r>
        <w:rPr>
          <w:rFonts w:ascii="Times New Roman" w:eastAsia="Times New Roman"/>
        </w:rPr>
        <w:t xml:space="preserve">7 </w:t>
      </w:r>
      <w:r>
        <w:t>天频率：</w:t>
      </w:r>
      <w:r>
        <w:rPr>
          <w:rFonts w:ascii="Times New Roman" w:eastAsia="Times New Roman"/>
        </w:rPr>
        <w:t xml:space="preserve">TSP </w:t>
      </w:r>
      <w:r>
        <w:t xml:space="preserve">采样为每天 </w:t>
      </w:r>
      <w:r>
        <w:rPr>
          <w:rFonts w:ascii="Times New Roman" w:eastAsia="Times New Roman"/>
        </w:rPr>
        <w:t>24h</w:t>
      </w:r>
      <w:r>
        <w:t>。</w:t>
      </w:r>
    </w:p>
    <w:p>
      <w:pPr>
        <w:pStyle w:val="6"/>
        <w:spacing w:before="5"/>
        <w:ind w:left="696"/>
      </w:pPr>
      <w:r>
        <w:rPr>
          <w:rFonts w:ascii="Times New Roman" w:eastAsia="Times New Roman"/>
        </w:rPr>
        <w:t>4</w:t>
      </w:r>
      <w:r>
        <w:t>、监测分析方法</w:t>
      </w:r>
    </w:p>
    <w:p>
      <w:pPr>
        <w:spacing w:before="158" w:line="364" w:lineRule="auto"/>
        <w:ind w:left="2520" w:right="2428" w:hanging="1824"/>
        <w:jc w:val="left"/>
        <w:rPr>
          <w:b/>
          <w:sz w:val="24"/>
        </w:rPr>
      </w:pPr>
      <w:r>
        <w:rPr>
          <w:spacing w:val="-3"/>
          <w:sz w:val="24"/>
        </w:rPr>
        <w:t xml:space="preserve">监测分析方法及使用仪器采样及监测分析方法，具体见表 </w:t>
      </w:r>
      <w:r>
        <w:rPr>
          <w:rFonts w:ascii="Times New Roman" w:eastAsia="Times New Roman"/>
          <w:sz w:val="24"/>
        </w:rPr>
        <w:t>8.2-2</w:t>
      </w:r>
      <w:r>
        <w:rPr>
          <w:spacing w:val="-17"/>
          <w:sz w:val="24"/>
        </w:rPr>
        <w:t>。</w:t>
      </w:r>
      <w:r>
        <w:rPr>
          <w:b/>
          <w:spacing w:val="-31"/>
          <w:sz w:val="24"/>
        </w:rPr>
        <w:t xml:space="preserve">表 </w:t>
      </w:r>
      <w:r>
        <w:rPr>
          <w:rFonts w:ascii="Times New Roman" w:eastAsia="Times New Roman"/>
          <w:b/>
          <w:sz w:val="24"/>
        </w:rPr>
        <w:t>8.2-2</w:t>
      </w:r>
      <w:r>
        <w:rPr>
          <w:rFonts w:ascii="Times New Roman" w:eastAsia="Times New Roman"/>
          <w:b/>
          <w:spacing w:val="59"/>
          <w:sz w:val="24"/>
        </w:rPr>
        <w:t xml:space="preserve"> </w:t>
      </w:r>
      <w:r>
        <w:rPr>
          <w:b/>
          <w:sz w:val="24"/>
        </w:rPr>
        <w:t>监测分析方法及最低检出限一览表</w:t>
      </w:r>
    </w:p>
    <w:tbl>
      <w:tblPr>
        <w:tblStyle w:val="10"/>
        <w:tblW w:w="0" w:type="auto"/>
        <w:tblInd w:w="1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61"/>
        <w:gridCol w:w="2468"/>
        <w:gridCol w:w="36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3061" w:type="dxa"/>
          </w:tcPr>
          <w:p>
            <w:pPr>
              <w:pStyle w:val="14"/>
              <w:spacing w:before="6" w:line="259" w:lineRule="exact"/>
              <w:ind w:left="1299" w:right="1292"/>
              <w:rPr>
                <w:sz w:val="21"/>
              </w:rPr>
            </w:pPr>
            <w:r>
              <w:rPr>
                <w:sz w:val="21"/>
              </w:rPr>
              <w:t>类别</w:t>
            </w:r>
          </w:p>
        </w:tc>
        <w:tc>
          <w:tcPr>
            <w:tcW w:w="2468" w:type="dxa"/>
          </w:tcPr>
          <w:p>
            <w:pPr>
              <w:pStyle w:val="14"/>
              <w:spacing w:before="6" w:line="259" w:lineRule="exact"/>
              <w:ind w:left="1003" w:right="995"/>
              <w:rPr>
                <w:sz w:val="21"/>
              </w:rPr>
            </w:pPr>
            <w:r>
              <w:rPr>
                <w:sz w:val="21"/>
              </w:rPr>
              <w:t>项目</w:t>
            </w:r>
          </w:p>
        </w:tc>
        <w:tc>
          <w:tcPr>
            <w:tcW w:w="3655" w:type="dxa"/>
          </w:tcPr>
          <w:p>
            <w:pPr>
              <w:pStyle w:val="14"/>
              <w:spacing w:before="6" w:line="259" w:lineRule="exact"/>
              <w:ind w:left="8" w:right="1"/>
              <w:rPr>
                <w:sz w:val="21"/>
              </w:rPr>
            </w:pPr>
            <w:r>
              <w:rPr>
                <w:sz w:val="21"/>
              </w:rPr>
              <w:t>方法名称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7" w:hRule="atLeast"/>
        </w:trPr>
        <w:tc>
          <w:tcPr>
            <w:tcW w:w="3061" w:type="dxa"/>
          </w:tcPr>
          <w:p>
            <w:pPr>
              <w:pStyle w:val="14"/>
              <w:spacing w:before="100" w:line="244" w:lineRule="auto"/>
              <w:ind w:left="1320" w:right="1310"/>
              <w:rPr>
                <w:sz w:val="21"/>
              </w:rPr>
            </w:pPr>
            <w:r>
              <w:rPr>
                <w:sz w:val="21"/>
              </w:rPr>
              <w:t>环境空气</w:t>
            </w:r>
          </w:p>
        </w:tc>
        <w:tc>
          <w:tcPr>
            <w:tcW w:w="2468" w:type="dxa"/>
          </w:tcPr>
          <w:p>
            <w:pPr>
              <w:pStyle w:val="14"/>
              <w:spacing w:before="4"/>
              <w:jc w:val="left"/>
              <w:rPr>
                <w:b/>
                <w:sz w:val="18"/>
              </w:rPr>
            </w:pPr>
          </w:p>
          <w:p>
            <w:pPr>
              <w:pStyle w:val="14"/>
              <w:ind w:left="1003" w:right="994"/>
              <w:rPr>
                <w:rFonts w:ascii="Times New Roman"/>
                <w:sz w:val="24"/>
              </w:rPr>
            </w:pPr>
            <w:r>
              <w:rPr>
                <w:rFonts w:ascii="Times New Roman"/>
                <w:sz w:val="24"/>
              </w:rPr>
              <w:t>TSP</w:t>
            </w:r>
          </w:p>
        </w:tc>
        <w:tc>
          <w:tcPr>
            <w:tcW w:w="3655" w:type="dxa"/>
          </w:tcPr>
          <w:p>
            <w:pPr>
              <w:pStyle w:val="14"/>
              <w:spacing w:before="100"/>
              <w:ind w:left="8" w:right="27"/>
              <w:rPr>
                <w:sz w:val="21"/>
              </w:rPr>
            </w:pPr>
            <w:r>
              <w:rPr>
                <w:sz w:val="21"/>
              </w:rPr>
              <w:t>环境空气 总悬浮颗粒物的测定 重量法</w:t>
            </w:r>
          </w:p>
          <w:p>
            <w:pPr>
              <w:pStyle w:val="14"/>
              <w:spacing w:before="4"/>
              <w:ind w:left="39" w:right="27"/>
              <w:rPr>
                <w:sz w:val="21"/>
              </w:rPr>
            </w:pPr>
            <w:r>
              <w:rPr>
                <w:rFonts w:ascii="Times New Roman" w:eastAsia="Times New Roman"/>
                <w:sz w:val="21"/>
              </w:rPr>
              <w:t xml:space="preserve">GB/T 15432-1995 </w:t>
            </w:r>
            <w:r>
              <w:rPr>
                <w:sz w:val="21"/>
              </w:rPr>
              <w:t>及其修改单</w:t>
            </w:r>
          </w:p>
        </w:tc>
      </w:tr>
    </w:tbl>
    <w:p>
      <w:pPr>
        <w:pStyle w:val="6"/>
        <w:spacing w:before="1"/>
        <w:ind w:left="696"/>
      </w:pPr>
      <w:r>
        <w:rPr>
          <w:rFonts w:ascii="Times New Roman" w:eastAsia="Times New Roman"/>
        </w:rPr>
        <w:t>5</w:t>
      </w:r>
      <w:r>
        <w:t>、环境空气监测结果</w:t>
      </w:r>
    </w:p>
    <w:p>
      <w:pPr>
        <w:pStyle w:val="6"/>
        <w:spacing w:before="158"/>
        <w:ind w:left="696"/>
      </w:pPr>
      <w:r>
        <w:t xml:space="preserve">环境空气监测结果见表 </w:t>
      </w:r>
      <w:r>
        <w:rPr>
          <w:rFonts w:ascii="Times New Roman" w:eastAsia="Times New Roman"/>
        </w:rPr>
        <w:t>8.2-3</w:t>
      </w:r>
      <w:r>
        <w:t>。</w:t>
      </w:r>
    </w:p>
    <w:p>
      <w:pPr>
        <w:pStyle w:val="5"/>
        <w:tabs>
          <w:tab w:val="left" w:pos="3823"/>
          <w:tab w:val="left" w:pos="6950"/>
        </w:tabs>
        <w:spacing w:before="160"/>
        <w:ind w:left="2784"/>
        <w:rPr>
          <w:rFonts w:ascii="Times New Roman" w:eastAsia="Times New Roman"/>
          <w:sz w:val="11"/>
        </w:rPr>
      </w:pPr>
      <w:r>
        <w:rPr>
          <w:w w:val="99"/>
        </w:rPr>
        <w:t>表</w:t>
      </w:r>
      <w:r>
        <w:rPr>
          <w:spacing w:val="-61"/>
        </w:rPr>
        <w:t xml:space="preserve"> </w:t>
      </w:r>
      <w:r>
        <w:rPr>
          <w:rFonts w:ascii="Times New Roman" w:eastAsia="Times New Roman"/>
        </w:rPr>
        <w:t>8.2</w:t>
      </w:r>
      <w:r>
        <w:rPr>
          <w:rFonts w:ascii="Times New Roman" w:eastAsia="Times New Roman"/>
          <w:spacing w:val="-1"/>
        </w:rPr>
        <w:t>-</w:t>
      </w:r>
      <w:r>
        <w:rPr>
          <w:rFonts w:ascii="Times New Roman" w:eastAsia="Times New Roman"/>
        </w:rPr>
        <w:t>3</w:t>
      </w:r>
      <w:r>
        <w:rPr>
          <w:rFonts w:ascii="Times New Roman" w:eastAsia="Times New Roman"/>
        </w:rPr>
        <w:tab/>
      </w:r>
      <w:r>
        <w:rPr>
          <w:w w:val="99"/>
        </w:rPr>
        <w:t>环</w:t>
      </w:r>
      <w:r>
        <w:rPr>
          <w:spacing w:val="2"/>
          <w:w w:val="99"/>
        </w:rPr>
        <w:t>境</w:t>
      </w:r>
      <w:r>
        <w:rPr>
          <w:w w:val="99"/>
        </w:rPr>
        <w:t>空</w:t>
      </w:r>
      <w:r>
        <w:rPr>
          <w:spacing w:val="2"/>
          <w:w w:val="99"/>
        </w:rPr>
        <w:t>气</w:t>
      </w:r>
      <w:r>
        <w:rPr>
          <w:w w:val="99"/>
        </w:rPr>
        <w:t>监测</w:t>
      </w:r>
      <w:r>
        <w:rPr>
          <w:spacing w:val="2"/>
          <w:w w:val="99"/>
        </w:rPr>
        <w:t>结</w:t>
      </w:r>
      <w:r>
        <w:rPr>
          <w:w w:val="99"/>
        </w:rPr>
        <w:t>果</w:t>
      </w:r>
      <w:r>
        <w:tab/>
      </w:r>
      <w:r>
        <w:rPr>
          <w:w w:val="66"/>
          <w:vertAlign w:val="subscript"/>
        </w:rPr>
        <w:t>单</w:t>
      </w:r>
      <w:r>
        <w:rPr>
          <w:spacing w:val="2"/>
          <w:w w:val="66"/>
          <w:vertAlign w:val="subscript"/>
        </w:rPr>
        <w:t>位</w:t>
      </w:r>
      <w:r>
        <w:rPr>
          <w:w w:val="66"/>
          <w:vertAlign w:val="subscript"/>
        </w:rPr>
        <w:t>：</w:t>
      </w:r>
      <w:r>
        <w:rPr>
          <w:rFonts w:ascii="Times New Roman" w:eastAsia="Times New Roman"/>
          <w:spacing w:val="-4"/>
          <w:sz w:val="18"/>
          <w:vertAlign w:val="baseline"/>
        </w:rPr>
        <w:t>m</w:t>
      </w:r>
      <w:r>
        <w:rPr>
          <w:rFonts w:ascii="Times New Roman" w:eastAsia="Times New Roman"/>
          <w:spacing w:val="1"/>
          <w:sz w:val="18"/>
          <w:vertAlign w:val="baseline"/>
        </w:rPr>
        <w:t>g</w:t>
      </w:r>
      <w:r>
        <w:rPr>
          <w:rFonts w:ascii="Times New Roman" w:eastAsia="Times New Roman"/>
          <w:sz w:val="18"/>
          <w:vertAlign w:val="baseline"/>
        </w:rPr>
        <w:t>/</w:t>
      </w:r>
      <w:r>
        <w:rPr>
          <w:rFonts w:ascii="Times New Roman" w:eastAsia="Times New Roman"/>
          <w:spacing w:val="1"/>
          <w:sz w:val="18"/>
          <w:vertAlign w:val="baseline"/>
        </w:rPr>
        <w:t>m</w:t>
      </w:r>
      <w:r>
        <w:rPr>
          <w:rFonts w:ascii="Times New Roman" w:eastAsia="Times New Roman"/>
          <w:w w:val="104"/>
          <w:position w:val="6"/>
          <w:sz w:val="11"/>
          <w:vertAlign w:val="baseline"/>
        </w:rPr>
        <w:t>3</w:t>
      </w:r>
    </w:p>
    <w:p>
      <w:pPr>
        <w:pStyle w:val="6"/>
        <w:spacing w:before="8"/>
        <w:rPr>
          <w:rFonts w:ascii="Times New Roman"/>
          <w:b/>
          <w:sz w:val="13"/>
        </w:rPr>
      </w:pP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24"/>
        <w:gridCol w:w="2315"/>
        <w:gridCol w:w="1509"/>
        <w:gridCol w:w="1725"/>
        <w:gridCol w:w="16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124" w:type="dxa"/>
          </w:tcPr>
          <w:p>
            <w:pPr>
              <w:pStyle w:val="14"/>
              <w:spacing w:before="1" w:line="251" w:lineRule="exact"/>
              <w:ind w:left="641"/>
              <w:jc w:val="left"/>
              <w:rPr>
                <w:b/>
                <w:sz w:val="21"/>
              </w:rPr>
            </w:pPr>
            <w:r>
              <w:rPr>
                <w:b/>
                <w:sz w:val="21"/>
              </w:rPr>
              <w:t>采样地点</w:t>
            </w:r>
          </w:p>
        </w:tc>
        <w:tc>
          <w:tcPr>
            <w:tcW w:w="2315" w:type="dxa"/>
          </w:tcPr>
          <w:p>
            <w:pPr>
              <w:pStyle w:val="14"/>
              <w:spacing w:before="1" w:line="251" w:lineRule="exact"/>
              <w:ind w:left="217" w:right="209"/>
              <w:rPr>
                <w:b/>
                <w:sz w:val="21"/>
              </w:rPr>
            </w:pPr>
            <w:r>
              <w:rPr>
                <w:b/>
                <w:sz w:val="21"/>
              </w:rPr>
              <w:t>采样日期</w:t>
            </w:r>
          </w:p>
        </w:tc>
        <w:tc>
          <w:tcPr>
            <w:tcW w:w="1509" w:type="dxa"/>
          </w:tcPr>
          <w:p>
            <w:pPr>
              <w:pStyle w:val="14"/>
              <w:spacing w:before="1" w:line="251" w:lineRule="exact"/>
              <w:ind w:left="312" w:right="302"/>
              <w:rPr>
                <w:b/>
                <w:sz w:val="21"/>
              </w:rPr>
            </w:pPr>
            <w:r>
              <w:rPr>
                <w:b/>
                <w:sz w:val="21"/>
              </w:rPr>
              <w:t>检测项目</w:t>
            </w:r>
          </w:p>
        </w:tc>
        <w:tc>
          <w:tcPr>
            <w:tcW w:w="1725" w:type="dxa"/>
          </w:tcPr>
          <w:p>
            <w:pPr>
              <w:pStyle w:val="14"/>
              <w:spacing w:before="1" w:line="251" w:lineRule="exact"/>
              <w:ind w:left="547"/>
              <w:jc w:val="left"/>
              <w:rPr>
                <w:b/>
                <w:sz w:val="21"/>
              </w:rPr>
            </w:pPr>
            <w:r>
              <w:rPr>
                <w:b/>
                <w:sz w:val="21"/>
              </w:rPr>
              <w:t>监测时间</w:t>
            </w:r>
          </w:p>
        </w:tc>
        <w:tc>
          <w:tcPr>
            <w:tcW w:w="1671" w:type="dxa"/>
          </w:tcPr>
          <w:p>
            <w:pPr>
              <w:pStyle w:val="14"/>
              <w:spacing w:before="1" w:line="251" w:lineRule="exact"/>
              <w:ind w:left="519"/>
              <w:jc w:val="left"/>
              <w:rPr>
                <w:b/>
                <w:sz w:val="21"/>
              </w:rPr>
            </w:pPr>
            <w:r>
              <w:rPr>
                <w:b/>
                <w:sz w:val="21"/>
              </w:rPr>
              <w:t>检测结果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124" w:type="dxa"/>
            <w:vMerge w:val="restart"/>
          </w:tcPr>
          <w:p>
            <w:pPr>
              <w:pStyle w:val="14"/>
              <w:jc w:val="left"/>
              <w:rPr>
                <w:rFonts w:ascii="Times New Roman"/>
                <w:b/>
                <w:sz w:val="22"/>
              </w:rPr>
            </w:pPr>
          </w:p>
          <w:p>
            <w:pPr>
              <w:pStyle w:val="14"/>
              <w:spacing w:before="3"/>
              <w:jc w:val="left"/>
              <w:rPr>
                <w:rFonts w:ascii="Times New Roman"/>
                <w:b/>
                <w:sz w:val="28"/>
              </w:rPr>
            </w:pPr>
          </w:p>
          <w:p>
            <w:pPr>
              <w:pStyle w:val="14"/>
              <w:ind w:left="327"/>
              <w:jc w:val="left"/>
              <w:rPr>
                <w:sz w:val="21"/>
              </w:rPr>
            </w:pPr>
            <w:r>
              <w:rPr>
                <w:rFonts w:ascii="Times New Roman" w:eastAsia="Times New Roman"/>
                <w:sz w:val="21"/>
              </w:rPr>
              <w:t>1#</w:t>
            </w:r>
            <w:r>
              <w:rPr>
                <w:sz w:val="21"/>
              </w:rPr>
              <w:t>工业广场厂址</w:t>
            </w:r>
          </w:p>
        </w:tc>
        <w:tc>
          <w:tcPr>
            <w:tcW w:w="2315" w:type="dxa"/>
          </w:tcPr>
          <w:p>
            <w:pPr>
              <w:pStyle w:val="14"/>
              <w:spacing w:before="2" w:line="254" w:lineRule="exact"/>
              <w:ind w:left="217" w:right="209"/>
              <w:rPr>
                <w:sz w:val="21"/>
              </w:rPr>
            </w:pPr>
            <w:r>
              <w:rPr>
                <w:rFonts w:ascii="Times New Roman" w:eastAsia="Times New Roman"/>
                <w:sz w:val="21"/>
              </w:rPr>
              <w:t xml:space="preserve">2020 </w:t>
            </w:r>
            <w:r>
              <w:rPr>
                <w:sz w:val="21"/>
              </w:rPr>
              <w:t xml:space="preserve">年 </w:t>
            </w:r>
            <w:r>
              <w:rPr>
                <w:rFonts w:ascii="Times New Roman" w:eastAsia="Times New Roman"/>
                <w:sz w:val="21"/>
              </w:rPr>
              <w:t xml:space="preserve">04 </w:t>
            </w:r>
            <w:r>
              <w:rPr>
                <w:sz w:val="21"/>
              </w:rPr>
              <w:t xml:space="preserve">月 </w:t>
            </w:r>
            <w:r>
              <w:rPr>
                <w:rFonts w:ascii="Times New Roman" w:eastAsia="Times New Roman"/>
                <w:sz w:val="21"/>
              </w:rPr>
              <w:t xml:space="preserve">14 </w:t>
            </w:r>
            <w:r>
              <w:rPr>
                <w:sz w:val="21"/>
              </w:rPr>
              <w:t>日</w:t>
            </w:r>
          </w:p>
        </w:tc>
        <w:tc>
          <w:tcPr>
            <w:tcW w:w="1509" w:type="dxa"/>
          </w:tcPr>
          <w:p>
            <w:pPr>
              <w:pStyle w:val="14"/>
              <w:spacing w:line="256" w:lineRule="exact"/>
              <w:ind w:left="311" w:right="302"/>
              <w:rPr>
                <w:rFonts w:ascii="Times New Roman"/>
                <w:sz w:val="24"/>
              </w:rPr>
            </w:pPr>
            <w:r>
              <w:rPr>
                <w:rFonts w:ascii="Times New Roman"/>
                <w:sz w:val="24"/>
              </w:rPr>
              <w:t>TSP</w:t>
            </w:r>
          </w:p>
        </w:tc>
        <w:tc>
          <w:tcPr>
            <w:tcW w:w="1725" w:type="dxa"/>
          </w:tcPr>
          <w:p>
            <w:pPr>
              <w:pStyle w:val="14"/>
              <w:spacing w:before="16" w:line="240" w:lineRule="exact"/>
              <w:ind w:left="455" w:right="448"/>
              <w:rPr>
                <w:rFonts w:ascii="Times New Roman"/>
                <w:sz w:val="21"/>
              </w:rPr>
            </w:pPr>
            <w:r>
              <w:rPr>
                <w:rFonts w:ascii="Times New Roman"/>
                <w:sz w:val="21"/>
              </w:rPr>
              <w:t>24h</w:t>
            </w:r>
          </w:p>
        </w:tc>
        <w:tc>
          <w:tcPr>
            <w:tcW w:w="1671" w:type="dxa"/>
          </w:tcPr>
          <w:p>
            <w:pPr>
              <w:pStyle w:val="14"/>
              <w:spacing w:before="16" w:line="240" w:lineRule="exact"/>
              <w:ind w:left="579" w:right="569"/>
              <w:rPr>
                <w:rFonts w:ascii="Times New Roman"/>
                <w:sz w:val="21"/>
              </w:rPr>
            </w:pPr>
            <w:r>
              <w:rPr>
                <w:rFonts w:ascii="Times New Roman"/>
                <w:sz w:val="21"/>
              </w:rPr>
              <w:t>0.083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2124" w:type="dxa"/>
            <w:vMerge w:val="continue"/>
            <w:tcBorders>
              <w:top w:val="nil"/>
            </w:tcBorders>
          </w:tcPr>
          <w:p>
            <w:pPr>
              <w:rPr>
                <w:sz w:val="2"/>
                <w:szCs w:val="2"/>
              </w:rPr>
            </w:pPr>
          </w:p>
        </w:tc>
        <w:tc>
          <w:tcPr>
            <w:tcW w:w="2315" w:type="dxa"/>
          </w:tcPr>
          <w:p>
            <w:pPr>
              <w:pStyle w:val="14"/>
              <w:spacing w:before="1" w:line="254" w:lineRule="exact"/>
              <w:ind w:left="217" w:right="209"/>
              <w:rPr>
                <w:sz w:val="21"/>
              </w:rPr>
            </w:pPr>
            <w:r>
              <w:rPr>
                <w:rFonts w:ascii="Times New Roman" w:eastAsia="Times New Roman"/>
                <w:sz w:val="21"/>
              </w:rPr>
              <w:t xml:space="preserve">2020 </w:t>
            </w:r>
            <w:r>
              <w:rPr>
                <w:sz w:val="21"/>
              </w:rPr>
              <w:t xml:space="preserve">年 </w:t>
            </w:r>
            <w:r>
              <w:rPr>
                <w:rFonts w:ascii="Times New Roman" w:eastAsia="Times New Roman"/>
                <w:sz w:val="21"/>
              </w:rPr>
              <w:t xml:space="preserve">04 </w:t>
            </w:r>
            <w:r>
              <w:rPr>
                <w:sz w:val="21"/>
              </w:rPr>
              <w:t xml:space="preserve">月 </w:t>
            </w:r>
            <w:r>
              <w:rPr>
                <w:rFonts w:ascii="Times New Roman" w:eastAsia="Times New Roman"/>
                <w:sz w:val="21"/>
              </w:rPr>
              <w:t xml:space="preserve">15 </w:t>
            </w:r>
            <w:r>
              <w:rPr>
                <w:sz w:val="21"/>
              </w:rPr>
              <w:t>日</w:t>
            </w:r>
          </w:p>
        </w:tc>
        <w:tc>
          <w:tcPr>
            <w:tcW w:w="1509" w:type="dxa"/>
          </w:tcPr>
          <w:p>
            <w:pPr>
              <w:pStyle w:val="14"/>
              <w:spacing w:line="256" w:lineRule="exact"/>
              <w:ind w:left="311" w:right="302"/>
              <w:rPr>
                <w:rFonts w:ascii="Times New Roman"/>
                <w:sz w:val="24"/>
              </w:rPr>
            </w:pPr>
            <w:r>
              <w:rPr>
                <w:rFonts w:ascii="Times New Roman"/>
                <w:sz w:val="24"/>
              </w:rPr>
              <w:t>TSP</w:t>
            </w:r>
          </w:p>
        </w:tc>
        <w:tc>
          <w:tcPr>
            <w:tcW w:w="1725" w:type="dxa"/>
          </w:tcPr>
          <w:p>
            <w:pPr>
              <w:pStyle w:val="14"/>
              <w:spacing w:before="15" w:line="240" w:lineRule="exact"/>
              <w:ind w:left="455" w:right="448"/>
              <w:rPr>
                <w:rFonts w:ascii="Times New Roman"/>
                <w:sz w:val="21"/>
              </w:rPr>
            </w:pPr>
            <w:r>
              <w:rPr>
                <w:rFonts w:ascii="Times New Roman"/>
                <w:sz w:val="21"/>
              </w:rPr>
              <w:t>24h</w:t>
            </w:r>
          </w:p>
        </w:tc>
        <w:tc>
          <w:tcPr>
            <w:tcW w:w="1671" w:type="dxa"/>
          </w:tcPr>
          <w:p>
            <w:pPr>
              <w:pStyle w:val="14"/>
              <w:spacing w:before="15" w:line="240" w:lineRule="exact"/>
              <w:ind w:left="579" w:right="569"/>
              <w:rPr>
                <w:rFonts w:ascii="Times New Roman"/>
                <w:sz w:val="21"/>
              </w:rPr>
            </w:pPr>
            <w:r>
              <w:rPr>
                <w:rFonts w:ascii="Times New Roman"/>
                <w:sz w:val="21"/>
              </w:rPr>
              <w:t>0.083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2124" w:type="dxa"/>
            <w:vMerge w:val="continue"/>
            <w:tcBorders>
              <w:top w:val="nil"/>
            </w:tcBorders>
          </w:tcPr>
          <w:p>
            <w:pPr>
              <w:rPr>
                <w:sz w:val="2"/>
                <w:szCs w:val="2"/>
              </w:rPr>
            </w:pPr>
          </w:p>
        </w:tc>
        <w:tc>
          <w:tcPr>
            <w:tcW w:w="2315" w:type="dxa"/>
          </w:tcPr>
          <w:p>
            <w:pPr>
              <w:pStyle w:val="14"/>
              <w:spacing w:before="6" w:line="261" w:lineRule="exact"/>
              <w:ind w:left="217" w:right="209"/>
              <w:rPr>
                <w:sz w:val="21"/>
              </w:rPr>
            </w:pPr>
            <w:r>
              <w:rPr>
                <w:rFonts w:ascii="Times New Roman" w:eastAsia="Times New Roman"/>
                <w:sz w:val="21"/>
              </w:rPr>
              <w:t xml:space="preserve">2020 </w:t>
            </w:r>
            <w:r>
              <w:rPr>
                <w:sz w:val="21"/>
              </w:rPr>
              <w:t xml:space="preserve">年 </w:t>
            </w:r>
            <w:r>
              <w:rPr>
                <w:rFonts w:ascii="Times New Roman" w:eastAsia="Times New Roman"/>
                <w:sz w:val="21"/>
              </w:rPr>
              <w:t xml:space="preserve">04 </w:t>
            </w:r>
            <w:r>
              <w:rPr>
                <w:sz w:val="21"/>
              </w:rPr>
              <w:t xml:space="preserve">月 </w:t>
            </w:r>
            <w:r>
              <w:rPr>
                <w:rFonts w:ascii="Times New Roman" w:eastAsia="Times New Roman"/>
                <w:sz w:val="21"/>
              </w:rPr>
              <w:t xml:space="preserve">16 </w:t>
            </w:r>
            <w:r>
              <w:rPr>
                <w:sz w:val="21"/>
              </w:rPr>
              <w:t>日</w:t>
            </w:r>
          </w:p>
        </w:tc>
        <w:tc>
          <w:tcPr>
            <w:tcW w:w="1509" w:type="dxa"/>
          </w:tcPr>
          <w:p>
            <w:pPr>
              <w:pStyle w:val="14"/>
              <w:spacing w:before="4" w:line="263" w:lineRule="exact"/>
              <w:ind w:left="311" w:right="302"/>
              <w:rPr>
                <w:rFonts w:ascii="Times New Roman"/>
                <w:sz w:val="24"/>
              </w:rPr>
            </w:pPr>
            <w:r>
              <w:rPr>
                <w:rFonts w:ascii="Times New Roman"/>
                <w:sz w:val="24"/>
              </w:rPr>
              <w:t>TSP</w:t>
            </w:r>
          </w:p>
        </w:tc>
        <w:tc>
          <w:tcPr>
            <w:tcW w:w="1725" w:type="dxa"/>
          </w:tcPr>
          <w:p>
            <w:pPr>
              <w:pStyle w:val="14"/>
              <w:spacing w:before="20"/>
              <w:ind w:left="455" w:right="448"/>
              <w:rPr>
                <w:rFonts w:ascii="Times New Roman"/>
                <w:sz w:val="21"/>
              </w:rPr>
            </w:pPr>
            <w:r>
              <w:rPr>
                <w:rFonts w:ascii="Times New Roman"/>
                <w:sz w:val="21"/>
              </w:rPr>
              <w:t>24h</w:t>
            </w:r>
          </w:p>
        </w:tc>
        <w:tc>
          <w:tcPr>
            <w:tcW w:w="1671" w:type="dxa"/>
          </w:tcPr>
          <w:p>
            <w:pPr>
              <w:pStyle w:val="14"/>
              <w:spacing w:before="20"/>
              <w:ind w:left="579" w:right="569"/>
              <w:rPr>
                <w:rFonts w:ascii="Times New Roman"/>
                <w:sz w:val="21"/>
              </w:rPr>
            </w:pPr>
            <w:r>
              <w:rPr>
                <w:rFonts w:ascii="Times New Roman"/>
                <w:sz w:val="21"/>
              </w:rPr>
              <w:t>0.117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124" w:type="dxa"/>
            <w:vMerge w:val="continue"/>
            <w:tcBorders>
              <w:top w:val="nil"/>
            </w:tcBorders>
          </w:tcPr>
          <w:p>
            <w:pPr>
              <w:rPr>
                <w:sz w:val="2"/>
                <w:szCs w:val="2"/>
              </w:rPr>
            </w:pPr>
          </w:p>
        </w:tc>
        <w:tc>
          <w:tcPr>
            <w:tcW w:w="2315" w:type="dxa"/>
          </w:tcPr>
          <w:p>
            <w:pPr>
              <w:pStyle w:val="14"/>
              <w:spacing w:before="1" w:line="254" w:lineRule="exact"/>
              <w:ind w:left="217" w:right="209"/>
              <w:rPr>
                <w:sz w:val="21"/>
              </w:rPr>
            </w:pPr>
            <w:r>
              <w:rPr>
                <w:rFonts w:ascii="Times New Roman" w:eastAsia="Times New Roman"/>
                <w:sz w:val="21"/>
              </w:rPr>
              <w:t xml:space="preserve">2020 </w:t>
            </w:r>
            <w:r>
              <w:rPr>
                <w:sz w:val="21"/>
              </w:rPr>
              <w:t xml:space="preserve">年 </w:t>
            </w:r>
            <w:r>
              <w:rPr>
                <w:rFonts w:ascii="Times New Roman" w:eastAsia="Times New Roman"/>
                <w:sz w:val="21"/>
              </w:rPr>
              <w:t xml:space="preserve">04 </w:t>
            </w:r>
            <w:r>
              <w:rPr>
                <w:sz w:val="21"/>
              </w:rPr>
              <w:t xml:space="preserve">月 </w:t>
            </w:r>
            <w:r>
              <w:rPr>
                <w:rFonts w:ascii="Times New Roman" w:eastAsia="Times New Roman"/>
                <w:sz w:val="21"/>
              </w:rPr>
              <w:t xml:space="preserve">17 </w:t>
            </w:r>
            <w:r>
              <w:rPr>
                <w:sz w:val="21"/>
              </w:rPr>
              <w:t>日</w:t>
            </w:r>
          </w:p>
        </w:tc>
        <w:tc>
          <w:tcPr>
            <w:tcW w:w="1509" w:type="dxa"/>
          </w:tcPr>
          <w:p>
            <w:pPr>
              <w:pStyle w:val="14"/>
              <w:spacing w:line="256" w:lineRule="exact"/>
              <w:ind w:left="311" w:right="302"/>
              <w:rPr>
                <w:rFonts w:ascii="Times New Roman"/>
                <w:sz w:val="24"/>
              </w:rPr>
            </w:pPr>
            <w:r>
              <w:rPr>
                <w:rFonts w:ascii="Times New Roman"/>
                <w:sz w:val="24"/>
              </w:rPr>
              <w:t>TSP</w:t>
            </w:r>
          </w:p>
        </w:tc>
        <w:tc>
          <w:tcPr>
            <w:tcW w:w="1725" w:type="dxa"/>
          </w:tcPr>
          <w:p>
            <w:pPr>
              <w:pStyle w:val="14"/>
              <w:spacing w:before="15" w:line="240" w:lineRule="exact"/>
              <w:ind w:left="455" w:right="448"/>
              <w:rPr>
                <w:rFonts w:ascii="Times New Roman"/>
                <w:sz w:val="21"/>
              </w:rPr>
            </w:pPr>
            <w:r>
              <w:rPr>
                <w:rFonts w:ascii="Times New Roman"/>
                <w:sz w:val="21"/>
              </w:rPr>
              <w:t>24h</w:t>
            </w:r>
          </w:p>
        </w:tc>
        <w:tc>
          <w:tcPr>
            <w:tcW w:w="1671" w:type="dxa"/>
          </w:tcPr>
          <w:p>
            <w:pPr>
              <w:pStyle w:val="14"/>
              <w:spacing w:before="15" w:line="240" w:lineRule="exact"/>
              <w:ind w:left="579" w:right="569"/>
              <w:rPr>
                <w:rFonts w:ascii="Times New Roman"/>
                <w:sz w:val="21"/>
              </w:rPr>
            </w:pPr>
            <w:r>
              <w:rPr>
                <w:rFonts w:ascii="Times New Roman"/>
                <w:sz w:val="21"/>
              </w:rPr>
              <w:t>0.083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2124" w:type="dxa"/>
            <w:vMerge w:val="continue"/>
            <w:tcBorders>
              <w:top w:val="nil"/>
            </w:tcBorders>
          </w:tcPr>
          <w:p>
            <w:pPr>
              <w:rPr>
                <w:sz w:val="2"/>
                <w:szCs w:val="2"/>
              </w:rPr>
            </w:pPr>
          </w:p>
        </w:tc>
        <w:tc>
          <w:tcPr>
            <w:tcW w:w="2315" w:type="dxa"/>
          </w:tcPr>
          <w:p>
            <w:pPr>
              <w:pStyle w:val="14"/>
              <w:spacing w:before="1" w:line="253" w:lineRule="exact"/>
              <w:ind w:left="217" w:right="209"/>
              <w:rPr>
                <w:sz w:val="21"/>
              </w:rPr>
            </w:pPr>
            <w:r>
              <w:rPr>
                <w:rFonts w:ascii="Times New Roman" w:eastAsia="Times New Roman"/>
                <w:sz w:val="21"/>
              </w:rPr>
              <w:t xml:space="preserve">2020 </w:t>
            </w:r>
            <w:r>
              <w:rPr>
                <w:sz w:val="21"/>
              </w:rPr>
              <w:t xml:space="preserve">年 </w:t>
            </w:r>
            <w:r>
              <w:rPr>
                <w:rFonts w:ascii="Times New Roman" w:eastAsia="Times New Roman"/>
                <w:sz w:val="21"/>
              </w:rPr>
              <w:t xml:space="preserve">04 </w:t>
            </w:r>
            <w:r>
              <w:rPr>
                <w:sz w:val="21"/>
              </w:rPr>
              <w:t xml:space="preserve">月 </w:t>
            </w:r>
            <w:r>
              <w:rPr>
                <w:rFonts w:ascii="Times New Roman" w:eastAsia="Times New Roman"/>
                <w:sz w:val="21"/>
              </w:rPr>
              <w:t xml:space="preserve">18 </w:t>
            </w:r>
            <w:r>
              <w:rPr>
                <w:sz w:val="21"/>
              </w:rPr>
              <w:t>日</w:t>
            </w:r>
          </w:p>
        </w:tc>
        <w:tc>
          <w:tcPr>
            <w:tcW w:w="1509" w:type="dxa"/>
          </w:tcPr>
          <w:p>
            <w:pPr>
              <w:pStyle w:val="14"/>
              <w:spacing w:line="254" w:lineRule="exact"/>
              <w:ind w:left="311" w:right="302"/>
              <w:rPr>
                <w:rFonts w:ascii="Times New Roman"/>
                <w:sz w:val="24"/>
              </w:rPr>
            </w:pPr>
            <w:r>
              <w:rPr>
                <w:rFonts w:ascii="Times New Roman"/>
                <w:sz w:val="24"/>
              </w:rPr>
              <w:t>TSP</w:t>
            </w:r>
          </w:p>
        </w:tc>
        <w:tc>
          <w:tcPr>
            <w:tcW w:w="1725" w:type="dxa"/>
          </w:tcPr>
          <w:p>
            <w:pPr>
              <w:pStyle w:val="14"/>
              <w:spacing w:before="15" w:line="239" w:lineRule="exact"/>
              <w:ind w:left="455" w:right="448"/>
              <w:rPr>
                <w:rFonts w:ascii="Times New Roman"/>
                <w:sz w:val="21"/>
              </w:rPr>
            </w:pPr>
            <w:r>
              <w:rPr>
                <w:rFonts w:ascii="Times New Roman"/>
                <w:sz w:val="21"/>
              </w:rPr>
              <w:t>24h</w:t>
            </w:r>
          </w:p>
        </w:tc>
        <w:tc>
          <w:tcPr>
            <w:tcW w:w="1671" w:type="dxa"/>
          </w:tcPr>
          <w:p>
            <w:pPr>
              <w:pStyle w:val="14"/>
              <w:spacing w:before="15" w:line="239" w:lineRule="exact"/>
              <w:ind w:left="579" w:right="569"/>
              <w:rPr>
                <w:rFonts w:ascii="Times New Roman"/>
                <w:sz w:val="21"/>
              </w:rPr>
            </w:pPr>
            <w:r>
              <w:rPr>
                <w:rFonts w:ascii="Times New Roman"/>
                <w:sz w:val="21"/>
              </w:rPr>
              <w:t>0.117</w:t>
            </w:r>
          </w:p>
        </w:tc>
      </w:tr>
    </w:tbl>
    <w:p>
      <w:pPr>
        <w:spacing w:after="0" w:line="239" w:lineRule="exact"/>
        <w:rPr>
          <w:rFonts w:ascii="Times New Roman"/>
          <w:sz w:val="21"/>
        </w:rPr>
        <w:sectPr>
          <w:pgSz w:w="11910" w:h="16840"/>
          <w:pgMar w:top="1540" w:right="780" w:bottom="1320" w:left="1200" w:header="0" w:footer="1058" w:gutter="0"/>
        </w:sectPr>
      </w:pP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24"/>
        <w:gridCol w:w="2315"/>
        <w:gridCol w:w="1509"/>
        <w:gridCol w:w="1725"/>
        <w:gridCol w:w="16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124" w:type="dxa"/>
            <w:vMerge w:val="restart"/>
          </w:tcPr>
          <w:p>
            <w:pPr>
              <w:pStyle w:val="14"/>
              <w:jc w:val="left"/>
              <w:rPr>
                <w:rFonts w:ascii="Times New Roman"/>
                <w:sz w:val="22"/>
              </w:rPr>
            </w:pPr>
          </w:p>
        </w:tc>
        <w:tc>
          <w:tcPr>
            <w:tcW w:w="2315" w:type="dxa"/>
          </w:tcPr>
          <w:p>
            <w:pPr>
              <w:pStyle w:val="14"/>
              <w:spacing w:before="3" w:line="253" w:lineRule="exact"/>
              <w:ind w:left="217" w:right="209"/>
              <w:rPr>
                <w:sz w:val="21"/>
              </w:rPr>
            </w:pPr>
            <w:r>
              <w:rPr>
                <w:rFonts w:ascii="Times New Roman" w:eastAsia="Times New Roman"/>
                <w:sz w:val="21"/>
              </w:rPr>
              <w:t xml:space="preserve">2020 </w:t>
            </w:r>
            <w:r>
              <w:rPr>
                <w:sz w:val="21"/>
              </w:rPr>
              <w:t xml:space="preserve">年 </w:t>
            </w:r>
            <w:r>
              <w:rPr>
                <w:rFonts w:ascii="Times New Roman" w:eastAsia="Times New Roman"/>
                <w:sz w:val="21"/>
              </w:rPr>
              <w:t xml:space="preserve">04 </w:t>
            </w:r>
            <w:r>
              <w:rPr>
                <w:sz w:val="21"/>
              </w:rPr>
              <w:t xml:space="preserve">月 </w:t>
            </w:r>
            <w:r>
              <w:rPr>
                <w:rFonts w:ascii="Times New Roman" w:eastAsia="Times New Roman"/>
                <w:sz w:val="21"/>
              </w:rPr>
              <w:t xml:space="preserve">19 </w:t>
            </w:r>
            <w:r>
              <w:rPr>
                <w:sz w:val="21"/>
              </w:rPr>
              <w:t>日</w:t>
            </w:r>
          </w:p>
        </w:tc>
        <w:tc>
          <w:tcPr>
            <w:tcW w:w="1509" w:type="dxa"/>
          </w:tcPr>
          <w:p>
            <w:pPr>
              <w:pStyle w:val="14"/>
              <w:spacing w:before="1" w:line="255" w:lineRule="exact"/>
              <w:ind w:left="311" w:right="302"/>
              <w:rPr>
                <w:rFonts w:ascii="Times New Roman"/>
                <w:sz w:val="24"/>
              </w:rPr>
            </w:pPr>
            <w:r>
              <w:rPr>
                <w:rFonts w:ascii="Times New Roman"/>
                <w:sz w:val="24"/>
              </w:rPr>
              <w:t>TSP</w:t>
            </w:r>
          </w:p>
        </w:tc>
        <w:tc>
          <w:tcPr>
            <w:tcW w:w="1725" w:type="dxa"/>
          </w:tcPr>
          <w:p>
            <w:pPr>
              <w:pStyle w:val="14"/>
              <w:spacing w:before="17" w:line="239" w:lineRule="exact"/>
              <w:ind w:left="455" w:right="448"/>
              <w:rPr>
                <w:rFonts w:ascii="Times New Roman"/>
                <w:sz w:val="21"/>
              </w:rPr>
            </w:pPr>
            <w:r>
              <w:rPr>
                <w:rFonts w:ascii="Times New Roman"/>
                <w:sz w:val="21"/>
              </w:rPr>
              <w:t>24h</w:t>
            </w:r>
          </w:p>
        </w:tc>
        <w:tc>
          <w:tcPr>
            <w:tcW w:w="1671" w:type="dxa"/>
          </w:tcPr>
          <w:p>
            <w:pPr>
              <w:pStyle w:val="14"/>
              <w:spacing w:before="17" w:line="239" w:lineRule="exact"/>
              <w:ind w:right="586"/>
              <w:jc w:val="right"/>
              <w:rPr>
                <w:rFonts w:ascii="Times New Roman"/>
                <w:sz w:val="21"/>
              </w:rPr>
            </w:pPr>
            <w:r>
              <w:rPr>
                <w:rFonts w:ascii="Times New Roman"/>
                <w:sz w:val="21"/>
              </w:rPr>
              <w:t>0.100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124" w:type="dxa"/>
            <w:vMerge w:val="continue"/>
            <w:tcBorders>
              <w:top w:val="nil"/>
            </w:tcBorders>
          </w:tcPr>
          <w:p>
            <w:pPr>
              <w:rPr>
                <w:sz w:val="2"/>
                <w:szCs w:val="2"/>
              </w:rPr>
            </w:pPr>
          </w:p>
        </w:tc>
        <w:tc>
          <w:tcPr>
            <w:tcW w:w="2315" w:type="dxa"/>
          </w:tcPr>
          <w:p>
            <w:pPr>
              <w:pStyle w:val="14"/>
              <w:spacing w:line="256" w:lineRule="exact"/>
              <w:ind w:left="217" w:right="209"/>
              <w:rPr>
                <w:sz w:val="21"/>
              </w:rPr>
            </w:pPr>
            <w:r>
              <w:rPr>
                <w:rFonts w:ascii="Times New Roman" w:eastAsia="Times New Roman"/>
                <w:sz w:val="21"/>
              </w:rPr>
              <w:t xml:space="preserve">2020 </w:t>
            </w:r>
            <w:r>
              <w:rPr>
                <w:sz w:val="21"/>
              </w:rPr>
              <w:t xml:space="preserve">年 </w:t>
            </w:r>
            <w:r>
              <w:rPr>
                <w:rFonts w:ascii="Times New Roman" w:eastAsia="Times New Roman"/>
                <w:sz w:val="21"/>
              </w:rPr>
              <w:t xml:space="preserve">04 </w:t>
            </w:r>
            <w:r>
              <w:rPr>
                <w:sz w:val="21"/>
              </w:rPr>
              <w:t xml:space="preserve">月 </w:t>
            </w:r>
            <w:r>
              <w:rPr>
                <w:rFonts w:ascii="Times New Roman" w:eastAsia="Times New Roman"/>
                <w:sz w:val="21"/>
              </w:rPr>
              <w:t xml:space="preserve">20 </w:t>
            </w:r>
            <w:r>
              <w:rPr>
                <w:sz w:val="21"/>
              </w:rPr>
              <w:t>日</w:t>
            </w:r>
          </w:p>
        </w:tc>
        <w:tc>
          <w:tcPr>
            <w:tcW w:w="1509" w:type="dxa"/>
          </w:tcPr>
          <w:p>
            <w:pPr>
              <w:pStyle w:val="14"/>
              <w:spacing w:line="256" w:lineRule="exact"/>
              <w:ind w:left="311" w:right="302"/>
              <w:rPr>
                <w:rFonts w:ascii="Times New Roman"/>
                <w:sz w:val="24"/>
              </w:rPr>
            </w:pPr>
            <w:r>
              <w:rPr>
                <w:rFonts w:ascii="Times New Roman"/>
                <w:sz w:val="24"/>
              </w:rPr>
              <w:t>TSP</w:t>
            </w:r>
          </w:p>
        </w:tc>
        <w:tc>
          <w:tcPr>
            <w:tcW w:w="1725" w:type="dxa"/>
          </w:tcPr>
          <w:p>
            <w:pPr>
              <w:pStyle w:val="14"/>
              <w:spacing w:before="14"/>
              <w:ind w:left="455" w:right="448"/>
              <w:rPr>
                <w:rFonts w:ascii="Times New Roman"/>
                <w:sz w:val="21"/>
              </w:rPr>
            </w:pPr>
            <w:r>
              <w:rPr>
                <w:rFonts w:ascii="Times New Roman"/>
                <w:sz w:val="21"/>
              </w:rPr>
              <w:t>24h</w:t>
            </w:r>
          </w:p>
        </w:tc>
        <w:tc>
          <w:tcPr>
            <w:tcW w:w="1671" w:type="dxa"/>
          </w:tcPr>
          <w:p>
            <w:pPr>
              <w:pStyle w:val="14"/>
              <w:spacing w:before="14"/>
              <w:ind w:right="586"/>
              <w:jc w:val="right"/>
              <w:rPr>
                <w:rFonts w:ascii="Times New Roman"/>
                <w:sz w:val="21"/>
              </w:rPr>
            </w:pPr>
            <w:r>
              <w:rPr>
                <w:rFonts w:ascii="Times New Roman"/>
                <w:sz w:val="21"/>
              </w:rPr>
              <w:t>0.100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2124" w:type="dxa"/>
            <w:vMerge w:val="restart"/>
          </w:tcPr>
          <w:p>
            <w:pPr>
              <w:pStyle w:val="14"/>
              <w:jc w:val="left"/>
              <w:rPr>
                <w:rFonts w:ascii="Times New Roman"/>
                <w:b/>
                <w:sz w:val="22"/>
              </w:rPr>
            </w:pPr>
          </w:p>
          <w:p>
            <w:pPr>
              <w:pStyle w:val="14"/>
              <w:jc w:val="left"/>
              <w:rPr>
                <w:rFonts w:ascii="Times New Roman"/>
                <w:b/>
                <w:sz w:val="22"/>
              </w:rPr>
            </w:pPr>
          </w:p>
          <w:p>
            <w:pPr>
              <w:pStyle w:val="14"/>
              <w:spacing w:before="8"/>
              <w:jc w:val="left"/>
              <w:rPr>
                <w:rFonts w:ascii="Times New Roman"/>
                <w:b/>
                <w:sz w:val="30"/>
              </w:rPr>
            </w:pPr>
          </w:p>
          <w:p>
            <w:pPr>
              <w:pStyle w:val="14"/>
              <w:ind w:left="375"/>
              <w:jc w:val="left"/>
              <w:rPr>
                <w:rFonts w:ascii="Times New Roman" w:eastAsia="Times New Roman"/>
                <w:sz w:val="21"/>
              </w:rPr>
            </w:pPr>
            <w:r>
              <w:rPr>
                <w:rFonts w:ascii="Times New Roman" w:eastAsia="Times New Roman"/>
                <w:sz w:val="21"/>
              </w:rPr>
              <w:t>2#</w:t>
            </w:r>
            <w:r>
              <w:rPr>
                <w:sz w:val="21"/>
              </w:rPr>
              <w:t xml:space="preserve">下风向 </w:t>
            </w:r>
            <w:r>
              <w:rPr>
                <w:rFonts w:ascii="Times New Roman" w:eastAsia="Times New Roman"/>
                <w:sz w:val="21"/>
              </w:rPr>
              <w:t>500m</w:t>
            </w:r>
          </w:p>
        </w:tc>
        <w:tc>
          <w:tcPr>
            <w:tcW w:w="2315" w:type="dxa"/>
          </w:tcPr>
          <w:p>
            <w:pPr>
              <w:pStyle w:val="14"/>
              <w:spacing w:line="256" w:lineRule="exact"/>
              <w:ind w:left="217" w:right="209"/>
              <w:rPr>
                <w:sz w:val="21"/>
              </w:rPr>
            </w:pPr>
            <w:r>
              <w:rPr>
                <w:rFonts w:ascii="Times New Roman" w:eastAsia="Times New Roman"/>
                <w:sz w:val="21"/>
              </w:rPr>
              <w:t xml:space="preserve">2020 </w:t>
            </w:r>
            <w:r>
              <w:rPr>
                <w:sz w:val="21"/>
              </w:rPr>
              <w:t xml:space="preserve">年 </w:t>
            </w:r>
            <w:r>
              <w:rPr>
                <w:rFonts w:ascii="Times New Roman" w:eastAsia="Times New Roman"/>
                <w:sz w:val="21"/>
              </w:rPr>
              <w:t xml:space="preserve">04 </w:t>
            </w:r>
            <w:r>
              <w:rPr>
                <w:sz w:val="21"/>
              </w:rPr>
              <w:t xml:space="preserve">月 </w:t>
            </w:r>
            <w:r>
              <w:rPr>
                <w:rFonts w:ascii="Times New Roman" w:eastAsia="Times New Roman"/>
                <w:sz w:val="21"/>
              </w:rPr>
              <w:t xml:space="preserve">14 </w:t>
            </w:r>
            <w:r>
              <w:rPr>
                <w:sz w:val="21"/>
              </w:rPr>
              <w:t>日</w:t>
            </w:r>
          </w:p>
        </w:tc>
        <w:tc>
          <w:tcPr>
            <w:tcW w:w="1509" w:type="dxa"/>
          </w:tcPr>
          <w:p>
            <w:pPr>
              <w:pStyle w:val="14"/>
              <w:spacing w:line="256" w:lineRule="exact"/>
              <w:ind w:left="311" w:right="302"/>
              <w:rPr>
                <w:rFonts w:ascii="Times New Roman"/>
                <w:sz w:val="24"/>
              </w:rPr>
            </w:pPr>
            <w:r>
              <w:rPr>
                <w:rFonts w:ascii="Times New Roman"/>
                <w:sz w:val="24"/>
              </w:rPr>
              <w:t>TSP</w:t>
            </w:r>
          </w:p>
        </w:tc>
        <w:tc>
          <w:tcPr>
            <w:tcW w:w="1725" w:type="dxa"/>
          </w:tcPr>
          <w:p>
            <w:pPr>
              <w:pStyle w:val="14"/>
              <w:spacing w:before="14"/>
              <w:ind w:left="455" w:right="448"/>
              <w:rPr>
                <w:rFonts w:ascii="Times New Roman"/>
                <w:sz w:val="21"/>
              </w:rPr>
            </w:pPr>
            <w:r>
              <w:rPr>
                <w:rFonts w:ascii="Times New Roman"/>
                <w:sz w:val="21"/>
              </w:rPr>
              <w:t>24h</w:t>
            </w:r>
          </w:p>
        </w:tc>
        <w:tc>
          <w:tcPr>
            <w:tcW w:w="1671" w:type="dxa"/>
          </w:tcPr>
          <w:p>
            <w:pPr>
              <w:pStyle w:val="14"/>
              <w:spacing w:before="14"/>
              <w:ind w:right="586"/>
              <w:jc w:val="right"/>
              <w:rPr>
                <w:rFonts w:ascii="Times New Roman"/>
                <w:sz w:val="21"/>
              </w:rPr>
            </w:pPr>
            <w:r>
              <w:rPr>
                <w:rFonts w:ascii="Times New Roman"/>
                <w:sz w:val="21"/>
              </w:rPr>
              <w:t>0.100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124" w:type="dxa"/>
            <w:vMerge w:val="continue"/>
            <w:tcBorders>
              <w:top w:val="nil"/>
            </w:tcBorders>
          </w:tcPr>
          <w:p>
            <w:pPr>
              <w:rPr>
                <w:sz w:val="2"/>
                <w:szCs w:val="2"/>
              </w:rPr>
            </w:pPr>
          </w:p>
        </w:tc>
        <w:tc>
          <w:tcPr>
            <w:tcW w:w="2315" w:type="dxa"/>
          </w:tcPr>
          <w:p>
            <w:pPr>
              <w:pStyle w:val="14"/>
              <w:spacing w:before="2" w:line="254" w:lineRule="exact"/>
              <w:ind w:left="217" w:right="209"/>
              <w:rPr>
                <w:sz w:val="21"/>
              </w:rPr>
            </w:pPr>
            <w:r>
              <w:rPr>
                <w:rFonts w:ascii="Times New Roman" w:eastAsia="Times New Roman"/>
                <w:sz w:val="21"/>
              </w:rPr>
              <w:t xml:space="preserve">2020 </w:t>
            </w:r>
            <w:r>
              <w:rPr>
                <w:sz w:val="21"/>
              </w:rPr>
              <w:t xml:space="preserve">年 </w:t>
            </w:r>
            <w:r>
              <w:rPr>
                <w:rFonts w:ascii="Times New Roman" w:eastAsia="Times New Roman"/>
                <w:sz w:val="21"/>
              </w:rPr>
              <w:t xml:space="preserve">04 </w:t>
            </w:r>
            <w:r>
              <w:rPr>
                <w:sz w:val="21"/>
              </w:rPr>
              <w:t xml:space="preserve">月 </w:t>
            </w:r>
            <w:r>
              <w:rPr>
                <w:rFonts w:ascii="Times New Roman" w:eastAsia="Times New Roman"/>
                <w:sz w:val="21"/>
              </w:rPr>
              <w:t xml:space="preserve">15 </w:t>
            </w:r>
            <w:r>
              <w:rPr>
                <w:sz w:val="21"/>
              </w:rPr>
              <w:t>日</w:t>
            </w:r>
          </w:p>
        </w:tc>
        <w:tc>
          <w:tcPr>
            <w:tcW w:w="1509" w:type="dxa"/>
          </w:tcPr>
          <w:p>
            <w:pPr>
              <w:pStyle w:val="14"/>
              <w:spacing w:line="256" w:lineRule="exact"/>
              <w:ind w:left="311" w:right="302"/>
              <w:rPr>
                <w:rFonts w:ascii="Times New Roman"/>
                <w:sz w:val="24"/>
              </w:rPr>
            </w:pPr>
            <w:r>
              <w:rPr>
                <w:rFonts w:ascii="Times New Roman"/>
                <w:sz w:val="24"/>
              </w:rPr>
              <w:t>TSP</w:t>
            </w:r>
          </w:p>
        </w:tc>
        <w:tc>
          <w:tcPr>
            <w:tcW w:w="1725" w:type="dxa"/>
          </w:tcPr>
          <w:p>
            <w:pPr>
              <w:pStyle w:val="14"/>
              <w:spacing w:before="16" w:line="240" w:lineRule="exact"/>
              <w:ind w:left="455" w:right="448"/>
              <w:rPr>
                <w:rFonts w:ascii="Times New Roman"/>
                <w:sz w:val="21"/>
              </w:rPr>
            </w:pPr>
            <w:r>
              <w:rPr>
                <w:rFonts w:ascii="Times New Roman"/>
                <w:sz w:val="21"/>
              </w:rPr>
              <w:t>24h</w:t>
            </w:r>
          </w:p>
        </w:tc>
        <w:tc>
          <w:tcPr>
            <w:tcW w:w="1671" w:type="dxa"/>
          </w:tcPr>
          <w:p>
            <w:pPr>
              <w:pStyle w:val="14"/>
              <w:spacing w:before="16" w:line="240" w:lineRule="exact"/>
              <w:ind w:right="586"/>
              <w:jc w:val="right"/>
              <w:rPr>
                <w:rFonts w:ascii="Times New Roman"/>
                <w:sz w:val="21"/>
              </w:rPr>
            </w:pPr>
            <w:r>
              <w:rPr>
                <w:rFonts w:ascii="Times New Roman"/>
                <w:sz w:val="21"/>
              </w:rPr>
              <w:t>0.100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2124" w:type="dxa"/>
            <w:vMerge w:val="continue"/>
            <w:tcBorders>
              <w:top w:val="nil"/>
            </w:tcBorders>
          </w:tcPr>
          <w:p>
            <w:pPr>
              <w:rPr>
                <w:sz w:val="2"/>
                <w:szCs w:val="2"/>
              </w:rPr>
            </w:pPr>
          </w:p>
        </w:tc>
        <w:tc>
          <w:tcPr>
            <w:tcW w:w="2315" w:type="dxa"/>
          </w:tcPr>
          <w:p>
            <w:pPr>
              <w:pStyle w:val="14"/>
              <w:spacing w:before="1" w:line="254" w:lineRule="exact"/>
              <w:ind w:left="217" w:right="209"/>
              <w:rPr>
                <w:sz w:val="21"/>
              </w:rPr>
            </w:pPr>
            <w:r>
              <w:rPr>
                <w:rFonts w:ascii="Times New Roman" w:eastAsia="Times New Roman"/>
                <w:sz w:val="21"/>
              </w:rPr>
              <w:t xml:space="preserve">2020 </w:t>
            </w:r>
            <w:r>
              <w:rPr>
                <w:sz w:val="21"/>
              </w:rPr>
              <w:t xml:space="preserve">年 </w:t>
            </w:r>
            <w:r>
              <w:rPr>
                <w:rFonts w:ascii="Times New Roman" w:eastAsia="Times New Roman"/>
                <w:sz w:val="21"/>
              </w:rPr>
              <w:t xml:space="preserve">04 </w:t>
            </w:r>
            <w:r>
              <w:rPr>
                <w:sz w:val="21"/>
              </w:rPr>
              <w:t xml:space="preserve">月 </w:t>
            </w:r>
            <w:r>
              <w:rPr>
                <w:rFonts w:ascii="Times New Roman" w:eastAsia="Times New Roman"/>
                <w:sz w:val="21"/>
              </w:rPr>
              <w:t xml:space="preserve">16 </w:t>
            </w:r>
            <w:r>
              <w:rPr>
                <w:sz w:val="21"/>
              </w:rPr>
              <w:t>日</w:t>
            </w:r>
          </w:p>
        </w:tc>
        <w:tc>
          <w:tcPr>
            <w:tcW w:w="1509" w:type="dxa"/>
          </w:tcPr>
          <w:p>
            <w:pPr>
              <w:pStyle w:val="14"/>
              <w:spacing w:line="256" w:lineRule="exact"/>
              <w:ind w:left="311" w:right="302"/>
              <w:rPr>
                <w:rFonts w:ascii="Times New Roman"/>
                <w:sz w:val="24"/>
              </w:rPr>
            </w:pPr>
            <w:r>
              <w:rPr>
                <w:rFonts w:ascii="Times New Roman"/>
                <w:sz w:val="24"/>
              </w:rPr>
              <w:t>TSP</w:t>
            </w:r>
          </w:p>
        </w:tc>
        <w:tc>
          <w:tcPr>
            <w:tcW w:w="1725" w:type="dxa"/>
          </w:tcPr>
          <w:p>
            <w:pPr>
              <w:pStyle w:val="14"/>
              <w:spacing w:before="15" w:line="240" w:lineRule="exact"/>
              <w:ind w:left="455" w:right="448"/>
              <w:rPr>
                <w:rFonts w:ascii="Times New Roman"/>
                <w:sz w:val="21"/>
              </w:rPr>
            </w:pPr>
            <w:r>
              <w:rPr>
                <w:rFonts w:ascii="Times New Roman"/>
                <w:sz w:val="21"/>
              </w:rPr>
              <w:t>24h</w:t>
            </w:r>
          </w:p>
        </w:tc>
        <w:tc>
          <w:tcPr>
            <w:tcW w:w="1671" w:type="dxa"/>
          </w:tcPr>
          <w:p>
            <w:pPr>
              <w:pStyle w:val="14"/>
              <w:spacing w:before="15" w:line="240" w:lineRule="exact"/>
              <w:ind w:right="586"/>
              <w:jc w:val="right"/>
              <w:rPr>
                <w:rFonts w:ascii="Times New Roman"/>
                <w:sz w:val="21"/>
              </w:rPr>
            </w:pPr>
            <w:r>
              <w:rPr>
                <w:rFonts w:ascii="Times New Roman"/>
                <w:sz w:val="21"/>
              </w:rPr>
              <w:t>0.100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124" w:type="dxa"/>
            <w:vMerge w:val="continue"/>
            <w:tcBorders>
              <w:top w:val="nil"/>
            </w:tcBorders>
          </w:tcPr>
          <w:p>
            <w:pPr>
              <w:rPr>
                <w:sz w:val="2"/>
                <w:szCs w:val="2"/>
              </w:rPr>
            </w:pPr>
          </w:p>
        </w:tc>
        <w:tc>
          <w:tcPr>
            <w:tcW w:w="2315" w:type="dxa"/>
          </w:tcPr>
          <w:p>
            <w:pPr>
              <w:pStyle w:val="14"/>
              <w:spacing w:before="1" w:line="255" w:lineRule="exact"/>
              <w:ind w:left="217" w:right="209"/>
              <w:rPr>
                <w:sz w:val="21"/>
              </w:rPr>
            </w:pPr>
            <w:r>
              <w:rPr>
                <w:rFonts w:ascii="Times New Roman" w:eastAsia="Times New Roman"/>
                <w:sz w:val="21"/>
              </w:rPr>
              <w:t xml:space="preserve">2020 </w:t>
            </w:r>
            <w:r>
              <w:rPr>
                <w:sz w:val="21"/>
              </w:rPr>
              <w:t xml:space="preserve">年 </w:t>
            </w:r>
            <w:r>
              <w:rPr>
                <w:rFonts w:ascii="Times New Roman" w:eastAsia="Times New Roman"/>
                <w:sz w:val="21"/>
              </w:rPr>
              <w:t xml:space="preserve">04 </w:t>
            </w:r>
            <w:r>
              <w:rPr>
                <w:sz w:val="21"/>
              </w:rPr>
              <w:t xml:space="preserve">月 </w:t>
            </w:r>
            <w:r>
              <w:rPr>
                <w:rFonts w:ascii="Times New Roman" w:eastAsia="Times New Roman"/>
                <w:sz w:val="21"/>
              </w:rPr>
              <w:t xml:space="preserve">17 </w:t>
            </w:r>
            <w:r>
              <w:rPr>
                <w:sz w:val="21"/>
              </w:rPr>
              <w:t>日</w:t>
            </w:r>
          </w:p>
        </w:tc>
        <w:tc>
          <w:tcPr>
            <w:tcW w:w="1509" w:type="dxa"/>
          </w:tcPr>
          <w:p>
            <w:pPr>
              <w:pStyle w:val="14"/>
              <w:spacing w:line="256" w:lineRule="exact"/>
              <w:ind w:left="311" w:right="302"/>
              <w:rPr>
                <w:rFonts w:ascii="Times New Roman"/>
                <w:sz w:val="24"/>
              </w:rPr>
            </w:pPr>
            <w:r>
              <w:rPr>
                <w:rFonts w:ascii="Times New Roman"/>
                <w:sz w:val="24"/>
              </w:rPr>
              <w:t>TSP</w:t>
            </w:r>
          </w:p>
        </w:tc>
        <w:tc>
          <w:tcPr>
            <w:tcW w:w="1725" w:type="dxa"/>
          </w:tcPr>
          <w:p>
            <w:pPr>
              <w:pStyle w:val="14"/>
              <w:spacing w:before="15" w:line="241" w:lineRule="exact"/>
              <w:ind w:left="455" w:right="448"/>
              <w:rPr>
                <w:rFonts w:ascii="Times New Roman"/>
                <w:sz w:val="21"/>
              </w:rPr>
            </w:pPr>
            <w:r>
              <w:rPr>
                <w:rFonts w:ascii="Times New Roman"/>
                <w:sz w:val="21"/>
              </w:rPr>
              <w:t>24h</w:t>
            </w:r>
          </w:p>
        </w:tc>
        <w:tc>
          <w:tcPr>
            <w:tcW w:w="1671" w:type="dxa"/>
          </w:tcPr>
          <w:p>
            <w:pPr>
              <w:pStyle w:val="14"/>
              <w:spacing w:before="15" w:line="241" w:lineRule="exact"/>
              <w:ind w:right="586"/>
              <w:jc w:val="right"/>
              <w:rPr>
                <w:rFonts w:ascii="Times New Roman"/>
                <w:sz w:val="21"/>
              </w:rPr>
            </w:pPr>
            <w:r>
              <w:rPr>
                <w:rFonts w:ascii="Times New Roman"/>
                <w:sz w:val="21"/>
              </w:rPr>
              <w:t>0.117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124" w:type="dxa"/>
            <w:vMerge w:val="continue"/>
            <w:tcBorders>
              <w:top w:val="nil"/>
            </w:tcBorders>
          </w:tcPr>
          <w:p>
            <w:pPr>
              <w:rPr>
                <w:sz w:val="2"/>
                <w:szCs w:val="2"/>
              </w:rPr>
            </w:pPr>
          </w:p>
        </w:tc>
        <w:tc>
          <w:tcPr>
            <w:tcW w:w="2315" w:type="dxa"/>
          </w:tcPr>
          <w:p>
            <w:pPr>
              <w:pStyle w:val="14"/>
              <w:spacing w:before="1" w:line="255" w:lineRule="exact"/>
              <w:ind w:left="217" w:right="209"/>
              <w:rPr>
                <w:sz w:val="21"/>
              </w:rPr>
            </w:pPr>
            <w:r>
              <w:rPr>
                <w:rFonts w:ascii="Times New Roman" w:eastAsia="Times New Roman"/>
                <w:sz w:val="21"/>
              </w:rPr>
              <w:t xml:space="preserve">2020 </w:t>
            </w:r>
            <w:r>
              <w:rPr>
                <w:sz w:val="21"/>
              </w:rPr>
              <w:t xml:space="preserve">年 </w:t>
            </w:r>
            <w:r>
              <w:rPr>
                <w:rFonts w:ascii="Times New Roman" w:eastAsia="Times New Roman"/>
                <w:sz w:val="21"/>
              </w:rPr>
              <w:t xml:space="preserve">04 </w:t>
            </w:r>
            <w:r>
              <w:rPr>
                <w:sz w:val="21"/>
              </w:rPr>
              <w:t xml:space="preserve">月 </w:t>
            </w:r>
            <w:r>
              <w:rPr>
                <w:rFonts w:ascii="Times New Roman" w:eastAsia="Times New Roman"/>
                <w:sz w:val="21"/>
              </w:rPr>
              <w:t xml:space="preserve">18 </w:t>
            </w:r>
            <w:r>
              <w:rPr>
                <w:sz w:val="21"/>
              </w:rPr>
              <w:t>日</w:t>
            </w:r>
          </w:p>
        </w:tc>
        <w:tc>
          <w:tcPr>
            <w:tcW w:w="1509" w:type="dxa"/>
          </w:tcPr>
          <w:p>
            <w:pPr>
              <w:pStyle w:val="14"/>
              <w:spacing w:line="256" w:lineRule="exact"/>
              <w:ind w:left="311" w:right="302"/>
              <w:rPr>
                <w:rFonts w:ascii="Times New Roman"/>
                <w:sz w:val="24"/>
              </w:rPr>
            </w:pPr>
            <w:r>
              <w:rPr>
                <w:rFonts w:ascii="Times New Roman"/>
                <w:sz w:val="24"/>
              </w:rPr>
              <w:t>TSP</w:t>
            </w:r>
          </w:p>
        </w:tc>
        <w:tc>
          <w:tcPr>
            <w:tcW w:w="1725" w:type="dxa"/>
          </w:tcPr>
          <w:p>
            <w:pPr>
              <w:pStyle w:val="14"/>
              <w:spacing w:before="14" w:line="241" w:lineRule="exact"/>
              <w:ind w:left="455" w:right="448"/>
              <w:rPr>
                <w:rFonts w:ascii="Times New Roman"/>
                <w:sz w:val="21"/>
              </w:rPr>
            </w:pPr>
            <w:r>
              <w:rPr>
                <w:rFonts w:ascii="Times New Roman"/>
                <w:sz w:val="21"/>
              </w:rPr>
              <w:t>24h</w:t>
            </w:r>
          </w:p>
        </w:tc>
        <w:tc>
          <w:tcPr>
            <w:tcW w:w="1671" w:type="dxa"/>
          </w:tcPr>
          <w:p>
            <w:pPr>
              <w:pStyle w:val="14"/>
              <w:spacing w:before="14" w:line="241" w:lineRule="exact"/>
              <w:ind w:right="586"/>
              <w:jc w:val="right"/>
              <w:rPr>
                <w:rFonts w:ascii="Times New Roman"/>
                <w:sz w:val="21"/>
              </w:rPr>
            </w:pPr>
            <w:r>
              <w:rPr>
                <w:rFonts w:ascii="Times New Roman"/>
                <w:sz w:val="21"/>
              </w:rPr>
              <w:t>0.083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2124" w:type="dxa"/>
            <w:vMerge w:val="continue"/>
            <w:tcBorders>
              <w:top w:val="nil"/>
            </w:tcBorders>
          </w:tcPr>
          <w:p>
            <w:pPr>
              <w:rPr>
                <w:sz w:val="2"/>
                <w:szCs w:val="2"/>
              </w:rPr>
            </w:pPr>
          </w:p>
        </w:tc>
        <w:tc>
          <w:tcPr>
            <w:tcW w:w="2315" w:type="dxa"/>
          </w:tcPr>
          <w:p>
            <w:pPr>
              <w:pStyle w:val="14"/>
              <w:spacing w:line="256" w:lineRule="exact"/>
              <w:ind w:left="217" w:right="209"/>
              <w:rPr>
                <w:sz w:val="21"/>
              </w:rPr>
            </w:pPr>
            <w:r>
              <w:rPr>
                <w:rFonts w:ascii="Times New Roman" w:eastAsia="Times New Roman"/>
                <w:sz w:val="21"/>
              </w:rPr>
              <w:t xml:space="preserve">2020 </w:t>
            </w:r>
            <w:r>
              <w:rPr>
                <w:sz w:val="21"/>
              </w:rPr>
              <w:t xml:space="preserve">年 </w:t>
            </w:r>
            <w:r>
              <w:rPr>
                <w:rFonts w:ascii="Times New Roman" w:eastAsia="Times New Roman"/>
                <w:sz w:val="21"/>
              </w:rPr>
              <w:t xml:space="preserve">04 </w:t>
            </w:r>
            <w:r>
              <w:rPr>
                <w:sz w:val="21"/>
              </w:rPr>
              <w:t xml:space="preserve">月 </w:t>
            </w:r>
            <w:r>
              <w:rPr>
                <w:rFonts w:ascii="Times New Roman" w:eastAsia="Times New Roman"/>
                <w:sz w:val="21"/>
              </w:rPr>
              <w:t xml:space="preserve">19 </w:t>
            </w:r>
            <w:r>
              <w:rPr>
                <w:sz w:val="21"/>
              </w:rPr>
              <w:t>日</w:t>
            </w:r>
          </w:p>
        </w:tc>
        <w:tc>
          <w:tcPr>
            <w:tcW w:w="1509" w:type="dxa"/>
          </w:tcPr>
          <w:p>
            <w:pPr>
              <w:pStyle w:val="14"/>
              <w:spacing w:line="256" w:lineRule="exact"/>
              <w:ind w:left="311" w:right="302"/>
              <w:rPr>
                <w:rFonts w:ascii="Times New Roman"/>
                <w:sz w:val="24"/>
              </w:rPr>
            </w:pPr>
            <w:r>
              <w:rPr>
                <w:rFonts w:ascii="Times New Roman"/>
                <w:sz w:val="24"/>
              </w:rPr>
              <w:t>TSP</w:t>
            </w:r>
          </w:p>
        </w:tc>
        <w:tc>
          <w:tcPr>
            <w:tcW w:w="1725" w:type="dxa"/>
          </w:tcPr>
          <w:p>
            <w:pPr>
              <w:pStyle w:val="14"/>
              <w:spacing w:before="14"/>
              <w:ind w:left="455" w:right="448"/>
              <w:rPr>
                <w:rFonts w:ascii="Times New Roman"/>
                <w:sz w:val="21"/>
              </w:rPr>
            </w:pPr>
            <w:r>
              <w:rPr>
                <w:rFonts w:ascii="Times New Roman"/>
                <w:sz w:val="21"/>
              </w:rPr>
              <w:t>24h</w:t>
            </w:r>
          </w:p>
        </w:tc>
        <w:tc>
          <w:tcPr>
            <w:tcW w:w="1671" w:type="dxa"/>
          </w:tcPr>
          <w:p>
            <w:pPr>
              <w:pStyle w:val="14"/>
              <w:spacing w:before="14"/>
              <w:ind w:right="586"/>
              <w:jc w:val="right"/>
              <w:rPr>
                <w:rFonts w:ascii="Times New Roman"/>
                <w:sz w:val="21"/>
              </w:rPr>
            </w:pPr>
            <w:r>
              <w:rPr>
                <w:rFonts w:ascii="Times New Roman"/>
                <w:sz w:val="21"/>
              </w:rPr>
              <w:t>0.117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124" w:type="dxa"/>
            <w:vMerge w:val="continue"/>
            <w:tcBorders>
              <w:top w:val="nil"/>
            </w:tcBorders>
          </w:tcPr>
          <w:p>
            <w:pPr>
              <w:rPr>
                <w:sz w:val="2"/>
                <w:szCs w:val="2"/>
              </w:rPr>
            </w:pPr>
          </w:p>
        </w:tc>
        <w:tc>
          <w:tcPr>
            <w:tcW w:w="2315" w:type="dxa"/>
          </w:tcPr>
          <w:p>
            <w:pPr>
              <w:pStyle w:val="14"/>
              <w:spacing w:line="256" w:lineRule="exact"/>
              <w:ind w:left="217" w:right="209"/>
              <w:rPr>
                <w:sz w:val="21"/>
              </w:rPr>
            </w:pPr>
            <w:r>
              <w:rPr>
                <w:rFonts w:ascii="Times New Roman" w:eastAsia="Times New Roman"/>
                <w:sz w:val="21"/>
              </w:rPr>
              <w:t xml:space="preserve">2020 </w:t>
            </w:r>
            <w:r>
              <w:rPr>
                <w:sz w:val="21"/>
              </w:rPr>
              <w:t xml:space="preserve">年 </w:t>
            </w:r>
            <w:r>
              <w:rPr>
                <w:rFonts w:ascii="Times New Roman" w:eastAsia="Times New Roman"/>
                <w:sz w:val="21"/>
              </w:rPr>
              <w:t xml:space="preserve">04 </w:t>
            </w:r>
            <w:r>
              <w:rPr>
                <w:sz w:val="21"/>
              </w:rPr>
              <w:t xml:space="preserve">月 </w:t>
            </w:r>
            <w:r>
              <w:rPr>
                <w:rFonts w:ascii="Times New Roman" w:eastAsia="Times New Roman"/>
                <w:sz w:val="21"/>
              </w:rPr>
              <w:t xml:space="preserve">20 </w:t>
            </w:r>
            <w:r>
              <w:rPr>
                <w:sz w:val="21"/>
              </w:rPr>
              <w:t>日</w:t>
            </w:r>
          </w:p>
        </w:tc>
        <w:tc>
          <w:tcPr>
            <w:tcW w:w="1509" w:type="dxa"/>
          </w:tcPr>
          <w:p>
            <w:pPr>
              <w:pStyle w:val="14"/>
              <w:spacing w:line="256" w:lineRule="exact"/>
              <w:ind w:left="311" w:right="302"/>
              <w:rPr>
                <w:rFonts w:ascii="Times New Roman"/>
                <w:sz w:val="24"/>
              </w:rPr>
            </w:pPr>
            <w:r>
              <w:rPr>
                <w:rFonts w:ascii="Times New Roman"/>
                <w:sz w:val="24"/>
              </w:rPr>
              <w:t>TSP</w:t>
            </w:r>
          </w:p>
        </w:tc>
        <w:tc>
          <w:tcPr>
            <w:tcW w:w="1725" w:type="dxa"/>
          </w:tcPr>
          <w:p>
            <w:pPr>
              <w:pStyle w:val="14"/>
              <w:spacing w:before="14"/>
              <w:ind w:left="455" w:right="448"/>
              <w:rPr>
                <w:rFonts w:ascii="Times New Roman"/>
                <w:sz w:val="21"/>
              </w:rPr>
            </w:pPr>
            <w:r>
              <w:rPr>
                <w:rFonts w:ascii="Times New Roman"/>
                <w:sz w:val="21"/>
              </w:rPr>
              <w:t>24h</w:t>
            </w:r>
          </w:p>
        </w:tc>
        <w:tc>
          <w:tcPr>
            <w:tcW w:w="1671" w:type="dxa"/>
          </w:tcPr>
          <w:p>
            <w:pPr>
              <w:pStyle w:val="14"/>
              <w:spacing w:before="14"/>
              <w:ind w:right="586"/>
              <w:jc w:val="right"/>
              <w:rPr>
                <w:rFonts w:ascii="Times New Roman"/>
                <w:sz w:val="21"/>
              </w:rPr>
            </w:pPr>
            <w:r>
              <w:rPr>
                <w:rFonts w:ascii="Times New Roman"/>
                <w:sz w:val="21"/>
              </w:rPr>
              <w:t>0.100</w:t>
            </w:r>
          </w:p>
        </w:tc>
      </w:tr>
    </w:tbl>
    <w:p>
      <w:pPr>
        <w:pStyle w:val="13"/>
        <w:numPr>
          <w:ilvl w:val="2"/>
          <w:numId w:val="65"/>
        </w:numPr>
        <w:tabs>
          <w:tab w:val="left" w:pos="848"/>
        </w:tabs>
        <w:spacing w:before="5" w:after="0" w:line="240" w:lineRule="auto"/>
        <w:ind w:left="847" w:right="0" w:hanging="633"/>
        <w:jc w:val="left"/>
        <w:rPr>
          <w:b/>
          <w:sz w:val="28"/>
        </w:rPr>
      </w:pPr>
      <w:bookmarkStart w:id="749" w:name="8.2.3环境空气质量现状评价"/>
      <w:bookmarkEnd w:id="749"/>
      <w:bookmarkStart w:id="750" w:name="8.2.3环境空气质量现状评价"/>
      <w:bookmarkEnd w:id="750"/>
      <w:r>
        <w:rPr>
          <w:b/>
          <w:sz w:val="28"/>
        </w:rPr>
        <w:t>环境空气质量现状评价</w:t>
      </w:r>
    </w:p>
    <w:p>
      <w:pPr>
        <w:pStyle w:val="6"/>
        <w:spacing w:before="186"/>
        <w:ind w:left="696"/>
      </w:pPr>
      <w:r>
        <w:rPr>
          <w:rFonts w:ascii="Times New Roman" w:eastAsia="Times New Roman"/>
        </w:rPr>
        <w:t>1</w:t>
      </w:r>
      <w:r>
        <w:t>、评价参数</w:t>
      </w:r>
    </w:p>
    <w:p>
      <w:pPr>
        <w:pStyle w:val="6"/>
        <w:spacing w:before="160"/>
        <w:ind w:left="696"/>
      </w:pPr>
      <w:r>
        <w:t>评价参数同监测参数</w:t>
      </w:r>
    </w:p>
    <w:p>
      <w:pPr>
        <w:pStyle w:val="6"/>
        <w:spacing w:before="158"/>
        <w:ind w:left="696"/>
      </w:pPr>
      <w:r>
        <w:rPr>
          <w:rFonts w:ascii="Times New Roman" w:eastAsia="Times New Roman"/>
        </w:rPr>
        <w:t>2</w:t>
      </w:r>
      <w:r>
        <w:t>、评价标准</w:t>
      </w:r>
    </w:p>
    <w:p>
      <w:pPr>
        <w:pStyle w:val="6"/>
        <w:spacing w:before="161"/>
        <w:ind w:left="696"/>
      </w:pPr>
      <w:r>
        <w:rPr>
          <w:rFonts w:ascii="Times New Roman" w:eastAsia="Times New Roman"/>
        </w:rPr>
        <w:t xml:space="preserve">TSP </w:t>
      </w:r>
      <w:r>
        <w:t>执行《环境空气质量标准》（</w:t>
      </w:r>
      <w:r>
        <w:rPr>
          <w:rFonts w:ascii="Times New Roman" w:eastAsia="Times New Roman"/>
        </w:rPr>
        <w:t>GB3095-2012</w:t>
      </w:r>
      <w:r>
        <w:t xml:space="preserve">）表 </w:t>
      </w:r>
      <w:r>
        <w:rPr>
          <w:rFonts w:ascii="Times New Roman" w:eastAsia="Times New Roman"/>
        </w:rPr>
        <w:t xml:space="preserve">2 </w:t>
      </w:r>
      <w:r>
        <w:t>二级标准限值要求。</w:t>
      </w:r>
    </w:p>
    <w:p>
      <w:pPr>
        <w:pStyle w:val="6"/>
        <w:spacing w:before="158"/>
        <w:ind w:left="696"/>
      </w:pPr>
      <w:r>
        <w:rPr>
          <w:rFonts w:ascii="Times New Roman" w:eastAsia="Times New Roman"/>
        </w:rPr>
        <w:t>3</w:t>
      </w:r>
      <w:r>
        <w:t>、评价方法</w:t>
      </w:r>
    </w:p>
    <w:p>
      <w:pPr>
        <w:pStyle w:val="6"/>
        <w:spacing w:before="160"/>
        <w:ind w:left="696"/>
      </w:pPr>
      <w:r>
        <w:t>采用占标率的方法进行评价。占标率</w:t>
      </w:r>
      <w:r>
        <w:rPr>
          <w:rFonts w:ascii="Times New Roman" w:eastAsia="Times New Roman"/>
        </w:rPr>
        <w:t>&gt;100%</w:t>
      </w:r>
      <w:r>
        <w:t>，表明该参数超过了规定的标准。</w:t>
      </w:r>
    </w:p>
    <w:p>
      <w:pPr>
        <w:pStyle w:val="6"/>
        <w:spacing w:before="3"/>
        <w:rPr>
          <w:sz w:val="15"/>
        </w:rPr>
      </w:pPr>
    </w:p>
    <w:p>
      <w:pPr>
        <w:spacing w:after="0"/>
        <w:rPr>
          <w:sz w:val="15"/>
        </w:rPr>
        <w:sectPr>
          <w:pgSz w:w="11910" w:h="16840"/>
          <w:pgMar w:top="1580" w:right="780" w:bottom="1320" w:left="1200" w:header="0" w:footer="1058" w:gutter="0"/>
        </w:sectPr>
      </w:pPr>
    </w:p>
    <w:p>
      <w:pPr>
        <w:spacing w:before="124" w:line="127" w:lineRule="auto"/>
        <w:ind w:left="0" w:right="73" w:firstLine="0"/>
        <w:jc w:val="right"/>
        <w:rPr>
          <w:rFonts w:ascii="Times New Roman" w:hAnsi="Times New Roman"/>
          <w:i/>
          <w:sz w:val="23"/>
        </w:rPr>
      </w:pPr>
      <w:r>
        <mc:AlternateContent>
          <mc:Choice Requires="wps">
            <w:drawing>
              <wp:anchor distT="0" distB="0" distL="114300" distR="114300" simplePos="0" relativeHeight="214396928" behindDoc="1" locked="0" layoutInCell="1" allowOverlap="1">
                <wp:simplePos x="0" y="0"/>
                <wp:positionH relativeFrom="page">
                  <wp:posOffset>3604260</wp:posOffset>
                </wp:positionH>
                <wp:positionV relativeFrom="paragraph">
                  <wp:posOffset>172720</wp:posOffset>
                </wp:positionV>
                <wp:extent cx="197485" cy="0"/>
                <wp:effectExtent l="0" t="0" r="0" b="0"/>
                <wp:wrapNone/>
                <wp:docPr id="87" name="直线 207"/>
                <wp:cNvGraphicFramePr/>
                <a:graphic xmlns:a="http://schemas.openxmlformats.org/drawingml/2006/main">
                  <a:graphicData uri="http://schemas.microsoft.com/office/word/2010/wordprocessingShape">
                    <wps:wsp>
                      <wps:cNvSpPr/>
                      <wps:spPr>
                        <a:xfrm>
                          <a:off x="0" y="0"/>
                          <a:ext cx="197485" cy="0"/>
                        </a:xfrm>
                        <a:prstGeom prst="line">
                          <a:avLst/>
                        </a:prstGeom>
                        <a:ln w="7404" cap="flat" cmpd="sng">
                          <a:solidFill>
                            <a:srgbClr val="000000"/>
                          </a:solidFill>
                          <a:prstDash val="solid"/>
                          <a:headEnd type="none" w="med" len="med"/>
                          <a:tailEnd type="none" w="med" len="med"/>
                        </a:ln>
                      </wps:spPr>
                      <wps:bodyPr upright="1"/>
                    </wps:wsp>
                  </a:graphicData>
                </a:graphic>
              </wp:anchor>
            </w:drawing>
          </mc:Choice>
          <mc:Fallback>
            <w:pict>
              <v:line id="直线 207" o:spid="_x0000_s1026" o:spt="20" style="position:absolute;left:0pt;margin-left:283.8pt;margin-top:13.6pt;height:0pt;width:15.55pt;mso-position-horizontal-relative:page;z-index:-288919552;mso-width-relative:page;mso-height-relative:page;" filled="f" stroked="t" coordsize="21600,21600" o:gfxdata="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KQt3DYAAAACQEAAA8AAAAAAAAAAQAgAAAAIgAA&#10;AGRycy9kb3ducmV2LnhtbFBLAQIUABQAAAAIAIdO4kD2ykT7zwEAAI8DAAAOAAAAAAAAAAEAIAAA&#10;ACcBAABkcnMvZTJvRG9jLnhtbFBLBQYAAAAABgAGAFkBAABoBQAAAAA=&#10;">
                <v:fill on="f" focussize="0,0"/>
                <v:stroke weight="0.582992125984252pt" color="#000000" joinstyle="round"/>
                <v:imagedata o:title=""/>
                <o:lock v:ext="edit" aspectratio="f"/>
              </v:line>
            </w:pict>
          </mc:Fallback>
        </mc:AlternateContent>
      </w:r>
      <w:r>
        <mc:AlternateContent>
          <mc:Choice Requires="wps">
            <w:drawing>
              <wp:anchor distT="0" distB="0" distL="114300" distR="114300" simplePos="0" relativeHeight="214397952" behindDoc="1" locked="0" layoutInCell="1" allowOverlap="1">
                <wp:simplePos x="0" y="0"/>
                <wp:positionH relativeFrom="page">
                  <wp:posOffset>3632200</wp:posOffset>
                </wp:positionH>
                <wp:positionV relativeFrom="paragraph">
                  <wp:posOffset>-14605</wp:posOffset>
                </wp:positionV>
                <wp:extent cx="122555" cy="187325"/>
                <wp:effectExtent l="0" t="0" r="0" b="0"/>
                <wp:wrapNone/>
                <wp:docPr id="88" name="文本框 208"/>
                <wp:cNvGraphicFramePr/>
                <a:graphic xmlns:a="http://schemas.openxmlformats.org/drawingml/2006/main">
                  <a:graphicData uri="http://schemas.microsoft.com/office/word/2010/wordprocessingShape">
                    <wps:wsp>
                      <wps:cNvSpPr txBox="1"/>
                      <wps:spPr>
                        <a:xfrm>
                          <a:off x="0" y="0"/>
                          <a:ext cx="122555" cy="187325"/>
                        </a:xfrm>
                        <a:prstGeom prst="rect">
                          <a:avLst/>
                        </a:prstGeom>
                        <a:noFill/>
                        <a:ln>
                          <a:noFill/>
                        </a:ln>
                      </wps:spPr>
                      <wps:txbx>
                        <w:txbxContent>
                          <w:p>
                            <w:pPr>
                              <w:spacing w:before="0" w:line="293" w:lineRule="exact"/>
                              <w:ind w:left="0" w:right="0" w:firstLine="0"/>
                              <w:jc w:val="left"/>
                              <w:rPr>
                                <w:rFonts w:ascii="Times New Roman"/>
                                <w:i/>
                                <w:sz w:val="13"/>
                              </w:rPr>
                            </w:pPr>
                            <w:r>
                              <w:rPr>
                                <w:rFonts w:ascii="Times New Roman"/>
                                <w:i/>
                                <w:sz w:val="23"/>
                              </w:rPr>
                              <w:t>C</w:t>
                            </w:r>
                            <w:r>
                              <w:rPr>
                                <w:rFonts w:ascii="Times New Roman"/>
                                <w:i/>
                                <w:position w:val="-5"/>
                                <w:sz w:val="13"/>
                              </w:rPr>
                              <w:t>i</w:t>
                            </w:r>
                          </w:p>
                        </w:txbxContent>
                      </wps:txbx>
                      <wps:bodyPr lIns="0" tIns="0" rIns="0" bIns="0" upright="1"/>
                    </wps:wsp>
                  </a:graphicData>
                </a:graphic>
              </wp:anchor>
            </w:drawing>
          </mc:Choice>
          <mc:Fallback>
            <w:pict>
              <v:shape id="文本框 208" o:spid="_x0000_s1026" o:spt="202" type="#_x0000_t202" style="position:absolute;left:0pt;margin-left:286pt;margin-top:-1.15pt;height:14.75pt;width:9.65pt;mso-position-horizontal-relative:page;z-index:-288918528;mso-width-relative:page;mso-height-relative:page;" filled="f" stroked="f" coordsize="21600,21600" o:gfxdata="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mFx81tkAAAAJAQAADwAAAAAA&#10;AAABACAAAAAiAAAAZHJzL2Rvd25yZXYueG1sUEsBAhQAFAAAAAgAh07iQDvaYMqgAQAAJgMAAA4A&#10;AAAAAAAAAQAgAAAAKAEAAGRycy9lMm9Eb2MueG1sUEsFBgAAAAAGAAYAWQEAADoFAAAAAA==&#10;">
                <v:fill on="f" focussize="0,0"/>
                <v:stroke on="f"/>
                <v:imagedata o:title=""/>
                <o:lock v:ext="edit" aspectratio="f"/>
                <v:textbox inset="0mm,0mm,0mm,0mm">
                  <w:txbxContent>
                    <w:p>
                      <w:pPr>
                        <w:spacing w:before="0" w:line="293" w:lineRule="exact"/>
                        <w:ind w:left="0" w:right="0" w:firstLine="0"/>
                        <w:jc w:val="left"/>
                        <w:rPr>
                          <w:rFonts w:ascii="Times New Roman"/>
                          <w:i/>
                          <w:sz w:val="13"/>
                        </w:rPr>
                      </w:pPr>
                      <w:r>
                        <w:rPr>
                          <w:rFonts w:ascii="Times New Roman"/>
                          <w:i/>
                          <w:sz w:val="23"/>
                        </w:rPr>
                        <w:t>C</w:t>
                      </w:r>
                      <w:r>
                        <w:rPr>
                          <w:rFonts w:ascii="Times New Roman"/>
                          <w:i/>
                          <w:position w:val="-5"/>
                          <w:sz w:val="13"/>
                        </w:rPr>
                        <w:t>i</w:t>
                      </w:r>
                    </w:p>
                  </w:txbxContent>
                </v:textbox>
              </v:shape>
            </w:pict>
          </mc:Fallback>
        </mc:AlternateContent>
      </w:r>
      <w:r>
        <w:rPr>
          <w:rFonts w:ascii="Times New Roman" w:hAnsi="Times New Roman"/>
          <w:i/>
          <w:sz w:val="23"/>
        </w:rPr>
        <w:t>P</w:t>
      </w:r>
      <w:r>
        <w:rPr>
          <w:rFonts w:ascii="Times New Roman" w:hAnsi="Times New Roman"/>
          <w:i/>
          <w:position w:val="-5"/>
          <w:sz w:val="13"/>
        </w:rPr>
        <w:t xml:space="preserve">i </w:t>
      </w:r>
      <w:r>
        <w:rPr>
          <w:rFonts w:ascii="Symbol" w:hAnsi="Symbol"/>
          <w:sz w:val="23"/>
        </w:rPr>
        <w:t></w:t>
      </w:r>
      <w:r>
        <w:rPr>
          <w:rFonts w:ascii="Times New Roman" w:hAnsi="Times New Roman"/>
          <w:sz w:val="23"/>
        </w:rPr>
        <w:t xml:space="preserve"> </w:t>
      </w:r>
      <w:r>
        <w:rPr>
          <w:rFonts w:ascii="Times New Roman" w:hAnsi="Times New Roman"/>
          <w:i/>
          <w:position w:val="-17"/>
          <w:sz w:val="23"/>
        </w:rPr>
        <w:t>C</w:t>
      </w:r>
    </w:p>
    <w:p>
      <w:pPr>
        <w:spacing w:before="100"/>
        <w:ind w:left="68" w:right="0" w:firstLine="0"/>
        <w:jc w:val="left"/>
        <w:rPr>
          <w:rFonts w:ascii="Times New Roman" w:hAnsi="Times New Roman"/>
          <w:sz w:val="23"/>
        </w:rPr>
      </w:pPr>
      <w:r>
        <w:br w:type="column"/>
      </w:r>
      <w:r>
        <w:rPr>
          <w:rFonts w:ascii="Symbol" w:hAnsi="Symbol"/>
          <w:sz w:val="23"/>
        </w:rPr>
        <w:t></w:t>
      </w:r>
      <w:r>
        <w:rPr>
          <w:rFonts w:ascii="Times New Roman" w:hAnsi="Times New Roman"/>
          <w:sz w:val="23"/>
        </w:rPr>
        <w:t>100%</w:t>
      </w:r>
    </w:p>
    <w:p>
      <w:pPr>
        <w:spacing w:after="0"/>
        <w:jc w:val="left"/>
        <w:rPr>
          <w:rFonts w:ascii="Times New Roman" w:hAnsi="Times New Roman"/>
          <w:sz w:val="23"/>
        </w:rPr>
        <w:sectPr>
          <w:type w:val="continuous"/>
          <w:pgSz w:w="11910" w:h="16840"/>
          <w:pgMar w:top="1580" w:right="780" w:bottom="280" w:left="1200" w:header="720" w:footer="720" w:gutter="0"/>
          <w:cols w:equalWidth="0" w:num="2">
            <w:col w:w="4713" w:space="40"/>
            <w:col w:w="5177"/>
          </w:cols>
        </w:sectPr>
      </w:pPr>
    </w:p>
    <w:p>
      <w:pPr>
        <w:spacing w:before="0" w:line="147" w:lineRule="exact"/>
        <w:ind w:left="0" w:right="533" w:firstLine="0"/>
        <w:jc w:val="center"/>
        <w:rPr>
          <w:rFonts w:ascii="Times New Roman"/>
          <w:i/>
          <w:sz w:val="13"/>
        </w:rPr>
      </w:pPr>
      <w:r>
        <w:rPr>
          <w:rFonts w:ascii="Times New Roman"/>
          <w:i/>
          <w:sz w:val="13"/>
        </w:rPr>
        <w:t>oi</w:t>
      </w:r>
    </w:p>
    <w:p>
      <w:pPr>
        <w:pStyle w:val="6"/>
        <w:spacing w:before="8"/>
        <w:rPr>
          <w:rFonts w:ascii="Times New Roman"/>
          <w:i/>
          <w:sz w:val="13"/>
        </w:rPr>
      </w:pPr>
    </w:p>
    <w:p>
      <w:pPr>
        <w:pStyle w:val="6"/>
        <w:ind w:left="696"/>
      </w:pPr>
      <w:r>
        <w:rPr>
          <w:position w:val="2"/>
        </w:rPr>
        <w:t>式中：</w:t>
      </w:r>
      <w:r>
        <w:rPr>
          <w:rFonts w:ascii="Times New Roman" w:hAnsi="Times New Roman" w:eastAsia="Times New Roman"/>
          <w:position w:val="2"/>
        </w:rPr>
        <w:t>P</w:t>
      </w:r>
      <w:r>
        <w:rPr>
          <w:rFonts w:ascii="Times New Roman" w:hAnsi="Times New Roman" w:eastAsia="Times New Roman"/>
          <w:position w:val="2"/>
          <w:vertAlign w:val="subscript"/>
        </w:rPr>
        <w:t>i</w:t>
      </w:r>
      <w:r>
        <w:rPr>
          <w:rFonts w:ascii="Times New Roman" w:hAnsi="Times New Roman" w:eastAsia="Times New Roman"/>
          <w:position w:val="2"/>
          <w:vertAlign w:val="baseline"/>
        </w:rPr>
        <w:t>—</w:t>
      </w:r>
      <w:r>
        <w:rPr>
          <w:position w:val="2"/>
          <w:vertAlign w:val="baseline"/>
        </w:rPr>
        <w:t>占标率</w:t>
      </w:r>
      <w:r>
        <w:rPr>
          <w:rFonts w:ascii="Times New Roman" w:hAnsi="Times New Roman" w:eastAsia="Times New Roman"/>
          <w:position w:val="2"/>
          <w:vertAlign w:val="baseline"/>
        </w:rPr>
        <w:t>%</w:t>
      </w:r>
      <w:r>
        <w:rPr>
          <w:position w:val="2"/>
          <w:vertAlign w:val="baseline"/>
        </w:rPr>
        <w:t>；</w:t>
      </w:r>
    </w:p>
    <w:p>
      <w:pPr>
        <w:pStyle w:val="6"/>
        <w:spacing w:before="153"/>
        <w:ind w:left="1416"/>
      </w:pPr>
      <w:r>
        <w:rPr>
          <w:rFonts w:ascii="Times New Roman" w:hAnsi="Times New Roman" w:eastAsia="Times New Roman"/>
          <w:position w:val="2"/>
        </w:rPr>
        <w:t>C</w:t>
      </w:r>
      <w:r>
        <w:rPr>
          <w:rFonts w:ascii="Times New Roman" w:hAnsi="Times New Roman" w:eastAsia="Times New Roman"/>
          <w:position w:val="2"/>
          <w:vertAlign w:val="subscript"/>
        </w:rPr>
        <w:t>i</w:t>
      </w:r>
      <w:r>
        <w:rPr>
          <w:rFonts w:ascii="Times New Roman" w:hAnsi="Times New Roman" w:eastAsia="Times New Roman"/>
          <w:position w:val="2"/>
          <w:vertAlign w:val="baseline"/>
        </w:rPr>
        <w:t xml:space="preserve">—i </w:t>
      </w:r>
      <w:r>
        <w:rPr>
          <w:position w:val="2"/>
          <w:vertAlign w:val="baseline"/>
        </w:rPr>
        <w:t>污染因子监测浓度（</w:t>
      </w:r>
      <w:r>
        <w:rPr>
          <w:rFonts w:ascii="Times New Roman" w:hAnsi="Times New Roman" w:eastAsia="Times New Roman"/>
          <w:position w:val="2"/>
          <w:vertAlign w:val="baseline"/>
        </w:rPr>
        <w:t>mg/m</w:t>
      </w:r>
      <w:r>
        <w:rPr>
          <w:rFonts w:ascii="Times New Roman" w:hAnsi="Times New Roman" w:eastAsia="Times New Roman"/>
          <w:position w:val="2"/>
          <w:vertAlign w:val="superscript"/>
        </w:rPr>
        <w:t>3</w:t>
      </w:r>
      <w:r>
        <w:rPr>
          <w:position w:val="2"/>
          <w:vertAlign w:val="baseline"/>
        </w:rPr>
        <w:t>）；</w:t>
      </w:r>
    </w:p>
    <w:p>
      <w:pPr>
        <w:pStyle w:val="6"/>
        <w:spacing w:before="157"/>
        <w:ind w:left="1416"/>
      </w:pPr>
      <w:r>
        <w:rPr>
          <w:rFonts w:ascii="Times New Roman" w:hAnsi="Times New Roman" w:eastAsia="Times New Roman"/>
          <w:position w:val="2"/>
        </w:rPr>
        <w:t>C</w:t>
      </w:r>
      <w:r>
        <w:rPr>
          <w:rFonts w:ascii="Times New Roman" w:hAnsi="Times New Roman" w:eastAsia="Times New Roman"/>
          <w:position w:val="2"/>
          <w:vertAlign w:val="subscript"/>
        </w:rPr>
        <w:t>0i</w:t>
      </w:r>
      <w:r>
        <w:rPr>
          <w:rFonts w:ascii="Times New Roman" w:hAnsi="Times New Roman" w:eastAsia="Times New Roman"/>
          <w:position w:val="2"/>
          <w:vertAlign w:val="baseline"/>
        </w:rPr>
        <w:t xml:space="preserve">—i </w:t>
      </w:r>
      <w:r>
        <w:rPr>
          <w:position w:val="2"/>
          <w:vertAlign w:val="baseline"/>
        </w:rPr>
        <w:t>污染因子标准浓度（</w:t>
      </w:r>
      <w:r>
        <w:rPr>
          <w:rFonts w:ascii="Times New Roman" w:hAnsi="Times New Roman" w:eastAsia="Times New Roman"/>
          <w:position w:val="2"/>
          <w:vertAlign w:val="baseline"/>
        </w:rPr>
        <w:t>mg/m</w:t>
      </w:r>
      <w:r>
        <w:rPr>
          <w:rFonts w:ascii="Times New Roman" w:hAnsi="Times New Roman" w:eastAsia="Times New Roman"/>
          <w:position w:val="2"/>
          <w:vertAlign w:val="superscript"/>
        </w:rPr>
        <w:t>3</w:t>
      </w:r>
      <w:r>
        <w:rPr>
          <w:position w:val="2"/>
          <w:vertAlign w:val="baseline"/>
        </w:rPr>
        <w:t>）。</w:t>
      </w:r>
    </w:p>
    <w:p>
      <w:pPr>
        <w:pStyle w:val="6"/>
        <w:spacing w:before="159"/>
        <w:ind w:left="696"/>
      </w:pPr>
      <w:r>
        <w:rPr>
          <w:rFonts w:ascii="Times New Roman" w:eastAsia="Times New Roman"/>
        </w:rPr>
        <w:t>4</w:t>
      </w:r>
      <w:r>
        <w:t>、现状评价结论</w:t>
      </w:r>
    </w:p>
    <w:p>
      <w:pPr>
        <w:pStyle w:val="13"/>
        <w:numPr>
          <w:ilvl w:val="3"/>
          <w:numId w:val="65"/>
        </w:numPr>
        <w:tabs>
          <w:tab w:val="left" w:pos="1297"/>
        </w:tabs>
        <w:spacing w:before="158" w:after="0" w:line="240" w:lineRule="auto"/>
        <w:ind w:left="1297" w:right="0" w:hanging="601"/>
        <w:jc w:val="left"/>
        <w:rPr>
          <w:sz w:val="24"/>
        </w:rPr>
      </w:pPr>
      <w:r>
        <w:rPr>
          <w:sz w:val="24"/>
        </w:rPr>
        <w:t>评价结果</w:t>
      </w:r>
    </w:p>
    <w:p>
      <w:pPr>
        <w:pStyle w:val="6"/>
        <w:spacing w:before="160"/>
        <w:ind w:left="696"/>
      </w:pPr>
      <w:r>
        <w:t xml:space="preserve">根据上述评价方法和评价标准计算得出的评价结果见表 </w:t>
      </w:r>
      <w:r>
        <w:rPr>
          <w:rFonts w:ascii="Times New Roman" w:eastAsia="Times New Roman"/>
        </w:rPr>
        <w:t>8.2-4</w:t>
      </w:r>
      <w:r>
        <w:t>。</w:t>
      </w:r>
    </w:p>
    <w:p>
      <w:pPr>
        <w:pStyle w:val="5"/>
        <w:spacing w:before="159"/>
        <w:ind w:right="352"/>
        <w:jc w:val="center"/>
      </w:pPr>
      <w:r>
        <w:t xml:space="preserve">表 </w:t>
      </w:r>
      <w:r>
        <w:rPr>
          <w:rFonts w:ascii="Times New Roman" w:eastAsia="Times New Roman"/>
        </w:rPr>
        <w:t xml:space="preserve">8.2-4  </w:t>
      </w:r>
      <w:r>
        <w:t>其他污染物环境质量现状表</w:t>
      </w:r>
    </w:p>
    <w:p>
      <w:pPr>
        <w:pStyle w:val="6"/>
        <w:spacing w:before="4"/>
        <w:rPr>
          <w:b/>
          <w:sz w:val="12"/>
        </w:rPr>
      </w:pPr>
    </w:p>
    <w:tbl>
      <w:tblPr>
        <w:tblStyle w:val="10"/>
        <w:tblW w:w="0" w:type="auto"/>
        <w:tblInd w:w="2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9"/>
        <w:gridCol w:w="1297"/>
        <w:gridCol w:w="842"/>
        <w:gridCol w:w="1217"/>
        <w:gridCol w:w="1581"/>
        <w:gridCol w:w="1389"/>
        <w:gridCol w:w="1070"/>
        <w:gridCol w:w="10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749" w:type="dxa"/>
          </w:tcPr>
          <w:p>
            <w:pPr>
              <w:pStyle w:val="14"/>
              <w:spacing w:before="68" w:line="242" w:lineRule="auto"/>
              <w:ind w:left="268" w:right="48" w:hanging="209"/>
              <w:jc w:val="left"/>
              <w:rPr>
                <w:sz w:val="21"/>
              </w:rPr>
            </w:pPr>
            <w:r>
              <w:rPr>
                <w:sz w:val="21"/>
              </w:rPr>
              <w:t>监测点位</w:t>
            </w:r>
          </w:p>
        </w:tc>
        <w:tc>
          <w:tcPr>
            <w:tcW w:w="1297" w:type="dxa"/>
          </w:tcPr>
          <w:p>
            <w:pPr>
              <w:pStyle w:val="14"/>
              <w:spacing w:before="10"/>
              <w:jc w:val="left"/>
              <w:rPr>
                <w:b/>
                <w:sz w:val="15"/>
              </w:rPr>
            </w:pPr>
          </w:p>
          <w:p>
            <w:pPr>
              <w:pStyle w:val="14"/>
              <w:ind w:left="312" w:right="305"/>
              <w:rPr>
                <w:sz w:val="21"/>
              </w:rPr>
            </w:pPr>
            <w:r>
              <w:rPr>
                <w:sz w:val="21"/>
              </w:rPr>
              <w:t>污染物</w:t>
            </w:r>
          </w:p>
        </w:tc>
        <w:tc>
          <w:tcPr>
            <w:tcW w:w="842" w:type="dxa"/>
          </w:tcPr>
          <w:p>
            <w:pPr>
              <w:pStyle w:val="14"/>
              <w:spacing w:before="68" w:line="242" w:lineRule="auto"/>
              <w:ind w:left="314" w:right="94" w:hanging="209"/>
              <w:jc w:val="left"/>
              <w:rPr>
                <w:sz w:val="21"/>
              </w:rPr>
            </w:pPr>
            <w:r>
              <w:rPr>
                <w:sz w:val="21"/>
              </w:rPr>
              <w:t>平均时间</w:t>
            </w:r>
          </w:p>
        </w:tc>
        <w:tc>
          <w:tcPr>
            <w:tcW w:w="1217" w:type="dxa"/>
          </w:tcPr>
          <w:p>
            <w:pPr>
              <w:pStyle w:val="14"/>
              <w:spacing w:before="68"/>
              <w:ind w:left="159"/>
              <w:jc w:val="left"/>
              <w:rPr>
                <w:rFonts w:ascii="Times New Roman" w:eastAsia="Times New Roman"/>
                <w:sz w:val="21"/>
              </w:rPr>
            </w:pPr>
            <w:r>
              <w:rPr>
                <w:w w:val="95"/>
                <w:sz w:val="21"/>
              </w:rPr>
              <w:t>评价标准</w:t>
            </w:r>
            <w:r>
              <w:rPr>
                <w:rFonts w:ascii="Times New Roman" w:eastAsia="Times New Roman"/>
                <w:w w:val="95"/>
                <w:sz w:val="21"/>
              </w:rPr>
              <w:t>/</w:t>
            </w:r>
          </w:p>
          <w:p>
            <w:pPr>
              <w:pStyle w:val="14"/>
              <w:spacing w:before="2"/>
              <w:ind w:left="118"/>
              <w:jc w:val="left"/>
              <w:rPr>
                <w:sz w:val="21"/>
              </w:rPr>
            </w:pPr>
            <w:r>
              <w:rPr>
                <w:sz w:val="21"/>
              </w:rPr>
              <w:t>（</w:t>
            </w:r>
            <w:r>
              <w:rPr>
                <w:rFonts w:ascii="Times New Roman" w:eastAsia="Times New Roman"/>
                <w:sz w:val="21"/>
              </w:rPr>
              <w:t>mg/m</w:t>
            </w:r>
            <w:r>
              <w:rPr>
                <w:rFonts w:ascii="Times New Roman" w:eastAsia="Times New Roman"/>
                <w:position w:val="7"/>
                <w:sz w:val="13"/>
              </w:rPr>
              <w:t>3</w:t>
            </w:r>
            <w:r>
              <w:rPr>
                <w:sz w:val="21"/>
              </w:rPr>
              <w:t>）</w:t>
            </w:r>
          </w:p>
        </w:tc>
        <w:tc>
          <w:tcPr>
            <w:tcW w:w="1581" w:type="dxa"/>
          </w:tcPr>
          <w:p>
            <w:pPr>
              <w:pStyle w:val="14"/>
              <w:spacing w:before="68"/>
              <w:ind w:left="109" w:right="102"/>
              <w:rPr>
                <w:rFonts w:ascii="Times New Roman" w:eastAsia="Times New Roman"/>
                <w:sz w:val="21"/>
              </w:rPr>
            </w:pPr>
            <w:r>
              <w:rPr>
                <w:sz w:val="21"/>
              </w:rPr>
              <w:t>监测浓度范围</w:t>
            </w:r>
            <w:r>
              <w:rPr>
                <w:rFonts w:ascii="Times New Roman" w:eastAsia="Times New Roman"/>
                <w:sz w:val="21"/>
              </w:rPr>
              <w:t>/</w:t>
            </w:r>
          </w:p>
          <w:p>
            <w:pPr>
              <w:pStyle w:val="14"/>
              <w:spacing w:before="2"/>
              <w:ind w:left="109" w:right="102"/>
              <w:rPr>
                <w:sz w:val="21"/>
              </w:rPr>
            </w:pPr>
            <w:r>
              <w:rPr>
                <w:sz w:val="21"/>
              </w:rPr>
              <w:t>（</w:t>
            </w:r>
            <w:r>
              <w:rPr>
                <w:rFonts w:ascii="Times New Roman" w:eastAsia="Times New Roman"/>
                <w:sz w:val="21"/>
              </w:rPr>
              <w:t>mg/m</w:t>
            </w:r>
            <w:r>
              <w:rPr>
                <w:rFonts w:ascii="Times New Roman" w:eastAsia="Times New Roman"/>
                <w:position w:val="7"/>
                <w:sz w:val="13"/>
              </w:rPr>
              <w:t>3</w:t>
            </w:r>
            <w:r>
              <w:rPr>
                <w:sz w:val="21"/>
              </w:rPr>
              <w:t>）</w:t>
            </w:r>
          </w:p>
        </w:tc>
        <w:tc>
          <w:tcPr>
            <w:tcW w:w="1389" w:type="dxa"/>
          </w:tcPr>
          <w:p>
            <w:pPr>
              <w:pStyle w:val="14"/>
              <w:spacing w:before="68" w:line="242" w:lineRule="auto"/>
              <w:ind w:left="471" w:right="55" w:hanging="408"/>
              <w:jc w:val="left"/>
              <w:rPr>
                <w:rFonts w:ascii="Times New Roman" w:eastAsia="Times New Roman"/>
                <w:sz w:val="21"/>
              </w:rPr>
            </w:pPr>
            <w:r>
              <w:rPr>
                <w:sz w:val="21"/>
              </w:rPr>
              <w:t>最大浓度占标率</w:t>
            </w:r>
            <w:r>
              <w:rPr>
                <w:rFonts w:ascii="Times New Roman" w:eastAsia="Times New Roman"/>
                <w:sz w:val="21"/>
              </w:rPr>
              <w:t>/%</w:t>
            </w:r>
          </w:p>
        </w:tc>
        <w:tc>
          <w:tcPr>
            <w:tcW w:w="1070" w:type="dxa"/>
          </w:tcPr>
          <w:p>
            <w:pPr>
              <w:pStyle w:val="14"/>
              <w:spacing w:before="10"/>
              <w:jc w:val="left"/>
              <w:rPr>
                <w:b/>
                <w:sz w:val="15"/>
              </w:rPr>
            </w:pPr>
          </w:p>
          <w:p>
            <w:pPr>
              <w:pStyle w:val="14"/>
              <w:ind w:left="82" w:right="74"/>
              <w:rPr>
                <w:rFonts w:ascii="Times New Roman" w:eastAsia="Times New Roman"/>
                <w:sz w:val="21"/>
              </w:rPr>
            </w:pPr>
            <w:r>
              <w:rPr>
                <w:sz w:val="21"/>
              </w:rPr>
              <w:t>超标率</w:t>
            </w:r>
            <w:r>
              <w:rPr>
                <w:rFonts w:ascii="Times New Roman" w:eastAsia="Times New Roman"/>
                <w:sz w:val="21"/>
              </w:rPr>
              <w:t>/%</w:t>
            </w:r>
          </w:p>
        </w:tc>
        <w:tc>
          <w:tcPr>
            <w:tcW w:w="1069" w:type="dxa"/>
          </w:tcPr>
          <w:p>
            <w:pPr>
              <w:pStyle w:val="14"/>
              <w:spacing w:before="10"/>
              <w:jc w:val="left"/>
              <w:rPr>
                <w:b/>
                <w:sz w:val="15"/>
              </w:rPr>
            </w:pPr>
          </w:p>
          <w:p>
            <w:pPr>
              <w:pStyle w:val="14"/>
              <w:ind w:left="91" w:right="87"/>
              <w:rPr>
                <w:sz w:val="21"/>
              </w:rPr>
            </w:pPr>
            <w:r>
              <w:rPr>
                <w:sz w:val="21"/>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749" w:type="dxa"/>
          </w:tcPr>
          <w:p>
            <w:pPr>
              <w:pStyle w:val="14"/>
              <w:spacing w:before="29" w:line="237" w:lineRule="exact"/>
              <w:ind w:left="248" w:right="241"/>
              <w:rPr>
                <w:rFonts w:ascii="Times New Roman"/>
                <w:sz w:val="21"/>
              </w:rPr>
            </w:pPr>
            <w:r>
              <w:rPr>
                <w:rFonts w:ascii="Times New Roman"/>
                <w:sz w:val="21"/>
              </w:rPr>
              <w:t>1#</w:t>
            </w:r>
          </w:p>
        </w:tc>
        <w:tc>
          <w:tcPr>
            <w:tcW w:w="1297" w:type="dxa"/>
          </w:tcPr>
          <w:p>
            <w:pPr>
              <w:pStyle w:val="14"/>
              <w:spacing w:before="29" w:line="237" w:lineRule="exact"/>
              <w:ind w:left="312" w:right="304"/>
              <w:rPr>
                <w:rFonts w:ascii="Times New Roman"/>
                <w:sz w:val="21"/>
              </w:rPr>
            </w:pPr>
            <w:r>
              <w:rPr>
                <w:rFonts w:ascii="Times New Roman"/>
                <w:sz w:val="21"/>
              </w:rPr>
              <w:t>TSP</w:t>
            </w:r>
          </w:p>
        </w:tc>
        <w:tc>
          <w:tcPr>
            <w:tcW w:w="842" w:type="dxa"/>
          </w:tcPr>
          <w:p>
            <w:pPr>
              <w:pStyle w:val="14"/>
              <w:spacing w:before="15" w:line="251" w:lineRule="exact"/>
              <w:ind w:left="106"/>
              <w:jc w:val="left"/>
              <w:rPr>
                <w:sz w:val="21"/>
              </w:rPr>
            </w:pPr>
            <w:r>
              <w:rPr>
                <w:sz w:val="21"/>
              </w:rPr>
              <w:t>日平均</w:t>
            </w:r>
          </w:p>
        </w:tc>
        <w:tc>
          <w:tcPr>
            <w:tcW w:w="1217" w:type="dxa"/>
          </w:tcPr>
          <w:p>
            <w:pPr>
              <w:pStyle w:val="14"/>
              <w:spacing w:before="29" w:line="237" w:lineRule="exact"/>
              <w:ind w:left="376" w:right="368"/>
              <w:rPr>
                <w:rFonts w:ascii="Times New Roman"/>
                <w:sz w:val="21"/>
              </w:rPr>
            </w:pPr>
            <w:r>
              <w:rPr>
                <w:rFonts w:ascii="Times New Roman"/>
                <w:sz w:val="21"/>
              </w:rPr>
              <w:t>0.3</w:t>
            </w:r>
          </w:p>
        </w:tc>
        <w:tc>
          <w:tcPr>
            <w:tcW w:w="1581" w:type="dxa"/>
          </w:tcPr>
          <w:p>
            <w:pPr>
              <w:pStyle w:val="14"/>
              <w:spacing w:before="29" w:line="237" w:lineRule="exact"/>
              <w:ind w:left="264"/>
              <w:jc w:val="left"/>
              <w:rPr>
                <w:rFonts w:ascii="Times New Roman"/>
                <w:sz w:val="21"/>
              </w:rPr>
            </w:pPr>
            <w:r>
              <w:rPr>
                <w:rFonts w:ascii="Times New Roman"/>
                <w:sz w:val="21"/>
              </w:rPr>
              <w:t>0.083~0.117</w:t>
            </w:r>
          </w:p>
        </w:tc>
        <w:tc>
          <w:tcPr>
            <w:tcW w:w="1389" w:type="dxa"/>
          </w:tcPr>
          <w:p>
            <w:pPr>
              <w:pStyle w:val="14"/>
              <w:spacing w:before="29" w:line="237" w:lineRule="exact"/>
              <w:ind w:left="490" w:right="481"/>
              <w:rPr>
                <w:rFonts w:ascii="Times New Roman"/>
                <w:sz w:val="21"/>
              </w:rPr>
            </w:pPr>
            <w:r>
              <w:rPr>
                <w:rFonts w:ascii="Times New Roman"/>
                <w:sz w:val="21"/>
              </w:rPr>
              <w:t>39.0</w:t>
            </w:r>
          </w:p>
        </w:tc>
        <w:tc>
          <w:tcPr>
            <w:tcW w:w="1070" w:type="dxa"/>
          </w:tcPr>
          <w:p>
            <w:pPr>
              <w:pStyle w:val="14"/>
              <w:spacing w:before="29" w:line="237" w:lineRule="exact"/>
              <w:ind w:left="8"/>
              <w:rPr>
                <w:rFonts w:ascii="Times New Roman"/>
                <w:sz w:val="21"/>
              </w:rPr>
            </w:pPr>
            <w:r>
              <w:rPr>
                <w:rFonts w:ascii="Times New Roman"/>
                <w:w w:val="99"/>
                <w:sz w:val="21"/>
              </w:rPr>
              <w:t>0</w:t>
            </w:r>
          </w:p>
        </w:tc>
        <w:tc>
          <w:tcPr>
            <w:tcW w:w="1069" w:type="dxa"/>
          </w:tcPr>
          <w:p>
            <w:pPr>
              <w:pStyle w:val="14"/>
              <w:spacing w:before="15" w:line="251" w:lineRule="exact"/>
              <w:ind w:left="91" w:right="85"/>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749" w:type="dxa"/>
          </w:tcPr>
          <w:p>
            <w:pPr>
              <w:pStyle w:val="14"/>
              <w:spacing w:before="30" w:line="238" w:lineRule="exact"/>
              <w:ind w:left="248" w:right="241"/>
              <w:rPr>
                <w:rFonts w:ascii="Times New Roman"/>
                <w:sz w:val="21"/>
              </w:rPr>
            </w:pPr>
            <w:r>
              <w:rPr>
                <w:rFonts w:ascii="Times New Roman"/>
                <w:sz w:val="21"/>
              </w:rPr>
              <w:t>2#</w:t>
            </w:r>
          </w:p>
        </w:tc>
        <w:tc>
          <w:tcPr>
            <w:tcW w:w="1297" w:type="dxa"/>
          </w:tcPr>
          <w:p>
            <w:pPr>
              <w:pStyle w:val="14"/>
              <w:spacing w:before="30" w:line="238" w:lineRule="exact"/>
              <w:ind w:left="312" w:right="304"/>
              <w:rPr>
                <w:rFonts w:ascii="Times New Roman"/>
                <w:sz w:val="21"/>
              </w:rPr>
            </w:pPr>
            <w:r>
              <w:rPr>
                <w:rFonts w:ascii="Times New Roman"/>
                <w:sz w:val="21"/>
              </w:rPr>
              <w:t>TSP</w:t>
            </w:r>
          </w:p>
        </w:tc>
        <w:tc>
          <w:tcPr>
            <w:tcW w:w="842" w:type="dxa"/>
          </w:tcPr>
          <w:p>
            <w:pPr>
              <w:pStyle w:val="14"/>
              <w:spacing w:before="16" w:line="252" w:lineRule="exact"/>
              <w:ind w:left="106"/>
              <w:jc w:val="left"/>
              <w:rPr>
                <w:sz w:val="21"/>
              </w:rPr>
            </w:pPr>
            <w:r>
              <w:rPr>
                <w:sz w:val="21"/>
              </w:rPr>
              <w:t>日平均</w:t>
            </w:r>
          </w:p>
        </w:tc>
        <w:tc>
          <w:tcPr>
            <w:tcW w:w="1217" w:type="dxa"/>
          </w:tcPr>
          <w:p>
            <w:pPr>
              <w:pStyle w:val="14"/>
              <w:spacing w:before="30" w:line="238" w:lineRule="exact"/>
              <w:ind w:left="376" w:right="368"/>
              <w:rPr>
                <w:rFonts w:ascii="Times New Roman"/>
                <w:sz w:val="21"/>
              </w:rPr>
            </w:pPr>
            <w:r>
              <w:rPr>
                <w:rFonts w:ascii="Times New Roman"/>
                <w:sz w:val="21"/>
              </w:rPr>
              <w:t>0.3</w:t>
            </w:r>
          </w:p>
        </w:tc>
        <w:tc>
          <w:tcPr>
            <w:tcW w:w="1581" w:type="dxa"/>
          </w:tcPr>
          <w:p>
            <w:pPr>
              <w:pStyle w:val="14"/>
              <w:spacing w:before="30" w:line="238" w:lineRule="exact"/>
              <w:ind w:left="264"/>
              <w:jc w:val="left"/>
              <w:rPr>
                <w:rFonts w:ascii="Times New Roman"/>
                <w:sz w:val="21"/>
              </w:rPr>
            </w:pPr>
            <w:r>
              <w:rPr>
                <w:rFonts w:ascii="Times New Roman"/>
                <w:sz w:val="21"/>
              </w:rPr>
              <w:t>0.083~0.117</w:t>
            </w:r>
          </w:p>
        </w:tc>
        <w:tc>
          <w:tcPr>
            <w:tcW w:w="1389" w:type="dxa"/>
          </w:tcPr>
          <w:p>
            <w:pPr>
              <w:pStyle w:val="14"/>
              <w:spacing w:before="30" w:line="238" w:lineRule="exact"/>
              <w:ind w:left="490" w:right="481"/>
              <w:rPr>
                <w:rFonts w:ascii="Times New Roman"/>
                <w:sz w:val="21"/>
              </w:rPr>
            </w:pPr>
            <w:r>
              <w:rPr>
                <w:rFonts w:ascii="Times New Roman"/>
                <w:sz w:val="21"/>
              </w:rPr>
              <w:t>39.0</w:t>
            </w:r>
          </w:p>
        </w:tc>
        <w:tc>
          <w:tcPr>
            <w:tcW w:w="1070" w:type="dxa"/>
          </w:tcPr>
          <w:p>
            <w:pPr>
              <w:pStyle w:val="14"/>
              <w:spacing w:before="30" w:line="238" w:lineRule="exact"/>
              <w:ind w:left="8"/>
              <w:rPr>
                <w:rFonts w:ascii="Times New Roman"/>
                <w:sz w:val="21"/>
              </w:rPr>
            </w:pPr>
            <w:r>
              <w:rPr>
                <w:rFonts w:ascii="Times New Roman"/>
                <w:w w:val="99"/>
                <w:sz w:val="21"/>
              </w:rPr>
              <w:t>0</w:t>
            </w:r>
          </w:p>
        </w:tc>
        <w:tc>
          <w:tcPr>
            <w:tcW w:w="1069" w:type="dxa"/>
          </w:tcPr>
          <w:p>
            <w:pPr>
              <w:pStyle w:val="14"/>
              <w:spacing w:before="16" w:line="252" w:lineRule="exact"/>
              <w:ind w:left="91" w:right="85"/>
              <w:rPr>
                <w:sz w:val="21"/>
              </w:rPr>
            </w:pPr>
            <w:r>
              <w:rPr>
                <w:sz w:val="21"/>
              </w:rPr>
              <w:t>达标</w:t>
            </w:r>
          </w:p>
        </w:tc>
      </w:tr>
    </w:tbl>
    <w:p>
      <w:pPr>
        <w:pStyle w:val="13"/>
        <w:numPr>
          <w:ilvl w:val="3"/>
          <w:numId w:val="65"/>
        </w:numPr>
        <w:tabs>
          <w:tab w:val="left" w:pos="1297"/>
        </w:tabs>
        <w:spacing w:before="0" w:after="0" w:line="240" w:lineRule="auto"/>
        <w:ind w:left="1297" w:right="0" w:hanging="601"/>
        <w:jc w:val="left"/>
        <w:rPr>
          <w:sz w:val="24"/>
        </w:rPr>
      </w:pPr>
      <w:r>
        <w:rPr>
          <w:sz w:val="24"/>
        </w:rPr>
        <w:t>现状评价结论</w:t>
      </w:r>
    </w:p>
    <w:p>
      <w:pPr>
        <w:pStyle w:val="6"/>
        <w:spacing w:before="161" w:line="364" w:lineRule="auto"/>
        <w:ind w:left="215" w:right="571" w:firstLine="480"/>
        <w:jc w:val="both"/>
      </w:pPr>
      <w:r>
        <w:rPr>
          <w:rFonts w:ascii="Times New Roman" w:eastAsia="Times New Roman"/>
        </w:rPr>
        <w:t>1#</w:t>
      </w:r>
      <w:r>
        <w:rPr>
          <w:spacing w:val="-30"/>
        </w:rPr>
        <w:t xml:space="preserve">点 </w:t>
      </w:r>
      <w:r>
        <w:rPr>
          <w:rFonts w:ascii="Times New Roman" w:eastAsia="Times New Roman"/>
        </w:rPr>
        <w:t xml:space="preserve">TSP </w:t>
      </w:r>
      <w:r>
        <w:rPr>
          <w:spacing w:val="-7"/>
        </w:rPr>
        <w:t xml:space="preserve">日均值浓度范围在 </w:t>
      </w:r>
      <w:r>
        <w:rPr>
          <w:rFonts w:ascii="Times New Roman" w:eastAsia="Times New Roman"/>
        </w:rPr>
        <w:t>0.083mg/m</w:t>
      </w:r>
      <w:r>
        <w:rPr>
          <w:rFonts w:ascii="Times New Roman" w:eastAsia="Times New Roman"/>
          <w:position w:val="8"/>
          <w:sz w:val="15"/>
        </w:rPr>
        <w:t>3</w:t>
      </w:r>
      <w:r>
        <w:t>～</w:t>
      </w:r>
      <w:r>
        <w:rPr>
          <w:rFonts w:ascii="Times New Roman" w:eastAsia="Times New Roman"/>
        </w:rPr>
        <w:t>0.117mg/m</w:t>
      </w:r>
      <w:r>
        <w:rPr>
          <w:rFonts w:ascii="Times New Roman" w:eastAsia="Times New Roman"/>
          <w:position w:val="8"/>
          <w:sz w:val="15"/>
        </w:rPr>
        <w:t xml:space="preserve">3 </w:t>
      </w:r>
      <w:r>
        <w:rPr>
          <w:spacing w:val="-11"/>
        </w:rPr>
        <w:t xml:space="preserve">之间，最大占标为 </w:t>
      </w:r>
      <w:r>
        <w:rPr>
          <w:rFonts w:ascii="Times New Roman" w:eastAsia="Times New Roman"/>
          <w:spacing w:val="-4"/>
        </w:rPr>
        <w:t>39.0%</w:t>
      </w:r>
      <w:r>
        <w:rPr>
          <w:spacing w:val="-4"/>
        </w:rPr>
        <w:t>；</w:t>
      </w:r>
      <w:r>
        <w:rPr>
          <w:rFonts w:ascii="Times New Roman" w:eastAsia="Times New Roman"/>
          <w:spacing w:val="-4"/>
        </w:rPr>
        <w:t xml:space="preserve">2# </w:t>
      </w:r>
      <w:r>
        <w:rPr>
          <w:spacing w:val="-31"/>
        </w:rPr>
        <w:t xml:space="preserve">点 </w:t>
      </w:r>
      <w:r>
        <w:rPr>
          <w:rFonts w:ascii="Times New Roman" w:eastAsia="Times New Roman"/>
        </w:rPr>
        <w:t xml:space="preserve">TSP </w:t>
      </w:r>
      <w:r>
        <w:rPr>
          <w:spacing w:val="-7"/>
        </w:rPr>
        <w:t xml:space="preserve">日均值浓度范围在 </w:t>
      </w:r>
      <w:r>
        <w:rPr>
          <w:rFonts w:ascii="Times New Roman" w:eastAsia="Times New Roman"/>
        </w:rPr>
        <w:t>0.083mg/m</w:t>
      </w:r>
      <w:r>
        <w:rPr>
          <w:rFonts w:ascii="Times New Roman" w:eastAsia="Times New Roman"/>
          <w:position w:val="8"/>
          <w:sz w:val="15"/>
        </w:rPr>
        <w:t>3</w:t>
      </w:r>
      <w:r>
        <w:t>～</w:t>
      </w:r>
      <w:r>
        <w:rPr>
          <w:rFonts w:ascii="Times New Roman" w:eastAsia="Times New Roman"/>
        </w:rPr>
        <w:t>0.117mg/m</w:t>
      </w:r>
      <w:r>
        <w:rPr>
          <w:rFonts w:ascii="Times New Roman" w:eastAsia="Times New Roman"/>
          <w:position w:val="8"/>
          <w:sz w:val="15"/>
        </w:rPr>
        <w:t xml:space="preserve">3 </w:t>
      </w:r>
      <w:r>
        <w:rPr>
          <w:spacing w:val="-12"/>
        </w:rPr>
        <w:t xml:space="preserve">之间，最大占标为 </w:t>
      </w:r>
      <w:r>
        <w:rPr>
          <w:rFonts w:ascii="Times New Roman" w:eastAsia="Times New Roman"/>
        </w:rPr>
        <w:t>39.0%</w:t>
      </w:r>
      <w:r>
        <w:rPr>
          <w:spacing w:val="-5"/>
        </w:rPr>
        <w:t>。各监测点</w:t>
      </w:r>
      <w:r>
        <w:rPr>
          <w:spacing w:val="-31"/>
        </w:rPr>
        <w:t xml:space="preserve">的 </w:t>
      </w:r>
      <w:r>
        <w:rPr>
          <w:rFonts w:ascii="Times New Roman" w:eastAsia="Times New Roman"/>
        </w:rPr>
        <w:t xml:space="preserve">TSP </w:t>
      </w:r>
      <w:r>
        <w:t>日均值浓度值均满足《环境空气质量标准》（</w:t>
      </w:r>
      <w:r>
        <w:rPr>
          <w:rFonts w:ascii="Times New Roman" w:eastAsia="Times New Roman"/>
        </w:rPr>
        <w:t>GB3095-2012</w:t>
      </w:r>
      <w:r>
        <w:t>）</w:t>
      </w:r>
      <w:r>
        <w:rPr>
          <w:spacing w:val="-27"/>
        </w:rPr>
        <w:t xml:space="preserve">表 </w:t>
      </w:r>
      <w:r>
        <w:rPr>
          <w:rFonts w:ascii="Times New Roman" w:eastAsia="Times New Roman"/>
        </w:rPr>
        <w:t xml:space="preserve">2 </w:t>
      </w:r>
      <w:r>
        <w:t>二级标准限值要求。</w:t>
      </w:r>
    </w:p>
    <w:p>
      <w:pPr>
        <w:spacing w:after="0" w:line="364" w:lineRule="auto"/>
        <w:jc w:val="both"/>
        <w:sectPr>
          <w:type w:val="continuous"/>
          <w:pgSz w:w="11910" w:h="16840"/>
          <w:pgMar w:top="1580" w:right="780" w:bottom="280" w:left="1200" w:header="720" w:footer="720" w:gutter="0"/>
        </w:sectPr>
      </w:pPr>
    </w:p>
    <w:p>
      <w:pPr>
        <w:pStyle w:val="6"/>
        <w:spacing w:before="46" w:line="364" w:lineRule="auto"/>
        <w:ind w:left="215" w:right="457" w:firstLine="480"/>
      </w:pPr>
      <w:r>
        <w:rPr>
          <w:spacing w:val="-7"/>
        </w:rPr>
        <w:t>根据双鸭山市人民政府网公示的《</w:t>
      </w:r>
      <w:r>
        <w:rPr>
          <w:rFonts w:ascii="Calibri" w:eastAsia="Calibri"/>
        </w:rPr>
        <w:t xml:space="preserve">2019 </w:t>
      </w:r>
      <w:r>
        <w:rPr>
          <w:spacing w:val="-9"/>
        </w:rPr>
        <w:t xml:space="preserve">年双鸭山市环境空气质量状况》中相关数据， </w:t>
      </w:r>
      <w:r>
        <w:t>双鸭山市区域基本污染物均符合《环境空气质量标准》（</w:t>
      </w:r>
      <w:r>
        <w:rPr>
          <w:rFonts w:ascii="Times New Roman" w:eastAsia="Times New Roman"/>
        </w:rPr>
        <w:t>GB3095-2012</w:t>
      </w:r>
      <w:r>
        <w:t>）中二级标准要求，双鸭山市属于环境空气质量达标区域，因此判定本项目所在区域属于达标区。</w:t>
      </w:r>
    </w:p>
    <w:p>
      <w:pPr>
        <w:pStyle w:val="4"/>
        <w:numPr>
          <w:ilvl w:val="1"/>
          <w:numId w:val="65"/>
        </w:numPr>
        <w:tabs>
          <w:tab w:val="left" w:pos="708"/>
        </w:tabs>
        <w:spacing w:before="0" w:after="0" w:line="357" w:lineRule="exact"/>
        <w:ind w:left="708" w:right="0" w:hanging="493"/>
        <w:jc w:val="left"/>
        <w:rPr>
          <w:rFonts w:ascii="Times New Roman" w:eastAsia="Times New Roman"/>
        </w:rPr>
      </w:pPr>
      <w:bookmarkStart w:id="751" w:name="8.3 建设期大气环境影响及防治措施"/>
      <w:bookmarkEnd w:id="751"/>
      <w:bookmarkStart w:id="752" w:name="_bookmark46"/>
      <w:bookmarkEnd w:id="752"/>
      <w:bookmarkStart w:id="753" w:name="_bookmark46"/>
      <w:bookmarkEnd w:id="753"/>
      <w:r>
        <w:t>建设期大气环境影响及防治措施</w:t>
      </w:r>
    </w:p>
    <w:p>
      <w:pPr>
        <w:pStyle w:val="13"/>
        <w:numPr>
          <w:ilvl w:val="2"/>
          <w:numId w:val="65"/>
        </w:numPr>
        <w:tabs>
          <w:tab w:val="left" w:pos="917"/>
        </w:tabs>
        <w:spacing w:before="186" w:after="0" w:line="240" w:lineRule="auto"/>
        <w:ind w:left="916" w:right="0" w:hanging="702"/>
        <w:jc w:val="left"/>
        <w:rPr>
          <w:b/>
          <w:sz w:val="28"/>
        </w:rPr>
      </w:pPr>
      <w:bookmarkStart w:id="754" w:name="8.3.1 建设期环境空气影响"/>
      <w:bookmarkEnd w:id="754"/>
      <w:bookmarkStart w:id="755" w:name="8.3.1 建设期环境空气影响"/>
      <w:bookmarkEnd w:id="755"/>
      <w:r>
        <w:rPr>
          <w:b/>
          <w:sz w:val="28"/>
        </w:rPr>
        <w:t>建设期环境空气影响</w:t>
      </w:r>
    </w:p>
    <w:p>
      <w:pPr>
        <w:pStyle w:val="6"/>
        <w:spacing w:before="185" w:line="364" w:lineRule="auto"/>
        <w:ind w:left="215" w:right="580" w:firstLine="480"/>
        <w:jc w:val="both"/>
      </w:pPr>
      <w:r>
        <w:t>矿井工业场地在施工过程中对大气环境的影响主要为下面两个方面：一方面是施工作业面和地面运输产生的扬尘；另一方面是推土机、挖掘机及交通工具释放的尾气。这些污染源排放高度低，主要影响近距离内的居民，特别是在恶劣天气条件下，会使局部范围内的大气污染加重。为有效防止施工过程中的大气污染，应在施工现场采取针对性的保护措施。</w:t>
      </w:r>
    </w:p>
    <w:p>
      <w:pPr>
        <w:pStyle w:val="4"/>
        <w:numPr>
          <w:ilvl w:val="2"/>
          <w:numId w:val="65"/>
        </w:numPr>
        <w:tabs>
          <w:tab w:val="left" w:pos="848"/>
        </w:tabs>
        <w:spacing w:before="0" w:after="0" w:line="358" w:lineRule="exact"/>
        <w:ind w:left="847" w:right="0" w:hanging="633"/>
        <w:jc w:val="left"/>
      </w:pPr>
      <w:bookmarkStart w:id="756" w:name="8.3.2建设期环境空气防治措施"/>
      <w:bookmarkEnd w:id="756"/>
      <w:bookmarkStart w:id="757" w:name="8.3.2建设期环境空气防治措施"/>
      <w:bookmarkEnd w:id="757"/>
      <w:r>
        <w:t>建设期环境空气防治措施</w:t>
      </w:r>
    </w:p>
    <w:p>
      <w:pPr>
        <w:pStyle w:val="6"/>
        <w:spacing w:before="185" w:line="362" w:lineRule="auto"/>
        <w:ind w:left="215" w:right="577" w:firstLine="480"/>
        <w:jc w:val="both"/>
      </w:pPr>
      <w:r>
        <w:rPr>
          <w:spacing w:val="-9"/>
        </w:rPr>
        <w:t>① 在施工工作面，应制定洒水降尘制度，配套洒水设备，专人负责，定期洒水，在</w:t>
      </w:r>
      <w:r>
        <w:t>大风日要加大洒水量和洒水次数。</w:t>
      </w:r>
    </w:p>
    <w:p>
      <w:pPr>
        <w:pStyle w:val="6"/>
        <w:spacing w:before="5"/>
        <w:ind w:left="696"/>
      </w:pPr>
      <w:r>
        <w:t>② 施工现场内运输道路应及时清扫、冲洗，以减少汽车行驶扬尘。</w:t>
      </w:r>
    </w:p>
    <w:p>
      <w:pPr>
        <w:pStyle w:val="6"/>
        <w:spacing w:before="158" w:line="364" w:lineRule="auto"/>
        <w:ind w:left="215" w:right="578" w:firstLine="480"/>
        <w:jc w:val="right"/>
      </w:pPr>
      <w:r>
        <w:rPr>
          <w:spacing w:val="-6"/>
        </w:rPr>
        <w:t>③ 施工过程中使用的水泥和其它细颗粒散装原料，应贮存于库房内或密闭存放，避</w:t>
      </w:r>
      <w:r>
        <w:t>免露天堆放。细颗粒物料运输应采用密闭式槽车运输，装卸时要采取措施减少扬尘量。根据同类工程施工现场的类比监测结果分析可知，本期工程施工扬尘对其周围的最</w:t>
      </w:r>
    </w:p>
    <w:p>
      <w:pPr>
        <w:pStyle w:val="6"/>
        <w:spacing w:line="307" w:lineRule="exact"/>
        <w:ind w:right="581"/>
        <w:jc w:val="right"/>
      </w:pPr>
      <w:r>
        <w:rPr>
          <w:spacing w:val="23"/>
        </w:rPr>
        <w:t>近环境空气影响较小， 扬尘浓度贡献值均低于《大气污染物综合排放标准》</w:t>
      </w:r>
    </w:p>
    <w:p>
      <w:pPr>
        <w:pStyle w:val="6"/>
        <w:spacing w:before="161" w:line="362" w:lineRule="auto"/>
        <w:ind w:left="215" w:right="576"/>
      </w:pPr>
      <w:r>
        <w:t>（</w:t>
      </w:r>
      <w:r>
        <w:rPr>
          <w:rFonts w:ascii="Times New Roman" w:eastAsia="Times New Roman"/>
        </w:rPr>
        <w:t>GB16297-1996</w:t>
      </w:r>
      <w:r>
        <w:t xml:space="preserve">）规定的颗粒物无组织排放监控浓度限值 </w:t>
      </w:r>
      <w:r>
        <w:rPr>
          <w:rFonts w:ascii="Times New Roman" w:eastAsia="Times New Roman"/>
        </w:rPr>
        <w:t>1mg/m</w:t>
      </w:r>
      <w:r>
        <w:rPr>
          <w:rFonts w:ascii="Times New Roman" w:eastAsia="Times New Roman"/>
          <w:position w:val="8"/>
          <w:sz w:val="15"/>
        </w:rPr>
        <w:t>3</w:t>
      </w:r>
      <w:r>
        <w:t>，可被周围环境所接受。</w:t>
      </w:r>
    </w:p>
    <w:p>
      <w:pPr>
        <w:pStyle w:val="4"/>
        <w:numPr>
          <w:ilvl w:val="1"/>
          <w:numId w:val="65"/>
        </w:numPr>
        <w:tabs>
          <w:tab w:val="left" w:pos="636"/>
        </w:tabs>
        <w:spacing w:before="3" w:after="0" w:line="240" w:lineRule="auto"/>
        <w:ind w:left="636" w:right="0" w:hanging="421"/>
        <w:jc w:val="left"/>
        <w:rPr>
          <w:rFonts w:ascii="Times New Roman" w:eastAsia="Times New Roman"/>
        </w:rPr>
      </w:pPr>
      <w:bookmarkStart w:id="758" w:name="8.4运营期大气环境影响预测与评价"/>
      <w:bookmarkEnd w:id="758"/>
      <w:bookmarkStart w:id="759" w:name="_bookmark47"/>
      <w:bookmarkEnd w:id="759"/>
      <w:bookmarkStart w:id="760" w:name="_bookmark47"/>
      <w:bookmarkEnd w:id="760"/>
      <w:r>
        <w:t>运营期大气环境影响预测与评价</w:t>
      </w:r>
    </w:p>
    <w:p>
      <w:pPr>
        <w:pStyle w:val="6"/>
        <w:spacing w:before="186" w:line="364" w:lineRule="auto"/>
        <w:ind w:left="215" w:right="576" w:firstLine="480"/>
        <w:jc w:val="both"/>
      </w:pPr>
      <w:r>
        <w:t>根据《环境影响评价技术导则 大气环境》（</w:t>
      </w:r>
      <w:r>
        <w:rPr>
          <w:rFonts w:ascii="Times New Roman" w:eastAsia="Times New Roman"/>
        </w:rPr>
        <w:t>HJ2.2-2018</w:t>
      </w:r>
      <w:r>
        <w:t>）的规定，根据《环境影</w:t>
      </w:r>
      <w:r>
        <w:rPr>
          <w:spacing w:val="-3"/>
        </w:rPr>
        <w:t>响评价技术导则 大气环境》</w:t>
      </w:r>
      <w:r>
        <w:t>（</w:t>
      </w:r>
      <w:r>
        <w:rPr>
          <w:rFonts w:ascii="Times New Roman" w:eastAsia="Times New Roman"/>
        </w:rPr>
        <w:t>HJ2.2-2018</w:t>
      </w:r>
      <w:r>
        <w:t>）</w:t>
      </w:r>
      <w:r>
        <w:rPr>
          <w:spacing w:val="-4"/>
        </w:rPr>
        <w:t>的规定，二级评价项目不进行进一步预测与</w:t>
      </w:r>
      <w:r>
        <w:t>评价，只对污染物排放量进行核算。</w:t>
      </w:r>
    </w:p>
    <w:p>
      <w:pPr>
        <w:pStyle w:val="4"/>
        <w:numPr>
          <w:ilvl w:val="2"/>
          <w:numId w:val="65"/>
        </w:numPr>
        <w:tabs>
          <w:tab w:val="left" w:pos="848"/>
        </w:tabs>
        <w:spacing w:before="0" w:after="0" w:line="240" w:lineRule="auto"/>
        <w:ind w:left="847" w:right="0" w:hanging="633"/>
        <w:jc w:val="left"/>
      </w:pPr>
      <w:bookmarkStart w:id="761" w:name="8.4.1锅炉废气环境影响分析"/>
      <w:bookmarkEnd w:id="761"/>
      <w:bookmarkStart w:id="762" w:name="8.4.1锅炉废气环境影响分析"/>
      <w:bookmarkEnd w:id="762"/>
      <w:r>
        <w:rPr>
          <w:spacing w:val="-1"/>
        </w:rPr>
        <w:t>锅炉废气环境影响分析</w:t>
      </w:r>
    </w:p>
    <w:p>
      <w:pPr>
        <w:pStyle w:val="6"/>
        <w:spacing w:before="185" w:line="362" w:lineRule="auto"/>
        <w:ind w:left="215" w:right="453" w:firstLine="480"/>
      </w:pPr>
      <w:r>
        <w:t>锅炉房及热风炉房主要大气污染物是烟尘、二氧化硫和氮氧化物，锅炉及热风炉均</w:t>
      </w:r>
      <w:r>
        <w:rPr>
          <w:spacing w:val="-11"/>
          <w:position w:val="2"/>
        </w:rPr>
        <w:t xml:space="preserve">燃用生物质燃料，配套布袋除尘器，除尘效率为 </w:t>
      </w:r>
      <w:r>
        <w:rPr>
          <w:rFonts w:ascii="Times New Roman" w:eastAsia="Times New Roman"/>
          <w:spacing w:val="-8"/>
          <w:position w:val="2"/>
        </w:rPr>
        <w:t>99.9%</w:t>
      </w:r>
      <w:r>
        <w:rPr>
          <w:spacing w:val="-11"/>
          <w:position w:val="2"/>
        </w:rPr>
        <w:t>，经理论计算，锅炉房烟尘、</w:t>
      </w:r>
      <w:r>
        <w:rPr>
          <w:rFonts w:ascii="Times New Roman" w:eastAsia="Times New Roman"/>
          <w:position w:val="2"/>
        </w:rPr>
        <w:t>SO</w:t>
      </w:r>
      <w:r>
        <w:rPr>
          <w:rFonts w:ascii="Times New Roman" w:eastAsia="Times New Roman"/>
          <w:position w:val="2"/>
          <w:vertAlign w:val="subscript"/>
        </w:rPr>
        <w:t>2</w:t>
      </w:r>
      <w:r>
        <w:rPr>
          <w:spacing w:val="-12"/>
          <w:position w:val="2"/>
          <w:vertAlign w:val="baseline"/>
        </w:rPr>
        <w:t>、</w:t>
      </w:r>
      <w:r>
        <w:rPr>
          <w:rFonts w:ascii="Times New Roman" w:eastAsia="Times New Roman"/>
          <w:vertAlign w:val="baseline"/>
        </w:rPr>
        <w:t xml:space="preserve">NOx </w:t>
      </w:r>
      <w:r>
        <w:rPr>
          <w:spacing w:val="-8"/>
          <w:vertAlign w:val="baseline"/>
        </w:rPr>
        <w:t xml:space="preserve">排放浓度分别为 </w:t>
      </w:r>
      <w:r>
        <w:rPr>
          <w:rFonts w:ascii="Times New Roman" w:eastAsia="Times New Roman"/>
          <w:vertAlign w:val="baseline"/>
        </w:rPr>
        <w:t>13.93mg/m</w:t>
      </w:r>
      <w:r>
        <w:rPr>
          <w:rFonts w:ascii="Times New Roman" w:eastAsia="Times New Roman"/>
          <w:position w:val="8"/>
          <w:sz w:val="15"/>
          <w:vertAlign w:val="baseline"/>
        </w:rPr>
        <w:t>3</w:t>
      </w:r>
      <w:r>
        <w:rPr>
          <w:spacing w:val="-24"/>
          <w:vertAlign w:val="baseline"/>
        </w:rPr>
        <w:t>、</w:t>
      </w:r>
      <w:r>
        <w:rPr>
          <w:rFonts w:ascii="Times New Roman" w:eastAsia="Times New Roman"/>
          <w:vertAlign w:val="baseline"/>
        </w:rPr>
        <w:t>23.21mg/m</w:t>
      </w:r>
      <w:r>
        <w:rPr>
          <w:rFonts w:ascii="Times New Roman" w:eastAsia="Times New Roman"/>
          <w:position w:val="8"/>
          <w:sz w:val="15"/>
          <w:vertAlign w:val="baseline"/>
        </w:rPr>
        <w:t>3</w:t>
      </w:r>
      <w:r>
        <w:rPr>
          <w:spacing w:val="-22"/>
          <w:vertAlign w:val="baseline"/>
        </w:rPr>
        <w:t>、</w:t>
      </w:r>
      <w:r>
        <w:rPr>
          <w:rFonts w:ascii="Times New Roman" w:eastAsia="Times New Roman"/>
          <w:spacing w:val="-3"/>
          <w:vertAlign w:val="baseline"/>
        </w:rPr>
        <w:t>200mg/m</w:t>
      </w:r>
      <w:r>
        <w:rPr>
          <w:rFonts w:ascii="Times New Roman" w:eastAsia="Times New Roman"/>
          <w:spacing w:val="-3"/>
          <w:position w:val="8"/>
          <w:sz w:val="15"/>
          <w:vertAlign w:val="baseline"/>
        </w:rPr>
        <w:t>3</w:t>
      </w:r>
      <w:r>
        <w:rPr>
          <w:spacing w:val="-4"/>
          <w:vertAlign w:val="baseline"/>
        </w:rPr>
        <w:t>，污染物排放浓度满足《锅炉</w:t>
      </w:r>
    </w:p>
    <w:p>
      <w:pPr>
        <w:spacing w:after="0" w:line="362" w:lineRule="auto"/>
        <w:sectPr>
          <w:pgSz w:w="11910" w:h="16840"/>
          <w:pgMar w:top="1540" w:right="780" w:bottom="1320" w:left="1200" w:header="0" w:footer="1058" w:gutter="0"/>
        </w:sectPr>
      </w:pPr>
    </w:p>
    <w:p>
      <w:pPr>
        <w:pStyle w:val="6"/>
        <w:spacing w:before="63" w:line="362" w:lineRule="auto"/>
        <w:ind w:left="215" w:right="451"/>
      </w:pPr>
      <w:r>
        <w:rPr>
          <w:position w:val="2"/>
        </w:rPr>
        <w:t>大气污染物排放标准》（</w:t>
      </w:r>
      <w:r>
        <w:rPr>
          <w:rFonts w:ascii="Times New Roman" w:eastAsia="Times New Roman"/>
          <w:position w:val="2"/>
        </w:rPr>
        <w:t>GB13271-2014</w:t>
      </w:r>
      <w:r>
        <w:rPr>
          <w:position w:val="2"/>
        </w:rPr>
        <w:t>）</w:t>
      </w:r>
      <w:r>
        <w:rPr>
          <w:spacing w:val="-20"/>
          <w:position w:val="2"/>
        </w:rPr>
        <w:t xml:space="preserve">烟尘 </w:t>
      </w:r>
      <w:r>
        <w:rPr>
          <w:rFonts w:ascii="Times New Roman" w:eastAsia="Times New Roman"/>
          <w:position w:val="2"/>
        </w:rPr>
        <w:t>50mg/m</w:t>
      </w:r>
      <w:r>
        <w:rPr>
          <w:rFonts w:ascii="Times New Roman" w:eastAsia="Times New Roman"/>
          <w:position w:val="2"/>
          <w:vertAlign w:val="superscript"/>
        </w:rPr>
        <w:t>3</w:t>
      </w:r>
      <w:r>
        <w:rPr>
          <w:position w:val="2"/>
          <w:vertAlign w:val="baseline"/>
        </w:rPr>
        <w:t>、</w:t>
      </w:r>
      <w:r>
        <w:rPr>
          <w:rFonts w:ascii="Times New Roman" w:eastAsia="Times New Roman"/>
          <w:position w:val="2"/>
          <w:vertAlign w:val="baseline"/>
        </w:rPr>
        <w:t>SO</w:t>
      </w:r>
      <w:r>
        <w:rPr>
          <w:rFonts w:ascii="Times New Roman" w:eastAsia="Times New Roman"/>
          <w:position w:val="2"/>
          <w:vertAlign w:val="subscript"/>
        </w:rPr>
        <w:t>2</w:t>
      </w:r>
      <w:r>
        <w:rPr>
          <w:rFonts w:ascii="Times New Roman" w:eastAsia="Times New Roman"/>
          <w:position w:val="2"/>
          <w:vertAlign w:val="baseline"/>
        </w:rPr>
        <w:t>300mg/m</w:t>
      </w:r>
      <w:r>
        <w:rPr>
          <w:rFonts w:ascii="Times New Roman" w:eastAsia="Times New Roman"/>
          <w:position w:val="2"/>
          <w:vertAlign w:val="superscript"/>
        </w:rPr>
        <w:t>3</w:t>
      </w:r>
      <w:r>
        <w:rPr>
          <w:position w:val="2"/>
          <w:vertAlign w:val="baseline"/>
        </w:rPr>
        <w:t>、</w:t>
      </w:r>
      <w:r>
        <w:rPr>
          <w:rFonts w:ascii="Times New Roman" w:eastAsia="Times New Roman"/>
          <w:position w:val="2"/>
          <w:vertAlign w:val="baseline"/>
        </w:rPr>
        <w:t>NOx300mg/m</w:t>
      </w:r>
      <w:r>
        <w:rPr>
          <w:rFonts w:ascii="Times New Roman" w:eastAsia="Times New Roman"/>
          <w:position w:val="2"/>
          <w:vertAlign w:val="superscript"/>
        </w:rPr>
        <w:t xml:space="preserve">3 </w:t>
      </w:r>
      <w:r>
        <w:rPr>
          <w:spacing w:val="-5"/>
          <w:position w:val="2"/>
          <w:vertAlign w:val="baseline"/>
        </w:rPr>
        <w:t>的标准限值要求。热风炉房烟尘、</w:t>
      </w:r>
      <w:r>
        <w:rPr>
          <w:rFonts w:ascii="Times New Roman" w:eastAsia="Times New Roman"/>
          <w:position w:val="2"/>
          <w:vertAlign w:val="baseline"/>
        </w:rPr>
        <w:t>SO</w:t>
      </w:r>
      <w:r>
        <w:rPr>
          <w:rFonts w:ascii="Times New Roman" w:eastAsia="Times New Roman"/>
          <w:position w:val="2"/>
          <w:vertAlign w:val="subscript"/>
        </w:rPr>
        <w:t>2</w:t>
      </w:r>
      <w:r>
        <w:rPr>
          <w:spacing w:val="-20"/>
          <w:position w:val="2"/>
          <w:vertAlign w:val="baseline"/>
        </w:rPr>
        <w:t>、</w:t>
      </w:r>
      <w:r>
        <w:rPr>
          <w:rFonts w:ascii="Times New Roman" w:eastAsia="Times New Roman"/>
          <w:position w:val="2"/>
          <w:vertAlign w:val="baseline"/>
        </w:rPr>
        <w:t xml:space="preserve">NOx </w:t>
      </w:r>
      <w:r>
        <w:rPr>
          <w:spacing w:val="-8"/>
          <w:position w:val="2"/>
          <w:vertAlign w:val="baseline"/>
        </w:rPr>
        <w:t xml:space="preserve">排放浓度分别为 </w:t>
      </w:r>
      <w:r>
        <w:rPr>
          <w:rFonts w:ascii="Times New Roman" w:eastAsia="Times New Roman"/>
          <w:position w:val="2"/>
          <w:vertAlign w:val="baseline"/>
        </w:rPr>
        <w:t>14.23mg/m</w:t>
      </w:r>
      <w:r>
        <w:rPr>
          <w:rFonts w:ascii="Times New Roman" w:eastAsia="Times New Roman"/>
          <w:position w:val="2"/>
          <w:vertAlign w:val="superscript"/>
        </w:rPr>
        <w:t>3</w:t>
      </w:r>
      <w:r>
        <w:rPr>
          <w:spacing w:val="-20"/>
          <w:position w:val="2"/>
          <w:vertAlign w:val="baseline"/>
        </w:rPr>
        <w:t>、</w:t>
      </w:r>
      <w:r>
        <w:rPr>
          <w:rFonts w:ascii="Times New Roman" w:eastAsia="Times New Roman"/>
          <w:position w:val="2"/>
          <w:vertAlign w:val="baseline"/>
        </w:rPr>
        <w:t>22.65mg/m</w:t>
      </w:r>
      <w:r>
        <w:rPr>
          <w:rFonts w:ascii="Times New Roman" w:eastAsia="Times New Roman"/>
          <w:position w:val="2"/>
          <w:vertAlign w:val="superscript"/>
        </w:rPr>
        <w:t>3</w:t>
      </w:r>
      <w:r>
        <w:rPr>
          <w:spacing w:val="-13"/>
          <w:position w:val="2"/>
          <w:vertAlign w:val="baseline"/>
        </w:rPr>
        <w:t>、</w:t>
      </w:r>
      <w:r>
        <w:rPr>
          <w:rFonts w:ascii="Times New Roman" w:eastAsia="Times New Roman"/>
          <w:vertAlign w:val="baseline"/>
        </w:rPr>
        <w:t>200mg/m</w:t>
      </w:r>
      <w:r>
        <w:rPr>
          <w:rFonts w:ascii="Times New Roman" w:eastAsia="Times New Roman"/>
          <w:position w:val="8"/>
          <w:sz w:val="15"/>
          <w:vertAlign w:val="baseline"/>
        </w:rPr>
        <w:t>3</w:t>
      </w:r>
      <w:r>
        <w:rPr>
          <w:vertAlign w:val="baseline"/>
        </w:rPr>
        <w:t>，污染物排放浓度满足《工业炉窑大气污染物排放标准》（</w:t>
      </w:r>
      <w:r>
        <w:rPr>
          <w:rFonts w:ascii="Times New Roman" w:eastAsia="Times New Roman"/>
          <w:vertAlign w:val="baseline"/>
        </w:rPr>
        <w:t>GB9078-1996</w:t>
      </w:r>
      <w:r>
        <w:rPr>
          <w:vertAlign w:val="baseline"/>
        </w:rPr>
        <w:t>）中</w:t>
      </w:r>
      <w:r>
        <w:rPr>
          <w:spacing w:val="-30"/>
          <w:position w:val="2"/>
          <w:vertAlign w:val="baseline"/>
        </w:rPr>
        <w:t xml:space="preserve">表 </w:t>
      </w:r>
      <w:r>
        <w:rPr>
          <w:rFonts w:ascii="Times New Roman" w:eastAsia="Times New Roman"/>
          <w:position w:val="2"/>
          <w:vertAlign w:val="baseline"/>
        </w:rPr>
        <w:t xml:space="preserve">2 </w:t>
      </w:r>
      <w:r>
        <w:rPr>
          <w:spacing w:val="-20"/>
          <w:position w:val="2"/>
          <w:vertAlign w:val="baseline"/>
        </w:rPr>
        <w:t xml:space="preserve">及表 </w:t>
      </w:r>
      <w:r>
        <w:rPr>
          <w:rFonts w:ascii="Times New Roman" w:eastAsia="Times New Roman"/>
          <w:position w:val="2"/>
          <w:vertAlign w:val="baseline"/>
        </w:rPr>
        <w:t xml:space="preserve">4 </w:t>
      </w:r>
      <w:r>
        <w:rPr>
          <w:spacing w:val="-15"/>
          <w:position w:val="2"/>
          <w:vertAlign w:val="baseline"/>
        </w:rPr>
        <w:t xml:space="preserve">中烟尘 </w:t>
      </w:r>
      <w:r>
        <w:rPr>
          <w:rFonts w:ascii="Times New Roman" w:eastAsia="Times New Roman"/>
          <w:position w:val="2"/>
          <w:vertAlign w:val="baseline"/>
        </w:rPr>
        <w:t>200mg/m</w:t>
      </w:r>
      <w:r>
        <w:rPr>
          <w:rFonts w:ascii="Times New Roman" w:eastAsia="Times New Roman"/>
          <w:position w:val="2"/>
          <w:vertAlign w:val="superscript"/>
        </w:rPr>
        <w:t>3</w:t>
      </w:r>
      <w:r>
        <w:rPr>
          <w:position w:val="2"/>
          <w:vertAlign w:val="baseline"/>
        </w:rPr>
        <w:t>、</w:t>
      </w:r>
      <w:r>
        <w:rPr>
          <w:rFonts w:ascii="Times New Roman" w:eastAsia="Times New Roman"/>
          <w:position w:val="2"/>
          <w:vertAlign w:val="baseline"/>
        </w:rPr>
        <w:t>SO</w:t>
      </w:r>
      <w:r>
        <w:rPr>
          <w:rFonts w:ascii="Times New Roman" w:eastAsia="Times New Roman"/>
          <w:position w:val="2"/>
          <w:vertAlign w:val="subscript"/>
        </w:rPr>
        <w:t>2</w:t>
      </w:r>
      <w:r>
        <w:rPr>
          <w:rFonts w:ascii="Times New Roman" w:eastAsia="Times New Roman"/>
          <w:position w:val="2"/>
          <w:vertAlign w:val="baseline"/>
        </w:rPr>
        <w:t>850mg/m</w:t>
      </w:r>
      <w:r>
        <w:rPr>
          <w:rFonts w:ascii="Times New Roman" w:eastAsia="Times New Roman"/>
          <w:position w:val="2"/>
          <w:vertAlign w:val="superscript"/>
        </w:rPr>
        <w:t>3</w:t>
      </w:r>
      <w:r>
        <w:rPr>
          <w:rFonts w:ascii="Times New Roman" w:eastAsia="Times New Roman"/>
          <w:position w:val="2"/>
          <w:vertAlign w:val="baseline"/>
        </w:rPr>
        <w:t xml:space="preserve"> </w:t>
      </w:r>
      <w:r>
        <w:rPr>
          <w:position w:val="2"/>
          <w:vertAlign w:val="baseline"/>
        </w:rPr>
        <w:t>的标准限值要求。</w:t>
      </w:r>
    </w:p>
    <w:p>
      <w:pPr>
        <w:pStyle w:val="6"/>
        <w:ind w:left="696"/>
      </w:pPr>
      <w:r>
        <w:t>本项目建设后，所排烟气对当地环境空气质量贡献值较小。</w:t>
      </w:r>
    </w:p>
    <w:p>
      <w:pPr>
        <w:pStyle w:val="6"/>
        <w:spacing w:before="158" w:line="364" w:lineRule="auto"/>
        <w:ind w:left="215" w:right="458" w:firstLine="480"/>
      </w:pPr>
      <w:r>
        <w:rPr>
          <w:spacing w:val="-11"/>
        </w:rPr>
        <w:t xml:space="preserve">对于煤炭场内储存和输送，本项目选择了合理的储存和输送方式及必要的治理措施， </w:t>
      </w:r>
      <w:r>
        <w:t>其扬尘对环境空气的影响可有效控制，一般情况下影响较小采用全封闭煤仓，煤尘对环境空气质量影响较小；煤炭厂内输送采用封闭的输煤栈桥，煤尘对环境空气质量影响较</w:t>
      </w:r>
      <w:r>
        <w:rPr>
          <w:spacing w:val="-13"/>
        </w:rPr>
        <w:t xml:space="preserve">小；筛分车间粉尘采用布袋除尘器处理后经 </w:t>
      </w:r>
      <w:r>
        <w:rPr>
          <w:rFonts w:ascii="Times New Roman" w:eastAsia="Times New Roman"/>
        </w:rPr>
        <w:t xml:space="preserve">15m </w:t>
      </w:r>
      <w:r>
        <w:rPr>
          <w:spacing w:val="-11"/>
        </w:rPr>
        <w:t xml:space="preserve">高烟囱排放，对环境空气质量影响较小； </w:t>
      </w:r>
      <w:r>
        <w:t>矸石临时堆放场内设有喷洒设施，洒水抑尘，煤尘对环境空气质量影响较小。</w:t>
      </w:r>
    </w:p>
    <w:p>
      <w:pPr>
        <w:pStyle w:val="4"/>
        <w:numPr>
          <w:ilvl w:val="2"/>
          <w:numId w:val="65"/>
        </w:numPr>
        <w:tabs>
          <w:tab w:val="left" w:pos="848"/>
        </w:tabs>
        <w:spacing w:before="0" w:after="0" w:line="358" w:lineRule="exact"/>
        <w:ind w:left="847" w:right="0" w:hanging="633"/>
        <w:jc w:val="both"/>
      </w:pPr>
      <w:bookmarkStart w:id="763" w:name="8.4.2油烟对环境空气的影响分析"/>
      <w:bookmarkEnd w:id="763"/>
      <w:bookmarkStart w:id="764" w:name="8.4.2油烟对环境空气的影响分析"/>
      <w:bookmarkEnd w:id="764"/>
      <w:r>
        <w:t>油烟对环境空气的影响分析</w:t>
      </w:r>
    </w:p>
    <w:p>
      <w:pPr>
        <w:pStyle w:val="6"/>
        <w:spacing w:before="185" w:line="364" w:lineRule="auto"/>
        <w:ind w:left="215" w:right="573" w:firstLine="480"/>
        <w:jc w:val="both"/>
      </w:pPr>
      <w:r>
        <w:rPr>
          <w:spacing w:val="-8"/>
        </w:rPr>
        <w:t xml:space="preserve">本项目劳动定员 </w:t>
      </w:r>
      <w:r>
        <w:rPr>
          <w:rFonts w:ascii="Times New Roman" w:hAnsi="Times New Roman" w:eastAsia="Times New Roman"/>
        </w:rPr>
        <w:t xml:space="preserve">655 </w:t>
      </w:r>
      <w:r>
        <w:rPr>
          <w:spacing w:val="-3"/>
        </w:rPr>
        <w:t xml:space="preserve">人，本项目食堂为职工内部食堂，基准灶头数为 </w:t>
      </w:r>
      <w:r>
        <w:rPr>
          <w:rFonts w:ascii="Times New Roman" w:hAnsi="Times New Roman" w:eastAsia="Times New Roman"/>
        </w:rPr>
        <w:t xml:space="preserve">6 </w:t>
      </w:r>
      <w:r>
        <w:rPr>
          <w:spacing w:val="-2"/>
        </w:rPr>
        <w:t>个，属于大</w:t>
      </w:r>
      <w:r>
        <w:rPr>
          <w:spacing w:val="-4"/>
        </w:rPr>
        <w:t>型规模，参照《饮食油烟排放标准</w:t>
      </w:r>
      <w:r>
        <w:t>（试行</w:t>
      </w:r>
      <w:r>
        <w:rPr>
          <w:spacing w:val="-5"/>
        </w:rPr>
        <w:t>）</w:t>
      </w:r>
      <w:r>
        <w:rPr>
          <w:spacing w:val="-12"/>
        </w:rPr>
        <w:t>》</w:t>
      </w:r>
      <w:r>
        <w:t>（</w:t>
      </w:r>
      <w:r>
        <w:rPr>
          <w:rFonts w:ascii="Times New Roman" w:hAnsi="Times New Roman" w:eastAsia="Times New Roman"/>
        </w:rPr>
        <w:t>GB18483-2001</w:t>
      </w:r>
      <w:r>
        <w:t>）</w:t>
      </w:r>
      <w:r>
        <w:rPr>
          <w:spacing w:val="-2"/>
        </w:rPr>
        <w:t>中油烟排放要求，拟对</w:t>
      </w:r>
      <w:r>
        <w:rPr>
          <w:spacing w:val="-4"/>
        </w:rPr>
        <w:t>新建食堂安装油烟净化设施，油烟去除效率</w:t>
      </w:r>
      <w:r>
        <w:rPr>
          <w:rFonts w:ascii="Times New Roman" w:hAnsi="Times New Roman" w:eastAsia="Times New Roman"/>
          <w:spacing w:val="-9"/>
        </w:rPr>
        <w:t>≥85%</w:t>
      </w:r>
      <w:r>
        <w:rPr>
          <w:spacing w:val="-4"/>
        </w:rPr>
        <w:t>，净化后经专用烟道通过高于所在建筑</w:t>
      </w:r>
      <w:r>
        <w:rPr>
          <w:spacing w:val="-8"/>
        </w:rPr>
        <w:t>物顶部的排放，油烟排放浓度满足《饮食业油烟排放标准》</w:t>
      </w:r>
      <w:r>
        <w:t>（</w:t>
      </w:r>
      <w:r>
        <w:rPr>
          <w:rFonts w:ascii="Times New Roman" w:hAnsi="Times New Roman" w:eastAsia="Times New Roman"/>
        </w:rPr>
        <w:t>GB 18483-2001</w:t>
      </w:r>
      <w:r>
        <w:t>）</w:t>
      </w:r>
      <w:r>
        <w:rPr>
          <w:spacing w:val="-3"/>
        </w:rPr>
        <w:t>最高允许</w:t>
      </w:r>
      <w:r>
        <w:rPr>
          <w:spacing w:val="-12"/>
        </w:rPr>
        <w:t xml:space="preserve">排放浓度 </w:t>
      </w:r>
      <w:r>
        <w:rPr>
          <w:rFonts w:ascii="Times New Roman" w:hAnsi="Times New Roman" w:eastAsia="Times New Roman"/>
        </w:rPr>
        <w:t>2.0mg/m</w:t>
      </w:r>
      <w:r>
        <w:rPr>
          <w:rFonts w:ascii="Times New Roman" w:hAnsi="Times New Roman" w:eastAsia="Times New Roman"/>
          <w:position w:val="8"/>
          <w:sz w:val="15"/>
        </w:rPr>
        <w:t>3</w:t>
      </w:r>
      <w:r>
        <w:t>。</w:t>
      </w:r>
    </w:p>
    <w:p>
      <w:pPr>
        <w:pStyle w:val="4"/>
        <w:numPr>
          <w:ilvl w:val="2"/>
          <w:numId w:val="65"/>
        </w:numPr>
        <w:tabs>
          <w:tab w:val="left" w:pos="848"/>
        </w:tabs>
        <w:spacing w:before="0" w:after="0" w:line="358" w:lineRule="exact"/>
        <w:ind w:left="847" w:right="0" w:hanging="633"/>
        <w:jc w:val="both"/>
      </w:pPr>
      <w:bookmarkStart w:id="765" w:name="8.4.3环境空气影响预测结论"/>
      <w:bookmarkEnd w:id="765"/>
      <w:bookmarkStart w:id="766" w:name="8.4.3环境空气影响预测结论"/>
      <w:bookmarkEnd w:id="766"/>
      <w:r>
        <w:t>环境空气影响预测结论</w:t>
      </w:r>
    </w:p>
    <w:p>
      <w:pPr>
        <w:pStyle w:val="6"/>
        <w:spacing w:before="182" w:line="364" w:lineRule="auto"/>
        <w:ind w:left="215" w:right="457" w:firstLine="480"/>
      </w:pPr>
      <w:r>
        <w:rPr>
          <w:position w:val="2"/>
        </w:rPr>
        <w:t>本项目服务期，工业广场锅炉和热风炉排放的烟尘、</w:t>
      </w:r>
      <w:r>
        <w:rPr>
          <w:rFonts w:ascii="Times New Roman" w:hAnsi="Times New Roman" w:eastAsia="Times New Roman"/>
          <w:position w:val="2"/>
        </w:rPr>
        <w:t>SO</w:t>
      </w:r>
      <w:r>
        <w:rPr>
          <w:rFonts w:ascii="Times New Roman" w:hAnsi="Times New Roman" w:eastAsia="Times New Roman"/>
          <w:position w:val="2"/>
          <w:vertAlign w:val="subscript"/>
        </w:rPr>
        <w:t>2</w:t>
      </w:r>
      <w:r>
        <w:rPr>
          <w:rFonts w:ascii="Times New Roman" w:hAnsi="Times New Roman" w:eastAsia="Times New Roman"/>
          <w:position w:val="2"/>
          <w:vertAlign w:val="baseline"/>
        </w:rPr>
        <w:t xml:space="preserve"> </w:t>
      </w:r>
      <w:r>
        <w:rPr>
          <w:spacing w:val="-28"/>
          <w:position w:val="2"/>
          <w:vertAlign w:val="baseline"/>
        </w:rPr>
        <w:t xml:space="preserve">和 </w:t>
      </w:r>
      <w:r>
        <w:rPr>
          <w:rFonts w:ascii="Times New Roman" w:hAnsi="Times New Roman" w:eastAsia="Times New Roman"/>
          <w:position w:val="2"/>
          <w:vertAlign w:val="baseline"/>
        </w:rPr>
        <w:t>NO</w:t>
      </w:r>
      <w:r>
        <w:rPr>
          <w:rFonts w:ascii="Times New Roman" w:hAnsi="Times New Roman" w:eastAsia="Times New Roman"/>
          <w:position w:val="2"/>
          <w:vertAlign w:val="subscript"/>
        </w:rPr>
        <w:t>2</w:t>
      </w:r>
      <w:r>
        <w:rPr>
          <w:rFonts w:ascii="Times New Roman" w:hAnsi="Times New Roman" w:eastAsia="Times New Roman"/>
          <w:position w:val="2"/>
          <w:vertAlign w:val="baseline"/>
        </w:rPr>
        <w:t xml:space="preserve"> </w:t>
      </w:r>
      <w:r>
        <w:rPr>
          <w:position w:val="2"/>
          <w:vertAlign w:val="baseline"/>
        </w:rPr>
        <w:t>最大落地浓度均低</w:t>
      </w:r>
      <w:r>
        <w:rPr>
          <w:spacing w:val="-4"/>
          <w:vertAlign w:val="baseline"/>
        </w:rPr>
        <w:t>于《锅炉大气污染物排放标准》</w:t>
      </w:r>
      <w:r>
        <w:rPr>
          <w:vertAlign w:val="baseline"/>
        </w:rPr>
        <w:t>（</w:t>
      </w:r>
      <w:r>
        <w:rPr>
          <w:rFonts w:ascii="Times New Roman" w:hAnsi="Times New Roman" w:eastAsia="Times New Roman"/>
          <w:vertAlign w:val="baseline"/>
        </w:rPr>
        <w:t>GB13271-2014</w:t>
      </w:r>
      <w:r>
        <w:rPr>
          <w:vertAlign w:val="baseline"/>
        </w:rPr>
        <w:t>）</w:t>
      </w:r>
      <w:r>
        <w:rPr>
          <w:spacing w:val="-2"/>
          <w:vertAlign w:val="baseline"/>
        </w:rPr>
        <w:t>标准限值要求，对所在区域的环境空气质量影响较小。在采取本评价提出的严格抑尘措施后，本项目扬尘较小。食堂安装装</w:t>
      </w:r>
      <w:r>
        <w:rPr>
          <w:spacing w:val="-11"/>
          <w:vertAlign w:val="baseline"/>
        </w:rPr>
        <w:t>油烟净化设施，油烟去除效率</w:t>
      </w:r>
      <w:r>
        <w:rPr>
          <w:rFonts w:ascii="Times New Roman" w:hAnsi="Times New Roman" w:eastAsia="Times New Roman"/>
          <w:vertAlign w:val="baseline"/>
        </w:rPr>
        <w:t>≥85</w:t>
      </w:r>
      <w:r>
        <w:rPr>
          <w:rFonts w:ascii="Times New Roman" w:hAnsi="Times New Roman" w:eastAsia="Times New Roman"/>
          <w:spacing w:val="-1"/>
          <w:vertAlign w:val="baseline"/>
        </w:rPr>
        <w:t>%</w:t>
      </w:r>
      <w:r>
        <w:rPr>
          <w:spacing w:val="-12"/>
          <w:vertAlign w:val="baseline"/>
        </w:rPr>
        <w:t>，净化后经专用烟道通过高于所在建筑物顶部的排放，</w:t>
      </w:r>
      <w:r>
        <w:rPr>
          <w:spacing w:val="-11"/>
          <w:vertAlign w:val="baseline"/>
        </w:rPr>
        <w:t>油烟排放浓度满足《饮食业油烟排放标准</w:t>
      </w:r>
      <w:r>
        <w:rPr>
          <w:spacing w:val="-238"/>
          <w:vertAlign w:val="baseline"/>
        </w:rPr>
        <w:t>》</w:t>
      </w:r>
      <w:r>
        <w:rPr>
          <w:spacing w:val="-3"/>
          <w:vertAlign w:val="baseline"/>
        </w:rPr>
        <w:t>（</w:t>
      </w:r>
      <w:r>
        <w:rPr>
          <w:rFonts w:ascii="Times New Roman" w:hAnsi="Times New Roman" w:eastAsia="Times New Roman"/>
          <w:spacing w:val="-1"/>
          <w:vertAlign w:val="baseline"/>
        </w:rPr>
        <w:t>G</w:t>
      </w:r>
      <w:r>
        <w:rPr>
          <w:rFonts w:ascii="Times New Roman" w:hAnsi="Times New Roman" w:eastAsia="Times New Roman"/>
          <w:vertAlign w:val="baseline"/>
        </w:rPr>
        <w:t>B 18483</w:t>
      </w:r>
      <w:r>
        <w:rPr>
          <w:rFonts w:ascii="Times New Roman" w:hAnsi="Times New Roman" w:eastAsia="Times New Roman"/>
          <w:spacing w:val="-1"/>
          <w:vertAlign w:val="baseline"/>
        </w:rPr>
        <w:t>-</w:t>
      </w:r>
      <w:r>
        <w:rPr>
          <w:rFonts w:ascii="Times New Roman" w:hAnsi="Times New Roman" w:eastAsia="Times New Roman"/>
          <w:vertAlign w:val="baseline"/>
        </w:rPr>
        <w:t>200</w:t>
      </w:r>
      <w:r>
        <w:rPr>
          <w:rFonts w:ascii="Times New Roman" w:hAnsi="Times New Roman" w:eastAsia="Times New Roman"/>
          <w:spacing w:val="2"/>
          <w:vertAlign w:val="baseline"/>
        </w:rPr>
        <w:t>1</w:t>
      </w:r>
      <w:r>
        <w:rPr>
          <w:spacing w:val="-120"/>
          <w:vertAlign w:val="baseline"/>
        </w:rPr>
        <w:t>）</w:t>
      </w:r>
      <w:r>
        <w:rPr>
          <w:spacing w:val="4"/>
          <w:vertAlign w:val="baseline"/>
        </w:rPr>
        <w:t>最高允许排放浓度</w:t>
      </w:r>
      <w:r>
        <w:rPr>
          <w:rFonts w:ascii="Times New Roman" w:hAnsi="Times New Roman" w:eastAsia="Times New Roman"/>
          <w:vertAlign w:val="baseline"/>
        </w:rPr>
        <w:t>2.0m</w:t>
      </w:r>
      <w:r>
        <w:rPr>
          <w:rFonts w:ascii="Times New Roman" w:hAnsi="Times New Roman" w:eastAsia="Times New Roman"/>
          <w:spacing w:val="-3"/>
          <w:vertAlign w:val="baseline"/>
        </w:rPr>
        <w:t>g</w:t>
      </w:r>
      <w:r>
        <w:rPr>
          <w:rFonts w:ascii="Times New Roman" w:hAnsi="Times New Roman" w:eastAsia="Times New Roman"/>
          <w:vertAlign w:val="baseline"/>
        </w:rPr>
        <w:t>/m</w:t>
      </w:r>
      <w:r>
        <w:rPr>
          <w:rFonts w:ascii="Times New Roman" w:hAnsi="Times New Roman" w:eastAsia="Times New Roman"/>
          <w:spacing w:val="-2"/>
          <w:w w:val="104"/>
          <w:position w:val="8"/>
          <w:sz w:val="15"/>
          <w:vertAlign w:val="baseline"/>
        </w:rPr>
        <w:t>3</w:t>
      </w:r>
      <w:r>
        <w:rPr>
          <w:spacing w:val="-11"/>
          <w:vertAlign w:val="baseline"/>
        </w:rPr>
        <w:t>。</w:t>
      </w:r>
      <w:r>
        <w:rPr>
          <w:vertAlign w:val="baseline"/>
        </w:rPr>
        <w:t>总体来说，本项目对评价区域环境空气质量影响很小，排放的大气污染物可被现有环境所接受。</w:t>
      </w:r>
    </w:p>
    <w:p>
      <w:pPr>
        <w:pStyle w:val="4"/>
        <w:numPr>
          <w:ilvl w:val="1"/>
          <w:numId w:val="65"/>
        </w:numPr>
        <w:tabs>
          <w:tab w:val="left" w:pos="636"/>
        </w:tabs>
        <w:spacing w:before="0" w:after="0" w:line="353" w:lineRule="exact"/>
        <w:ind w:left="636" w:right="0" w:hanging="421"/>
        <w:jc w:val="both"/>
        <w:rPr>
          <w:rFonts w:ascii="Times New Roman" w:eastAsia="Times New Roman"/>
        </w:rPr>
      </w:pPr>
      <w:bookmarkStart w:id="767" w:name="_bookmark48"/>
      <w:bookmarkEnd w:id="767"/>
      <w:bookmarkStart w:id="768" w:name="8.5大气污染防治措施"/>
      <w:bookmarkEnd w:id="768"/>
      <w:bookmarkStart w:id="769" w:name="_bookmark48"/>
      <w:bookmarkEnd w:id="769"/>
      <w:r>
        <w:t>大气污染防治措施</w:t>
      </w:r>
    </w:p>
    <w:p>
      <w:pPr>
        <w:pStyle w:val="6"/>
        <w:spacing w:before="185"/>
        <w:ind w:left="696"/>
      </w:pPr>
      <w:r>
        <w:rPr>
          <w:rFonts w:ascii="Times New Roman" w:eastAsia="Times New Roman"/>
        </w:rPr>
        <w:t>1</w:t>
      </w:r>
      <w:r>
        <w:t>、建设期</w:t>
      </w:r>
    </w:p>
    <w:p>
      <w:pPr>
        <w:pStyle w:val="6"/>
        <w:spacing w:before="161" w:line="362" w:lineRule="auto"/>
        <w:ind w:left="215" w:right="580" w:firstLine="480"/>
      </w:pPr>
      <w:r>
        <w:rPr>
          <w:spacing w:val="-1"/>
        </w:rPr>
        <w:t>施工废气严格按照工程建设及施工操作规范实施，杜绝随意性，并要加强对施工人</w:t>
      </w:r>
      <w:r>
        <w:t>员的行为管理。</w:t>
      </w:r>
    </w:p>
    <w:p>
      <w:pPr>
        <w:pStyle w:val="6"/>
        <w:spacing w:before="5"/>
        <w:ind w:left="696"/>
      </w:pPr>
      <w:r>
        <w:rPr>
          <w:rFonts w:ascii="Times New Roman" w:eastAsia="Times New Roman"/>
        </w:rPr>
        <w:t>2</w:t>
      </w:r>
      <w:r>
        <w:t>、运营期</w:t>
      </w:r>
    </w:p>
    <w:p>
      <w:pPr>
        <w:spacing w:after="0"/>
        <w:sectPr>
          <w:footerReference r:id="rId24" w:type="default"/>
          <w:pgSz w:w="11910" w:h="16840"/>
          <w:pgMar w:top="1520" w:right="780" w:bottom="1320" w:left="1200" w:header="0" w:footer="1138" w:gutter="0"/>
          <w:pgNumType w:start="140"/>
        </w:sectPr>
      </w:pPr>
    </w:p>
    <w:p>
      <w:pPr>
        <w:pStyle w:val="13"/>
        <w:numPr>
          <w:ilvl w:val="0"/>
          <w:numId w:val="66"/>
        </w:numPr>
        <w:tabs>
          <w:tab w:val="left" w:pos="1297"/>
        </w:tabs>
        <w:spacing w:before="66" w:after="0" w:line="240" w:lineRule="auto"/>
        <w:ind w:left="1297" w:right="0" w:hanging="601"/>
        <w:jc w:val="left"/>
        <w:rPr>
          <w:sz w:val="24"/>
        </w:rPr>
      </w:pPr>
      <w:r>
        <w:rPr>
          <w:sz w:val="24"/>
        </w:rPr>
        <w:t>锅炉及热风炉</w:t>
      </w:r>
    </w:p>
    <w:p>
      <w:pPr>
        <w:pStyle w:val="6"/>
        <w:spacing w:before="155" w:line="362" w:lineRule="auto"/>
        <w:ind w:left="215" w:right="453" w:firstLine="480"/>
      </w:pPr>
      <w:r>
        <w:rPr>
          <w:spacing w:val="-11"/>
          <w:position w:val="2"/>
        </w:rPr>
        <w:t xml:space="preserve">锅炉燃用生物质，配置除尘效率为 </w:t>
      </w:r>
      <w:r>
        <w:rPr>
          <w:rFonts w:ascii="Times New Roman" w:eastAsia="Times New Roman"/>
          <w:position w:val="2"/>
        </w:rPr>
        <w:t>99.9%</w:t>
      </w:r>
      <w:r>
        <w:rPr>
          <w:spacing w:val="-14"/>
          <w:position w:val="2"/>
        </w:rPr>
        <w:t>的布袋除尘器，经计算，锅炉房烟尘、</w:t>
      </w:r>
      <w:r>
        <w:rPr>
          <w:rFonts w:ascii="Times New Roman" w:eastAsia="Times New Roman"/>
          <w:position w:val="2"/>
        </w:rPr>
        <w:t>SO</w:t>
      </w:r>
      <w:r>
        <w:rPr>
          <w:rFonts w:ascii="Times New Roman" w:eastAsia="Times New Roman"/>
          <w:position w:val="2"/>
          <w:vertAlign w:val="subscript"/>
        </w:rPr>
        <w:t>2</w:t>
      </w:r>
      <w:r>
        <w:rPr>
          <w:spacing w:val="-15"/>
          <w:position w:val="2"/>
          <w:vertAlign w:val="baseline"/>
        </w:rPr>
        <w:t>、</w:t>
      </w:r>
      <w:r>
        <w:rPr>
          <w:rFonts w:ascii="Times New Roman" w:eastAsia="Times New Roman"/>
          <w:position w:val="2"/>
          <w:vertAlign w:val="baseline"/>
        </w:rPr>
        <w:t>NO</w:t>
      </w:r>
      <w:r>
        <w:rPr>
          <w:rFonts w:ascii="Times New Roman" w:eastAsia="Times New Roman"/>
          <w:position w:val="2"/>
          <w:vertAlign w:val="subscript"/>
        </w:rPr>
        <w:t>X</w:t>
      </w:r>
      <w:r>
        <w:rPr>
          <w:rFonts w:ascii="Times New Roman" w:eastAsia="Times New Roman"/>
          <w:position w:val="2"/>
          <w:vertAlign w:val="baseline"/>
        </w:rPr>
        <w:t xml:space="preserve"> </w:t>
      </w:r>
      <w:r>
        <w:rPr>
          <w:spacing w:val="-7"/>
          <w:position w:val="2"/>
          <w:vertAlign w:val="baseline"/>
        </w:rPr>
        <w:t xml:space="preserve">排放浓度分别为 </w:t>
      </w:r>
      <w:r>
        <w:rPr>
          <w:rFonts w:ascii="Times New Roman" w:eastAsia="Times New Roman"/>
          <w:position w:val="2"/>
          <w:vertAlign w:val="baseline"/>
        </w:rPr>
        <w:t>13.93mg/m</w:t>
      </w:r>
      <w:r>
        <w:rPr>
          <w:rFonts w:ascii="Times New Roman" w:eastAsia="Times New Roman"/>
          <w:position w:val="2"/>
          <w:vertAlign w:val="superscript"/>
        </w:rPr>
        <w:t>3</w:t>
      </w:r>
      <w:r>
        <w:rPr>
          <w:spacing w:val="-17"/>
          <w:position w:val="2"/>
          <w:vertAlign w:val="baseline"/>
        </w:rPr>
        <w:t>、</w:t>
      </w:r>
      <w:r>
        <w:rPr>
          <w:rFonts w:ascii="Times New Roman" w:eastAsia="Times New Roman"/>
          <w:position w:val="2"/>
          <w:vertAlign w:val="baseline"/>
        </w:rPr>
        <w:t>23.21mg/m</w:t>
      </w:r>
      <w:r>
        <w:rPr>
          <w:rFonts w:ascii="Times New Roman" w:eastAsia="Times New Roman"/>
          <w:position w:val="2"/>
          <w:vertAlign w:val="superscript"/>
        </w:rPr>
        <w:t>3</w:t>
      </w:r>
      <w:r>
        <w:rPr>
          <w:spacing w:val="-15"/>
          <w:position w:val="2"/>
          <w:vertAlign w:val="baseline"/>
        </w:rPr>
        <w:t>、</w:t>
      </w:r>
      <w:r>
        <w:rPr>
          <w:rFonts w:ascii="Times New Roman" w:eastAsia="Times New Roman"/>
          <w:spacing w:val="-3"/>
          <w:position w:val="2"/>
          <w:vertAlign w:val="baseline"/>
        </w:rPr>
        <w:t>200mg/m</w:t>
      </w:r>
      <w:r>
        <w:rPr>
          <w:rFonts w:ascii="Times New Roman" w:eastAsia="Times New Roman"/>
          <w:spacing w:val="-3"/>
          <w:position w:val="2"/>
          <w:vertAlign w:val="superscript"/>
        </w:rPr>
        <w:t>3</w:t>
      </w:r>
      <w:r>
        <w:rPr>
          <w:spacing w:val="-4"/>
          <w:position w:val="2"/>
          <w:vertAlign w:val="baseline"/>
        </w:rPr>
        <w:t>，符合《锅炉大气污染物排放</w:t>
      </w:r>
      <w:r>
        <w:rPr>
          <w:spacing w:val="-23"/>
          <w:vertAlign w:val="baseline"/>
        </w:rPr>
        <w:t>标准》</w:t>
      </w:r>
      <w:r>
        <w:rPr>
          <w:spacing w:val="-3"/>
          <w:vertAlign w:val="baseline"/>
        </w:rPr>
        <w:t>（</w:t>
      </w:r>
      <w:r>
        <w:rPr>
          <w:rFonts w:ascii="Times New Roman" w:eastAsia="Times New Roman"/>
          <w:spacing w:val="-3"/>
          <w:vertAlign w:val="baseline"/>
        </w:rPr>
        <w:t>GB13271-2014</w:t>
      </w:r>
      <w:r>
        <w:rPr>
          <w:spacing w:val="-3"/>
          <w:vertAlign w:val="baseline"/>
        </w:rPr>
        <w:t>）</w:t>
      </w:r>
      <w:r>
        <w:rPr>
          <w:spacing w:val="-29"/>
          <w:vertAlign w:val="baseline"/>
        </w:rPr>
        <w:t xml:space="preserve">表 </w:t>
      </w:r>
      <w:r>
        <w:rPr>
          <w:rFonts w:ascii="Times New Roman" w:eastAsia="Times New Roman"/>
          <w:vertAlign w:val="baseline"/>
        </w:rPr>
        <w:t xml:space="preserve">2 </w:t>
      </w:r>
      <w:r>
        <w:rPr>
          <w:spacing w:val="-9"/>
          <w:vertAlign w:val="baseline"/>
        </w:rPr>
        <w:t xml:space="preserve">限值要求。热风炉房配置除尘效率为 </w:t>
      </w:r>
      <w:r>
        <w:rPr>
          <w:rFonts w:ascii="Times New Roman" w:eastAsia="Times New Roman"/>
          <w:vertAlign w:val="baseline"/>
        </w:rPr>
        <w:t>99.9%</w:t>
      </w:r>
      <w:r>
        <w:rPr>
          <w:spacing w:val="-2"/>
          <w:vertAlign w:val="baseline"/>
        </w:rPr>
        <w:t xml:space="preserve">的布袋除尘器， </w:t>
      </w:r>
      <w:r>
        <w:rPr>
          <w:position w:val="2"/>
          <w:vertAlign w:val="baseline"/>
        </w:rPr>
        <w:t>烟尘、</w:t>
      </w:r>
      <w:r>
        <w:rPr>
          <w:rFonts w:ascii="Times New Roman" w:eastAsia="Times New Roman"/>
          <w:position w:val="2"/>
          <w:vertAlign w:val="baseline"/>
        </w:rPr>
        <w:t>SO</w:t>
      </w:r>
      <w:r>
        <w:rPr>
          <w:rFonts w:ascii="Times New Roman" w:eastAsia="Times New Roman"/>
          <w:position w:val="2"/>
          <w:vertAlign w:val="subscript"/>
        </w:rPr>
        <w:t>2</w:t>
      </w:r>
      <w:r>
        <w:rPr>
          <w:position w:val="2"/>
          <w:vertAlign w:val="baseline"/>
        </w:rPr>
        <w:t>、</w:t>
      </w:r>
      <w:r>
        <w:rPr>
          <w:rFonts w:ascii="Times New Roman" w:eastAsia="Times New Roman"/>
          <w:position w:val="2"/>
          <w:vertAlign w:val="baseline"/>
        </w:rPr>
        <w:t>NO</w:t>
      </w:r>
      <w:r>
        <w:rPr>
          <w:rFonts w:ascii="Times New Roman" w:eastAsia="Times New Roman"/>
          <w:position w:val="2"/>
          <w:vertAlign w:val="subscript"/>
        </w:rPr>
        <w:t>X</w:t>
      </w:r>
      <w:r>
        <w:rPr>
          <w:rFonts w:ascii="Times New Roman" w:eastAsia="Times New Roman"/>
          <w:position w:val="2"/>
          <w:vertAlign w:val="baseline"/>
        </w:rPr>
        <w:t xml:space="preserve"> </w:t>
      </w:r>
      <w:r>
        <w:rPr>
          <w:spacing w:val="-6"/>
          <w:position w:val="2"/>
          <w:vertAlign w:val="baseline"/>
        </w:rPr>
        <w:t xml:space="preserve">排放浓度分别为 </w:t>
      </w:r>
      <w:r>
        <w:rPr>
          <w:rFonts w:ascii="Times New Roman" w:eastAsia="Times New Roman"/>
          <w:position w:val="2"/>
          <w:vertAlign w:val="baseline"/>
        </w:rPr>
        <w:t>14.23mg/m</w:t>
      </w:r>
      <w:r>
        <w:rPr>
          <w:rFonts w:ascii="Times New Roman" w:eastAsia="Times New Roman"/>
          <w:position w:val="2"/>
          <w:vertAlign w:val="superscript"/>
        </w:rPr>
        <w:t>3</w:t>
      </w:r>
      <w:r>
        <w:rPr>
          <w:position w:val="2"/>
          <w:vertAlign w:val="baseline"/>
        </w:rPr>
        <w:t>、</w:t>
      </w:r>
      <w:r>
        <w:rPr>
          <w:rFonts w:ascii="Times New Roman" w:eastAsia="Times New Roman"/>
          <w:position w:val="2"/>
          <w:vertAlign w:val="baseline"/>
        </w:rPr>
        <w:t>22.65mg/m</w:t>
      </w:r>
      <w:r>
        <w:rPr>
          <w:rFonts w:ascii="Times New Roman" w:eastAsia="Times New Roman"/>
          <w:position w:val="2"/>
          <w:vertAlign w:val="superscript"/>
        </w:rPr>
        <w:t>3</w:t>
      </w:r>
      <w:r>
        <w:rPr>
          <w:position w:val="2"/>
          <w:vertAlign w:val="baseline"/>
        </w:rPr>
        <w:t>、</w:t>
      </w:r>
      <w:r>
        <w:rPr>
          <w:rFonts w:ascii="Times New Roman" w:eastAsia="Times New Roman"/>
          <w:position w:val="2"/>
          <w:vertAlign w:val="baseline"/>
        </w:rPr>
        <w:t>200mg/m</w:t>
      </w:r>
      <w:r>
        <w:rPr>
          <w:rFonts w:ascii="Times New Roman" w:eastAsia="Times New Roman"/>
          <w:position w:val="2"/>
          <w:vertAlign w:val="superscript"/>
        </w:rPr>
        <w:t>3</w:t>
      </w:r>
      <w:r>
        <w:rPr>
          <w:position w:val="2"/>
          <w:vertAlign w:val="baseline"/>
        </w:rPr>
        <w:t>，污染物排放浓</w:t>
      </w:r>
      <w:r>
        <w:rPr>
          <w:spacing w:val="-10"/>
          <w:vertAlign w:val="baseline"/>
        </w:rPr>
        <w:t>度满足《工业炉窑大气污染物排放标准</w:t>
      </w:r>
      <w:r>
        <w:rPr>
          <w:spacing w:val="-192"/>
          <w:vertAlign w:val="baseline"/>
        </w:rPr>
        <w:t>》</w:t>
      </w:r>
      <w:r>
        <w:rPr>
          <w:vertAlign w:val="baseline"/>
        </w:rPr>
        <w:t>（</w:t>
      </w:r>
      <w:r>
        <w:rPr>
          <w:rFonts w:ascii="Times New Roman" w:eastAsia="Times New Roman"/>
          <w:spacing w:val="-1"/>
          <w:vertAlign w:val="baseline"/>
        </w:rPr>
        <w:t>G</w:t>
      </w:r>
      <w:r>
        <w:rPr>
          <w:rFonts w:ascii="Times New Roman" w:eastAsia="Times New Roman"/>
          <w:spacing w:val="-2"/>
          <w:vertAlign w:val="baseline"/>
        </w:rPr>
        <w:t>B</w:t>
      </w:r>
      <w:r>
        <w:rPr>
          <w:rFonts w:ascii="Times New Roman" w:eastAsia="Times New Roman"/>
          <w:vertAlign w:val="baseline"/>
        </w:rPr>
        <w:t>9078</w:t>
      </w:r>
      <w:r>
        <w:rPr>
          <w:rFonts w:ascii="Times New Roman" w:eastAsia="Times New Roman"/>
          <w:spacing w:val="-1"/>
          <w:vertAlign w:val="baseline"/>
        </w:rPr>
        <w:t>-</w:t>
      </w:r>
      <w:r>
        <w:rPr>
          <w:rFonts w:ascii="Times New Roman" w:eastAsia="Times New Roman"/>
          <w:vertAlign w:val="baseline"/>
        </w:rPr>
        <w:t>199</w:t>
      </w:r>
      <w:r>
        <w:rPr>
          <w:rFonts w:ascii="Times New Roman" w:eastAsia="Times New Roman"/>
          <w:spacing w:val="2"/>
          <w:vertAlign w:val="baseline"/>
        </w:rPr>
        <w:t>6</w:t>
      </w:r>
      <w:r>
        <w:rPr>
          <w:spacing w:val="-96"/>
          <w:vertAlign w:val="baseline"/>
        </w:rPr>
        <w:t>）</w:t>
      </w:r>
      <w:r>
        <w:rPr>
          <w:spacing w:val="-20"/>
          <w:vertAlign w:val="baseline"/>
        </w:rPr>
        <w:t xml:space="preserve">中表 </w:t>
      </w:r>
      <w:r>
        <w:rPr>
          <w:rFonts w:ascii="Times New Roman" w:eastAsia="Times New Roman"/>
          <w:vertAlign w:val="baseline"/>
        </w:rPr>
        <w:t xml:space="preserve">2 </w:t>
      </w:r>
      <w:r>
        <w:rPr>
          <w:spacing w:val="-20"/>
          <w:vertAlign w:val="baseline"/>
        </w:rPr>
        <w:t xml:space="preserve">及表 </w:t>
      </w:r>
      <w:r>
        <w:rPr>
          <w:rFonts w:ascii="Times New Roman" w:eastAsia="Times New Roman"/>
          <w:vertAlign w:val="baseline"/>
        </w:rPr>
        <w:t xml:space="preserve">4 </w:t>
      </w:r>
      <w:r>
        <w:rPr>
          <w:spacing w:val="-15"/>
          <w:vertAlign w:val="baseline"/>
        </w:rPr>
        <w:t xml:space="preserve">中烟尘 </w:t>
      </w:r>
      <w:r>
        <w:rPr>
          <w:rFonts w:ascii="Times New Roman" w:eastAsia="Times New Roman"/>
          <w:vertAlign w:val="baseline"/>
        </w:rPr>
        <w:t>200m</w:t>
      </w:r>
      <w:r>
        <w:rPr>
          <w:rFonts w:ascii="Times New Roman" w:eastAsia="Times New Roman"/>
          <w:spacing w:val="-3"/>
          <w:vertAlign w:val="baseline"/>
        </w:rPr>
        <w:t>g</w:t>
      </w:r>
      <w:r>
        <w:rPr>
          <w:rFonts w:ascii="Times New Roman" w:eastAsia="Times New Roman"/>
          <w:vertAlign w:val="baseline"/>
        </w:rPr>
        <w:t>/m</w:t>
      </w:r>
      <w:r>
        <w:rPr>
          <w:rFonts w:ascii="Times New Roman" w:eastAsia="Times New Roman"/>
          <w:spacing w:val="-2"/>
          <w:w w:val="104"/>
          <w:position w:val="8"/>
          <w:sz w:val="15"/>
          <w:vertAlign w:val="baseline"/>
        </w:rPr>
        <w:t>3</w:t>
      </w:r>
      <w:r>
        <w:rPr>
          <w:vertAlign w:val="baseline"/>
        </w:rPr>
        <w:t xml:space="preserve">、 </w:t>
      </w:r>
      <w:r>
        <w:rPr>
          <w:rFonts w:ascii="Times New Roman" w:eastAsia="Times New Roman"/>
          <w:position w:val="2"/>
          <w:vertAlign w:val="baseline"/>
        </w:rPr>
        <w:t>SO</w:t>
      </w:r>
      <w:r>
        <w:rPr>
          <w:rFonts w:ascii="Times New Roman" w:eastAsia="Times New Roman"/>
          <w:position w:val="2"/>
          <w:vertAlign w:val="subscript"/>
        </w:rPr>
        <w:t>2</w:t>
      </w:r>
      <w:r>
        <w:rPr>
          <w:rFonts w:ascii="Times New Roman" w:eastAsia="Times New Roman"/>
          <w:position w:val="2"/>
          <w:vertAlign w:val="baseline"/>
        </w:rPr>
        <w:t>850mg/m</w:t>
      </w:r>
      <w:r>
        <w:rPr>
          <w:rFonts w:ascii="Times New Roman" w:eastAsia="Times New Roman"/>
          <w:position w:val="2"/>
          <w:vertAlign w:val="superscript"/>
        </w:rPr>
        <w:t>3</w:t>
      </w:r>
      <w:r>
        <w:rPr>
          <w:rFonts w:ascii="Times New Roman" w:eastAsia="Times New Roman"/>
          <w:position w:val="2"/>
          <w:vertAlign w:val="baseline"/>
        </w:rPr>
        <w:t xml:space="preserve"> </w:t>
      </w:r>
      <w:r>
        <w:rPr>
          <w:position w:val="2"/>
          <w:vertAlign w:val="baseline"/>
        </w:rPr>
        <w:t>的标准限值要求。</w:t>
      </w:r>
    </w:p>
    <w:p>
      <w:pPr>
        <w:pStyle w:val="13"/>
        <w:numPr>
          <w:ilvl w:val="0"/>
          <w:numId w:val="66"/>
        </w:numPr>
        <w:tabs>
          <w:tab w:val="left" w:pos="1297"/>
        </w:tabs>
        <w:spacing w:before="3" w:after="0" w:line="240" w:lineRule="auto"/>
        <w:ind w:left="1297" w:right="0" w:hanging="601"/>
        <w:jc w:val="left"/>
        <w:rPr>
          <w:sz w:val="24"/>
        </w:rPr>
      </w:pPr>
      <w:r>
        <w:rPr>
          <w:sz w:val="24"/>
        </w:rPr>
        <w:t>扬尘</w:t>
      </w:r>
    </w:p>
    <w:p>
      <w:pPr>
        <w:pStyle w:val="6"/>
        <w:spacing w:before="158" w:line="364" w:lineRule="auto"/>
        <w:ind w:left="215" w:right="580" w:firstLine="480"/>
        <w:jc w:val="both"/>
      </w:pPr>
      <w:r>
        <w:t xml:space="preserve">煤炭场内输送采用全封闭式输送栈桥，煤尘很少；采用全封闭煤仓，煤尘对环境空气影响较小；矸石临时堆放场内设有喷洒设施，洒水抑尘；筛分车间设布袋除尘器，烟尘经布袋除尘器处理后 </w:t>
      </w:r>
      <w:r>
        <w:rPr>
          <w:rFonts w:ascii="Times New Roman" w:eastAsia="Times New Roman"/>
        </w:rPr>
        <w:t xml:space="preserve">15m </w:t>
      </w:r>
      <w:r>
        <w:t>高烟囱排放。</w:t>
      </w:r>
    </w:p>
    <w:p>
      <w:pPr>
        <w:pStyle w:val="13"/>
        <w:numPr>
          <w:ilvl w:val="0"/>
          <w:numId w:val="66"/>
        </w:numPr>
        <w:tabs>
          <w:tab w:val="left" w:pos="1300"/>
        </w:tabs>
        <w:spacing w:before="0" w:after="0" w:line="364" w:lineRule="auto"/>
        <w:ind w:left="215" w:right="578" w:firstLine="480"/>
        <w:jc w:val="both"/>
        <w:rPr>
          <w:sz w:val="24"/>
        </w:rPr>
      </w:pPr>
      <w:r>
        <w:rPr>
          <w:sz w:val="24"/>
        </w:rPr>
        <w:t>食堂安装油烟净化设施，油烟去除效率</w:t>
      </w:r>
      <w:r>
        <w:rPr>
          <w:rFonts w:ascii="Times New Roman" w:hAnsi="Times New Roman" w:eastAsia="Times New Roman"/>
          <w:sz w:val="24"/>
        </w:rPr>
        <w:t>≥85%</w:t>
      </w:r>
      <w:r>
        <w:rPr>
          <w:sz w:val="24"/>
        </w:rPr>
        <w:t>，油烟排放浓度满足《饮食业油烟排放标准》（</w:t>
      </w:r>
      <w:r>
        <w:rPr>
          <w:rFonts w:ascii="Times New Roman" w:hAnsi="Times New Roman" w:eastAsia="Times New Roman"/>
          <w:sz w:val="24"/>
        </w:rPr>
        <w:t>GB</w:t>
      </w:r>
      <w:r>
        <w:rPr>
          <w:rFonts w:ascii="Times New Roman" w:hAnsi="Times New Roman" w:eastAsia="Times New Roman"/>
          <w:spacing w:val="-1"/>
          <w:sz w:val="24"/>
        </w:rPr>
        <w:t xml:space="preserve"> </w:t>
      </w:r>
      <w:r>
        <w:rPr>
          <w:rFonts w:ascii="Times New Roman" w:hAnsi="Times New Roman" w:eastAsia="Times New Roman"/>
          <w:sz w:val="24"/>
        </w:rPr>
        <w:t>18483-2001</w:t>
      </w:r>
      <w:r>
        <w:rPr>
          <w:sz w:val="24"/>
        </w:rPr>
        <w:t>）</w:t>
      </w:r>
      <w:r>
        <w:rPr>
          <w:spacing w:val="-7"/>
          <w:sz w:val="24"/>
        </w:rPr>
        <w:t xml:space="preserve">最高允许排放浓度 </w:t>
      </w:r>
      <w:r>
        <w:rPr>
          <w:rFonts w:ascii="Times New Roman" w:hAnsi="Times New Roman" w:eastAsia="Times New Roman"/>
          <w:sz w:val="24"/>
        </w:rPr>
        <w:t>2.0mg/m</w:t>
      </w:r>
      <w:r>
        <w:rPr>
          <w:rFonts w:ascii="Times New Roman" w:hAnsi="Times New Roman" w:eastAsia="Times New Roman"/>
          <w:position w:val="8"/>
          <w:sz w:val="15"/>
        </w:rPr>
        <w:t>3</w:t>
      </w:r>
      <w:r>
        <w:rPr>
          <w:sz w:val="24"/>
        </w:rPr>
        <w:t>。</w:t>
      </w:r>
    </w:p>
    <w:p>
      <w:pPr>
        <w:pStyle w:val="13"/>
        <w:numPr>
          <w:ilvl w:val="0"/>
          <w:numId w:val="66"/>
        </w:numPr>
        <w:tabs>
          <w:tab w:val="left" w:pos="1297"/>
        </w:tabs>
        <w:spacing w:before="0" w:after="0" w:line="240" w:lineRule="auto"/>
        <w:ind w:left="1297" w:right="0" w:hanging="601"/>
        <w:jc w:val="left"/>
        <w:rPr>
          <w:sz w:val="24"/>
        </w:rPr>
      </w:pPr>
      <w:r>
        <w:rPr>
          <w:sz w:val="24"/>
        </w:rPr>
        <w:t>运煤车辆的防尘要求</w:t>
      </w:r>
    </w:p>
    <w:p>
      <w:pPr>
        <w:pStyle w:val="6"/>
        <w:spacing w:before="156" w:line="364" w:lineRule="auto"/>
        <w:ind w:left="215" w:right="580" w:firstLine="480"/>
        <w:jc w:val="both"/>
      </w:pPr>
      <w:r>
        <w:t>对进出运煤车辆定期进行清洗，清除车辆表面粘附的煤粒、泥土等；车辆表面要覆盖苫布，经运输线路敏感点时要减速慢行，防止散装煤炭的撒落对敏感点环境空气的影响。</w:t>
      </w:r>
    </w:p>
    <w:p>
      <w:pPr>
        <w:pStyle w:val="13"/>
        <w:numPr>
          <w:ilvl w:val="0"/>
          <w:numId w:val="66"/>
        </w:numPr>
        <w:tabs>
          <w:tab w:val="left" w:pos="1297"/>
        </w:tabs>
        <w:spacing w:before="0" w:after="0" w:line="362" w:lineRule="auto"/>
        <w:ind w:left="215" w:right="458" w:firstLine="480"/>
        <w:jc w:val="left"/>
        <w:rPr>
          <w:sz w:val="24"/>
        </w:rPr>
      </w:pPr>
      <w:r>
        <w:rPr>
          <w:spacing w:val="-14"/>
          <w:sz w:val="24"/>
        </w:rPr>
        <w:t>提高路面等级，改善路况，并加强道路两侧及工业场地的绿化，减少裸露地面</w:t>
      </w:r>
      <w:r>
        <w:rPr>
          <w:spacing w:val="-4"/>
          <w:sz w:val="24"/>
        </w:rPr>
        <w:t>，严格管理车辆，防止散装物料的撒落，对矿前区公路进行适当洒水，以进一步抑尘。</w:t>
      </w:r>
    </w:p>
    <w:p>
      <w:pPr>
        <w:pStyle w:val="3"/>
        <w:numPr>
          <w:ilvl w:val="1"/>
          <w:numId w:val="65"/>
        </w:numPr>
        <w:tabs>
          <w:tab w:val="left" w:pos="668"/>
        </w:tabs>
        <w:spacing w:before="4" w:after="0" w:line="240" w:lineRule="auto"/>
        <w:ind w:left="667" w:right="0" w:hanging="453"/>
        <w:jc w:val="left"/>
        <w:rPr>
          <w:rFonts w:ascii="Times New Roman" w:eastAsia="Times New Roman"/>
        </w:rPr>
      </w:pPr>
      <w:bookmarkStart w:id="770" w:name="8.6排放量核算"/>
      <w:bookmarkEnd w:id="770"/>
      <w:bookmarkStart w:id="771" w:name="_bookmark49"/>
      <w:bookmarkEnd w:id="771"/>
      <w:bookmarkStart w:id="772" w:name="_bookmark49"/>
      <w:bookmarkEnd w:id="772"/>
      <w:r>
        <w:t>排放量核算</w:t>
      </w:r>
    </w:p>
    <w:p>
      <w:pPr>
        <w:pStyle w:val="6"/>
        <w:spacing w:before="199"/>
        <w:ind w:left="696"/>
      </w:pPr>
      <w:r>
        <w:t xml:space="preserve">本项目污染物排放量核算见表 </w:t>
      </w:r>
      <w:r>
        <w:rPr>
          <w:rFonts w:ascii="Times New Roman" w:eastAsia="Times New Roman"/>
        </w:rPr>
        <w:t>8.6-1</w:t>
      </w:r>
      <w:r>
        <w:t>、</w:t>
      </w:r>
      <w:r>
        <w:rPr>
          <w:rFonts w:ascii="Times New Roman" w:eastAsia="Times New Roman"/>
        </w:rPr>
        <w:t>8.6-2</w:t>
      </w:r>
      <w:r>
        <w:t>。</w:t>
      </w:r>
    </w:p>
    <w:p>
      <w:pPr>
        <w:pStyle w:val="5"/>
        <w:spacing w:before="161"/>
        <w:ind w:left="127"/>
        <w:jc w:val="center"/>
      </w:pPr>
      <w:r>
        <w:t xml:space="preserve">表 </w:t>
      </w:r>
      <w:r>
        <w:rPr>
          <w:rFonts w:ascii="Times New Roman" w:eastAsia="Times New Roman"/>
        </w:rPr>
        <w:t xml:space="preserve">8.6-1 </w:t>
      </w:r>
      <w:r>
        <w:t>大气污染物有组织排放量核算表</w:t>
      </w: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5"/>
        <w:gridCol w:w="1439"/>
        <w:gridCol w:w="1467"/>
        <w:gridCol w:w="1335"/>
        <w:gridCol w:w="2455"/>
        <w:gridCol w:w="18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845" w:type="dxa"/>
          </w:tcPr>
          <w:p>
            <w:pPr>
              <w:pStyle w:val="14"/>
              <w:spacing w:before="118"/>
              <w:ind w:left="220" w:right="213"/>
              <w:rPr>
                <w:b/>
                <w:sz w:val="18"/>
              </w:rPr>
            </w:pPr>
            <w:r>
              <w:rPr>
                <w:b/>
                <w:sz w:val="18"/>
              </w:rPr>
              <w:t>序号</w:t>
            </w:r>
          </w:p>
        </w:tc>
        <w:tc>
          <w:tcPr>
            <w:tcW w:w="1439" w:type="dxa"/>
          </w:tcPr>
          <w:p>
            <w:pPr>
              <w:pStyle w:val="14"/>
              <w:spacing w:before="118"/>
              <w:ind w:left="248" w:right="236"/>
              <w:rPr>
                <w:b/>
                <w:sz w:val="18"/>
              </w:rPr>
            </w:pPr>
            <w:r>
              <w:rPr>
                <w:b/>
                <w:sz w:val="18"/>
              </w:rPr>
              <w:t>排放口编号</w:t>
            </w:r>
          </w:p>
        </w:tc>
        <w:tc>
          <w:tcPr>
            <w:tcW w:w="1467" w:type="dxa"/>
          </w:tcPr>
          <w:p>
            <w:pPr>
              <w:pStyle w:val="14"/>
              <w:spacing w:before="118"/>
              <w:ind w:left="442" w:right="432"/>
              <w:rPr>
                <w:b/>
                <w:sz w:val="18"/>
              </w:rPr>
            </w:pPr>
            <w:r>
              <w:rPr>
                <w:b/>
                <w:sz w:val="18"/>
              </w:rPr>
              <w:t>污染物</w:t>
            </w:r>
          </w:p>
        </w:tc>
        <w:tc>
          <w:tcPr>
            <w:tcW w:w="1335" w:type="dxa"/>
          </w:tcPr>
          <w:p>
            <w:pPr>
              <w:pStyle w:val="14"/>
              <w:spacing w:before="1"/>
              <w:ind w:left="104" w:right="95"/>
              <w:rPr>
                <w:b/>
                <w:sz w:val="18"/>
              </w:rPr>
            </w:pPr>
            <w:r>
              <w:rPr>
                <w:b/>
                <w:sz w:val="18"/>
              </w:rPr>
              <w:t>核算排放浓度</w:t>
            </w:r>
          </w:p>
          <w:p>
            <w:pPr>
              <w:pStyle w:val="14"/>
              <w:spacing w:before="2" w:line="213" w:lineRule="exact"/>
              <w:ind w:left="104" w:right="95"/>
              <w:rPr>
                <w:b/>
                <w:sz w:val="18"/>
              </w:rPr>
            </w:pPr>
            <w:r>
              <w:rPr>
                <w:b/>
                <w:sz w:val="18"/>
              </w:rPr>
              <w:t>（</w:t>
            </w:r>
            <w:r>
              <w:rPr>
                <w:rFonts w:ascii="Times New Roman" w:eastAsia="Times New Roman"/>
                <w:b/>
                <w:sz w:val="18"/>
              </w:rPr>
              <w:t>mg/m</w:t>
            </w:r>
            <w:r>
              <w:rPr>
                <w:rFonts w:ascii="Times New Roman" w:eastAsia="Times New Roman"/>
                <w:b/>
                <w:position w:val="6"/>
                <w:sz w:val="11"/>
              </w:rPr>
              <w:t>3</w:t>
            </w:r>
            <w:r>
              <w:rPr>
                <w:b/>
                <w:sz w:val="18"/>
              </w:rPr>
              <w:t>）</w:t>
            </w:r>
          </w:p>
        </w:tc>
        <w:tc>
          <w:tcPr>
            <w:tcW w:w="2455" w:type="dxa"/>
          </w:tcPr>
          <w:p>
            <w:pPr>
              <w:pStyle w:val="14"/>
              <w:spacing w:before="118"/>
              <w:ind w:left="316" w:right="302"/>
              <w:rPr>
                <w:b/>
                <w:sz w:val="18"/>
              </w:rPr>
            </w:pPr>
            <w:r>
              <w:rPr>
                <w:b/>
                <w:sz w:val="18"/>
              </w:rPr>
              <w:t>核算排放速率（</w:t>
            </w:r>
            <w:r>
              <w:rPr>
                <w:rFonts w:ascii="Times New Roman" w:eastAsia="Times New Roman"/>
                <w:b/>
                <w:sz w:val="18"/>
              </w:rPr>
              <w:t>kg/h</w:t>
            </w:r>
            <w:r>
              <w:rPr>
                <w:b/>
                <w:sz w:val="18"/>
              </w:rPr>
              <w:t>）</w:t>
            </w:r>
          </w:p>
        </w:tc>
        <w:tc>
          <w:tcPr>
            <w:tcW w:w="1803" w:type="dxa"/>
          </w:tcPr>
          <w:p>
            <w:pPr>
              <w:pStyle w:val="14"/>
              <w:spacing w:before="118"/>
              <w:ind w:left="90" w:right="17"/>
              <w:rPr>
                <w:b/>
                <w:sz w:val="18"/>
              </w:rPr>
            </w:pPr>
            <w:r>
              <w:rPr>
                <w:b/>
                <w:sz w:val="18"/>
              </w:rPr>
              <w:t>核算年排放量（</w:t>
            </w:r>
            <w:r>
              <w:rPr>
                <w:rFonts w:ascii="Times New Roman" w:eastAsia="Times New Roman"/>
                <w:b/>
                <w:sz w:val="18"/>
              </w:rPr>
              <w:t>t/a</w:t>
            </w:r>
            <w:r>
              <w:rPr>
                <w:b/>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9344" w:type="dxa"/>
            <w:gridSpan w:val="6"/>
          </w:tcPr>
          <w:p>
            <w:pPr>
              <w:pStyle w:val="14"/>
              <w:spacing w:before="1" w:line="212" w:lineRule="exact"/>
              <w:ind w:left="4022" w:right="4011"/>
              <w:rPr>
                <w:sz w:val="18"/>
              </w:rPr>
            </w:pPr>
            <w:r>
              <w:rPr>
                <w:sz w:val="18"/>
              </w:rPr>
              <w:t>主要排放口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 w:hRule="atLeast"/>
        </w:trPr>
        <w:tc>
          <w:tcPr>
            <w:tcW w:w="845" w:type="dxa"/>
          </w:tcPr>
          <w:p>
            <w:pPr>
              <w:pStyle w:val="14"/>
              <w:spacing w:line="187" w:lineRule="exact"/>
              <w:ind w:left="6"/>
              <w:rPr>
                <w:rFonts w:ascii="Times New Roman"/>
                <w:sz w:val="18"/>
              </w:rPr>
            </w:pPr>
            <w:r>
              <w:rPr>
                <w:rFonts w:ascii="Times New Roman"/>
                <w:sz w:val="18"/>
              </w:rPr>
              <w:t>1</w:t>
            </w:r>
          </w:p>
        </w:tc>
        <w:tc>
          <w:tcPr>
            <w:tcW w:w="1439" w:type="dxa"/>
          </w:tcPr>
          <w:p>
            <w:pPr>
              <w:pStyle w:val="14"/>
              <w:spacing w:line="187" w:lineRule="exact"/>
              <w:ind w:left="10"/>
              <w:rPr>
                <w:rFonts w:ascii="Times New Roman"/>
                <w:sz w:val="18"/>
              </w:rPr>
            </w:pPr>
            <w:r>
              <w:rPr>
                <w:rFonts w:ascii="Times New Roman"/>
                <w:sz w:val="18"/>
              </w:rPr>
              <w:t>/</w:t>
            </w:r>
          </w:p>
        </w:tc>
        <w:tc>
          <w:tcPr>
            <w:tcW w:w="1467" w:type="dxa"/>
          </w:tcPr>
          <w:p>
            <w:pPr>
              <w:pStyle w:val="14"/>
              <w:spacing w:line="187" w:lineRule="exact"/>
              <w:ind w:left="8"/>
              <w:rPr>
                <w:rFonts w:ascii="Times New Roman"/>
                <w:sz w:val="18"/>
              </w:rPr>
            </w:pPr>
            <w:r>
              <w:rPr>
                <w:rFonts w:ascii="Times New Roman"/>
                <w:sz w:val="18"/>
              </w:rPr>
              <w:t>/</w:t>
            </w:r>
          </w:p>
        </w:tc>
        <w:tc>
          <w:tcPr>
            <w:tcW w:w="1335" w:type="dxa"/>
          </w:tcPr>
          <w:p>
            <w:pPr>
              <w:pStyle w:val="14"/>
              <w:spacing w:line="187" w:lineRule="exact"/>
              <w:ind w:left="9"/>
              <w:rPr>
                <w:rFonts w:ascii="Times New Roman"/>
                <w:sz w:val="18"/>
              </w:rPr>
            </w:pPr>
            <w:r>
              <w:rPr>
                <w:rFonts w:ascii="Times New Roman"/>
                <w:sz w:val="18"/>
              </w:rPr>
              <w:t>/</w:t>
            </w:r>
          </w:p>
        </w:tc>
        <w:tc>
          <w:tcPr>
            <w:tcW w:w="2455" w:type="dxa"/>
          </w:tcPr>
          <w:p>
            <w:pPr>
              <w:pStyle w:val="14"/>
              <w:spacing w:line="187" w:lineRule="exact"/>
              <w:ind w:left="6"/>
              <w:rPr>
                <w:rFonts w:ascii="Times New Roman"/>
                <w:sz w:val="18"/>
              </w:rPr>
            </w:pPr>
            <w:r>
              <w:rPr>
                <w:rFonts w:ascii="Times New Roman"/>
                <w:sz w:val="18"/>
              </w:rPr>
              <w:t>/</w:t>
            </w:r>
          </w:p>
        </w:tc>
        <w:tc>
          <w:tcPr>
            <w:tcW w:w="1803" w:type="dxa"/>
          </w:tcPr>
          <w:p>
            <w:pPr>
              <w:pStyle w:val="14"/>
              <w:spacing w:line="187" w:lineRule="exact"/>
              <w:ind w:left="6"/>
              <w:rPr>
                <w:rFonts w:ascii="Times New Roman"/>
                <w:sz w:val="18"/>
              </w:rPr>
            </w:pPr>
            <w:r>
              <w:rPr>
                <w:rFonts w:ascii="Times New Roman"/>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2284" w:type="dxa"/>
            <w:gridSpan w:val="2"/>
          </w:tcPr>
          <w:p>
            <w:pPr>
              <w:pStyle w:val="14"/>
              <w:spacing w:before="1" w:line="211" w:lineRule="exact"/>
              <w:ind w:left="512"/>
              <w:jc w:val="left"/>
              <w:rPr>
                <w:sz w:val="18"/>
              </w:rPr>
            </w:pPr>
            <w:r>
              <w:rPr>
                <w:sz w:val="18"/>
              </w:rPr>
              <w:t>主要排放口合计</w:t>
            </w:r>
          </w:p>
        </w:tc>
        <w:tc>
          <w:tcPr>
            <w:tcW w:w="5257" w:type="dxa"/>
            <w:gridSpan w:val="3"/>
          </w:tcPr>
          <w:p>
            <w:pPr>
              <w:pStyle w:val="14"/>
              <w:spacing w:before="11" w:line="202" w:lineRule="exact"/>
              <w:ind w:left="10"/>
              <w:rPr>
                <w:rFonts w:ascii="Times New Roman"/>
                <w:sz w:val="18"/>
              </w:rPr>
            </w:pPr>
            <w:r>
              <w:rPr>
                <w:rFonts w:ascii="Times New Roman"/>
                <w:sz w:val="18"/>
              </w:rPr>
              <w:t>/</w:t>
            </w:r>
          </w:p>
        </w:tc>
        <w:tc>
          <w:tcPr>
            <w:tcW w:w="1803" w:type="dxa"/>
          </w:tcPr>
          <w:p>
            <w:pPr>
              <w:pStyle w:val="14"/>
              <w:spacing w:before="11" w:line="202" w:lineRule="exact"/>
              <w:ind w:left="6"/>
              <w:rPr>
                <w:rFonts w:ascii="Times New Roman"/>
                <w:sz w:val="18"/>
              </w:rPr>
            </w:pPr>
            <w:r>
              <w:rPr>
                <w:rFonts w:ascii="Times New Roman"/>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9344" w:type="dxa"/>
            <w:gridSpan w:val="6"/>
          </w:tcPr>
          <w:p>
            <w:pPr>
              <w:pStyle w:val="14"/>
              <w:spacing w:before="1" w:line="213" w:lineRule="exact"/>
              <w:ind w:left="4022" w:right="4011"/>
              <w:rPr>
                <w:sz w:val="18"/>
              </w:rPr>
            </w:pPr>
            <w:r>
              <w:rPr>
                <w:sz w:val="18"/>
              </w:rPr>
              <w:t>一般排放口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2284" w:type="dxa"/>
            <w:gridSpan w:val="2"/>
            <w:vMerge w:val="restart"/>
          </w:tcPr>
          <w:p>
            <w:pPr>
              <w:pStyle w:val="14"/>
              <w:spacing w:before="12"/>
              <w:jc w:val="left"/>
              <w:rPr>
                <w:b/>
                <w:sz w:val="19"/>
              </w:rPr>
            </w:pPr>
          </w:p>
          <w:p>
            <w:pPr>
              <w:pStyle w:val="14"/>
              <w:ind w:left="601"/>
              <w:jc w:val="left"/>
              <w:rPr>
                <w:sz w:val="18"/>
              </w:rPr>
            </w:pPr>
            <w:r>
              <w:rPr>
                <w:sz w:val="18"/>
              </w:rPr>
              <w:t>热风炉房烟囱</w:t>
            </w:r>
          </w:p>
        </w:tc>
        <w:tc>
          <w:tcPr>
            <w:tcW w:w="1467" w:type="dxa"/>
          </w:tcPr>
          <w:p>
            <w:pPr>
              <w:pStyle w:val="14"/>
              <w:spacing w:before="4" w:line="217" w:lineRule="exact"/>
              <w:ind w:left="438" w:right="432"/>
              <w:rPr>
                <w:sz w:val="18"/>
              </w:rPr>
            </w:pPr>
            <w:r>
              <w:rPr>
                <w:sz w:val="18"/>
              </w:rPr>
              <w:t>烟尘</w:t>
            </w:r>
          </w:p>
        </w:tc>
        <w:tc>
          <w:tcPr>
            <w:tcW w:w="1335" w:type="dxa"/>
          </w:tcPr>
          <w:p>
            <w:pPr>
              <w:pStyle w:val="14"/>
              <w:spacing w:line="221" w:lineRule="exact"/>
              <w:ind w:left="104" w:right="93"/>
              <w:rPr>
                <w:rFonts w:ascii="Times New Roman"/>
                <w:sz w:val="21"/>
              </w:rPr>
            </w:pPr>
            <w:r>
              <w:rPr>
                <w:rFonts w:ascii="Times New Roman"/>
                <w:sz w:val="21"/>
              </w:rPr>
              <w:t>14.23</w:t>
            </w:r>
          </w:p>
        </w:tc>
        <w:tc>
          <w:tcPr>
            <w:tcW w:w="2455" w:type="dxa"/>
          </w:tcPr>
          <w:p>
            <w:pPr>
              <w:pStyle w:val="14"/>
              <w:spacing w:line="221" w:lineRule="exact"/>
              <w:ind w:left="310" w:right="302"/>
              <w:rPr>
                <w:rFonts w:ascii="Times New Roman"/>
                <w:sz w:val="21"/>
              </w:rPr>
            </w:pPr>
            <w:r>
              <w:rPr>
                <w:rFonts w:ascii="Times New Roman"/>
                <w:sz w:val="21"/>
              </w:rPr>
              <w:t>0.062</w:t>
            </w:r>
          </w:p>
        </w:tc>
        <w:tc>
          <w:tcPr>
            <w:tcW w:w="1803" w:type="dxa"/>
          </w:tcPr>
          <w:p>
            <w:pPr>
              <w:pStyle w:val="14"/>
              <w:spacing w:line="221" w:lineRule="exact"/>
              <w:ind w:left="29" w:right="17"/>
              <w:rPr>
                <w:rFonts w:ascii="Times New Roman"/>
                <w:sz w:val="21"/>
              </w:rPr>
            </w:pPr>
            <w:r>
              <w:rPr>
                <w:rFonts w:ascii="Times New Roman"/>
                <w:sz w:val="21"/>
              </w:rPr>
              <w:t>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2284" w:type="dxa"/>
            <w:gridSpan w:val="2"/>
            <w:vMerge w:val="continue"/>
            <w:tcBorders>
              <w:top w:val="nil"/>
            </w:tcBorders>
          </w:tcPr>
          <w:p>
            <w:pPr>
              <w:rPr>
                <w:sz w:val="2"/>
                <w:szCs w:val="2"/>
              </w:rPr>
            </w:pPr>
          </w:p>
        </w:tc>
        <w:tc>
          <w:tcPr>
            <w:tcW w:w="1467" w:type="dxa"/>
          </w:tcPr>
          <w:p>
            <w:pPr>
              <w:pStyle w:val="14"/>
              <w:spacing w:before="19" w:line="202" w:lineRule="exact"/>
              <w:ind w:left="442" w:right="432"/>
              <w:rPr>
                <w:rFonts w:ascii="Times New Roman"/>
                <w:sz w:val="18"/>
              </w:rPr>
            </w:pPr>
            <w:r>
              <w:rPr>
                <w:rFonts w:ascii="Times New Roman"/>
                <w:position w:val="1"/>
                <w:sz w:val="18"/>
              </w:rPr>
              <w:t>SO</w:t>
            </w:r>
            <w:r>
              <w:rPr>
                <w:rFonts w:ascii="Times New Roman"/>
                <w:position w:val="1"/>
                <w:sz w:val="18"/>
                <w:vertAlign w:val="subscript"/>
              </w:rPr>
              <w:t>2</w:t>
            </w:r>
          </w:p>
        </w:tc>
        <w:tc>
          <w:tcPr>
            <w:tcW w:w="1335" w:type="dxa"/>
          </w:tcPr>
          <w:p>
            <w:pPr>
              <w:pStyle w:val="14"/>
              <w:spacing w:line="221" w:lineRule="exact"/>
              <w:ind w:left="104" w:right="93"/>
              <w:rPr>
                <w:rFonts w:ascii="Times New Roman"/>
                <w:sz w:val="21"/>
              </w:rPr>
            </w:pPr>
            <w:r>
              <w:rPr>
                <w:rFonts w:ascii="Times New Roman"/>
                <w:sz w:val="21"/>
              </w:rPr>
              <w:t>22.65</w:t>
            </w:r>
          </w:p>
        </w:tc>
        <w:tc>
          <w:tcPr>
            <w:tcW w:w="2455" w:type="dxa"/>
          </w:tcPr>
          <w:p>
            <w:pPr>
              <w:pStyle w:val="14"/>
              <w:spacing w:line="221" w:lineRule="exact"/>
              <w:ind w:left="310" w:right="302"/>
              <w:rPr>
                <w:rFonts w:ascii="Times New Roman"/>
                <w:sz w:val="21"/>
              </w:rPr>
            </w:pPr>
            <w:r>
              <w:rPr>
                <w:rFonts w:ascii="Times New Roman"/>
                <w:sz w:val="21"/>
              </w:rPr>
              <w:t>0.099</w:t>
            </w:r>
          </w:p>
        </w:tc>
        <w:tc>
          <w:tcPr>
            <w:tcW w:w="1803" w:type="dxa"/>
          </w:tcPr>
          <w:p>
            <w:pPr>
              <w:pStyle w:val="14"/>
              <w:spacing w:line="221" w:lineRule="exact"/>
              <w:ind w:left="29" w:right="17"/>
              <w:rPr>
                <w:rFonts w:ascii="Times New Roman"/>
                <w:sz w:val="21"/>
              </w:rPr>
            </w:pPr>
            <w:r>
              <w:rPr>
                <w:rFonts w:ascii="Times New Roman"/>
                <w:sz w:val="21"/>
              </w:rPr>
              <w:t>0.32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2284" w:type="dxa"/>
            <w:gridSpan w:val="2"/>
            <w:vMerge w:val="continue"/>
            <w:tcBorders>
              <w:top w:val="nil"/>
            </w:tcBorders>
          </w:tcPr>
          <w:p>
            <w:pPr>
              <w:rPr>
                <w:sz w:val="2"/>
                <w:szCs w:val="2"/>
              </w:rPr>
            </w:pPr>
          </w:p>
        </w:tc>
        <w:tc>
          <w:tcPr>
            <w:tcW w:w="1467" w:type="dxa"/>
          </w:tcPr>
          <w:p>
            <w:pPr>
              <w:pStyle w:val="14"/>
              <w:spacing w:before="18" w:line="204" w:lineRule="exact"/>
              <w:ind w:left="441" w:right="432"/>
              <w:rPr>
                <w:rFonts w:ascii="Times New Roman"/>
                <w:sz w:val="18"/>
              </w:rPr>
            </w:pPr>
            <w:r>
              <w:rPr>
                <w:rFonts w:ascii="Times New Roman"/>
                <w:sz w:val="18"/>
              </w:rPr>
              <w:t>NOx</w:t>
            </w:r>
          </w:p>
        </w:tc>
        <w:tc>
          <w:tcPr>
            <w:tcW w:w="1335" w:type="dxa"/>
          </w:tcPr>
          <w:p>
            <w:pPr>
              <w:pStyle w:val="14"/>
              <w:spacing w:line="222" w:lineRule="exact"/>
              <w:ind w:left="104" w:right="93"/>
              <w:rPr>
                <w:rFonts w:ascii="Times New Roman"/>
                <w:sz w:val="21"/>
              </w:rPr>
            </w:pPr>
            <w:r>
              <w:rPr>
                <w:rFonts w:ascii="Times New Roman"/>
                <w:sz w:val="21"/>
              </w:rPr>
              <w:t>200</w:t>
            </w:r>
          </w:p>
        </w:tc>
        <w:tc>
          <w:tcPr>
            <w:tcW w:w="2455" w:type="dxa"/>
          </w:tcPr>
          <w:p>
            <w:pPr>
              <w:pStyle w:val="14"/>
              <w:spacing w:line="222" w:lineRule="exact"/>
              <w:ind w:left="310" w:right="302"/>
              <w:rPr>
                <w:rFonts w:ascii="Times New Roman"/>
                <w:sz w:val="21"/>
              </w:rPr>
            </w:pPr>
            <w:r>
              <w:rPr>
                <w:rFonts w:ascii="Times New Roman"/>
                <w:sz w:val="21"/>
              </w:rPr>
              <w:t>0.872</w:t>
            </w:r>
          </w:p>
        </w:tc>
        <w:tc>
          <w:tcPr>
            <w:tcW w:w="1803" w:type="dxa"/>
          </w:tcPr>
          <w:p>
            <w:pPr>
              <w:pStyle w:val="14"/>
              <w:spacing w:line="222" w:lineRule="exact"/>
              <w:ind w:left="29" w:right="17"/>
              <w:rPr>
                <w:rFonts w:ascii="Times New Roman"/>
                <w:sz w:val="21"/>
              </w:rPr>
            </w:pPr>
            <w:r>
              <w:rPr>
                <w:rFonts w:ascii="Times New Roman"/>
                <w:sz w:val="21"/>
              </w:rPr>
              <w:t>2.83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2284" w:type="dxa"/>
            <w:gridSpan w:val="2"/>
            <w:vMerge w:val="restart"/>
          </w:tcPr>
          <w:p>
            <w:pPr>
              <w:pStyle w:val="14"/>
              <w:spacing w:before="12"/>
              <w:jc w:val="left"/>
              <w:rPr>
                <w:b/>
                <w:sz w:val="19"/>
              </w:rPr>
            </w:pPr>
          </w:p>
          <w:p>
            <w:pPr>
              <w:pStyle w:val="14"/>
              <w:ind w:left="692"/>
              <w:jc w:val="left"/>
              <w:rPr>
                <w:sz w:val="18"/>
              </w:rPr>
            </w:pPr>
            <w:r>
              <w:rPr>
                <w:sz w:val="18"/>
              </w:rPr>
              <w:t>锅炉房烟囱</w:t>
            </w:r>
          </w:p>
        </w:tc>
        <w:tc>
          <w:tcPr>
            <w:tcW w:w="1467" w:type="dxa"/>
          </w:tcPr>
          <w:p>
            <w:pPr>
              <w:pStyle w:val="14"/>
              <w:spacing w:before="3" w:line="217" w:lineRule="exact"/>
              <w:ind w:left="438" w:right="432"/>
              <w:rPr>
                <w:sz w:val="18"/>
              </w:rPr>
            </w:pPr>
            <w:r>
              <w:rPr>
                <w:sz w:val="18"/>
              </w:rPr>
              <w:t>烟尘</w:t>
            </w:r>
          </w:p>
        </w:tc>
        <w:tc>
          <w:tcPr>
            <w:tcW w:w="1335" w:type="dxa"/>
          </w:tcPr>
          <w:p>
            <w:pPr>
              <w:pStyle w:val="14"/>
              <w:spacing w:line="221" w:lineRule="exact"/>
              <w:ind w:left="104" w:right="93"/>
              <w:rPr>
                <w:rFonts w:ascii="Times New Roman"/>
                <w:sz w:val="21"/>
              </w:rPr>
            </w:pPr>
            <w:r>
              <w:rPr>
                <w:rFonts w:ascii="Times New Roman"/>
                <w:sz w:val="21"/>
              </w:rPr>
              <w:t>13.93</w:t>
            </w:r>
          </w:p>
        </w:tc>
        <w:tc>
          <w:tcPr>
            <w:tcW w:w="2455" w:type="dxa"/>
          </w:tcPr>
          <w:p>
            <w:pPr>
              <w:pStyle w:val="14"/>
              <w:spacing w:line="221" w:lineRule="exact"/>
              <w:ind w:left="310" w:right="302"/>
              <w:rPr>
                <w:rFonts w:ascii="Times New Roman"/>
                <w:sz w:val="21"/>
              </w:rPr>
            </w:pPr>
            <w:r>
              <w:rPr>
                <w:rFonts w:ascii="Times New Roman"/>
                <w:sz w:val="21"/>
              </w:rPr>
              <w:t>0.021</w:t>
            </w:r>
          </w:p>
        </w:tc>
        <w:tc>
          <w:tcPr>
            <w:tcW w:w="1803" w:type="dxa"/>
          </w:tcPr>
          <w:p>
            <w:pPr>
              <w:pStyle w:val="14"/>
              <w:spacing w:line="221" w:lineRule="exact"/>
              <w:ind w:left="29" w:right="17"/>
              <w:rPr>
                <w:rFonts w:ascii="Times New Roman"/>
                <w:sz w:val="21"/>
              </w:rPr>
            </w:pPr>
            <w:r>
              <w:rPr>
                <w:rFonts w:ascii="Times New Roman"/>
                <w:sz w:val="21"/>
              </w:rPr>
              <w:t>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2284" w:type="dxa"/>
            <w:gridSpan w:val="2"/>
            <w:vMerge w:val="continue"/>
            <w:tcBorders>
              <w:top w:val="nil"/>
            </w:tcBorders>
          </w:tcPr>
          <w:p>
            <w:pPr>
              <w:rPr>
                <w:sz w:val="2"/>
                <w:szCs w:val="2"/>
              </w:rPr>
            </w:pPr>
          </w:p>
        </w:tc>
        <w:tc>
          <w:tcPr>
            <w:tcW w:w="1467" w:type="dxa"/>
          </w:tcPr>
          <w:p>
            <w:pPr>
              <w:pStyle w:val="14"/>
              <w:spacing w:before="21" w:line="201" w:lineRule="exact"/>
              <w:ind w:left="442" w:right="432"/>
              <w:rPr>
                <w:rFonts w:ascii="Times New Roman"/>
                <w:sz w:val="18"/>
              </w:rPr>
            </w:pPr>
            <w:r>
              <w:rPr>
                <w:rFonts w:ascii="Times New Roman"/>
                <w:position w:val="1"/>
                <w:sz w:val="18"/>
              </w:rPr>
              <w:t>SO</w:t>
            </w:r>
            <w:r>
              <w:rPr>
                <w:rFonts w:ascii="Times New Roman"/>
                <w:position w:val="1"/>
                <w:sz w:val="18"/>
                <w:vertAlign w:val="subscript"/>
              </w:rPr>
              <w:t>2</w:t>
            </w:r>
          </w:p>
        </w:tc>
        <w:tc>
          <w:tcPr>
            <w:tcW w:w="1335" w:type="dxa"/>
          </w:tcPr>
          <w:p>
            <w:pPr>
              <w:pStyle w:val="14"/>
              <w:spacing w:line="221" w:lineRule="exact"/>
              <w:ind w:left="104" w:right="93"/>
              <w:rPr>
                <w:rFonts w:ascii="Times New Roman"/>
                <w:sz w:val="21"/>
              </w:rPr>
            </w:pPr>
            <w:r>
              <w:rPr>
                <w:rFonts w:ascii="Times New Roman"/>
                <w:sz w:val="21"/>
              </w:rPr>
              <w:t>23.21</w:t>
            </w:r>
          </w:p>
        </w:tc>
        <w:tc>
          <w:tcPr>
            <w:tcW w:w="2455" w:type="dxa"/>
          </w:tcPr>
          <w:p>
            <w:pPr>
              <w:pStyle w:val="14"/>
              <w:spacing w:line="221" w:lineRule="exact"/>
              <w:ind w:left="310" w:right="302"/>
              <w:rPr>
                <w:rFonts w:ascii="Times New Roman"/>
                <w:sz w:val="21"/>
              </w:rPr>
            </w:pPr>
            <w:r>
              <w:rPr>
                <w:rFonts w:ascii="Times New Roman"/>
                <w:sz w:val="21"/>
              </w:rPr>
              <w:t>0.035</w:t>
            </w:r>
          </w:p>
        </w:tc>
        <w:tc>
          <w:tcPr>
            <w:tcW w:w="1803" w:type="dxa"/>
          </w:tcPr>
          <w:p>
            <w:pPr>
              <w:pStyle w:val="14"/>
              <w:spacing w:line="221" w:lineRule="exact"/>
              <w:ind w:left="27" w:right="17"/>
              <w:rPr>
                <w:rFonts w:ascii="Times New Roman"/>
                <w:sz w:val="21"/>
              </w:rPr>
            </w:pPr>
            <w:r>
              <w:rPr>
                <w:rFonts w:ascii="Times New Roman"/>
                <w:sz w:val="21"/>
              </w:rPr>
              <w:t>0.176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2284" w:type="dxa"/>
            <w:gridSpan w:val="2"/>
            <w:vMerge w:val="continue"/>
            <w:tcBorders>
              <w:top w:val="nil"/>
            </w:tcBorders>
          </w:tcPr>
          <w:p>
            <w:pPr>
              <w:rPr>
                <w:sz w:val="2"/>
                <w:szCs w:val="2"/>
              </w:rPr>
            </w:pPr>
          </w:p>
        </w:tc>
        <w:tc>
          <w:tcPr>
            <w:tcW w:w="1467" w:type="dxa"/>
          </w:tcPr>
          <w:p>
            <w:pPr>
              <w:pStyle w:val="14"/>
              <w:spacing w:before="16" w:line="204" w:lineRule="exact"/>
              <w:ind w:left="441" w:right="432"/>
              <w:rPr>
                <w:rFonts w:ascii="Times New Roman"/>
                <w:sz w:val="18"/>
              </w:rPr>
            </w:pPr>
            <w:r>
              <w:rPr>
                <w:rFonts w:ascii="Times New Roman"/>
                <w:sz w:val="18"/>
              </w:rPr>
              <w:t>NOx</w:t>
            </w:r>
          </w:p>
        </w:tc>
        <w:tc>
          <w:tcPr>
            <w:tcW w:w="1335" w:type="dxa"/>
          </w:tcPr>
          <w:p>
            <w:pPr>
              <w:pStyle w:val="14"/>
              <w:spacing w:line="221" w:lineRule="exact"/>
              <w:ind w:left="104" w:right="93"/>
              <w:rPr>
                <w:rFonts w:ascii="Times New Roman"/>
                <w:sz w:val="21"/>
              </w:rPr>
            </w:pPr>
            <w:r>
              <w:rPr>
                <w:rFonts w:ascii="Times New Roman"/>
                <w:sz w:val="21"/>
              </w:rPr>
              <w:t>200</w:t>
            </w:r>
          </w:p>
        </w:tc>
        <w:tc>
          <w:tcPr>
            <w:tcW w:w="2455" w:type="dxa"/>
          </w:tcPr>
          <w:p>
            <w:pPr>
              <w:pStyle w:val="14"/>
              <w:spacing w:line="221" w:lineRule="exact"/>
              <w:ind w:left="310" w:right="302"/>
              <w:rPr>
                <w:rFonts w:ascii="Times New Roman"/>
                <w:sz w:val="21"/>
              </w:rPr>
            </w:pPr>
            <w:r>
              <w:rPr>
                <w:rFonts w:ascii="Times New Roman"/>
                <w:sz w:val="21"/>
              </w:rPr>
              <w:t>0.302</w:t>
            </w:r>
          </w:p>
        </w:tc>
        <w:tc>
          <w:tcPr>
            <w:tcW w:w="1803" w:type="dxa"/>
          </w:tcPr>
          <w:p>
            <w:pPr>
              <w:pStyle w:val="14"/>
              <w:spacing w:line="221" w:lineRule="exact"/>
              <w:ind w:left="29" w:right="17"/>
              <w:rPr>
                <w:rFonts w:ascii="Times New Roman"/>
                <w:sz w:val="21"/>
              </w:rPr>
            </w:pPr>
            <w:r>
              <w:rPr>
                <w:rFonts w:ascii="Times New Roman"/>
                <w:sz w:val="21"/>
              </w:rPr>
              <w:t>1.52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2284" w:type="dxa"/>
            <w:gridSpan w:val="2"/>
          </w:tcPr>
          <w:p>
            <w:pPr>
              <w:pStyle w:val="14"/>
              <w:spacing w:before="6" w:line="214" w:lineRule="exact"/>
              <w:ind w:left="757" w:right="749"/>
              <w:rPr>
                <w:sz w:val="18"/>
              </w:rPr>
            </w:pPr>
            <w:r>
              <w:rPr>
                <w:sz w:val="18"/>
              </w:rPr>
              <w:t>筛分车间</w:t>
            </w:r>
          </w:p>
        </w:tc>
        <w:tc>
          <w:tcPr>
            <w:tcW w:w="1467" w:type="dxa"/>
          </w:tcPr>
          <w:p>
            <w:pPr>
              <w:pStyle w:val="14"/>
              <w:spacing w:before="6" w:line="214" w:lineRule="exact"/>
              <w:ind w:left="438" w:right="432"/>
              <w:rPr>
                <w:sz w:val="18"/>
              </w:rPr>
            </w:pPr>
            <w:r>
              <w:rPr>
                <w:sz w:val="18"/>
              </w:rPr>
              <w:t>烟尘</w:t>
            </w:r>
          </w:p>
        </w:tc>
        <w:tc>
          <w:tcPr>
            <w:tcW w:w="1335" w:type="dxa"/>
          </w:tcPr>
          <w:p>
            <w:pPr>
              <w:pStyle w:val="14"/>
              <w:spacing w:line="220" w:lineRule="exact"/>
              <w:ind w:left="104" w:right="93"/>
              <w:rPr>
                <w:rFonts w:ascii="Times New Roman"/>
                <w:sz w:val="21"/>
              </w:rPr>
            </w:pPr>
            <w:r>
              <w:rPr>
                <w:rFonts w:ascii="Times New Roman"/>
                <w:sz w:val="21"/>
              </w:rPr>
              <w:t>16.83</w:t>
            </w:r>
          </w:p>
        </w:tc>
        <w:tc>
          <w:tcPr>
            <w:tcW w:w="2455" w:type="dxa"/>
          </w:tcPr>
          <w:p>
            <w:pPr>
              <w:pStyle w:val="14"/>
              <w:spacing w:line="220" w:lineRule="exact"/>
              <w:ind w:left="310" w:right="302"/>
              <w:rPr>
                <w:rFonts w:ascii="Times New Roman"/>
                <w:sz w:val="21"/>
              </w:rPr>
            </w:pPr>
            <w:r>
              <w:rPr>
                <w:rFonts w:ascii="Times New Roman"/>
                <w:sz w:val="21"/>
              </w:rPr>
              <w:t>0.051</w:t>
            </w:r>
          </w:p>
        </w:tc>
        <w:tc>
          <w:tcPr>
            <w:tcW w:w="1803" w:type="dxa"/>
          </w:tcPr>
          <w:p>
            <w:pPr>
              <w:pStyle w:val="14"/>
              <w:spacing w:line="220" w:lineRule="exact"/>
              <w:ind w:left="24" w:right="17"/>
              <w:rPr>
                <w:rFonts w:ascii="Times New Roman"/>
                <w:sz w:val="21"/>
              </w:rPr>
            </w:pPr>
            <w:r>
              <w:rPr>
                <w:rFonts w:ascii="Times New Roman"/>
                <w:sz w:val="21"/>
              </w:rPr>
              <w:t>0.3</w:t>
            </w:r>
          </w:p>
        </w:tc>
      </w:tr>
    </w:tbl>
    <w:p>
      <w:pPr>
        <w:spacing w:after="0" w:line="220" w:lineRule="exact"/>
        <w:rPr>
          <w:rFonts w:ascii="Times New Roman"/>
          <w:sz w:val="21"/>
        </w:rPr>
        <w:sectPr>
          <w:pgSz w:w="11910" w:h="16840"/>
          <w:pgMar w:top="1520" w:right="780" w:bottom="1320" w:left="1200" w:header="0" w:footer="1138" w:gutter="0"/>
        </w:sectPr>
      </w:pP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84"/>
        <w:gridCol w:w="5257"/>
        <w:gridCol w:w="18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9344" w:type="dxa"/>
            <w:gridSpan w:val="3"/>
          </w:tcPr>
          <w:p>
            <w:pPr>
              <w:pStyle w:val="14"/>
              <w:spacing w:before="2" w:line="211" w:lineRule="exact"/>
              <w:ind w:left="4022" w:right="4011"/>
              <w:rPr>
                <w:sz w:val="18"/>
              </w:rPr>
            </w:pPr>
            <w:r>
              <w:rPr>
                <w:sz w:val="18"/>
              </w:rPr>
              <w:t>有组织排放总计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2284" w:type="dxa"/>
            <w:vMerge w:val="restart"/>
          </w:tcPr>
          <w:p>
            <w:pPr>
              <w:pStyle w:val="14"/>
              <w:spacing w:before="1"/>
              <w:jc w:val="left"/>
              <w:rPr>
                <w:b/>
                <w:sz w:val="20"/>
              </w:rPr>
            </w:pPr>
          </w:p>
          <w:p>
            <w:pPr>
              <w:pStyle w:val="14"/>
              <w:spacing w:before="1"/>
              <w:ind w:left="512"/>
              <w:jc w:val="left"/>
              <w:rPr>
                <w:sz w:val="18"/>
              </w:rPr>
            </w:pPr>
            <w:r>
              <w:rPr>
                <w:sz w:val="18"/>
              </w:rPr>
              <w:t>有组织排放总计</w:t>
            </w:r>
          </w:p>
        </w:tc>
        <w:tc>
          <w:tcPr>
            <w:tcW w:w="5257" w:type="dxa"/>
          </w:tcPr>
          <w:p>
            <w:pPr>
              <w:pStyle w:val="14"/>
              <w:spacing w:before="6" w:line="216" w:lineRule="exact"/>
              <w:ind w:left="2427" w:right="2419"/>
              <w:rPr>
                <w:sz w:val="18"/>
              </w:rPr>
            </w:pPr>
            <w:r>
              <w:rPr>
                <w:sz w:val="18"/>
              </w:rPr>
              <w:t>烟尘</w:t>
            </w:r>
          </w:p>
        </w:tc>
        <w:tc>
          <w:tcPr>
            <w:tcW w:w="1803" w:type="dxa"/>
          </w:tcPr>
          <w:p>
            <w:pPr>
              <w:pStyle w:val="14"/>
              <w:spacing w:line="222" w:lineRule="exact"/>
              <w:ind w:right="703"/>
              <w:jc w:val="right"/>
              <w:rPr>
                <w:rFonts w:ascii="Times New Roman"/>
                <w:sz w:val="21"/>
              </w:rPr>
            </w:pPr>
            <w:r>
              <w:rPr>
                <w:rFonts w:ascii="Times New Roman"/>
                <w:sz w:val="21"/>
              </w:rPr>
              <w:t>0.61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2284" w:type="dxa"/>
            <w:vMerge w:val="continue"/>
            <w:tcBorders>
              <w:top w:val="nil"/>
            </w:tcBorders>
          </w:tcPr>
          <w:p>
            <w:pPr>
              <w:rPr>
                <w:sz w:val="2"/>
                <w:szCs w:val="2"/>
              </w:rPr>
            </w:pPr>
          </w:p>
        </w:tc>
        <w:tc>
          <w:tcPr>
            <w:tcW w:w="5257" w:type="dxa"/>
          </w:tcPr>
          <w:p>
            <w:pPr>
              <w:pStyle w:val="14"/>
              <w:spacing w:before="15" w:line="205" w:lineRule="exact"/>
              <w:ind w:left="2427" w:right="2416"/>
              <w:rPr>
                <w:rFonts w:ascii="Times New Roman"/>
                <w:sz w:val="18"/>
              </w:rPr>
            </w:pPr>
            <w:r>
              <w:rPr>
                <w:rFonts w:ascii="Times New Roman"/>
                <w:sz w:val="18"/>
              </w:rPr>
              <w:t>NOx</w:t>
            </w:r>
          </w:p>
        </w:tc>
        <w:tc>
          <w:tcPr>
            <w:tcW w:w="1803" w:type="dxa"/>
          </w:tcPr>
          <w:p>
            <w:pPr>
              <w:pStyle w:val="14"/>
              <w:spacing w:line="221" w:lineRule="exact"/>
              <w:ind w:right="703"/>
              <w:jc w:val="right"/>
              <w:rPr>
                <w:rFonts w:ascii="Times New Roman"/>
                <w:sz w:val="21"/>
              </w:rPr>
            </w:pPr>
            <w:r>
              <w:rPr>
                <w:rFonts w:ascii="Times New Roman"/>
                <w:sz w:val="21"/>
              </w:rPr>
              <w:t>4.35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2284" w:type="dxa"/>
            <w:vMerge w:val="continue"/>
            <w:tcBorders>
              <w:top w:val="nil"/>
            </w:tcBorders>
          </w:tcPr>
          <w:p>
            <w:pPr>
              <w:rPr>
                <w:sz w:val="2"/>
                <w:szCs w:val="2"/>
              </w:rPr>
            </w:pPr>
          </w:p>
        </w:tc>
        <w:tc>
          <w:tcPr>
            <w:tcW w:w="5257" w:type="dxa"/>
          </w:tcPr>
          <w:p>
            <w:pPr>
              <w:pStyle w:val="14"/>
              <w:spacing w:before="21" w:line="201" w:lineRule="exact"/>
              <w:ind w:left="2427" w:right="2419"/>
              <w:rPr>
                <w:rFonts w:ascii="Times New Roman"/>
                <w:sz w:val="18"/>
              </w:rPr>
            </w:pPr>
            <w:r>
              <w:rPr>
                <w:rFonts w:ascii="Times New Roman"/>
                <w:position w:val="1"/>
                <w:sz w:val="18"/>
              </w:rPr>
              <w:t>SO</w:t>
            </w:r>
            <w:r>
              <w:rPr>
                <w:rFonts w:ascii="Times New Roman"/>
                <w:position w:val="1"/>
                <w:sz w:val="18"/>
                <w:vertAlign w:val="subscript"/>
              </w:rPr>
              <w:t>2</w:t>
            </w:r>
          </w:p>
        </w:tc>
        <w:tc>
          <w:tcPr>
            <w:tcW w:w="1803" w:type="dxa"/>
          </w:tcPr>
          <w:p>
            <w:pPr>
              <w:pStyle w:val="14"/>
              <w:spacing w:line="221" w:lineRule="exact"/>
              <w:ind w:right="653"/>
              <w:jc w:val="right"/>
              <w:rPr>
                <w:rFonts w:ascii="Times New Roman"/>
                <w:sz w:val="21"/>
              </w:rPr>
            </w:pPr>
            <w:r>
              <w:rPr>
                <w:rFonts w:ascii="Times New Roman"/>
                <w:w w:val="95"/>
                <w:sz w:val="21"/>
              </w:rPr>
              <w:t>0.496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2284" w:type="dxa"/>
          </w:tcPr>
          <w:p>
            <w:pPr>
              <w:pStyle w:val="14"/>
              <w:spacing w:before="5" w:line="216" w:lineRule="exact"/>
              <w:ind w:left="512"/>
              <w:jc w:val="left"/>
              <w:rPr>
                <w:sz w:val="18"/>
              </w:rPr>
            </w:pPr>
            <w:r>
              <w:rPr>
                <w:sz w:val="18"/>
              </w:rPr>
              <w:t>无组织排放总计</w:t>
            </w:r>
          </w:p>
        </w:tc>
        <w:tc>
          <w:tcPr>
            <w:tcW w:w="5257" w:type="dxa"/>
          </w:tcPr>
          <w:p>
            <w:pPr>
              <w:pStyle w:val="14"/>
              <w:spacing w:before="5" w:line="216" w:lineRule="exact"/>
              <w:ind w:left="2427" w:right="2419"/>
              <w:rPr>
                <w:sz w:val="18"/>
              </w:rPr>
            </w:pPr>
            <w:r>
              <w:rPr>
                <w:sz w:val="18"/>
              </w:rPr>
              <w:t>烟尘</w:t>
            </w:r>
          </w:p>
        </w:tc>
        <w:tc>
          <w:tcPr>
            <w:tcW w:w="1803" w:type="dxa"/>
          </w:tcPr>
          <w:p>
            <w:pPr>
              <w:pStyle w:val="14"/>
              <w:spacing w:line="221" w:lineRule="exact"/>
              <w:ind w:right="653"/>
              <w:jc w:val="right"/>
              <w:rPr>
                <w:rFonts w:ascii="Times New Roman"/>
                <w:sz w:val="21"/>
              </w:rPr>
            </w:pPr>
            <w:r>
              <w:rPr>
                <w:rFonts w:ascii="Times New Roman"/>
                <w:w w:val="95"/>
                <w:sz w:val="21"/>
              </w:rPr>
              <w:t>0.405</w:t>
            </w:r>
          </w:p>
        </w:tc>
      </w:tr>
    </w:tbl>
    <w:p>
      <w:pPr>
        <w:pStyle w:val="6"/>
        <w:spacing w:before="11"/>
        <w:rPr>
          <w:b/>
          <w:sz w:val="5"/>
        </w:rPr>
      </w:pPr>
    </w:p>
    <w:p>
      <w:pPr>
        <w:spacing w:before="74" w:after="28"/>
        <w:ind w:left="0" w:right="352" w:firstLine="0"/>
        <w:jc w:val="center"/>
        <w:rPr>
          <w:b/>
          <w:sz w:val="24"/>
        </w:rPr>
      </w:pPr>
      <w:r>
        <w:rPr>
          <w:b/>
          <w:sz w:val="24"/>
        </w:rPr>
        <w:t xml:space="preserve">表 </w:t>
      </w:r>
      <w:r>
        <w:rPr>
          <w:rFonts w:ascii="Times New Roman" w:eastAsia="Times New Roman"/>
          <w:b/>
          <w:sz w:val="24"/>
        </w:rPr>
        <w:t xml:space="preserve">8.6-2 </w:t>
      </w:r>
      <w:r>
        <w:rPr>
          <w:b/>
          <w:sz w:val="24"/>
        </w:rPr>
        <w:t>大气污染物年排放量核算表</w:t>
      </w: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79"/>
        <w:gridCol w:w="3795"/>
        <w:gridCol w:w="33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2179" w:type="dxa"/>
          </w:tcPr>
          <w:p>
            <w:pPr>
              <w:pStyle w:val="14"/>
              <w:spacing w:before="3" w:line="211" w:lineRule="exact"/>
              <w:ind w:left="887" w:right="880"/>
              <w:rPr>
                <w:b/>
                <w:sz w:val="18"/>
              </w:rPr>
            </w:pPr>
            <w:r>
              <w:rPr>
                <w:b/>
                <w:sz w:val="18"/>
              </w:rPr>
              <w:t>序号</w:t>
            </w:r>
          </w:p>
        </w:tc>
        <w:tc>
          <w:tcPr>
            <w:tcW w:w="3795" w:type="dxa"/>
          </w:tcPr>
          <w:p>
            <w:pPr>
              <w:pStyle w:val="14"/>
              <w:spacing w:before="3" w:line="211" w:lineRule="exact"/>
              <w:ind w:left="1605" w:right="1596"/>
              <w:rPr>
                <w:b/>
                <w:sz w:val="18"/>
              </w:rPr>
            </w:pPr>
            <w:r>
              <w:rPr>
                <w:b/>
                <w:sz w:val="18"/>
              </w:rPr>
              <w:t>污染物</w:t>
            </w:r>
          </w:p>
        </w:tc>
        <w:tc>
          <w:tcPr>
            <w:tcW w:w="3370" w:type="dxa"/>
          </w:tcPr>
          <w:p>
            <w:pPr>
              <w:pStyle w:val="14"/>
              <w:spacing w:before="3" w:line="211" w:lineRule="exact"/>
              <w:ind w:left="1024" w:right="1011"/>
              <w:rPr>
                <w:b/>
                <w:sz w:val="18"/>
              </w:rPr>
            </w:pPr>
            <w:r>
              <w:rPr>
                <w:b/>
                <w:sz w:val="18"/>
              </w:rPr>
              <w:t>年排放量（</w:t>
            </w:r>
            <w:r>
              <w:rPr>
                <w:rFonts w:ascii="Times New Roman" w:eastAsia="Times New Roman"/>
                <w:b/>
                <w:sz w:val="18"/>
              </w:rPr>
              <w:t>t/a</w:t>
            </w:r>
            <w:r>
              <w:rPr>
                <w:b/>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2179" w:type="dxa"/>
          </w:tcPr>
          <w:p>
            <w:pPr>
              <w:pStyle w:val="14"/>
              <w:spacing w:before="15" w:line="205" w:lineRule="exact"/>
              <w:ind w:left="6"/>
              <w:rPr>
                <w:rFonts w:ascii="Times New Roman"/>
                <w:sz w:val="18"/>
              </w:rPr>
            </w:pPr>
            <w:r>
              <w:rPr>
                <w:rFonts w:ascii="Times New Roman"/>
                <w:sz w:val="18"/>
              </w:rPr>
              <w:t>1</w:t>
            </w:r>
          </w:p>
        </w:tc>
        <w:tc>
          <w:tcPr>
            <w:tcW w:w="3795" w:type="dxa"/>
          </w:tcPr>
          <w:p>
            <w:pPr>
              <w:pStyle w:val="14"/>
              <w:spacing w:before="4" w:line="217" w:lineRule="exact"/>
              <w:ind w:left="1605" w:right="1596"/>
              <w:rPr>
                <w:sz w:val="18"/>
              </w:rPr>
            </w:pPr>
            <w:r>
              <w:rPr>
                <w:sz w:val="18"/>
              </w:rPr>
              <w:t>烟尘</w:t>
            </w:r>
          </w:p>
        </w:tc>
        <w:tc>
          <w:tcPr>
            <w:tcW w:w="3370" w:type="dxa"/>
          </w:tcPr>
          <w:p>
            <w:pPr>
              <w:pStyle w:val="14"/>
              <w:spacing w:line="221" w:lineRule="exact"/>
              <w:ind w:left="1021" w:right="1011"/>
              <w:rPr>
                <w:rFonts w:ascii="Times New Roman"/>
                <w:sz w:val="21"/>
              </w:rPr>
            </w:pPr>
            <w:r>
              <w:rPr>
                <w:rFonts w:ascii="Times New Roman"/>
                <w:sz w:val="21"/>
              </w:rPr>
              <w:t>1.015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2179" w:type="dxa"/>
          </w:tcPr>
          <w:p>
            <w:pPr>
              <w:pStyle w:val="14"/>
              <w:spacing w:before="16" w:line="205" w:lineRule="exact"/>
              <w:ind w:left="6"/>
              <w:rPr>
                <w:rFonts w:ascii="Times New Roman"/>
                <w:sz w:val="18"/>
              </w:rPr>
            </w:pPr>
            <w:r>
              <w:rPr>
                <w:rFonts w:ascii="Times New Roman"/>
                <w:sz w:val="18"/>
              </w:rPr>
              <w:t>2</w:t>
            </w:r>
          </w:p>
        </w:tc>
        <w:tc>
          <w:tcPr>
            <w:tcW w:w="3795" w:type="dxa"/>
          </w:tcPr>
          <w:p>
            <w:pPr>
              <w:pStyle w:val="14"/>
              <w:spacing w:before="21" w:line="201" w:lineRule="exact"/>
              <w:ind w:left="1605" w:right="1596"/>
              <w:rPr>
                <w:rFonts w:ascii="Times New Roman"/>
                <w:sz w:val="18"/>
              </w:rPr>
            </w:pPr>
            <w:r>
              <w:rPr>
                <w:rFonts w:ascii="Times New Roman"/>
                <w:position w:val="1"/>
                <w:sz w:val="18"/>
              </w:rPr>
              <w:t>SO</w:t>
            </w:r>
            <w:r>
              <w:rPr>
                <w:rFonts w:ascii="Times New Roman"/>
                <w:position w:val="1"/>
                <w:sz w:val="18"/>
                <w:vertAlign w:val="subscript"/>
              </w:rPr>
              <w:t>2</w:t>
            </w:r>
          </w:p>
        </w:tc>
        <w:tc>
          <w:tcPr>
            <w:tcW w:w="3370" w:type="dxa"/>
          </w:tcPr>
          <w:p>
            <w:pPr>
              <w:pStyle w:val="14"/>
              <w:spacing w:line="221" w:lineRule="exact"/>
              <w:ind w:left="1021" w:right="1011"/>
              <w:rPr>
                <w:rFonts w:ascii="Times New Roman"/>
                <w:sz w:val="21"/>
              </w:rPr>
            </w:pPr>
            <w:r>
              <w:rPr>
                <w:rFonts w:ascii="Times New Roman"/>
                <w:sz w:val="21"/>
              </w:rPr>
              <w:t>0.496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2179" w:type="dxa"/>
          </w:tcPr>
          <w:p>
            <w:pPr>
              <w:pStyle w:val="14"/>
              <w:spacing w:before="16" w:line="204" w:lineRule="exact"/>
              <w:ind w:left="6"/>
              <w:rPr>
                <w:rFonts w:ascii="Times New Roman"/>
                <w:sz w:val="18"/>
              </w:rPr>
            </w:pPr>
            <w:r>
              <w:rPr>
                <w:rFonts w:ascii="Times New Roman"/>
                <w:sz w:val="18"/>
              </w:rPr>
              <w:t>3</w:t>
            </w:r>
          </w:p>
        </w:tc>
        <w:tc>
          <w:tcPr>
            <w:tcW w:w="3795" w:type="dxa"/>
          </w:tcPr>
          <w:p>
            <w:pPr>
              <w:pStyle w:val="14"/>
              <w:spacing w:before="16" w:line="204" w:lineRule="exact"/>
              <w:ind w:left="1604" w:right="1596"/>
              <w:rPr>
                <w:rFonts w:ascii="Times New Roman"/>
                <w:sz w:val="18"/>
              </w:rPr>
            </w:pPr>
            <w:r>
              <w:rPr>
                <w:rFonts w:ascii="Times New Roman"/>
                <w:sz w:val="18"/>
              </w:rPr>
              <w:t>NOx</w:t>
            </w:r>
          </w:p>
        </w:tc>
        <w:tc>
          <w:tcPr>
            <w:tcW w:w="3370" w:type="dxa"/>
          </w:tcPr>
          <w:p>
            <w:pPr>
              <w:pStyle w:val="14"/>
              <w:spacing w:line="221" w:lineRule="exact"/>
              <w:ind w:left="1021" w:right="1011"/>
              <w:rPr>
                <w:rFonts w:ascii="Times New Roman"/>
                <w:sz w:val="21"/>
              </w:rPr>
            </w:pPr>
            <w:r>
              <w:rPr>
                <w:rFonts w:ascii="Times New Roman"/>
                <w:sz w:val="21"/>
              </w:rPr>
              <w:t>4.35</w:t>
            </w:r>
          </w:p>
        </w:tc>
      </w:tr>
    </w:tbl>
    <w:p>
      <w:pPr>
        <w:spacing w:after="0" w:line="221" w:lineRule="exact"/>
        <w:rPr>
          <w:rFonts w:ascii="Times New Roman"/>
          <w:sz w:val="21"/>
        </w:rPr>
        <w:sectPr>
          <w:pgSz w:w="11910" w:h="16840"/>
          <w:pgMar w:top="1580" w:right="780" w:bottom="1320" w:left="1200" w:header="0" w:footer="1138" w:gutter="0"/>
        </w:sectPr>
      </w:pPr>
    </w:p>
    <w:p>
      <w:pPr>
        <w:pStyle w:val="2"/>
        <w:numPr>
          <w:ilvl w:val="0"/>
          <w:numId w:val="62"/>
        </w:numPr>
        <w:tabs>
          <w:tab w:val="left" w:pos="3832"/>
          <w:tab w:val="left" w:pos="3833"/>
        </w:tabs>
        <w:spacing w:before="46" w:after="0" w:line="240" w:lineRule="auto"/>
        <w:ind w:left="3832" w:right="0" w:hanging="632"/>
        <w:jc w:val="left"/>
      </w:pPr>
      <w:bookmarkStart w:id="773" w:name="_bookmark50"/>
      <w:bookmarkEnd w:id="773"/>
      <w:bookmarkStart w:id="774" w:name="_bookmark50"/>
      <w:bookmarkEnd w:id="774"/>
      <w:bookmarkStart w:id="775" w:name="9.  声环境影响分析"/>
      <w:bookmarkEnd w:id="775"/>
      <w:r>
        <w:t>声环境影响分析</w:t>
      </w:r>
    </w:p>
    <w:p>
      <w:pPr>
        <w:pStyle w:val="13"/>
        <w:numPr>
          <w:ilvl w:val="1"/>
          <w:numId w:val="67"/>
        </w:numPr>
        <w:tabs>
          <w:tab w:val="left" w:pos="708"/>
        </w:tabs>
        <w:spacing w:before="240" w:after="0" w:line="240" w:lineRule="auto"/>
        <w:ind w:left="708" w:right="0" w:hanging="493"/>
        <w:jc w:val="left"/>
        <w:rPr>
          <w:rFonts w:ascii="Times New Roman" w:eastAsia="Times New Roman"/>
          <w:b/>
          <w:sz w:val="28"/>
        </w:rPr>
      </w:pPr>
      <w:bookmarkStart w:id="776" w:name="9.1 声环境评价工作等级及范围"/>
      <w:bookmarkEnd w:id="776"/>
      <w:bookmarkStart w:id="777" w:name="_bookmark51"/>
      <w:bookmarkEnd w:id="777"/>
      <w:bookmarkStart w:id="778" w:name="_bookmark51"/>
      <w:bookmarkEnd w:id="778"/>
      <w:r>
        <w:rPr>
          <w:b/>
          <w:sz w:val="28"/>
        </w:rPr>
        <w:t>声环境评价工作等级及范围</w:t>
      </w:r>
    </w:p>
    <w:p>
      <w:pPr>
        <w:pStyle w:val="6"/>
        <w:spacing w:before="186" w:line="364" w:lineRule="auto"/>
        <w:ind w:left="137" w:right="577" w:firstLine="480"/>
        <w:jc w:val="right"/>
      </w:pPr>
      <w:r>
        <w:t>按照《环境影响评价技术导则 声环境》（</w:t>
      </w:r>
      <w:r>
        <w:rPr>
          <w:rFonts w:ascii="Times New Roman" w:eastAsia="Times New Roman"/>
        </w:rPr>
        <w:t>HJ2.4-2009</w:t>
      </w:r>
      <w:r>
        <w:t xml:space="preserve">），建设项目所处的声环境功能区为 </w:t>
      </w:r>
      <w:r>
        <w:rPr>
          <w:rFonts w:ascii="Times New Roman" w:eastAsia="Times New Roman"/>
        </w:rPr>
        <w:t xml:space="preserve">GB 3096 </w:t>
      </w:r>
      <w:r>
        <w:t xml:space="preserve">规定的 </w:t>
      </w:r>
      <w:r>
        <w:rPr>
          <w:rFonts w:ascii="Times New Roman" w:eastAsia="Times New Roman"/>
        </w:rPr>
        <w:t xml:space="preserve">1 </w:t>
      </w:r>
      <w:r>
        <w:t>类、</w:t>
      </w:r>
      <w:r>
        <w:rPr>
          <w:rFonts w:ascii="Times New Roman" w:eastAsia="Times New Roman"/>
        </w:rPr>
        <w:t xml:space="preserve">2 </w:t>
      </w:r>
      <w:r>
        <w:t xml:space="preserve">类地区，或建设项目建设前后评价范围内敏感目标噪声级增高量达 </w:t>
      </w:r>
      <w:r>
        <w:rPr>
          <w:rFonts w:ascii="Times New Roman" w:eastAsia="Times New Roman"/>
        </w:rPr>
        <w:t>3</w:t>
      </w:r>
      <w:r>
        <w:t>～</w:t>
      </w:r>
      <w:r>
        <w:rPr>
          <w:rFonts w:ascii="Times New Roman" w:eastAsia="Times New Roman"/>
        </w:rPr>
        <w:t>5dB(A)[</w:t>
      </w:r>
      <w:r>
        <w:t xml:space="preserve">含 </w:t>
      </w:r>
      <w:r>
        <w:rPr>
          <w:rFonts w:ascii="Times New Roman" w:eastAsia="Times New Roman"/>
        </w:rPr>
        <w:t>5dB(A)]</w:t>
      </w:r>
      <w:r>
        <w:t xml:space="preserve">，或受噪声影响人口数量增加较多时，按二级评价。本项目矿区位于 </w:t>
      </w:r>
      <w:r>
        <w:rPr>
          <w:rFonts w:ascii="Times New Roman" w:eastAsia="Times New Roman"/>
        </w:rPr>
        <w:t xml:space="preserve">2 </w:t>
      </w:r>
      <w:r>
        <w:t>类声环境功能区，项目矿区评价范围内无环境敏感目标，受影响</w:t>
      </w:r>
    </w:p>
    <w:p>
      <w:pPr>
        <w:pStyle w:val="6"/>
        <w:spacing w:line="305" w:lineRule="exact"/>
        <w:ind w:left="215"/>
      </w:pPr>
      <w:r>
        <w:t>人口数量无变化，故确定本项目矿区声环境评价等级为二级。</w:t>
      </w:r>
    </w:p>
    <w:p>
      <w:pPr>
        <w:pStyle w:val="6"/>
        <w:spacing w:before="158" w:line="364" w:lineRule="auto"/>
        <w:ind w:left="215" w:right="522" w:firstLine="480"/>
      </w:pPr>
      <w:r>
        <w:t>评价工作范围：依据《环境影响评价技术导则 声环境》（</w:t>
      </w:r>
      <w:r>
        <w:rPr>
          <w:rFonts w:ascii="Times New Roman" w:eastAsia="Times New Roman"/>
        </w:rPr>
        <w:t>HJ2.4-2009</w:t>
      </w:r>
      <w:r>
        <w:t xml:space="preserve">），二级评价厂界外 </w:t>
      </w:r>
      <w:r>
        <w:rPr>
          <w:rFonts w:ascii="Times New Roman" w:eastAsia="Times New Roman"/>
        </w:rPr>
        <w:t xml:space="preserve">200m </w:t>
      </w:r>
      <w:r>
        <w:t>范围。</w:t>
      </w:r>
    </w:p>
    <w:p>
      <w:pPr>
        <w:pStyle w:val="13"/>
        <w:numPr>
          <w:ilvl w:val="1"/>
          <w:numId w:val="67"/>
        </w:numPr>
        <w:tabs>
          <w:tab w:val="left" w:pos="708"/>
        </w:tabs>
        <w:spacing w:before="0" w:after="0" w:line="358" w:lineRule="exact"/>
        <w:ind w:left="708" w:right="0" w:hanging="493"/>
        <w:jc w:val="left"/>
        <w:rPr>
          <w:rFonts w:ascii="Times New Roman" w:eastAsia="Times New Roman"/>
          <w:b/>
          <w:sz w:val="28"/>
        </w:rPr>
      </w:pPr>
      <w:bookmarkStart w:id="779" w:name="9.2 声环境现状监测与评价"/>
      <w:bookmarkEnd w:id="779"/>
      <w:bookmarkStart w:id="780" w:name="_bookmark52"/>
      <w:bookmarkEnd w:id="780"/>
      <w:bookmarkStart w:id="781" w:name="_bookmark52"/>
      <w:bookmarkEnd w:id="781"/>
      <w:r>
        <w:rPr>
          <w:b/>
          <w:sz w:val="28"/>
        </w:rPr>
        <w:t>声环境现状监测与评价</w:t>
      </w:r>
    </w:p>
    <w:p>
      <w:pPr>
        <w:pStyle w:val="13"/>
        <w:numPr>
          <w:ilvl w:val="2"/>
          <w:numId w:val="67"/>
        </w:numPr>
        <w:tabs>
          <w:tab w:val="left" w:pos="917"/>
        </w:tabs>
        <w:spacing w:before="186" w:after="0" w:line="240" w:lineRule="auto"/>
        <w:ind w:left="916" w:right="0" w:hanging="702"/>
        <w:jc w:val="left"/>
        <w:rPr>
          <w:b/>
          <w:sz w:val="28"/>
        </w:rPr>
      </w:pPr>
      <w:bookmarkStart w:id="782" w:name="9.2.1 声环境现状调查"/>
      <w:bookmarkEnd w:id="782"/>
      <w:bookmarkStart w:id="783" w:name="9.2.1 声环境现状调查"/>
      <w:bookmarkEnd w:id="783"/>
      <w:r>
        <w:rPr>
          <w:b/>
          <w:sz w:val="28"/>
        </w:rPr>
        <w:t>声环境现状调查</w:t>
      </w:r>
    </w:p>
    <w:p>
      <w:pPr>
        <w:pStyle w:val="5"/>
        <w:numPr>
          <w:ilvl w:val="3"/>
          <w:numId w:val="67"/>
        </w:numPr>
        <w:tabs>
          <w:tab w:val="left" w:pos="936"/>
        </w:tabs>
        <w:spacing w:before="185" w:after="0" w:line="240" w:lineRule="auto"/>
        <w:ind w:left="936" w:right="0" w:hanging="721"/>
        <w:jc w:val="left"/>
      </w:pPr>
      <w:r>
        <w:t>拟建工业场地周围声环境概况</w:t>
      </w:r>
    </w:p>
    <w:p>
      <w:pPr>
        <w:pStyle w:val="6"/>
        <w:spacing w:before="160" w:line="362" w:lineRule="auto"/>
        <w:ind w:left="215" w:right="578" w:firstLine="480"/>
      </w:pPr>
      <w:r>
        <w:t xml:space="preserve">工业广场厂界外 </w:t>
      </w:r>
      <w:r>
        <w:rPr>
          <w:rFonts w:ascii="Times New Roman" w:eastAsia="Times New Roman"/>
        </w:rPr>
        <w:t xml:space="preserve">200m </w:t>
      </w:r>
      <w:r>
        <w:t>范围内，目前尚无工业企业及村屯分布，主要是次生林地， 声学环境状况良好。</w:t>
      </w:r>
    </w:p>
    <w:p>
      <w:pPr>
        <w:pStyle w:val="6"/>
        <w:spacing w:before="5"/>
        <w:ind w:left="696"/>
      </w:pPr>
      <w:r>
        <w:t>本评价区执行《声环境质量标准》（</w:t>
      </w:r>
      <w:r>
        <w:rPr>
          <w:rFonts w:ascii="Times New Roman" w:eastAsia="Times New Roman"/>
        </w:rPr>
        <w:t>GB3096-2008</w:t>
      </w:r>
      <w:r>
        <w:t xml:space="preserve">）中规定的 </w:t>
      </w:r>
      <w:r>
        <w:rPr>
          <w:rFonts w:ascii="Times New Roman" w:eastAsia="Times New Roman"/>
        </w:rPr>
        <w:t xml:space="preserve">2 </w:t>
      </w:r>
      <w:r>
        <w:t>类地区标准。厂界</w:t>
      </w:r>
    </w:p>
    <w:p>
      <w:pPr>
        <w:pStyle w:val="6"/>
        <w:spacing w:before="158" w:line="364" w:lineRule="auto"/>
        <w:ind w:left="215" w:right="457"/>
      </w:pPr>
      <w:r>
        <w:rPr>
          <w:spacing w:val="-10"/>
        </w:rPr>
        <w:t>噪声现状评价执行《工业企业厂界环境噪声排放标准》</w:t>
      </w:r>
      <w:r>
        <w:rPr>
          <w:spacing w:val="-4"/>
        </w:rPr>
        <w:t>（</w:t>
      </w:r>
      <w:r>
        <w:rPr>
          <w:rFonts w:ascii="Times New Roman" w:eastAsia="Times New Roman"/>
          <w:spacing w:val="-4"/>
        </w:rPr>
        <w:t>GB12348-2008</w:t>
      </w:r>
      <w:r>
        <w:rPr>
          <w:spacing w:val="-4"/>
        </w:rPr>
        <w:t>）</w:t>
      </w:r>
      <w:r>
        <w:rPr>
          <w:spacing w:val="-18"/>
        </w:rPr>
        <w:t xml:space="preserve">中的 </w:t>
      </w:r>
      <w:r>
        <w:rPr>
          <w:rFonts w:ascii="Times New Roman" w:eastAsia="Times New Roman"/>
        </w:rPr>
        <w:t xml:space="preserve">2 </w:t>
      </w:r>
      <w:r>
        <w:rPr>
          <w:spacing w:val="-4"/>
        </w:rPr>
        <w:t xml:space="preserve">类标准， </w:t>
      </w:r>
      <w:r>
        <w:rPr>
          <w:spacing w:val="-16"/>
        </w:rPr>
        <w:t xml:space="preserve">即昼间 </w:t>
      </w:r>
      <w:r>
        <w:rPr>
          <w:rFonts w:ascii="Times New Roman" w:eastAsia="Times New Roman"/>
        </w:rPr>
        <w:t>60dB</w:t>
      </w:r>
      <w:r>
        <w:t>（</w:t>
      </w:r>
      <w:r>
        <w:rPr>
          <w:rFonts w:ascii="Times New Roman" w:eastAsia="Times New Roman"/>
        </w:rPr>
        <w:t>A</w:t>
      </w:r>
      <w:r>
        <w:t>），</w:t>
      </w:r>
      <w:r>
        <w:rPr>
          <w:spacing w:val="-20"/>
        </w:rPr>
        <w:t xml:space="preserve">夜间 </w:t>
      </w:r>
      <w:r>
        <w:rPr>
          <w:rFonts w:ascii="Times New Roman" w:eastAsia="Times New Roman"/>
        </w:rPr>
        <w:t>50dB</w:t>
      </w:r>
      <w:r>
        <w:t>（</w:t>
      </w:r>
      <w:r>
        <w:rPr>
          <w:rFonts w:ascii="Times New Roman" w:eastAsia="Times New Roman"/>
        </w:rPr>
        <w:t>A</w:t>
      </w:r>
      <w:r>
        <w:t>）。</w:t>
      </w:r>
    </w:p>
    <w:p>
      <w:pPr>
        <w:pStyle w:val="5"/>
        <w:numPr>
          <w:ilvl w:val="3"/>
          <w:numId w:val="67"/>
        </w:numPr>
        <w:tabs>
          <w:tab w:val="left" w:pos="936"/>
        </w:tabs>
        <w:spacing w:before="0" w:after="0" w:line="306" w:lineRule="exact"/>
        <w:ind w:left="936" w:right="0" w:hanging="721"/>
        <w:jc w:val="left"/>
      </w:pPr>
      <w:r>
        <w:t>声环境现状监测点及测量方法</w:t>
      </w:r>
    </w:p>
    <w:p>
      <w:pPr>
        <w:pStyle w:val="6"/>
        <w:spacing w:before="161"/>
        <w:ind w:left="696"/>
      </w:pPr>
      <w:r>
        <w:rPr>
          <w:spacing w:val="-4"/>
        </w:rPr>
        <w:t xml:space="preserve">本项目委托黑龙江康和检测有限公司于 </w:t>
      </w:r>
      <w:r>
        <w:rPr>
          <w:rFonts w:ascii="Times New Roman" w:eastAsia="Times New Roman"/>
        </w:rPr>
        <w:t xml:space="preserve">2020 </w:t>
      </w:r>
      <w:r>
        <w:rPr>
          <w:spacing w:val="-30"/>
        </w:rPr>
        <w:t xml:space="preserve">年 </w:t>
      </w:r>
      <w:r>
        <w:rPr>
          <w:rFonts w:ascii="Times New Roman" w:eastAsia="Times New Roman"/>
        </w:rPr>
        <w:t xml:space="preserve">04 </w:t>
      </w:r>
      <w:r>
        <w:rPr>
          <w:spacing w:val="-30"/>
        </w:rPr>
        <w:t xml:space="preserve">月 </w:t>
      </w:r>
      <w:r>
        <w:rPr>
          <w:rFonts w:ascii="Times New Roman" w:eastAsia="Times New Roman"/>
        </w:rPr>
        <w:t xml:space="preserve">14 </w:t>
      </w:r>
      <w:r>
        <w:rPr>
          <w:spacing w:val="-26"/>
        </w:rPr>
        <w:t>日、</w:t>
      </w:r>
      <w:r>
        <w:rPr>
          <w:rFonts w:ascii="Times New Roman" w:eastAsia="Times New Roman"/>
        </w:rPr>
        <w:t xml:space="preserve">04 </w:t>
      </w:r>
      <w:r>
        <w:rPr>
          <w:spacing w:val="-30"/>
        </w:rPr>
        <w:t xml:space="preserve">月 </w:t>
      </w:r>
      <w:r>
        <w:rPr>
          <w:rFonts w:ascii="Times New Roman" w:eastAsia="Times New Roman"/>
        </w:rPr>
        <w:t xml:space="preserve">15 </w:t>
      </w:r>
      <w:r>
        <w:t>日对工业广场</w:t>
      </w:r>
    </w:p>
    <w:p>
      <w:pPr>
        <w:pStyle w:val="6"/>
        <w:spacing w:before="158" w:line="364" w:lineRule="auto"/>
        <w:ind w:left="215" w:right="578"/>
      </w:pPr>
      <w:r>
        <w:rPr>
          <w:spacing w:val="-3"/>
        </w:rPr>
        <w:t xml:space="preserve">的声环境进行监测，在工业广场四周分别布设 </w:t>
      </w:r>
      <w:r>
        <w:rPr>
          <w:rFonts w:ascii="Times New Roman" w:eastAsia="Times New Roman"/>
        </w:rPr>
        <w:t>1</w:t>
      </w:r>
      <w:r>
        <w:rPr>
          <w:rFonts w:ascii="Times New Roman" w:eastAsia="Times New Roman"/>
          <w:spacing w:val="2"/>
        </w:rPr>
        <w:t xml:space="preserve"> </w:t>
      </w:r>
      <w:r>
        <w:rPr>
          <w:spacing w:val="-6"/>
        </w:rPr>
        <w:t xml:space="preserve">个监测点，连续监测 </w:t>
      </w:r>
      <w:r>
        <w:rPr>
          <w:rFonts w:ascii="Times New Roman" w:eastAsia="Times New Roman"/>
        </w:rPr>
        <w:t>2</w:t>
      </w:r>
      <w:r>
        <w:rPr>
          <w:rFonts w:ascii="Times New Roman" w:eastAsia="Times New Roman"/>
          <w:spacing w:val="2"/>
        </w:rPr>
        <w:t xml:space="preserve"> </w:t>
      </w:r>
      <w:r>
        <w:rPr>
          <w:spacing w:val="-2"/>
        </w:rPr>
        <w:t>天，采用多功能</w:t>
      </w:r>
      <w:r>
        <w:rPr>
          <w:spacing w:val="9"/>
        </w:rPr>
        <w:t>声级计， 分昼、夜两个时段进行监测， 按《工业企业厂界环境噪声排放标准》</w:t>
      </w:r>
    </w:p>
    <w:p>
      <w:pPr>
        <w:pStyle w:val="6"/>
        <w:spacing w:line="306" w:lineRule="exact"/>
        <w:ind w:left="215"/>
      </w:pPr>
      <w:r>
        <w:t>（</w:t>
      </w:r>
      <w:r>
        <w:rPr>
          <w:rFonts w:ascii="Times New Roman" w:eastAsia="Times New Roman"/>
        </w:rPr>
        <w:t>GB12348-2008</w:t>
      </w:r>
      <w:r>
        <w:t>）进行。</w:t>
      </w:r>
    </w:p>
    <w:p>
      <w:pPr>
        <w:pStyle w:val="6"/>
        <w:spacing w:before="161"/>
        <w:ind w:left="696"/>
      </w:pPr>
      <w:r>
        <w:t xml:space="preserve">现状监测结果见表 </w:t>
      </w:r>
      <w:r>
        <w:rPr>
          <w:rFonts w:ascii="Times New Roman" w:eastAsia="Times New Roman"/>
        </w:rPr>
        <w:t>9.2-1</w:t>
      </w:r>
      <w:r>
        <w:t>。</w:t>
      </w:r>
    </w:p>
    <w:p>
      <w:pPr>
        <w:pStyle w:val="5"/>
        <w:tabs>
          <w:tab w:val="left" w:pos="1281"/>
          <w:tab w:val="left" w:pos="4653"/>
        </w:tabs>
        <w:spacing w:before="160"/>
        <w:ind w:right="347"/>
        <w:jc w:val="center"/>
        <w:rPr>
          <w:rFonts w:ascii="Times New Roman" w:eastAsia="Times New Roman"/>
        </w:rPr>
      </w:pPr>
      <w:r>
        <w:t>表</w:t>
      </w:r>
      <w:r>
        <w:rPr>
          <w:spacing w:val="-62"/>
        </w:rPr>
        <w:t xml:space="preserve"> </w:t>
      </w:r>
      <w:r>
        <w:rPr>
          <w:rFonts w:ascii="Times New Roman" w:eastAsia="Times New Roman"/>
        </w:rPr>
        <w:t>9.2-1</w:t>
      </w:r>
      <w:r>
        <w:rPr>
          <w:rFonts w:ascii="Times New Roman" w:eastAsia="Times New Roman"/>
        </w:rPr>
        <w:tab/>
      </w:r>
      <w:r>
        <w:t>厂址周围环境噪声监测结果</w:t>
      </w:r>
      <w:r>
        <w:tab/>
      </w:r>
      <w:r>
        <w:t>单位：</w:t>
      </w:r>
      <w:r>
        <w:rPr>
          <w:rFonts w:ascii="Times New Roman" w:eastAsia="Times New Roman"/>
        </w:rPr>
        <w:t>dB(A)</w:t>
      </w:r>
    </w:p>
    <w:p>
      <w:pPr>
        <w:pStyle w:val="6"/>
        <w:spacing w:before="7"/>
        <w:rPr>
          <w:rFonts w:ascii="Times New Roman"/>
          <w:b/>
          <w:sz w:val="13"/>
        </w:rPr>
      </w:pP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775"/>
        <w:gridCol w:w="1392"/>
        <w:gridCol w:w="1392"/>
        <w:gridCol w:w="1393"/>
        <w:gridCol w:w="13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3775" w:type="dxa"/>
            <w:vMerge w:val="restart"/>
          </w:tcPr>
          <w:p>
            <w:pPr>
              <w:pStyle w:val="14"/>
              <w:spacing w:before="139"/>
              <w:ind w:left="891" w:right="884"/>
              <w:rPr>
                <w:sz w:val="21"/>
              </w:rPr>
            </w:pPr>
            <w:r>
              <w:rPr>
                <w:sz w:val="21"/>
              </w:rPr>
              <w:t>监测位置</w:t>
            </w:r>
          </w:p>
        </w:tc>
        <w:tc>
          <w:tcPr>
            <w:tcW w:w="2784" w:type="dxa"/>
            <w:gridSpan w:val="2"/>
          </w:tcPr>
          <w:p>
            <w:pPr>
              <w:pStyle w:val="14"/>
              <w:spacing w:line="252" w:lineRule="exact"/>
              <w:ind w:left="526"/>
              <w:jc w:val="left"/>
              <w:rPr>
                <w:sz w:val="21"/>
              </w:rPr>
            </w:pPr>
            <w:r>
              <w:rPr>
                <w:rFonts w:ascii="Times New Roman" w:eastAsia="Times New Roman"/>
                <w:sz w:val="21"/>
              </w:rPr>
              <w:t xml:space="preserve">2020 </w:t>
            </w:r>
            <w:r>
              <w:rPr>
                <w:sz w:val="21"/>
              </w:rPr>
              <w:t xml:space="preserve">年 </w:t>
            </w:r>
            <w:r>
              <w:rPr>
                <w:rFonts w:ascii="Times New Roman" w:eastAsia="Times New Roman"/>
                <w:sz w:val="21"/>
              </w:rPr>
              <w:t xml:space="preserve">04 </w:t>
            </w:r>
            <w:r>
              <w:rPr>
                <w:sz w:val="21"/>
              </w:rPr>
              <w:t xml:space="preserve">月 </w:t>
            </w:r>
            <w:r>
              <w:rPr>
                <w:rFonts w:ascii="Times New Roman" w:eastAsia="Times New Roman"/>
                <w:sz w:val="21"/>
              </w:rPr>
              <w:t xml:space="preserve">14 </w:t>
            </w:r>
            <w:r>
              <w:rPr>
                <w:sz w:val="21"/>
              </w:rPr>
              <w:t>日</w:t>
            </w:r>
          </w:p>
        </w:tc>
        <w:tc>
          <w:tcPr>
            <w:tcW w:w="2785" w:type="dxa"/>
            <w:gridSpan w:val="2"/>
          </w:tcPr>
          <w:p>
            <w:pPr>
              <w:pStyle w:val="14"/>
              <w:spacing w:line="252" w:lineRule="exact"/>
              <w:ind w:left="526"/>
              <w:jc w:val="left"/>
              <w:rPr>
                <w:sz w:val="21"/>
              </w:rPr>
            </w:pPr>
            <w:r>
              <w:rPr>
                <w:rFonts w:ascii="Times New Roman" w:eastAsia="Times New Roman"/>
                <w:sz w:val="21"/>
              </w:rPr>
              <w:t xml:space="preserve">2020 </w:t>
            </w:r>
            <w:r>
              <w:rPr>
                <w:sz w:val="21"/>
              </w:rPr>
              <w:t xml:space="preserve">年 </w:t>
            </w:r>
            <w:r>
              <w:rPr>
                <w:rFonts w:ascii="Times New Roman" w:eastAsia="Times New Roman"/>
                <w:sz w:val="21"/>
              </w:rPr>
              <w:t xml:space="preserve">04 </w:t>
            </w:r>
            <w:r>
              <w:rPr>
                <w:sz w:val="21"/>
              </w:rPr>
              <w:t xml:space="preserve">月 </w:t>
            </w:r>
            <w:r>
              <w:rPr>
                <w:rFonts w:ascii="Times New Roman" w:eastAsia="Times New Roman"/>
                <w:sz w:val="21"/>
              </w:rPr>
              <w:t xml:space="preserve">15 </w:t>
            </w:r>
            <w:r>
              <w:rPr>
                <w:sz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3775" w:type="dxa"/>
            <w:vMerge w:val="continue"/>
            <w:tcBorders>
              <w:top w:val="nil"/>
            </w:tcBorders>
          </w:tcPr>
          <w:p>
            <w:pPr>
              <w:rPr>
                <w:sz w:val="2"/>
                <w:szCs w:val="2"/>
              </w:rPr>
            </w:pPr>
          </w:p>
        </w:tc>
        <w:tc>
          <w:tcPr>
            <w:tcW w:w="1392" w:type="dxa"/>
          </w:tcPr>
          <w:p>
            <w:pPr>
              <w:pStyle w:val="14"/>
              <w:spacing w:before="1" w:line="252" w:lineRule="exact"/>
              <w:ind w:left="252" w:right="244"/>
              <w:rPr>
                <w:sz w:val="21"/>
              </w:rPr>
            </w:pPr>
            <w:r>
              <w:rPr>
                <w:sz w:val="21"/>
              </w:rPr>
              <w:t>昼间</w:t>
            </w:r>
          </w:p>
        </w:tc>
        <w:tc>
          <w:tcPr>
            <w:tcW w:w="1392" w:type="dxa"/>
          </w:tcPr>
          <w:p>
            <w:pPr>
              <w:pStyle w:val="14"/>
              <w:spacing w:before="1" w:line="252" w:lineRule="exact"/>
              <w:ind w:left="252" w:right="244"/>
              <w:rPr>
                <w:sz w:val="21"/>
              </w:rPr>
            </w:pPr>
            <w:r>
              <w:rPr>
                <w:sz w:val="21"/>
              </w:rPr>
              <w:t>夜间</w:t>
            </w:r>
          </w:p>
        </w:tc>
        <w:tc>
          <w:tcPr>
            <w:tcW w:w="1393" w:type="dxa"/>
          </w:tcPr>
          <w:p>
            <w:pPr>
              <w:pStyle w:val="14"/>
              <w:spacing w:before="1" w:line="252" w:lineRule="exact"/>
              <w:ind w:left="486"/>
              <w:jc w:val="left"/>
              <w:rPr>
                <w:sz w:val="21"/>
              </w:rPr>
            </w:pPr>
            <w:r>
              <w:rPr>
                <w:sz w:val="21"/>
              </w:rPr>
              <w:t>昼间</w:t>
            </w:r>
          </w:p>
        </w:tc>
        <w:tc>
          <w:tcPr>
            <w:tcW w:w="1392" w:type="dxa"/>
          </w:tcPr>
          <w:p>
            <w:pPr>
              <w:pStyle w:val="14"/>
              <w:spacing w:before="1" w:line="252" w:lineRule="exact"/>
              <w:ind w:left="250" w:right="244"/>
              <w:rPr>
                <w:sz w:val="21"/>
              </w:rPr>
            </w:pPr>
            <w:r>
              <w:rPr>
                <w:sz w:val="21"/>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3775" w:type="dxa"/>
          </w:tcPr>
          <w:p>
            <w:pPr>
              <w:pStyle w:val="14"/>
              <w:spacing w:line="252" w:lineRule="exact"/>
              <w:ind w:left="892" w:right="884"/>
              <w:rPr>
                <w:sz w:val="21"/>
              </w:rPr>
            </w:pPr>
            <w:r>
              <w:rPr>
                <w:sz w:val="21"/>
              </w:rPr>
              <w:t>工业广场东测外</w:t>
            </w:r>
            <w:r>
              <w:rPr>
                <w:rFonts w:ascii="Times New Roman" w:eastAsia="Times New Roman"/>
                <w:sz w:val="21"/>
              </w:rPr>
              <w:t>1m</w:t>
            </w:r>
            <w:r>
              <w:rPr>
                <w:sz w:val="21"/>
              </w:rPr>
              <w:t>处</w:t>
            </w:r>
          </w:p>
        </w:tc>
        <w:tc>
          <w:tcPr>
            <w:tcW w:w="1392" w:type="dxa"/>
          </w:tcPr>
          <w:p>
            <w:pPr>
              <w:pStyle w:val="14"/>
              <w:spacing w:before="13" w:line="239" w:lineRule="exact"/>
              <w:ind w:left="255" w:right="244"/>
              <w:rPr>
                <w:rFonts w:ascii="Times New Roman"/>
                <w:sz w:val="21"/>
              </w:rPr>
            </w:pPr>
            <w:r>
              <w:rPr>
                <w:rFonts w:ascii="Times New Roman"/>
                <w:sz w:val="21"/>
              </w:rPr>
              <w:t>51.1</w:t>
            </w:r>
          </w:p>
        </w:tc>
        <w:tc>
          <w:tcPr>
            <w:tcW w:w="1392" w:type="dxa"/>
          </w:tcPr>
          <w:p>
            <w:pPr>
              <w:pStyle w:val="14"/>
              <w:spacing w:before="13" w:line="239" w:lineRule="exact"/>
              <w:ind w:left="255" w:right="244"/>
              <w:rPr>
                <w:rFonts w:ascii="Times New Roman"/>
                <w:sz w:val="21"/>
              </w:rPr>
            </w:pPr>
            <w:r>
              <w:rPr>
                <w:rFonts w:ascii="Times New Roman"/>
                <w:sz w:val="21"/>
              </w:rPr>
              <w:t>46.6</w:t>
            </w:r>
          </w:p>
        </w:tc>
        <w:tc>
          <w:tcPr>
            <w:tcW w:w="1393" w:type="dxa"/>
          </w:tcPr>
          <w:p>
            <w:pPr>
              <w:pStyle w:val="14"/>
              <w:spacing w:before="13" w:line="239" w:lineRule="exact"/>
              <w:ind w:left="512"/>
              <w:jc w:val="left"/>
              <w:rPr>
                <w:rFonts w:ascii="Times New Roman"/>
                <w:sz w:val="21"/>
              </w:rPr>
            </w:pPr>
            <w:r>
              <w:rPr>
                <w:rFonts w:ascii="Times New Roman"/>
                <w:sz w:val="21"/>
              </w:rPr>
              <w:t>52.0</w:t>
            </w:r>
          </w:p>
        </w:tc>
        <w:tc>
          <w:tcPr>
            <w:tcW w:w="1392" w:type="dxa"/>
          </w:tcPr>
          <w:p>
            <w:pPr>
              <w:pStyle w:val="14"/>
              <w:spacing w:before="13" w:line="239" w:lineRule="exact"/>
              <w:ind w:left="253" w:right="244"/>
              <w:rPr>
                <w:rFonts w:ascii="Times New Roman"/>
                <w:sz w:val="21"/>
              </w:rPr>
            </w:pPr>
            <w:r>
              <w:rPr>
                <w:rFonts w:ascii="Times New Roman"/>
                <w:sz w:val="21"/>
              </w:rPr>
              <w:t>46.3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3775" w:type="dxa"/>
          </w:tcPr>
          <w:p>
            <w:pPr>
              <w:pStyle w:val="14"/>
              <w:spacing w:line="252" w:lineRule="exact"/>
              <w:ind w:left="892" w:right="884"/>
              <w:rPr>
                <w:sz w:val="21"/>
              </w:rPr>
            </w:pPr>
            <w:r>
              <w:rPr>
                <w:sz w:val="21"/>
              </w:rPr>
              <w:t>工业广场南侧外</w:t>
            </w:r>
            <w:r>
              <w:rPr>
                <w:rFonts w:ascii="Times New Roman" w:eastAsia="Times New Roman"/>
                <w:sz w:val="21"/>
              </w:rPr>
              <w:t>1m</w:t>
            </w:r>
            <w:r>
              <w:rPr>
                <w:sz w:val="21"/>
              </w:rPr>
              <w:t>处</w:t>
            </w:r>
          </w:p>
        </w:tc>
        <w:tc>
          <w:tcPr>
            <w:tcW w:w="1392" w:type="dxa"/>
          </w:tcPr>
          <w:p>
            <w:pPr>
              <w:pStyle w:val="14"/>
              <w:spacing w:before="14" w:line="238" w:lineRule="exact"/>
              <w:ind w:left="255" w:right="244"/>
              <w:rPr>
                <w:rFonts w:ascii="Times New Roman"/>
                <w:sz w:val="21"/>
              </w:rPr>
            </w:pPr>
            <w:r>
              <w:rPr>
                <w:rFonts w:ascii="Times New Roman"/>
                <w:sz w:val="21"/>
              </w:rPr>
              <w:t>50.3</w:t>
            </w:r>
          </w:p>
        </w:tc>
        <w:tc>
          <w:tcPr>
            <w:tcW w:w="1392" w:type="dxa"/>
          </w:tcPr>
          <w:p>
            <w:pPr>
              <w:pStyle w:val="14"/>
              <w:spacing w:before="14" w:line="238" w:lineRule="exact"/>
              <w:ind w:left="255" w:right="244"/>
              <w:rPr>
                <w:rFonts w:ascii="Times New Roman"/>
                <w:sz w:val="21"/>
              </w:rPr>
            </w:pPr>
            <w:r>
              <w:rPr>
                <w:rFonts w:ascii="Times New Roman"/>
                <w:sz w:val="21"/>
              </w:rPr>
              <w:t>45.9</w:t>
            </w:r>
          </w:p>
        </w:tc>
        <w:tc>
          <w:tcPr>
            <w:tcW w:w="1393" w:type="dxa"/>
          </w:tcPr>
          <w:p>
            <w:pPr>
              <w:pStyle w:val="14"/>
              <w:spacing w:before="14" w:line="238" w:lineRule="exact"/>
              <w:ind w:left="512"/>
              <w:jc w:val="left"/>
              <w:rPr>
                <w:rFonts w:ascii="Times New Roman"/>
                <w:sz w:val="21"/>
              </w:rPr>
            </w:pPr>
            <w:r>
              <w:rPr>
                <w:rFonts w:ascii="Times New Roman"/>
                <w:sz w:val="21"/>
              </w:rPr>
              <w:t>53.5</w:t>
            </w:r>
          </w:p>
        </w:tc>
        <w:tc>
          <w:tcPr>
            <w:tcW w:w="1392" w:type="dxa"/>
          </w:tcPr>
          <w:p>
            <w:pPr>
              <w:pStyle w:val="14"/>
              <w:spacing w:before="14" w:line="238" w:lineRule="exact"/>
              <w:ind w:left="253" w:right="244"/>
              <w:rPr>
                <w:rFonts w:ascii="Times New Roman"/>
                <w:sz w:val="21"/>
              </w:rPr>
            </w:pPr>
            <w:r>
              <w:rPr>
                <w:rFonts w:ascii="Times New Roman"/>
                <w:sz w:val="21"/>
              </w:rPr>
              <w:t>46.5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3775" w:type="dxa"/>
          </w:tcPr>
          <w:p>
            <w:pPr>
              <w:pStyle w:val="14"/>
              <w:spacing w:before="1" w:line="252" w:lineRule="exact"/>
              <w:ind w:left="892" w:right="884"/>
              <w:rPr>
                <w:sz w:val="21"/>
              </w:rPr>
            </w:pPr>
            <w:r>
              <w:rPr>
                <w:sz w:val="21"/>
              </w:rPr>
              <w:t>工业广场西侧外</w:t>
            </w:r>
            <w:r>
              <w:rPr>
                <w:rFonts w:ascii="Times New Roman" w:eastAsia="Times New Roman"/>
                <w:sz w:val="21"/>
              </w:rPr>
              <w:t>1m</w:t>
            </w:r>
            <w:r>
              <w:rPr>
                <w:sz w:val="21"/>
              </w:rPr>
              <w:t>处</w:t>
            </w:r>
          </w:p>
        </w:tc>
        <w:tc>
          <w:tcPr>
            <w:tcW w:w="1392" w:type="dxa"/>
          </w:tcPr>
          <w:p>
            <w:pPr>
              <w:pStyle w:val="14"/>
              <w:spacing w:before="15" w:line="238" w:lineRule="exact"/>
              <w:ind w:left="255" w:right="244"/>
              <w:rPr>
                <w:rFonts w:ascii="Times New Roman"/>
                <w:sz w:val="21"/>
              </w:rPr>
            </w:pPr>
            <w:r>
              <w:rPr>
                <w:rFonts w:ascii="Times New Roman"/>
                <w:sz w:val="21"/>
              </w:rPr>
              <w:t>52.1</w:t>
            </w:r>
          </w:p>
        </w:tc>
        <w:tc>
          <w:tcPr>
            <w:tcW w:w="1392" w:type="dxa"/>
          </w:tcPr>
          <w:p>
            <w:pPr>
              <w:pStyle w:val="14"/>
              <w:spacing w:before="15" w:line="238" w:lineRule="exact"/>
              <w:ind w:left="255" w:right="244"/>
              <w:rPr>
                <w:rFonts w:ascii="Times New Roman"/>
                <w:sz w:val="21"/>
              </w:rPr>
            </w:pPr>
            <w:r>
              <w:rPr>
                <w:rFonts w:ascii="Times New Roman"/>
                <w:sz w:val="21"/>
              </w:rPr>
              <w:t>46.3</w:t>
            </w:r>
          </w:p>
        </w:tc>
        <w:tc>
          <w:tcPr>
            <w:tcW w:w="1393" w:type="dxa"/>
          </w:tcPr>
          <w:p>
            <w:pPr>
              <w:pStyle w:val="14"/>
              <w:spacing w:before="15" w:line="238" w:lineRule="exact"/>
              <w:ind w:left="512"/>
              <w:jc w:val="left"/>
              <w:rPr>
                <w:rFonts w:ascii="Times New Roman"/>
                <w:sz w:val="21"/>
              </w:rPr>
            </w:pPr>
            <w:r>
              <w:rPr>
                <w:rFonts w:ascii="Times New Roman"/>
                <w:sz w:val="21"/>
              </w:rPr>
              <w:t>51.8</w:t>
            </w:r>
          </w:p>
        </w:tc>
        <w:tc>
          <w:tcPr>
            <w:tcW w:w="1392" w:type="dxa"/>
          </w:tcPr>
          <w:p>
            <w:pPr>
              <w:pStyle w:val="14"/>
              <w:spacing w:before="15" w:line="238" w:lineRule="exact"/>
              <w:ind w:left="253" w:right="244"/>
              <w:rPr>
                <w:rFonts w:ascii="Times New Roman"/>
                <w:sz w:val="21"/>
              </w:rPr>
            </w:pPr>
            <w:r>
              <w:rPr>
                <w:rFonts w:ascii="Times New Roman"/>
                <w:sz w:val="21"/>
              </w:rPr>
              <w:t>47.1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3775" w:type="dxa"/>
          </w:tcPr>
          <w:p>
            <w:pPr>
              <w:pStyle w:val="14"/>
              <w:spacing w:line="252" w:lineRule="exact"/>
              <w:ind w:left="892" w:right="884"/>
              <w:rPr>
                <w:sz w:val="21"/>
              </w:rPr>
            </w:pPr>
            <w:r>
              <w:rPr>
                <w:sz w:val="21"/>
              </w:rPr>
              <w:t>工业广场北侧外</w:t>
            </w:r>
            <w:r>
              <w:rPr>
                <w:rFonts w:ascii="Times New Roman" w:eastAsia="Times New Roman"/>
                <w:sz w:val="21"/>
              </w:rPr>
              <w:t>1m</w:t>
            </w:r>
            <w:r>
              <w:rPr>
                <w:sz w:val="21"/>
              </w:rPr>
              <w:t>处</w:t>
            </w:r>
          </w:p>
        </w:tc>
        <w:tc>
          <w:tcPr>
            <w:tcW w:w="1392" w:type="dxa"/>
          </w:tcPr>
          <w:p>
            <w:pPr>
              <w:pStyle w:val="14"/>
              <w:spacing w:before="13" w:line="239" w:lineRule="exact"/>
              <w:ind w:left="255" w:right="244"/>
              <w:rPr>
                <w:rFonts w:ascii="Times New Roman"/>
                <w:sz w:val="21"/>
              </w:rPr>
            </w:pPr>
            <w:r>
              <w:rPr>
                <w:rFonts w:ascii="Times New Roman"/>
                <w:sz w:val="21"/>
              </w:rPr>
              <w:t>50.8</w:t>
            </w:r>
          </w:p>
        </w:tc>
        <w:tc>
          <w:tcPr>
            <w:tcW w:w="1392" w:type="dxa"/>
          </w:tcPr>
          <w:p>
            <w:pPr>
              <w:pStyle w:val="14"/>
              <w:spacing w:before="13" w:line="239" w:lineRule="exact"/>
              <w:ind w:left="255" w:right="244"/>
              <w:rPr>
                <w:rFonts w:ascii="Times New Roman"/>
                <w:sz w:val="21"/>
              </w:rPr>
            </w:pPr>
            <w:r>
              <w:rPr>
                <w:rFonts w:ascii="Times New Roman"/>
                <w:sz w:val="21"/>
              </w:rPr>
              <w:t>47.1</w:t>
            </w:r>
          </w:p>
        </w:tc>
        <w:tc>
          <w:tcPr>
            <w:tcW w:w="1393" w:type="dxa"/>
          </w:tcPr>
          <w:p>
            <w:pPr>
              <w:pStyle w:val="14"/>
              <w:spacing w:before="13" w:line="239" w:lineRule="exact"/>
              <w:ind w:left="512"/>
              <w:jc w:val="left"/>
              <w:rPr>
                <w:rFonts w:ascii="Times New Roman"/>
                <w:sz w:val="21"/>
              </w:rPr>
            </w:pPr>
            <w:r>
              <w:rPr>
                <w:rFonts w:ascii="Times New Roman"/>
                <w:sz w:val="21"/>
              </w:rPr>
              <w:t>51.6</w:t>
            </w:r>
          </w:p>
        </w:tc>
        <w:tc>
          <w:tcPr>
            <w:tcW w:w="1392" w:type="dxa"/>
          </w:tcPr>
          <w:p>
            <w:pPr>
              <w:pStyle w:val="14"/>
              <w:spacing w:before="13" w:line="239" w:lineRule="exact"/>
              <w:ind w:left="253" w:right="244"/>
              <w:rPr>
                <w:rFonts w:ascii="Times New Roman"/>
                <w:sz w:val="21"/>
              </w:rPr>
            </w:pPr>
            <w:r>
              <w:rPr>
                <w:rFonts w:ascii="Times New Roman"/>
                <w:sz w:val="21"/>
              </w:rPr>
              <w:t>46.9</w:t>
            </w:r>
          </w:p>
        </w:tc>
      </w:tr>
    </w:tbl>
    <w:p>
      <w:pPr>
        <w:spacing w:after="0" w:line="239" w:lineRule="exact"/>
        <w:rPr>
          <w:rFonts w:ascii="Times New Roman"/>
          <w:sz w:val="21"/>
        </w:rPr>
        <w:sectPr>
          <w:pgSz w:w="11910" w:h="16840"/>
          <w:pgMar w:top="1540" w:right="780" w:bottom="1320" w:left="1200" w:header="0" w:footer="1138" w:gutter="0"/>
        </w:sectPr>
      </w:pPr>
    </w:p>
    <w:p>
      <w:pPr>
        <w:pStyle w:val="13"/>
        <w:numPr>
          <w:ilvl w:val="2"/>
          <w:numId w:val="67"/>
        </w:numPr>
        <w:tabs>
          <w:tab w:val="left" w:pos="848"/>
        </w:tabs>
        <w:spacing w:before="47" w:after="0" w:line="240" w:lineRule="auto"/>
        <w:ind w:left="847" w:right="0" w:hanging="633"/>
        <w:jc w:val="left"/>
        <w:rPr>
          <w:b/>
          <w:sz w:val="28"/>
        </w:rPr>
      </w:pPr>
      <w:bookmarkStart w:id="784" w:name="9.2.2声环境现状评价"/>
      <w:bookmarkEnd w:id="784"/>
      <w:bookmarkStart w:id="785" w:name="9.2.2声环境现状评价"/>
      <w:bookmarkEnd w:id="785"/>
      <w:r>
        <w:rPr>
          <w:b/>
          <w:sz w:val="28"/>
        </w:rPr>
        <w:t>声环境现状评价</w:t>
      </w:r>
    </w:p>
    <w:p>
      <w:pPr>
        <w:pStyle w:val="13"/>
        <w:numPr>
          <w:ilvl w:val="3"/>
          <w:numId w:val="67"/>
        </w:numPr>
        <w:tabs>
          <w:tab w:val="left" w:pos="996"/>
        </w:tabs>
        <w:spacing w:before="185" w:after="0" w:line="240" w:lineRule="auto"/>
        <w:ind w:left="996" w:right="0" w:hanging="781"/>
        <w:jc w:val="left"/>
        <w:rPr>
          <w:b/>
          <w:sz w:val="24"/>
        </w:rPr>
      </w:pPr>
      <w:r>
        <w:rPr>
          <w:b/>
          <w:sz w:val="24"/>
        </w:rPr>
        <w:t>评价量</w:t>
      </w:r>
    </w:p>
    <w:p>
      <w:pPr>
        <w:pStyle w:val="6"/>
        <w:spacing w:before="158"/>
        <w:ind w:left="696"/>
      </w:pPr>
      <w:r>
        <w:t xml:space="preserve">以等效连续 </w:t>
      </w:r>
      <w:r>
        <w:rPr>
          <w:rFonts w:ascii="Times New Roman" w:eastAsia="Times New Roman"/>
        </w:rPr>
        <w:t xml:space="preserve">A </w:t>
      </w:r>
      <w:r>
        <w:t xml:space="preserve">声级 </w:t>
      </w:r>
      <w:r>
        <w:rPr>
          <w:rFonts w:ascii="Times New Roman" w:eastAsia="Times New Roman"/>
        </w:rPr>
        <w:t xml:space="preserve">Leq </w:t>
      </w:r>
      <w:r>
        <w:t>为评价量。</w:t>
      </w:r>
    </w:p>
    <w:p>
      <w:pPr>
        <w:pStyle w:val="5"/>
        <w:numPr>
          <w:ilvl w:val="3"/>
          <w:numId w:val="67"/>
        </w:numPr>
        <w:tabs>
          <w:tab w:val="left" w:pos="996"/>
        </w:tabs>
        <w:spacing w:before="161" w:after="0" w:line="240" w:lineRule="auto"/>
        <w:ind w:left="996" w:right="0" w:hanging="781"/>
        <w:jc w:val="left"/>
      </w:pPr>
      <w:r>
        <w:t>评价方法</w:t>
      </w:r>
    </w:p>
    <w:p>
      <w:pPr>
        <w:pStyle w:val="6"/>
        <w:spacing w:before="158"/>
        <w:ind w:left="696"/>
      </w:pPr>
      <w:r>
        <w:t>监测值直接与标准值对比的方法。</w:t>
      </w:r>
    </w:p>
    <w:p>
      <w:pPr>
        <w:pStyle w:val="5"/>
        <w:numPr>
          <w:ilvl w:val="3"/>
          <w:numId w:val="67"/>
        </w:numPr>
        <w:tabs>
          <w:tab w:val="left" w:pos="996"/>
        </w:tabs>
        <w:spacing w:before="160" w:after="0" w:line="240" w:lineRule="auto"/>
        <w:ind w:left="996" w:right="0" w:hanging="781"/>
        <w:jc w:val="left"/>
      </w:pPr>
      <w:r>
        <w:t>评价标准</w:t>
      </w:r>
    </w:p>
    <w:p>
      <w:pPr>
        <w:pStyle w:val="6"/>
        <w:spacing w:before="158" w:line="364" w:lineRule="auto"/>
        <w:ind w:left="215" w:right="578" w:firstLine="480"/>
      </w:pPr>
      <w:r>
        <w:t>拟建工业场地周围区域环境噪声执行《声环境质量标准》（</w:t>
      </w:r>
      <w:r>
        <w:rPr>
          <w:rFonts w:ascii="Times New Roman" w:eastAsia="Times New Roman"/>
        </w:rPr>
        <w:t>GB3096-2008</w:t>
      </w:r>
      <w:r>
        <w:t xml:space="preserve">）中 </w:t>
      </w:r>
      <w:r>
        <w:rPr>
          <w:rFonts w:ascii="Times New Roman" w:eastAsia="Times New Roman"/>
        </w:rPr>
        <w:t xml:space="preserve">2 </w:t>
      </w:r>
      <w:r>
        <w:t xml:space="preserve">类标准。即昼间 </w:t>
      </w:r>
      <w:r>
        <w:rPr>
          <w:rFonts w:ascii="Times New Roman" w:eastAsia="Times New Roman"/>
        </w:rPr>
        <w:t>60dB</w:t>
      </w:r>
      <w:r>
        <w:t>（</w:t>
      </w:r>
      <w:r>
        <w:rPr>
          <w:rFonts w:ascii="Times New Roman" w:eastAsia="Times New Roman"/>
        </w:rPr>
        <w:t>A</w:t>
      </w:r>
      <w:r>
        <w:t xml:space="preserve">），夜间 </w:t>
      </w:r>
      <w:r>
        <w:rPr>
          <w:rFonts w:ascii="Times New Roman" w:eastAsia="Times New Roman"/>
        </w:rPr>
        <w:t>50dB</w:t>
      </w:r>
      <w:r>
        <w:t>（</w:t>
      </w:r>
      <w:r>
        <w:rPr>
          <w:rFonts w:ascii="Times New Roman" w:eastAsia="Times New Roman"/>
        </w:rPr>
        <w:t>A</w:t>
      </w:r>
      <w:r>
        <w:t>）。</w:t>
      </w:r>
    </w:p>
    <w:p>
      <w:pPr>
        <w:pStyle w:val="5"/>
        <w:numPr>
          <w:ilvl w:val="3"/>
          <w:numId w:val="67"/>
        </w:numPr>
        <w:tabs>
          <w:tab w:val="left" w:pos="996"/>
        </w:tabs>
        <w:spacing w:before="0" w:after="0" w:line="306" w:lineRule="exact"/>
        <w:ind w:left="996" w:right="0" w:hanging="781"/>
        <w:jc w:val="left"/>
      </w:pPr>
      <w:r>
        <w:t>现状评价</w:t>
      </w:r>
    </w:p>
    <w:p>
      <w:pPr>
        <w:pStyle w:val="6"/>
        <w:spacing w:before="161"/>
        <w:ind w:left="696"/>
        <w:rPr>
          <w:rFonts w:ascii="Times New Roman" w:eastAsia="Times New Roman"/>
        </w:rPr>
      </w:pPr>
      <w:r>
        <w:t xml:space="preserve">根据现状监测结果，厂界噪声值昼间在 </w:t>
      </w:r>
      <w:r>
        <w:rPr>
          <w:rFonts w:ascii="Times New Roman" w:eastAsia="Times New Roman"/>
        </w:rPr>
        <w:t>50.3~53.5dB</w:t>
      </w:r>
      <w:r>
        <w:t>（</w:t>
      </w:r>
      <w:r>
        <w:rPr>
          <w:rFonts w:ascii="Times New Roman" w:eastAsia="Times New Roman"/>
        </w:rPr>
        <w:t>A</w:t>
      </w:r>
      <w:r>
        <w:t xml:space="preserve">）之间，夜间在 </w:t>
      </w:r>
      <w:r>
        <w:rPr>
          <w:rFonts w:ascii="Times New Roman" w:eastAsia="Times New Roman"/>
        </w:rPr>
        <w:t>45.9~47.1dB</w:t>
      </w:r>
    </w:p>
    <w:p>
      <w:pPr>
        <w:pStyle w:val="6"/>
        <w:spacing w:before="158"/>
        <w:ind w:left="215"/>
      </w:pPr>
      <w:r>
        <w:t>（</w:t>
      </w:r>
      <w:r>
        <w:rPr>
          <w:rFonts w:ascii="Times New Roman" w:eastAsia="Times New Roman"/>
        </w:rPr>
        <w:t>A</w:t>
      </w:r>
      <w:r>
        <w:t>）之间，监测点能够满足《声环境质量标准》（</w:t>
      </w:r>
      <w:r>
        <w:rPr>
          <w:rFonts w:ascii="Times New Roman" w:eastAsia="Times New Roman"/>
        </w:rPr>
        <w:t>GB3096-2008</w:t>
      </w:r>
      <w:r>
        <w:t xml:space="preserve">）中 </w:t>
      </w:r>
      <w:r>
        <w:rPr>
          <w:rFonts w:ascii="Times New Roman" w:eastAsia="Times New Roman"/>
        </w:rPr>
        <w:t xml:space="preserve">2 </w:t>
      </w:r>
      <w:r>
        <w:t>类标准限值要求。</w:t>
      </w:r>
    </w:p>
    <w:p>
      <w:pPr>
        <w:pStyle w:val="5"/>
        <w:numPr>
          <w:ilvl w:val="3"/>
          <w:numId w:val="67"/>
        </w:numPr>
        <w:tabs>
          <w:tab w:val="left" w:pos="996"/>
        </w:tabs>
        <w:spacing w:before="160" w:after="0" w:line="240" w:lineRule="auto"/>
        <w:ind w:left="996" w:right="0" w:hanging="781"/>
        <w:jc w:val="left"/>
      </w:pPr>
      <w:r>
        <w:t>现状评价结论</w:t>
      </w:r>
    </w:p>
    <w:p>
      <w:pPr>
        <w:pStyle w:val="6"/>
        <w:spacing w:before="161" w:line="362" w:lineRule="auto"/>
        <w:ind w:left="215" w:right="580" w:firstLine="480"/>
      </w:pPr>
      <w:r>
        <w:t>厂址噪声现状评价结果表明：目前厂界噪声无论在昼间还是在夜间，均能达到声环境质量标准》（</w:t>
      </w:r>
      <w:r>
        <w:rPr>
          <w:rFonts w:ascii="Times New Roman" w:eastAsia="Times New Roman"/>
        </w:rPr>
        <w:t>GB3096-2008</w:t>
      </w:r>
      <w:r>
        <w:t xml:space="preserve">）中 </w:t>
      </w:r>
      <w:r>
        <w:rPr>
          <w:rFonts w:ascii="Times New Roman" w:eastAsia="Times New Roman"/>
        </w:rPr>
        <w:t xml:space="preserve">2 </w:t>
      </w:r>
      <w:r>
        <w:t>类标准限值要求，无超标现象。声环境质量较好。</w:t>
      </w:r>
    </w:p>
    <w:p>
      <w:pPr>
        <w:pStyle w:val="4"/>
        <w:numPr>
          <w:ilvl w:val="1"/>
          <w:numId w:val="67"/>
        </w:numPr>
        <w:tabs>
          <w:tab w:val="left" w:pos="708"/>
        </w:tabs>
        <w:spacing w:before="6" w:after="0" w:line="240" w:lineRule="auto"/>
        <w:ind w:left="708" w:right="0" w:hanging="493"/>
        <w:jc w:val="left"/>
        <w:rPr>
          <w:rFonts w:ascii="Times New Roman" w:eastAsia="Times New Roman"/>
        </w:rPr>
      </w:pPr>
      <w:bookmarkStart w:id="786" w:name="9.3 建设期声环境影响及防治措施"/>
      <w:bookmarkEnd w:id="786"/>
      <w:bookmarkStart w:id="787" w:name="_bookmark53"/>
      <w:bookmarkEnd w:id="787"/>
      <w:bookmarkStart w:id="788" w:name="_bookmark53"/>
      <w:bookmarkEnd w:id="788"/>
      <w:r>
        <w:t>建设期声环境影响及防治措施</w:t>
      </w:r>
    </w:p>
    <w:p>
      <w:pPr>
        <w:pStyle w:val="13"/>
        <w:numPr>
          <w:ilvl w:val="2"/>
          <w:numId w:val="67"/>
        </w:numPr>
        <w:tabs>
          <w:tab w:val="left" w:pos="848"/>
        </w:tabs>
        <w:spacing w:before="183" w:after="0" w:line="240" w:lineRule="auto"/>
        <w:ind w:left="847" w:right="0" w:hanging="633"/>
        <w:jc w:val="left"/>
        <w:rPr>
          <w:b/>
          <w:sz w:val="28"/>
        </w:rPr>
      </w:pPr>
      <w:bookmarkStart w:id="789" w:name="9.3.1建设期噪声源分析"/>
      <w:bookmarkEnd w:id="789"/>
      <w:bookmarkStart w:id="790" w:name="9.3.1建设期噪声源分析"/>
      <w:bookmarkEnd w:id="790"/>
      <w:r>
        <w:rPr>
          <w:b/>
          <w:sz w:val="28"/>
        </w:rPr>
        <w:t>建设期噪声源分析</w:t>
      </w:r>
    </w:p>
    <w:p>
      <w:pPr>
        <w:pStyle w:val="6"/>
        <w:spacing w:before="3"/>
        <w:rPr>
          <w:b/>
          <w:sz w:val="23"/>
        </w:rPr>
      </w:pPr>
    </w:p>
    <w:p>
      <w:pPr>
        <w:pStyle w:val="6"/>
        <w:spacing w:before="1" w:line="343" w:lineRule="auto"/>
        <w:ind w:left="215" w:right="458" w:firstLine="480"/>
      </w:pPr>
      <w:r>
        <w:rPr>
          <w:spacing w:val="-7"/>
        </w:rPr>
        <w:t xml:space="preserve">建设期噪声源主要为各类施工机械。根据本工程施工活动的特点，经类比调查可知， </w:t>
      </w:r>
      <w:r>
        <w:t>煤矿建设期的平整场地、筑路、建（构）筑物、井筒等施工常用的设备主要有推土机、挖掘机、装载机、混凝土搅拌机、压路机、起重机、专辑、振捣棒等。主要施工设备噪</w:t>
      </w:r>
      <w:r>
        <w:rPr>
          <w:spacing w:val="-6"/>
        </w:rPr>
        <w:t xml:space="preserve">声级类比调查结果见表 </w:t>
      </w:r>
      <w:r>
        <w:rPr>
          <w:rFonts w:ascii="Times New Roman" w:eastAsia="Times New Roman"/>
        </w:rPr>
        <w:t>9.3-1</w:t>
      </w:r>
      <w:r>
        <w:t>。</w:t>
      </w:r>
    </w:p>
    <w:p>
      <w:pPr>
        <w:pStyle w:val="5"/>
        <w:tabs>
          <w:tab w:val="left" w:pos="1041"/>
        </w:tabs>
        <w:spacing w:before="48" w:after="32"/>
        <w:ind w:right="350"/>
        <w:jc w:val="center"/>
        <w:rPr>
          <w:rFonts w:hint="eastAsia" w:ascii="黑体" w:eastAsia="黑体"/>
        </w:rPr>
      </w:pPr>
      <w:r>
        <w:rPr>
          <w:rFonts w:hint="eastAsia" w:ascii="黑体" w:eastAsia="黑体"/>
        </w:rPr>
        <w:t>表</w:t>
      </w:r>
      <w:r>
        <w:rPr>
          <w:rFonts w:hint="eastAsia" w:ascii="黑体" w:eastAsia="黑体"/>
          <w:spacing w:val="-62"/>
        </w:rPr>
        <w:t xml:space="preserve"> </w:t>
      </w:r>
      <w:r>
        <w:rPr>
          <w:rFonts w:ascii="Times New Roman" w:eastAsia="Times New Roman"/>
        </w:rPr>
        <w:t>9.3-1</w:t>
      </w:r>
      <w:r>
        <w:rPr>
          <w:rFonts w:ascii="Times New Roman" w:eastAsia="Times New Roman"/>
        </w:rPr>
        <w:tab/>
      </w:r>
      <w:r>
        <w:rPr>
          <w:rFonts w:hint="eastAsia" w:ascii="黑体" w:eastAsia="黑体"/>
        </w:rPr>
        <w:t>主要施工设备噪声源源强一览表</w:t>
      </w: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11"/>
        <w:gridCol w:w="2661"/>
        <w:gridCol w:w="2011"/>
        <w:gridCol w:w="26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2011" w:type="dxa"/>
          </w:tcPr>
          <w:p>
            <w:pPr>
              <w:pStyle w:val="14"/>
              <w:spacing w:before="7"/>
              <w:jc w:val="left"/>
              <w:rPr>
                <w:rFonts w:ascii="黑体"/>
                <w:b/>
                <w:sz w:val="17"/>
              </w:rPr>
            </w:pPr>
          </w:p>
          <w:p>
            <w:pPr>
              <w:pStyle w:val="14"/>
              <w:spacing w:before="1"/>
              <w:ind w:left="352" w:right="347"/>
              <w:rPr>
                <w:sz w:val="21"/>
              </w:rPr>
            </w:pPr>
            <w:r>
              <w:rPr>
                <w:sz w:val="21"/>
              </w:rPr>
              <w:t>高噪声设备</w:t>
            </w:r>
          </w:p>
        </w:tc>
        <w:tc>
          <w:tcPr>
            <w:tcW w:w="2661" w:type="dxa"/>
          </w:tcPr>
          <w:p>
            <w:pPr>
              <w:pStyle w:val="14"/>
              <w:spacing w:before="46"/>
              <w:ind w:left="670"/>
              <w:jc w:val="left"/>
              <w:rPr>
                <w:sz w:val="21"/>
              </w:rPr>
            </w:pPr>
            <w:r>
              <w:rPr>
                <w:sz w:val="21"/>
              </w:rPr>
              <w:t>声级测量</w:t>
            </w:r>
            <w:r>
              <w:rPr>
                <w:rFonts w:ascii="Times New Roman" w:eastAsia="Times New Roman"/>
                <w:sz w:val="21"/>
              </w:rPr>
              <w:t>/</w:t>
            </w:r>
            <w:r>
              <w:rPr>
                <w:sz w:val="21"/>
              </w:rPr>
              <w:t>距离</w:t>
            </w:r>
          </w:p>
          <w:p>
            <w:pPr>
              <w:pStyle w:val="14"/>
              <w:spacing w:before="90"/>
              <w:ind w:left="601"/>
              <w:jc w:val="left"/>
              <w:rPr>
                <w:sz w:val="21"/>
              </w:rPr>
            </w:pPr>
            <w:r>
              <w:rPr>
                <w:sz w:val="21"/>
              </w:rPr>
              <w:t>（</w:t>
            </w:r>
            <w:r>
              <w:rPr>
                <w:rFonts w:ascii="Times New Roman" w:eastAsia="Times New Roman"/>
                <w:sz w:val="21"/>
              </w:rPr>
              <w:t>dB</w:t>
            </w:r>
            <w:r>
              <w:rPr>
                <w:sz w:val="21"/>
              </w:rPr>
              <w:t>（</w:t>
            </w:r>
            <w:r>
              <w:rPr>
                <w:rFonts w:ascii="Times New Roman" w:eastAsia="Times New Roman"/>
                <w:sz w:val="21"/>
              </w:rPr>
              <w:t>A</w:t>
            </w:r>
            <w:r>
              <w:rPr>
                <w:sz w:val="21"/>
              </w:rPr>
              <w:t>）</w:t>
            </w:r>
            <w:r>
              <w:rPr>
                <w:rFonts w:ascii="Times New Roman" w:eastAsia="Times New Roman"/>
                <w:sz w:val="21"/>
              </w:rPr>
              <w:t>/m</w:t>
            </w:r>
            <w:r>
              <w:rPr>
                <w:sz w:val="21"/>
              </w:rPr>
              <w:t>）</w:t>
            </w:r>
          </w:p>
        </w:tc>
        <w:tc>
          <w:tcPr>
            <w:tcW w:w="2011" w:type="dxa"/>
          </w:tcPr>
          <w:p>
            <w:pPr>
              <w:pStyle w:val="14"/>
              <w:spacing w:before="7"/>
              <w:jc w:val="left"/>
              <w:rPr>
                <w:rFonts w:ascii="黑体"/>
                <w:b/>
                <w:sz w:val="17"/>
              </w:rPr>
            </w:pPr>
          </w:p>
          <w:p>
            <w:pPr>
              <w:pStyle w:val="14"/>
              <w:spacing w:before="1"/>
              <w:ind w:left="352" w:right="345"/>
              <w:rPr>
                <w:sz w:val="21"/>
              </w:rPr>
            </w:pPr>
            <w:r>
              <w:rPr>
                <w:sz w:val="21"/>
              </w:rPr>
              <w:t>高噪声设备</w:t>
            </w:r>
          </w:p>
        </w:tc>
        <w:tc>
          <w:tcPr>
            <w:tcW w:w="2661" w:type="dxa"/>
          </w:tcPr>
          <w:p>
            <w:pPr>
              <w:pStyle w:val="14"/>
              <w:spacing w:before="46"/>
              <w:ind w:left="671"/>
              <w:jc w:val="left"/>
              <w:rPr>
                <w:sz w:val="21"/>
              </w:rPr>
            </w:pPr>
            <w:r>
              <w:rPr>
                <w:sz w:val="21"/>
              </w:rPr>
              <w:t>声级测量</w:t>
            </w:r>
            <w:r>
              <w:rPr>
                <w:rFonts w:ascii="Times New Roman" w:eastAsia="Times New Roman"/>
                <w:sz w:val="21"/>
              </w:rPr>
              <w:t>/</w:t>
            </w:r>
            <w:r>
              <w:rPr>
                <w:sz w:val="21"/>
              </w:rPr>
              <w:t>距离</w:t>
            </w:r>
          </w:p>
          <w:p>
            <w:pPr>
              <w:pStyle w:val="14"/>
              <w:spacing w:before="90"/>
              <w:ind w:left="602"/>
              <w:jc w:val="left"/>
              <w:rPr>
                <w:sz w:val="21"/>
              </w:rPr>
            </w:pPr>
            <w:r>
              <w:rPr>
                <w:sz w:val="21"/>
              </w:rPr>
              <w:t>（</w:t>
            </w:r>
            <w:r>
              <w:rPr>
                <w:rFonts w:ascii="Times New Roman" w:eastAsia="Times New Roman"/>
                <w:sz w:val="21"/>
              </w:rPr>
              <w:t>dB</w:t>
            </w:r>
            <w:r>
              <w:rPr>
                <w:sz w:val="21"/>
              </w:rPr>
              <w:t>（</w:t>
            </w:r>
            <w:r>
              <w:rPr>
                <w:rFonts w:ascii="Times New Roman" w:eastAsia="Times New Roman"/>
                <w:sz w:val="21"/>
              </w:rPr>
              <w:t>A</w:t>
            </w:r>
            <w:r>
              <w:rPr>
                <w:sz w:val="21"/>
              </w:rPr>
              <w:t>）</w:t>
            </w:r>
            <w:r>
              <w:rPr>
                <w:rFonts w:ascii="Times New Roman" w:eastAsia="Times New Roman"/>
                <w:sz w:val="21"/>
              </w:rPr>
              <w:t>/m</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2011" w:type="dxa"/>
          </w:tcPr>
          <w:p>
            <w:pPr>
              <w:pStyle w:val="14"/>
              <w:spacing w:before="45"/>
              <w:ind w:left="352" w:right="347"/>
              <w:rPr>
                <w:sz w:val="21"/>
              </w:rPr>
            </w:pPr>
            <w:r>
              <w:rPr>
                <w:sz w:val="21"/>
              </w:rPr>
              <w:t>重型运输车</w:t>
            </w:r>
          </w:p>
        </w:tc>
        <w:tc>
          <w:tcPr>
            <w:tcW w:w="2661" w:type="dxa"/>
          </w:tcPr>
          <w:p>
            <w:pPr>
              <w:pStyle w:val="14"/>
              <w:spacing w:before="45"/>
              <w:ind w:left="932"/>
              <w:jc w:val="left"/>
              <w:rPr>
                <w:rFonts w:ascii="Times New Roman" w:eastAsia="Times New Roman"/>
                <w:sz w:val="21"/>
              </w:rPr>
            </w:pPr>
            <w:r>
              <w:rPr>
                <w:rFonts w:ascii="Times New Roman" w:eastAsia="Times New Roman"/>
                <w:sz w:val="21"/>
              </w:rPr>
              <w:t>82</w:t>
            </w:r>
            <w:r>
              <w:rPr>
                <w:sz w:val="21"/>
              </w:rPr>
              <w:t>～</w:t>
            </w:r>
            <w:r>
              <w:rPr>
                <w:rFonts w:ascii="Times New Roman" w:eastAsia="Times New Roman"/>
                <w:sz w:val="21"/>
              </w:rPr>
              <w:t>90/5</w:t>
            </w:r>
          </w:p>
        </w:tc>
        <w:tc>
          <w:tcPr>
            <w:tcW w:w="2011" w:type="dxa"/>
          </w:tcPr>
          <w:p>
            <w:pPr>
              <w:pStyle w:val="14"/>
              <w:spacing w:before="45"/>
              <w:ind w:left="352" w:right="348"/>
              <w:rPr>
                <w:sz w:val="21"/>
              </w:rPr>
            </w:pPr>
            <w:r>
              <w:rPr>
                <w:sz w:val="21"/>
              </w:rPr>
              <w:t>混凝土振捣器</w:t>
            </w:r>
          </w:p>
        </w:tc>
        <w:tc>
          <w:tcPr>
            <w:tcW w:w="2661" w:type="dxa"/>
          </w:tcPr>
          <w:p>
            <w:pPr>
              <w:pStyle w:val="14"/>
              <w:spacing w:before="45"/>
              <w:ind w:left="913" w:right="904"/>
              <w:rPr>
                <w:rFonts w:ascii="Times New Roman" w:eastAsia="Times New Roman"/>
                <w:sz w:val="21"/>
              </w:rPr>
            </w:pPr>
            <w:r>
              <w:rPr>
                <w:rFonts w:ascii="Times New Roman" w:eastAsia="Times New Roman"/>
                <w:sz w:val="21"/>
              </w:rPr>
              <w:t>80</w:t>
            </w:r>
            <w:r>
              <w:rPr>
                <w:sz w:val="21"/>
              </w:rPr>
              <w:t>～</w:t>
            </w:r>
            <w:r>
              <w:rPr>
                <w:rFonts w:ascii="Times New Roman" w:eastAsia="Times New Roman"/>
                <w:sz w:val="21"/>
              </w:rPr>
              <w:t>88/5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2011" w:type="dxa"/>
          </w:tcPr>
          <w:p>
            <w:pPr>
              <w:pStyle w:val="14"/>
              <w:spacing w:before="45"/>
              <w:ind w:left="352" w:right="345"/>
              <w:rPr>
                <w:sz w:val="21"/>
              </w:rPr>
            </w:pPr>
            <w:r>
              <w:rPr>
                <w:sz w:val="21"/>
              </w:rPr>
              <w:t>挖掘机</w:t>
            </w:r>
          </w:p>
        </w:tc>
        <w:tc>
          <w:tcPr>
            <w:tcW w:w="2661" w:type="dxa"/>
          </w:tcPr>
          <w:p>
            <w:pPr>
              <w:pStyle w:val="14"/>
              <w:spacing w:before="45"/>
              <w:ind w:left="932"/>
              <w:jc w:val="left"/>
              <w:rPr>
                <w:rFonts w:ascii="Times New Roman" w:eastAsia="Times New Roman"/>
                <w:sz w:val="21"/>
              </w:rPr>
            </w:pPr>
            <w:r>
              <w:rPr>
                <w:rFonts w:ascii="Times New Roman" w:eastAsia="Times New Roman"/>
                <w:sz w:val="21"/>
              </w:rPr>
              <w:t>80</w:t>
            </w:r>
            <w:r>
              <w:rPr>
                <w:sz w:val="21"/>
              </w:rPr>
              <w:t>～</w:t>
            </w:r>
            <w:r>
              <w:rPr>
                <w:rFonts w:ascii="Times New Roman" w:eastAsia="Times New Roman"/>
                <w:sz w:val="21"/>
              </w:rPr>
              <w:t>86/5</w:t>
            </w:r>
          </w:p>
        </w:tc>
        <w:tc>
          <w:tcPr>
            <w:tcW w:w="2011" w:type="dxa"/>
          </w:tcPr>
          <w:p>
            <w:pPr>
              <w:pStyle w:val="14"/>
              <w:spacing w:before="45"/>
              <w:ind w:left="352" w:right="343"/>
              <w:rPr>
                <w:sz w:val="21"/>
              </w:rPr>
            </w:pPr>
            <w:r>
              <w:rPr>
                <w:sz w:val="21"/>
              </w:rPr>
              <w:t>压路机</w:t>
            </w:r>
          </w:p>
        </w:tc>
        <w:tc>
          <w:tcPr>
            <w:tcW w:w="2661" w:type="dxa"/>
          </w:tcPr>
          <w:p>
            <w:pPr>
              <w:pStyle w:val="14"/>
              <w:spacing w:before="45"/>
              <w:ind w:left="913" w:right="904"/>
              <w:rPr>
                <w:rFonts w:ascii="Times New Roman" w:eastAsia="Times New Roman"/>
                <w:sz w:val="21"/>
              </w:rPr>
            </w:pPr>
            <w:r>
              <w:rPr>
                <w:rFonts w:ascii="Times New Roman" w:eastAsia="Times New Roman"/>
                <w:sz w:val="21"/>
              </w:rPr>
              <w:t>80</w:t>
            </w:r>
            <w:r>
              <w:rPr>
                <w:sz w:val="21"/>
              </w:rPr>
              <w:t>～</w:t>
            </w:r>
            <w:r>
              <w:rPr>
                <w:rFonts w:ascii="Times New Roman" w:eastAsia="Times New Roman"/>
                <w:sz w:val="21"/>
              </w:rPr>
              <w:t>90/5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2011" w:type="dxa"/>
          </w:tcPr>
          <w:p>
            <w:pPr>
              <w:pStyle w:val="14"/>
              <w:spacing w:before="44"/>
              <w:ind w:left="352" w:right="345"/>
              <w:rPr>
                <w:sz w:val="21"/>
              </w:rPr>
            </w:pPr>
            <w:r>
              <w:rPr>
                <w:sz w:val="21"/>
              </w:rPr>
              <w:t>推土机</w:t>
            </w:r>
          </w:p>
        </w:tc>
        <w:tc>
          <w:tcPr>
            <w:tcW w:w="2661" w:type="dxa"/>
          </w:tcPr>
          <w:p>
            <w:pPr>
              <w:pStyle w:val="14"/>
              <w:spacing w:before="47"/>
              <w:ind w:left="932"/>
              <w:jc w:val="left"/>
              <w:rPr>
                <w:rFonts w:ascii="Times New Roman" w:eastAsia="Times New Roman"/>
                <w:sz w:val="21"/>
              </w:rPr>
            </w:pPr>
            <w:r>
              <w:rPr>
                <w:rFonts w:ascii="Times New Roman" w:eastAsia="Times New Roman"/>
                <w:sz w:val="21"/>
              </w:rPr>
              <w:t>83</w:t>
            </w:r>
            <w:r>
              <w:rPr>
                <w:sz w:val="21"/>
              </w:rPr>
              <w:t>～</w:t>
            </w:r>
            <w:r>
              <w:rPr>
                <w:rFonts w:ascii="Times New Roman" w:eastAsia="Times New Roman"/>
                <w:sz w:val="21"/>
              </w:rPr>
              <w:t>88/5</w:t>
            </w:r>
          </w:p>
        </w:tc>
        <w:tc>
          <w:tcPr>
            <w:tcW w:w="2011" w:type="dxa"/>
          </w:tcPr>
          <w:p>
            <w:pPr>
              <w:pStyle w:val="14"/>
              <w:spacing w:before="44"/>
              <w:ind w:left="352" w:right="345"/>
              <w:rPr>
                <w:sz w:val="21"/>
              </w:rPr>
            </w:pPr>
            <w:r>
              <w:rPr>
                <w:sz w:val="21"/>
              </w:rPr>
              <w:t>轮式装载机</w:t>
            </w:r>
          </w:p>
        </w:tc>
        <w:tc>
          <w:tcPr>
            <w:tcW w:w="2661" w:type="dxa"/>
          </w:tcPr>
          <w:p>
            <w:pPr>
              <w:pStyle w:val="14"/>
              <w:spacing w:before="47"/>
              <w:ind w:left="913" w:right="904"/>
              <w:rPr>
                <w:rFonts w:ascii="Times New Roman" w:eastAsia="Times New Roman"/>
                <w:sz w:val="21"/>
              </w:rPr>
            </w:pPr>
            <w:r>
              <w:rPr>
                <w:rFonts w:ascii="Times New Roman" w:eastAsia="Times New Roman"/>
                <w:sz w:val="21"/>
              </w:rPr>
              <w:t>90</w:t>
            </w:r>
            <w:r>
              <w:rPr>
                <w:sz w:val="21"/>
              </w:rPr>
              <w:t>～</w:t>
            </w:r>
            <w:r>
              <w:rPr>
                <w:rFonts w:ascii="Times New Roman" w:eastAsia="Times New Roman"/>
                <w:sz w:val="21"/>
              </w:rPr>
              <w:t>95/5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2011" w:type="dxa"/>
          </w:tcPr>
          <w:p>
            <w:pPr>
              <w:pStyle w:val="14"/>
              <w:spacing w:before="44"/>
              <w:ind w:left="352" w:right="345"/>
              <w:rPr>
                <w:sz w:val="21"/>
              </w:rPr>
            </w:pPr>
            <w:r>
              <w:rPr>
                <w:sz w:val="21"/>
              </w:rPr>
              <w:t>空压机</w:t>
            </w:r>
          </w:p>
        </w:tc>
        <w:tc>
          <w:tcPr>
            <w:tcW w:w="2661" w:type="dxa"/>
          </w:tcPr>
          <w:p>
            <w:pPr>
              <w:pStyle w:val="14"/>
              <w:spacing w:before="46"/>
              <w:ind w:left="932"/>
              <w:jc w:val="left"/>
              <w:rPr>
                <w:rFonts w:ascii="Times New Roman" w:eastAsia="Times New Roman"/>
                <w:sz w:val="21"/>
              </w:rPr>
            </w:pPr>
            <w:r>
              <w:rPr>
                <w:rFonts w:ascii="Times New Roman" w:eastAsia="Times New Roman"/>
                <w:sz w:val="21"/>
              </w:rPr>
              <w:t>88</w:t>
            </w:r>
            <w:r>
              <w:rPr>
                <w:sz w:val="21"/>
              </w:rPr>
              <w:t>～</w:t>
            </w:r>
            <w:r>
              <w:rPr>
                <w:rFonts w:ascii="Times New Roman" w:eastAsia="Times New Roman"/>
                <w:sz w:val="21"/>
              </w:rPr>
              <w:t>92/5</w:t>
            </w:r>
          </w:p>
        </w:tc>
        <w:tc>
          <w:tcPr>
            <w:tcW w:w="2011" w:type="dxa"/>
          </w:tcPr>
          <w:p>
            <w:pPr>
              <w:pStyle w:val="14"/>
              <w:jc w:val="left"/>
              <w:rPr>
                <w:rFonts w:ascii="Times New Roman"/>
                <w:sz w:val="22"/>
              </w:rPr>
            </w:pPr>
          </w:p>
        </w:tc>
        <w:tc>
          <w:tcPr>
            <w:tcW w:w="2661" w:type="dxa"/>
          </w:tcPr>
          <w:p>
            <w:pPr>
              <w:pStyle w:val="14"/>
              <w:jc w:val="left"/>
              <w:rPr>
                <w:rFonts w:ascii="Times New Roman"/>
                <w:sz w:val="22"/>
              </w:rPr>
            </w:pPr>
          </w:p>
        </w:tc>
      </w:tr>
    </w:tbl>
    <w:p>
      <w:pPr>
        <w:pStyle w:val="13"/>
        <w:numPr>
          <w:ilvl w:val="2"/>
          <w:numId w:val="67"/>
        </w:numPr>
        <w:tabs>
          <w:tab w:val="left" w:pos="848"/>
        </w:tabs>
        <w:spacing w:before="3" w:after="0" w:line="240" w:lineRule="auto"/>
        <w:ind w:left="847" w:right="0" w:hanging="633"/>
        <w:jc w:val="left"/>
        <w:rPr>
          <w:b/>
          <w:sz w:val="28"/>
        </w:rPr>
      </w:pPr>
      <w:bookmarkStart w:id="791" w:name="9.3.2建设期声环境影响分析"/>
      <w:bookmarkEnd w:id="791"/>
      <w:bookmarkStart w:id="792" w:name="9.3.2建设期声环境影响分析"/>
      <w:bookmarkEnd w:id="792"/>
      <w:r>
        <w:rPr>
          <w:b/>
          <w:sz w:val="28"/>
        </w:rPr>
        <w:t>建设期声环境影响分析</w:t>
      </w:r>
    </w:p>
    <w:p>
      <w:pPr>
        <w:pStyle w:val="6"/>
        <w:rPr>
          <w:b/>
          <w:sz w:val="23"/>
        </w:rPr>
      </w:pPr>
    </w:p>
    <w:p>
      <w:pPr>
        <w:pStyle w:val="6"/>
        <w:spacing w:line="345" w:lineRule="auto"/>
        <w:ind w:left="215" w:right="580" w:firstLine="480"/>
      </w:pPr>
      <w:r>
        <w:t xml:space="preserve">由于施工期不同阶段施工设备不同，施工设备数量不同，因此很难预测施工场地各场界噪声値。因此本次预测主要针对施工期各噪声源分析衰減情况，具体见表 </w:t>
      </w:r>
      <w:r>
        <w:rPr>
          <w:rFonts w:ascii="Times New Roman" w:eastAsia="Times New Roman"/>
        </w:rPr>
        <w:t>9.3-2</w:t>
      </w:r>
      <w:r>
        <w:t>。</w:t>
      </w:r>
    </w:p>
    <w:p>
      <w:pPr>
        <w:spacing w:after="0" w:line="345" w:lineRule="auto"/>
        <w:sectPr>
          <w:pgSz w:w="11910" w:h="16840"/>
          <w:pgMar w:top="1540" w:right="780" w:bottom="1320" w:left="1200" w:header="0" w:footer="1138" w:gutter="0"/>
        </w:sectPr>
      </w:pPr>
    </w:p>
    <w:p>
      <w:pPr>
        <w:pStyle w:val="5"/>
        <w:tabs>
          <w:tab w:val="left" w:pos="1041"/>
        </w:tabs>
        <w:spacing w:before="164" w:after="33"/>
        <w:ind w:right="352"/>
        <w:jc w:val="center"/>
        <w:rPr>
          <w:rFonts w:hint="eastAsia" w:ascii="黑体" w:eastAsia="黑体"/>
        </w:rPr>
      </w:pPr>
      <w:r>
        <w:rPr>
          <w:rFonts w:hint="eastAsia" w:ascii="黑体" w:eastAsia="黑体"/>
        </w:rPr>
        <w:t>表</w:t>
      </w:r>
      <w:r>
        <w:rPr>
          <w:rFonts w:hint="eastAsia" w:ascii="黑体" w:eastAsia="黑体"/>
          <w:spacing w:val="-62"/>
        </w:rPr>
        <w:t xml:space="preserve"> </w:t>
      </w:r>
      <w:r>
        <w:rPr>
          <w:rFonts w:ascii="Times New Roman" w:eastAsia="Times New Roman"/>
        </w:rPr>
        <w:t>9.3-2</w:t>
      </w:r>
      <w:r>
        <w:rPr>
          <w:rFonts w:ascii="Times New Roman" w:eastAsia="Times New Roman"/>
        </w:rPr>
        <w:tab/>
      </w:r>
      <w:r>
        <w:rPr>
          <w:rFonts w:hint="eastAsia" w:ascii="黑体" w:eastAsia="黑体"/>
        </w:rPr>
        <w:t>施工噪声影响预测一览表</w:t>
      </w:r>
    </w:p>
    <w:tbl>
      <w:tblPr>
        <w:tblStyle w:val="10"/>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49"/>
        <w:gridCol w:w="1345"/>
        <w:gridCol w:w="822"/>
        <w:gridCol w:w="783"/>
        <w:gridCol w:w="774"/>
        <w:gridCol w:w="774"/>
        <w:gridCol w:w="822"/>
        <w:gridCol w:w="812"/>
        <w:gridCol w:w="774"/>
        <w:gridCol w:w="7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649" w:type="dxa"/>
            <w:vMerge w:val="restart"/>
          </w:tcPr>
          <w:p>
            <w:pPr>
              <w:pStyle w:val="14"/>
              <w:spacing w:before="12"/>
              <w:jc w:val="left"/>
              <w:rPr>
                <w:rFonts w:ascii="黑体"/>
                <w:b/>
                <w:sz w:val="17"/>
              </w:rPr>
            </w:pPr>
          </w:p>
          <w:p>
            <w:pPr>
              <w:pStyle w:val="14"/>
              <w:ind w:left="507"/>
              <w:jc w:val="left"/>
              <w:rPr>
                <w:sz w:val="21"/>
              </w:rPr>
            </w:pPr>
            <w:r>
              <w:rPr>
                <w:sz w:val="21"/>
              </w:rPr>
              <w:t>噪声源</w:t>
            </w:r>
          </w:p>
        </w:tc>
        <w:tc>
          <w:tcPr>
            <w:tcW w:w="1345" w:type="dxa"/>
            <w:vMerge w:val="restart"/>
          </w:tcPr>
          <w:p>
            <w:pPr>
              <w:pStyle w:val="14"/>
              <w:spacing w:before="50"/>
              <w:ind w:left="207"/>
              <w:jc w:val="left"/>
              <w:rPr>
                <w:rFonts w:ascii="Times New Roman" w:eastAsia="Times New Roman"/>
                <w:sz w:val="21"/>
              </w:rPr>
            </w:pPr>
            <w:r>
              <w:rPr>
                <w:sz w:val="21"/>
              </w:rPr>
              <w:t xml:space="preserve">噪声级 </w:t>
            </w:r>
            <w:r>
              <w:rPr>
                <w:rFonts w:ascii="Times New Roman" w:eastAsia="Times New Roman"/>
                <w:sz w:val="21"/>
              </w:rPr>
              <w:t>dB</w:t>
            </w:r>
          </w:p>
          <w:p>
            <w:pPr>
              <w:pStyle w:val="14"/>
              <w:spacing w:before="91"/>
              <w:ind w:left="106" w:right="-15"/>
              <w:jc w:val="left"/>
              <w:rPr>
                <w:sz w:val="21"/>
              </w:rPr>
            </w:pPr>
            <w:r>
              <w:rPr>
                <w:spacing w:val="-4"/>
                <w:sz w:val="21"/>
              </w:rPr>
              <w:t>（</w:t>
            </w:r>
            <w:r>
              <w:rPr>
                <w:rFonts w:ascii="Times New Roman" w:eastAsia="Times New Roman"/>
                <w:spacing w:val="-4"/>
                <w:sz w:val="21"/>
              </w:rPr>
              <w:t>A</w:t>
            </w:r>
            <w:r>
              <w:rPr>
                <w:spacing w:val="-4"/>
                <w:sz w:val="21"/>
              </w:rPr>
              <w:t>）（</w:t>
            </w:r>
            <w:r>
              <w:rPr>
                <w:rFonts w:ascii="Times New Roman" w:eastAsia="Times New Roman"/>
                <w:spacing w:val="-4"/>
                <w:sz w:val="21"/>
              </w:rPr>
              <w:t>1m</w:t>
            </w:r>
            <w:r>
              <w:rPr>
                <w:spacing w:val="-4"/>
                <w:sz w:val="21"/>
              </w:rPr>
              <w:t>）</w:t>
            </w:r>
          </w:p>
        </w:tc>
        <w:tc>
          <w:tcPr>
            <w:tcW w:w="6345" w:type="dxa"/>
            <w:gridSpan w:val="8"/>
          </w:tcPr>
          <w:p>
            <w:pPr>
              <w:pStyle w:val="14"/>
              <w:spacing w:before="45"/>
              <w:ind w:left="2166" w:right="2157"/>
              <w:rPr>
                <w:sz w:val="21"/>
              </w:rPr>
            </w:pPr>
            <w:r>
              <w:rPr>
                <w:sz w:val="21"/>
              </w:rPr>
              <w:t xml:space="preserve">预测噪声级 </w:t>
            </w:r>
            <w:r>
              <w:rPr>
                <w:rFonts w:ascii="Times New Roman" w:eastAsia="Times New Roman"/>
                <w:sz w:val="21"/>
              </w:rPr>
              <w:t>dB</w:t>
            </w:r>
            <w:r>
              <w:rPr>
                <w:sz w:val="21"/>
              </w:rPr>
              <w:t>（</w:t>
            </w:r>
            <w:r>
              <w:rPr>
                <w:rFonts w:ascii="Times New Roman" w:eastAsia="Times New Roman"/>
                <w:sz w:val="21"/>
              </w:rPr>
              <w:t>A</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649" w:type="dxa"/>
            <w:vMerge w:val="continue"/>
            <w:tcBorders>
              <w:top w:val="nil"/>
            </w:tcBorders>
          </w:tcPr>
          <w:p>
            <w:pPr>
              <w:rPr>
                <w:sz w:val="2"/>
                <w:szCs w:val="2"/>
              </w:rPr>
            </w:pPr>
          </w:p>
        </w:tc>
        <w:tc>
          <w:tcPr>
            <w:tcW w:w="1345" w:type="dxa"/>
            <w:vMerge w:val="continue"/>
            <w:tcBorders>
              <w:top w:val="nil"/>
            </w:tcBorders>
          </w:tcPr>
          <w:p>
            <w:pPr>
              <w:rPr>
                <w:sz w:val="2"/>
                <w:szCs w:val="2"/>
              </w:rPr>
            </w:pPr>
          </w:p>
        </w:tc>
        <w:tc>
          <w:tcPr>
            <w:tcW w:w="822" w:type="dxa"/>
          </w:tcPr>
          <w:p>
            <w:pPr>
              <w:pStyle w:val="14"/>
              <w:spacing w:before="59"/>
              <w:ind w:left="152" w:right="144"/>
              <w:rPr>
                <w:rFonts w:ascii="Times New Roman"/>
                <w:sz w:val="21"/>
              </w:rPr>
            </w:pPr>
            <w:r>
              <w:rPr>
                <w:rFonts w:ascii="Times New Roman"/>
                <w:sz w:val="21"/>
              </w:rPr>
              <w:t>5m</w:t>
            </w:r>
          </w:p>
        </w:tc>
        <w:tc>
          <w:tcPr>
            <w:tcW w:w="783" w:type="dxa"/>
          </w:tcPr>
          <w:p>
            <w:pPr>
              <w:pStyle w:val="14"/>
              <w:spacing w:before="59"/>
              <w:ind w:left="205"/>
              <w:jc w:val="left"/>
              <w:rPr>
                <w:rFonts w:ascii="Times New Roman"/>
                <w:sz w:val="21"/>
              </w:rPr>
            </w:pPr>
            <w:r>
              <w:rPr>
                <w:rFonts w:ascii="Times New Roman"/>
                <w:sz w:val="21"/>
              </w:rPr>
              <w:t>10m</w:t>
            </w:r>
          </w:p>
        </w:tc>
        <w:tc>
          <w:tcPr>
            <w:tcW w:w="774" w:type="dxa"/>
          </w:tcPr>
          <w:p>
            <w:pPr>
              <w:pStyle w:val="14"/>
              <w:spacing w:before="59"/>
              <w:ind w:left="200"/>
              <w:jc w:val="left"/>
              <w:rPr>
                <w:rFonts w:ascii="Times New Roman"/>
                <w:sz w:val="21"/>
              </w:rPr>
            </w:pPr>
            <w:r>
              <w:rPr>
                <w:rFonts w:ascii="Times New Roman"/>
                <w:sz w:val="21"/>
              </w:rPr>
              <w:t>20m</w:t>
            </w:r>
          </w:p>
        </w:tc>
        <w:tc>
          <w:tcPr>
            <w:tcW w:w="774" w:type="dxa"/>
          </w:tcPr>
          <w:p>
            <w:pPr>
              <w:pStyle w:val="14"/>
              <w:spacing w:before="59"/>
              <w:ind w:right="189"/>
              <w:jc w:val="right"/>
              <w:rPr>
                <w:rFonts w:ascii="Times New Roman"/>
                <w:sz w:val="21"/>
              </w:rPr>
            </w:pPr>
            <w:r>
              <w:rPr>
                <w:rFonts w:ascii="Times New Roman"/>
                <w:sz w:val="21"/>
              </w:rPr>
              <w:t>40m</w:t>
            </w:r>
          </w:p>
        </w:tc>
        <w:tc>
          <w:tcPr>
            <w:tcW w:w="822" w:type="dxa"/>
          </w:tcPr>
          <w:p>
            <w:pPr>
              <w:pStyle w:val="14"/>
              <w:spacing w:before="59"/>
              <w:ind w:right="212"/>
              <w:jc w:val="right"/>
              <w:rPr>
                <w:rFonts w:ascii="Times New Roman"/>
                <w:sz w:val="21"/>
              </w:rPr>
            </w:pPr>
            <w:r>
              <w:rPr>
                <w:rFonts w:ascii="Times New Roman"/>
                <w:sz w:val="21"/>
              </w:rPr>
              <w:t>50m</w:t>
            </w:r>
          </w:p>
        </w:tc>
        <w:tc>
          <w:tcPr>
            <w:tcW w:w="812" w:type="dxa"/>
          </w:tcPr>
          <w:p>
            <w:pPr>
              <w:pStyle w:val="14"/>
              <w:spacing w:before="59"/>
              <w:ind w:left="218"/>
              <w:jc w:val="left"/>
              <w:rPr>
                <w:rFonts w:ascii="Times New Roman"/>
                <w:sz w:val="21"/>
              </w:rPr>
            </w:pPr>
            <w:r>
              <w:rPr>
                <w:rFonts w:ascii="Times New Roman"/>
                <w:sz w:val="21"/>
              </w:rPr>
              <w:t>80m</w:t>
            </w:r>
          </w:p>
        </w:tc>
        <w:tc>
          <w:tcPr>
            <w:tcW w:w="774" w:type="dxa"/>
          </w:tcPr>
          <w:p>
            <w:pPr>
              <w:pStyle w:val="14"/>
              <w:spacing w:before="59"/>
              <w:ind w:left="127" w:right="117"/>
              <w:rPr>
                <w:rFonts w:ascii="Times New Roman"/>
                <w:sz w:val="21"/>
              </w:rPr>
            </w:pPr>
            <w:r>
              <w:rPr>
                <w:rFonts w:ascii="Times New Roman"/>
                <w:sz w:val="21"/>
              </w:rPr>
              <w:t>100m</w:t>
            </w:r>
          </w:p>
        </w:tc>
        <w:tc>
          <w:tcPr>
            <w:tcW w:w="784" w:type="dxa"/>
          </w:tcPr>
          <w:p>
            <w:pPr>
              <w:pStyle w:val="14"/>
              <w:spacing w:before="59"/>
              <w:ind w:left="132" w:right="122"/>
              <w:rPr>
                <w:rFonts w:ascii="Times New Roman"/>
                <w:sz w:val="21"/>
              </w:rPr>
            </w:pPr>
            <w:r>
              <w:rPr>
                <w:rFonts w:ascii="Times New Roman"/>
                <w:sz w:val="21"/>
              </w:rPr>
              <w:t>200m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649" w:type="dxa"/>
          </w:tcPr>
          <w:p>
            <w:pPr>
              <w:pStyle w:val="14"/>
              <w:spacing w:before="44"/>
              <w:ind w:left="172" w:right="164"/>
              <w:rPr>
                <w:sz w:val="21"/>
              </w:rPr>
            </w:pPr>
            <w:r>
              <w:rPr>
                <w:sz w:val="21"/>
              </w:rPr>
              <w:t>重型运输车</w:t>
            </w:r>
          </w:p>
        </w:tc>
        <w:tc>
          <w:tcPr>
            <w:tcW w:w="1345" w:type="dxa"/>
          </w:tcPr>
          <w:p>
            <w:pPr>
              <w:pStyle w:val="14"/>
              <w:spacing w:before="61"/>
              <w:ind w:left="547" w:right="537"/>
              <w:rPr>
                <w:rFonts w:ascii="Times New Roman"/>
                <w:sz w:val="21"/>
              </w:rPr>
            </w:pPr>
            <w:r>
              <w:rPr>
                <w:rFonts w:ascii="Times New Roman"/>
                <w:sz w:val="21"/>
              </w:rPr>
              <w:t>90</w:t>
            </w:r>
          </w:p>
        </w:tc>
        <w:tc>
          <w:tcPr>
            <w:tcW w:w="822" w:type="dxa"/>
          </w:tcPr>
          <w:p>
            <w:pPr>
              <w:pStyle w:val="14"/>
              <w:spacing w:before="61"/>
              <w:ind w:left="154" w:right="144"/>
              <w:rPr>
                <w:rFonts w:ascii="Times New Roman"/>
                <w:sz w:val="21"/>
              </w:rPr>
            </w:pPr>
            <w:r>
              <w:rPr>
                <w:rFonts w:ascii="Times New Roman"/>
                <w:sz w:val="21"/>
              </w:rPr>
              <w:t>76.02</w:t>
            </w:r>
          </w:p>
        </w:tc>
        <w:tc>
          <w:tcPr>
            <w:tcW w:w="783" w:type="dxa"/>
          </w:tcPr>
          <w:p>
            <w:pPr>
              <w:pStyle w:val="14"/>
              <w:spacing w:before="61"/>
              <w:ind w:left="155"/>
              <w:jc w:val="left"/>
              <w:rPr>
                <w:rFonts w:ascii="Times New Roman"/>
                <w:sz w:val="21"/>
              </w:rPr>
            </w:pPr>
            <w:r>
              <w:rPr>
                <w:rFonts w:ascii="Times New Roman"/>
                <w:sz w:val="21"/>
              </w:rPr>
              <w:t>70.00</w:t>
            </w:r>
          </w:p>
        </w:tc>
        <w:tc>
          <w:tcPr>
            <w:tcW w:w="774" w:type="dxa"/>
          </w:tcPr>
          <w:p>
            <w:pPr>
              <w:pStyle w:val="14"/>
              <w:spacing w:before="61"/>
              <w:ind w:left="149"/>
              <w:jc w:val="left"/>
              <w:rPr>
                <w:rFonts w:ascii="Times New Roman"/>
                <w:sz w:val="21"/>
              </w:rPr>
            </w:pPr>
            <w:r>
              <w:rPr>
                <w:rFonts w:ascii="Times New Roman"/>
                <w:sz w:val="21"/>
              </w:rPr>
              <w:t>63.98</w:t>
            </w:r>
          </w:p>
        </w:tc>
        <w:tc>
          <w:tcPr>
            <w:tcW w:w="774" w:type="dxa"/>
          </w:tcPr>
          <w:p>
            <w:pPr>
              <w:pStyle w:val="14"/>
              <w:spacing w:before="61"/>
              <w:ind w:right="136"/>
              <w:jc w:val="right"/>
              <w:rPr>
                <w:rFonts w:ascii="Times New Roman"/>
                <w:sz w:val="21"/>
              </w:rPr>
            </w:pPr>
            <w:r>
              <w:rPr>
                <w:rFonts w:ascii="Times New Roman"/>
                <w:sz w:val="21"/>
              </w:rPr>
              <w:t>57.96</w:t>
            </w:r>
          </w:p>
        </w:tc>
        <w:tc>
          <w:tcPr>
            <w:tcW w:w="822" w:type="dxa"/>
          </w:tcPr>
          <w:p>
            <w:pPr>
              <w:pStyle w:val="14"/>
              <w:spacing w:before="61"/>
              <w:ind w:right="162"/>
              <w:jc w:val="right"/>
              <w:rPr>
                <w:rFonts w:ascii="Times New Roman"/>
                <w:sz w:val="21"/>
              </w:rPr>
            </w:pPr>
            <w:r>
              <w:rPr>
                <w:rFonts w:ascii="Times New Roman"/>
                <w:sz w:val="21"/>
              </w:rPr>
              <w:t>56.02</w:t>
            </w:r>
          </w:p>
        </w:tc>
        <w:tc>
          <w:tcPr>
            <w:tcW w:w="812" w:type="dxa"/>
          </w:tcPr>
          <w:p>
            <w:pPr>
              <w:pStyle w:val="14"/>
              <w:spacing w:before="61"/>
              <w:ind w:left="170"/>
              <w:jc w:val="left"/>
              <w:rPr>
                <w:rFonts w:ascii="Times New Roman"/>
                <w:sz w:val="21"/>
              </w:rPr>
            </w:pPr>
            <w:r>
              <w:rPr>
                <w:rFonts w:ascii="Times New Roman"/>
                <w:sz w:val="21"/>
              </w:rPr>
              <w:t>51.94</w:t>
            </w:r>
          </w:p>
        </w:tc>
        <w:tc>
          <w:tcPr>
            <w:tcW w:w="774" w:type="dxa"/>
          </w:tcPr>
          <w:p>
            <w:pPr>
              <w:pStyle w:val="14"/>
              <w:spacing w:before="61"/>
              <w:ind w:left="127" w:right="117"/>
              <w:rPr>
                <w:rFonts w:ascii="Times New Roman"/>
                <w:sz w:val="21"/>
              </w:rPr>
            </w:pPr>
            <w:r>
              <w:rPr>
                <w:rFonts w:ascii="Times New Roman"/>
                <w:sz w:val="21"/>
              </w:rPr>
              <w:t>50.00</w:t>
            </w:r>
          </w:p>
        </w:tc>
        <w:tc>
          <w:tcPr>
            <w:tcW w:w="784" w:type="dxa"/>
          </w:tcPr>
          <w:p>
            <w:pPr>
              <w:pStyle w:val="14"/>
              <w:spacing w:before="61"/>
              <w:ind w:left="132" w:right="122"/>
              <w:rPr>
                <w:rFonts w:ascii="Times New Roman"/>
                <w:sz w:val="21"/>
              </w:rPr>
            </w:pPr>
            <w:r>
              <w:rPr>
                <w:rFonts w:ascii="Times New Roman"/>
                <w:sz w:val="21"/>
              </w:rPr>
              <w:t>43.98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649" w:type="dxa"/>
          </w:tcPr>
          <w:p>
            <w:pPr>
              <w:pStyle w:val="14"/>
              <w:spacing w:before="44"/>
              <w:ind w:left="172" w:right="167"/>
              <w:rPr>
                <w:sz w:val="21"/>
              </w:rPr>
            </w:pPr>
            <w:r>
              <w:rPr>
                <w:sz w:val="21"/>
              </w:rPr>
              <w:t>挖掘机</w:t>
            </w:r>
          </w:p>
        </w:tc>
        <w:tc>
          <w:tcPr>
            <w:tcW w:w="1345" w:type="dxa"/>
          </w:tcPr>
          <w:p>
            <w:pPr>
              <w:pStyle w:val="14"/>
              <w:spacing w:before="60"/>
              <w:ind w:left="547" w:right="537"/>
              <w:rPr>
                <w:rFonts w:ascii="Times New Roman"/>
                <w:sz w:val="21"/>
              </w:rPr>
            </w:pPr>
            <w:r>
              <w:rPr>
                <w:rFonts w:ascii="Times New Roman"/>
                <w:sz w:val="21"/>
              </w:rPr>
              <w:t>86</w:t>
            </w:r>
          </w:p>
        </w:tc>
        <w:tc>
          <w:tcPr>
            <w:tcW w:w="822" w:type="dxa"/>
          </w:tcPr>
          <w:p>
            <w:pPr>
              <w:pStyle w:val="14"/>
              <w:spacing w:before="60"/>
              <w:ind w:left="154" w:right="144"/>
              <w:rPr>
                <w:rFonts w:ascii="Times New Roman"/>
                <w:sz w:val="21"/>
              </w:rPr>
            </w:pPr>
            <w:r>
              <w:rPr>
                <w:rFonts w:ascii="Times New Roman"/>
                <w:sz w:val="21"/>
              </w:rPr>
              <w:t>48.38</w:t>
            </w:r>
          </w:p>
        </w:tc>
        <w:tc>
          <w:tcPr>
            <w:tcW w:w="783" w:type="dxa"/>
          </w:tcPr>
          <w:p>
            <w:pPr>
              <w:pStyle w:val="14"/>
              <w:spacing w:before="60"/>
              <w:ind w:left="155"/>
              <w:jc w:val="left"/>
              <w:rPr>
                <w:rFonts w:ascii="Times New Roman"/>
                <w:sz w:val="21"/>
              </w:rPr>
            </w:pPr>
            <w:r>
              <w:rPr>
                <w:rFonts w:ascii="Times New Roman"/>
                <w:sz w:val="21"/>
              </w:rPr>
              <w:t>49.10</w:t>
            </w:r>
          </w:p>
        </w:tc>
        <w:tc>
          <w:tcPr>
            <w:tcW w:w="774" w:type="dxa"/>
          </w:tcPr>
          <w:p>
            <w:pPr>
              <w:pStyle w:val="14"/>
              <w:spacing w:before="60"/>
              <w:ind w:left="149"/>
              <w:jc w:val="left"/>
              <w:rPr>
                <w:rFonts w:ascii="Times New Roman"/>
                <w:sz w:val="21"/>
              </w:rPr>
            </w:pPr>
            <w:r>
              <w:rPr>
                <w:rFonts w:ascii="Times New Roman"/>
                <w:sz w:val="21"/>
              </w:rPr>
              <w:t>49.88</w:t>
            </w:r>
          </w:p>
        </w:tc>
        <w:tc>
          <w:tcPr>
            <w:tcW w:w="774" w:type="dxa"/>
          </w:tcPr>
          <w:p>
            <w:pPr>
              <w:pStyle w:val="14"/>
              <w:spacing w:before="60"/>
              <w:ind w:right="136"/>
              <w:jc w:val="right"/>
              <w:rPr>
                <w:rFonts w:ascii="Times New Roman"/>
                <w:sz w:val="21"/>
              </w:rPr>
            </w:pPr>
            <w:r>
              <w:rPr>
                <w:rFonts w:ascii="Times New Roman"/>
                <w:sz w:val="21"/>
              </w:rPr>
              <w:t>50.74</w:t>
            </w:r>
          </w:p>
        </w:tc>
        <w:tc>
          <w:tcPr>
            <w:tcW w:w="822" w:type="dxa"/>
          </w:tcPr>
          <w:p>
            <w:pPr>
              <w:pStyle w:val="14"/>
              <w:spacing w:before="60"/>
              <w:ind w:right="162"/>
              <w:jc w:val="right"/>
              <w:rPr>
                <w:rFonts w:ascii="Times New Roman"/>
                <w:sz w:val="21"/>
              </w:rPr>
            </w:pPr>
            <w:r>
              <w:rPr>
                <w:rFonts w:ascii="Times New Roman"/>
                <w:sz w:val="21"/>
              </w:rPr>
              <w:t>51.03</w:t>
            </w:r>
          </w:p>
        </w:tc>
        <w:tc>
          <w:tcPr>
            <w:tcW w:w="812" w:type="dxa"/>
          </w:tcPr>
          <w:p>
            <w:pPr>
              <w:pStyle w:val="14"/>
              <w:spacing w:before="60"/>
              <w:ind w:left="170"/>
              <w:jc w:val="left"/>
              <w:rPr>
                <w:rFonts w:ascii="Times New Roman"/>
                <w:sz w:val="21"/>
              </w:rPr>
            </w:pPr>
            <w:r>
              <w:rPr>
                <w:rFonts w:ascii="Times New Roman"/>
                <w:sz w:val="21"/>
              </w:rPr>
              <w:t>51.69</w:t>
            </w:r>
          </w:p>
        </w:tc>
        <w:tc>
          <w:tcPr>
            <w:tcW w:w="774" w:type="dxa"/>
          </w:tcPr>
          <w:p>
            <w:pPr>
              <w:pStyle w:val="14"/>
              <w:spacing w:before="60"/>
              <w:ind w:left="127" w:right="117"/>
              <w:rPr>
                <w:rFonts w:ascii="Times New Roman"/>
                <w:sz w:val="21"/>
              </w:rPr>
            </w:pPr>
            <w:r>
              <w:rPr>
                <w:rFonts w:ascii="Times New Roman"/>
                <w:sz w:val="21"/>
              </w:rPr>
              <w:t>52.02</w:t>
            </w:r>
          </w:p>
        </w:tc>
        <w:tc>
          <w:tcPr>
            <w:tcW w:w="784" w:type="dxa"/>
          </w:tcPr>
          <w:p>
            <w:pPr>
              <w:pStyle w:val="14"/>
              <w:spacing w:before="60"/>
              <w:ind w:left="132" w:right="122"/>
              <w:rPr>
                <w:rFonts w:ascii="Times New Roman"/>
                <w:sz w:val="21"/>
              </w:rPr>
            </w:pPr>
            <w:r>
              <w:rPr>
                <w:rFonts w:ascii="Times New Roman"/>
                <w:sz w:val="21"/>
              </w:rPr>
              <w:t>53.14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649" w:type="dxa"/>
          </w:tcPr>
          <w:p>
            <w:pPr>
              <w:pStyle w:val="14"/>
              <w:spacing w:before="44"/>
              <w:ind w:left="172" w:right="167"/>
              <w:rPr>
                <w:sz w:val="21"/>
              </w:rPr>
            </w:pPr>
            <w:r>
              <w:rPr>
                <w:sz w:val="21"/>
              </w:rPr>
              <w:t>推土机</w:t>
            </w:r>
          </w:p>
        </w:tc>
        <w:tc>
          <w:tcPr>
            <w:tcW w:w="1345" w:type="dxa"/>
          </w:tcPr>
          <w:p>
            <w:pPr>
              <w:pStyle w:val="14"/>
              <w:spacing w:before="60"/>
              <w:ind w:left="547" w:right="537"/>
              <w:rPr>
                <w:rFonts w:ascii="Times New Roman"/>
                <w:sz w:val="21"/>
              </w:rPr>
            </w:pPr>
            <w:r>
              <w:rPr>
                <w:rFonts w:ascii="Times New Roman"/>
                <w:sz w:val="21"/>
              </w:rPr>
              <w:t>88</w:t>
            </w:r>
          </w:p>
        </w:tc>
        <w:tc>
          <w:tcPr>
            <w:tcW w:w="822" w:type="dxa"/>
          </w:tcPr>
          <w:p>
            <w:pPr>
              <w:pStyle w:val="14"/>
              <w:spacing w:before="60"/>
              <w:ind w:left="154" w:right="144"/>
              <w:rPr>
                <w:rFonts w:ascii="Times New Roman"/>
                <w:sz w:val="21"/>
              </w:rPr>
            </w:pPr>
            <w:r>
              <w:rPr>
                <w:rFonts w:ascii="Times New Roman"/>
                <w:sz w:val="21"/>
              </w:rPr>
              <w:t>54.31</w:t>
            </w:r>
          </w:p>
        </w:tc>
        <w:tc>
          <w:tcPr>
            <w:tcW w:w="783" w:type="dxa"/>
          </w:tcPr>
          <w:p>
            <w:pPr>
              <w:pStyle w:val="14"/>
              <w:spacing w:before="60"/>
              <w:ind w:left="155"/>
              <w:jc w:val="left"/>
              <w:rPr>
                <w:rFonts w:ascii="Times New Roman"/>
                <w:sz w:val="21"/>
              </w:rPr>
            </w:pPr>
            <w:r>
              <w:rPr>
                <w:rFonts w:ascii="Times New Roman"/>
                <w:sz w:val="21"/>
              </w:rPr>
              <w:t>54.18</w:t>
            </w:r>
          </w:p>
        </w:tc>
        <w:tc>
          <w:tcPr>
            <w:tcW w:w="774" w:type="dxa"/>
          </w:tcPr>
          <w:p>
            <w:pPr>
              <w:pStyle w:val="14"/>
              <w:spacing w:before="60"/>
              <w:ind w:left="149"/>
              <w:jc w:val="left"/>
              <w:rPr>
                <w:rFonts w:ascii="Times New Roman"/>
                <w:sz w:val="21"/>
              </w:rPr>
            </w:pPr>
            <w:r>
              <w:rPr>
                <w:rFonts w:ascii="Times New Roman"/>
                <w:sz w:val="21"/>
              </w:rPr>
              <w:t>54.04</w:t>
            </w:r>
          </w:p>
        </w:tc>
        <w:tc>
          <w:tcPr>
            <w:tcW w:w="774" w:type="dxa"/>
          </w:tcPr>
          <w:p>
            <w:pPr>
              <w:pStyle w:val="14"/>
              <w:spacing w:before="60"/>
              <w:ind w:right="136"/>
              <w:jc w:val="right"/>
              <w:rPr>
                <w:rFonts w:ascii="Times New Roman"/>
                <w:sz w:val="21"/>
              </w:rPr>
            </w:pPr>
            <w:r>
              <w:rPr>
                <w:rFonts w:ascii="Times New Roman"/>
                <w:sz w:val="21"/>
              </w:rPr>
              <w:t>53.89</w:t>
            </w:r>
          </w:p>
        </w:tc>
        <w:tc>
          <w:tcPr>
            <w:tcW w:w="822" w:type="dxa"/>
          </w:tcPr>
          <w:p>
            <w:pPr>
              <w:pStyle w:val="14"/>
              <w:spacing w:before="60"/>
              <w:ind w:right="162"/>
              <w:jc w:val="right"/>
              <w:rPr>
                <w:rFonts w:ascii="Times New Roman"/>
                <w:sz w:val="21"/>
              </w:rPr>
            </w:pPr>
            <w:r>
              <w:rPr>
                <w:rFonts w:ascii="Times New Roman"/>
                <w:sz w:val="21"/>
              </w:rPr>
              <w:t>53.84</w:t>
            </w:r>
          </w:p>
        </w:tc>
        <w:tc>
          <w:tcPr>
            <w:tcW w:w="812" w:type="dxa"/>
          </w:tcPr>
          <w:p>
            <w:pPr>
              <w:pStyle w:val="14"/>
              <w:spacing w:before="60"/>
              <w:ind w:left="170"/>
              <w:jc w:val="left"/>
              <w:rPr>
                <w:rFonts w:ascii="Times New Roman"/>
                <w:sz w:val="21"/>
              </w:rPr>
            </w:pPr>
            <w:r>
              <w:rPr>
                <w:rFonts w:ascii="Times New Roman"/>
                <w:sz w:val="21"/>
              </w:rPr>
              <w:t>53.73</w:t>
            </w:r>
          </w:p>
        </w:tc>
        <w:tc>
          <w:tcPr>
            <w:tcW w:w="774" w:type="dxa"/>
          </w:tcPr>
          <w:p>
            <w:pPr>
              <w:pStyle w:val="14"/>
              <w:spacing w:before="60"/>
              <w:ind w:left="127" w:right="117"/>
              <w:rPr>
                <w:rFonts w:ascii="Times New Roman"/>
                <w:sz w:val="21"/>
              </w:rPr>
            </w:pPr>
            <w:r>
              <w:rPr>
                <w:rFonts w:ascii="Times New Roman"/>
                <w:sz w:val="21"/>
              </w:rPr>
              <w:t>53.68</w:t>
            </w:r>
          </w:p>
        </w:tc>
        <w:tc>
          <w:tcPr>
            <w:tcW w:w="784" w:type="dxa"/>
          </w:tcPr>
          <w:p>
            <w:pPr>
              <w:pStyle w:val="14"/>
              <w:spacing w:before="60"/>
              <w:ind w:left="132" w:right="122"/>
              <w:rPr>
                <w:rFonts w:ascii="Times New Roman"/>
                <w:sz w:val="21"/>
              </w:rPr>
            </w:pPr>
            <w:r>
              <w:rPr>
                <w:rFonts w:ascii="Times New Roman"/>
                <w:sz w:val="21"/>
              </w:rPr>
              <w:t>53.49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649" w:type="dxa"/>
          </w:tcPr>
          <w:p>
            <w:pPr>
              <w:pStyle w:val="14"/>
              <w:spacing w:before="46"/>
              <w:ind w:left="172" w:right="167"/>
              <w:rPr>
                <w:sz w:val="21"/>
              </w:rPr>
            </w:pPr>
            <w:r>
              <w:rPr>
                <w:sz w:val="21"/>
              </w:rPr>
              <w:t>空压机</w:t>
            </w:r>
          </w:p>
        </w:tc>
        <w:tc>
          <w:tcPr>
            <w:tcW w:w="1345" w:type="dxa"/>
          </w:tcPr>
          <w:p>
            <w:pPr>
              <w:pStyle w:val="14"/>
              <w:spacing w:before="60"/>
              <w:ind w:left="547" w:right="537"/>
              <w:rPr>
                <w:rFonts w:ascii="Times New Roman"/>
                <w:sz w:val="21"/>
              </w:rPr>
            </w:pPr>
            <w:r>
              <w:rPr>
                <w:rFonts w:ascii="Times New Roman"/>
                <w:sz w:val="21"/>
              </w:rPr>
              <w:t>92</w:t>
            </w:r>
          </w:p>
        </w:tc>
        <w:tc>
          <w:tcPr>
            <w:tcW w:w="822" w:type="dxa"/>
          </w:tcPr>
          <w:p>
            <w:pPr>
              <w:pStyle w:val="14"/>
              <w:spacing w:before="60"/>
              <w:ind w:left="154" w:right="144"/>
              <w:rPr>
                <w:rFonts w:ascii="Times New Roman"/>
                <w:sz w:val="21"/>
              </w:rPr>
            </w:pPr>
            <w:r>
              <w:rPr>
                <w:rFonts w:ascii="Times New Roman"/>
                <w:sz w:val="21"/>
              </w:rPr>
              <w:t>57.30</w:t>
            </w:r>
          </w:p>
        </w:tc>
        <w:tc>
          <w:tcPr>
            <w:tcW w:w="783" w:type="dxa"/>
          </w:tcPr>
          <w:p>
            <w:pPr>
              <w:pStyle w:val="14"/>
              <w:spacing w:before="60"/>
              <w:ind w:left="155"/>
              <w:jc w:val="left"/>
              <w:rPr>
                <w:rFonts w:ascii="Times New Roman"/>
                <w:sz w:val="21"/>
              </w:rPr>
            </w:pPr>
            <w:r>
              <w:rPr>
                <w:rFonts w:ascii="Times New Roman"/>
                <w:sz w:val="21"/>
              </w:rPr>
              <w:t>57.32</w:t>
            </w:r>
          </w:p>
        </w:tc>
        <w:tc>
          <w:tcPr>
            <w:tcW w:w="774" w:type="dxa"/>
          </w:tcPr>
          <w:p>
            <w:pPr>
              <w:pStyle w:val="14"/>
              <w:spacing w:before="60"/>
              <w:ind w:left="149"/>
              <w:jc w:val="left"/>
              <w:rPr>
                <w:rFonts w:ascii="Times New Roman"/>
                <w:sz w:val="21"/>
              </w:rPr>
            </w:pPr>
            <w:r>
              <w:rPr>
                <w:rFonts w:ascii="Times New Roman"/>
                <w:sz w:val="21"/>
              </w:rPr>
              <w:t>57.35</w:t>
            </w:r>
          </w:p>
        </w:tc>
        <w:tc>
          <w:tcPr>
            <w:tcW w:w="774" w:type="dxa"/>
          </w:tcPr>
          <w:p>
            <w:pPr>
              <w:pStyle w:val="14"/>
              <w:spacing w:before="60"/>
              <w:ind w:right="136"/>
              <w:jc w:val="right"/>
              <w:rPr>
                <w:rFonts w:ascii="Times New Roman"/>
                <w:sz w:val="21"/>
              </w:rPr>
            </w:pPr>
            <w:r>
              <w:rPr>
                <w:rFonts w:ascii="Times New Roman"/>
                <w:sz w:val="21"/>
              </w:rPr>
              <w:t>57.37</w:t>
            </w:r>
          </w:p>
        </w:tc>
        <w:tc>
          <w:tcPr>
            <w:tcW w:w="822" w:type="dxa"/>
          </w:tcPr>
          <w:p>
            <w:pPr>
              <w:pStyle w:val="14"/>
              <w:spacing w:before="60"/>
              <w:ind w:right="162"/>
              <w:jc w:val="right"/>
              <w:rPr>
                <w:rFonts w:ascii="Times New Roman"/>
                <w:sz w:val="21"/>
              </w:rPr>
            </w:pPr>
            <w:r>
              <w:rPr>
                <w:rFonts w:ascii="Times New Roman"/>
                <w:sz w:val="21"/>
              </w:rPr>
              <w:t>57.38</w:t>
            </w:r>
          </w:p>
        </w:tc>
        <w:tc>
          <w:tcPr>
            <w:tcW w:w="812" w:type="dxa"/>
          </w:tcPr>
          <w:p>
            <w:pPr>
              <w:pStyle w:val="14"/>
              <w:spacing w:before="60"/>
              <w:ind w:left="170"/>
              <w:jc w:val="left"/>
              <w:rPr>
                <w:rFonts w:ascii="Times New Roman"/>
                <w:sz w:val="21"/>
              </w:rPr>
            </w:pPr>
            <w:r>
              <w:rPr>
                <w:rFonts w:ascii="Times New Roman"/>
                <w:sz w:val="21"/>
              </w:rPr>
              <w:t>57.40</w:t>
            </w:r>
          </w:p>
        </w:tc>
        <w:tc>
          <w:tcPr>
            <w:tcW w:w="774" w:type="dxa"/>
          </w:tcPr>
          <w:p>
            <w:pPr>
              <w:pStyle w:val="14"/>
              <w:spacing w:before="60"/>
              <w:ind w:left="127" w:right="117"/>
              <w:rPr>
                <w:rFonts w:ascii="Times New Roman"/>
                <w:sz w:val="21"/>
              </w:rPr>
            </w:pPr>
            <w:r>
              <w:rPr>
                <w:rFonts w:ascii="Times New Roman"/>
                <w:sz w:val="21"/>
              </w:rPr>
              <w:t>57.40</w:t>
            </w:r>
          </w:p>
        </w:tc>
        <w:tc>
          <w:tcPr>
            <w:tcW w:w="784" w:type="dxa"/>
          </w:tcPr>
          <w:p>
            <w:pPr>
              <w:pStyle w:val="14"/>
              <w:spacing w:before="60"/>
              <w:ind w:left="132" w:right="122"/>
              <w:rPr>
                <w:rFonts w:ascii="Times New Roman"/>
                <w:sz w:val="21"/>
              </w:rPr>
            </w:pPr>
            <w:r>
              <w:rPr>
                <w:rFonts w:ascii="Times New Roman"/>
                <w:sz w:val="21"/>
              </w:rPr>
              <w:t>57.43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649" w:type="dxa"/>
          </w:tcPr>
          <w:p>
            <w:pPr>
              <w:pStyle w:val="14"/>
              <w:spacing w:before="45"/>
              <w:ind w:left="172" w:right="167"/>
              <w:rPr>
                <w:sz w:val="21"/>
              </w:rPr>
            </w:pPr>
            <w:r>
              <w:rPr>
                <w:sz w:val="21"/>
              </w:rPr>
              <w:t>混凝土振捣器</w:t>
            </w:r>
          </w:p>
        </w:tc>
        <w:tc>
          <w:tcPr>
            <w:tcW w:w="1345" w:type="dxa"/>
          </w:tcPr>
          <w:p>
            <w:pPr>
              <w:pStyle w:val="14"/>
              <w:spacing w:before="59"/>
              <w:ind w:left="547" w:right="537"/>
              <w:rPr>
                <w:rFonts w:ascii="Times New Roman"/>
                <w:sz w:val="21"/>
              </w:rPr>
            </w:pPr>
            <w:r>
              <w:rPr>
                <w:rFonts w:ascii="Times New Roman"/>
                <w:sz w:val="21"/>
              </w:rPr>
              <w:t>88</w:t>
            </w:r>
          </w:p>
        </w:tc>
        <w:tc>
          <w:tcPr>
            <w:tcW w:w="822" w:type="dxa"/>
          </w:tcPr>
          <w:p>
            <w:pPr>
              <w:pStyle w:val="14"/>
              <w:spacing w:before="59"/>
              <w:ind w:left="154" w:right="144"/>
              <w:rPr>
                <w:rFonts w:ascii="Times New Roman"/>
                <w:sz w:val="21"/>
              </w:rPr>
            </w:pPr>
            <w:r>
              <w:rPr>
                <w:rFonts w:ascii="Times New Roman"/>
                <w:sz w:val="21"/>
              </w:rPr>
              <w:t>52.84</w:t>
            </w:r>
          </w:p>
        </w:tc>
        <w:tc>
          <w:tcPr>
            <w:tcW w:w="783" w:type="dxa"/>
          </w:tcPr>
          <w:p>
            <w:pPr>
              <w:pStyle w:val="14"/>
              <w:spacing w:before="59"/>
              <w:ind w:left="155"/>
              <w:jc w:val="left"/>
              <w:rPr>
                <w:rFonts w:ascii="Times New Roman"/>
                <w:sz w:val="21"/>
              </w:rPr>
            </w:pPr>
            <w:r>
              <w:rPr>
                <w:rFonts w:ascii="Times New Roman"/>
                <w:sz w:val="21"/>
              </w:rPr>
              <w:t>52.83</w:t>
            </w:r>
          </w:p>
        </w:tc>
        <w:tc>
          <w:tcPr>
            <w:tcW w:w="774" w:type="dxa"/>
          </w:tcPr>
          <w:p>
            <w:pPr>
              <w:pStyle w:val="14"/>
              <w:spacing w:before="59"/>
              <w:ind w:left="149"/>
              <w:jc w:val="left"/>
              <w:rPr>
                <w:rFonts w:ascii="Times New Roman"/>
                <w:sz w:val="21"/>
              </w:rPr>
            </w:pPr>
            <w:r>
              <w:rPr>
                <w:rFonts w:ascii="Times New Roman"/>
                <w:sz w:val="21"/>
              </w:rPr>
              <w:t>52.83</w:t>
            </w:r>
          </w:p>
        </w:tc>
        <w:tc>
          <w:tcPr>
            <w:tcW w:w="774" w:type="dxa"/>
          </w:tcPr>
          <w:p>
            <w:pPr>
              <w:pStyle w:val="14"/>
              <w:spacing w:before="59"/>
              <w:ind w:right="136"/>
              <w:jc w:val="right"/>
              <w:rPr>
                <w:rFonts w:ascii="Times New Roman"/>
                <w:sz w:val="21"/>
              </w:rPr>
            </w:pPr>
            <w:r>
              <w:rPr>
                <w:rFonts w:ascii="Times New Roman"/>
                <w:sz w:val="21"/>
              </w:rPr>
              <w:t>52.83</w:t>
            </w:r>
          </w:p>
        </w:tc>
        <w:tc>
          <w:tcPr>
            <w:tcW w:w="822" w:type="dxa"/>
          </w:tcPr>
          <w:p>
            <w:pPr>
              <w:pStyle w:val="14"/>
              <w:spacing w:before="59"/>
              <w:ind w:right="162"/>
              <w:jc w:val="right"/>
              <w:rPr>
                <w:rFonts w:ascii="Times New Roman"/>
                <w:sz w:val="21"/>
              </w:rPr>
            </w:pPr>
            <w:r>
              <w:rPr>
                <w:rFonts w:ascii="Times New Roman"/>
                <w:sz w:val="21"/>
              </w:rPr>
              <w:t>52.83</w:t>
            </w:r>
          </w:p>
        </w:tc>
        <w:tc>
          <w:tcPr>
            <w:tcW w:w="812" w:type="dxa"/>
          </w:tcPr>
          <w:p>
            <w:pPr>
              <w:pStyle w:val="14"/>
              <w:spacing w:before="59"/>
              <w:ind w:left="170"/>
              <w:jc w:val="left"/>
              <w:rPr>
                <w:rFonts w:ascii="Times New Roman"/>
                <w:sz w:val="21"/>
              </w:rPr>
            </w:pPr>
            <w:r>
              <w:rPr>
                <w:rFonts w:ascii="Times New Roman"/>
                <w:sz w:val="21"/>
              </w:rPr>
              <w:t>52.82</w:t>
            </w:r>
          </w:p>
        </w:tc>
        <w:tc>
          <w:tcPr>
            <w:tcW w:w="774" w:type="dxa"/>
          </w:tcPr>
          <w:p>
            <w:pPr>
              <w:pStyle w:val="14"/>
              <w:spacing w:before="59"/>
              <w:ind w:left="127" w:right="117"/>
              <w:rPr>
                <w:rFonts w:ascii="Times New Roman"/>
                <w:sz w:val="21"/>
              </w:rPr>
            </w:pPr>
            <w:r>
              <w:rPr>
                <w:rFonts w:ascii="Times New Roman"/>
                <w:sz w:val="21"/>
              </w:rPr>
              <w:t>52.82</w:t>
            </w:r>
          </w:p>
        </w:tc>
        <w:tc>
          <w:tcPr>
            <w:tcW w:w="784" w:type="dxa"/>
          </w:tcPr>
          <w:p>
            <w:pPr>
              <w:pStyle w:val="14"/>
              <w:spacing w:before="59"/>
              <w:ind w:left="132" w:right="122"/>
              <w:rPr>
                <w:rFonts w:ascii="Times New Roman"/>
                <w:sz w:val="21"/>
              </w:rPr>
            </w:pPr>
            <w:r>
              <w:rPr>
                <w:rFonts w:ascii="Times New Roman"/>
                <w:sz w:val="21"/>
              </w:rPr>
              <w:t>52.82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649" w:type="dxa"/>
          </w:tcPr>
          <w:p>
            <w:pPr>
              <w:pStyle w:val="14"/>
              <w:spacing w:before="45"/>
              <w:ind w:left="172" w:right="167"/>
              <w:rPr>
                <w:sz w:val="21"/>
              </w:rPr>
            </w:pPr>
            <w:r>
              <w:rPr>
                <w:sz w:val="21"/>
              </w:rPr>
              <w:t>压路机</w:t>
            </w:r>
          </w:p>
        </w:tc>
        <w:tc>
          <w:tcPr>
            <w:tcW w:w="1345" w:type="dxa"/>
          </w:tcPr>
          <w:p>
            <w:pPr>
              <w:pStyle w:val="14"/>
              <w:spacing w:before="59"/>
              <w:ind w:left="547" w:right="537"/>
              <w:rPr>
                <w:rFonts w:ascii="Times New Roman"/>
                <w:sz w:val="21"/>
              </w:rPr>
            </w:pPr>
            <w:r>
              <w:rPr>
                <w:rFonts w:ascii="Times New Roman"/>
                <w:sz w:val="21"/>
              </w:rPr>
              <w:t>90</w:t>
            </w:r>
          </w:p>
        </w:tc>
        <w:tc>
          <w:tcPr>
            <w:tcW w:w="822" w:type="dxa"/>
          </w:tcPr>
          <w:p>
            <w:pPr>
              <w:pStyle w:val="14"/>
              <w:spacing w:before="59"/>
              <w:ind w:left="154" w:right="144"/>
              <w:rPr>
                <w:rFonts w:ascii="Times New Roman"/>
                <w:sz w:val="21"/>
              </w:rPr>
            </w:pPr>
            <w:r>
              <w:rPr>
                <w:rFonts w:ascii="Times New Roman"/>
                <w:sz w:val="21"/>
              </w:rPr>
              <w:t>55.54</w:t>
            </w:r>
          </w:p>
        </w:tc>
        <w:tc>
          <w:tcPr>
            <w:tcW w:w="783" w:type="dxa"/>
          </w:tcPr>
          <w:p>
            <w:pPr>
              <w:pStyle w:val="14"/>
              <w:spacing w:before="59"/>
              <w:ind w:left="155"/>
              <w:jc w:val="left"/>
              <w:rPr>
                <w:rFonts w:ascii="Times New Roman"/>
                <w:sz w:val="21"/>
              </w:rPr>
            </w:pPr>
            <w:r>
              <w:rPr>
                <w:rFonts w:ascii="Times New Roman"/>
                <w:sz w:val="21"/>
              </w:rPr>
              <w:t>55.54</w:t>
            </w:r>
          </w:p>
        </w:tc>
        <w:tc>
          <w:tcPr>
            <w:tcW w:w="774" w:type="dxa"/>
          </w:tcPr>
          <w:p>
            <w:pPr>
              <w:pStyle w:val="14"/>
              <w:spacing w:before="59"/>
              <w:ind w:left="149"/>
              <w:jc w:val="left"/>
              <w:rPr>
                <w:rFonts w:ascii="Times New Roman"/>
                <w:sz w:val="21"/>
              </w:rPr>
            </w:pPr>
            <w:r>
              <w:rPr>
                <w:rFonts w:ascii="Times New Roman"/>
                <w:sz w:val="21"/>
              </w:rPr>
              <w:t>55.54</w:t>
            </w:r>
          </w:p>
        </w:tc>
        <w:tc>
          <w:tcPr>
            <w:tcW w:w="774" w:type="dxa"/>
          </w:tcPr>
          <w:p>
            <w:pPr>
              <w:pStyle w:val="14"/>
              <w:spacing w:before="59"/>
              <w:ind w:right="136"/>
              <w:jc w:val="right"/>
              <w:rPr>
                <w:rFonts w:ascii="Times New Roman"/>
                <w:sz w:val="21"/>
              </w:rPr>
            </w:pPr>
            <w:r>
              <w:rPr>
                <w:rFonts w:ascii="Times New Roman"/>
                <w:sz w:val="21"/>
              </w:rPr>
              <w:t>55.54</w:t>
            </w:r>
          </w:p>
        </w:tc>
        <w:tc>
          <w:tcPr>
            <w:tcW w:w="822" w:type="dxa"/>
          </w:tcPr>
          <w:p>
            <w:pPr>
              <w:pStyle w:val="14"/>
              <w:spacing w:before="59"/>
              <w:ind w:right="162"/>
              <w:jc w:val="right"/>
              <w:rPr>
                <w:rFonts w:ascii="Times New Roman"/>
                <w:sz w:val="21"/>
              </w:rPr>
            </w:pPr>
            <w:r>
              <w:rPr>
                <w:rFonts w:ascii="Times New Roman"/>
                <w:sz w:val="21"/>
              </w:rPr>
              <w:t>55.54</w:t>
            </w:r>
          </w:p>
        </w:tc>
        <w:tc>
          <w:tcPr>
            <w:tcW w:w="812" w:type="dxa"/>
          </w:tcPr>
          <w:p>
            <w:pPr>
              <w:pStyle w:val="14"/>
              <w:spacing w:before="59"/>
              <w:ind w:left="170"/>
              <w:jc w:val="left"/>
              <w:rPr>
                <w:rFonts w:ascii="Times New Roman"/>
                <w:sz w:val="21"/>
              </w:rPr>
            </w:pPr>
            <w:r>
              <w:rPr>
                <w:rFonts w:ascii="Times New Roman"/>
                <w:sz w:val="21"/>
              </w:rPr>
              <w:t>55.54</w:t>
            </w:r>
          </w:p>
        </w:tc>
        <w:tc>
          <w:tcPr>
            <w:tcW w:w="774" w:type="dxa"/>
          </w:tcPr>
          <w:p>
            <w:pPr>
              <w:pStyle w:val="14"/>
              <w:spacing w:before="59"/>
              <w:ind w:left="127" w:right="117"/>
              <w:rPr>
                <w:rFonts w:ascii="Times New Roman"/>
                <w:sz w:val="21"/>
              </w:rPr>
            </w:pPr>
            <w:r>
              <w:rPr>
                <w:rFonts w:ascii="Times New Roman"/>
                <w:sz w:val="21"/>
              </w:rPr>
              <w:t>55.54</w:t>
            </w:r>
          </w:p>
        </w:tc>
        <w:tc>
          <w:tcPr>
            <w:tcW w:w="784" w:type="dxa"/>
          </w:tcPr>
          <w:p>
            <w:pPr>
              <w:pStyle w:val="14"/>
              <w:spacing w:before="59"/>
              <w:ind w:left="132" w:right="122"/>
              <w:rPr>
                <w:rFonts w:ascii="Times New Roman"/>
                <w:sz w:val="21"/>
              </w:rPr>
            </w:pPr>
            <w:r>
              <w:rPr>
                <w:rFonts w:ascii="Times New Roman"/>
                <w:sz w:val="21"/>
              </w:rPr>
              <w:t>55.54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649" w:type="dxa"/>
          </w:tcPr>
          <w:p>
            <w:pPr>
              <w:pStyle w:val="14"/>
              <w:spacing w:before="44"/>
              <w:ind w:left="172" w:right="164"/>
              <w:rPr>
                <w:sz w:val="21"/>
              </w:rPr>
            </w:pPr>
            <w:r>
              <w:rPr>
                <w:sz w:val="21"/>
              </w:rPr>
              <w:t>轮式装载机</w:t>
            </w:r>
          </w:p>
        </w:tc>
        <w:tc>
          <w:tcPr>
            <w:tcW w:w="1345" w:type="dxa"/>
          </w:tcPr>
          <w:p>
            <w:pPr>
              <w:pStyle w:val="14"/>
              <w:spacing w:before="61"/>
              <w:ind w:left="547" w:right="537"/>
              <w:rPr>
                <w:rFonts w:ascii="Times New Roman"/>
                <w:sz w:val="21"/>
              </w:rPr>
            </w:pPr>
            <w:r>
              <w:rPr>
                <w:rFonts w:ascii="Times New Roman"/>
                <w:sz w:val="21"/>
              </w:rPr>
              <w:t>95</w:t>
            </w:r>
          </w:p>
        </w:tc>
        <w:tc>
          <w:tcPr>
            <w:tcW w:w="822" w:type="dxa"/>
          </w:tcPr>
          <w:p>
            <w:pPr>
              <w:pStyle w:val="14"/>
              <w:spacing w:before="61"/>
              <w:ind w:left="154" w:right="144"/>
              <w:rPr>
                <w:rFonts w:ascii="Times New Roman"/>
                <w:sz w:val="21"/>
              </w:rPr>
            </w:pPr>
            <w:r>
              <w:rPr>
                <w:rFonts w:ascii="Times New Roman"/>
                <w:sz w:val="21"/>
              </w:rPr>
              <w:t>60.11</w:t>
            </w:r>
          </w:p>
        </w:tc>
        <w:tc>
          <w:tcPr>
            <w:tcW w:w="783" w:type="dxa"/>
          </w:tcPr>
          <w:p>
            <w:pPr>
              <w:pStyle w:val="14"/>
              <w:spacing w:before="61"/>
              <w:ind w:left="157"/>
              <w:jc w:val="left"/>
              <w:rPr>
                <w:rFonts w:ascii="Times New Roman"/>
                <w:sz w:val="21"/>
              </w:rPr>
            </w:pPr>
            <w:r>
              <w:rPr>
                <w:rFonts w:ascii="Times New Roman"/>
                <w:sz w:val="21"/>
              </w:rPr>
              <w:t>60.11</w:t>
            </w:r>
          </w:p>
        </w:tc>
        <w:tc>
          <w:tcPr>
            <w:tcW w:w="774" w:type="dxa"/>
          </w:tcPr>
          <w:p>
            <w:pPr>
              <w:pStyle w:val="14"/>
              <w:spacing w:before="61"/>
              <w:ind w:left="154"/>
              <w:jc w:val="left"/>
              <w:rPr>
                <w:rFonts w:ascii="Times New Roman"/>
                <w:sz w:val="21"/>
              </w:rPr>
            </w:pPr>
            <w:r>
              <w:rPr>
                <w:rFonts w:ascii="Times New Roman"/>
                <w:sz w:val="21"/>
              </w:rPr>
              <w:t>60.11</w:t>
            </w:r>
          </w:p>
        </w:tc>
        <w:tc>
          <w:tcPr>
            <w:tcW w:w="774" w:type="dxa"/>
          </w:tcPr>
          <w:p>
            <w:pPr>
              <w:pStyle w:val="14"/>
              <w:spacing w:before="61"/>
              <w:ind w:right="139"/>
              <w:jc w:val="right"/>
              <w:rPr>
                <w:rFonts w:ascii="Times New Roman"/>
                <w:sz w:val="21"/>
              </w:rPr>
            </w:pPr>
            <w:r>
              <w:rPr>
                <w:rFonts w:ascii="Times New Roman"/>
                <w:w w:val="95"/>
                <w:sz w:val="21"/>
              </w:rPr>
              <w:t>60.11</w:t>
            </w:r>
          </w:p>
        </w:tc>
        <w:tc>
          <w:tcPr>
            <w:tcW w:w="822" w:type="dxa"/>
          </w:tcPr>
          <w:p>
            <w:pPr>
              <w:pStyle w:val="14"/>
              <w:spacing w:before="61"/>
              <w:ind w:right="164"/>
              <w:jc w:val="right"/>
              <w:rPr>
                <w:rFonts w:ascii="Times New Roman"/>
                <w:sz w:val="21"/>
              </w:rPr>
            </w:pPr>
            <w:r>
              <w:rPr>
                <w:rFonts w:ascii="Times New Roman"/>
                <w:w w:val="95"/>
                <w:sz w:val="21"/>
              </w:rPr>
              <w:t>60.11</w:t>
            </w:r>
          </w:p>
        </w:tc>
        <w:tc>
          <w:tcPr>
            <w:tcW w:w="812" w:type="dxa"/>
          </w:tcPr>
          <w:p>
            <w:pPr>
              <w:pStyle w:val="14"/>
              <w:spacing w:before="61"/>
              <w:ind w:left="172"/>
              <w:jc w:val="left"/>
              <w:rPr>
                <w:rFonts w:ascii="Times New Roman"/>
                <w:sz w:val="21"/>
              </w:rPr>
            </w:pPr>
            <w:r>
              <w:rPr>
                <w:rFonts w:ascii="Times New Roman"/>
                <w:sz w:val="21"/>
              </w:rPr>
              <w:t>60.11</w:t>
            </w:r>
          </w:p>
        </w:tc>
        <w:tc>
          <w:tcPr>
            <w:tcW w:w="774" w:type="dxa"/>
          </w:tcPr>
          <w:p>
            <w:pPr>
              <w:pStyle w:val="14"/>
              <w:spacing w:before="61"/>
              <w:ind w:left="127" w:right="115"/>
              <w:rPr>
                <w:rFonts w:ascii="Times New Roman"/>
                <w:sz w:val="21"/>
              </w:rPr>
            </w:pPr>
            <w:r>
              <w:rPr>
                <w:rFonts w:ascii="Times New Roman"/>
                <w:sz w:val="21"/>
              </w:rPr>
              <w:t>60.11</w:t>
            </w:r>
          </w:p>
        </w:tc>
        <w:tc>
          <w:tcPr>
            <w:tcW w:w="784" w:type="dxa"/>
          </w:tcPr>
          <w:p>
            <w:pPr>
              <w:pStyle w:val="14"/>
              <w:spacing w:before="61"/>
              <w:ind w:left="132" w:right="122"/>
              <w:rPr>
                <w:rFonts w:ascii="Times New Roman"/>
                <w:sz w:val="21"/>
              </w:rPr>
            </w:pPr>
            <w:r>
              <w:rPr>
                <w:rFonts w:ascii="Times New Roman"/>
                <w:sz w:val="21"/>
              </w:rPr>
              <w:t>60.11</w:t>
            </w:r>
          </w:p>
        </w:tc>
      </w:tr>
    </w:tbl>
    <w:p>
      <w:pPr>
        <w:pStyle w:val="6"/>
        <w:spacing w:before="113" w:line="343" w:lineRule="auto"/>
        <w:ind w:left="215" w:right="577" w:firstLine="480"/>
        <w:jc w:val="both"/>
      </w:pPr>
      <w:r>
        <w:rPr>
          <w:spacing w:val="-13"/>
        </w:rPr>
        <w:t xml:space="preserve">根据表 </w:t>
      </w:r>
      <w:r>
        <w:rPr>
          <w:rFonts w:ascii="Times New Roman" w:eastAsia="Times New Roman"/>
        </w:rPr>
        <w:t xml:space="preserve">9.3-2 </w:t>
      </w:r>
      <w:r>
        <w:rPr>
          <w:spacing w:val="-5"/>
        </w:rPr>
        <w:t xml:space="preserve">预测结果，单台机械设备在 </w:t>
      </w:r>
      <w:r>
        <w:rPr>
          <w:rFonts w:ascii="Times New Roman" w:eastAsia="Times New Roman"/>
        </w:rPr>
        <w:t xml:space="preserve">20m </w:t>
      </w:r>
      <w:r>
        <w:t>处产生的声级值均能满足《建筑施工</w:t>
      </w:r>
      <w:r>
        <w:rPr>
          <w:spacing w:val="-2"/>
        </w:rPr>
        <w:t>场界环境噪声排放标准》</w:t>
      </w:r>
      <w:r>
        <w:t>（</w:t>
      </w:r>
      <w:r>
        <w:rPr>
          <w:rFonts w:ascii="Times New Roman" w:eastAsia="Times New Roman"/>
        </w:rPr>
        <w:t>GB12523-2011</w:t>
      </w:r>
      <w:r>
        <w:t>）</w:t>
      </w:r>
      <w:r>
        <w:rPr>
          <w:spacing w:val="-4"/>
        </w:rPr>
        <w:t xml:space="preserve">昼间标准要求。随着距离加大，均有明显衰减，工业场地边界外 </w:t>
      </w:r>
      <w:r>
        <w:rPr>
          <w:rFonts w:ascii="Times New Roman" w:eastAsia="Times New Roman"/>
        </w:rPr>
        <w:t xml:space="preserve">200m </w:t>
      </w:r>
      <w:r>
        <w:t>范围内无声环境敏感保护目标，且建设期噪声环境影响是暂</w:t>
      </w:r>
    </w:p>
    <w:p>
      <w:pPr>
        <w:pStyle w:val="6"/>
        <w:spacing w:before="1"/>
        <w:ind w:left="215"/>
      </w:pPr>
      <w:r>
        <w:t>时的，建设期结束，影响随之消失，环境影响可接受。</w:t>
      </w:r>
    </w:p>
    <w:p>
      <w:pPr>
        <w:pStyle w:val="4"/>
        <w:numPr>
          <w:ilvl w:val="2"/>
          <w:numId w:val="67"/>
        </w:numPr>
        <w:tabs>
          <w:tab w:val="left" w:pos="848"/>
        </w:tabs>
        <w:spacing w:before="22" w:after="0" w:line="240" w:lineRule="auto"/>
        <w:ind w:left="847" w:right="0" w:hanging="633"/>
        <w:jc w:val="left"/>
      </w:pPr>
      <w:bookmarkStart w:id="793" w:name="9.3.3建设期噪声防治措施"/>
      <w:bookmarkEnd w:id="793"/>
      <w:bookmarkStart w:id="794" w:name="9.3.3建设期噪声防治措施"/>
      <w:bookmarkEnd w:id="794"/>
      <w:r>
        <w:t>建设期噪声防治措施</w:t>
      </w:r>
    </w:p>
    <w:p>
      <w:pPr>
        <w:pStyle w:val="6"/>
        <w:spacing w:before="185"/>
        <w:ind w:left="696"/>
      </w:pPr>
      <w:r>
        <w:t>为降低施工期噪声对外环境产生影响，本评价要求该项目建设期应采取如下措施：</w:t>
      </w:r>
    </w:p>
    <w:p>
      <w:pPr>
        <w:pStyle w:val="13"/>
        <w:numPr>
          <w:ilvl w:val="0"/>
          <w:numId w:val="68"/>
        </w:numPr>
        <w:tabs>
          <w:tab w:val="left" w:pos="1297"/>
        </w:tabs>
        <w:spacing w:before="158" w:after="0" w:line="364" w:lineRule="auto"/>
        <w:ind w:left="215" w:right="458" w:firstLine="480"/>
        <w:jc w:val="left"/>
        <w:rPr>
          <w:sz w:val="24"/>
        </w:rPr>
      </w:pPr>
      <w:r>
        <w:rPr>
          <w:spacing w:val="-7"/>
          <w:sz w:val="24"/>
        </w:rPr>
        <w:t>在施工设备选型上，应选用正规厂家、噪声较低的环保型设备。保证现场设备</w:t>
      </w:r>
      <w:r>
        <w:rPr>
          <w:spacing w:val="-13"/>
          <w:sz w:val="24"/>
        </w:rPr>
        <w:t>安装质量，加强施工机械及运输车辆的维修与管理，确保施工设备和车辆均能正常运行。</w:t>
      </w:r>
    </w:p>
    <w:p>
      <w:pPr>
        <w:pStyle w:val="13"/>
        <w:numPr>
          <w:ilvl w:val="0"/>
          <w:numId w:val="68"/>
        </w:numPr>
        <w:tabs>
          <w:tab w:val="left" w:pos="1297"/>
        </w:tabs>
        <w:spacing w:before="1" w:after="0" w:line="240" w:lineRule="auto"/>
        <w:ind w:left="1297" w:right="0" w:hanging="601"/>
        <w:jc w:val="left"/>
        <w:rPr>
          <w:sz w:val="24"/>
        </w:rPr>
      </w:pPr>
      <w:r>
        <w:rPr>
          <w:sz w:val="24"/>
        </w:rPr>
        <w:t>加强施工现场管理，封闭施工现场。</w:t>
      </w:r>
    </w:p>
    <w:p>
      <w:pPr>
        <w:pStyle w:val="13"/>
        <w:numPr>
          <w:ilvl w:val="0"/>
          <w:numId w:val="68"/>
        </w:numPr>
        <w:tabs>
          <w:tab w:val="left" w:pos="1297"/>
        </w:tabs>
        <w:spacing w:before="158" w:after="0" w:line="240" w:lineRule="auto"/>
        <w:ind w:left="1297" w:right="0" w:hanging="601"/>
        <w:jc w:val="left"/>
        <w:rPr>
          <w:sz w:val="24"/>
        </w:rPr>
      </w:pPr>
      <w:r>
        <w:rPr>
          <w:sz w:val="24"/>
        </w:rPr>
        <w:t>高噪声设备采取减震等措施降低其使用时产生的噪声对周围环境的影响。</w:t>
      </w:r>
    </w:p>
    <w:p>
      <w:pPr>
        <w:pStyle w:val="13"/>
        <w:numPr>
          <w:ilvl w:val="0"/>
          <w:numId w:val="68"/>
        </w:numPr>
        <w:tabs>
          <w:tab w:val="left" w:pos="1297"/>
        </w:tabs>
        <w:spacing w:before="161" w:after="0" w:line="240" w:lineRule="auto"/>
        <w:ind w:left="1297" w:right="0" w:hanging="601"/>
        <w:jc w:val="left"/>
        <w:rPr>
          <w:rFonts w:ascii="Times New Roman" w:eastAsia="Times New Roman"/>
          <w:sz w:val="24"/>
        </w:rPr>
      </w:pPr>
      <w:r>
        <w:rPr>
          <w:spacing w:val="-3"/>
          <w:sz w:val="24"/>
        </w:rPr>
        <w:t xml:space="preserve">中型运输车在人口密集区内行驶时禁止鸣笛，并限速行驶，严禁 </w:t>
      </w:r>
      <w:r>
        <w:rPr>
          <w:rFonts w:ascii="Times New Roman" w:eastAsia="Times New Roman"/>
          <w:sz w:val="24"/>
        </w:rPr>
        <w:t>22:00</w:t>
      </w:r>
      <w:r>
        <w:rPr>
          <w:sz w:val="24"/>
        </w:rPr>
        <w:t>～</w:t>
      </w:r>
      <w:r>
        <w:rPr>
          <w:rFonts w:ascii="Times New Roman" w:eastAsia="Times New Roman"/>
          <w:sz w:val="24"/>
        </w:rPr>
        <w:t>6:00</w:t>
      </w:r>
    </w:p>
    <w:p>
      <w:pPr>
        <w:pStyle w:val="6"/>
        <w:spacing w:before="158"/>
        <w:ind w:left="215"/>
      </w:pPr>
      <w:r>
        <w:t>时间段内施工及运输。</w:t>
      </w:r>
    </w:p>
    <w:p>
      <w:pPr>
        <w:pStyle w:val="3"/>
        <w:numPr>
          <w:ilvl w:val="1"/>
          <w:numId w:val="67"/>
        </w:numPr>
        <w:tabs>
          <w:tab w:val="left" w:pos="668"/>
        </w:tabs>
        <w:spacing w:before="160" w:after="0" w:line="240" w:lineRule="auto"/>
        <w:ind w:left="667" w:right="0" w:hanging="453"/>
        <w:jc w:val="left"/>
        <w:rPr>
          <w:rFonts w:ascii="Times New Roman" w:eastAsia="Times New Roman"/>
        </w:rPr>
      </w:pPr>
      <w:bookmarkStart w:id="795" w:name="_bookmark54"/>
      <w:bookmarkEnd w:id="795"/>
      <w:bookmarkStart w:id="796" w:name="9.4运营期声环境影响预测与评价"/>
      <w:bookmarkEnd w:id="796"/>
      <w:bookmarkStart w:id="797" w:name="_bookmark54"/>
      <w:bookmarkEnd w:id="797"/>
      <w:r>
        <w:t>运营期声环境影响预测与评价</w:t>
      </w:r>
    </w:p>
    <w:p>
      <w:pPr>
        <w:pStyle w:val="4"/>
        <w:numPr>
          <w:ilvl w:val="2"/>
          <w:numId w:val="67"/>
        </w:numPr>
        <w:tabs>
          <w:tab w:val="left" w:pos="848"/>
        </w:tabs>
        <w:spacing w:before="200" w:after="0" w:line="240" w:lineRule="auto"/>
        <w:ind w:left="847" w:right="0" w:hanging="633"/>
        <w:jc w:val="left"/>
      </w:pPr>
      <w:bookmarkStart w:id="798" w:name="9.4.1主要噪声源"/>
      <w:bookmarkEnd w:id="798"/>
      <w:bookmarkStart w:id="799" w:name="9.4.1主要噪声源"/>
      <w:bookmarkEnd w:id="799"/>
      <w:r>
        <w:t>主要噪声源</w:t>
      </w:r>
    </w:p>
    <w:p>
      <w:pPr>
        <w:pStyle w:val="6"/>
        <w:spacing w:before="185" w:line="364" w:lineRule="auto"/>
        <w:ind w:left="215" w:right="578" w:firstLine="480"/>
        <w:jc w:val="both"/>
      </w:pPr>
      <w:r>
        <w:t>本项目工业场地噪声主要来源于矿井压风机房、提升机房、锅炉房等，设备噪声源大部分是宽频带的，且多为固定、连续噪声源。本项目工业场地噪声源的噪声级见表</w:t>
      </w:r>
      <w:r>
        <w:rPr>
          <w:rFonts w:ascii="Times New Roman" w:eastAsia="Times New Roman"/>
        </w:rPr>
        <w:t>3.4-9</w:t>
      </w:r>
      <w:r>
        <w:t>。</w:t>
      </w:r>
    </w:p>
    <w:p>
      <w:pPr>
        <w:pStyle w:val="4"/>
        <w:numPr>
          <w:ilvl w:val="2"/>
          <w:numId w:val="67"/>
        </w:numPr>
        <w:tabs>
          <w:tab w:val="left" w:pos="917"/>
        </w:tabs>
        <w:spacing w:before="0" w:after="0" w:line="357" w:lineRule="exact"/>
        <w:ind w:left="916" w:right="0" w:hanging="702"/>
        <w:jc w:val="left"/>
      </w:pPr>
      <w:bookmarkStart w:id="800" w:name="9.4.2 预测范围及方法"/>
      <w:bookmarkEnd w:id="800"/>
      <w:bookmarkStart w:id="801" w:name="9.4.2 预测范围及方法"/>
      <w:bookmarkEnd w:id="801"/>
      <w:r>
        <w:t>预测范围及方法</w:t>
      </w:r>
    </w:p>
    <w:p>
      <w:pPr>
        <w:pStyle w:val="6"/>
        <w:spacing w:before="186" w:line="364" w:lineRule="auto"/>
        <w:ind w:left="215" w:right="580" w:firstLine="480"/>
      </w:pPr>
      <w:r>
        <w:t>噪声从室内向室外传播的声级差主要考虑对相似车间的类比调查结果而确定。噪声在室外的传播衰减只考虑噪声随距离的衰减。</w:t>
      </w:r>
    </w:p>
    <w:p>
      <w:pPr>
        <w:spacing w:after="0" w:line="364" w:lineRule="auto"/>
        <w:sectPr>
          <w:pgSz w:w="11910" w:h="16840"/>
          <w:pgMar w:top="1580" w:right="780" w:bottom="1320" w:left="1200" w:header="0" w:footer="1138" w:gutter="0"/>
        </w:sectPr>
      </w:pPr>
    </w:p>
    <w:p>
      <w:pPr>
        <w:pStyle w:val="4"/>
        <w:numPr>
          <w:ilvl w:val="2"/>
          <w:numId w:val="67"/>
        </w:numPr>
        <w:tabs>
          <w:tab w:val="left" w:pos="917"/>
        </w:tabs>
        <w:spacing w:before="47" w:after="0" w:line="240" w:lineRule="auto"/>
        <w:ind w:left="916" w:right="0" w:hanging="702"/>
        <w:jc w:val="left"/>
      </w:pPr>
      <w:bookmarkStart w:id="802" w:name="9.4.3 预测模式"/>
      <w:bookmarkEnd w:id="802"/>
      <w:bookmarkStart w:id="803" w:name="9.4.3 预测模式"/>
      <w:bookmarkEnd w:id="803"/>
      <w:r>
        <w:t>预测模式</w:t>
      </w:r>
    </w:p>
    <w:p>
      <w:pPr>
        <w:pStyle w:val="6"/>
        <w:spacing w:before="185"/>
        <w:ind w:left="696"/>
      </w:pPr>
      <w:r>
        <w:t>噪声随距离衰减计算模式为：</w:t>
      </w:r>
    </w:p>
    <w:p>
      <w:pPr>
        <w:spacing w:before="145"/>
        <w:ind w:left="1819" w:right="0" w:firstLine="0"/>
        <w:jc w:val="left"/>
        <w:rPr>
          <w:rFonts w:ascii="Times New Roman" w:hAnsi="Times New Roman"/>
          <w:sz w:val="24"/>
        </w:rPr>
      </w:pPr>
      <w:r>
        <w:rPr>
          <w:rFonts w:ascii="Times New Roman" w:hAnsi="Times New Roman"/>
          <w:i/>
          <w:spacing w:val="7"/>
          <w:w w:val="101"/>
          <w:position w:val="12"/>
          <w:sz w:val="33"/>
        </w:rPr>
        <w:t>L</w:t>
      </w:r>
      <w:r>
        <w:rPr>
          <w:rFonts w:ascii="Times New Roman" w:hAnsi="Times New Roman"/>
          <w:position w:val="10"/>
          <w:sz w:val="13"/>
        </w:rPr>
        <w:t>(</w:t>
      </w:r>
      <w:r>
        <w:rPr>
          <w:rFonts w:ascii="Times New Roman" w:hAnsi="Times New Roman"/>
          <w:spacing w:val="-21"/>
          <w:position w:val="10"/>
          <w:sz w:val="13"/>
        </w:rPr>
        <w:t xml:space="preserve"> </w:t>
      </w:r>
      <w:r>
        <w:rPr>
          <w:rFonts w:ascii="Times New Roman" w:hAnsi="Times New Roman"/>
          <w:i/>
          <w:position w:val="10"/>
          <w:sz w:val="13"/>
        </w:rPr>
        <w:t>r</w:t>
      </w:r>
      <w:r>
        <w:rPr>
          <w:rFonts w:ascii="Times New Roman" w:hAnsi="Times New Roman"/>
          <w:i/>
          <w:spacing w:val="-15"/>
          <w:position w:val="10"/>
          <w:sz w:val="13"/>
        </w:rPr>
        <w:t xml:space="preserve"> </w:t>
      </w:r>
      <w:r>
        <w:rPr>
          <w:rFonts w:ascii="Times New Roman" w:hAnsi="Times New Roman"/>
          <w:position w:val="10"/>
          <w:sz w:val="13"/>
        </w:rPr>
        <w:t xml:space="preserve">) </w:t>
      </w:r>
      <w:r>
        <w:rPr>
          <w:rFonts w:ascii="Times New Roman" w:hAnsi="Times New Roman"/>
          <w:spacing w:val="-1"/>
          <w:position w:val="10"/>
          <w:sz w:val="13"/>
        </w:rPr>
        <w:t xml:space="preserve"> </w:t>
      </w:r>
      <w:r>
        <w:rPr>
          <w:rFonts w:ascii="Symbol" w:hAnsi="Symbol"/>
          <w:w w:val="101"/>
          <w:position w:val="19"/>
          <w:sz w:val="22"/>
        </w:rPr>
        <w:t></w:t>
      </w:r>
      <w:r>
        <w:rPr>
          <w:rFonts w:ascii="Times New Roman" w:hAnsi="Times New Roman"/>
          <w:spacing w:val="18"/>
          <w:position w:val="19"/>
          <w:sz w:val="22"/>
        </w:rPr>
        <w:t xml:space="preserve"> </w:t>
      </w:r>
      <w:r>
        <w:rPr>
          <w:rFonts w:ascii="Times New Roman" w:hAnsi="Times New Roman"/>
          <w:i/>
          <w:spacing w:val="7"/>
          <w:w w:val="101"/>
          <w:position w:val="12"/>
          <w:sz w:val="33"/>
        </w:rPr>
        <w:t>L</w:t>
      </w:r>
      <w:r>
        <w:rPr>
          <w:rFonts w:ascii="Times New Roman" w:hAnsi="Times New Roman"/>
          <w:spacing w:val="10"/>
          <w:position w:val="10"/>
          <w:sz w:val="13"/>
        </w:rPr>
        <w:t>(</w:t>
      </w:r>
      <w:r>
        <w:rPr>
          <w:rFonts w:ascii="Times New Roman" w:hAnsi="Times New Roman"/>
          <w:i/>
          <w:spacing w:val="18"/>
          <w:w w:val="101"/>
          <w:position w:val="5"/>
          <w:sz w:val="22"/>
        </w:rPr>
        <w:t>r</w:t>
      </w:r>
      <w:r>
        <w:rPr>
          <w:rFonts w:ascii="Times New Roman" w:hAnsi="Times New Roman"/>
          <w:w w:val="103"/>
          <w:position w:val="4"/>
          <w:sz w:val="9"/>
        </w:rPr>
        <w:t>0</w:t>
      </w:r>
      <w:r>
        <w:rPr>
          <w:rFonts w:ascii="Times New Roman" w:hAnsi="Times New Roman"/>
          <w:spacing w:val="-12"/>
          <w:position w:val="4"/>
          <w:sz w:val="9"/>
        </w:rPr>
        <w:t xml:space="preserve"> </w:t>
      </w:r>
      <w:r>
        <w:rPr>
          <w:rFonts w:ascii="Times New Roman" w:hAnsi="Times New Roman"/>
          <w:position w:val="10"/>
          <w:sz w:val="13"/>
        </w:rPr>
        <w:t>)</w:t>
      </w:r>
      <w:r>
        <w:rPr>
          <w:rFonts w:ascii="Times New Roman" w:hAnsi="Times New Roman"/>
          <w:spacing w:val="10"/>
          <w:position w:val="10"/>
          <w:sz w:val="13"/>
        </w:rPr>
        <w:t xml:space="preserve"> </w:t>
      </w:r>
      <w:r>
        <w:rPr>
          <w:rFonts w:ascii="Times New Roman" w:hAnsi="Times New Roman"/>
          <w:w w:val="101"/>
          <w:position w:val="19"/>
          <w:sz w:val="22"/>
        </w:rPr>
        <w:t>_</w:t>
      </w:r>
      <w:r>
        <w:rPr>
          <w:rFonts w:ascii="Times New Roman" w:hAnsi="Times New Roman"/>
          <w:spacing w:val="-9"/>
          <w:position w:val="19"/>
          <w:sz w:val="22"/>
        </w:rPr>
        <w:t xml:space="preserve"> </w:t>
      </w:r>
      <w:r>
        <w:rPr>
          <w:rFonts w:ascii="Times New Roman" w:hAnsi="Times New Roman"/>
          <w:w w:val="101"/>
          <w:position w:val="19"/>
          <w:sz w:val="22"/>
        </w:rPr>
        <w:t>20</w:t>
      </w:r>
      <w:r>
        <w:rPr>
          <w:rFonts w:ascii="Times New Roman" w:hAnsi="Times New Roman"/>
          <w:spacing w:val="-6"/>
          <w:position w:val="19"/>
          <w:sz w:val="22"/>
        </w:rPr>
        <w:t xml:space="preserve"> </w:t>
      </w:r>
      <w:r>
        <w:rPr>
          <w:rFonts w:ascii="Times New Roman" w:hAnsi="Times New Roman"/>
          <w:sz w:val="24"/>
        </w:rPr>
        <w:t>lo</w:t>
      </w:r>
      <w:r>
        <w:rPr>
          <w:rFonts w:ascii="Times New Roman" w:hAnsi="Times New Roman"/>
          <w:spacing w:val="-3"/>
          <w:sz w:val="24"/>
        </w:rPr>
        <w:t>g</w:t>
      </w:r>
      <w:r>
        <w:rPr>
          <w:sz w:val="24"/>
        </w:rPr>
        <w:t>（</w:t>
      </w:r>
      <w:r>
        <w:rPr>
          <w:rFonts w:ascii="Times New Roman" w:hAnsi="Times New Roman"/>
          <w:spacing w:val="-1"/>
          <w:sz w:val="24"/>
        </w:rPr>
        <w:t>r</w:t>
      </w:r>
      <w:r>
        <w:rPr>
          <w:rFonts w:ascii="Times New Roman" w:hAnsi="Times New Roman"/>
          <w:sz w:val="24"/>
        </w:rPr>
        <w:t>/</w:t>
      </w:r>
      <w:r>
        <w:rPr>
          <w:rFonts w:ascii="Times New Roman" w:hAnsi="Times New Roman"/>
          <w:spacing w:val="-23"/>
          <w:sz w:val="24"/>
        </w:rPr>
        <w:t xml:space="preserve"> </w:t>
      </w:r>
      <w:r>
        <w:rPr>
          <w:rFonts w:ascii="Times New Roman" w:hAnsi="Times New Roman"/>
          <w:i/>
          <w:spacing w:val="17"/>
          <w:w w:val="102"/>
          <w:position w:val="6"/>
          <w:sz w:val="35"/>
        </w:rPr>
        <w:t>r</w:t>
      </w:r>
      <w:r>
        <w:rPr>
          <w:rFonts w:ascii="Times New Roman" w:hAnsi="Times New Roman"/>
          <w:w w:val="99"/>
          <w:position w:val="5"/>
          <w:sz w:val="14"/>
        </w:rPr>
        <w:t>0</w:t>
      </w:r>
      <w:r>
        <w:rPr>
          <w:rFonts w:ascii="Times New Roman" w:hAnsi="Times New Roman"/>
          <w:spacing w:val="4"/>
          <w:position w:val="5"/>
          <w:sz w:val="14"/>
        </w:rPr>
        <w:t xml:space="preserve"> </w:t>
      </w:r>
      <w:r>
        <w:rPr>
          <w:sz w:val="24"/>
        </w:rPr>
        <w:t>）</w:t>
      </w:r>
      <w:r>
        <w:rPr>
          <w:rFonts w:ascii="Times New Roman" w:hAnsi="Times New Roman"/>
          <w:sz w:val="24"/>
        </w:rPr>
        <w:t>—</w:t>
      </w:r>
      <w:r>
        <w:rPr>
          <w:rFonts w:ascii="Times New Roman" w:hAnsi="Times New Roman"/>
          <w:spacing w:val="-23"/>
          <w:sz w:val="24"/>
        </w:rPr>
        <w:t xml:space="preserve"> </w:t>
      </w:r>
      <w:r>
        <w:rPr>
          <w:rFonts w:ascii="Symbol" w:hAnsi="Symbol"/>
          <w:w w:val="96"/>
          <w:position w:val="4"/>
          <w:sz w:val="24"/>
        </w:rPr>
        <w:t></w:t>
      </w:r>
      <w:r>
        <w:rPr>
          <w:rFonts w:ascii="Times New Roman" w:hAnsi="Times New Roman"/>
          <w:spacing w:val="-16"/>
          <w:position w:val="4"/>
          <w:sz w:val="24"/>
        </w:rPr>
        <w:t xml:space="preserve"> </w:t>
      </w:r>
      <w:r>
        <w:rPr>
          <w:rFonts w:ascii="Times New Roman" w:hAnsi="Times New Roman"/>
          <w:sz w:val="24"/>
        </w:rPr>
        <w:t>L</w:t>
      </w:r>
    </w:p>
    <w:p>
      <w:pPr>
        <w:pStyle w:val="6"/>
        <w:spacing w:before="3"/>
        <w:rPr>
          <w:rFonts w:ascii="Times New Roman"/>
          <w:sz w:val="14"/>
        </w:rPr>
      </w:pPr>
      <w:r>
        <mc:AlternateContent>
          <mc:Choice Requires="wps">
            <w:drawing>
              <wp:anchor distT="0" distB="0" distL="0" distR="0" simplePos="0" relativeHeight="251808768" behindDoc="1" locked="0" layoutInCell="1" allowOverlap="1">
                <wp:simplePos x="0" y="0"/>
                <wp:positionH relativeFrom="page">
                  <wp:posOffset>3257550</wp:posOffset>
                </wp:positionH>
                <wp:positionV relativeFrom="paragraph">
                  <wp:posOffset>119380</wp:posOffset>
                </wp:positionV>
                <wp:extent cx="44450" cy="97790"/>
                <wp:effectExtent l="0" t="0" r="0" b="0"/>
                <wp:wrapTopAndBottom/>
                <wp:docPr id="258" name="文本框 209"/>
                <wp:cNvGraphicFramePr/>
                <a:graphic xmlns:a="http://schemas.openxmlformats.org/drawingml/2006/main">
                  <a:graphicData uri="http://schemas.microsoft.com/office/word/2010/wordprocessingShape">
                    <wps:wsp>
                      <wps:cNvSpPr txBox="1"/>
                      <wps:spPr>
                        <a:xfrm>
                          <a:off x="0" y="0"/>
                          <a:ext cx="44450" cy="97790"/>
                        </a:xfrm>
                        <a:prstGeom prst="rect">
                          <a:avLst/>
                        </a:prstGeom>
                        <a:noFill/>
                        <a:ln>
                          <a:noFill/>
                        </a:ln>
                      </wps:spPr>
                      <wps:txbx>
                        <w:txbxContent>
                          <w:p>
                            <w:pPr>
                              <w:spacing w:before="0" w:line="154" w:lineRule="exact"/>
                              <w:ind w:left="0" w:right="0" w:firstLine="0"/>
                              <w:jc w:val="left"/>
                              <w:rPr>
                                <w:rFonts w:ascii="Times New Roman"/>
                                <w:i/>
                                <w:sz w:val="14"/>
                              </w:rPr>
                            </w:pPr>
                            <w:r>
                              <w:rPr>
                                <w:rFonts w:ascii="Times New Roman"/>
                                <w:i/>
                                <w:w w:val="99"/>
                                <w:sz w:val="14"/>
                              </w:rPr>
                              <w:t>n</w:t>
                            </w:r>
                          </w:p>
                        </w:txbxContent>
                      </wps:txbx>
                      <wps:bodyPr lIns="0" tIns="0" rIns="0" bIns="0" upright="1"/>
                    </wps:wsp>
                  </a:graphicData>
                </a:graphic>
              </wp:anchor>
            </w:drawing>
          </mc:Choice>
          <mc:Fallback>
            <w:pict>
              <v:shape id="文本框 209" o:spid="_x0000_s1026" o:spt="202" type="#_x0000_t202" style="position:absolute;left:0pt;margin-left:256.5pt;margin-top:9.4pt;height:7.7pt;width:3.5pt;mso-position-horizontal-relative:page;mso-wrap-distance-bottom:0pt;mso-wrap-distance-top:0pt;z-index:-251507712;mso-width-relative:page;mso-height-relative:page;" filled="f" stroked="f" coordsize="21600,21600" o:gfxdata="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ogvGzXAAAACQEAAA8AAAAAAAAA&#10;AQAgAAAAIgAAAGRycy9kb3ducmV2LnhtbFBLAQIUABQAAAAIAIdO4kAPqAIjoAEAACUDAAAOAAAA&#10;AAAAAAEAIAAAACYBAABkcnMvZTJvRG9jLnhtbFBLBQYAAAAABgAGAFkBAAA4BQAAAAA=&#10;">
                <v:fill on="f" focussize="0,0"/>
                <v:stroke on="f"/>
                <v:imagedata o:title=""/>
                <o:lock v:ext="edit" aspectratio="f"/>
                <v:textbox inset="0mm,0mm,0mm,0mm">
                  <w:txbxContent>
                    <w:p>
                      <w:pPr>
                        <w:spacing w:before="0" w:line="154" w:lineRule="exact"/>
                        <w:ind w:left="0" w:right="0" w:firstLine="0"/>
                        <w:jc w:val="left"/>
                        <w:rPr>
                          <w:rFonts w:ascii="Times New Roman"/>
                          <w:i/>
                          <w:sz w:val="14"/>
                        </w:rPr>
                      </w:pPr>
                      <w:r>
                        <w:rPr>
                          <w:rFonts w:ascii="Times New Roman"/>
                          <w:i/>
                          <w:w w:val="99"/>
                          <w:sz w:val="14"/>
                        </w:rPr>
                        <w:t>n</w:t>
                      </w:r>
                    </w:p>
                  </w:txbxContent>
                </v:textbox>
                <w10:wrap type="topAndBottom"/>
              </v:shape>
            </w:pict>
          </mc:Fallback>
        </mc:AlternateContent>
      </w:r>
    </w:p>
    <w:p>
      <w:pPr>
        <w:spacing w:before="0" w:line="307" w:lineRule="exact"/>
        <w:ind w:left="696" w:right="0" w:firstLine="0"/>
        <w:jc w:val="left"/>
        <w:rPr>
          <w:rFonts w:ascii="Times New Roman" w:hAnsi="Times New Roman"/>
          <w:i/>
          <w:sz w:val="24"/>
        </w:rPr>
      </w:pPr>
      <w:r>
        <w:rPr>
          <w:spacing w:val="-8"/>
          <w:sz w:val="24"/>
        </w:rPr>
        <w:t xml:space="preserve">多源噪声叠加公式： </w:t>
      </w:r>
      <w:r>
        <w:rPr>
          <w:rFonts w:ascii="Times New Roman" w:hAnsi="Times New Roman"/>
          <w:i/>
          <w:w w:val="99"/>
          <w:sz w:val="24"/>
        </w:rPr>
        <w:t>L</w:t>
      </w:r>
      <w:r>
        <w:rPr>
          <w:rFonts w:ascii="Times New Roman" w:hAnsi="Times New Roman"/>
          <w:i/>
          <w:spacing w:val="6"/>
          <w:sz w:val="24"/>
        </w:rPr>
        <w:t xml:space="preserve"> </w:t>
      </w:r>
      <w:r>
        <w:rPr>
          <w:rFonts w:ascii="Symbol" w:hAnsi="Symbol"/>
          <w:w w:val="99"/>
          <w:sz w:val="24"/>
        </w:rPr>
        <w:t></w:t>
      </w:r>
      <w:r>
        <w:rPr>
          <w:rFonts w:ascii="Times New Roman" w:hAnsi="Times New Roman"/>
          <w:spacing w:val="-23"/>
          <w:sz w:val="24"/>
        </w:rPr>
        <w:t xml:space="preserve"> </w:t>
      </w:r>
      <w:r>
        <w:rPr>
          <w:rFonts w:ascii="Times New Roman" w:hAnsi="Times New Roman"/>
          <w:spacing w:val="-1"/>
          <w:w w:val="99"/>
          <w:sz w:val="24"/>
        </w:rPr>
        <w:t>1</w:t>
      </w:r>
      <w:r>
        <w:rPr>
          <w:rFonts w:ascii="Times New Roman" w:hAnsi="Times New Roman"/>
          <w:w w:val="99"/>
          <w:sz w:val="24"/>
        </w:rPr>
        <w:t>0</w:t>
      </w:r>
      <w:r>
        <w:rPr>
          <w:rFonts w:ascii="Times New Roman" w:hAnsi="Times New Roman"/>
          <w:spacing w:val="-27"/>
          <w:sz w:val="24"/>
        </w:rPr>
        <w:t xml:space="preserve"> </w:t>
      </w:r>
      <w:r>
        <w:rPr>
          <w:rFonts w:ascii="Times New Roman" w:hAnsi="Times New Roman"/>
          <w:sz w:val="24"/>
        </w:rPr>
        <w:t>l</w:t>
      </w:r>
      <w:r>
        <w:rPr>
          <w:rFonts w:ascii="Times New Roman" w:hAnsi="Times New Roman"/>
          <w:spacing w:val="-3"/>
          <w:sz w:val="24"/>
        </w:rPr>
        <w:t>g</w:t>
      </w:r>
      <w:r>
        <w:rPr>
          <w:rFonts w:ascii="Times New Roman" w:hAnsi="Times New Roman"/>
          <w:spacing w:val="-12"/>
          <w:sz w:val="24"/>
        </w:rPr>
        <w:t xml:space="preserve">( </w:t>
      </w:r>
      <w:r>
        <w:rPr>
          <w:rFonts w:ascii="Symbol" w:hAnsi="Symbol"/>
          <w:spacing w:val="7"/>
          <w:w w:val="102"/>
          <w:position w:val="-4"/>
          <w:sz w:val="35"/>
        </w:rPr>
        <w:t></w:t>
      </w:r>
      <w:r>
        <w:rPr>
          <w:rFonts w:ascii="Times New Roman" w:hAnsi="Times New Roman"/>
          <w:w w:val="99"/>
          <w:sz w:val="24"/>
        </w:rPr>
        <w:t>1</w:t>
      </w:r>
      <w:r>
        <w:rPr>
          <w:rFonts w:ascii="Times New Roman" w:hAnsi="Times New Roman"/>
          <w:spacing w:val="16"/>
          <w:w w:val="99"/>
          <w:sz w:val="24"/>
        </w:rPr>
        <w:t>0</w:t>
      </w:r>
      <w:r>
        <w:rPr>
          <w:rFonts w:ascii="Times New Roman" w:hAnsi="Times New Roman"/>
          <w:w w:val="99"/>
          <w:position w:val="11"/>
          <w:sz w:val="14"/>
        </w:rPr>
        <w:t>0.</w:t>
      </w:r>
      <w:r>
        <w:rPr>
          <w:rFonts w:ascii="Times New Roman" w:hAnsi="Times New Roman"/>
          <w:spacing w:val="-5"/>
          <w:w w:val="99"/>
          <w:position w:val="11"/>
          <w:sz w:val="14"/>
        </w:rPr>
        <w:t>1</w:t>
      </w:r>
      <w:r>
        <w:rPr>
          <w:rFonts w:ascii="Times New Roman" w:hAnsi="Times New Roman"/>
          <w:i/>
          <w:spacing w:val="-1"/>
          <w:w w:val="99"/>
          <w:position w:val="11"/>
          <w:sz w:val="14"/>
        </w:rPr>
        <w:t>l</w:t>
      </w:r>
      <w:r>
        <w:rPr>
          <w:rFonts w:ascii="Times New Roman" w:hAnsi="Times New Roman"/>
          <w:i/>
          <w:w w:val="99"/>
          <w:position w:val="11"/>
          <w:sz w:val="14"/>
        </w:rPr>
        <w:t>i</w:t>
      </w:r>
      <w:r>
        <w:rPr>
          <w:rFonts w:ascii="Times New Roman" w:hAnsi="Times New Roman"/>
          <w:i/>
          <w:spacing w:val="5"/>
          <w:position w:val="11"/>
          <w:sz w:val="14"/>
        </w:rPr>
        <w:t xml:space="preserve"> </w:t>
      </w:r>
      <w:r>
        <w:rPr>
          <w:rFonts w:ascii="Times New Roman" w:hAnsi="Times New Roman"/>
          <w:w w:val="99"/>
          <w:sz w:val="24"/>
        </w:rPr>
        <w:t>)</w:t>
      </w:r>
      <w:r>
        <w:rPr>
          <w:rFonts w:ascii="Times New Roman" w:hAnsi="Times New Roman"/>
          <w:spacing w:val="-12"/>
          <w:sz w:val="24"/>
        </w:rPr>
        <w:t xml:space="preserve"> </w:t>
      </w:r>
      <w:r>
        <w:rPr>
          <w:rFonts w:ascii="Symbol" w:hAnsi="Symbol"/>
          <w:w w:val="99"/>
          <w:sz w:val="24"/>
        </w:rPr>
        <w:t></w:t>
      </w:r>
      <w:r>
        <w:rPr>
          <w:rFonts w:ascii="Times New Roman" w:hAnsi="Times New Roman"/>
          <w:spacing w:val="-11"/>
          <w:sz w:val="24"/>
        </w:rPr>
        <w:t xml:space="preserve"> </w:t>
      </w:r>
      <w:r>
        <w:rPr>
          <w:rFonts w:ascii="Symbol" w:hAnsi="Symbol"/>
          <w:w w:val="99"/>
          <w:sz w:val="24"/>
        </w:rPr>
        <w:t></w:t>
      </w:r>
      <w:r>
        <w:rPr>
          <w:rFonts w:ascii="Times New Roman" w:hAnsi="Times New Roman"/>
          <w:i/>
          <w:w w:val="99"/>
          <w:sz w:val="24"/>
        </w:rPr>
        <w:t>L</w:t>
      </w:r>
    </w:p>
    <w:p>
      <w:pPr>
        <w:spacing w:before="0" w:line="160" w:lineRule="exact"/>
        <w:ind w:left="0" w:right="1983" w:firstLine="0"/>
        <w:jc w:val="center"/>
        <w:rPr>
          <w:rFonts w:ascii="Times New Roman" w:eastAsia="Times New Roman"/>
          <w:sz w:val="14"/>
        </w:rPr>
      </w:pPr>
      <w:r>
        <w:rPr>
          <w:rFonts w:ascii="Times New Roman" w:eastAsia="Times New Roman"/>
          <w:i/>
          <w:sz w:val="14"/>
        </w:rPr>
        <w:t>i</w:t>
      </w:r>
      <w:r>
        <w:rPr>
          <w:sz w:val="14"/>
        </w:rPr>
        <w:t>＝</w:t>
      </w:r>
      <w:r>
        <w:rPr>
          <w:rFonts w:ascii="Times New Roman" w:eastAsia="Times New Roman"/>
          <w:sz w:val="14"/>
        </w:rPr>
        <w:t>1</w:t>
      </w:r>
    </w:p>
    <w:p>
      <w:pPr>
        <w:pStyle w:val="6"/>
        <w:spacing w:before="4"/>
        <w:rPr>
          <w:rFonts w:ascii="Times New Roman"/>
          <w:sz w:val="13"/>
        </w:rPr>
      </w:pPr>
    </w:p>
    <w:p>
      <w:pPr>
        <w:pStyle w:val="6"/>
        <w:ind w:right="3988"/>
        <w:jc w:val="right"/>
      </w:pPr>
      <w:r>
        <w:rPr>
          <w:spacing w:val="-20"/>
        </w:rPr>
        <w:t xml:space="preserve">式中： </w:t>
      </w:r>
      <w:r>
        <w:rPr>
          <w:rFonts w:ascii="Times New Roman" w:hAnsi="Times New Roman" w:eastAsia="Times New Roman"/>
          <w:i/>
          <w:spacing w:val="-2"/>
          <w:w w:val="100"/>
          <w:position w:val="7"/>
          <w:sz w:val="32"/>
        </w:rPr>
        <w:t>L</w:t>
      </w:r>
      <w:r>
        <w:rPr>
          <w:rFonts w:ascii="Times New Roman" w:hAnsi="Times New Roman" w:eastAsia="Times New Roman"/>
          <w:spacing w:val="9"/>
          <w:w w:val="104"/>
          <w:position w:val="6"/>
          <w:sz w:val="12"/>
        </w:rPr>
        <w:t>(</w:t>
      </w:r>
      <w:r>
        <w:rPr>
          <w:rFonts w:ascii="Times New Roman" w:hAnsi="Times New Roman" w:eastAsia="Times New Roman"/>
          <w:i/>
          <w:w w:val="104"/>
          <w:position w:val="6"/>
          <w:sz w:val="12"/>
        </w:rPr>
        <w:t>r</w:t>
      </w:r>
      <w:r>
        <w:rPr>
          <w:rFonts w:ascii="Times New Roman" w:hAnsi="Times New Roman" w:eastAsia="Times New Roman"/>
          <w:i/>
          <w:spacing w:val="-16"/>
          <w:position w:val="6"/>
          <w:sz w:val="12"/>
        </w:rPr>
        <w:t xml:space="preserve"> </w:t>
      </w:r>
      <w:r>
        <w:rPr>
          <w:rFonts w:ascii="Times New Roman" w:hAnsi="Times New Roman" w:eastAsia="Times New Roman"/>
          <w:w w:val="104"/>
          <w:position w:val="6"/>
          <w:sz w:val="12"/>
        </w:rPr>
        <w:t>)</w:t>
      </w:r>
      <w:r>
        <w:rPr>
          <w:rFonts w:ascii="Times New Roman" w:hAnsi="Times New Roman" w:eastAsia="Times New Roman"/>
          <w:spacing w:val="1"/>
          <w:position w:val="6"/>
          <w:sz w:val="12"/>
        </w:rPr>
        <w:t xml:space="preserve"> </w:t>
      </w:r>
      <w:r>
        <w:rPr>
          <w:rFonts w:ascii="Times New Roman" w:hAnsi="Times New Roman" w:eastAsia="Times New Roman"/>
        </w:rPr>
        <w:t>—</w:t>
      </w:r>
      <w:r>
        <w:rPr>
          <w:spacing w:val="-5"/>
        </w:rPr>
        <w:t xml:space="preserve">点声源在预测点产生的噪声级 </w:t>
      </w:r>
      <w:r>
        <w:rPr>
          <w:rFonts w:ascii="Times New Roman" w:hAnsi="Times New Roman" w:eastAsia="Times New Roman"/>
        </w:rPr>
        <w:t>dB</w:t>
      </w:r>
      <w:r>
        <w:t>（</w:t>
      </w:r>
      <w:r>
        <w:rPr>
          <w:rFonts w:ascii="Times New Roman" w:hAnsi="Times New Roman" w:eastAsia="Times New Roman"/>
          <w:spacing w:val="-1"/>
        </w:rPr>
        <w:t>A</w:t>
      </w:r>
      <w:r>
        <w:t>）；</w:t>
      </w:r>
    </w:p>
    <w:p>
      <w:pPr>
        <w:spacing w:before="136"/>
        <w:ind w:left="0" w:right="4081" w:firstLine="0"/>
        <w:jc w:val="right"/>
        <w:rPr>
          <w:sz w:val="24"/>
        </w:rPr>
      </w:pPr>
      <w:r>
        <w:rPr>
          <w:rFonts w:ascii="Times New Roman" w:hAnsi="Times New Roman" w:eastAsia="Times New Roman"/>
          <w:i/>
          <w:spacing w:val="-2"/>
          <w:w w:val="100"/>
          <w:position w:val="11"/>
          <w:sz w:val="32"/>
        </w:rPr>
        <w:t>L</w:t>
      </w:r>
      <w:r>
        <w:rPr>
          <w:rFonts w:ascii="Times New Roman" w:hAnsi="Times New Roman" w:eastAsia="Times New Roman"/>
          <w:spacing w:val="7"/>
          <w:w w:val="104"/>
          <w:position w:val="10"/>
          <w:sz w:val="12"/>
        </w:rPr>
        <w:t>(</w:t>
      </w:r>
      <w:r>
        <w:rPr>
          <w:rFonts w:ascii="Times New Roman" w:hAnsi="Times New Roman" w:eastAsia="Times New Roman"/>
          <w:i/>
          <w:spacing w:val="12"/>
          <w:w w:val="102"/>
          <w:position w:val="5"/>
          <w:sz w:val="21"/>
        </w:rPr>
        <w:t>r</w:t>
      </w:r>
      <w:r>
        <w:rPr>
          <w:rFonts w:ascii="Times New Roman" w:hAnsi="Times New Roman" w:eastAsia="Times New Roman"/>
          <w:spacing w:val="7"/>
          <w:w w:val="99"/>
          <w:position w:val="4"/>
          <w:sz w:val="9"/>
        </w:rPr>
        <w:t>0</w:t>
      </w:r>
      <w:r>
        <w:rPr>
          <w:rFonts w:ascii="Times New Roman" w:hAnsi="Times New Roman" w:eastAsia="Times New Roman"/>
          <w:w w:val="104"/>
          <w:position w:val="10"/>
          <w:sz w:val="12"/>
        </w:rPr>
        <w:t>)</w:t>
      </w:r>
      <w:r>
        <w:rPr>
          <w:rFonts w:ascii="Times New Roman" w:hAnsi="Times New Roman" w:eastAsia="Times New Roman"/>
          <w:spacing w:val="8"/>
          <w:position w:val="10"/>
          <w:sz w:val="12"/>
        </w:rPr>
        <w:t xml:space="preserve"> </w:t>
      </w:r>
      <w:r>
        <w:rPr>
          <w:rFonts w:ascii="Times New Roman" w:hAnsi="Times New Roman" w:eastAsia="Times New Roman"/>
          <w:sz w:val="24"/>
        </w:rPr>
        <w:t>—</w:t>
      </w:r>
      <w:r>
        <w:rPr>
          <w:spacing w:val="8"/>
          <w:sz w:val="24"/>
        </w:rPr>
        <w:t>参考位置</w:t>
      </w:r>
      <w:r>
        <w:rPr>
          <w:rFonts w:ascii="Times New Roman" w:hAnsi="Times New Roman" w:eastAsia="Times New Roman"/>
          <w:i/>
          <w:spacing w:val="17"/>
          <w:w w:val="102"/>
          <w:position w:val="6"/>
          <w:sz w:val="35"/>
        </w:rPr>
        <w:t>r</w:t>
      </w:r>
      <w:r>
        <w:rPr>
          <w:rFonts w:ascii="Times New Roman" w:hAnsi="Times New Roman" w:eastAsia="Times New Roman"/>
          <w:w w:val="99"/>
          <w:position w:val="5"/>
          <w:sz w:val="14"/>
        </w:rPr>
        <w:t>0</w:t>
      </w:r>
      <w:r>
        <w:rPr>
          <w:rFonts w:ascii="Times New Roman" w:hAnsi="Times New Roman" w:eastAsia="Times New Roman"/>
          <w:spacing w:val="4"/>
          <w:position w:val="5"/>
          <w:sz w:val="14"/>
        </w:rPr>
        <w:t xml:space="preserve"> </w:t>
      </w:r>
      <w:r>
        <w:rPr>
          <w:spacing w:val="-8"/>
          <w:sz w:val="24"/>
        </w:rPr>
        <w:t xml:space="preserve">处的已知噪声级 </w:t>
      </w:r>
      <w:r>
        <w:rPr>
          <w:rFonts w:ascii="Times New Roman" w:hAnsi="Times New Roman" w:eastAsia="Times New Roman"/>
          <w:sz w:val="24"/>
        </w:rPr>
        <w:t>d</w:t>
      </w:r>
      <w:r>
        <w:rPr>
          <w:rFonts w:ascii="Times New Roman" w:hAnsi="Times New Roman" w:eastAsia="Times New Roman"/>
          <w:spacing w:val="-2"/>
          <w:sz w:val="24"/>
        </w:rPr>
        <w:t>B</w:t>
      </w:r>
      <w:r>
        <w:rPr>
          <w:sz w:val="24"/>
        </w:rPr>
        <w:t>（</w:t>
      </w:r>
      <w:r>
        <w:rPr>
          <w:rFonts w:ascii="Times New Roman" w:hAnsi="Times New Roman" w:eastAsia="Times New Roman"/>
          <w:spacing w:val="-1"/>
          <w:sz w:val="24"/>
        </w:rPr>
        <w:t>A</w:t>
      </w:r>
      <w:r>
        <w:rPr>
          <w:sz w:val="24"/>
        </w:rPr>
        <w:t>）；</w:t>
      </w:r>
    </w:p>
    <w:p>
      <w:pPr>
        <w:pStyle w:val="6"/>
        <w:spacing w:before="131" w:line="362" w:lineRule="auto"/>
        <w:ind w:left="1056" w:right="5452" w:firstLine="37"/>
      </w:pPr>
      <w:r>
        <w:rPr>
          <w:rFonts w:ascii="Symbol" w:hAnsi="Symbol" w:eastAsia="Symbol"/>
          <w:position w:val="4"/>
        </w:rPr>
        <w:t></w:t>
      </w:r>
      <w:r>
        <w:rPr>
          <w:rFonts w:ascii="Times New Roman" w:hAnsi="Times New Roman" w:eastAsia="Times New Roman"/>
          <w:position w:val="4"/>
        </w:rPr>
        <w:t xml:space="preserve"> </w:t>
      </w:r>
      <w:r>
        <w:rPr>
          <w:rFonts w:ascii="Times New Roman" w:hAnsi="Times New Roman" w:eastAsia="Times New Roman"/>
        </w:rPr>
        <w:t>L—</w:t>
      </w:r>
      <w:r>
        <w:t xml:space="preserve">各种因素引起的衰减量； </w:t>
      </w:r>
      <w:r>
        <w:rPr>
          <w:rFonts w:ascii="Times New Roman" w:hAnsi="Times New Roman" w:eastAsia="Times New Roman"/>
        </w:rPr>
        <w:t>r—</w:t>
      </w:r>
      <w:r>
        <w:t>关心点距噪声源距离；</w:t>
      </w:r>
    </w:p>
    <w:p>
      <w:pPr>
        <w:pStyle w:val="6"/>
        <w:spacing w:before="2" w:line="362" w:lineRule="auto"/>
        <w:ind w:left="1056" w:right="5827"/>
      </w:pPr>
      <w:r>
        <w:rPr>
          <w:rFonts w:ascii="Times New Roman" w:hAnsi="Times New Roman" w:eastAsia="Times New Roman"/>
          <w:position w:val="2"/>
        </w:rPr>
        <w:t>r</w:t>
      </w:r>
      <w:r>
        <w:rPr>
          <w:rFonts w:ascii="Times New Roman" w:hAnsi="Times New Roman" w:eastAsia="Times New Roman"/>
          <w:position w:val="2"/>
          <w:vertAlign w:val="subscript"/>
        </w:rPr>
        <w:t>o</w:t>
      </w:r>
      <w:r>
        <w:rPr>
          <w:rFonts w:ascii="Times New Roman" w:hAnsi="Times New Roman" w:eastAsia="Times New Roman"/>
          <w:position w:val="2"/>
          <w:vertAlign w:val="baseline"/>
        </w:rPr>
        <w:t>—</w:t>
      </w:r>
      <w:r>
        <w:rPr>
          <w:position w:val="2"/>
          <w:vertAlign w:val="baseline"/>
        </w:rPr>
        <w:t>参考位置距噪声源距离</w:t>
      </w:r>
      <w:r>
        <w:rPr>
          <w:rFonts w:ascii="Times New Roman" w:hAnsi="Times New Roman" w:eastAsia="Times New Roman"/>
          <w:vertAlign w:val="baseline"/>
        </w:rPr>
        <w:t>L—</w:t>
      </w:r>
      <w:r>
        <w:rPr>
          <w:vertAlign w:val="baseline"/>
        </w:rPr>
        <w:t xml:space="preserve">总等效 </w:t>
      </w:r>
      <w:r>
        <w:rPr>
          <w:rFonts w:ascii="Times New Roman" w:hAnsi="Times New Roman" w:eastAsia="Times New Roman"/>
          <w:vertAlign w:val="baseline"/>
        </w:rPr>
        <w:t xml:space="preserve">A </w:t>
      </w:r>
      <w:r>
        <w:rPr>
          <w:vertAlign w:val="baseline"/>
        </w:rPr>
        <w:t>声级，</w:t>
      </w:r>
      <w:r>
        <w:rPr>
          <w:rFonts w:ascii="Times New Roman" w:hAnsi="Times New Roman" w:eastAsia="Times New Roman"/>
          <w:vertAlign w:val="baseline"/>
        </w:rPr>
        <w:t>dB(A)</w:t>
      </w:r>
      <w:r>
        <w:rPr>
          <w:vertAlign w:val="baseline"/>
        </w:rPr>
        <w:t>；</w:t>
      </w:r>
    </w:p>
    <w:p>
      <w:pPr>
        <w:pStyle w:val="6"/>
        <w:spacing w:before="4"/>
        <w:ind w:left="1056"/>
      </w:pPr>
      <w:r>
        <w:rPr>
          <w:rFonts w:ascii="Times New Roman" w:hAnsi="Times New Roman" w:eastAsia="Times New Roman"/>
        </w:rPr>
        <w:t>Li—</w:t>
      </w:r>
      <w:r>
        <w:t xml:space="preserve">第 </w:t>
      </w:r>
      <w:r>
        <w:rPr>
          <w:rFonts w:ascii="Times New Roman" w:hAnsi="Times New Roman" w:eastAsia="Times New Roman"/>
        </w:rPr>
        <w:t xml:space="preserve">i </w:t>
      </w:r>
      <w:r>
        <w:t>个声源的声压级，</w:t>
      </w:r>
      <w:r>
        <w:rPr>
          <w:rFonts w:ascii="Times New Roman" w:hAnsi="Times New Roman" w:eastAsia="Times New Roman"/>
        </w:rPr>
        <w:t>dB(A)</w:t>
      </w:r>
      <w:r>
        <w:t>；</w:t>
      </w:r>
    </w:p>
    <w:p>
      <w:pPr>
        <w:pStyle w:val="6"/>
        <w:spacing w:before="158"/>
        <w:ind w:left="1056"/>
      </w:pPr>
      <w:r>
        <w:rPr>
          <w:rFonts w:ascii="Times New Roman" w:hAnsi="Times New Roman" w:eastAsia="Times New Roman"/>
        </w:rPr>
        <w:t>N—</w:t>
      </w:r>
      <w:r>
        <w:t>声源数量</w:t>
      </w:r>
    </w:p>
    <w:p>
      <w:pPr>
        <w:pStyle w:val="4"/>
        <w:numPr>
          <w:ilvl w:val="2"/>
          <w:numId w:val="67"/>
        </w:numPr>
        <w:tabs>
          <w:tab w:val="left" w:pos="917"/>
        </w:tabs>
        <w:spacing w:before="161" w:after="0" w:line="240" w:lineRule="auto"/>
        <w:ind w:left="916" w:right="0" w:hanging="702"/>
        <w:jc w:val="left"/>
      </w:pPr>
      <w:bookmarkStart w:id="804" w:name="9.4.4 噪声预测结果"/>
      <w:bookmarkEnd w:id="804"/>
      <w:bookmarkStart w:id="805" w:name="9.4.4 噪声预测结果"/>
      <w:bookmarkEnd w:id="805"/>
      <w:r>
        <w:t>噪声预测结果</w:t>
      </w:r>
    </w:p>
    <w:p>
      <w:pPr>
        <w:pStyle w:val="6"/>
        <w:spacing w:before="186" w:line="364" w:lineRule="auto"/>
        <w:ind w:left="215" w:right="580" w:firstLine="480"/>
      </w:pPr>
      <w:r>
        <w:t>选取本项目主要噪声设备作为点源，采用多源叠加的方法作出工程噪声预测，具体结果见下表。</w:t>
      </w:r>
    </w:p>
    <w:p>
      <w:pPr>
        <w:pStyle w:val="5"/>
        <w:spacing w:before="142" w:after="28"/>
        <w:ind w:left="3091"/>
      </w:pPr>
      <w:r>
        <w:t xml:space="preserve">表 </w:t>
      </w:r>
      <w:r>
        <w:rPr>
          <w:rFonts w:ascii="Times New Roman" w:eastAsia="Times New Roman"/>
        </w:rPr>
        <w:t xml:space="preserve">9.4-1 </w:t>
      </w:r>
      <w:r>
        <w:t>本项目噪声源强厂界预测值</w:t>
      </w:r>
    </w:p>
    <w:tbl>
      <w:tblPr>
        <w:tblStyle w:val="10"/>
        <w:tblW w:w="0" w:type="auto"/>
        <w:tblInd w:w="5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92"/>
        <w:gridCol w:w="42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4292" w:type="dxa"/>
          </w:tcPr>
          <w:p>
            <w:pPr>
              <w:pStyle w:val="14"/>
              <w:spacing w:before="45"/>
              <w:ind w:left="1282" w:right="1276"/>
              <w:rPr>
                <w:sz w:val="21"/>
              </w:rPr>
            </w:pPr>
            <w:r>
              <w:rPr>
                <w:sz w:val="21"/>
              </w:rPr>
              <w:t>位置</w:t>
            </w:r>
          </w:p>
        </w:tc>
        <w:tc>
          <w:tcPr>
            <w:tcW w:w="4236" w:type="dxa"/>
          </w:tcPr>
          <w:p>
            <w:pPr>
              <w:pStyle w:val="14"/>
              <w:spacing w:before="45"/>
              <w:ind w:left="1112" w:right="1101"/>
              <w:rPr>
                <w:sz w:val="21"/>
              </w:rPr>
            </w:pPr>
            <w:r>
              <w:rPr>
                <w:sz w:val="21"/>
              </w:rPr>
              <w:t xml:space="preserve">噪声贡献值 </w:t>
            </w:r>
            <w:r>
              <w:rPr>
                <w:rFonts w:ascii="Times New Roman" w:eastAsia="Times New Roman"/>
                <w:sz w:val="21"/>
              </w:rPr>
              <w:t>dB</w:t>
            </w:r>
            <w:r>
              <w:rPr>
                <w:sz w:val="21"/>
              </w:rPr>
              <w:t>（</w:t>
            </w:r>
            <w:r>
              <w:rPr>
                <w:rFonts w:ascii="Times New Roman" w:eastAsia="Times New Roman"/>
                <w:sz w:val="21"/>
              </w:rPr>
              <w:t>A</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4292" w:type="dxa"/>
          </w:tcPr>
          <w:p>
            <w:pPr>
              <w:pStyle w:val="14"/>
              <w:spacing w:before="45"/>
              <w:ind w:left="1285" w:right="1276"/>
              <w:rPr>
                <w:sz w:val="21"/>
              </w:rPr>
            </w:pPr>
            <w:r>
              <w:rPr>
                <w:sz w:val="21"/>
              </w:rPr>
              <w:t>工业广场东侧厂界</w:t>
            </w:r>
          </w:p>
        </w:tc>
        <w:tc>
          <w:tcPr>
            <w:tcW w:w="4236" w:type="dxa"/>
          </w:tcPr>
          <w:p>
            <w:pPr>
              <w:pStyle w:val="14"/>
              <w:spacing w:before="59"/>
              <w:ind w:left="1110" w:right="1101"/>
              <w:rPr>
                <w:rFonts w:ascii="Times New Roman"/>
                <w:sz w:val="21"/>
              </w:rPr>
            </w:pPr>
            <w:r>
              <w:rPr>
                <w:rFonts w:ascii="Times New Roman"/>
                <w:sz w:val="21"/>
              </w:rPr>
              <w:t>26.5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4292" w:type="dxa"/>
          </w:tcPr>
          <w:p>
            <w:pPr>
              <w:pStyle w:val="14"/>
              <w:spacing w:before="45"/>
              <w:ind w:left="1285" w:right="1276"/>
              <w:rPr>
                <w:sz w:val="21"/>
              </w:rPr>
            </w:pPr>
            <w:r>
              <w:rPr>
                <w:sz w:val="21"/>
              </w:rPr>
              <w:t>工业广场西侧厂界</w:t>
            </w:r>
          </w:p>
        </w:tc>
        <w:tc>
          <w:tcPr>
            <w:tcW w:w="4236" w:type="dxa"/>
          </w:tcPr>
          <w:p>
            <w:pPr>
              <w:pStyle w:val="14"/>
              <w:spacing w:before="59"/>
              <w:ind w:left="1110" w:right="1101"/>
              <w:rPr>
                <w:rFonts w:ascii="Times New Roman"/>
                <w:sz w:val="21"/>
              </w:rPr>
            </w:pPr>
            <w:r>
              <w:rPr>
                <w:rFonts w:ascii="Times New Roman"/>
                <w:sz w:val="21"/>
              </w:rPr>
              <w:t>21.3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4292" w:type="dxa"/>
          </w:tcPr>
          <w:p>
            <w:pPr>
              <w:pStyle w:val="14"/>
              <w:spacing w:before="44"/>
              <w:ind w:left="1285" w:right="1276"/>
              <w:rPr>
                <w:sz w:val="21"/>
              </w:rPr>
            </w:pPr>
            <w:r>
              <w:rPr>
                <w:sz w:val="21"/>
              </w:rPr>
              <w:t>工业广场南侧厂界</w:t>
            </w:r>
          </w:p>
        </w:tc>
        <w:tc>
          <w:tcPr>
            <w:tcW w:w="4236" w:type="dxa"/>
          </w:tcPr>
          <w:p>
            <w:pPr>
              <w:pStyle w:val="14"/>
              <w:spacing w:before="61"/>
              <w:ind w:left="1110" w:right="1101"/>
              <w:rPr>
                <w:rFonts w:ascii="Times New Roman"/>
                <w:sz w:val="21"/>
              </w:rPr>
            </w:pPr>
            <w:r>
              <w:rPr>
                <w:rFonts w:ascii="Times New Roman"/>
                <w:sz w:val="21"/>
              </w:rPr>
              <w:t>36.7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4292" w:type="dxa"/>
          </w:tcPr>
          <w:p>
            <w:pPr>
              <w:pStyle w:val="14"/>
              <w:spacing w:before="44"/>
              <w:ind w:left="1285" w:right="1276"/>
              <w:rPr>
                <w:sz w:val="21"/>
              </w:rPr>
            </w:pPr>
            <w:r>
              <w:rPr>
                <w:sz w:val="21"/>
              </w:rPr>
              <w:t>工业广场北侧厂界</w:t>
            </w:r>
          </w:p>
        </w:tc>
        <w:tc>
          <w:tcPr>
            <w:tcW w:w="4236" w:type="dxa"/>
          </w:tcPr>
          <w:p>
            <w:pPr>
              <w:pStyle w:val="14"/>
              <w:spacing w:before="60"/>
              <w:ind w:left="1110" w:right="1101"/>
              <w:rPr>
                <w:rFonts w:ascii="Times New Roman"/>
                <w:sz w:val="21"/>
              </w:rPr>
            </w:pPr>
            <w:r>
              <w:rPr>
                <w:rFonts w:ascii="Times New Roman"/>
                <w:sz w:val="21"/>
              </w:rPr>
              <w:t>32.8</w:t>
            </w:r>
          </w:p>
        </w:tc>
      </w:tr>
    </w:tbl>
    <w:p>
      <w:pPr>
        <w:spacing w:after="0"/>
        <w:rPr>
          <w:rFonts w:ascii="Times New Roman"/>
          <w:sz w:val="21"/>
        </w:rPr>
        <w:sectPr>
          <w:pgSz w:w="11910" w:h="16840"/>
          <w:pgMar w:top="1540" w:right="780" w:bottom="1320" w:left="1200" w:header="0" w:footer="1138" w:gutter="0"/>
        </w:sectPr>
      </w:pPr>
    </w:p>
    <w:p>
      <w:pPr>
        <w:pStyle w:val="6"/>
        <w:ind w:left="696"/>
        <w:rPr>
          <w:sz w:val="20"/>
        </w:rPr>
      </w:pPr>
      <w:r>
        <w:rPr>
          <w:sz w:val="20"/>
        </w:rPr>
        <w:drawing>
          <wp:inline distT="0" distB="0" distL="0" distR="0">
            <wp:extent cx="5789295" cy="6098540"/>
            <wp:effectExtent l="0" t="0" r="0" b="0"/>
            <wp:docPr id="7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2.jpeg"/>
                    <pic:cNvPicPr>
                      <a:picLocks noChangeAspect="1"/>
                    </pic:cNvPicPr>
                  </pic:nvPicPr>
                  <pic:blipFill>
                    <a:blip r:embed="rId77" cstate="print"/>
                    <a:stretch>
                      <a:fillRect/>
                    </a:stretch>
                  </pic:blipFill>
                  <pic:spPr>
                    <a:xfrm>
                      <a:off x="0" y="0"/>
                      <a:ext cx="5789598" cy="6099048"/>
                    </a:xfrm>
                    <a:prstGeom prst="rect">
                      <a:avLst/>
                    </a:prstGeom>
                  </pic:spPr>
                </pic:pic>
              </a:graphicData>
            </a:graphic>
          </wp:inline>
        </w:drawing>
      </w:r>
    </w:p>
    <w:p>
      <w:pPr>
        <w:pStyle w:val="6"/>
        <w:spacing w:before="3"/>
        <w:rPr>
          <w:b/>
          <w:sz w:val="16"/>
        </w:rPr>
      </w:pPr>
    </w:p>
    <w:p>
      <w:pPr>
        <w:spacing w:before="76"/>
        <w:ind w:left="2971" w:right="0" w:firstLine="0"/>
        <w:jc w:val="left"/>
        <w:rPr>
          <w:b/>
          <w:sz w:val="24"/>
        </w:rPr>
      </w:pPr>
      <w:r>
        <w:rPr>
          <w:b/>
          <w:sz w:val="24"/>
        </w:rPr>
        <w:t xml:space="preserve">图 </w:t>
      </w:r>
      <w:r>
        <w:rPr>
          <w:rFonts w:ascii="Times New Roman" w:eastAsia="Times New Roman"/>
          <w:b/>
          <w:sz w:val="24"/>
        </w:rPr>
        <w:t xml:space="preserve">9.4-1 </w:t>
      </w:r>
      <w:r>
        <w:rPr>
          <w:b/>
          <w:sz w:val="24"/>
        </w:rPr>
        <w:t>本项目噪声噪声等值线分布图</w:t>
      </w:r>
    </w:p>
    <w:p>
      <w:pPr>
        <w:pStyle w:val="6"/>
        <w:spacing w:before="139"/>
        <w:ind w:left="215" w:firstLine="480"/>
      </w:pPr>
      <w:r>
        <w:t>本项目选取低噪声设备，采取减振措施，经厂界距离衰减后厂界处噪声满足《工业</w:t>
      </w:r>
    </w:p>
    <w:p>
      <w:pPr>
        <w:pStyle w:val="6"/>
        <w:spacing w:before="2" w:line="440" w:lineRule="atLeast"/>
        <w:ind w:left="215" w:right="578"/>
      </w:pPr>
      <w:r>
        <w:t>企业厂界环境噪声排放标准》（</w:t>
      </w:r>
      <w:r>
        <w:rPr>
          <w:rFonts w:ascii="Times New Roman" w:eastAsia="Times New Roman"/>
        </w:rPr>
        <w:t>GB12348-2008</w:t>
      </w:r>
      <w:r>
        <w:t>）</w:t>
      </w:r>
      <w:r>
        <w:rPr>
          <w:rFonts w:ascii="Times New Roman" w:eastAsia="Times New Roman"/>
        </w:rPr>
        <w:t xml:space="preserve">2 </w:t>
      </w:r>
      <w:r>
        <w:t>类昼间标准，因此本项目噪声对环境的影响很小。</w:t>
      </w:r>
    </w:p>
    <w:p>
      <w:pPr>
        <w:pStyle w:val="4"/>
        <w:numPr>
          <w:ilvl w:val="2"/>
          <w:numId w:val="67"/>
        </w:numPr>
        <w:tabs>
          <w:tab w:val="left" w:pos="848"/>
        </w:tabs>
        <w:spacing w:before="21" w:after="0" w:line="240" w:lineRule="auto"/>
        <w:ind w:left="847" w:right="0" w:hanging="633"/>
        <w:jc w:val="left"/>
      </w:pPr>
      <w:bookmarkStart w:id="806" w:name="9.4.5声环境影响评价结论"/>
      <w:bookmarkEnd w:id="806"/>
      <w:bookmarkStart w:id="807" w:name="9.4.5声环境影响评价结论"/>
      <w:bookmarkEnd w:id="807"/>
      <w:r>
        <w:t>声环境影响评价结论</w:t>
      </w:r>
    </w:p>
    <w:p>
      <w:pPr>
        <w:pStyle w:val="6"/>
        <w:spacing w:before="3"/>
        <w:rPr>
          <w:b/>
          <w:sz w:val="23"/>
        </w:rPr>
      </w:pPr>
    </w:p>
    <w:p>
      <w:pPr>
        <w:pStyle w:val="6"/>
        <w:ind w:left="696"/>
        <w:rPr>
          <w:rFonts w:ascii="Times New Roman" w:eastAsia="Times New Roman"/>
        </w:rPr>
      </w:pPr>
      <w:r>
        <w:t>工业场地各厂界昼夜间声环境质量均满足《声环境质量标准》（</w:t>
      </w:r>
      <w:r>
        <w:rPr>
          <w:rFonts w:ascii="Times New Roman" w:eastAsia="Times New Roman"/>
        </w:rPr>
        <w:t>GB3096-2008</w:t>
      </w:r>
      <w:r>
        <w:t xml:space="preserve">）中 </w:t>
      </w:r>
      <w:r>
        <w:rPr>
          <w:rFonts w:ascii="Times New Roman" w:eastAsia="Times New Roman"/>
        </w:rPr>
        <w:t>2</w:t>
      </w:r>
    </w:p>
    <w:p>
      <w:pPr>
        <w:pStyle w:val="6"/>
        <w:spacing w:before="132"/>
        <w:ind w:left="215"/>
      </w:pPr>
      <w:r>
        <w:t>类标准的要求。区域内声环境质量良好。</w:t>
      </w:r>
    </w:p>
    <w:p>
      <w:pPr>
        <w:pStyle w:val="6"/>
        <w:spacing w:before="132"/>
        <w:ind w:left="696"/>
      </w:pPr>
      <w:r>
        <w:t>工业场地厂界噪声预测结果表明：项目运行期间工业场地厂界昼夜间噪声排放均满</w:t>
      </w:r>
    </w:p>
    <w:p>
      <w:pPr>
        <w:spacing w:after="0"/>
        <w:sectPr>
          <w:pgSz w:w="11910" w:h="16840"/>
          <w:pgMar w:top="1580" w:right="780" w:bottom="1320" w:left="1200" w:header="0" w:footer="1138" w:gutter="0"/>
        </w:sectPr>
      </w:pPr>
    </w:p>
    <w:p>
      <w:pPr>
        <w:pStyle w:val="6"/>
        <w:spacing w:before="116" w:line="343" w:lineRule="auto"/>
        <w:ind w:left="215" w:right="577"/>
        <w:jc w:val="both"/>
      </w:pPr>
      <w:r>
        <w:rPr>
          <w:spacing w:val="-9"/>
        </w:rPr>
        <w:t>足《工业企业厂界环境噪声排放标准》</w:t>
      </w:r>
      <w:r>
        <w:rPr>
          <w:rFonts w:ascii="Times New Roman" w:eastAsia="Times New Roman"/>
        </w:rPr>
        <w:t xml:space="preserve">2 </w:t>
      </w:r>
      <w:r>
        <w:rPr>
          <w:spacing w:val="-10"/>
        </w:rPr>
        <w:t xml:space="preserve">类区标准，本项目工业场地厂界及周围 </w:t>
      </w:r>
      <w:r>
        <w:rPr>
          <w:rFonts w:ascii="Times New Roman" w:eastAsia="Times New Roman"/>
        </w:rPr>
        <w:t xml:space="preserve">200m </w:t>
      </w:r>
      <w:r>
        <w:rPr>
          <w:spacing w:val="-16"/>
        </w:rPr>
        <w:t>以</w:t>
      </w:r>
      <w:r>
        <w:t>内无敏感目标，对周边环境影响较小。</w:t>
      </w:r>
    </w:p>
    <w:p>
      <w:pPr>
        <w:pStyle w:val="6"/>
        <w:spacing w:before="2" w:line="343" w:lineRule="auto"/>
        <w:ind w:left="215" w:right="580" w:firstLine="480"/>
        <w:jc w:val="both"/>
      </w:pPr>
      <w:r>
        <w:t>本项目产品运输均在昼间进行，矿方加强对运输车辆管理，杜绝超载现象，按期保养车辆保持车辆良好工况，运输车辆在经过沿线敏感目标时控制行驶速度，通过采取以上措施运输沿线公路交通噪声影响是可以接受的。</w:t>
      </w:r>
    </w:p>
    <w:p>
      <w:pPr>
        <w:pStyle w:val="6"/>
        <w:ind w:left="696"/>
      </w:pPr>
      <w:r>
        <w:t>因此，本项目的建设声环境影响可接受。</w:t>
      </w:r>
    </w:p>
    <w:p>
      <w:pPr>
        <w:pStyle w:val="3"/>
        <w:numPr>
          <w:ilvl w:val="1"/>
          <w:numId w:val="67"/>
        </w:numPr>
        <w:tabs>
          <w:tab w:val="left" w:pos="742"/>
        </w:tabs>
        <w:spacing w:before="22" w:after="0" w:line="240" w:lineRule="auto"/>
        <w:ind w:left="741" w:right="0" w:hanging="527"/>
        <w:jc w:val="left"/>
        <w:rPr>
          <w:rFonts w:ascii="Times New Roman" w:eastAsia="Times New Roman"/>
        </w:rPr>
      </w:pPr>
      <w:bookmarkStart w:id="808" w:name="9.5 声环境污染防治措施"/>
      <w:bookmarkEnd w:id="808"/>
      <w:bookmarkStart w:id="809" w:name="_bookmark55"/>
      <w:bookmarkEnd w:id="809"/>
      <w:bookmarkStart w:id="810" w:name="_bookmark55"/>
      <w:bookmarkEnd w:id="810"/>
      <w:r>
        <w:t>声环境污染防治措施</w:t>
      </w:r>
    </w:p>
    <w:p>
      <w:pPr>
        <w:pStyle w:val="13"/>
        <w:numPr>
          <w:ilvl w:val="0"/>
          <w:numId w:val="69"/>
        </w:numPr>
        <w:tabs>
          <w:tab w:val="left" w:pos="1297"/>
        </w:tabs>
        <w:spacing w:before="199" w:after="0" w:line="364" w:lineRule="auto"/>
        <w:ind w:left="215" w:right="578" w:firstLine="480"/>
        <w:jc w:val="both"/>
        <w:rPr>
          <w:sz w:val="24"/>
        </w:rPr>
      </w:pPr>
      <w:r>
        <w:rPr>
          <w:spacing w:val="-5"/>
          <w:sz w:val="24"/>
        </w:rPr>
        <w:t>矿井总平面布置应按照生产区和生活区功能布置原则，对场地内办公区、生</w:t>
      </w:r>
      <w:r>
        <w:rPr>
          <w:spacing w:val="-4"/>
          <w:sz w:val="24"/>
        </w:rPr>
        <w:t>产区和辅助生产区进行合理规划，生活区集中布置。生产区道路两侧和高噪声车间外四周还可种植滞尘、抗污染性较强且枝密叶茂的常绿树种，生活区选用常绿乔木和常绿灌木搭配种植，即可美化环境又可对降低噪声影响起到辅助作用。</w:t>
      </w:r>
    </w:p>
    <w:p>
      <w:pPr>
        <w:pStyle w:val="13"/>
        <w:numPr>
          <w:ilvl w:val="0"/>
          <w:numId w:val="69"/>
        </w:numPr>
        <w:tabs>
          <w:tab w:val="left" w:pos="1297"/>
        </w:tabs>
        <w:spacing w:before="0" w:after="0" w:line="364" w:lineRule="auto"/>
        <w:ind w:left="215" w:right="578" w:firstLine="480"/>
        <w:jc w:val="both"/>
        <w:rPr>
          <w:sz w:val="24"/>
        </w:rPr>
      </w:pPr>
      <w:r>
        <w:rPr>
          <w:spacing w:val="-5"/>
          <w:sz w:val="24"/>
        </w:rPr>
        <w:t>对矿井用各种机电产品选用时，除考虑满足生产工艺技术要求外，还必须考</w:t>
      </w:r>
      <w:r>
        <w:rPr>
          <w:spacing w:val="-4"/>
          <w:sz w:val="24"/>
        </w:rPr>
        <w:t>虑产品应具备良好的声学特征</w:t>
      </w:r>
      <w:r>
        <w:rPr>
          <w:sz w:val="24"/>
        </w:rPr>
        <w:t xml:space="preserve">（高效低噪），向供货制造设备厂方提出限制噪声要求， </w:t>
      </w:r>
      <w:r>
        <w:rPr>
          <w:spacing w:val="-4"/>
          <w:sz w:val="24"/>
        </w:rPr>
        <w:t>否则应与厂方协商提供相配套的降噪设施。</w:t>
      </w:r>
    </w:p>
    <w:p>
      <w:pPr>
        <w:pStyle w:val="13"/>
        <w:numPr>
          <w:ilvl w:val="0"/>
          <w:numId w:val="69"/>
        </w:numPr>
        <w:tabs>
          <w:tab w:val="left" w:pos="1297"/>
        </w:tabs>
        <w:spacing w:before="0" w:after="0" w:line="305" w:lineRule="exact"/>
        <w:ind w:left="1297" w:right="0" w:hanging="601"/>
        <w:jc w:val="left"/>
        <w:rPr>
          <w:sz w:val="24"/>
        </w:rPr>
      </w:pPr>
      <w:r>
        <w:rPr>
          <w:sz w:val="24"/>
        </w:rPr>
        <w:t>对工业场地通风机排风口设置消声扩散塔，并设隔声值班室。</w:t>
      </w:r>
    </w:p>
    <w:p>
      <w:pPr>
        <w:pStyle w:val="13"/>
        <w:numPr>
          <w:ilvl w:val="0"/>
          <w:numId w:val="69"/>
        </w:numPr>
        <w:tabs>
          <w:tab w:val="left" w:pos="1297"/>
        </w:tabs>
        <w:spacing w:before="158" w:after="0" w:line="364" w:lineRule="auto"/>
        <w:ind w:left="215" w:right="458" w:firstLine="480"/>
        <w:jc w:val="left"/>
        <w:rPr>
          <w:sz w:val="24"/>
        </w:rPr>
      </w:pPr>
      <w:r>
        <w:rPr>
          <w:spacing w:val="-11"/>
          <w:sz w:val="24"/>
        </w:rPr>
        <w:t>矿井工业场地的提升机房、压风机房、机修车间的外门、外窗选用隔声型结构</w:t>
      </w:r>
      <w:r>
        <w:rPr>
          <w:spacing w:val="-4"/>
          <w:sz w:val="24"/>
        </w:rPr>
        <w:t>；压风机进风口设阻抗复合消声器，室内设立隔声值班室。</w:t>
      </w:r>
    </w:p>
    <w:p>
      <w:pPr>
        <w:pStyle w:val="13"/>
        <w:numPr>
          <w:ilvl w:val="0"/>
          <w:numId w:val="69"/>
        </w:numPr>
        <w:tabs>
          <w:tab w:val="left" w:pos="1297"/>
        </w:tabs>
        <w:spacing w:before="0" w:after="0" w:line="306" w:lineRule="exact"/>
        <w:ind w:left="1297" w:right="0" w:hanging="601"/>
        <w:jc w:val="left"/>
        <w:rPr>
          <w:sz w:val="24"/>
        </w:rPr>
      </w:pPr>
      <w:r>
        <w:rPr>
          <w:sz w:val="24"/>
        </w:rPr>
        <w:t>对水泵房水泵基础采取减振、阻尼等降噪措施。</w:t>
      </w:r>
    </w:p>
    <w:p>
      <w:pPr>
        <w:pStyle w:val="13"/>
        <w:numPr>
          <w:ilvl w:val="0"/>
          <w:numId w:val="69"/>
        </w:numPr>
        <w:tabs>
          <w:tab w:val="left" w:pos="1297"/>
        </w:tabs>
        <w:spacing w:before="160" w:after="0" w:line="362" w:lineRule="auto"/>
        <w:ind w:left="215" w:right="469" w:firstLine="480"/>
        <w:jc w:val="left"/>
        <w:rPr>
          <w:sz w:val="24"/>
        </w:rPr>
      </w:pPr>
      <w:r>
        <w:rPr>
          <w:spacing w:val="-1"/>
          <w:sz w:val="24"/>
        </w:rPr>
        <w:t>在无法采取隔声、减振、阻尼等降噪措施的作业场所，工作人员应佩戴耳塞、</w:t>
      </w:r>
      <w:r>
        <w:rPr>
          <w:sz w:val="24"/>
        </w:rPr>
        <w:t>耳罩等劳保产品进行个人防护。</w:t>
      </w:r>
    </w:p>
    <w:p>
      <w:pPr>
        <w:pStyle w:val="6"/>
        <w:spacing w:before="5"/>
        <w:ind w:left="696"/>
      </w:pPr>
      <w:r>
        <w:t>通过采取以上措施，运行期声环境影响可接受。</w:t>
      </w:r>
    </w:p>
    <w:p>
      <w:pPr>
        <w:spacing w:after="0"/>
        <w:sectPr>
          <w:pgSz w:w="11910" w:h="16840"/>
          <w:pgMar w:top="1580" w:right="780" w:bottom="1320" w:left="1200" w:header="0" w:footer="1138" w:gutter="0"/>
        </w:sectPr>
      </w:pPr>
    </w:p>
    <w:p>
      <w:pPr>
        <w:pStyle w:val="2"/>
        <w:numPr>
          <w:ilvl w:val="0"/>
          <w:numId w:val="62"/>
        </w:numPr>
        <w:tabs>
          <w:tab w:val="left" w:pos="3202"/>
        </w:tabs>
        <w:spacing w:before="46" w:after="0" w:line="240" w:lineRule="auto"/>
        <w:ind w:left="3201" w:right="360" w:hanging="3202"/>
        <w:jc w:val="left"/>
      </w:pPr>
      <w:bookmarkStart w:id="811" w:name="10.固体废物环境影响分析"/>
      <w:bookmarkEnd w:id="811"/>
      <w:bookmarkStart w:id="812" w:name="_bookmark56"/>
      <w:bookmarkEnd w:id="812"/>
      <w:bookmarkStart w:id="813" w:name="_bookmark56"/>
      <w:bookmarkEnd w:id="813"/>
      <w:r>
        <w:t>固体废物环境影响分析</w:t>
      </w:r>
    </w:p>
    <w:p>
      <w:pPr>
        <w:pStyle w:val="4"/>
        <w:numPr>
          <w:ilvl w:val="1"/>
          <w:numId w:val="70"/>
        </w:numPr>
        <w:tabs>
          <w:tab w:val="left" w:pos="848"/>
        </w:tabs>
        <w:spacing w:before="240" w:after="0" w:line="240" w:lineRule="auto"/>
        <w:ind w:left="847" w:right="0" w:hanging="633"/>
        <w:jc w:val="left"/>
        <w:rPr>
          <w:rFonts w:ascii="Times New Roman" w:eastAsia="Times New Roman"/>
        </w:rPr>
      </w:pPr>
      <w:bookmarkStart w:id="814" w:name="_bookmark57"/>
      <w:bookmarkEnd w:id="814"/>
      <w:bookmarkStart w:id="815" w:name="_bookmark57"/>
      <w:bookmarkEnd w:id="815"/>
      <w:bookmarkStart w:id="816" w:name="10.1 建设期固体废物的处置"/>
      <w:bookmarkEnd w:id="816"/>
      <w:r>
        <w:t>建设期固体废物的处置</w:t>
      </w:r>
    </w:p>
    <w:p>
      <w:pPr>
        <w:pStyle w:val="6"/>
        <w:spacing w:before="186"/>
        <w:ind w:left="696"/>
      </w:pPr>
      <w:r>
        <w:t>施工期固体废物主要为掘进矸石、生活垃圾和施工产生的废渣土。</w:t>
      </w:r>
    </w:p>
    <w:p>
      <w:pPr>
        <w:pStyle w:val="13"/>
        <w:numPr>
          <w:ilvl w:val="2"/>
          <w:numId w:val="70"/>
        </w:numPr>
        <w:tabs>
          <w:tab w:val="left" w:pos="1297"/>
        </w:tabs>
        <w:spacing w:before="158" w:after="0" w:line="362" w:lineRule="auto"/>
        <w:ind w:left="215" w:right="577" w:firstLine="480"/>
        <w:jc w:val="left"/>
        <w:rPr>
          <w:sz w:val="24"/>
        </w:rPr>
      </w:pPr>
      <w:r>
        <w:rPr>
          <w:spacing w:val="-8"/>
          <w:sz w:val="24"/>
        </w:rPr>
        <w:t>施工期产生的废弃的砖块、石块、弃土、淤泥、废渣等建筑垃圾，送往临时矸</w:t>
      </w:r>
      <w:r>
        <w:rPr>
          <w:sz w:val="24"/>
        </w:rPr>
        <w:t>石堆暂存，进行路基回填或对采煤后地表出现的裂缝充填。</w:t>
      </w:r>
    </w:p>
    <w:p>
      <w:pPr>
        <w:pStyle w:val="6"/>
        <w:spacing w:before="5"/>
        <w:ind w:left="696"/>
      </w:pPr>
      <w:r>
        <w:t>剩余部分及时清运。</w:t>
      </w:r>
    </w:p>
    <w:p>
      <w:pPr>
        <w:pStyle w:val="13"/>
        <w:numPr>
          <w:ilvl w:val="2"/>
          <w:numId w:val="70"/>
        </w:numPr>
        <w:tabs>
          <w:tab w:val="left" w:pos="1297"/>
        </w:tabs>
        <w:spacing w:before="160" w:after="0" w:line="240" w:lineRule="auto"/>
        <w:ind w:left="1297" w:right="0" w:hanging="601"/>
        <w:jc w:val="left"/>
        <w:rPr>
          <w:sz w:val="24"/>
        </w:rPr>
      </w:pPr>
      <w:r>
        <w:rPr>
          <w:sz w:val="24"/>
        </w:rPr>
        <w:t>施工期施工人员产生的生活废水排入防渗旱厕。</w:t>
      </w:r>
    </w:p>
    <w:p>
      <w:pPr>
        <w:pStyle w:val="13"/>
        <w:numPr>
          <w:ilvl w:val="2"/>
          <w:numId w:val="70"/>
        </w:numPr>
        <w:tabs>
          <w:tab w:val="left" w:pos="1297"/>
        </w:tabs>
        <w:spacing w:before="158" w:after="0" w:line="364" w:lineRule="auto"/>
        <w:ind w:left="696" w:right="1909" w:firstLine="0"/>
        <w:jc w:val="left"/>
        <w:rPr>
          <w:sz w:val="24"/>
        </w:rPr>
      </w:pPr>
      <w:r>
        <w:rPr>
          <w:spacing w:val="-1"/>
          <w:sz w:val="24"/>
        </w:rPr>
        <w:t>生活垃圾可用垃圾桶集中收集后按市政环卫部门要求统一处理。</w:t>
      </w:r>
      <w:bookmarkStart w:id="817" w:name="采取以上措施后，施工期固体废物可做到100%处置。"/>
      <w:bookmarkEnd w:id="817"/>
      <w:r>
        <w:rPr>
          <w:spacing w:val="-4"/>
          <w:sz w:val="24"/>
        </w:rPr>
        <w:t xml:space="preserve">采取以上措施后，施工期固体废物可做到 </w:t>
      </w:r>
      <w:r>
        <w:rPr>
          <w:rFonts w:ascii="Times New Roman" w:eastAsia="Times New Roman"/>
          <w:sz w:val="24"/>
        </w:rPr>
        <w:t>100%</w:t>
      </w:r>
      <w:r>
        <w:rPr>
          <w:sz w:val="24"/>
        </w:rPr>
        <w:t>处置。</w:t>
      </w:r>
    </w:p>
    <w:p>
      <w:pPr>
        <w:pStyle w:val="4"/>
        <w:numPr>
          <w:ilvl w:val="1"/>
          <w:numId w:val="70"/>
        </w:numPr>
        <w:tabs>
          <w:tab w:val="left" w:pos="848"/>
        </w:tabs>
        <w:spacing w:before="0" w:after="0" w:line="358" w:lineRule="exact"/>
        <w:ind w:left="847" w:right="0" w:hanging="633"/>
        <w:jc w:val="left"/>
        <w:rPr>
          <w:rFonts w:ascii="Times New Roman" w:eastAsia="Times New Roman"/>
        </w:rPr>
      </w:pPr>
      <w:bookmarkStart w:id="818" w:name="10.2 运营期固体废物排放情况与处置措施分析"/>
      <w:bookmarkEnd w:id="818"/>
      <w:bookmarkStart w:id="819" w:name="_bookmark58"/>
      <w:bookmarkEnd w:id="819"/>
      <w:bookmarkStart w:id="820" w:name="_bookmark58"/>
      <w:bookmarkEnd w:id="820"/>
      <w:r>
        <w:t>运营期固体废物排放情况与处置措施分析</w:t>
      </w:r>
    </w:p>
    <w:p>
      <w:pPr>
        <w:pStyle w:val="13"/>
        <w:numPr>
          <w:ilvl w:val="0"/>
          <w:numId w:val="71"/>
        </w:numPr>
        <w:tabs>
          <w:tab w:val="left" w:pos="1297"/>
        </w:tabs>
        <w:spacing w:before="185" w:after="0" w:line="240" w:lineRule="auto"/>
        <w:ind w:left="1297" w:right="0" w:hanging="601"/>
        <w:jc w:val="left"/>
        <w:rPr>
          <w:sz w:val="24"/>
        </w:rPr>
      </w:pPr>
      <w:r>
        <w:rPr>
          <w:sz w:val="24"/>
        </w:rPr>
        <w:t>生活垃圾</w:t>
      </w:r>
    </w:p>
    <w:p>
      <w:pPr>
        <w:pStyle w:val="6"/>
        <w:spacing w:before="161" w:line="362" w:lineRule="auto"/>
        <w:ind w:left="215" w:right="577" w:firstLine="480"/>
      </w:pPr>
      <w:r>
        <w:rPr>
          <w:spacing w:val="-7"/>
        </w:rPr>
        <w:t xml:space="preserve">本项目工作人员为 </w:t>
      </w:r>
      <w:r>
        <w:rPr>
          <w:rFonts w:ascii="Times New Roman" w:hAnsi="Times New Roman" w:eastAsia="Times New Roman"/>
        </w:rPr>
        <w:t xml:space="preserve">665 </w:t>
      </w:r>
      <w:r>
        <w:rPr>
          <w:spacing w:val="-8"/>
        </w:rPr>
        <w:t xml:space="preserve">人，生活垃圾按 </w:t>
      </w:r>
      <w:r>
        <w:rPr>
          <w:rFonts w:ascii="Times New Roman" w:hAnsi="Times New Roman" w:eastAsia="Times New Roman"/>
        </w:rPr>
        <w:t>0.5kg/d</w:t>
      </w:r>
      <w:r>
        <w:t>·</w:t>
      </w:r>
      <w:r>
        <w:rPr>
          <w:spacing w:val="-5"/>
        </w:rPr>
        <w:t xml:space="preserve">人计算，生活垃圾产生量 </w:t>
      </w:r>
      <w:r>
        <w:rPr>
          <w:rFonts w:ascii="Times New Roman" w:hAnsi="Times New Roman" w:eastAsia="Times New Roman"/>
        </w:rPr>
        <w:t>110t/a</w:t>
      </w:r>
      <w:r>
        <w:rPr>
          <w:spacing w:val="-15"/>
        </w:rPr>
        <w:t>。</w:t>
      </w:r>
      <w:r>
        <w:t>生活垃圾集中收集，委托市政部门统一清运。</w:t>
      </w:r>
    </w:p>
    <w:p>
      <w:pPr>
        <w:pStyle w:val="13"/>
        <w:numPr>
          <w:ilvl w:val="0"/>
          <w:numId w:val="71"/>
        </w:numPr>
        <w:tabs>
          <w:tab w:val="left" w:pos="1297"/>
        </w:tabs>
        <w:spacing w:before="5" w:after="0" w:line="240" w:lineRule="auto"/>
        <w:ind w:left="1297" w:right="0" w:hanging="601"/>
        <w:jc w:val="left"/>
        <w:rPr>
          <w:sz w:val="24"/>
        </w:rPr>
      </w:pPr>
      <w:r>
        <w:rPr>
          <w:sz w:val="24"/>
        </w:rPr>
        <w:t>生活污水处理站污泥</w:t>
      </w:r>
    </w:p>
    <w:p>
      <w:pPr>
        <w:pStyle w:val="6"/>
        <w:spacing w:before="158"/>
        <w:ind w:left="696"/>
      </w:pPr>
      <w:r>
        <w:t xml:space="preserve">生活污水处理站产生污泥量约为 </w:t>
      </w:r>
      <w:r>
        <w:rPr>
          <w:rFonts w:ascii="Times New Roman" w:eastAsia="Times New Roman"/>
        </w:rPr>
        <w:t>100t/a</w:t>
      </w:r>
      <w:r>
        <w:t>，由市政部门统一清运。</w:t>
      </w:r>
    </w:p>
    <w:p>
      <w:pPr>
        <w:pStyle w:val="13"/>
        <w:numPr>
          <w:ilvl w:val="0"/>
          <w:numId w:val="71"/>
        </w:numPr>
        <w:tabs>
          <w:tab w:val="left" w:pos="1297"/>
        </w:tabs>
        <w:spacing w:before="160" w:after="0" w:line="240" w:lineRule="auto"/>
        <w:ind w:left="1297" w:right="0" w:hanging="601"/>
        <w:jc w:val="left"/>
        <w:rPr>
          <w:sz w:val="24"/>
        </w:rPr>
      </w:pPr>
      <w:r>
        <w:rPr>
          <w:sz w:val="24"/>
        </w:rPr>
        <w:t>矿井水处理站产生的污泥</w:t>
      </w:r>
    </w:p>
    <w:p>
      <w:pPr>
        <w:pStyle w:val="6"/>
        <w:spacing w:before="159"/>
        <w:ind w:left="696"/>
      </w:pPr>
      <w:r>
        <w:t xml:space="preserve">矿井水污泥主要为矿进水中的煤末，年产生量为 </w:t>
      </w:r>
      <w:r>
        <w:rPr>
          <w:rFonts w:ascii="Times New Roman" w:eastAsia="Times New Roman"/>
        </w:rPr>
        <w:t>1500t/a</w:t>
      </w:r>
      <w:r>
        <w:t>，压滤后外售。</w:t>
      </w:r>
    </w:p>
    <w:p>
      <w:pPr>
        <w:pStyle w:val="13"/>
        <w:numPr>
          <w:ilvl w:val="0"/>
          <w:numId w:val="71"/>
        </w:numPr>
        <w:tabs>
          <w:tab w:val="left" w:pos="1297"/>
        </w:tabs>
        <w:spacing w:before="160" w:after="0" w:line="240" w:lineRule="auto"/>
        <w:ind w:left="1297" w:right="0" w:hanging="601"/>
        <w:jc w:val="left"/>
        <w:rPr>
          <w:sz w:val="24"/>
        </w:rPr>
      </w:pPr>
      <w:r>
        <w:rPr>
          <w:sz w:val="24"/>
        </w:rPr>
        <w:t>炉灰</w:t>
      </w:r>
    </w:p>
    <w:p>
      <w:pPr>
        <w:pStyle w:val="6"/>
        <w:spacing w:before="158" w:line="364" w:lineRule="auto"/>
        <w:ind w:left="215" w:right="578" w:firstLine="480"/>
      </w:pPr>
      <w:r>
        <w:rPr>
          <w:spacing w:val="-5"/>
        </w:rPr>
        <w:t xml:space="preserve">炉灰为生物质燃料燃烧产生，经计算炉灰产生量约为 </w:t>
      </w:r>
      <w:r>
        <w:rPr>
          <w:rFonts w:ascii="Times New Roman" w:eastAsia="Times New Roman"/>
          <w:spacing w:val="-4"/>
        </w:rPr>
        <w:t>1340t/a</w:t>
      </w:r>
      <w:r>
        <w:rPr>
          <w:spacing w:val="-4"/>
        </w:rPr>
        <w:t>，锅炉灰渣全部作为农</w:t>
      </w:r>
      <w:r>
        <w:t>肥原料外售。</w:t>
      </w:r>
    </w:p>
    <w:p>
      <w:pPr>
        <w:pStyle w:val="13"/>
        <w:numPr>
          <w:ilvl w:val="0"/>
          <w:numId w:val="71"/>
        </w:numPr>
        <w:tabs>
          <w:tab w:val="left" w:pos="1297"/>
        </w:tabs>
        <w:spacing w:before="0" w:after="0" w:line="306" w:lineRule="exact"/>
        <w:ind w:left="1297" w:right="0" w:hanging="601"/>
        <w:jc w:val="left"/>
        <w:rPr>
          <w:sz w:val="24"/>
        </w:rPr>
      </w:pPr>
      <w:r>
        <w:rPr>
          <w:sz w:val="24"/>
        </w:rPr>
        <w:t>矸石</w:t>
      </w:r>
    </w:p>
    <w:p>
      <w:pPr>
        <w:pStyle w:val="6"/>
        <w:spacing w:before="161" w:line="364" w:lineRule="auto"/>
        <w:ind w:left="215" w:right="508" w:firstLine="480"/>
      </w:pPr>
      <w:r>
        <w:t xml:space="preserve">初步筛分栈桥产生的矸石按年产能的 </w:t>
      </w:r>
      <w:r>
        <w:rPr>
          <w:rFonts w:ascii="Times New Roman" w:eastAsia="Times New Roman"/>
        </w:rPr>
        <w:t>10%</w:t>
      </w:r>
      <w:r>
        <w:t xml:space="preserve">计，矸石产生量为 </w:t>
      </w:r>
      <w:r>
        <w:rPr>
          <w:rFonts w:ascii="Times New Roman" w:eastAsia="Times New Roman"/>
        </w:rPr>
        <w:t xml:space="preserve">3 </w:t>
      </w:r>
      <w:r>
        <w:t>万吨</w:t>
      </w:r>
      <w:r>
        <w:rPr>
          <w:rFonts w:ascii="Times New Roman" w:eastAsia="Times New Roman"/>
        </w:rPr>
        <w:t>/a</w:t>
      </w:r>
      <w:r>
        <w:t xml:space="preserve">，暂存于矸石临时堆放场，返回井下回填采空工作面，矸石临时堆放场地占地面积 </w:t>
      </w:r>
      <w:r>
        <w:rPr>
          <w:rFonts w:ascii="Times New Roman" w:eastAsia="Times New Roman"/>
        </w:rPr>
        <w:t>8570m</w:t>
      </w:r>
      <w:r>
        <w:rPr>
          <w:rFonts w:ascii="Times New Roman" w:eastAsia="Times New Roman"/>
          <w:position w:val="8"/>
          <w:sz w:val="15"/>
        </w:rPr>
        <w:t>2</w:t>
      </w:r>
      <w:r>
        <w:t>。</w:t>
      </w:r>
    </w:p>
    <w:p>
      <w:pPr>
        <w:pStyle w:val="13"/>
        <w:numPr>
          <w:ilvl w:val="0"/>
          <w:numId w:val="71"/>
        </w:numPr>
        <w:tabs>
          <w:tab w:val="left" w:pos="1297"/>
        </w:tabs>
        <w:spacing w:before="0" w:after="0" w:line="306" w:lineRule="exact"/>
        <w:ind w:left="1297" w:right="0" w:hanging="601"/>
        <w:jc w:val="left"/>
        <w:rPr>
          <w:sz w:val="24"/>
        </w:rPr>
      </w:pPr>
      <w:r>
        <w:rPr>
          <w:sz w:val="24"/>
        </w:rPr>
        <w:t>废机油</w:t>
      </w:r>
    </w:p>
    <w:p>
      <w:pPr>
        <w:pStyle w:val="6"/>
        <w:spacing w:before="160" w:line="362" w:lineRule="auto"/>
        <w:ind w:left="215" w:right="400" w:firstLine="480"/>
      </w:pPr>
      <w:r>
        <w:t xml:space="preserve">本项目废润滑油、废机油等产生量约为 </w:t>
      </w:r>
      <w:r>
        <w:rPr>
          <w:rFonts w:ascii="Times New Roman" w:eastAsia="Times New Roman"/>
        </w:rPr>
        <w:t>0.2t/a</w:t>
      </w:r>
      <w:r>
        <w:t>，在工业场地设置危废暂存库房一座， 由完好无损加盖容器分别储存，定期交由有资质单位进行无害化处置。</w:t>
      </w:r>
    </w:p>
    <w:p>
      <w:pPr>
        <w:pStyle w:val="3"/>
        <w:numPr>
          <w:ilvl w:val="1"/>
          <w:numId w:val="70"/>
        </w:numPr>
        <w:tabs>
          <w:tab w:val="left" w:pos="893"/>
        </w:tabs>
        <w:spacing w:before="5" w:after="0" w:line="240" w:lineRule="auto"/>
        <w:ind w:left="892" w:right="0" w:hanging="678"/>
        <w:jc w:val="left"/>
        <w:rPr>
          <w:rFonts w:ascii="Times New Roman" w:eastAsia="Times New Roman"/>
        </w:rPr>
      </w:pPr>
      <w:bookmarkStart w:id="821" w:name="10.3 固体废物环境的影响分析"/>
      <w:bookmarkEnd w:id="821"/>
      <w:bookmarkStart w:id="822" w:name="_bookmark59"/>
      <w:bookmarkEnd w:id="822"/>
      <w:bookmarkStart w:id="823" w:name="_bookmark59"/>
      <w:bookmarkEnd w:id="823"/>
      <w:r>
        <w:t>固体废物环境的影响分析</w:t>
      </w:r>
    </w:p>
    <w:p>
      <w:pPr>
        <w:pStyle w:val="4"/>
        <w:numPr>
          <w:ilvl w:val="2"/>
          <w:numId w:val="72"/>
        </w:numPr>
        <w:tabs>
          <w:tab w:val="left" w:pos="1056"/>
        </w:tabs>
        <w:spacing w:before="200" w:after="0" w:line="240" w:lineRule="auto"/>
        <w:ind w:left="1056" w:right="0" w:hanging="841"/>
        <w:jc w:val="left"/>
      </w:pPr>
      <w:bookmarkStart w:id="824" w:name="10.3.1 矸石堆存环境影响分析"/>
      <w:bookmarkEnd w:id="824"/>
      <w:bookmarkStart w:id="825" w:name="10.3.1 矸石堆存环境影响分析"/>
      <w:bookmarkEnd w:id="825"/>
      <w:r>
        <w:t>矸石堆存环境影响分析</w:t>
      </w:r>
    </w:p>
    <w:p>
      <w:pPr>
        <w:spacing w:after="0" w:line="240" w:lineRule="auto"/>
        <w:jc w:val="left"/>
        <w:sectPr>
          <w:pgSz w:w="11910" w:h="16840"/>
          <w:pgMar w:top="1540" w:right="780" w:bottom="1320" w:left="1200" w:header="0" w:footer="1138" w:gutter="0"/>
        </w:sectPr>
      </w:pPr>
    </w:p>
    <w:p>
      <w:pPr>
        <w:pStyle w:val="6"/>
        <w:spacing w:before="66" w:line="364" w:lineRule="auto"/>
        <w:ind w:left="215" w:right="578" w:firstLine="480"/>
        <w:jc w:val="both"/>
      </w:pPr>
      <w:r>
        <w:rPr>
          <w:spacing w:val="-8"/>
        </w:rPr>
        <w:t xml:space="preserve">本项目设置面积 </w:t>
      </w:r>
      <w:r>
        <w:rPr>
          <w:rFonts w:ascii="Times New Roman" w:eastAsia="Times New Roman"/>
        </w:rPr>
        <w:t>8570m</w:t>
      </w:r>
      <w:r>
        <w:rPr>
          <w:rFonts w:ascii="Times New Roman" w:eastAsia="Times New Roman"/>
          <w:position w:val="8"/>
          <w:sz w:val="15"/>
        </w:rPr>
        <w:t xml:space="preserve">2 </w:t>
      </w:r>
      <w:r>
        <w:rPr>
          <w:spacing w:val="-12"/>
        </w:rPr>
        <w:t>矸石临时堆放场，项目产生矸石用来平整工业场地；用作公</w:t>
      </w:r>
      <w:r>
        <w:rPr>
          <w:spacing w:val="-1"/>
        </w:rPr>
        <w:t>路的路基石料；用于填沟造地等。矸石排放对环境的影响主要表现在对环境空气、水体等环境要素的影响上，其影响程度与矸石的理化性质、矸石产量、矸石排放场地及处理</w:t>
      </w:r>
      <w:r>
        <w:t>方式有关。</w:t>
      </w:r>
    </w:p>
    <w:p>
      <w:pPr>
        <w:pStyle w:val="13"/>
        <w:numPr>
          <w:ilvl w:val="3"/>
          <w:numId w:val="72"/>
        </w:numPr>
        <w:tabs>
          <w:tab w:val="left" w:pos="1297"/>
        </w:tabs>
        <w:spacing w:before="0" w:after="0" w:line="305" w:lineRule="exact"/>
        <w:ind w:left="1297" w:right="0" w:hanging="601"/>
        <w:jc w:val="left"/>
        <w:rPr>
          <w:sz w:val="24"/>
        </w:rPr>
      </w:pPr>
      <w:r>
        <w:rPr>
          <w:sz w:val="24"/>
        </w:rPr>
        <w:t>矸石自燃的倾向判断和影响</w:t>
      </w:r>
    </w:p>
    <w:p>
      <w:pPr>
        <w:pStyle w:val="6"/>
        <w:spacing w:before="158" w:line="364" w:lineRule="auto"/>
        <w:ind w:left="215" w:right="525" w:firstLine="480"/>
      </w:pPr>
      <w:r>
        <w:rPr>
          <w:spacing w:val="-7"/>
        </w:rPr>
        <w:t xml:space="preserve">生产期矸石产生量 </w:t>
      </w:r>
      <w:r>
        <w:rPr>
          <w:rFonts w:ascii="Times New Roman" w:eastAsia="Times New Roman"/>
        </w:rPr>
        <w:t xml:space="preserve">3 </w:t>
      </w:r>
      <w:r>
        <w:rPr>
          <w:spacing w:val="-30"/>
        </w:rPr>
        <w:t xml:space="preserve">万 </w:t>
      </w:r>
      <w:r>
        <w:rPr>
          <w:rFonts w:ascii="Times New Roman" w:eastAsia="Times New Roman"/>
        </w:rPr>
        <w:t>t/a</w:t>
      </w:r>
      <w:r>
        <w:rPr>
          <w:spacing w:val="-1"/>
        </w:rPr>
        <w:t xml:space="preserve">，矸石产生量较小。矸石临时堆放场在工业场地东南角， </w:t>
      </w:r>
      <w:r>
        <w:rPr>
          <w:spacing w:val="-12"/>
        </w:rPr>
        <w:t xml:space="preserve">占地面积 </w:t>
      </w:r>
      <w:r>
        <w:rPr>
          <w:rFonts w:ascii="Times New Roman" w:eastAsia="Times New Roman"/>
        </w:rPr>
        <w:t>8570m</w:t>
      </w:r>
      <w:r>
        <w:rPr>
          <w:rFonts w:ascii="Times New Roman" w:eastAsia="Times New Roman"/>
          <w:position w:val="8"/>
          <w:sz w:val="15"/>
        </w:rPr>
        <w:t>2</w:t>
      </w:r>
      <w:r>
        <w:t>。</w:t>
      </w:r>
    </w:p>
    <w:p>
      <w:pPr>
        <w:pStyle w:val="6"/>
        <w:spacing w:before="1" w:line="364" w:lineRule="auto"/>
        <w:ind w:left="215" w:right="457" w:firstLine="480"/>
      </w:pPr>
      <w:r>
        <w:t>根据《双鸭山大顺矿业有限公司改扩建煤炭资源开发利用方案》可知，产生的矸石</w:t>
      </w:r>
      <w:r>
        <w:rPr>
          <w:spacing w:val="-9"/>
        </w:rPr>
        <w:t xml:space="preserve">一部分可用于井下采空区的充填，其余部分由 </w:t>
      </w:r>
      <w:r>
        <w:rPr>
          <w:rFonts w:ascii="Times New Roman" w:eastAsia="Times New Roman"/>
        </w:rPr>
        <w:t xml:space="preserve">1t </w:t>
      </w:r>
      <w:r>
        <w:rPr>
          <w:spacing w:val="-11"/>
        </w:rPr>
        <w:t xml:space="preserve">矿车提运出井后，沿窄轨甩车至翻车机， </w:t>
      </w:r>
      <w:r>
        <w:t>翻车机卸矸，然后再由矸石山绞车牵引三面翻矸车运至临时排矸场地。大部分井下矸石及时运出，只有小部分存在矸石场地。矸石在矸石临时堆放场内暂存，定期进行洒水降尘，及时进行井下回填或外运，不长期堆放，因此矸石自燃可能性极小。</w:t>
      </w:r>
    </w:p>
    <w:p>
      <w:pPr>
        <w:pStyle w:val="13"/>
        <w:numPr>
          <w:ilvl w:val="3"/>
          <w:numId w:val="72"/>
        </w:numPr>
        <w:tabs>
          <w:tab w:val="left" w:pos="1297"/>
        </w:tabs>
        <w:spacing w:before="0" w:after="0" w:line="303" w:lineRule="exact"/>
        <w:ind w:left="1297" w:right="0" w:hanging="601"/>
        <w:jc w:val="left"/>
        <w:rPr>
          <w:sz w:val="24"/>
        </w:rPr>
      </w:pPr>
      <w:r>
        <w:rPr>
          <w:sz w:val="24"/>
        </w:rPr>
        <w:t>矸石扬尘对环境污染影响分析</w:t>
      </w:r>
    </w:p>
    <w:p>
      <w:pPr>
        <w:pStyle w:val="6"/>
        <w:spacing w:before="161"/>
        <w:ind w:left="696"/>
      </w:pPr>
      <w:r>
        <w:t>固体物料起尘条件主要取决于其粒度、表面含水量和风速的大小。</w:t>
      </w:r>
    </w:p>
    <w:p>
      <w:pPr>
        <w:pStyle w:val="6"/>
        <w:spacing w:before="158" w:line="364" w:lineRule="auto"/>
        <w:ind w:left="215" w:right="580" w:firstLine="480"/>
      </w:pPr>
      <w:r>
        <w:t>大顺煤矿矸石产生后在矸石临时堆放场暂存，定期洒水降尘，矸石用来平整工业场地；用作公路的路基石料；用于填沟造地，矸石扬尘对周边环境影响较小。</w:t>
      </w:r>
    </w:p>
    <w:p>
      <w:pPr>
        <w:pStyle w:val="13"/>
        <w:numPr>
          <w:ilvl w:val="3"/>
          <w:numId w:val="72"/>
        </w:numPr>
        <w:tabs>
          <w:tab w:val="left" w:pos="1297"/>
        </w:tabs>
        <w:spacing w:before="0" w:after="0" w:line="306" w:lineRule="exact"/>
        <w:ind w:left="1297" w:right="0" w:hanging="601"/>
        <w:jc w:val="left"/>
        <w:rPr>
          <w:sz w:val="24"/>
        </w:rPr>
      </w:pPr>
      <w:r>
        <w:rPr>
          <w:sz w:val="24"/>
        </w:rPr>
        <w:t>矸石淋溶水对水环境的影响</w:t>
      </w:r>
    </w:p>
    <w:p>
      <w:pPr>
        <w:pStyle w:val="6"/>
        <w:spacing w:before="160" w:line="364" w:lineRule="auto"/>
        <w:ind w:left="215" w:right="580" w:firstLine="480"/>
        <w:jc w:val="both"/>
      </w:pPr>
      <w:r>
        <w:t>矸石露天堆放，经降雨淋溶后，可溶解性元素随雨水迁移进入土壤和水体，可能会对土壤、地表水及地下水产生一定的影响。其影响程度取决于矸石成分、淋溶液中污染物的排放情况及所在地的环境地质条件。</w:t>
      </w:r>
    </w:p>
    <w:p>
      <w:pPr>
        <w:pStyle w:val="6"/>
        <w:spacing w:line="364" w:lineRule="auto"/>
        <w:ind w:left="215" w:right="578" w:firstLine="480"/>
        <w:jc w:val="both"/>
      </w:pPr>
      <w:r>
        <w:rPr>
          <w:spacing w:val="-4"/>
        </w:rPr>
        <w:t xml:space="preserve">本次环评采用黑龙江康和检测有限公司于 </w:t>
      </w:r>
      <w:r>
        <w:rPr>
          <w:rFonts w:ascii="Times New Roman" w:eastAsia="Times New Roman"/>
        </w:rPr>
        <w:t xml:space="preserve">2020 </w:t>
      </w:r>
      <w:r>
        <w:rPr>
          <w:spacing w:val="-30"/>
        </w:rPr>
        <w:t xml:space="preserve">年 </w:t>
      </w:r>
      <w:r>
        <w:rPr>
          <w:rFonts w:ascii="Times New Roman" w:eastAsia="Times New Roman"/>
        </w:rPr>
        <w:t xml:space="preserve">6 </w:t>
      </w:r>
      <w:r>
        <w:rPr>
          <w:spacing w:val="-10"/>
        </w:rPr>
        <w:t xml:space="preserve">月进行了矸石浸出实验结果，测试结果如表 </w:t>
      </w:r>
      <w:r>
        <w:rPr>
          <w:rFonts w:ascii="Times New Roman" w:eastAsia="Times New Roman"/>
        </w:rPr>
        <w:t>10.3-1</w:t>
      </w:r>
      <w:r>
        <w:t>。</w:t>
      </w:r>
    </w:p>
    <w:p>
      <w:pPr>
        <w:pStyle w:val="5"/>
        <w:tabs>
          <w:tab w:val="left" w:pos="1161"/>
        </w:tabs>
        <w:spacing w:after="4" w:line="304" w:lineRule="exact"/>
        <w:ind w:right="355"/>
        <w:jc w:val="center"/>
      </w:pPr>
      <w:r>
        <w:t>表</w:t>
      </w:r>
      <w:r>
        <w:rPr>
          <w:spacing w:val="-62"/>
        </w:rPr>
        <w:t xml:space="preserve"> </w:t>
      </w:r>
      <w:r>
        <w:rPr>
          <w:rFonts w:ascii="Times New Roman" w:eastAsia="Times New Roman"/>
        </w:rPr>
        <w:t>10.3-1</w:t>
      </w:r>
      <w:r>
        <w:rPr>
          <w:rFonts w:ascii="Times New Roman" w:eastAsia="Times New Roman"/>
        </w:rPr>
        <w:tab/>
      </w:r>
      <w:r>
        <w:t>矸石淋溶液监测结果</w:t>
      </w:r>
    </w:p>
    <w:tbl>
      <w:tblPr>
        <w:tblStyle w:val="10"/>
        <w:tblW w:w="0" w:type="auto"/>
        <w:tblInd w:w="4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11"/>
        <w:gridCol w:w="890"/>
        <w:gridCol w:w="2316"/>
        <w:gridCol w:w="36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1811" w:type="dxa"/>
          </w:tcPr>
          <w:p>
            <w:pPr>
              <w:pStyle w:val="14"/>
              <w:spacing w:before="3"/>
              <w:jc w:val="left"/>
              <w:rPr>
                <w:b/>
                <w:sz w:val="21"/>
              </w:rPr>
            </w:pPr>
          </w:p>
          <w:p>
            <w:pPr>
              <w:pStyle w:val="14"/>
              <w:spacing w:before="1"/>
              <w:ind w:left="97" w:right="92"/>
              <w:rPr>
                <w:sz w:val="21"/>
              </w:rPr>
            </w:pPr>
            <w:r>
              <w:rPr>
                <w:sz w:val="21"/>
              </w:rPr>
              <w:t>项目</w:t>
            </w:r>
          </w:p>
        </w:tc>
        <w:tc>
          <w:tcPr>
            <w:tcW w:w="890" w:type="dxa"/>
          </w:tcPr>
          <w:p>
            <w:pPr>
              <w:pStyle w:val="14"/>
              <w:spacing w:before="136" w:line="242" w:lineRule="auto"/>
              <w:ind w:left="234" w:right="225"/>
              <w:jc w:val="left"/>
              <w:rPr>
                <w:sz w:val="21"/>
              </w:rPr>
            </w:pPr>
            <w:r>
              <w:rPr>
                <w:sz w:val="21"/>
              </w:rPr>
              <w:t>分析结果</w:t>
            </w:r>
          </w:p>
        </w:tc>
        <w:tc>
          <w:tcPr>
            <w:tcW w:w="2316" w:type="dxa"/>
          </w:tcPr>
          <w:p>
            <w:pPr>
              <w:pStyle w:val="14"/>
              <w:spacing w:line="268" w:lineRule="exact"/>
              <w:ind w:left="275"/>
              <w:jc w:val="left"/>
              <w:rPr>
                <w:rFonts w:ascii="Times New Roman" w:eastAsia="Times New Roman"/>
                <w:sz w:val="21"/>
              </w:rPr>
            </w:pPr>
            <w:r>
              <w:rPr>
                <w:sz w:val="21"/>
              </w:rPr>
              <w:t xml:space="preserve">最高允许浓度 </w:t>
            </w:r>
            <w:r>
              <w:rPr>
                <w:rFonts w:ascii="Times New Roman" w:eastAsia="Times New Roman"/>
                <w:sz w:val="21"/>
              </w:rPr>
              <w:t>mg/L</w:t>
            </w:r>
          </w:p>
          <w:p>
            <w:pPr>
              <w:pStyle w:val="14"/>
              <w:spacing w:before="3" w:line="270" w:lineRule="atLeast"/>
              <w:ind w:left="107" w:right="-15"/>
              <w:jc w:val="left"/>
              <w:rPr>
                <w:sz w:val="21"/>
              </w:rPr>
            </w:pPr>
            <w:r>
              <w:rPr>
                <w:sz w:val="21"/>
              </w:rPr>
              <w:t>《煤炭工业污染物排放</w:t>
            </w:r>
            <w:r>
              <w:rPr>
                <w:spacing w:val="-50"/>
                <w:sz w:val="21"/>
              </w:rPr>
              <w:t>标准》</w:t>
            </w:r>
            <w:r>
              <w:rPr>
                <w:sz w:val="21"/>
              </w:rPr>
              <w:t>（</w:t>
            </w:r>
            <w:r>
              <w:rPr>
                <w:rFonts w:ascii="Times New Roman" w:eastAsia="Times New Roman"/>
                <w:sz w:val="21"/>
              </w:rPr>
              <w:t>GB20426-2006</w:t>
            </w:r>
            <w:r>
              <w:rPr>
                <w:sz w:val="21"/>
              </w:rPr>
              <w:t>）</w:t>
            </w:r>
          </w:p>
        </w:tc>
        <w:tc>
          <w:tcPr>
            <w:tcW w:w="3601" w:type="dxa"/>
          </w:tcPr>
          <w:p>
            <w:pPr>
              <w:pStyle w:val="14"/>
              <w:spacing w:before="3"/>
              <w:jc w:val="left"/>
              <w:rPr>
                <w:b/>
                <w:sz w:val="21"/>
              </w:rPr>
            </w:pPr>
          </w:p>
          <w:p>
            <w:pPr>
              <w:pStyle w:val="14"/>
              <w:spacing w:before="1"/>
              <w:ind w:left="959"/>
              <w:jc w:val="left"/>
              <w:rPr>
                <w:sz w:val="21"/>
              </w:rPr>
            </w:pPr>
            <w:r>
              <w:rPr>
                <w:sz w:val="21"/>
              </w:rPr>
              <w:t>分析方法及标准号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1811" w:type="dxa"/>
          </w:tcPr>
          <w:p>
            <w:pPr>
              <w:pStyle w:val="14"/>
              <w:spacing w:before="120"/>
              <w:ind w:left="99" w:right="92"/>
              <w:rPr>
                <w:sz w:val="21"/>
              </w:rPr>
            </w:pPr>
            <w:r>
              <w:rPr>
                <w:rFonts w:ascii="Times New Roman" w:eastAsia="Times New Roman"/>
                <w:sz w:val="21"/>
              </w:rPr>
              <w:t xml:space="preserve">pH </w:t>
            </w:r>
            <w:r>
              <w:rPr>
                <w:sz w:val="21"/>
              </w:rPr>
              <w:t>值（无量纲）</w:t>
            </w:r>
          </w:p>
        </w:tc>
        <w:tc>
          <w:tcPr>
            <w:tcW w:w="890" w:type="dxa"/>
          </w:tcPr>
          <w:p>
            <w:pPr>
              <w:pStyle w:val="14"/>
              <w:spacing w:before="136"/>
              <w:ind w:left="260"/>
              <w:jc w:val="left"/>
              <w:rPr>
                <w:rFonts w:ascii="Times New Roman"/>
                <w:sz w:val="21"/>
              </w:rPr>
            </w:pPr>
            <w:bookmarkStart w:id="826" w:name="7.23"/>
            <w:bookmarkEnd w:id="826"/>
            <w:r>
              <w:rPr>
                <w:rFonts w:ascii="Times New Roman"/>
                <w:sz w:val="21"/>
              </w:rPr>
              <w:t>7.23</w:t>
            </w:r>
          </w:p>
        </w:tc>
        <w:tc>
          <w:tcPr>
            <w:tcW w:w="2316" w:type="dxa"/>
          </w:tcPr>
          <w:p>
            <w:pPr>
              <w:pStyle w:val="14"/>
              <w:spacing w:before="134"/>
              <w:ind w:left="995"/>
              <w:jc w:val="left"/>
              <w:rPr>
                <w:rFonts w:ascii="Times New Roman"/>
                <w:sz w:val="21"/>
              </w:rPr>
            </w:pPr>
            <w:r>
              <w:rPr>
                <w:rFonts w:ascii="Times New Roman"/>
                <w:sz w:val="21"/>
              </w:rPr>
              <w:t>6~9</w:t>
            </w:r>
          </w:p>
        </w:tc>
        <w:tc>
          <w:tcPr>
            <w:tcW w:w="3601" w:type="dxa"/>
          </w:tcPr>
          <w:p>
            <w:pPr>
              <w:pStyle w:val="14"/>
              <w:ind w:left="98" w:right="90"/>
              <w:rPr>
                <w:sz w:val="21"/>
              </w:rPr>
            </w:pPr>
            <w:r>
              <w:rPr>
                <w:sz w:val="21"/>
              </w:rPr>
              <w:t>固体废物腐蚀性的测定玻璃电极法</w:t>
            </w:r>
          </w:p>
          <w:p>
            <w:pPr>
              <w:pStyle w:val="14"/>
              <w:spacing w:before="2" w:line="222" w:lineRule="exact"/>
              <w:ind w:left="98" w:right="87"/>
              <w:rPr>
                <w:rFonts w:ascii="Times New Roman"/>
                <w:sz w:val="21"/>
              </w:rPr>
            </w:pPr>
            <w:r>
              <w:rPr>
                <w:rFonts w:ascii="Times New Roman"/>
                <w:sz w:val="21"/>
              </w:rPr>
              <w:t>GB/T 15555.12-1995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811" w:type="dxa"/>
          </w:tcPr>
          <w:p>
            <w:pPr>
              <w:pStyle w:val="14"/>
              <w:spacing w:before="135"/>
              <w:ind w:left="99" w:right="89"/>
              <w:rPr>
                <w:sz w:val="21"/>
              </w:rPr>
            </w:pPr>
            <w:r>
              <w:rPr>
                <w:sz w:val="21"/>
              </w:rPr>
              <w:t>总汞（</w:t>
            </w:r>
            <w:r>
              <w:rPr>
                <w:rFonts w:ascii="Times New Roman" w:hAnsi="Times New Roman" w:eastAsia="Times New Roman"/>
                <w:sz w:val="21"/>
              </w:rPr>
              <w:t>μg/L</w:t>
            </w:r>
            <w:r>
              <w:rPr>
                <w:sz w:val="21"/>
              </w:rPr>
              <w:t>）</w:t>
            </w:r>
          </w:p>
        </w:tc>
        <w:tc>
          <w:tcPr>
            <w:tcW w:w="890" w:type="dxa"/>
          </w:tcPr>
          <w:p>
            <w:pPr>
              <w:pStyle w:val="14"/>
              <w:spacing w:before="153"/>
              <w:ind w:left="200"/>
              <w:jc w:val="left"/>
              <w:rPr>
                <w:rFonts w:ascii="Times New Roman"/>
                <w:sz w:val="21"/>
              </w:rPr>
            </w:pPr>
            <w:bookmarkStart w:id="827" w:name="&lt;0.05"/>
            <w:bookmarkEnd w:id="827"/>
            <w:r>
              <w:rPr>
                <w:rFonts w:ascii="Times New Roman"/>
                <w:sz w:val="21"/>
              </w:rPr>
              <w:t>&lt;0.05</w:t>
            </w:r>
          </w:p>
        </w:tc>
        <w:tc>
          <w:tcPr>
            <w:tcW w:w="2316" w:type="dxa"/>
          </w:tcPr>
          <w:p>
            <w:pPr>
              <w:pStyle w:val="14"/>
              <w:spacing w:before="151"/>
              <w:ind w:left="973"/>
              <w:jc w:val="left"/>
              <w:rPr>
                <w:rFonts w:ascii="Times New Roman"/>
                <w:sz w:val="21"/>
              </w:rPr>
            </w:pPr>
            <w:r>
              <w:rPr>
                <w:rFonts w:ascii="Times New Roman"/>
                <w:sz w:val="21"/>
              </w:rPr>
              <w:t>0.05</w:t>
            </w:r>
          </w:p>
        </w:tc>
        <w:tc>
          <w:tcPr>
            <w:tcW w:w="3601" w:type="dxa"/>
          </w:tcPr>
          <w:p>
            <w:pPr>
              <w:pStyle w:val="14"/>
              <w:ind w:left="98" w:right="93"/>
              <w:rPr>
                <w:sz w:val="21"/>
              </w:rPr>
            </w:pPr>
            <w:r>
              <w:rPr>
                <w:sz w:val="21"/>
              </w:rPr>
              <w:t>固体废物总汞的测定冷原子吸收分光</w:t>
            </w:r>
          </w:p>
          <w:p>
            <w:pPr>
              <w:pStyle w:val="14"/>
              <w:spacing w:before="5" w:line="251" w:lineRule="exact"/>
              <w:ind w:left="98" w:right="87"/>
              <w:rPr>
                <w:rFonts w:ascii="Times New Roman" w:eastAsia="Times New Roman"/>
                <w:sz w:val="21"/>
              </w:rPr>
            </w:pPr>
            <w:r>
              <w:rPr>
                <w:sz w:val="21"/>
              </w:rPr>
              <w:t xml:space="preserve">光度法 </w:t>
            </w:r>
            <w:r>
              <w:rPr>
                <w:rFonts w:ascii="Times New Roman" w:eastAsia="Times New Roman"/>
                <w:sz w:val="21"/>
              </w:rPr>
              <w:t>GB/T 15555.1-1995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811" w:type="dxa"/>
          </w:tcPr>
          <w:p>
            <w:pPr>
              <w:pStyle w:val="14"/>
              <w:spacing w:before="137"/>
              <w:ind w:left="99" w:right="92"/>
              <w:rPr>
                <w:sz w:val="21"/>
              </w:rPr>
            </w:pPr>
            <w:r>
              <w:rPr>
                <w:sz w:val="21"/>
              </w:rPr>
              <w:t>总铬（</w:t>
            </w:r>
            <w:r>
              <w:rPr>
                <w:rFonts w:ascii="Times New Roman" w:eastAsia="Times New Roman"/>
                <w:sz w:val="21"/>
              </w:rPr>
              <w:t>mg/L</w:t>
            </w:r>
            <w:r>
              <w:rPr>
                <w:sz w:val="21"/>
              </w:rPr>
              <w:t>）</w:t>
            </w:r>
          </w:p>
        </w:tc>
        <w:tc>
          <w:tcPr>
            <w:tcW w:w="890" w:type="dxa"/>
          </w:tcPr>
          <w:p>
            <w:pPr>
              <w:pStyle w:val="14"/>
              <w:spacing w:before="153"/>
              <w:ind w:left="260"/>
              <w:jc w:val="left"/>
              <w:rPr>
                <w:rFonts w:ascii="Times New Roman"/>
                <w:sz w:val="21"/>
              </w:rPr>
            </w:pPr>
            <w:bookmarkStart w:id="828" w:name="0.03"/>
            <w:bookmarkEnd w:id="828"/>
            <w:r>
              <w:rPr>
                <w:rFonts w:ascii="Times New Roman"/>
                <w:sz w:val="21"/>
              </w:rPr>
              <w:t>0.03</w:t>
            </w:r>
          </w:p>
        </w:tc>
        <w:tc>
          <w:tcPr>
            <w:tcW w:w="2316" w:type="dxa"/>
          </w:tcPr>
          <w:p>
            <w:pPr>
              <w:pStyle w:val="14"/>
              <w:spacing w:before="150"/>
              <w:ind w:left="1026"/>
              <w:jc w:val="left"/>
              <w:rPr>
                <w:rFonts w:ascii="Times New Roman"/>
                <w:sz w:val="21"/>
              </w:rPr>
            </w:pPr>
            <w:r>
              <w:rPr>
                <w:rFonts w:ascii="Times New Roman"/>
                <w:sz w:val="21"/>
              </w:rPr>
              <w:t>0.1</w:t>
            </w:r>
          </w:p>
        </w:tc>
        <w:tc>
          <w:tcPr>
            <w:tcW w:w="3601" w:type="dxa"/>
          </w:tcPr>
          <w:p>
            <w:pPr>
              <w:pStyle w:val="14"/>
              <w:ind w:left="98" w:right="93"/>
              <w:rPr>
                <w:sz w:val="21"/>
              </w:rPr>
            </w:pPr>
            <w:r>
              <w:rPr>
                <w:sz w:val="21"/>
              </w:rPr>
              <w:t>固体废物总铬的测定火焰原子吸收分</w:t>
            </w:r>
          </w:p>
          <w:p>
            <w:pPr>
              <w:pStyle w:val="14"/>
              <w:spacing w:before="4" w:line="251" w:lineRule="exact"/>
              <w:ind w:left="98" w:right="87"/>
              <w:rPr>
                <w:rFonts w:ascii="Times New Roman" w:eastAsia="Times New Roman"/>
                <w:sz w:val="21"/>
              </w:rPr>
            </w:pPr>
            <w:r>
              <w:rPr>
                <w:sz w:val="21"/>
              </w:rPr>
              <w:t xml:space="preserve">光光度法 </w:t>
            </w:r>
            <w:r>
              <w:rPr>
                <w:rFonts w:ascii="Times New Roman" w:eastAsia="Times New Roman"/>
                <w:sz w:val="21"/>
              </w:rPr>
              <w:t>HJ 749-2015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811" w:type="dxa"/>
          </w:tcPr>
          <w:p>
            <w:pPr>
              <w:pStyle w:val="14"/>
              <w:spacing w:before="136"/>
              <w:ind w:left="99" w:right="89"/>
              <w:rPr>
                <w:sz w:val="21"/>
              </w:rPr>
            </w:pPr>
            <w:r>
              <w:rPr>
                <w:sz w:val="21"/>
              </w:rPr>
              <w:t>总镉（</w:t>
            </w:r>
            <w:r>
              <w:rPr>
                <w:rFonts w:ascii="Times New Roman" w:hAnsi="Times New Roman" w:eastAsia="Times New Roman"/>
                <w:sz w:val="21"/>
              </w:rPr>
              <w:t>μg/L</w:t>
            </w:r>
            <w:r>
              <w:rPr>
                <w:sz w:val="21"/>
              </w:rPr>
              <w:t>）</w:t>
            </w:r>
          </w:p>
        </w:tc>
        <w:tc>
          <w:tcPr>
            <w:tcW w:w="890" w:type="dxa"/>
          </w:tcPr>
          <w:p>
            <w:pPr>
              <w:pStyle w:val="14"/>
              <w:spacing w:before="152"/>
              <w:ind w:left="253"/>
              <w:jc w:val="left"/>
              <w:rPr>
                <w:rFonts w:ascii="Times New Roman"/>
                <w:sz w:val="21"/>
              </w:rPr>
            </w:pPr>
            <w:bookmarkStart w:id="829" w:name="&lt;0.6"/>
            <w:bookmarkEnd w:id="829"/>
            <w:r>
              <w:rPr>
                <w:rFonts w:ascii="Times New Roman"/>
                <w:sz w:val="21"/>
              </w:rPr>
              <w:t>&lt;0.6</w:t>
            </w:r>
          </w:p>
        </w:tc>
        <w:tc>
          <w:tcPr>
            <w:tcW w:w="2316" w:type="dxa"/>
          </w:tcPr>
          <w:p>
            <w:pPr>
              <w:pStyle w:val="14"/>
              <w:spacing w:before="150"/>
              <w:ind w:left="1026"/>
              <w:jc w:val="left"/>
              <w:rPr>
                <w:rFonts w:ascii="Times New Roman"/>
                <w:sz w:val="21"/>
              </w:rPr>
            </w:pPr>
            <w:r>
              <w:rPr>
                <w:rFonts w:ascii="Times New Roman"/>
                <w:sz w:val="21"/>
              </w:rPr>
              <w:t>1.5</w:t>
            </w:r>
          </w:p>
        </w:tc>
        <w:tc>
          <w:tcPr>
            <w:tcW w:w="3601" w:type="dxa"/>
          </w:tcPr>
          <w:p>
            <w:pPr>
              <w:pStyle w:val="14"/>
              <w:spacing w:line="268" w:lineRule="exact"/>
              <w:ind w:left="98" w:right="93"/>
              <w:rPr>
                <w:sz w:val="21"/>
              </w:rPr>
            </w:pPr>
            <w:r>
              <w:rPr>
                <w:sz w:val="21"/>
              </w:rPr>
              <w:t>固体废物铅和镉的测定石墨炉原子吸</w:t>
            </w:r>
          </w:p>
          <w:p>
            <w:pPr>
              <w:pStyle w:val="14"/>
              <w:spacing w:before="4" w:line="249" w:lineRule="exact"/>
              <w:ind w:left="98" w:right="87"/>
              <w:rPr>
                <w:rFonts w:ascii="Times New Roman" w:eastAsia="Times New Roman"/>
                <w:sz w:val="21"/>
              </w:rPr>
            </w:pPr>
            <w:r>
              <w:rPr>
                <w:sz w:val="21"/>
              </w:rPr>
              <w:t xml:space="preserve">收分光光度法 </w:t>
            </w:r>
            <w:r>
              <w:rPr>
                <w:rFonts w:ascii="Times New Roman" w:eastAsia="Times New Roman"/>
                <w:sz w:val="21"/>
              </w:rPr>
              <w:t>HJ 787-2016</w:t>
            </w:r>
          </w:p>
        </w:tc>
      </w:tr>
    </w:tbl>
    <w:p>
      <w:pPr>
        <w:spacing w:after="0" w:line="249" w:lineRule="exact"/>
        <w:rPr>
          <w:rFonts w:ascii="Times New Roman" w:eastAsia="Times New Roman"/>
          <w:sz w:val="21"/>
        </w:rPr>
        <w:sectPr>
          <w:footerReference r:id="rId25" w:type="default"/>
          <w:pgSz w:w="11910" w:h="16840"/>
          <w:pgMar w:top="1520" w:right="780" w:bottom="1240" w:left="1200" w:header="0" w:footer="1058" w:gutter="0"/>
          <w:pgNumType w:start="150"/>
        </w:sectPr>
      </w:pPr>
    </w:p>
    <w:tbl>
      <w:tblPr>
        <w:tblStyle w:val="10"/>
        <w:tblW w:w="0" w:type="auto"/>
        <w:tblInd w:w="4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9"/>
        <w:gridCol w:w="882"/>
        <w:gridCol w:w="890"/>
        <w:gridCol w:w="2316"/>
        <w:gridCol w:w="36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811" w:type="dxa"/>
            <w:gridSpan w:val="2"/>
          </w:tcPr>
          <w:p>
            <w:pPr>
              <w:pStyle w:val="14"/>
              <w:spacing w:before="135"/>
              <w:ind w:left="151"/>
              <w:jc w:val="left"/>
              <w:rPr>
                <w:sz w:val="21"/>
              </w:rPr>
            </w:pPr>
            <w:r>
              <w:rPr>
                <w:sz w:val="21"/>
              </w:rPr>
              <w:t>六价铬（</w:t>
            </w:r>
            <w:r>
              <w:rPr>
                <w:rFonts w:ascii="Times New Roman" w:eastAsia="Times New Roman"/>
                <w:sz w:val="21"/>
              </w:rPr>
              <w:t>mg/L</w:t>
            </w:r>
            <w:r>
              <w:rPr>
                <w:sz w:val="21"/>
              </w:rPr>
              <w:t>）</w:t>
            </w:r>
          </w:p>
        </w:tc>
        <w:tc>
          <w:tcPr>
            <w:tcW w:w="890" w:type="dxa"/>
          </w:tcPr>
          <w:p>
            <w:pPr>
              <w:pStyle w:val="14"/>
              <w:spacing w:before="154"/>
              <w:ind w:right="135"/>
              <w:jc w:val="right"/>
              <w:rPr>
                <w:rFonts w:ascii="Times New Roman"/>
                <w:sz w:val="21"/>
              </w:rPr>
            </w:pPr>
            <w:bookmarkStart w:id="830" w:name="&lt;0.004"/>
            <w:bookmarkEnd w:id="830"/>
            <w:r>
              <w:rPr>
                <w:rFonts w:ascii="Times New Roman"/>
                <w:w w:val="95"/>
                <w:sz w:val="21"/>
              </w:rPr>
              <w:t>&lt;0.004</w:t>
            </w:r>
          </w:p>
        </w:tc>
        <w:tc>
          <w:tcPr>
            <w:tcW w:w="2316" w:type="dxa"/>
          </w:tcPr>
          <w:p>
            <w:pPr>
              <w:pStyle w:val="14"/>
              <w:spacing w:before="151"/>
              <w:ind w:left="1006" w:right="996"/>
              <w:rPr>
                <w:rFonts w:ascii="Times New Roman"/>
                <w:sz w:val="21"/>
              </w:rPr>
            </w:pPr>
            <w:r>
              <w:rPr>
                <w:rFonts w:ascii="Times New Roman"/>
                <w:sz w:val="21"/>
              </w:rPr>
              <w:t>0.5</w:t>
            </w:r>
          </w:p>
        </w:tc>
        <w:tc>
          <w:tcPr>
            <w:tcW w:w="3601" w:type="dxa"/>
          </w:tcPr>
          <w:p>
            <w:pPr>
              <w:pStyle w:val="14"/>
              <w:ind w:left="98" w:right="93"/>
              <w:rPr>
                <w:sz w:val="21"/>
              </w:rPr>
            </w:pPr>
            <w:r>
              <w:rPr>
                <w:sz w:val="21"/>
              </w:rPr>
              <w:t>固体废物六价铬的测定二苯碳酰二肼</w:t>
            </w:r>
          </w:p>
          <w:p>
            <w:pPr>
              <w:pStyle w:val="14"/>
              <w:spacing w:before="3" w:line="253" w:lineRule="exact"/>
              <w:ind w:left="98" w:right="87"/>
              <w:rPr>
                <w:rFonts w:ascii="Times New Roman" w:eastAsia="Times New Roman"/>
                <w:sz w:val="21"/>
              </w:rPr>
            </w:pPr>
            <w:r>
              <w:rPr>
                <w:sz w:val="21"/>
              </w:rPr>
              <w:t xml:space="preserve">分光光度法 </w:t>
            </w:r>
            <w:r>
              <w:rPr>
                <w:rFonts w:ascii="Times New Roman" w:eastAsia="Times New Roman"/>
                <w:sz w:val="21"/>
              </w:rPr>
              <w:t>GB/T 15555.4-1995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1811" w:type="dxa"/>
            <w:gridSpan w:val="2"/>
          </w:tcPr>
          <w:p>
            <w:pPr>
              <w:pStyle w:val="14"/>
              <w:spacing w:before="134"/>
              <w:ind w:left="283"/>
              <w:jc w:val="left"/>
              <w:rPr>
                <w:sz w:val="21"/>
              </w:rPr>
            </w:pPr>
            <w:r>
              <w:rPr>
                <w:sz w:val="21"/>
              </w:rPr>
              <w:t>总铅（</w:t>
            </w:r>
            <w:r>
              <w:rPr>
                <w:rFonts w:ascii="Times New Roman" w:hAnsi="Times New Roman" w:eastAsia="Times New Roman"/>
                <w:sz w:val="21"/>
              </w:rPr>
              <w:t>μg/L</w:t>
            </w:r>
            <w:r>
              <w:rPr>
                <w:sz w:val="21"/>
              </w:rPr>
              <w:t>）</w:t>
            </w:r>
          </w:p>
        </w:tc>
        <w:tc>
          <w:tcPr>
            <w:tcW w:w="890" w:type="dxa"/>
          </w:tcPr>
          <w:p>
            <w:pPr>
              <w:pStyle w:val="14"/>
              <w:spacing w:before="153"/>
              <w:ind w:left="253"/>
              <w:jc w:val="left"/>
              <w:rPr>
                <w:rFonts w:ascii="Times New Roman"/>
                <w:sz w:val="21"/>
              </w:rPr>
            </w:pPr>
            <w:bookmarkStart w:id="831" w:name="&lt;0.9"/>
            <w:bookmarkEnd w:id="831"/>
            <w:r>
              <w:rPr>
                <w:rFonts w:ascii="Times New Roman"/>
                <w:sz w:val="21"/>
              </w:rPr>
              <w:t>&lt;0.9</w:t>
            </w:r>
          </w:p>
        </w:tc>
        <w:tc>
          <w:tcPr>
            <w:tcW w:w="2316" w:type="dxa"/>
          </w:tcPr>
          <w:p>
            <w:pPr>
              <w:pStyle w:val="14"/>
              <w:spacing w:before="151"/>
              <w:ind w:left="1006" w:right="996"/>
              <w:rPr>
                <w:rFonts w:ascii="Times New Roman"/>
                <w:sz w:val="21"/>
              </w:rPr>
            </w:pPr>
            <w:r>
              <w:rPr>
                <w:rFonts w:ascii="Times New Roman"/>
                <w:sz w:val="21"/>
              </w:rPr>
              <w:t>0.5</w:t>
            </w:r>
          </w:p>
        </w:tc>
        <w:tc>
          <w:tcPr>
            <w:tcW w:w="3601" w:type="dxa"/>
          </w:tcPr>
          <w:p>
            <w:pPr>
              <w:pStyle w:val="14"/>
              <w:ind w:left="98" w:right="93"/>
              <w:rPr>
                <w:sz w:val="21"/>
              </w:rPr>
            </w:pPr>
            <w:r>
              <w:rPr>
                <w:sz w:val="21"/>
              </w:rPr>
              <w:t>固体废物铅和镉的测定石墨炉原子吸</w:t>
            </w:r>
          </w:p>
          <w:p>
            <w:pPr>
              <w:pStyle w:val="14"/>
              <w:spacing w:before="2" w:line="253" w:lineRule="exact"/>
              <w:ind w:left="98" w:right="87"/>
              <w:rPr>
                <w:rFonts w:ascii="Times New Roman" w:eastAsia="Times New Roman"/>
                <w:sz w:val="21"/>
              </w:rPr>
            </w:pPr>
            <w:r>
              <w:rPr>
                <w:sz w:val="21"/>
              </w:rPr>
              <w:t xml:space="preserve">收分光光度法 </w:t>
            </w:r>
            <w:r>
              <w:rPr>
                <w:rFonts w:ascii="Times New Roman" w:eastAsia="Times New Roman"/>
                <w:sz w:val="21"/>
              </w:rPr>
              <w:t>HJ 787-2016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1811" w:type="dxa"/>
            <w:gridSpan w:val="2"/>
          </w:tcPr>
          <w:p>
            <w:pPr>
              <w:pStyle w:val="14"/>
              <w:spacing w:before="5"/>
              <w:jc w:val="left"/>
              <w:rPr>
                <w:b/>
                <w:sz w:val="21"/>
              </w:rPr>
            </w:pPr>
          </w:p>
          <w:p>
            <w:pPr>
              <w:pStyle w:val="14"/>
              <w:ind w:left="283"/>
              <w:jc w:val="left"/>
              <w:rPr>
                <w:sz w:val="21"/>
              </w:rPr>
            </w:pPr>
            <w:r>
              <w:rPr>
                <w:sz w:val="21"/>
              </w:rPr>
              <w:t>总砷（</w:t>
            </w:r>
            <w:r>
              <w:rPr>
                <w:rFonts w:ascii="Times New Roman" w:hAnsi="Times New Roman" w:eastAsia="Times New Roman"/>
                <w:sz w:val="21"/>
              </w:rPr>
              <w:t>μg/L</w:t>
            </w:r>
            <w:r>
              <w:rPr>
                <w:sz w:val="21"/>
              </w:rPr>
              <w:t>）</w:t>
            </w:r>
          </w:p>
        </w:tc>
        <w:tc>
          <w:tcPr>
            <w:tcW w:w="890" w:type="dxa"/>
          </w:tcPr>
          <w:p>
            <w:pPr>
              <w:pStyle w:val="14"/>
              <w:spacing w:before="8"/>
              <w:jc w:val="left"/>
              <w:rPr>
                <w:b/>
                <w:sz w:val="22"/>
              </w:rPr>
            </w:pPr>
          </w:p>
          <w:p>
            <w:pPr>
              <w:pStyle w:val="14"/>
              <w:ind w:left="253"/>
              <w:jc w:val="left"/>
              <w:rPr>
                <w:rFonts w:ascii="Times New Roman"/>
                <w:sz w:val="21"/>
              </w:rPr>
            </w:pPr>
            <w:bookmarkStart w:id="832" w:name="&lt;0.1"/>
            <w:bookmarkEnd w:id="832"/>
            <w:r>
              <w:rPr>
                <w:rFonts w:ascii="Times New Roman"/>
                <w:sz w:val="21"/>
              </w:rPr>
              <w:t>&lt;0.1</w:t>
            </w:r>
          </w:p>
        </w:tc>
        <w:tc>
          <w:tcPr>
            <w:tcW w:w="2316" w:type="dxa"/>
          </w:tcPr>
          <w:p>
            <w:pPr>
              <w:pStyle w:val="14"/>
              <w:spacing w:before="6"/>
              <w:jc w:val="left"/>
              <w:rPr>
                <w:b/>
                <w:sz w:val="22"/>
              </w:rPr>
            </w:pPr>
          </w:p>
          <w:p>
            <w:pPr>
              <w:pStyle w:val="14"/>
              <w:ind w:left="1006" w:right="996"/>
              <w:rPr>
                <w:rFonts w:ascii="Times New Roman"/>
                <w:sz w:val="21"/>
              </w:rPr>
            </w:pPr>
            <w:r>
              <w:rPr>
                <w:rFonts w:ascii="Times New Roman"/>
                <w:sz w:val="21"/>
              </w:rPr>
              <w:t>0.5</w:t>
            </w:r>
          </w:p>
        </w:tc>
        <w:tc>
          <w:tcPr>
            <w:tcW w:w="3601" w:type="dxa"/>
          </w:tcPr>
          <w:p>
            <w:pPr>
              <w:pStyle w:val="14"/>
              <w:ind w:left="107" w:firstLine="12"/>
              <w:jc w:val="left"/>
              <w:rPr>
                <w:sz w:val="21"/>
              </w:rPr>
            </w:pPr>
            <w:r>
              <w:rPr>
                <w:sz w:val="21"/>
              </w:rPr>
              <w:t>危险废物鉴别标准浸出毒性鉴别（附</w:t>
            </w:r>
          </w:p>
          <w:p>
            <w:pPr>
              <w:pStyle w:val="14"/>
              <w:spacing w:before="4" w:line="270" w:lineRule="atLeast"/>
              <w:ind w:left="465" w:right="99" w:hanging="358"/>
              <w:jc w:val="left"/>
              <w:rPr>
                <w:rFonts w:ascii="Times New Roman" w:eastAsia="Times New Roman"/>
                <w:sz w:val="21"/>
              </w:rPr>
            </w:pPr>
            <w:r>
              <w:rPr>
                <w:spacing w:val="-28"/>
                <w:sz w:val="21"/>
              </w:rPr>
              <w:t xml:space="preserve">录 </w:t>
            </w:r>
            <w:r>
              <w:rPr>
                <w:rFonts w:ascii="Times New Roman" w:eastAsia="Times New Roman"/>
                <w:sz w:val="21"/>
              </w:rPr>
              <w:t xml:space="preserve">E </w:t>
            </w:r>
            <w:r>
              <w:rPr>
                <w:spacing w:val="-8"/>
                <w:sz w:val="21"/>
              </w:rPr>
              <w:t>固体废物砷、锑、铋、硒的测定</w:t>
            </w:r>
            <w:r>
              <w:rPr>
                <w:sz w:val="21"/>
              </w:rPr>
              <w:t>原子荧光法）</w:t>
            </w:r>
            <w:r>
              <w:rPr>
                <w:rFonts w:ascii="Times New Roman" w:eastAsia="Times New Roman"/>
                <w:sz w:val="21"/>
              </w:rPr>
              <w:t>GB 5085.3-2007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811" w:type="dxa"/>
            <w:gridSpan w:val="2"/>
          </w:tcPr>
          <w:p>
            <w:pPr>
              <w:pStyle w:val="14"/>
              <w:spacing w:before="136"/>
              <w:ind w:left="257"/>
              <w:jc w:val="left"/>
              <w:rPr>
                <w:sz w:val="21"/>
              </w:rPr>
            </w:pPr>
            <w:r>
              <w:rPr>
                <w:sz w:val="21"/>
              </w:rPr>
              <w:t>总锌（</w:t>
            </w:r>
            <w:r>
              <w:rPr>
                <w:rFonts w:ascii="Times New Roman" w:eastAsia="Times New Roman"/>
                <w:sz w:val="21"/>
              </w:rPr>
              <w:t>mg/L</w:t>
            </w:r>
            <w:r>
              <w:rPr>
                <w:sz w:val="21"/>
              </w:rPr>
              <w:t>）</w:t>
            </w:r>
          </w:p>
        </w:tc>
        <w:tc>
          <w:tcPr>
            <w:tcW w:w="890" w:type="dxa"/>
          </w:tcPr>
          <w:p>
            <w:pPr>
              <w:pStyle w:val="14"/>
              <w:spacing w:before="154"/>
              <w:ind w:left="260"/>
              <w:jc w:val="left"/>
              <w:rPr>
                <w:rFonts w:ascii="Times New Roman"/>
                <w:sz w:val="21"/>
              </w:rPr>
            </w:pPr>
            <w:bookmarkStart w:id="833" w:name="0.06"/>
            <w:bookmarkEnd w:id="833"/>
            <w:r>
              <w:rPr>
                <w:rFonts w:ascii="Times New Roman"/>
                <w:sz w:val="21"/>
              </w:rPr>
              <w:t>0.06</w:t>
            </w:r>
          </w:p>
        </w:tc>
        <w:tc>
          <w:tcPr>
            <w:tcW w:w="2316" w:type="dxa"/>
          </w:tcPr>
          <w:p>
            <w:pPr>
              <w:pStyle w:val="14"/>
              <w:spacing w:before="150"/>
              <w:ind w:left="1006" w:right="996"/>
              <w:rPr>
                <w:rFonts w:ascii="Times New Roman"/>
                <w:sz w:val="21"/>
              </w:rPr>
            </w:pPr>
            <w:r>
              <w:rPr>
                <w:rFonts w:ascii="Times New Roman"/>
                <w:sz w:val="21"/>
              </w:rPr>
              <w:t>2.0</w:t>
            </w:r>
          </w:p>
        </w:tc>
        <w:tc>
          <w:tcPr>
            <w:tcW w:w="3601" w:type="dxa"/>
          </w:tcPr>
          <w:p>
            <w:pPr>
              <w:pStyle w:val="14"/>
              <w:spacing w:before="1"/>
              <w:ind w:left="98" w:right="93"/>
              <w:rPr>
                <w:sz w:val="21"/>
              </w:rPr>
            </w:pPr>
            <w:r>
              <w:rPr>
                <w:sz w:val="21"/>
              </w:rPr>
              <w:t>固体废物铅、锌和镉的测定火焰原子</w:t>
            </w:r>
          </w:p>
          <w:p>
            <w:pPr>
              <w:pStyle w:val="14"/>
              <w:spacing w:before="2" w:line="252" w:lineRule="exact"/>
              <w:ind w:left="98" w:right="87"/>
              <w:rPr>
                <w:rFonts w:ascii="Times New Roman" w:eastAsia="Times New Roman"/>
                <w:sz w:val="21"/>
              </w:rPr>
            </w:pPr>
            <w:r>
              <w:rPr>
                <w:sz w:val="21"/>
              </w:rPr>
              <w:t xml:space="preserve">吸收分光光度法 </w:t>
            </w:r>
            <w:r>
              <w:rPr>
                <w:rFonts w:ascii="Times New Roman" w:eastAsia="Times New Roman"/>
                <w:sz w:val="21"/>
              </w:rPr>
              <w:t>HJ 786-2016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811" w:type="dxa"/>
            <w:gridSpan w:val="2"/>
          </w:tcPr>
          <w:p>
            <w:pPr>
              <w:pStyle w:val="14"/>
              <w:spacing w:before="135"/>
              <w:ind w:left="151"/>
              <w:jc w:val="left"/>
              <w:rPr>
                <w:sz w:val="21"/>
              </w:rPr>
            </w:pPr>
            <w:r>
              <w:rPr>
                <w:sz w:val="21"/>
              </w:rPr>
              <w:t>氟化物（</w:t>
            </w:r>
            <w:r>
              <w:rPr>
                <w:rFonts w:ascii="Times New Roman" w:eastAsia="Times New Roman"/>
                <w:sz w:val="21"/>
              </w:rPr>
              <w:t>mg/L</w:t>
            </w:r>
            <w:r>
              <w:rPr>
                <w:sz w:val="21"/>
              </w:rPr>
              <w:t>）</w:t>
            </w:r>
          </w:p>
        </w:tc>
        <w:tc>
          <w:tcPr>
            <w:tcW w:w="890" w:type="dxa"/>
          </w:tcPr>
          <w:p>
            <w:pPr>
              <w:pStyle w:val="14"/>
              <w:spacing w:before="154"/>
              <w:ind w:right="191"/>
              <w:jc w:val="right"/>
              <w:rPr>
                <w:rFonts w:ascii="Times New Roman"/>
                <w:sz w:val="21"/>
              </w:rPr>
            </w:pPr>
            <w:bookmarkStart w:id="834" w:name="&lt;0.05"/>
            <w:bookmarkEnd w:id="834"/>
            <w:r>
              <w:rPr>
                <w:rFonts w:ascii="Times New Roman"/>
                <w:w w:val="95"/>
                <w:sz w:val="21"/>
              </w:rPr>
              <w:t>&lt;0.05</w:t>
            </w:r>
          </w:p>
        </w:tc>
        <w:tc>
          <w:tcPr>
            <w:tcW w:w="2316" w:type="dxa"/>
          </w:tcPr>
          <w:p>
            <w:pPr>
              <w:pStyle w:val="14"/>
              <w:spacing w:before="151"/>
              <w:ind w:left="1006" w:right="996"/>
              <w:rPr>
                <w:rFonts w:ascii="Times New Roman"/>
                <w:sz w:val="21"/>
              </w:rPr>
            </w:pPr>
            <w:r>
              <w:rPr>
                <w:rFonts w:ascii="Times New Roman"/>
                <w:sz w:val="21"/>
              </w:rPr>
              <w:t>10</w:t>
            </w:r>
          </w:p>
        </w:tc>
        <w:tc>
          <w:tcPr>
            <w:tcW w:w="3601" w:type="dxa"/>
          </w:tcPr>
          <w:p>
            <w:pPr>
              <w:pStyle w:val="14"/>
              <w:spacing w:before="1"/>
              <w:ind w:left="98" w:right="93"/>
              <w:rPr>
                <w:sz w:val="21"/>
              </w:rPr>
            </w:pPr>
            <w:r>
              <w:rPr>
                <w:sz w:val="21"/>
              </w:rPr>
              <w:t>固体废物氟化物的测定离子选择性电</w:t>
            </w:r>
          </w:p>
          <w:p>
            <w:pPr>
              <w:pStyle w:val="14"/>
              <w:spacing w:before="2" w:line="253" w:lineRule="exact"/>
              <w:ind w:left="98" w:right="87"/>
              <w:rPr>
                <w:rFonts w:ascii="Times New Roman" w:eastAsia="Times New Roman"/>
                <w:sz w:val="21"/>
              </w:rPr>
            </w:pPr>
            <w:r>
              <w:rPr>
                <w:sz w:val="21"/>
              </w:rPr>
              <w:t xml:space="preserve">极法 </w:t>
            </w:r>
            <w:r>
              <w:rPr>
                <w:rFonts w:ascii="Times New Roman" w:eastAsia="Times New Roman"/>
                <w:sz w:val="21"/>
              </w:rPr>
              <w:t>GB/T15555.11-1995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1811" w:type="dxa"/>
            <w:gridSpan w:val="2"/>
          </w:tcPr>
          <w:p>
            <w:pPr>
              <w:pStyle w:val="14"/>
              <w:spacing w:before="134"/>
              <w:ind w:left="257"/>
              <w:jc w:val="left"/>
              <w:rPr>
                <w:sz w:val="21"/>
              </w:rPr>
            </w:pPr>
            <w:r>
              <w:rPr>
                <w:sz w:val="21"/>
              </w:rPr>
              <w:t>总铜（</w:t>
            </w:r>
            <w:r>
              <w:rPr>
                <w:rFonts w:ascii="Times New Roman" w:eastAsia="Times New Roman"/>
                <w:sz w:val="21"/>
              </w:rPr>
              <w:t>mg/L</w:t>
            </w:r>
            <w:r>
              <w:rPr>
                <w:sz w:val="21"/>
              </w:rPr>
              <w:t>）</w:t>
            </w:r>
          </w:p>
        </w:tc>
        <w:tc>
          <w:tcPr>
            <w:tcW w:w="890" w:type="dxa"/>
          </w:tcPr>
          <w:p>
            <w:pPr>
              <w:pStyle w:val="14"/>
              <w:spacing w:before="153"/>
              <w:ind w:right="191"/>
              <w:jc w:val="right"/>
              <w:rPr>
                <w:rFonts w:ascii="Times New Roman"/>
                <w:sz w:val="21"/>
              </w:rPr>
            </w:pPr>
            <w:bookmarkStart w:id="835" w:name="&lt;0.02"/>
            <w:bookmarkEnd w:id="835"/>
            <w:r>
              <w:rPr>
                <w:rFonts w:ascii="Times New Roman"/>
                <w:w w:val="95"/>
                <w:sz w:val="21"/>
              </w:rPr>
              <w:t>&lt;0.02</w:t>
            </w:r>
          </w:p>
        </w:tc>
        <w:tc>
          <w:tcPr>
            <w:tcW w:w="2316" w:type="dxa"/>
          </w:tcPr>
          <w:p>
            <w:pPr>
              <w:pStyle w:val="14"/>
              <w:spacing w:before="151"/>
              <w:ind w:left="7"/>
              <w:rPr>
                <w:rFonts w:ascii="Times New Roman"/>
                <w:sz w:val="21"/>
              </w:rPr>
            </w:pPr>
            <w:r>
              <w:rPr>
                <w:rFonts w:ascii="Times New Roman"/>
                <w:w w:val="99"/>
                <w:sz w:val="21"/>
              </w:rPr>
              <w:t>/</w:t>
            </w:r>
          </w:p>
        </w:tc>
        <w:tc>
          <w:tcPr>
            <w:tcW w:w="3601" w:type="dxa"/>
          </w:tcPr>
          <w:p>
            <w:pPr>
              <w:pStyle w:val="14"/>
              <w:ind w:left="98" w:right="93"/>
              <w:rPr>
                <w:sz w:val="21"/>
              </w:rPr>
            </w:pPr>
            <w:r>
              <w:rPr>
                <w:sz w:val="21"/>
              </w:rPr>
              <w:t>固体废物镍和铜的测定火焰原子吸收</w:t>
            </w:r>
          </w:p>
          <w:p>
            <w:pPr>
              <w:pStyle w:val="14"/>
              <w:spacing w:before="2" w:line="252" w:lineRule="exact"/>
              <w:ind w:left="98" w:right="87"/>
              <w:rPr>
                <w:rFonts w:ascii="Times New Roman" w:eastAsia="Times New Roman"/>
                <w:sz w:val="21"/>
              </w:rPr>
            </w:pPr>
            <w:r>
              <w:rPr>
                <w:sz w:val="21"/>
              </w:rPr>
              <w:t xml:space="preserve">分光光度法 </w:t>
            </w:r>
            <w:r>
              <w:rPr>
                <w:rFonts w:ascii="Times New Roman" w:eastAsia="Times New Roman"/>
                <w:sz w:val="21"/>
              </w:rPr>
              <w:t>HJ 751-2015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929" w:type="dxa"/>
            <w:vMerge w:val="restart"/>
          </w:tcPr>
          <w:p>
            <w:pPr>
              <w:pStyle w:val="14"/>
              <w:spacing w:before="5"/>
              <w:ind w:left="149"/>
              <w:jc w:val="left"/>
              <w:rPr>
                <w:sz w:val="21"/>
              </w:rPr>
            </w:pPr>
            <w:r>
              <w:rPr>
                <w:sz w:val="21"/>
              </w:rPr>
              <w:t>烷基汞</w:t>
            </w:r>
          </w:p>
          <w:p>
            <w:pPr>
              <w:pStyle w:val="14"/>
              <w:spacing w:before="2" w:line="258" w:lineRule="exact"/>
              <w:ind w:left="108" w:right="-15"/>
              <w:jc w:val="left"/>
              <w:rPr>
                <w:sz w:val="21"/>
              </w:rPr>
            </w:pPr>
            <w:r>
              <w:rPr>
                <w:sz w:val="21"/>
              </w:rPr>
              <w:t>（</w:t>
            </w:r>
            <w:r>
              <w:rPr>
                <w:rFonts w:ascii="Times New Roman" w:eastAsia="Times New Roman"/>
                <w:sz w:val="21"/>
              </w:rPr>
              <w:t>ng/L</w:t>
            </w:r>
            <w:r>
              <w:rPr>
                <w:sz w:val="21"/>
              </w:rPr>
              <w:t>）</w:t>
            </w:r>
          </w:p>
        </w:tc>
        <w:tc>
          <w:tcPr>
            <w:tcW w:w="882" w:type="dxa"/>
          </w:tcPr>
          <w:p>
            <w:pPr>
              <w:pStyle w:val="14"/>
              <w:spacing w:line="252" w:lineRule="exact"/>
              <w:ind w:left="125"/>
              <w:jc w:val="left"/>
              <w:rPr>
                <w:sz w:val="21"/>
              </w:rPr>
            </w:pPr>
            <w:r>
              <w:rPr>
                <w:sz w:val="21"/>
              </w:rPr>
              <w:t>甲基汞</w:t>
            </w:r>
          </w:p>
        </w:tc>
        <w:tc>
          <w:tcPr>
            <w:tcW w:w="890" w:type="dxa"/>
          </w:tcPr>
          <w:p>
            <w:pPr>
              <w:pStyle w:val="14"/>
              <w:spacing w:before="17" w:line="236" w:lineRule="exact"/>
              <w:ind w:left="279"/>
              <w:jc w:val="left"/>
              <w:rPr>
                <w:rFonts w:ascii="Times New Roman"/>
                <w:sz w:val="21"/>
              </w:rPr>
            </w:pPr>
            <w:bookmarkStart w:id="836" w:name="&lt;10"/>
            <w:bookmarkEnd w:id="836"/>
            <w:r>
              <w:rPr>
                <w:rFonts w:ascii="Times New Roman"/>
                <w:sz w:val="21"/>
              </w:rPr>
              <w:t>&lt;10</w:t>
            </w:r>
          </w:p>
        </w:tc>
        <w:tc>
          <w:tcPr>
            <w:tcW w:w="2316" w:type="dxa"/>
          </w:tcPr>
          <w:p>
            <w:pPr>
              <w:pStyle w:val="14"/>
              <w:spacing w:before="14" w:line="238" w:lineRule="exact"/>
              <w:ind w:left="7"/>
              <w:rPr>
                <w:rFonts w:ascii="Times New Roman"/>
                <w:sz w:val="21"/>
              </w:rPr>
            </w:pPr>
            <w:r>
              <w:rPr>
                <w:rFonts w:ascii="Times New Roman"/>
                <w:w w:val="99"/>
                <w:sz w:val="21"/>
              </w:rPr>
              <w:t>/</w:t>
            </w:r>
          </w:p>
        </w:tc>
        <w:tc>
          <w:tcPr>
            <w:tcW w:w="3601" w:type="dxa"/>
            <w:vMerge w:val="restart"/>
          </w:tcPr>
          <w:p>
            <w:pPr>
              <w:pStyle w:val="14"/>
              <w:spacing w:before="20"/>
              <w:ind w:left="98" w:right="93"/>
              <w:rPr>
                <w:sz w:val="21"/>
              </w:rPr>
            </w:pPr>
            <w:r>
              <w:rPr>
                <w:sz w:val="21"/>
              </w:rPr>
              <w:t>水质烷基汞的测定气相色谱法</w:t>
            </w:r>
          </w:p>
          <w:p>
            <w:pPr>
              <w:pStyle w:val="14"/>
              <w:spacing w:before="4"/>
              <w:ind w:left="98" w:right="87"/>
              <w:rPr>
                <w:rFonts w:ascii="Times New Roman"/>
                <w:sz w:val="21"/>
              </w:rPr>
            </w:pPr>
            <w:r>
              <w:rPr>
                <w:rFonts w:ascii="Times New Roman"/>
                <w:sz w:val="21"/>
              </w:rPr>
              <w:t>GB/T 14204-1993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929" w:type="dxa"/>
            <w:vMerge w:val="continue"/>
            <w:tcBorders>
              <w:top w:val="nil"/>
            </w:tcBorders>
          </w:tcPr>
          <w:p>
            <w:pPr>
              <w:rPr>
                <w:sz w:val="2"/>
                <w:szCs w:val="2"/>
              </w:rPr>
            </w:pPr>
          </w:p>
        </w:tc>
        <w:tc>
          <w:tcPr>
            <w:tcW w:w="882" w:type="dxa"/>
          </w:tcPr>
          <w:p>
            <w:pPr>
              <w:pStyle w:val="14"/>
              <w:spacing w:before="1" w:line="251" w:lineRule="exact"/>
              <w:ind w:left="125"/>
              <w:jc w:val="left"/>
              <w:rPr>
                <w:sz w:val="21"/>
              </w:rPr>
            </w:pPr>
            <w:r>
              <w:rPr>
                <w:sz w:val="21"/>
              </w:rPr>
              <w:t>乙基汞</w:t>
            </w:r>
          </w:p>
        </w:tc>
        <w:tc>
          <w:tcPr>
            <w:tcW w:w="890" w:type="dxa"/>
          </w:tcPr>
          <w:p>
            <w:pPr>
              <w:pStyle w:val="14"/>
              <w:spacing w:before="15" w:line="237" w:lineRule="exact"/>
              <w:ind w:left="279"/>
              <w:jc w:val="left"/>
              <w:rPr>
                <w:rFonts w:ascii="Times New Roman"/>
                <w:sz w:val="21"/>
              </w:rPr>
            </w:pPr>
            <w:r>
              <w:rPr>
                <w:rFonts w:ascii="Times New Roman"/>
                <w:sz w:val="21"/>
              </w:rPr>
              <w:t>&lt;20</w:t>
            </w:r>
          </w:p>
        </w:tc>
        <w:tc>
          <w:tcPr>
            <w:tcW w:w="2316" w:type="dxa"/>
          </w:tcPr>
          <w:p>
            <w:pPr>
              <w:pStyle w:val="14"/>
              <w:spacing w:before="15" w:line="237" w:lineRule="exact"/>
              <w:ind w:left="7"/>
              <w:rPr>
                <w:rFonts w:ascii="Times New Roman"/>
                <w:sz w:val="21"/>
              </w:rPr>
            </w:pPr>
            <w:r>
              <w:rPr>
                <w:rFonts w:ascii="Times New Roman"/>
                <w:w w:val="99"/>
                <w:sz w:val="21"/>
              </w:rPr>
              <w:t>/</w:t>
            </w:r>
          </w:p>
        </w:tc>
        <w:tc>
          <w:tcPr>
            <w:tcW w:w="360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811" w:type="dxa"/>
            <w:gridSpan w:val="2"/>
          </w:tcPr>
          <w:p>
            <w:pPr>
              <w:pStyle w:val="14"/>
              <w:spacing w:before="136"/>
              <w:ind w:left="283"/>
              <w:jc w:val="left"/>
              <w:rPr>
                <w:sz w:val="21"/>
              </w:rPr>
            </w:pPr>
            <w:r>
              <w:rPr>
                <w:sz w:val="21"/>
              </w:rPr>
              <w:t>总铍（</w:t>
            </w:r>
            <w:r>
              <w:rPr>
                <w:rFonts w:ascii="Times New Roman" w:hAnsi="Times New Roman" w:eastAsia="Times New Roman"/>
                <w:sz w:val="21"/>
              </w:rPr>
              <w:t>μg/L</w:t>
            </w:r>
            <w:r>
              <w:rPr>
                <w:sz w:val="21"/>
              </w:rPr>
              <w:t>）</w:t>
            </w:r>
          </w:p>
        </w:tc>
        <w:tc>
          <w:tcPr>
            <w:tcW w:w="890" w:type="dxa"/>
          </w:tcPr>
          <w:p>
            <w:pPr>
              <w:pStyle w:val="14"/>
              <w:spacing w:before="153"/>
              <w:ind w:left="253"/>
              <w:jc w:val="left"/>
              <w:rPr>
                <w:rFonts w:ascii="Times New Roman"/>
                <w:sz w:val="21"/>
              </w:rPr>
            </w:pPr>
            <w:bookmarkStart w:id="837" w:name="&lt;0.1"/>
            <w:bookmarkEnd w:id="837"/>
            <w:r>
              <w:rPr>
                <w:rFonts w:ascii="Times New Roman"/>
                <w:sz w:val="21"/>
              </w:rPr>
              <w:t>&lt;0.1</w:t>
            </w:r>
          </w:p>
        </w:tc>
        <w:tc>
          <w:tcPr>
            <w:tcW w:w="2316" w:type="dxa"/>
          </w:tcPr>
          <w:p>
            <w:pPr>
              <w:pStyle w:val="14"/>
              <w:spacing w:before="150"/>
              <w:ind w:left="7"/>
              <w:rPr>
                <w:rFonts w:ascii="Times New Roman"/>
                <w:sz w:val="21"/>
              </w:rPr>
            </w:pPr>
            <w:r>
              <w:rPr>
                <w:rFonts w:ascii="Times New Roman"/>
                <w:w w:val="99"/>
                <w:sz w:val="21"/>
              </w:rPr>
              <w:t>/</w:t>
            </w:r>
          </w:p>
        </w:tc>
        <w:tc>
          <w:tcPr>
            <w:tcW w:w="3601" w:type="dxa"/>
          </w:tcPr>
          <w:p>
            <w:pPr>
              <w:pStyle w:val="14"/>
              <w:spacing w:before="1" w:line="270" w:lineRule="atLeast"/>
              <w:ind w:left="179" w:right="111" w:hanging="60"/>
              <w:jc w:val="left"/>
              <w:rPr>
                <w:rFonts w:ascii="Times New Roman" w:eastAsia="Times New Roman"/>
                <w:sz w:val="21"/>
              </w:rPr>
            </w:pPr>
            <w:r>
              <w:rPr>
                <w:w w:val="95"/>
                <w:sz w:val="21"/>
              </w:rPr>
              <w:t>固体废物铍、镍、铜和钼的测定石墨</w:t>
            </w:r>
            <w:r>
              <w:rPr>
                <w:sz w:val="21"/>
              </w:rPr>
              <w:t xml:space="preserve">炉原子吸收分光光度法 </w:t>
            </w:r>
            <w:r>
              <w:rPr>
                <w:rFonts w:ascii="Times New Roman" w:eastAsia="Times New Roman"/>
                <w:sz w:val="21"/>
              </w:rPr>
              <w:t>HJ 752-2015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1811" w:type="dxa"/>
            <w:gridSpan w:val="2"/>
          </w:tcPr>
          <w:p>
            <w:pPr>
              <w:pStyle w:val="14"/>
              <w:spacing w:before="136"/>
              <w:ind w:left="257"/>
              <w:jc w:val="left"/>
              <w:rPr>
                <w:sz w:val="21"/>
              </w:rPr>
            </w:pPr>
            <w:r>
              <w:rPr>
                <w:sz w:val="21"/>
              </w:rPr>
              <w:t>总镍（</w:t>
            </w:r>
            <w:r>
              <w:rPr>
                <w:rFonts w:ascii="Times New Roman" w:eastAsia="Times New Roman"/>
                <w:sz w:val="21"/>
              </w:rPr>
              <w:t>mg/L</w:t>
            </w:r>
            <w:r>
              <w:rPr>
                <w:sz w:val="21"/>
              </w:rPr>
              <w:t>）</w:t>
            </w:r>
          </w:p>
        </w:tc>
        <w:tc>
          <w:tcPr>
            <w:tcW w:w="890" w:type="dxa"/>
          </w:tcPr>
          <w:p>
            <w:pPr>
              <w:pStyle w:val="14"/>
              <w:spacing w:before="152"/>
              <w:ind w:right="191"/>
              <w:jc w:val="right"/>
              <w:rPr>
                <w:rFonts w:ascii="Times New Roman"/>
                <w:sz w:val="21"/>
              </w:rPr>
            </w:pPr>
            <w:bookmarkStart w:id="838" w:name="&lt;0.03"/>
            <w:bookmarkEnd w:id="838"/>
            <w:r>
              <w:rPr>
                <w:rFonts w:ascii="Times New Roman"/>
                <w:w w:val="95"/>
                <w:sz w:val="21"/>
              </w:rPr>
              <w:t>&lt;0.03</w:t>
            </w:r>
          </w:p>
        </w:tc>
        <w:tc>
          <w:tcPr>
            <w:tcW w:w="2316" w:type="dxa"/>
          </w:tcPr>
          <w:p>
            <w:pPr>
              <w:pStyle w:val="14"/>
              <w:spacing w:before="150"/>
              <w:ind w:left="7"/>
              <w:rPr>
                <w:rFonts w:ascii="Times New Roman"/>
                <w:sz w:val="21"/>
              </w:rPr>
            </w:pPr>
            <w:r>
              <w:rPr>
                <w:rFonts w:ascii="Times New Roman"/>
                <w:w w:val="99"/>
                <w:sz w:val="21"/>
              </w:rPr>
              <w:t>/</w:t>
            </w:r>
          </w:p>
        </w:tc>
        <w:tc>
          <w:tcPr>
            <w:tcW w:w="3601" w:type="dxa"/>
          </w:tcPr>
          <w:p>
            <w:pPr>
              <w:pStyle w:val="14"/>
              <w:spacing w:line="268" w:lineRule="exact"/>
              <w:ind w:left="98" w:right="93"/>
              <w:rPr>
                <w:sz w:val="21"/>
              </w:rPr>
            </w:pPr>
            <w:r>
              <w:rPr>
                <w:sz w:val="21"/>
              </w:rPr>
              <w:t>固体废物镍和铜的测定火焰原子吸收</w:t>
            </w:r>
          </w:p>
          <w:p>
            <w:pPr>
              <w:pStyle w:val="14"/>
              <w:spacing w:before="4" w:line="252" w:lineRule="exact"/>
              <w:ind w:left="98" w:right="87"/>
              <w:rPr>
                <w:rFonts w:ascii="Times New Roman" w:eastAsia="Times New Roman"/>
                <w:sz w:val="21"/>
              </w:rPr>
            </w:pPr>
            <w:r>
              <w:rPr>
                <w:sz w:val="21"/>
              </w:rPr>
              <w:t xml:space="preserve">分光光度法 </w:t>
            </w:r>
            <w:r>
              <w:rPr>
                <w:rFonts w:ascii="Times New Roman" w:eastAsia="Times New Roman"/>
                <w:sz w:val="21"/>
              </w:rPr>
              <w:t>HJ 751-2015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1811" w:type="dxa"/>
            <w:gridSpan w:val="2"/>
          </w:tcPr>
          <w:p>
            <w:pPr>
              <w:pStyle w:val="14"/>
              <w:spacing w:before="3"/>
              <w:jc w:val="left"/>
              <w:rPr>
                <w:b/>
                <w:sz w:val="21"/>
              </w:rPr>
            </w:pPr>
          </w:p>
          <w:p>
            <w:pPr>
              <w:pStyle w:val="14"/>
              <w:ind w:left="257"/>
              <w:jc w:val="left"/>
              <w:rPr>
                <w:sz w:val="21"/>
              </w:rPr>
            </w:pPr>
            <w:r>
              <w:rPr>
                <w:sz w:val="21"/>
              </w:rPr>
              <w:t>总银（</w:t>
            </w:r>
            <w:r>
              <w:rPr>
                <w:rFonts w:ascii="Times New Roman" w:eastAsia="Times New Roman"/>
                <w:sz w:val="21"/>
              </w:rPr>
              <w:t>mg/L</w:t>
            </w:r>
            <w:r>
              <w:rPr>
                <w:sz w:val="21"/>
              </w:rPr>
              <w:t>）</w:t>
            </w:r>
          </w:p>
        </w:tc>
        <w:tc>
          <w:tcPr>
            <w:tcW w:w="890" w:type="dxa"/>
          </w:tcPr>
          <w:p>
            <w:pPr>
              <w:pStyle w:val="14"/>
              <w:spacing w:before="6"/>
              <w:jc w:val="left"/>
              <w:rPr>
                <w:b/>
                <w:sz w:val="22"/>
              </w:rPr>
            </w:pPr>
          </w:p>
          <w:p>
            <w:pPr>
              <w:pStyle w:val="14"/>
              <w:ind w:right="191"/>
              <w:jc w:val="right"/>
              <w:rPr>
                <w:rFonts w:ascii="Times New Roman"/>
                <w:sz w:val="21"/>
              </w:rPr>
            </w:pPr>
            <w:bookmarkStart w:id="839" w:name="&lt;0.01"/>
            <w:bookmarkEnd w:id="839"/>
            <w:r>
              <w:rPr>
                <w:rFonts w:ascii="Times New Roman"/>
                <w:w w:val="95"/>
                <w:sz w:val="21"/>
              </w:rPr>
              <w:t>&lt;0.01</w:t>
            </w:r>
          </w:p>
        </w:tc>
        <w:tc>
          <w:tcPr>
            <w:tcW w:w="2316" w:type="dxa"/>
          </w:tcPr>
          <w:p>
            <w:pPr>
              <w:pStyle w:val="14"/>
              <w:spacing w:before="4"/>
              <w:jc w:val="left"/>
              <w:rPr>
                <w:b/>
                <w:sz w:val="22"/>
              </w:rPr>
            </w:pPr>
          </w:p>
          <w:p>
            <w:pPr>
              <w:pStyle w:val="14"/>
              <w:ind w:left="7"/>
              <w:rPr>
                <w:rFonts w:ascii="Times New Roman"/>
                <w:sz w:val="21"/>
              </w:rPr>
            </w:pPr>
            <w:r>
              <w:rPr>
                <w:rFonts w:ascii="Times New Roman"/>
                <w:w w:val="99"/>
                <w:sz w:val="21"/>
              </w:rPr>
              <w:t>/</w:t>
            </w:r>
          </w:p>
        </w:tc>
        <w:tc>
          <w:tcPr>
            <w:tcW w:w="3601" w:type="dxa"/>
          </w:tcPr>
          <w:p>
            <w:pPr>
              <w:pStyle w:val="14"/>
              <w:spacing w:before="1"/>
              <w:ind w:left="174" w:hanging="56"/>
              <w:jc w:val="left"/>
              <w:rPr>
                <w:sz w:val="21"/>
              </w:rPr>
            </w:pPr>
            <w:r>
              <w:rPr>
                <w:sz w:val="21"/>
              </w:rPr>
              <w:t>危险废物鉴别标准浸出毒性鉴别（附</w:t>
            </w:r>
          </w:p>
          <w:p>
            <w:pPr>
              <w:pStyle w:val="14"/>
              <w:spacing w:before="1" w:line="270" w:lineRule="atLeast"/>
              <w:ind w:left="256" w:right="164" w:hanging="82"/>
              <w:jc w:val="left"/>
              <w:rPr>
                <w:rFonts w:ascii="Times New Roman" w:eastAsia="Times New Roman"/>
                <w:sz w:val="21"/>
              </w:rPr>
            </w:pPr>
            <w:r>
              <w:rPr>
                <w:sz w:val="21"/>
              </w:rPr>
              <w:t xml:space="preserve">录 </w:t>
            </w:r>
            <w:r>
              <w:rPr>
                <w:rFonts w:ascii="Times New Roman" w:eastAsia="Times New Roman"/>
                <w:sz w:val="21"/>
              </w:rPr>
              <w:t xml:space="preserve">D </w:t>
            </w:r>
            <w:r>
              <w:rPr>
                <w:sz w:val="21"/>
              </w:rPr>
              <w:t>固体废物金属元素的测定火焰原子吸收光谱法）</w:t>
            </w:r>
            <w:r>
              <w:rPr>
                <w:rFonts w:ascii="Times New Roman" w:eastAsia="Times New Roman"/>
                <w:sz w:val="21"/>
              </w:rPr>
              <w:t>GB 5085.3-2007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1811" w:type="dxa"/>
            <w:gridSpan w:val="2"/>
          </w:tcPr>
          <w:p>
            <w:pPr>
              <w:pStyle w:val="14"/>
              <w:spacing w:before="4"/>
              <w:jc w:val="left"/>
              <w:rPr>
                <w:b/>
                <w:sz w:val="21"/>
              </w:rPr>
            </w:pPr>
          </w:p>
          <w:p>
            <w:pPr>
              <w:pStyle w:val="14"/>
              <w:ind w:left="283"/>
              <w:jc w:val="left"/>
              <w:rPr>
                <w:sz w:val="21"/>
              </w:rPr>
            </w:pPr>
            <w:r>
              <w:rPr>
                <w:sz w:val="21"/>
              </w:rPr>
              <w:t>总硒（</w:t>
            </w:r>
            <w:r>
              <w:rPr>
                <w:rFonts w:ascii="Times New Roman" w:hAnsi="Times New Roman" w:eastAsia="Times New Roman"/>
                <w:sz w:val="21"/>
              </w:rPr>
              <w:t>μg/L</w:t>
            </w:r>
            <w:r>
              <w:rPr>
                <w:sz w:val="21"/>
              </w:rPr>
              <w:t>）</w:t>
            </w:r>
          </w:p>
        </w:tc>
        <w:tc>
          <w:tcPr>
            <w:tcW w:w="890" w:type="dxa"/>
          </w:tcPr>
          <w:p>
            <w:pPr>
              <w:pStyle w:val="14"/>
              <w:spacing w:before="7"/>
              <w:jc w:val="left"/>
              <w:rPr>
                <w:b/>
                <w:sz w:val="22"/>
              </w:rPr>
            </w:pPr>
          </w:p>
          <w:p>
            <w:pPr>
              <w:pStyle w:val="14"/>
              <w:ind w:left="253"/>
              <w:jc w:val="left"/>
              <w:rPr>
                <w:rFonts w:ascii="Times New Roman"/>
                <w:sz w:val="21"/>
              </w:rPr>
            </w:pPr>
            <w:bookmarkStart w:id="840" w:name="&lt;0.2"/>
            <w:bookmarkEnd w:id="840"/>
            <w:r>
              <w:rPr>
                <w:rFonts w:ascii="Times New Roman"/>
                <w:sz w:val="21"/>
              </w:rPr>
              <w:t>&lt;0.2</w:t>
            </w:r>
          </w:p>
        </w:tc>
        <w:tc>
          <w:tcPr>
            <w:tcW w:w="2316" w:type="dxa"/>
          </w:tcPr>
          <w:p>
            <w:pPr>
              <w:pStyle w:val="14"/>
              <w:spacing w:before="5"/>
              <w:jc w:val="left"/>
              <w:rPr>
                <w:b/>
                <w:sz w:val="22"/>
              </w:rPr>
            </w:pPr>
          </w:p>
          <w:p>
            <w:pPr>
              <w:pStyle w:val="14"/>
              <w:ind w:left="7"/>
              <w:rPr>
                <w:rFonts w:ascii="Times New Roman"/>
                <w:sz w:val="21"/>
              </w:rPr>
            </w:pPr>
            <w:r>
              <w:rPr>
                <w:rFonts w:ascii="Times New Roman"/>
                <w:w w:val="99"/>
                <w:sz w:val="21"/>
              </w:rPr>
              <w:t>/</w:t>
            </w:r>
          </w:p>
        </w:tc>
        <w:tc>
          <w:tcPr>
            <w:tcW w:w="3601" w:type="dxa"/>
          </w:tcPr>
          <w:p>
            <w:pPr>
              <w:pStyle w:val="14"/>
              <w:spacing w:line="269" w:lineRule="exact"/>
              <w:ind w:left="107" w:firstLine="12"/>
              <w:jc w:val="left"/>
              <w:rPr>
                <w:sz w:val="21"/>
              </w:rPr>
            </w:pPr>
            <w:r>
              <w:rPr>
                <w:sz w:val="21"/>
              </w:rPr>
              <w:t>危险废物鉴别标准浸出毒性鉴别（附</w:t>
            </w:r>
          </w:p>
          <w:p>
            <w:pPr>
              <w:pStyle w:val="14"/>
              <w:spacing w:before="3" w:line="270" w:lineRule="atLeast"/>
              <w:ind w:left="465" w:right="99" w:hanging="358"/>
              <w:jc w:val="left"/>
              <w:rPr>
                <w:rFonts w:ascii="Times New Roman" w:eastAsia="Times New Roman"/>
                <w:sz w:val="21"/>
              </w:rPr>
            </w:pPr>
            <w:r>
              <w:rPr>
                <w:spacing w:val="-28"/>
                <w:sz w:val="21"/>
              </w:rPr>
              <w:t xml:space="preserve">录 </w:t>
            </w:r>
            <w:r>
              <w:rPr>
                <w:rFonts w:ascii="Times New Roman" w:eastAsia="Times New Roman"/>
                <w:sz w:val="21"/>
              </w:rPr>
              <w:t xml:space="preserve">E </w:t>
            </w:r>
            <w:r>
              <w:rPr>
                <w:spacing w:val="-8"/>
                <w:sz w:val="21"/>
              </w:rPr>
              <w:t>固体废物砷、锑、铋、硒的测定</w:t>
            </w:r>
            <w:r>
              <w:rPr>
                <w:sz w:val="21"/>
              </w:rPr>
              <w:t>原子荧光法）</w:t>
            </w:r>
            <w:r>
              <w:rPr>
                <w:rFonts w:ascii="Times New Roman" w:eastAsia="Times New Roman"/>
                <w:sz w:val="21"/>
              </w:rPr>
              <w:t>GB 5085.3-2007</w:t>
            </w:r>
          </w:p>
        </w:tc>
      </w:tr>
    </w:tbl>
    <w:p>
      <w:pPr>
        <w:spacing w:before="4"/>
        <w:ind w:left="696" w:right="0" w:firstLine="0"/>
        <w:jc w:val="left"/>
        <w:rPr>
          <w:sz w:val="21"/>
        </w:rPr>
      </w:pPr>
      <w:r>
        <w:rPr>
          <w:sz w:val="21"/>
        </w:rPr>
        <w:t>注：“</w:t>
      </w:r>
      <w:r>
        <w:rPr>
          <w:rFonts w:ascii="Times New Roman" w:hAnsi="Times New Roman" w:eastAsia="Times New Roman"/>
          <w:sz w:val="21"/>
        </w:rPr>
        <w:t>&lt;</w:t>
      </w:r>
      <w:r>
        <w:rPr>
          <w:sz w:val="21"/>
        </w:rPr>
        <w:t>”表示低于检出限</w:t>
      </w:r>
    </w:p>
    <w:p>
      <w:pPr>
        <w:pStyle w:val="6"/>
        <w:spacing w:before="7"/>
        <w:rPr>
          <w:sz w:val="19"/>
        </w:rPr>
      </w:pPr>
    </w:p>
    <w:p>
      <w:pPr>
        <w:pStyle w:val="6"/>
        <w:spacing w:before="1" w:line="343" w:lineRule="auto"/>
        <w:ind w:left="215" w:right="571" w:firstLine="480"/>
        <w:jc w:val="both"/>
      </w:pPr>
      <w:r>
        <w:rPr>
          <w:spacing w:val="-16"/>
        </w:rPr>
        <w:t xml:space="preserve">根据表 </w:t>
      </w:r>
      <w:r>
        <w:rPr>
          <w:rFonts w:ascii="Times New Roman" w:hAnsi="Times New Roman" w:eastAsia="Times New Roman"/>
        </w:rPr>
        <w:t xml:space="preserve">10.3-1 </w:t>
      </w:r>
      <w:r>
        <w:rPr>
          <w:spacing w:val="-9"/>
        </w:rPr>
        <w:t xml:space="preserve">的监测结果与 </w:t>
      </w:r>
      <w:r>
        <w:rPr>
          <w:rFonts w:ascii="Times New Roman" w:hAnsi="Times New Roman" w:eastAsia="Times New Roman"/>
        </w:rPr>
        <w:t xml:space="preserve">GB2085.3-2007 </w:t>
      </w:r>
      <w:r>
        <w:rPr>
          <w:spacing w:val="-1"/>
        </w:rPr>
        <w:t xml:space="preserve">最高允许排放浓度对比结果可以看出， </w:t>
      </w:r>
      <w:r>
        <w:rPr>
          <w:spacing w:val="-5"/>
        </w:rPr>
        <w:t xml:space="preserve">本项目矸石不属于危废。根据监测结果，各监测因子均能达到 </w:t>
      </w:r>
      <w:r>
        <w:rPr>
          <w:rFonts w:ascii="Times New Roman" w:hAnsi="Times New Roman" w:eastAsia="Times New Roman"/>
        </w:rPr>
        <w:t xml:space="preserve">GB/T8978-1996 </w:t>
      </w:r>
      <w:r>
        <w:t>中Ⅰ类排放要求，大顺煤矿矸石属于Ⅰ类工业固体废物。</w:t>
      </w:r>
    </w:p>
    <w:p>
      <w:pPr>
        <w:pStyle w:val="6"/>
        <w:spacing w:line="343" w:lineRule="auto"/>
        <w:ind w:left="215" w:right="458" w:firstLine="480"/>
      </w:pPr>
      <w:r>
        <w:rPr>
          <w:spacing w:val="-21"/>
        </w:rPr>
        <w:t xml:space="preserve">由表 </w:t>
      </w:r>
      <w:r>
        <w:rPr>
          <w:rFonts w:ascii="Times New Roman" w:hAnsi="Times New Roman" w:eastAsia="Times New Roman"/>
        </w:rPr>
        <w:t xml:space="preserve">10.3-1 </w:t>
      </w:r>
      <w:r>
        <w:rPr>
          <w:spacing w:val="-13"/>
        </w:rPr>
        <w:t>可以看出，矸石水浸出液的各项分析指标相对于《地下水环境质量标准》</w:t>
      </w:r>
      <w:r>
        <w:rPr>
          <w:spacing w:val="-11"/>
        </w:rPr>
        <w:t xml:space="preserve">Ⅲ类标准来说，均满足《地下水环境质量标准》Ⅲ类水质要求。在上述矸石淋溶试验中， </w:t>
      </w:r>
      <w:r>
        <w:t>矸石的淋溶是在矸石被充分浸泡的状态下进行的，是矸石成分最大限度的浸出状态。本项目矸石直接回填井下，矸石自然淋溶后一般达不到充分浸泡的状态，污染物浓度值要比试验值小得多，淋溶水下渗的速度也较慢，因此矸石自然淋溶将不会对周围水体有影</w:t>
      </w:r>
    </w:p>
    <w:p>
      <w:pPr>
        <w:pStyle w:val="6"/>
        <w:spacing w:before="3"/>
        <w:ind w:left="215"/>
      </w:pPr>
      <w:r>
        <w:t>响，矸石淋溶水对地下水的影响很小。</w:t>
      </w:r>
    </w:p>
    <w:p>
      <w:pPr>
        <w:pStyle w:val="4"/>
        <w:numPr>
          <w:ilvl w:val="2"/>
          <w:numId w:val="72"/>
        </w:numPr>
        <w:tabs>
          <w:tab w:val="left" w:pos="1056"/>
        </w:tabs>
        <w:spacing w:before="22" w:after="0" w:line="240" w:lineRule="auto"/>
        <w:ind w:left="1056" w:right="0" w:hanging="841"/>
        <w:jc w:val="left"/>
      </w:pPr>
      <w:bookmarkStart w:id="841" w:name="10.3.2 其它固体废物环境影响分析"/>
      <w:bookmarkEnd w:id="841"/>
      <w:bookmarkStart w:id="842" w:name="10.3.2 其它固体废物环境影响分析"/>
      <w:bookmarkEnd w:id="842"/>
      <w:r>
        <w:t>其它固体废物环境影响分析</w:t>
      </w:r>
    </w:p>
    <w:p>
      <w:pPr>
        <w:pStyle w:val="6"/>
        <w:spacing w:before="185"/>
        <w:ind w:left="698"/>
      </w:pPr>
      <w:r>
        <w:t>本项目产生生活垃圾集中收集按环卫部门要求统一处理；</w:t>
      </w:r>
    </w:p>
    <w:p>
      <w:pPr>
        <w:pStyle w:val="6"/>
        <w:spacing w:before="158"/>
        <w:ind w:left="698"/>
      </w:pPr>
      <w:r>
        <w:t>矸石用来平整工业场地；用作公路的路基石料；用于填沟造地；</w:t>
      </w:r>
    </w:p>
    <w:p>
      <w:pPr>
        <w:pStyle w:val="6"/>
        <w:spacing w:before="161" w:line="364" w:lineRule="auto"/>
        <w:ind w:left="698" w:right="1658"/>
      </w:pPr>
      <w:r>
        <w:t xml:space="preserve">矿井水污泥主要为矿进水中的煤末，年产生量为 </w:t>
      </w:r>
      <w:r>
        <w:rPr>
          <w:rFonts w:ascii="Times New Roman" w:eastAsia="Times New Roman"/>
        </w:rPr>
        <w:t>1500t/a</w:t>
      </w:r>
      <w:r>
        <w:t>，压滤后外售； 废机油委托有资质的单位处理；</w:t>
      </w:r>
    </w:p>
    <w:p>
      <w:pPr>
        <w:spacing w:after="0" w:line="364" w:lineRule="auto"/>
        <w:sectPr>
          <w:pgSz w:w="11910" w:h="16840"/>
          <w:pgMar w:top="1580" w:right="780" w:bottom="1320" w:left="1200" w:header="0" w:footer="1058" w:gutter="0"/>
        </w:sectPr>
      </w:pPr>
    </w:p>
    <w:p>
      <w:pPr>
        <w:pStyle w:val="6"/>
        <w:spacing w:before="66"/>
        <w:ind w:left="698"/>
      </w:pPr>
      <w:r>
        <w:t xml:space="preserve">本项目服务期固体废物处理率达 </w:t>
      </w:r>
      <w:r>
        <w:rPr>
          <w:rFonts w:ascii="Times New Roman" w:eastAsia="Times New Roman"/>
        </w:rPr>
        <w:t>100%</w:t>
      </w:r>
      <w:r>
        <w:t>，对外环境影响较小。</w:t>
      </w:r>
    </w:p>
    <w:p>
      <w:pPr>
        <w:pStyle w:val="3"/>
        <w:numPr>
          <w:ilvl w:val="1"/>
          <w:numId w:val="70"/>
        </w:numPr>
        <w:tabs>
          <w:tab w:val="left" w:pos="893"/>
        </w:tabs>
        <w:spacing w:before="158" w:after="0" w:line="240" w:lineRule="auto"/>
        <w:ind w:left="892" w:right="0" w:hanging="678"/>
        <w:jc w:val="left"/>
        <w:rPr>
          <w:rFonts w:ascii="Times New Roman" w:eastAsia="Times New Roman"/>
        </w:rPr>
      </w:pPr>
      <w:bookmarkStart w:id="843" w:name="10.4 排矸场污染防治和复垦措施"/>
      <w:bookmarkEnd w:id="843"/>
      <w:bookmarkStart w:id="844" w:name="_bookmark60"/>
      <w:bookmarkEnd w:id="844"/>
      <w:bookmarkStart w:id="845" w:name="_bookmark60"/>
      <w:bookmarkEnd w:id="845"/>
      <w:r>
        <w:t>排矸场污染防治和复垦措施</w:t>
      </w:r>
    </w:p>
    <w:p>
      <w:pPr>
        <w:pStyle w:val="6"/>
        <w:spacing w:before="199" w:line="364" w:lineRule="auto"/>
        <w:ind w:left="215" w:right="577" w:firstLine="480"/>
        <w:jc w:val="both"/>
      </w:pPr>
      <w:r>
        <w:rPr>
          <w:spacing w:val="-2"/>
        </w:rPr>
        <w:t>本项目设置矸石临时堆放场地，服务期矸石堆放在矸石临时堆放场地，主要用于填</w:t>
      </w:r>
      <w:r>
        <w:rPr>
          <w:spacing w:val="-7"/>
        </w:rPr>
        <w:t xml:space="preserve">充采空区及塌陷区、修路和制砖。矸石临时堆放场地占地面积约 </w:t>
      </w:r>
      <w:r>
        <w:rPr>
          <w:rFonts w:ascii="Times New Roman" w:eastAsia="Times New Roman"/>
          <w:spacing w:val="-4"/>
        </w:rPr>
        <w:t>8570m</w:t>
      </w:r>
      <w:r>
        <w:rPr>
          <w:rFonts w:ascii="Times New Roman" w:eastAsia="Times New Roman"/>
          <w:spacing w:val="-4"/>
          <w:position w:val="8"/>
          <w:sz w:val="15"/>
        </w:rPr>
        <w:t>2</w:t>
      </w:r>
      <w:r>
        <w:rPr>
          <w:spacing w:val="-5"/>
        </w:rPr>
        <w:t>，周围设置拦矸</w:t>
      </w:r>
      <w:r>
        <w:t>坝和截流沟。采取洒水喷淋措施抑尘，可有效控制扬尘等污染。</w:t>
      </w:r>
    </w:p>
    <w:p>
      <w:pPr>
        <w:pStyle w:val="6"/>
        <w:spacing w:line="364" w:lineRule="auto"/>
        <w:ind w:left="215" w:right="580" w:firstLine="482"/>
        <w:jc w:val="both"/>
      </w:pPr>
      <w:r>
        <w:t>服务期满后，工业场地内地面设施都应该全部清理干净，地面建筑物拆除产生的建筑垃圾应运往指定地点，否则既影响区内景观，也会产生不同程度的水土流失。矸石临时堆放场地需清运场内残余矸石，同时拆除其它辅助设施，恢复地表植被。</w:t>
      </w:r>
    </w:p>
    <w:p>
      <w:pPr>
        <w:spacing w:after="0" w:line="364" w:lineRule="auto"/>
        <w:jc w:val="both"/>
        <w:sectPr>
          <w:pgSz w:w="11910" w:h="16840"/>
          <w:pgMar w:top="1520" w:right="780" w:bottom="1320" w:left="1200" w:header="0" w:footer="1058" w:gutter="0"/>
        </w:sectPr>
      </w:pPr>
    </w:p>
    <w:p>
      <w:pPr>
        <w:pStyle w:val="6"/>
        <w:rPr>
          <w:sz w:val="32"/>
        </w:rPr>
      </w:pPr>
    </w:p>
    <w:p>
      <w:pPr>
        <w:pStyle w:val="6"/>
        <w:spacing w:before="3"/>
        <w:rPr>
          <w:sz w:val="26"/>
        </w:rPr>
      </w:pPr>
    </w:p>
    <w:p>
      <w:pPr>
        <w:pStyle w:val="3"/>
        <w:numPr>
          <w:ilvl w:val="1"/>
          <w:numId w:val="73"/>
        </w:numPr>
        <w:tabs>
          <w:tab w:val="left" w:pos="876"/>
        </w:tabs>
        <w:spacing w:before="1" w:after="0" w:line="240" w:lineRule="auto"/>
        <w:ind w:left="876" w:right="0" w:hanging="661"/>
        <w:jc w:val="left"/>
      </w:pPr>
      <w:bookmarkStart w:id="846" w:name="11.1 概述"/>
      <w:bookmarkEnd w:id="846"/>
      <w:bookmarkStart w:id="847" w:name="_bookmark61"/>
      <w:bookmarkEnd w:id="847"/>
      <w:bookmarkStart w:id="848" w:name="_bookmark61"/>
      <w:bookmarkEnd w:id="848"/>
      <w:r>
        <w:t>概述</w:t>
      </w:r>
    </w:p>
    <w:p>
      <w:pPr>
        <w:pStyle w:val="2"/>
        <w:numPr>
          <w:ilvl w:val="0"/>
          <w:numId w:val="62"/>
        </w:numPr>
        <w:tabs>
          <w:tab w:val="left" w:pos="667"/>
        </w:tabs>
        <w:spacing w:before="46" w:after="0" w:line="240" w:lineRule="auto"/>
        <w:ind w:left="667" w:right="0" w:hanging="451"/>
        <w:jc w:val="left"/>
      </w:pPr>
      <w:bookmarkStart w:id="849" w:name="11.土壤环境影响评价 "/>
      <w:bookmarkEnd w:id="849"/>
      <w:bookmarkStart w:id="850" w:name="_bookmark62"/>
      <w:bookmarkEnd w:id="850"/>
      <w:bookmarkStart w:id="851" w:name="_bookmark62"/>
      <w:bookmarkEnd w:id="851"/>
      <w:r>
        <w:rPr>
          <w:spacing w:val="2"/>
          <w:w w:val="99"/>
        </w:rPr>
        <w:br w:type="column"/>
      </w:r>
      <w:r>
        <w:t>土壤环境影响评价</w:t>
      </w:r>
    </w:p>
    <w:p>
      <w:pPr>
        <w:spacing w:after="0" w:line="240" w:lineRule="auto"/>
        <w:jc w:val="left"/>
        <w:sectPr>
          <w:pgSz w:w="11910" w:h="16840"/>
          <w:pgMar w:top="1540" w:right="780" w:bottom="1320" w:left="1200" w:header="0" w:footer="1058" w:gutter="0"/>
          <w:cols w:equalWidth="0" w:num="2">
            <w:col w:w="1517" w:space="1380"/>
            <w:col w:w="7033"/>
          </w:cols>
        </w:sectPr>
      </w:pPr>
    </w:p>
    <w:p>
      <w:pPr>
        <w:pStyle w:val="6"/>
        <w:spacing w:before="7"/>
        <w:rPr>
          <w:b/>
          <w:sz w:val="9"/>
        </w:rPr>
      </w:pPr>
    </w:p>
    <w:p>
      <w:pPr>
        <w:pStyle w:val="6"/>
        <w:spacing w:before="74" w:line="364" w:lineRule="auto"/>
        <w:ind w:left="215" w:right="571" w:firstLine="480"/>
        <w:jc w:val="both"/>
      </w:pPr>
      <w:r>
        <w:rPr>
          <w:spacing w:val="-4"/>
        </w:rPr>
        <w:t>本次评价按照《环境影响评价技术导则 土壤环境</w:t>
      </w:r>
      <w:r>
        <w:t>（试行</w:t>
      </w:r>
      <w:r>
        <w:rPr>
          <w:spacing w:val="-15"/>
        </w:rPr>
        <w:t>）</w:t>
      </w:r>
      <w:r>
        <w:rPr>
          <w:spacing w:val="-27"/>
        </w:rPr>
        <w:t>》</w:t>
      </w:r>
      <w:r>
        <w:rPr>
          <w:spacing w:val="-3"/>
        </w:rPr>
        <w:t>（</w:t>
      </w:r>
      <w:r>
        <w:rPr>
          <w:rFonts w:ascii="Times New Roman" w:eastAsia="Times New Roman"/>
          <w:spacing w:val="-3"/>
        </w:rPr>
        <w:t>HJ964-2018</w:t>
      </w:r>
      <w:r>
        <w:rPr>
          <w:spacing w:val="-3"/>
        </w:rPr>
        <w:t>）</w:t>
      </w:r>
      <w:r>
        <w:rPr>
          <w:spacing w:val="-6"/>
        </w:rPr>
        <w:t>，对井</w:t>
      </w:r>
      <w:r>
        <w:t>田开采区、工业场地及矸石周转场土壤环境进行了现状调查，并在调查基础上，进行了土壤环境的预测与评价并提出了保护措施。</w:t>
      </w:r>
    </w:p>
    <w:p>
      <w:pPr>
        <w:pStyle w:val="4"/>
        <w:numPr>
          <w:ilvl w:val="2"/>
          <w:numId w:val="73"/>
        </w:numPr>
        <w:tabs>
          <w:tab w:val="left" w:pos="1042"/>
        </w:tabs>
        <w:spacing w:before="0" w:after="0" w:line="240" w:lineRule="auto"/>
        <w:ind w:left="1041" w:right="0" w:hanging="827"/>
        <w:jc w:val="left"/>
      </w:pPr>
      <w:bookmarkStart w:id="852" w:name="11.1.1 土壤环境影响识别"/>
      <w:bookmarkEnd w:id="852"/>
      <w:bookmarkStart w:id="853" w:name="11.1.1 土壤环境影响识别"/>
      <w:bookmarkEnd w:id="853"/>
      <w:r>
        <w:t>土壤环境影响识别</w:t>
      </w:r>
    </w:p>
    <w:p>
      <w:pPr>
        <w:pStyle w:val="6"/>
        <w:spacing w:before="185"/>
        <w:ind w:left="696"/>
      </w:pPr>
      <w:r>
        <w:t>本项目为采矿业中的煤炭采选项目，根据《环境影响评价技术导则土壤环境》附录</w:t>
      </w:r>
    </w:p>
    <w:p>
      <w:pPr>
        <w:pStyle w:val="6"/>
        <w:spacing w:before="161"/>
        <w:ind w:left="215"/>
      </w:pPr>
      <w:r>
        <w:rPr>
          <w:rFonts w:ascii="Times New Roman" w:hAnsi="Times New Roman" w:eastAsia="Times New Roman"/>
        </w:rPr>
        <w:t>A</w:t>
      </w:r>
      <w:r>
        <w:t>，本项目属于Ⅱ类行业，兼具污染影响与生态影响特征。</w:t>
      </w:r>
    </w:p>
    <w:p>
      <w:pPr>
        <w:pStyle w:val="5"/>
        <w:numPr>
          <w:ilvl w:val="3"/>
          <w:numId w:val="73"/>
        </w:numPr>
        <w:tabs>
          <w:tab w:val="left" w:pos="1044"/>
        </w:tabs>
        <w:spacing w:before="158" w:after="0" w:line="240" w:lineRule="auto"/>
        <w:ind w:left="1044" w:right="0" w:hanging="829"/>
        <w:jc w:val="left"/>
      </w:pPr>
      <w:bookmarkStart w:id="854" w:name="11.1.1.1生态影响型影响识别"/>
      <w:bookmarkEnd w:id="854"/>
      <w:bookmarkStart w:id="855" w:name="11.1.1.1生态影响型影响识别"/>
      <w:bookmarkEnd w:id="855"/>
      <w:r>
        <w:t>生态影响型影响识别</w:t>
      </w:r>
    </w:p>
    <w:p>
      <w:pPr>
        <w:pStyle w:val="6"/>
        <w:spacing w:before="160" w:line="362" w:lineRule="auto"/>
        <w:ind w:left="215" w:right="580" w:firstLine="480"/>
      </w:pPr>
      <w:r>
        <w:t>该区对酸化以及碱化不敏感，井田开采不会造成土壤酸化以及碱化，影响识别见下表。</w:t>
      </w:r>
    </w:p>
    <w:p>
      <w:pPr>
        <w:spacing w:before="4"/>
        <w:ind w:left="0" w:right="348" w:firstLine="0"/>
        <w:jc w:val="center"/>
        <w:rPr>
          <w:b/>
          <w:sz w:val="21"/>
        </w:rPr>
      </w:pPr>
      <w:r>
        <w:rPr>
          <w:b/>
          <w:spacing w:val="-26"/>
          <w:sz w:val="21"/>
        </w:rPr>
        <w:t xml:space="preserve">表 </w:t>
      </w:r>
      <w:r>
        <w:rPr>
          <w:rFonts w:ascii="Times New Roman" w:eastAsia="Times New Roman"/>
          <w:b/>
          <w:sz w:val="21"/>
        </w:rPr>
        <w:t>11.1.1</w:t>
      </w:r>
      <w:r>
        <w:rPr>
          <w:rFonts w:ascii="Times New Roman" w:eastAsia="Times New Roman"/>
          <w:b/>
          <w:spacing w:val="51"/>
          <w:sz w:val="21"/>
        </w:rPr>
        <w:t xml:space="preserve"> </w:t>
      </w:r>
      <w:r>
        <w:rPr>
          <w:b/>
          <w:sz w:val="21"/>
        </w:rPr>
        <w:t>生态影响型土壤环境影响源及影响因子识别表</w:t>
      </w:r>
    </w:p>
    <w:p>
      <w:pPr>
        <w:pStyle w:val="6"/>
        <w:spacing w:before="10" w:after="1"/>
        <w:rPr>
          <w:b/>
          <w:sz w:val="10"/>
        </w:rPr>
      </w:pP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19"/>
        <w:gridCol w:w="1840"/>
        <w:gridCol w:w="3946"/>
        <w:gridCol w:w="21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19" w:type="dxa"/>
          </w:tcPr>
          <w:p>
            <w:pPr>
              <w:pStyle w:val="14"/>
              <w:spacing w:before="62"/>
              <w:ind w:left="238"/>
              <w:jc w:val="left"/>
              <w:rPr>
                <w:sz w:val="21"/>
              </w:rPr>
            </w:pPr>
            <w:r>
              <w:rPr>
                <w:sz w:val="21"/>
              </w:rPr>
              <w:t>影响结果</w:t>
            </w:r>
          </w:p>
        </w:tc>
        <w:tc>
          <w:tcPr>
            <w:tcW w:w="1840" w:type="dxa"/>
          </w:tcPr>
          <w:p>
            <w:pPr>
              <w:pStyle w:val="14"/>
              <w:spacing w:before="62"/>
              <w:ind w:left="236" w:right="231"/>
              <w:rPr>
                <w:sz w:val="21"/>
              </w:rPr>
            </w:pPr>
            <w:r>
              <w:rPr>
                <w:sz w:val="21"/>
              </w:rPr>
              <w:t>影响途径</w:t>
            </w:r>
          </w:p>
        </w:tc>
        <w:tc>
          <w:tcPr>
            <w:tcW w:w="3946" w:type="dxa"/>
          </w:tcPr>
          <w:p>
            <w:pPr>
              <w:pStyle w:val="14"/>
              <w:spacing w:before="62"/>
              <w:ind w:left="55" w:right="47"/>
              <w:rPr>
                <w:sz w:val="21"/>
              </w:rPr>
            </w:pPr>
            <w:r>
              <w:rPr>
                <w:sz w:val="21"/>
              </w:rPr>
              <w:t>具体指标</w:t>
            </w:r>
          </w:p>
        </w:tc>
        <w:tc>
          <w:tcPr>
            <w:tcW w:w="2181" w:type="dxa"/>
          </w:tcPr>
          <w:p>
            <w:pPr>
              <w:pStyle w:val="14"/>
              <w:spacing w:before="62"/>
              <w:ind w:left="228" w:right="222"/>
              <w:rPr>
                <w:sz w:val="21"/>
              </w:rPr>
            </w:pPr>
            <w:r>
              <w:rPr>
                <w:sz w:val="21"/>
              </w:rPr>
              <w:t>土壤环境敏感目标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319" w:type="dxa"/>
            <w:vMerge w:val="restart"/>
          </w:tcPr>
          <w:p>
            <w:pPr>
              <w:pStyle w:val="14"/>
              <w:spacing w:before="6"/>
              <w:jc w:val="left"/>
              <w:rPr>
                <w:b/>
                <w:sz w:val="26"/>
              </w:rPr>
            </w:pPr>
          </w:p>
          <w:p>
            <w:pPr>
              <w:pStyle w:val="14"/>
              <w:spacing w:line="244" w:lineRule="auto"/>
              <w:ind w:left="209" w:right="170" w:hanging="29"/>
              <w:jc w:val="left"/>
              <w:rPr>
                <w:sz w:val="21"/>
              </w:rPr>
            </w:pPr>
            <w:r>
              <w:rPr>
                <w:sz w:val="21"/>
              </w:rPr>
              <w:t>盐化</w:t>
            </w:r>
            <w:r>
              <w:rPr>
                <w:rFonts w:ascii="Times New Roman" w:eastAsia="Times New Roman"/>
                <w:sz w:val="21"/>
              </w:rPr>
              <w:t>/</w:t>
            </w:r>
            <w:r>
              <w:rPr>
                <w:sz w:val="21"/>
              </w:rPr>
              <w:t>酸化</w:t>
            </w:r>
            <w:r>
              <w:rPr>
                <w:rFonts w:ascii="Times New Roman" w:eastAsia="Times New Roman"/>
                <w:sz w:val="21"/>
              </w:rPr>
              <w:t xml:space="preserve">/ </w:t>
            </w:r>
            <w:r>
              <w:rPr>
                <w:sz w:val="21"/>
              </w:rPr>
              <w:t>碱化</w:t>
            </w:r>
            <w:r>
              <w:rPr>
                <w:rFonts w:ascii="Times New Roman" w:eastAsia="Times New Roman"/>
                <w:sz w:val="21"/>
              </w:rPr>
              <w:t>/</w:t>
            </w:r>
            <w:r>
              <w:rPr>
                <w:sz w:val="21"/>
              </w:rPr>
              <w:t>其他</w:t>
            </w:r>
          </w:p>
        </w:tc>
        <w:tc>
          <w:tcPr>
            <w:tcW w:w="1840" w:type="dxa"/>
          </w:tcPr>
          <w:p>
            <w:pPr>
              <w:pStyle w:val="14"/>
              <w:spacing w:before="63"/>
              <w:ind w:left="239" w:right="231"/>
              <w:rPr>
                <w:sz w:val="21"/>
              </w:rPr>
            </w:pPr>
            <w:r>
              <w:rPr>
                <w:sz w:val="21"/>
              </w:rPr>
              <w:t>物质输入</w:t>
            </w:r>
            <w:r>
              <w:rPr>
                <w:rFonts w:ascii="Times New Roman" w:eastAsia="Times New Roman"/>
                <w:sz w:val="21"/>
              </w:rPr>
              <w:t>/</w:t>
            </w:r>
            <w:r>
              <w:rPr>
                <w:sz w:val="21"/>
              </w:rPr>
              <w:t>运移</w:t>
            </w:r>
          </w:p>
        </w:tc>
        <w:tc>
          <w:tcPr>
            <w:tcW w:w="3946" w:type="dxa"/>
          </w:tcPr>
          <w:p>
            <w:pPr>
              <w:pStyle w:val="14"/>
              <w:spacing w:before="63"/>
              <w:ind w:left="8"/>
              <w:rPr>
                <w:sz w:val="21"/>
              </w:rPr>
            </w:pPr>
            <w:r>
              <w:rPr>
                <w:w w:val="99"/>
                <w:sz w:val="21"/>
              </w:rPr>
              <w:t>━</w:t>
            </w:r>
          </w:p>
        </w:tc>
        <w:tc>
          <w:tcPr>
            <w:tcW w:w="2181" w:type="dxa"/>
          </w:tcPr>
          <w:p>
            <w:pPr>
              <w:pStyle w:val="14"/>
              <w:spacing w:before="63"/>
              <w:ind w:left="6"/>
              <w:rPr>
                <w:sz w:val="21"/>
              </w:rPr>
            </w:pPr>
            <w:r>
              <w:rPr>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1319" w:type="dxa"/>
            <w:vMerge w:val="continue"/>
            <w:tcBorders>
              <w:top w:val="nil"/>
            </w:tcBorders>
          </w:tcPr>
          <w:p>
            <w:pPr>
              <w:rPr>
                <w:sz w:val="2"/>
                <w:szCs w:val="2"/>
              </w:rPr>
            </w:pPr>
          </w:p>
        </w:tc>
        <w:tc>
          <w:tcPr>
            <w:tcW w:w="1840" w:type="dxa"/>
          </w:tcPr>
          <w:p>
            <w:pPr>
              <w:pStyle w:val="14"/>
              <w:spacing w:before="4"/>
              <w:jc w:val="left"/>
              <w:rPr>
                <w:b/>
                <w:sz w:val="21"/>
              </w:rPr>
            </w:pPr>
          </w:p>
          <w:p>
            <w:pPr>
              <w:pStyle w:val="14"/>
              <w:ind w:left="236" w:right="231"/>
              <w:rPr>
                <w:sz w:val="21"/>
              </w:rPr>
            </w:pPr>
            <w:r>
              <w:rPr>
                <w:sz w:val="21"/>
              </w:rPr>
              <w:t>水位变化</w:t>
            </w:r>
          </w:p>
        </w:tc>
        <w:tc>
          <w:tcPr>
            <w:tcW w:w="3946" w:type="dxa"/>
          </w:tcPr>
          <w:p>
            <w:pPr>
              <w:pStyle w:val="14"/>
              <w:spacing w:before="1" w:line="270" w:lineRule="atLeast"/>
              <w:ind w:left="108" w:right="47"/>
              <w:rPr>
                <w:sz w:val="21"/>
              </w:rPr>
            </w:pPr>
            <w:r>
              <w:rPr>
                <w:w w:val="95"/>
                <w:sz w:val="21"/>
              </w:rPr>
              <w:t xml:space="preserve">由于地表沉陷造成第四系水位埋深降低， </w:t>
            </w:r>
            <w:r>
              <w:rPr>
                <w:sz w:val="21"/>
              </w:rPr>
              <w:t>导致蒸发加剧，盐分在地表集聚，可能在局部地区造成次生盐渍化</w:t>
            </w:r>
          </w:p>
        </w:tc>
        <w:tc>
          <w:tcPr>
            <w:tcW w:w="2181" w:type="dxa"/>
          </w:tcPr>
          <w:p>
            <w:pPr>
              <w:pStyle w:val="14"/>
              <w:spacing w:before="4"/>
              <w:jc w:val="left"/>
              <w:rPr>
                <w:b/>
                <w:sz w:val="21"/>
              </w:rPr>
            </w:pPr>
          </w:p>
          <w:p>
            <w:pPr>
              <w:pStyle w:val="14"/>
              <w:ind w:left="6"/>
              <w:rPr>
                <w:sz w:val="21"/>
              </w:rPr>
            </w:pPr>
            <w:r>
              <w:rPr>
                <w:w w:val="99"/>
                <w:sz w:val="21"/>
              </w:rPr>
              <w:t>━</w:t>
            </w:r>
          </w:p>
        </w:tc>
      </w:tr>
    </w:tbl>
    <w:p>
      <w:pPr>
        <w:pStyle w:val="5"/>
        <w:numPr>
          <w:ilvl w:val="3"/>
          <w:numId w:val="73"/>
        </w:numPr>
        <w:tabs>
          <w:tab w:val="left" w:pos="1044"/>
        </w:tabs>
        <w:spacing w:before="2" w:after="0" w:line="240" w:lineRule="auto"/>
        <w:ind w:left="1044" w:right="0" w:hanging="829"/>
        <w:jc w:val="left"/>
      </w:pPr>
      <w:bookmarkStart w:id="856" w:name="11.1.1.2污染影响型影响识别"/>
      <w:bookmarkEnd w:id="856"/>
      <w:bookmarkStart w:id="857" w:name="11.1.1.2污染影响型影响识别"/>
      <w:bookmarkEnd w:id="857"/>
      <w:r>
        <w:t>污染影响型影响识别</w:t>
      </w:r>
    </w:p>
    <w:p>
      <w:pPr>
        <w:pStyle w:val="6"/>
        <w:spacing w:before="160" w:line="362" w:lineRule="auto"/>
        <w:ind w:left="215" w:right="580" w:firstLine="480"/>
      </w:pPr>
      <w:r>
        <w:t>本次评价根据各场地主要建构筑物布置情况，对土壤污染源及影响因子识别，具体见下表</w:t>
      </w:r>
    </w:p>
    <w:p>
      <w:pPr>
        <w:spacing w:before="4"/>
        <w:ind w:left="0" w:right="348" w:firstLine="0"/>
        <w:jc w:val="center"/>
        <w:rPr>
          <w:b/>
          <w:sz w:val="21"/>
        </w:rPr>
      </w:pPr>
      <w:r>
        <w:rPr>
          <w:b/>
          <w:spacing w:val="-26"/>
          <w:sz w:val="21"/>
        </w:rPr>
        <w:t xml:space="preserve">表 </w:t>
      </w:r>
      <w:r>
        <w:rPr>
          <w:rFonts w:ascii="Times New Roman" w:eastAsia="Times New Roman"/>
          <w:b/>
          <w:sz w:val="21"/>
        </w:rPr>
        <w:t>11.1-2</w:t>
      </w:r>
      <w:r>
        <w:rPr>
          <w:rFonts w:ascii="Times New Roman" w:eastAsia="Times New Roman"/>
          <w:b/>
          <w:spacing w:val="51"/>
          <w:sz w:val="21"/>
        </w:rPr>
        <w:t xml:space="preserve"> </w:t>
      </w:r>
      <w:r>
        <w:rPr>
          <w:b/>
          <w:sz w:val="21"/>
        </w:rPr>
        <w:t>污染影响型土壤环境影响源及影响因子识别表</w:t>
      </w:r>
    </w:p>
    <w:p>
      <w:pPr>
        <w:pStyle w:val="6"/>
        <w:spacing w:before="10"/>
        <w:rPr>
          <w:b/>
          <w:sz w:val="10"/>
        </w:rPr>
      </w:pP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1"/>
        <w:gridCol w:w="623"/>
        <w:gridCol w:w="1994"/>
        <w:gridCol w:w="1149"/>
        <w:gridCol w:w="1753"/>
        <w:gridCol w:w="1548"/>
        <w:gridCol w:w="15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671" w:type="dxa"/>
          </w:tcPr>
          <w:p>
            <w:pPr>
              <w:pStyle w:val="14"/>
              <w:spacing w:before="63"/>
              <w:ind w:left="102" w:right="99"/>
              <w:rPr>
                <w:sz w:val="21"/>
              </w:rPr>
            </w:pPr>
            <w:r>
              <w:rPr>
                <w:sz w:val="21"/>
              </w:rPr>
              <w:t>序号</w:t>
            </w:r>
          </w:p>
        </w:tc>
        <w:tc>
          <w:tcPr>
            <w:tcW w:w="2617" w:type="dxa"/>
            <w:gridSpan w:val="2"/>
          </w:tcPr>
          <w:p>
            <w:pPr>
              <w:pStyle w:val="14"/>
              <w:spacing w:before="63"/>
              <w:ind w:left="972" w:right="964"/>
              <w:rPr>
                <w:sz w:val="21"/>
              </w:rPr>
            </w:pPr>
            <w:r>
              <w:rPr>
                <w:sz w:val="21"/>
              </w:rPr>
              <w:t>污染源</w:t>
            </w:r>
          </w:p>
        </w:tc>
        <w:tc>
          <w:tcPr>
            <w:tcW w:w="1149" w:type="dxa"/>
          </w:tcPr>
          <w:p>
            <w:pPr>
              <w:pStyle w:val="14"/>
              <w:spacing w:before="63"/>
              <w:ind w:left="133" w:right="125"/>
              <w:rPr>
                <w:sz w:val="21"/>
              </w:rPr>
            </w:pPr>
            <w:r>
              <w:rPr>
                <w:sz w:val="21"/>
              </w:rPr>
              <w:t>污染途径</w:t>
            </w:r>
          </w:p>
        </w:tc>
        <w:tc>
          <w:tcPr>
            <w:tcW w:w="1753" w:type="dxa"/>
          </w:tcPr>
          <w:p>
            <w:pPr>
              <w:pStyle w:val="14"/>
              <w:spacing w:before="63"/>
              <w:ind w:left="57" w:right="50"/>
              <w:rPr>
                <w:sz w:val="21"/>
              </w:rPr>
            </w:pPr>
            <w:r>
              <w:rPr>
                <w:sz w:val="21"/>
              </w:rPr>
              <w:t>全部污染物指标</w:t>
            </w:r>
          </w:p>
        </w:tc>
        <w:tc>
          <w:tcPr>
            <w:tcW w:w="1548" w:type="dxa"/>
          </w:tcPr>
          <w:p>
            <w:pPr>
              <w:pStyle w:val="14"/>
              <w:spacing w:before="63"/>
              <w:ind w:left="34" w:right="28"/>
              <w:rPr>
                <w:sz w:val="21"/>
              </w:rPr>
            </w:pPr>
            <w:r>
              <w:rPr>
                <w:sz w:val="21"/>
              </w:rPr>
              <w:t>特征因子</w:t>
            </w:r>
          </w:p>
        </w:tc>
        <w:tc>
          <w:tcPr>
            <w:tcW w:w="1548" w:type="dxa"/>
          </w:tcPr>
          <w:p>
            <w:pPr>
              <w:pStyle w:val="14"/>
              <w:spacing w:before="63"/>
              <w:ind w:left="37" w:right="28"/>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671" w:type="dxa"/>
          </w:tcPr>
          <w:p>
            <w:pPr>
              <w:pStyle w:val="14"/>
              <w:spacing w:before="150"/>
              <w:ind w:left="7"/>
              <w:rPr>
                <w:rFonts w:ascii="Times New Roman"/>
                <w:sz w:val="21"/>
              </w:rPr>
            </w:pPr>
            <w:r>
              <w:rPr>
                <w:rFonts w:ascii="Times New Roman"/>
                <w:w w:val="99"/>
                <w:sz w:val="21"/>
              </w:rPr>
              <w:t>1</w:t>
            </w:r>
          </w:p>
        </w:tc>
        <w:tc>
          <w:tcPr>
            <w:tcW w:w="623" w:type="dxa"/>
            <w:vMerge w:val="restart"/>
          </w:tcPr>
          <w:p>
            <w:pPr>
              <w:pStyle w:val="14"/>
              <w:jc w:val="left"/>
              <w:rPr>
                <w:b/>
                <w:sz w:val="20"/>
              </w:rPr>
            </w:pPr>
          </w:p>
          <w:p>
            <w:pPr>
              <w:pStyle w:val="14"/>
              <w:jc w:val="left"/>
              <w:rPr>
                <w:b/>
                <w:sz w:val="20"/>
              </w:rPr>
            </w:pPr>
          </w:p>
          <w:p>
            <w:pPr>
              <w:pStyle w:val="14"/>
              <w:jc w:val="left"/>
              <w:rPr>
                <w:b/>
                <w:sz w:val="20"/>
              </w:rPr>
            </w:pPr>
          </w:p>
          <w:p>
            <w:pPr>
              <w:pStyle w:val="14"/>
              <w:spacing w:before="130" w:line="242" w:lineRule="auto"/>
              <w:ind w:left="206" w:right="195"/>
              <w:jc w:val="both"/>
              <w:rPr>
                <w:sz w:val="21"/>
              </w:rPr>
            </w:pPr>
            <w:r>
              <w:rPr>
                <w:sz w:val="21"/>
              </w:rPr>
              <w:t>工业场地</w:t>
            </w:r>
          </w:p>
        </w:tc>
        <w:tc>
          <w:tcPr>
            <w:tcW w:w="1994" w:type="dxa"/>
          </w:tcPr>
          <w:p>
            <w:pPr>
              <w:pStyle w:val="14"/>
              <w:spacing w:before="136"/>
              <w:ind w:left="132" w:right="128"/>
              <w:rPr>
                <w:sz w:val="21"/>
              </w:rPr>
            </w:pPr>
            <w:r>
              <w:rPr>
                <w:sz w:val="21"/>
              </w:rPr>
              <w:t>矿井水处理站</w:t>
            </w:r>
          </w:p>
        </w:tc>
        <w:tc>
          <w:tcPr>
            <w:tcW w:w="1149" w:type="dxa"/>
          </w:tcPr>
          <w:p>
            <w:pPr>
              <w:pStyle w:val="14"/>
              <w:spacing w:before="136"/>
              <w:ind w:left="133" w:right="125"/>
              <w:rPr>
                <w:sz w:val="21"/>
              </w:rPr>
            </w:pPr>
            <w:r>
              <w:rPr>
                <w:sz w:val="21"/>
              </w:rPr>
              <w:t>垂直入渗</w:t>
            </w:r>
          </w:p>
        </w:tc>
        <w:tc>
          <w:tcPr>
            <w:tcW w:w="1753" w:type="dxa"/>
          </w:tcPr>
          <w:p>
            <w:pPr>
              <w:pStyle w:val="14"/>
              <w:spacing w:before="2"/>
              <w:ind w:left="60" w:right="50"/>
              <w:rPr>
                <w:sz w:val="21"/>
              </w:rPr>
            </w:pPr>
            <w:r>
              <w:rPr>
                <w:rFonts w:ascii="Times New Roman" w:eastAsia="Times New Roman"/>
                <w:sz w:val="21"/>
              </w:rPr>
              <w:t xml:space="preserve">pH </w:t>
            </w:r>
            <w:r>
              <w:rPr>
                <w:sz w:val="21"/>
              </w:rPr>
              <w:t>值、</w:t>
            </w:r>
            <w:r>
              <w:rPr>
                <w:rFonts w:ascii="Times New Roman" w:eastAsia="Times New Roman"/>
                <w:sz w:val="21"/>
              </w:rPr>
              <w:t>COD</w:t>
            </w:r>
            <w:r>
              <w:rPr>
                <w:sz w:val="21"/>
              </w:rPr>
              <w:t>、氨</w:t>
            </w:r>
          </w:p>
          <w:p>
            <w:pPr>
              <w:pStyle w:val="14"/>
              <w:spacing w:before="2" w:line="252" w:lineRule="exact"/>
              <w:ind w:left="5"/>
              <w:rPr>
                <w:sz w:val="21"/>
              </w:rPr>
            </w:pPr>
            <w:r>
              <w:rPr>
                <w:w w:val="99"/>
                <w:sz w:val="21"/>
              </w:rPr>
              <w:t>氮</w:t>
            </w:r>
          </w:p>
        </w:tc>
        <w:tc>
          <w:tcPr>
            <w:tcW w:w="1548" w:type="dxa"/>
          </w:tcPr>
          <w:p>
            <w:pPr>
              <w:pStyle w:val="14"/>
              <w:spacing w:before="2"/>
              <w:ind w:left="87" w:right="28"/>
              <w:rPr>
                <w:sz w:val="21"/>
              </w:rPr>
            </w:pPr>
            <w:r>
              <w:rPr>
                <w:rFonts w:ascii="Times New Roman" w:eastAsia="Times New Roman"/>
                <w:sz w:val="21"/>
              </w:rPr>
              <w:t xml:space="preserve">pH </w:t>
            </w:r>
            <w:r>
              <w:rPr>
                <w:sz w:val="21"/>
              </w:rPr>
              <w:t>值、</w:t>
            </w:r>
            <w:r>
              <w:rPr>
                <w:rFonts w:ascii="Times New Roman" w:eastAsia="Times New Roman"/>
                <w:sz w:val="21"/>
              </w:rPr>
              <w:t>COD</w:t>
            </w:r>
            <w:r>
              <w:rPr>
                <w:sz w:val="21"/>
              </w:rPr>
              <w:t>、</w:t>
            </w:r>
          </w:p>
          <w:p>
            <w:pPr>
              <w:pStyle w:val="14"/>
              <w:spacing w:before="2" w:line="252" w:lineRule="exact"/>
              <w:ind w:left="37" w:right="28"/>
              <w:rPr>
                <w:sz w:val="21"/>
              </w:rPr>
            </w:pPr>
            <w:r>
              <w:rPr>
                <w:sz w:val="21"/>
              </w:rPr>
              <w:t>氨氮</w:t>
            </w:r>
          </w:p>
        </w:tc>
        <w:tc>
          <w:tcPr>
            <w:tcW w:w="1548" w:type="dxa"/>
          </w:tcPr>
          <w:p>
            <w:pPr>
              <w:pStyle w:val="14"/>
              <w:spacing w:before="136"/>
              <w:ind w:left="34" w:right="28"/>
              <w:rPr>
                <w:sz w:val="21"/>
              </w:rPr>
            </w:pPr>
            <w:r>
              <w:rPr>
                <w:sz w:val="21"/>
              </w:rPr>
              <w:t>间断、事故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671" w:type="dxa"/>
          </w:tcPr>
          <w:p>
            <w:pPr>
              <w:pStyle w:val="14"/>
              <w:spacing w:before="4"/>
              <w:jc w:val="left"/>
              <w:rPr>
                <w:b/>
                <w:sz w:val="22"/>
              </w:rPr>
            </w:pPr>
          </w:p>
          <w:p>
            <w:pPr>
              <w:pStyle w:val="14"/>
              <w:ind w:left="7"/>
              <w:rPr>
                <w:rFonts w:ascii="Times New Roman"/>
                <w:sz w:val="21"/>
              </w:rPr>
            </w:pPr>
            <w:r>
              <w:rPr>
                <w:rFonts w:ascii="Times New Roman"/>
                <w:w w:val="99"/>
                <w:sz w:val="21"/>
              </w:rPr>
              <w:t>2</w:t>
            </w:r>
          </w:p>
        </w:tc>
        <w:tc>
          <w:tcPr>
            <w:tcW w:w="623" w:type="dxa"/>
            <w:vMerge w:val="continue"/>
            <w:tcBorders>
              <w:top w:val="nil"/>
            </w:tcBorders>
          </w:tcPr>
          <w:p>
            <w:pPr>
              <w:rPr>
                <w:sz w:val="2"/>
                <w:szCs w:val="2"/>
              </w:rPr>
            </w:pPr>
          </w:p>
        </w:tc>
        <w:tc>
          <w:tcPr>
            <w:tcW w:w="1994" w:type="dxa"/>
          </w:tcPr>
          <w:p>
            <w:pPr>
              <w:pStyle w:val="14"/>
              <w:spacing w:before="3"/>
              <w:jc w:val="left"/>
              <w:rPr>
                <w:b/>
                <w:sz w:val="21"/>
              </w:rPr>
            </w:pPr>
          </w:p>
          <w:p>
            <w:pPr>
              <w:pStyle w:val="14"/>
              <w:ind w:left="135" w:right="128"/>
              <w:rPr>
                <w:sz w:val="21"/>
              </w:rPr>
            </w:pPr>
            <w:r>
              <w:rPr>
                <w:sz w:val="21"/>
              </w:rPr>
              <w:t>污水处理站</w:t>
            </w:r>
          </w:p>
        </w:tc>
        <w:tc>
          <w:tcPr>
            <w:tcW w:w="1149" w:type="dxa"/>
          </w:tcPr>
          <w:p>
            <w:pPr>
              <w:pStyle w:val="14"/>
              <w:spacing w:before="3"/>
              <w:jc w:val="left"/>
              <w:rPr>
                <w:b/>
                <w:sz w:val="21"/>
              </w:rPr>
            </w:pPr>
          </w:p>
          <w:p>
            <w:pPr>
              <w:pStyle w:val="14"/>
              <w:ind w:left="133" w:right="125"/>
              <w:rPr>
                <w:sz w:val="21"/>
              </w:rPr>
            </w:pPr>
            <w:r>
              <w:rPr>
                <w:sz w:val="21"/>
              </w:rPr>
              <w:t>垂直入渗</w:t>
            </w:r>
          </w:p>
        </w:tc>
        <w:tc>
          <w:tcPr>
            <w:tcW w:w="1753" w:type="dxa"/>
          </w:tcPr>
          <w:p>
            <w:pPr>
              <w:pStyle w:val="14"/>
              <w:spacing w:before="1" w:line="269" w:lineRule="exact"/>
              <w:ind w:left="109" w:right="-15"/>
              <w:jc w:val="left"/>
              <w:rPr>
                <w:sz w:val="21"/>
              </w:rPr>
            </w:pPr>
            <w:r>
              <w:rPr>
                <w:rFonts w:ascii="Times New Roman" w:eastAsia="Times New Roman"/>
                <w:sz w:val="21"/>
              </w:rPr>
              <w:t>pH</w:t>
            </w:r>
            <w:r>
              <w:rPr>
                <w:rFonts w:ascii="Times New Roman" w:eastAsia="Times New Roman"/>
                <w:spacing w:val="-7"/>
                <w:sz w:val="21"/>
              </w:rPr>
              <w:t xml:space="preserve"> </w:t>
            </w:r>
            <w:r>
              <w:rPr>
                <w:spacing w:val="-46"/>
                <w:sz w:val="21"/>
              </w:rPr>
              <w:t>值、</w:t>
            </w:r>
            <w:r>
              <w:rPr>
                <w:rFonts w:ascii="Times New Roman" w:eastAsia="Times New Roman"/>
                <w:sz w:val="21"/>
              </w:rPr>
              <w:t>SS</w:t>
            </w:r>
            <w:r>
              <w:rPr>
                <w:spacing w:val="-89"/>
                <w:sz w:val="21"/>
              </w:rPr>
              <w:t>、</w:t>
            </w:r>
            <w:r>
              <w:rPr>
                <w:rFonts w:ascii="Times New Roman" w:eastAsia="Times New Roman"/>
                <w:sz w:val="21"/>
              </w:rPr>
              <w:t>COD</w:t>
            </w:r>
            <w:r>
              <w:rPr>
                <w:sz w:val="21"/>
              </w:rPr>
              <w:t>、</w:t>
            </w:r>
          </w:p>
          <w:p>
            <w:pPr>
              <w:pStyle w:val="14"/>
              <w:spacing w:before="26" w:line="254" w:lineRule="exact"/>
              <w:ind w:left="560" w:right="45" w:hanging="452"/>
              <w:jc w:val="left"/>
              <w:rPr>
                <w:sz w:val="21"/>
              </w:rPr>
            </w:pPr>
            <w:r>
              <w:rPr>
                <w:rFonts w:ascii="Times New Roman" w:eastAsia="Times New Roman"/>
                <w:position w:val="2"/>
                <w:sz w:val="21"/>
              </w:rPr>
              <w:t>BOD</w:t>
            </w:r>
            <w:r>
              <w:rPr>
                <w:rFonts w:ascii="Times New Roman" w:eastAsia="Times New Roman"/>
                <w:position w:val="2"/>
                <w:sz w:val="21"/>
                <w:vertAlign w:val="subscript"/>
              </w:rPr>
              <w:t>5</w:t>
            </w:r>
            <w:r>
              <w:rPr>
                <w:position w:val="2"/>
                <w:sz w:val="21"/>
                <w:vertAlign w:val="baseline"/>
              </w:rPr>
              <w:t>、氨氮、动</w:t>
            </w:r>
            <w:r>
              <w:rPr>
                <w:sz w:val="21"/>
                <w:vertAlign w:val="baseline"/>
              </w:rPr>
              <w:t>植物油</w:t>
            </w:r>
          </w:p>
        </w:tc>
        <w:tc>
          <w:tcPr>
            <w:tcW w:w="1548" w:type="dxa"/>
          </w:tcPr>
          <w:p>
            <w:pPr>
              <w:pStyle w:val="14"/>
              <w:spacing w:before="3"/>
              <w:jc w:val="left"/>
              <w:rPr>
                <w:b/>
                <w:sz w:val="21"/>
              </w:rPr>
            </w:pPr>
          </w:p>
          <w:p>
            <w:pPr>
              <w:pStyle w:val="14"/>
              <w:ind w:left="37" w:right="28"/>
              <w:rPr>
                <w:sz w:val="21"/>
              </w:rPr>
            </w:pPr>
            <w:r>
              <w:rPr>
                <w:rFonts w:ascii="Times New Roman" w:eastAsia="Times New Roman"/>
                <w:sz w:val="21"/>
              </w:rPr>
              <w:t>COD</w:t>
            </w:r>
            <w:r>
              <w:rPr>
                <w:sz w:val="21"/>
              </w:rPr>
              <w:t>、氨氮</w:t>
            </w:r>
          </w:p>
        </w:tc>
        <w:tc>
          <w:tcPr>
            <w:tcW w:w="1548" w:type="dxa"/>
          </w:tcPr>
          <w:p>
            <w:pPr>
              <w:pStyle w:val="14"/>
              <w:spacing w:before="3"/>
              <w:jc w:val="left"/>
              <w:rPr>
                <w:b/>
                <w:sz w:val="21"/>
              </w:rPr>
            </w:pPr>
          </w:p>
          <w:p>
            <w:pPr>
              <w:pStyle w:val="14"/>
              <w:ind w:left="34" w:right="28"/>
              <w:rPr>
                <w:sz w:val="21"/>
              </w:rPr>
            </w:pPr>
            <w:r>
              <w:rPr>
                <w:sz w:val="21"/>
              </w:rPr>
              <w:t>间断、事故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671" w:type="dxa"/>
          </w:tcPr>
          <w:p>
            <w:pPr>
              <w:pStyle w:val="14"/>
              <w:spacing w:before="150"/>
              <w:ind w:left="7"/>
              <w:rPr>
                <w:rFonts w:ascii="Times New Roman"/>
                <w:sz w:val="21"/>
              </w:rPr>
            </w:pPr>
            <w:r>
              <w:rPr>
                <w:rFonts w:ascii="Times New Roman"/>
                <w:w w:val="99"/>
                <w:sz w:val="21"/>
              </w:rPr>
              <w:t>3</w:t>
            </w:r>
          </w:p>
        </w:tc>
        <w:tc>
          <w:tcPr>
            <w:tcW w:w="623" w:type="dxa"/>
            <w:vMerge w:val="continue"/>
            <w:tcBorders>
              <w:top w:val="nil"/>
            </w:tcBorders>
          </w:tcPr>
          <w:p>
            <w:pPr>
              <w:rPr>
                <w:sz w:val="2"/>
                <w:szCs w:val="2"/>
              </w:rPr>
            </w:pPr>
          </w:p>
        </w:tc>
        <w:tc>
          <w:tcPr>
            <w:tcW w:w="1994" w:type="dxa"/>
          </w:tcPr>
          <w:p>
            <w:pPr>
              <w:pStyle w:val="14"/>
              <w:spacing w:before="136"/>
              <w:ind w:left="135" w:right="128"/>
              <w:rPr>
                <w:sz w:val="21"/>
              </w:rPr>
            </w:pPr>
            <w:r>
              <w:rPr>
                <w:sz w:val="21"/>
              </w:rPr>
              <w:t>机修车间</w:t>
            </w:r>
          </w:p>
        </w:tc>
        <w:tc>
          <w:tcPr>
            <w:tcW w:w="1149" w:type="dxa"/>
          </w:tcPr>
          <w:p>
            <w:pPr>
              <w:pStyle w:val="14"/>
              <w:spacing w:before="136"/>
              <w:ind w:left="133" w:right="125"/>
              <w:rPr>
                <w:sz w:val="21"/>
              </w:rPr>
            </w:pPr>
            <w:r>
              <w:rPr>
                <w:sz w:val="21"/>
              </w:rPr>
              <w:t>垂直入渗</w:t>
            </w:r>
          </w:p>
        </w:tc>
        <w:tc>
          <w:tcPr>
            <w:tcW w:w="1753" w:type="dxa"/>
          </w:tcPr>
          <w:p>
            <w:pPr>
              <w:pStyle w:val="14"/>
              <w:spacing w:line="272" w:lineRule="exact"/>
              <w:ind w:left="188"/>
              <w:jc w:val="left"/>
              <w:rPr>
                <w:sz w:val="21"/>
              </w:rPr>
            </w:pPr>
            <w:r>
              <w:rPr>
                <w:rFonts w:ascii="Times New Roman" w:eastAsia="Times New Roman"/>
                <w:spacing w:val="-1"/>
                <w:position w:val="2"/>
                <w:sz w:val="21"/>
              </w:rPr>
              <w:t>BOD</w:t>
            </w:r>
            <w:r>
              <w:rPr>
                <w:rFonts w:ascii="Times New Roman" w:eastAsia="Times New Roman"/>
                <w:spacing w:val="-1"/>
                <w:position w:val="2"/>
                <w:sz w:val="21"/>
                <w:vertAlign w:val="subscript"/>
              </w:rPr>
              <w:t>5</w:t>
            </w:r>
            <w:r>
              <w:rPr>
                <w:position w:val="2"/>
                <w:sz w:val="21"/>
                <w:vertAlign w:val="baseline"/>
              </w:rPr>
              <w:t>、</w:t>
            </w:r>
            <w:r>
              <w:rPr>
                <w:rFonts w:ascii="Times New Roman" w:eastAsia="Times New Roman"/>
                <w:position w:val="2"/>
                <w:sz w:val="21"/>
                <w:vertAlign w:val="baseline"/>
              </w:rPr>
              <w:t>COD</w:t>
            </w:r>
            <w:r>
              <w:rPr>
                <w:position w:val="2"/>
                <w:sz w:val="21"/>
                <w:vertAlign w:val="baseline"/>
              </w:rPr>
              <w:t>、</w:t>
            </w:r>
          </w:p>
          <w:p>
            <w:pPr>
              <w:pStyle w:val="14"/>
              <w:spacing w:line="253" w:lineRule="exact"/>
              <w:ind w:left="160"/>
              <w:jc w:val="left"/>
              <w:rPr>
                <w:sz w:val="21"/>
              </w:rPr>
            </w:pPr>
            <w:r>
              <w:rPr>
                <w:rFonts w:ascii="Times New Roman" w:eastAsia="Times New Roman"/>
                <w:spacing w:val="-1"/>
                <w:position w:val="2"/>
                <w:sz w:val="21"/>
              </w:rPr>
              <w:t>NH</w:t>
            </w:r>
            <w:r>
              <w:rPr>
                <w:rFonts w:ascii="Times New Roman" w:eastAsia="Times New Roman"/>
                <w:spacing w:val="-1"/>
                <w:position w:val="2"/>
                <w:sz w:val="21"/>
                <w:vertAlign w:val="subscript"/>
              </w:rPr>
              <w:t>3</w:t>
            </w:r>
            <w:r>
              <w:rPr>
                <w:rFonts w:ascii="Times New Roman" w:eastAsia="Times New Roman"/>
                <w:spacing w:val="-1"/>
                <w:position w:val="2"/>
                <w:sz w:val="21"/>
                <w:vertAlign w:val="baseline"/>
              </w:rPr>
              <w:t>-N</w:t>
            </w:r>
            <w:r>
              <w:rPr>
                <w:position w:val="2"/>
                <w:sz w:val="21"/>
                <w:vertAlign w:val="baseline"/>
              </w:rPr>
              <w:t>、石油类</w:t>
            </w:r>
          </w:p>
        </w:tc>
        <w:tc>
          <w:tcPr>
            <w:tcW w:w="1548" w:type="dxa"/>
          </w:tcPr>
          <w:p>
            <w:pPr>
              <w:pStyle w:val="14"/>
              <w:spacing w:before="136"/>
              <w:ind w:left="37" w:right="28"/>
              <w:rPr>
                <w:sz w:val="21"/>
              </w:rPr>
            </w:pPr>
            <w:r>
              <w:rPr>
                <w:sz w:val="21"/>
              </w:rPr>
              <w:t>石油类</w:t>
            </w:r>
          </w:p>
        </w:tc>
        <w:tc>
          <w:tcPr>
            <w:tcW w:w="1548" w:type="dxa"/>
          </w:tcPr>
          <w:p>
            <w:pPr>
              <w:pStyle w:val="14"/>
              <w:spacing w:before="136"/>
              <w:ind w:left="34" w:right="28"/>
              <w:rPr>
                <w:sz w:val="21"/>
              </w:rPr>
            </w:pPr>
            <w:r>
              <w:rPr>
                <w:sz w:val="21"/>
              </w:rPr>
              <w:t>间断、事故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71" w:type="dxa"/>
          </w:tcPr>
          <w:p>
            <w:pPr>
              <w:pStyle w:val="14"/>
              <w:spacing w:before="75"/>
              <w:ind w:left="7"/>
              <w:rPr>
                <w:rFonts w:ascii="Times New Roman"/>
                <w:sz w:val="21"/>
              </w:rPr>
            </w:pPr>
            <w:r>
              <w:rPr>
                <w:rFonts w:ascii="Times New Roman"/>
                <w:w w:val="99"/>
                <w:sz w:val="21"/>
              </w:rPr>
              <w:t>4</w:t>
            </w:r>
          </w:p>
        </w:tc>
        <w:tc>
          <w:tcPr>
            <w:tcW w:w="623" w:type="dxa"/>
            <w:vMerge w:val="continue"/>
            <w:tcBorders>
              <w:top w:val="nil"/>
            </w:tcBorders>
          </w:tcPr>
          <w:p>
            <w:pPr>
              <w:rPr>
                <w:sz w:val="2"/>
                <w:szCs w:val="2"/>
              </w:rPr>
            </w:pPr>
          </w:p>
        </w:tc>
        <w:tc>
          <w:tcPr>
            <w:tcW w:w="1994" w:type="dxa"/>
          </w:tcPr>
          <w:p>
            <w:pPr>
              <w:pStyle w:val="14"/>
              <w:spacing w:before="61"/>
              <w:ind w:left="135" w:right="126"/>
              <w:rPr>
                <w:sz w:val="21"/>
              </w:rPr>
            </w:pPr>
            <w:r>
              <w:rPr>
                <w:sz w:val="21"/>
              </w:rPr>
              <w:t>危险废物暂存间</w:t>
            </w:r>
          </w:p>
        </w:tc>
        <w:tc>
          <w:tcPr>
            <w:tcW w:w="1149" w:type="dxa"/>
          </w:tcPr>
          <w:p>
            <w:pPr>
              <w:pStyle w:val="14"/>
              <w:spacing w:before="61"/>
              <w:ind w:left="133" w:right="125"/>
              <w:rPr>
                <w:sz w:val="21"/>
              </w:rPr>
            </w:pPr>
            <w:r>
              <w:rPr>
                <w:sz w:val="21"/>
              </w:rPr>
              <w:t>垂直入渗</w:t>
            </w:r>
          </w:p>
        </w:tc>
        <w:tc>
          <w:tcPr>
            <w:tcW w:w="1753" w:type="dxa"/>
          </w:tcPr>
          <w:p>
            <w:pPr>
              <w:pStyle w:val="14"/>
              <w:spacing w:before="61"/>
              <w:ind w:left="57" w:right="50"/>
              <w:rPr>
                <w:sz w:val="21"/>
              </w:rPr>
            </w:pPr>
            <w:r>
              <w:rPr>
                <w:sz w:val="21"/>
              </w:rPr>
              <w:t>石油类</w:t>
            </w:r>
          </w:p>
        </w:tc>
        <w:tc>
          <w:tcPr>
            <w:tcW w:w="1548" w:type="dxa"/>
          </w:tcPr>
          <w:p>
            <w:pPr>
              <w:pStyle w:val="14"/>
              <w:spacing w:before="61"/>
              <w:ind w:left="37" w:right="28"/>
              <w:rPr>
                <w:sz w:val="21"/>
              </w:rPr>
            </w:pPr>
            <w:r>
              <w:rPr>
                <w:sz w:val="21"/>
              </w:rPr>
              <w:t>石油类</w:t>
            </w:r>
          </w:p>
        </w:tc>
        <w:tc>
          <w:tcPr>
            <w:tcW w:w="1548" w:type="dxa"/>
          </w:tcPr>
          <w:p>
            <w:pPr>
              <w:pStyle w:val="14"/>
              <w:spacing w:before="61"/>
              <w:ind w:left="37" w:right="28"/>
              <w:rPr>
                <w:sz w:val="21"/>
              </w:rPr>
            </w:pPr>
            <w:r>
              <w:rPr>
                <w:sz w:val="21"/>
              </w:rPr>
              <w:t>事故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671" w:type="dxa"/>
          </w:tcPr>
          <w:p>
            <w:pPr>
              <w:pStyle w:val="14"/>
              <w:spacing w:before="151"/>
              <w:ind w:left="7"/>
              <w:rPr>
                <w:rFonts w:ascii="Times New Roman"/>
                <w:sz w:val="21"/>
              </w:rPr>
            </w:pPr>
            <w:r>
              <w:rPr>
                <w:rFonts w:ascii="Times New Roman"/>
                <w:w w:val="99"/>
                <w:sz w:val="21"/>
              </w:rPr>
              <w:t>5</w:t>
            </w:r>
          </w:p>
        </w:tc>
        <w:tc>
          <w:tcPr>
            <w:tcW w:w="623" w:type="dxa"/>
            <w:vMerge w:val="continue"/>
            <w:tcBorders>
              <w:top w:val="nil"/>
            </w:tcBorders>
          </w:tcPr>
          <w:p>
            <w:pPr>
              <w:rPr>
                <w:sz w:val="2"/>
                <w:szCs w:val="2"/>
              </w:rPr>
            </w:pPr>
          </w:p>
        </w:tc>
        <w:tc>
          <w:tcPr>
            <w:tcW w:w="1994" w:type="dxa"/>
          </w:tcPr>
          <w:p>
            <w:pPr>
              <w:pStyle w:val="14"/>
              <w:spacing w:before="134"/>
              <w:ind w:left="135" w:right="128"/>
              <w:rPr>
                <w:sz w:val="21"/>
              </w:rPr>
            </w:pPr>
            <w:r>
              <w:rPr>
                <w:sz w:val="21"/>
              </w:rPr>
              <w:t>矸石临时堆放场地</w:t>
            </w:r>
          </w:p>
        </w:tc>
        <w:tc>
          <w:tcPr>
            <w:tcW w:w="1149" w:type="dxa"/>
          </w:tcPr>
          <w:p>
            <w:pPr>
              <w:pStyle w:val="14"/>
              <w:spacing w:before="134"/>
              <w:ind w:left="133" w:right="125"/>
              <w:rPr>
                <w:sz w:val="21"/>
              </w:rPr>
            </w:pPr>
            <w:r>
              <w:rPr>
                <w:sz w:val="21"/>
              </w:rPr>
              <w:t>垂直入渗</w:t>
            </w:r>
          </w:p>
        </w:tc>
        <w:tc>
          <w:tcPr>
            <w:tcW w:w="1753" w:type="dxa"/>
          </w:tcPr>
          <w:p>
            <w:pPr>
              <w:pStyle w:val="14"/>
              <w:ind w:left="107" w:right="-15"/>
              <w:jc w:val="left"/>
              <w:rPr>
                <w:sz w:val="21"/>
              </w:rPr>
            </w:pPr>
            <w:r>
              <w:rPr>
                <w:spacing w:val="-7"/>
                <w:sz w:val="21"/>
              </w:rPr>
              <w:t>镉、汞、砷、铅、</w:t>
            </w:r>
          </w:p>
          <w:p>
            <w:pPr>
              <w:pStyle w:val="14"/>
              <w:spacing w:before="2" w:line="253" w:lineRule="exact"/>
              <w:ind w:left="140"/>
              <w:jc w:val="left"/>
              <w:rPr>
                <w:sz w:val="21"/>
              </w:rPr>
            </w:pPr>
            <w:r>
              <w:rPr>
                <w:sz w:val="21"/>
              </w:rPr>
              <w:t>铬、铜、镍、锌</w:t>
            </w:r>
          </w:p>
        </w:tc>
        <w:tc>
          <w:tcPr>
            <w:tcW w:w="1548" w:type="dxa"/>
          </w:tcPr>
          <w:p>
            <w:pPr>
              <w:pStyle w:val="14"/>
              <w:spacing w:before="151"/>
              <w:ind w:left="9"/>
              <w:rPr>
                <w:rFonts w:ascii="Times New Roman"/>
                <w:sz w:val="21"/>
              </w:rPr>
            </w:pPr>
            <w:r>
              <w:rPr>
                <w:rFonts w:ascii="Times New Roman"/>
                <w:w w:val="99"/>
                <w:sz w:val="21"/>
              </w:rPr>
              <w:t>/</w:t>
            </w:r>
          </w:p>
        </w:tc>
        <w:tc>
          <w:tcPr>
            <w:tcW w:w="1548" w:type="dxa"/>
          </w:tcPr>
          <w:p>
            <w:pPr>
              <w:pStyle w:val="14"/>
              <w:spacing w:before="134"/>
              <w:ind w:left="37" w:right="28"/>
              <w:rPr>
                <w:sz w:val="21"/>
              </w:rPr>
            </w:pPr>
            <w:r>
              <w:rPr>
                <w:sz w:val="21"/>
              </w:rPr>
              <w:t>连续</w:t>
            </w:r>
          </w:p>
        </w:tc>
      </w:tr>
    </w:tbl>
    <w:p>
      <w:pPr>
        <w:pStyle w:val="3"/>
        <w:numPr>
          <w:ilvl w:val="1"/>
          <w:numId w:val="73"/>
        </w:numPr>
        <w:tabs>
          <w:tab w:val="left" w:pos="876"/>
        </w:tabs>
        <w:spacing w:before="4" w:after="0" w:line="240" w:lineRule="auto"/>
        <w:ind w:left="876" w:right="0" w:hanging="661"/>
        <w:jc w:val="left"/>
      </w:pPr>
      <w:bookmarkStart w:id="858" w:name="11.2 土壤环境评价等级、评价范围确定及敏感目标"/>
      <w:bookmarkEnd w:id="858"/>
      <w:bookmarkStart w:id="859" w:name="_bookmark63"/>
      <w:bookmarkEnd w:id="859"/>
      <w:bookmarkStart w:id="860" w:name="_bookmark63"/>
      <w:bookmarkEnd w:id="860"/>
      <w:r>
        <w:t>土壤环境评价等级、评价范围确定及敏感目标</w:t>
      </w:r>
    </w:p>
    <w:p>
      <w:pPr>
        <w:spacing w:after="0" w:line="240" w:lineRule="auto"/>
        <w:jc w:val="left"/>
        <w:sectPr>
          <w:type w:val="continuous"/>
          <w:pgSz w:w="11910" w:h="16840"/>
          <w:pgMar w:top="1580" w:right="780" w:bottom="280" w:left="1200" w:header="720" w:footer="720" w:gutter="0"/>
        </w:sectPr>
      </w:pPr>
    </w:p>
    <w:p>
      <w:pPr>
        <w:pStyle w:val="4"/>
        <w:numPr>
          <w:ilvl w:val="2"/>
          <w:numId w:val="73"/>
        </w:numPr>
        <w:tabs>
          <w:tab w:val="left" w:pos="1042"/>
        </w:tabs>
        <w:spacing w:before="47" w:after="0" w:line="240" w:lineRule="auto"/>
        <w:ind w:left="1041" w:right="0" w:hanging="827"/>
        <w:jc w:val="both"/>
      </w:pPr>
      <w:bookmarkStart w:id="861" w:name="11.2.1 评价等级确定"/>
      <w:bookmarkEnd w:id="861"/>
      <w:bookmarkStart w:id="862" w:name="11.2.1 评价等级确定"/>
      <w:bookmarkEnd w:id="862"/>
      <w:r>
        <w:t>评价等级确定</w:t>
      </w:r>
    </w:p>
    <w:p>
      <w:pPr>
        <w:pStyle w:val="6"/>
        <w:spacing w:before="185" w:line="364" w:lineRule="auto"/>
        <w:ind w:left="215" w:right="573" w:firstLine="480"/>
        <w:jc w:val="both"/>
      </w:pPr>
      <w:r>
        <w:t>井田开采区属于生态影响类，工业场地及矸石周转场地属于污染影响型。按照导则</w:t>
      </w:r>
      <w:r>
        <w:rPr>
          <w:spacing w:val="7"/>
        </w:rPr>
        <w:t>要求， 分别判定评价工作等级。井田开采区为Ⅱ 类项目， 土壤含盐量</w:t>
      </w:r>
      <w:r>
        <w:rPr>
          <w:rFonts w:ascii="Times New Roman" w:hAnsi="Times New Roman" w:eastAsia="Times New Roman"/>
        </w:rPr>
        <w:t xml:space="preserve">≤2g/kg </w:t>
      </w:r>
      <w:r>
        <w:t xml:space="preserve">， </w:t>
      </w:r>
      <w:r>
        <w:rPr>
          <w:rFonts w:ascii="Times New Roman" w:hAnsi="Times New Roman" w:eastAsia="Times New Roman"/>
        </w:rPr>
        <w:t>5.50≤pH≤8.50</w:t>
      </w:r>
      <w:r>
        <w:rPr>
          <w:spacing w:val="-8"/>
        </w:rPr>
        <w:t xml:space="preserve">，属于不敏感区，评价等级为三级；工业场地占地面积约为 </w:t>
      </w:r>
      <w:r>
        <w:rPr>
          <w:rFonts w:ascii="Times New Roman" w:hAnsi="Times New Roman" w:eastAsia="Times New Roman"/>
          <w:spacing w:val="-3"/>
        </w:rPr>
        <w:t>2.9767hm</w:t>
      </w:r>
      <w:r>
        <w:rPr>
          <w:rFonts w:ascii="Times New Roman" w:hAnsi="Times New Roman" w:eastAsia="Times New Roman"/>
          <w:spacing w:val="-3"/>
          <w:position w:val="8"/>
          <w:sz w:val="15"/>
        </w:rPr>
        <w:t>2</w:t>
      </w:r>
      <w:r>
        <w:rPr>
          <w:spacing w:val="-7"/>
        </w:rPr>
        <w:t>，环</w:t>
      </w:r>
      <w:r>
        <w:rPr>
          <w:spacing w:val="-2"/>
        </w:rPr>
        <w:t xml:space="preserve">境较敏感，评价等级为三级。本项目土壤环境评价等级及范围详见 </w:t>
      </w:r>
      <w:r>
        <w:rPr>
          <w:rFonts w:ascii="Times New Roman" w:hAnsi="Times New Roman" w:eastAsia="Times New Roman"/>
        </w:rPr>
        <w:t xml:space="preserve">2.4.5 </w:t>
      </w:r>
      <w:r>
        <w:rPr>
          <w:spacing w:val="-30"/>
        </w:rPr>
        <w:t xml:space="preserve">及 </w:t>
      </w:r>
      <w:r>
        <w:rPr>
          <w:rFonts w:ascii="Times New Roman" w:hAnsi="Times New Roman" w:eastAsia="Times New Roman"/>
        </w:rPr>
        <w:t xml:space="preserve">2.5.6 </w:t>
      </w:r>
      <w:r>
        <w:t>章节。</w:t>
      </w:r>
    </w:p>
    <w:p>
      <w:pPr>
        <w:pStyle w:val="4"/>
        <w:numPr>
          <w:ilvl w:val="2"/>
          <w:numId w:val="73"/>
        </w:numPr>
        <w:tabs>
          <w:tab w:val="left" w:pos="1042"/>
        </w:tabs>
        <w:spacing w:before="0" w:after="0" w:line="357" w:lineRule="exact"/>
        <w:ind w:left="1041" w:right="0" w:hanging="827"/>
        <w:jc w:val="both"/>
      </w:pPr>
      <w:bookmarkStart w:id="863" w:name="11.2.2 评价范围及敏感目标分布"/>
      <w:bookmarkEnd w:id="863"/>
      <w:bookmarkStart w:id="864" w:name="11.2.2 评价范围及敏感目标分布"/>
      <w:bookmarkEnd w:id="864"/>
      <w:r>
        <w:t>评价范围及敏感目标分布</w:t>
      </w:r>
    </w:p>
    <w:p>
      <w:pPr>
        <w:pStyle w:val="6"/>
        <w:spacing w:before="185"/>
        <w:ind w:left="696"/>
        <w:rPr>
          <w:rFonts w:ascii="Times New Roman" w:eastAsia="Times New Roman"/>
        </w:rPr>
      </w:pPr>
      <w:r>
        <w:t xml:space="preserve">井田开采区以井田范围外扩 </w:t>
      </w:r>
      <w:r>
        <w:rPr>
          <w:rFonts w:ascii="Times New Roman" w:eastAsia="Times New Roman"/>
        </w:rPr>
        <w:t xml:space="preserve">1km </w:t>
      </w:r>
      <w:r>
        <w:t xml:space="preserve">为评价范围；工业场地评价范围以场地外扩 </w:t>
      </w:r>
      <w:r>
        <w:rPr>
          <w:rFonts w:ascii="Times New Roman" w:eastAsia="Times New Roman"/>
        </w:rPr>
        <w:t>0.05km</w:t>
      </w:r>
    </w:p>
    <w:p>
      <w:pPr>
        <w:pStyle w:val="6"/>
        <w:spacing w:before="158"/>
        <w:ind w:left="215"/>
      </w:pPr>
      <w:r>
        <w:t>为评价范围。</w:t>
      </w:r>
    </w:p>
    <w:p>
      <w:pPr>
        <w:pStyle w:val="3"/>
        <w:numPr>
          <w:ilvl w:val="1"/>
          <w:numId w:val="73"/>
        </w:numPr>
        <w:tabs>
          <w:tab w:val="left" w:pos="800"/>
        </w:tabs>
        <w:spacing w:before="161" w:after="0" w:line="240" w:lineRule="auto"/>
        <w:ind w:left="799" w:right="0" w:hanging="585"/>
        <w:jc w:val="left"/>
      </w:pPr>
      <w:bookmarkStart w:id="865" w:name="11.3土壤环境质量现状监测与评价"/>
      <w:bookmarkEnd w:id="865"/>
      <w:bookmarkStart w:id="866" w:name="_bookmark64"/>
      <w:bookmarkEnd w:id="866"/>
      <w:bookmarkStart w:id="867" w:name="_bookmark64"/>
      <w:bookmarkEnd w:id="867"/>
      <w:r>
        <w:t>土壤环境质量现状监测与评价</w:t>
      </w:r>
    </w:p>
    <w:p>
      <w:pPr>
        <w:pStyle w:val="4"/>
        <w:numPr>
          <w:ilvl w:val="2"/>
          <w:numId w:val="73"/>
        </w:numPr>
        <w:tabs>
          <w:tab w:val="left" w:pos="972"/>
        </w:tabs>
        <w:spacing w:before="199" w:after="0" w:line="240" w:lineRule="auto"/>
        <w:ind w:left="972" w:right="0" w:hanging="757"/>
        <w:jc w:val="left"/>
      </w:pPr>
      <w:bookmarkStart w:id="868" w:name="11.3.1井田开采区土壤环境质量现状监测与评价"/>
      <w:bookmarkEnd w:id="868"/>
      <w:bookmarkStart w:id="869" w:name="11.3.1井田开采区土壤环境质量现状监测与评价"/>
      <w:bookmarkEnd w:id="869"/>
      <w:r>
        <w:t>井田开采区土壤环境质量现状监测与评价</w:t>
      </w:r>
    </w:p>
    <w:p>
      <w:pPr>
        <w:pStyle w:val="5"/>
        <w:numPr>
          <w:ilvl w:val="3"/>
          <w:numId w:val="73"/>
        </w:numPr>
        <w:tabs>
          <w:tab w:val="left" w:pos="1044"/>
        </w:tabs>
        <w:spacing w:before="186" w:after="0" w:line="240" w:lineRule="auto"/>
        <w:ind w:left="1044" w:right="0" w:hanging="829"/>
        <w:jc w:val="left"/>
      </w:pPr>
      <w:r>
        <w:t>监测点位及监测因子</w:t>
      </w:r>
    </w:p>
    <w:p>
      <w:pPr>
        <w:pStyle w:val="6"/>
        <w:spacing w:before="158" w:line="364" w:lineRule="auto"/>
        <w:ind w:left="696" w:right="1411"/>
      </w:pPr>
      <w:r>
        <w:rPr>
          <w:spacing w:val="-5"/>
        </w:rPr>
        <w:t xml:space="preserve">监测点位：工业场地范围内 </w:t>
      </w:r>
      <w:r>
        <w:rPr>
          <w:rFonts w:ascii="Times New Roman" w:eastAsia="Times New Roman"/>
        </w:rPr>
        <w:t xml:space="preserve">1 </w:t>
      </w:r>
      <w:r>
        <w:t>个表层样</w:t>
      </w:r>
      <w:r>
        <w:rPr>
          <w:rFonts w:ascii="Times New Roman" w:eastAsia="Times New Roman"/>
        </w:rPr>
        <w:t>+</w:t>
      </w:r>
      <w:r>
        <w:rPr>
          <w:spacing w:val="-6"/>
        </w:rPr>
        <w:t xml:space="preserve">工业场地占地范围外 </w:t>
      </w:r>
      <w:r>
        <w:rPr>
          <w:rFonts w:ascii="Times New Roman" w:eastAsia="Times New Roman"/>
        </w:rPr>
        <w:t xml:space="preserve">2 </w:t>
      </w:r>
      <w:r>
        <w:rPr>
          <w:spacing w:val="-4"/>
        </w:rPr>
        <w:t>个表层样。</w:t>
      </w:r>
      <w:r>
        <w:t>监测因子：</w:t>
      </w:r>
    </w:p>
    <w:p>
      <w:pPr>
        <w:pStyle w:val="6"/>
        <w:spacing w:line="364" w:lineRule="auto"/>
        <w:ind w:left="215" w:right="453" w:firstLine="480"/>
      </w:pPr>
      <w:r>
        <w:rPr>
          <w:spacing w:val="-6"/>
        </w:rPr>
        <w:t xml:space="preserve">工业场地范围内 </w:t>
      </w:r>
      <w:r>
        <w:rPr>
          <w:rFonts w:ascii="Times New Roman" w:eastAsia="Times New Roman"/>
        </w:rPr>
        <w:t xml:space="preserve">1 </w:t>
      </w:r>
      <w:r>
        <w:rPr>
          <w:spacing w:val="1"/>
        </w:rPr>
        <w:t>个表层样</w:t>
      </w:r>
      <w:r>
        <w:rPr>
          <w:rFonts w:ascii="Times New Roman" w:eastAsia="Times New Roman"/>
          <w:spacing w:val="4"/>
        </w:rPr>
        <w:t>-</w:t>
      </w:r>
      <w:r>
        <w:t>建设用地：</w:t>
      </w:r>
      <w:r>
        <w:rPr>
          <w:rFonts w:ascii="Times New Roman" w:eastAsia="Times New Roman"/>
        </w:rPr>
        <w:t>pH</w:t>
      </w:r>
      <w:r>
        <w:t>、含盐量、砷、镉、六价铬、铜、铅、</w:t>
      </w:r>
      <w:r>
        <w:rPr>
          <w:spacing w:val="-10"/>
        </w:rPr>
        <w:t>汞、镍、四氯化碳、氯仿、氯甲烷、</w:t>
      </w:r>
      <w:r>
        <w:rPr>
          <w:rFonts w:ascii="Times New Roman" w:eastAsia="Times New Roman"/>
        </w:rPr>
        <w:t>1,1-</w:t>
      </w:r>
      <w:r>
        <w:rPr>
          <w:spacing w:val="-4"/>
        </w:rPr>
        <w:t>二氯乙烷、</w:t>
      </w:r>
      <w:r>
        <w:rPr>
          <w:rFonts w:ascii="Times New Roman" w:eastAsia="Times New Roman"/>
        </w:rPr>
        <w:t>1,2-</w:t>
      </w:r>
      <w:r>
        <w:rPr>
          <w:spacing w:val="-4"/>
        </w:rPr>
        <w:t>二氯乙烷、</w:t>
      </w:r>
      <w:r>
        <w:rPr>
          <w:rFonts w:ascii="Times New Roman" w:eastAsia="Times New Roman"/>
        </w:rPr>
        <w:t>1,1-</w:t>
      </w:r>
      <w:r>
        <w:rPr>
          <w:spacing w:val="-4"/>
        </w:rPr>
        <w:t>二氯乙烯、顺</w:t>
      </w:r>
      <w:r>
        <w:rPr>
          <w:rFonts w:ascii="Times New Roman" w:eastAsia="Times New Roman"/>
        </w:rPr>
        <w:t xml:space="preserve">-1,2- </w:t>
      </w:r>
      <w:r>
        <w:t>二氯乙烯、反</w:t>
      </w:r>
      <w:r>
        <w:rPr>
          <w:rFonts w:ascii="Times New Roman" w:eastAsia="Times New Roman"/>
        </w:rPr>
        <w:t>-1,2-</w:t>
      </w:r>
      <w:r>
        <w:t>二氯乙烯、二氯甲烷、</w:t>
      </w:r>
      <w:r>
        <w:rPr>
          <w:rFonts w:ascii="Times New Roman" w:eastAsia="Times New Roman"/>
        </w:rPr>
        <w:t>1,2-</w:t>
      </w:r>
      <w:r>
        <w:t>二氯丙烷、</w:t>
      </w:r>
      <w:r>
        <w:rPr>
          <w:rFonts w:ascii="Times New Roman" w:eastAsia="Times New Roman"/>
        </w:rPr>
        <w:t>1,1,1,2-</w:t>
      </w:r>
      <w:r>
        <w:t>四氯乙烷、</w:t>
      </w:r>
      <w:r>
        <w:rPr>
          <w:rFonts w:ascii="Times New Roman" w:eastAsia="Times New Roman"/>
        </w:rPr>
        <w:t>1,1,2,2-</w:t>
      </w:r>
      <w:r>
        <w:t>四氯</w:t>
      </w:r>
      <w:r>
        <w:rPr>
          <w:spacing w:val="-7"/>
        </w:rPr>
        <w:t>乙烷、四氯乙烯、</w:t>
      </w:r>
      <w:r>
        <w:rPr>
          <w:rFonts w:ascii="Times New Roman" w:eastAsia="Times New Roman"/>
        </w:rPr>
        <w:t>1,1,1-</w:t>
      </w:r>
      <w:r>
        <w:rPr>
          <w:spacing w:val="-4"/>
        </w:rPr>
        <w:t>三氯乙烷、</w:t>
      </w:r>
      <w:r>
        <w:rPr>
          <w:rFonts w:ascii="Times New Roman" w:eastAsia="Times New Roman"/>
        </w:rPr>
        <w:t>1,1,2-</w:t>
      </w:r>
      <w:r>
        <w:rPr>
          <w:spacing w:val="-6"/>
        </w:rPr>
        <w:t>三氯乙烷、三氯乙烯、</w:t>
      </w:r>
      <w:r>
        <w:rPr>
          <w:rFonts w:ascii="Times New Roman" w:eastAsia="Times New Roman"/>
        </w:rPr>
        <w:t>1,2,3-</w:t>
      </w:r>
      <w:r>
        <w:rPr>
          <w:spacing w:val="-4"/>
        </w:rPr>
        <w:t>三氯丙烷、氯乙烯、</w:t>
      </w:r>
      <w:r>
        <w:rPr>
          <w:spacing w:val="-3"/>
        </w:rPr>
        <w:t>苯、氯苯、</w:t>
      </w:r>
      <w:r>
        <w:rPr>
          <w:rFonts w:ascii="Times New Roman" w:eastAsia="Times New Roman"/>
        </w:rPr>
        <w:t>1,2-</w:t>
      </w:r>
      <w:r>
        <w:t>二氯苯、</w:t>
      </w:r>
      <w:r>
        <w:rPr>
          <w:rFonts w:ascii="Times New Roman" w:eastAsia="Times New Roman"/>
        </w:rPr>
        <w:t>1,4-</w:t>
      </w:r>
      <w:r>
        <w:t>二氯苯、乙苯、苯乙烯、甲苯、间二甲苯</w:t>
      </w:r>
      <w:r>
        <w:rPr>
          <w:rFonts w:ascii="Times New Roman" w:eastAsia="Times New Roman"/>
        </w:rPr>
        <w:t>+</w:t>
      </w:r>
      <w:r>
        <w:t>对二甲苯、邻二甲苯、硝基苯、苯胺、</w:t>
      </w:r>
      <w:r>
        <w:rPr>
          <w:rFonts w:ascii="Times New Roman" w:eastAsia="Times New Roman"/>
        </w:rPr>
        <w:t>2-</w:t>
      </w:r>
      <w:r>
        <w:t>氯酚、苯并</w:t>
      </w:r>
      <w:r>
        <w:rPr>
          <w:rFonts w:ascii="Times New Roman" w:eastAsia="Times New Roman"/>
        </w:rPr>
        <w:t>[a]</w:t>
      </w:r>
      <w:r>
        <w:t>蒽、苯并</w:t>
      </w:r>
      <w:r>
        <w:rPr>
          <w:rFonts w:ascii="Times New Roman" w:eastAsia="Times New Roman"/>
        </w:rPr>
        <w:t>[a]</w:t>
      </w:r>
      <w:r>
        <w:t>芘、苯并</w:t>
      </w:r>
      <w:r>
        <w:rPr>
          <w:rFonts w:ascii="Times New Roman" w:eastAsia="Times New Roman"/>
        </w:rPr>
        <w:t>[b]</w:t>
      </w:r>
      <w:r>
        <w:t>荧蒽、苯并</w:t>
      </w:r>
      <w:r>
        <w:rPr>
          <w:rFonts w:ascii="Times New Roman" w:eastAsia="Times New Roman"/>
        </w:rPr>
        <w:t>[k]</w:t>
      </w:r>
      <w:r>
        <w:t>荧蒽、䓛、二苯并</w:t>
      </w:r>
      <w:r>
        <w:rPr>
          <w:rFonts w:ascii="Times New Roman" w:eastAsia="Times New Roman"/>
        </w:rPr>
        <w:t>[a,h]</w:t>
      </w:r>
      <w:r>
        <w:t>蒽、茚并</w:t>
      </w:r>
      <w:r>
        <w:rPr>
          <w:rFonts w:ascii="Times New Roman" w:eastAsia="Times New Roman"/>
        </w:rPr>
        <w:t>[1,2,3-cd]</w:t>
      </w:r>
      <w:r>
        <w:t>芘、萘、石油烃（</w:t>
      </w:r>
      <w:r>
        <w:rPr>
          <w:rFonts w:ascii="Times New Roman" w:eastAsia="Times New Roman"/>
        </w:rPr>
        <w:t>C10</w:t>
      </w:r>
      <w:r>
        <w:t>～</w:t>
      </w:r>
      <w:r>
        <w:rPr>
          <w:rFonts w:ascii="Times New Roman" w:eastAsia="Times New Roman"/>
        </w:rPr>
        <w:t>C40</w:t>
      </w:r>
      <w:r>
        <w:t>）、铬、锌；</w:t>
      </w:r>
    </w:p>
    <w:p>
      <w:pPr>
        <w:pStyle w:val="6"/>
        <w:spacing w:line="364" w:lineRule="auto"/>
        <w:ind w:left="215" w:right="466" w:firstLine="480"/>
      </w:pPr>
      <w:r>
        <w:t xml:space="preserve">工业场地占地范围外 </w:t>
      </w:r>
      <w:r>
        <w:rPr>
          <w:rFonts w:ascii="Times New Roman" w:eastAsia="Times New Roman"/>
        </w:rPr>
        <w:t xml:space="preserve">2 </w:t>
      </w:r>
      <w:r>
        <w:t>个表层样农用地：</w:t>
      </w:r>
      <w:r>
        <w:rPr>
          <w:rFonts w:ascii="Times New Roman" w:eastAsia="Times New Roman"/>
        </w:rPr>
        <w:t>pH</w:t>
      </w:r>
      <w:r>
        <w:t>、含盐量、镉、汞、砷、铅、铬、铜、镍、锌。</w:t>
      </w:r>
    </w:p>
    <w:p>
      <w:pPr>
        <w:pStyle w:val="5"/>
        <w:numPr>
          <w:ilvl w:val="3"/>
          <w:numId w:val="73"/>
        </w:numPr>
        <w:tabs>
          <w:tab w:val="left" w:pos="1044"/>
        </w:tabs>
        <w:spacing w:before="0" w:after="0" w:line="306" w:lineRule="exact"/>
        <w:ind w:left="1044" w:right="0" w:hanging="829"/>
        <w:jc w:val="left"/>
      </w:pPr>
      <w:r>
        <w:t>监测采样时间及频率</w:t>
      </w:r>
    </w:p>
    <w:p>
      <w:pPr>
        <w:pStyle w:val="6"/>
        <w:spacing w:before="156"/>
        <w:ind w:left="696"/>
      </w:pPr>
      <w:r>
        <w:rPr>
          <w:rFonts w:ascii="Times New Roman" w:eastAsia="Times New Roman"/>
        </w:rPr>
        <w:t xml:space="preserve">2020 </w:t>
      </w:r>
      <w:r>
        <w:t xml:space="preserve">年 </w:t>
      </w:r>
      <w:r>
        <w:rPr>
          <w:rFonts w:ascii="Times New Roman" w:eastAsia="Times New Roman"/>
        </w:rPr>
        <w:t xml:space="preserve">05 </w:t>
      </w:r>
      <w:r>
        <w:t xml:space="preserve">月 </w:t>
      </w:r>
      <w:r>
        <w:rPr>
          <w:rFonts w:ascii="Times New Roman" w:eastAsia="Times New Roman"/>
        </w:rPr>
        <w:t xml:space="preserve">24 </w:t>
      </w:r>
      <w:r>
        <w:t xml:space="preserve">日，采样 </w:t>
      </w:r>
      <w:r>
        <w:rPr>
          <w:rFonts w:ascii="Times New Roman" w:eastAsia="Times New Roman"/>
        </w:rPr>
        <w:t xml:space="preserve">1 </w:t>
      </w:r>
      <w:r>
        <w:t>次。</w:t>
      </w:r>
    </w:p>
    <w:p>
      <w:pPr>
        <w:pStyle w:val="5"/>
        <w:numPr>
          <w:ilvl w:val="3"/>
          <w:numId w:val="73"/>
        </w:numPr>
        <w:tabs>
          <w:tab w:val="left" w:pos="1044"/>
        </w:tabs>
        <w:spacing w:before="158" w:after="0" w:line="240" w:lineRule="auto"/>
        <w:ind w:left="1044" w:right="0" w:hanging="829"/>
        <w:jc w:val="left"/>
      </w:pPr>
      <w:r>
        <w:t>监测分析方法</w:t>
      </w:r>
    </w:p>
    <w:p>
      <w:pPr>
        <w:pStyle w:val="6"/>
        <w:spacing w:before="161"/>
        <w:ind w:left="696"/>
      </w:pPr>
      <w:r>
        <w:t xml:space="preserve">土壤污染物监测分析方法详见表 </w:t>
      </w:r>
      <w:r>
        <w:rPr>
          <w:rFonts w:ascii="Times New Roman" w:eastAsia="Times New Roman"/>
        </w:rPr>
        <w:t>11.3-1</w:t>
      </w:r>
      <w:r>
        <w:t>。</w:t>
      </w:r>
    </w:p>
    <w:p>
      <w:pPr>
        <w:pStyle w:val="5"/>
        <w:tabs>
          <w:tab w:val="left" w:pos="1147"/>
        </w:tabs>
        <w:spacing w:before="158" w:after="3"/>
        <w:ind w:right="350"/>
        <w:jc w:val="center"/>
      </w:pPr>
      <w:r>
        <w:t>表</w:t>
      </w:r>
      <w:r>
        <w:rPr>
          <w:spacing w:val="-61"/>
        </w:rPr>
        <w:t xml:space="preserve"> </w:t>
      </w:r>
      <w:r>
        <w:rPr>
          <w:rFonts w:ascii="Times New Roman" w:eastAsia="Times New Roman"/>
          <w:spacing w:val="-3"/>
        </w:rPr>
        <w:t>11.3-1</w:t>
      </w:r>
      <w:r>
        <w:rPr>
          <w:rFonts w:ascii="Times New Roman" w:eastAsia="Times New Roman"/>
          <w:spacing w:val="-3"/>
        </w:rPr>
        <w:tab/>
      </w:r>
      <w:r>
        <w:t>土壤环境质量监测分析方法</w:t>
      </w:r>
    </w:p>
    <w:tbl>
      <w:tblPr>
        <w:tblStyle w:val="10"/>
        <w:tblW w:w="0" w:type="auto"/>
        <w:tblInd w:w="2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1"/>
        <w:gridCol w:w="73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7"/>
              <w:ind w:left="414" w:right="402"/>
              <w:rPr>
                <w:b/>
                <w:sz w:val="21"/>
              </w:rPr>
            </w:pPr>
            <w:bookmarkStart w:id="870" w:name="分析项目"/>
            <w:bookmarkEnd w:id="870"/>
            <w:r>
              <w:rPr>
                <w:b/>
                <w:sz w:val="21"/>
              </w:rPr>
              <w:t>分析项目</w:t>
            </w:r>
          </w:p>
        </w:tc>
        <w:tc>
          <w:tcPr>
            <w:tcW w:w="7329" w:type="dxa"/>
          </w:tcPr>
          <w:p>
            <w:pPr>
              <w:pStyle w:val="14"/>
              <w:spacing w:before="67"/>
              <w:ind w:left="832" w:right="821"/>
              <w:rPr>
                <w:b/>
                <w:sz w:val="21"/>
              </w:rPr>
            </w:pPr>
            <w:bookmarkStart w:id="871" w:name="分析方法"/>
            <w:bookmarkEnd w:id="871"/>
            <w:r>
              <w:rPr>
                <w:b/>
                <w:sz w:val="21"/>
              </w:rPr>
              <w:t>分析方法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711" w:type="dxa"/>
          </w:tcPr>
          <w:p>
            <w:pPr>
              <w:pStyle w:val="14"/>
              <w:spacing w:before="67"/>
              <w:ind w:left="410" w:right="402"/>
              <w:rPr>
                <w:sz w:val="21"/>
              </w:rPr>
            </w:pPr>
            <w:bookmarkStart w:id="872" w:name="pH值"/>
            <w:bookmarkEnd w:id="872"/>
            <w:r>
              <w:rPr>
                <w:rFonts w:ascii="Times New Roman" w:eastAsia="Times New Roman"/>
                <w:sz w:val="21"/>
              </w:rPr>
              <w:t xml:space="preserve">pH </w:t>
            </w:r>
            <w:r>
              <w:rPr>
                <w:sz w:val="21"/>
              </w:rPr>
              <w:t>值</w:t>
            </w:r>
          </w:p>
        </w:tc>
        <w:tc>
          <w:tcPr>
            <w:tcW w:w="7329" w:type="dxa"/>
          </w:tcPr>
          <w:p>
            <w:pPr>
              <w:pStyle w:val="14"/>
              <w:spacing w:before="67"/>
              <w:ind w:left="830" w:right="821"/>
              <w:rPr>
                <w:rFonts w:ascii="Times New Roman" w:eastAsia="Times New Roman"/>
                <w:sz w:val="21"/>
              </w:rPr>
            </w:pPr>
            <w:bookmarkStart w:id="873" w:name="土壤pH值的测定电位法 HJ 962-2018"/>
            <w:bookmarkEnd w:id="873"/>
            <w:r>
              <w:rPr>
                <w:sz w:val="21"/>
              </w:rPr>
              <w:t xml:space="preserve">土壤 </w:t>
            </w:r>
            <w:r>
              <w:rPr>
                <w:rFonts w:ascii="Times New Roman" w:eastAsia="Times New Roman"/>
                <w:sz w:val="21"/>
              </w:rPr>
              <w:t xml:space="preserve">pH </w:t>
            </w:r>
            <w:r>
              <w:rPr>
                <w:sz w:val="21"/>
              </w:rPr>
              <w:t xml:space="preserve">值的测定电位法 </w:t>
            </w:r>
            <w:r>
              <w:rPr>
                <w:rFonts w:ascii="Times New Roman" w:eastAsia="Times New Roman"/>
                <w:sz w:val="21"/>
              </w:rPr>
              <w:t>HJ 962-2018</w:t>
            </w:r>
          </w:p>
        </w:tc>
      </w:tr>
    </w:tbl>
    <w:p>
      <w:pPr>
        <w:spacing w:after="0"/>
        <w:rPr>
          <w:rFonts w:ascii="Times New Roman" w:eastAsia="Times New Roman"/>
          <w:sz w:val="21"/>
        </w:rPr>
        <w:sectPr>
          <w:pgSz w:w="11910" w:h="16840"/>
          <w:pgMar w:top="1540" w:right="780" w:bottom="1320" w:left="1200" w:header="0" w:footer="1058" w:gutter="0"/>
        </w:sectPr>
      </w:pPr>
    </w:p>
    <w:tbl>
      <w:tblPr>
        <w:tblStyle w:val="10"/>
        <w:tblW w:w="0" w:type="auto"/>
        <w:tblInd w:w="2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1"/>
        <w:gridCol w:w="73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5"/>
              <w:ind w:left="3"/>
              <w:jc w:val="left"/>
              <w:rPr>
                <w:sz w:val="21"/>
              </w:rPr>
            </w:pPr>
            <w:bookmarkStart w:id="874" w:name="水溶性盐（含盐量）"/>
            <w:bookmarkEnd w:id="874"/>
            <w:r>
              <w:rPr>
                <w:sz w:val="21"/>
              </w:rPr>
              <w:t>水溶性盐（含盐量</w:t>
            </w:r>
          </w:p>
        </w:tc>
        <w:tc>
          <w:tcPr>
            <w:tcW w:w="7329" w:type="dxa"/>
          </w:tcPr>
          <w:p>
            <w:pPr>
              <w:pStyle w:val="14"/>
              <w:tabs>
                <w:tab w:val="left" w:pos="603"/>
              </w:tabs>
              <w:spacing w:before="65"/>
              <w:ind w:left="-112"/>
              <w:jc w:val="left"/>
              <w:rPr>
                <w:rFonts w:ascii="Times New Roman" w:eastAsia="Times New Roman"/>
                <w:sz w:val="21"/>
              </w:rPr>
            </w:pPr>
            <w:r>
              <w:rPr>
                <w:sz w:val="21"/>
              </w:rPr>
              <w:t>）</w:t>
            </w:r>
            <w:r>
              <w:rPr>
                <w:sz w:val="21"/>
              </w:rPr>
              <w:tab/>
            </w:r>
            <w:bookmarkStart w:id="875" w:name="土壤检测第16部分：土壤水溶性盐总量的测定 NY/T 1121.16-2006"/>
            <w:bookmarkEnd w:id="875"/>
            <w:r>
              <w:rPr>
                <w:spacing w:val="-10"/>
                <w:sz w:val="21"/>
              </w:rPr>
              <w:t xml:space="preserve">土壤检测第 </w:t>
            </w:r>
            <w:r>
              <w:rPr>
                <w:rFonts w:ascii="Times New Roman" w:eastAsia="Times New Roman"/>
                <w:sz w:val="21"/>
              </w:rPr>
              <w:t xml:space="preserve">16 </w:t>
            </w:r>
            <w:r>
              <w:rPr>
                <w:spacing w:val="-1"/>
                <w:sz w:val="21"/>
              </w:rPr>
              <w:t xml:space="preserve">部分：土壤水溶性盐总量的测定 </w:t>
            </w:r>
            <w:r>
              <w:rPr>
                <w:rFonts w:ascii="Times New Roman" w:eastAsia="Times New Roman"/>
                <w:sz w:val="21"/>
              </w:rPr>
              <w:t>NY/T</w:t>
            </w:r>
            <w:r>
              <w:rPr>
                <w:rFonts w:ascii="Times New Roman" w:eastAsia="Times New Roman"/>
                <w:spacing w:val="1"/>
                <w:sz w:val="21"/>
              </w:rPr>
              <w:t xml:space="preserve"> </w:t>
            </w:r>
            <w:r>
              <w:rPr>
                <w:rFonts w:ascii="Times New Roman" w:eastAsia="Times New Roman"/>
                <w:sz w:val="21"/>
              </w:rPr>
              <w:t>1121.16-2006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87"/>
              <w:ind w:left="7"/>
              <w:rPr>
                <w:sz w:val="21"/>
              </w:rPr>
            </w:pPr>
            <w:bookmarkStart w:id="876" w:name="砷"/>
            <w:bookmarkEnd w:id="876"/>
            <w:r>
              <w:rPr>
                <w:w w:val="99"/>
                <w:sz w:val="21"/>
              </w:rPr>
              <w:t>砷</w:t>
            </w:r>
          </w:p>
        </w:tc>
        <w:tc>
          <w:tcPr>
            <w:tcW w:w="7329" w:type="dxa"/>
          </w:tcPr>
          <w:p>
            <w:pPr>
              <w:pStyle w:val="14"/>
              <w:spacing w:before="65"/>
              <w:ind w:left="558"/>
              <w:jc w:val="left"/>
              <w:rPr>
                <w:rFonts w:ascii="Times New Roman" w:eastAsia="Times New Roman"/>
                <w:sz w:val="21"/>
              </w:rPr>
            </w:pPr>
            <w:r>
              <w:rPr>
                <w:sz w:val="21"/>
              </w:rPr>
              <w:t xml:space="preserve">土壤质量 总汞、总砷、总铅的测定 原子荧光法 </w:t>
            </w:r>
            <w:r>
              <w:rPr>
                <w:rFonts w:ascii="Times New Roman" w:eastAsia="Times New Roman"/>
                <w:sz w:val="21"/>
              </w:rPr>
              <w:t>GB/T 22105.2-2008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5"/>
              <w:ind w:left="7"/>
              <w:rPr>
                <w:sz w:val="21"/>
              </w:rPr>
            </w:pPr>
            <w:r>
              <w:rPr>
                <w:w w:val="99"/>
                <w:sz w:val="21"/>
              </w:rPr>
              <w:t>镉</w:t>
            </w:r>
          </w:p>
        </w:tc>
        <w:tc>
          <w:tcPr>
            <w:tcW w:w="7329" w:type="dxa"/>
          </w:tcPr>
          <w:p>
            <w:pPr>
              <w:pStyle w:val="14"/>
              <w:spacing w:before="65"/>
              <w:ind w:left="452"/>
              <w:jc w:val="left"/>
              <w:rPr>
                <w:rFonts w:ascii="Times New Roman" w:eastAsia="Times New Roman"/>
                <w:sz w:val="21"/>
              </w:rPr>
            </w:pPr>
            <w:r>
              <w:rPr>
                <w:sz w:val="21"/>
              </w:rPr>
              <w:t xml:space="preserve">土壤质量 铅、镉的测定 石墨炉原子吸收分光光度法 </w:t>
            </w:r>
            <w:r>
              <w:rPr>
                <w:rFonts w:ascii="Times New Roman" w:eastAsia="Times New Roman"/>
                <w:sz w:val="21"/>
              </w:rPr>
              <w:t>GB/T 17141-1997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86"/>
              <w:ind w:left="329"/>
              <w:jc w:val="left"/>
              <w:rPr>
                <w:sz w:val="21"/>
              </w:rPr>
            </w:pPr>
            <w:bookmarkStart w:id="877" w:name="铬（六价）"/>
            <w:bookmarkEnd w:id="877"/>
            <w:r>
              <w:rPr>
                <w:sz w:val="21"/>
              </w:rPr>
              <w:t>铬（六价）</w:t>
            </w:r>
          </w:p>
        </w:tc>
        <w:tc>
          <w:tcPr>
            <w:tcW w:w="7329" w:type="dxa"/>
          </w:tcPr>
          <w:p>
            <w:pPr>
              <w:pStyle w:val="14"/>
              <w:spacing w:before="65"/>
              <w:ind w:left="440"/>
              <w:jc w:val="left"/>
              <w:rPr>
                <w:rFonts w:ascii="Times New Roman" w:eastAsia="Times New Roman"/>
                <w:sz w:val="21"/>
              </w:rPr>
            </w:pPr>
            <w:r>
              <w:rPr>
                <w:sz w:val="21"/>
              </w:rPr>
              <w:t>固体废物 六价铬的测定 碱消解</w:t>
            </w:r>
            <w:r>
              <w:rPr>
                <w:rFonts w:ascii="Times New Roman" w:eastAsia="Times New Roman"/>
                <w:sz w:val="21"/>
              </w:rPr>
              <w:t>/</w:t>
            </w:r>
            <w:r>
              <w:rPr>
                <w:sz w:val="21"/>
              </w:rPr>
              <w:t xml:space="preserve">火焰原子吸收分光光度法 </w:t>
            </w:r>
            <w:r>
              <w:rPr>
                <w:rFonts w:ascii="Times New Roman" w:eastAsia="Times New Roman"/>
                <w:sz w:val="21"/>
              </w:rPr>
              <w:t>HJ 687-2014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711" w:type="dxa"/>
          </w:tcPr>
          <w:p>
            <w:pPr>
              <w:pStyle w:val="14"/>
              <w:spacing w:before="86"/>
              <w:ind w:left="7"/>
              <w:rPr>
                <w:sz w:val="21"/>
              </w:rPr>
            </w:pPr>
            <w:bookmarkStart w:id="878" w:name="铅"/>
            <w:bookmarkEnd w:id="878"/>
            <w:r>
              <w:rPr>
                <w:w w:val="99"/>
                <w:sz w:val="21"/>
              </w:rPr>
              <w:t>铅</w:t>
            </w:r>
          </w:p>
        </w:tc>
        <w:tc>
          <w:tcPr>
            <w:tcW w:w="7329" w:type="dxa"/>
          </w:tcPr>
          <w:p>
            <w:pPr>
              <w:pStyle w:val="14"/>
              <w:spacing w:before="67"/>
              <w:ind w:left="452"/>
              <w:jc w:val="left"/>
              <w:rPr>
                <w:rFonts w:ascii="Times New Roman" w:eastAsia="Times New Roman"/>
                <w:sz w:val="21"/>
              </w:rPr>
            </w:pPr>
            <w:r>
              <w:rPr>
                <w:sz w:val="21"/>
              </w:rPr>
              <w:t xml:space="preserve">土壤质量 铅、镉的测定 石墨炉原子吸收分光光度法 </w:t>
            </w:r>
            <w:r>
              <w:rPr>
                <w:rFonts w:ascii="Times New Roman" w:eastAsia="Times New Roman"/>
                <w:sz w:val="21"/>
              </w:rPr>
              <w:t>GB/T 17141-1997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86"/>
              <w:ind w:left="7"/>
              <w:rPr>
                <w:sz w:val="21"/>
              </w:rPr>
            </w:pPr>
            <w:bookmarkStart w:id="879" w:name="汞"/>
            <w:bookmarkEnd w:id="879"/>
            <w:r>
              <w:rPr>
                <w:w w:val="99"/>
                <w:sz w:val="21"/>
              </w:rPr>
              <w:t>汞</w:t>
            </w:r>
          </w:p>
        </w:tc>
        <w:tc>
          <w:tcPr>
            <w:tcW w:w="7329" w:type="dxa"/>
          </w:tcPr>
          <w:p>
            <w:pPr>
              <w:pStyle w:val="14"/>
              <w:spacing w:before="67"/>
              <w:ind w:left="558"/>
              <w:jc w:val="left"/>
              <w:rPr>
                <w:rFonts w:ascii="Times New Roman" w:eastAsia="Times New Roman"/>
                <w:sz w:val="21"/>
              </w:rPr>
            </w:pPr>
            <w:r>
              <w:rPr>
                <w:sz w:val="21"/>
              </w:rPr>
              <w:t xml:space="preserve">土壤质量 总汞、总砷、总铅的测定 原子荧光法 </w:t>
            </w:r>
            <w:r>
              <w:rPr>
                <w:rFonts w:ascii="Times New Roman" w:eastAsia="Times New Roman"/>
                <w:sz w:val="21"/>
              </w:rPr>
              <w:t>GB/T 22105.1-2008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6"/>
              <w:ind w:left="118"/>
              <w:jc w:val="left"/>
              <w:rPr>
                <w:sz w:val="21"/>
              </w:rPr>
            </w:pPr>
            <w:r>
              <w:rPr>
                <w:sz w:val="21"/>
              </w:rPr>
              <w:t>铜、锌、镍、铬</w:t>
            </w:r>
          </w:p>
        </w:tc>
        <w:tc>
          <w:tcPr>
            <w:tcW w:w="7329" w:type="dxa"/>
          </w:tcPr>
          <w:p>
            <w:pPr>
              <w:pStyle w:val="14"/>
              <w:spacing w:before="66"/>
              <w:ind w:left="8" w:right="-15"/>
              <w:jc w:val="left"/>
              <w:rPr>
                <w:rFonts w:ascii="Times New Roman" w:eastAsia="Times New Roman"/>
                <w:sz w:val="21"/>
              </w:rPr>
            </w:pPr>
            <w:r>
              <w:rPr>
                <w:spacing w:val="-14"/>
                <w:sz w:val="21"/>
              </w:rPr>
              <w:t xml:space="preserve">土壤和沉积物 铜、锌、铅、镍、铬的测定 火焰原子吸收分光光度法 </w:t>
            </w:r>
            <w:r>
              <w:rPr>
                <w:rFonts w:ascii="Times New Roman" w:eastAsia="Times New Roman"/>
                <w:sz w:val="21"/>
              </w:rPr>
              <w:t>HJ</w:t>
            </w:r>
            <w:r>
              <w:rPr>
                <w:rFonts w:ascii="Times New Roman" w:eastAsia="Times New Roman"/>
                <w:spacing w:val="-2"/>
                <w:sz w:val="21"/>
              </w:rPr>
              <w:t xml:space="preserve"> </w:t>
            </w:r>
            <w:r>
              <w:rPr>
                <w:rFonts w:ascii="Times New Roman" w:eastAsia="Times New Roman"/>
                <w:sz w:val="21"/>
              </w:rPr>
              <w:t>491-2019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6"/>
              <w:ind w:left="435"/>
              <w:jc w:val="left"/>
              <w:rPr>
                <w:sz w:val="21"/>
              </w:rPr>
            </w:pPr>
            <w:r>
              <w:rPr>
                <w:sz w:val="21"/>
              </w:rPr>
              <w:t>四氯化碳</w:t>
            </w:r>
          </w:p>
        </w:tc>
        <w:tc>
          <w:tcPr>
            <w:tcW w:w="7329" w:type="dxa"/>
          </w:tcPr>
          <w:p>
            <w:pPr>
              <w:pStyle w:val="14"/>
              <w:spacing w:before="66"/>
              <w:ind w:left="483"/>
              <w:jc w:val="left"/>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 xml:space="preserve">质谱法 </w:t>
            </w:r>
            <w:r>
              <w:rPr>
                <w:rFonts w:ascii="Times New Roman" w:eastAsia="Times New Roman"/>
                <w:sz w:val="21"/>
              </w:rPr>
              <w:t>HJ736-2015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6"/>
              <w:ind w:left="538"/>
              <w:jc w:val="left"/>
              <w:rPr>
                <w:sz w:val="21"/>
              </w:rPr>
            </w:pPr>
            <w:r>
              <w:rPr>
                <w:sz w:val="21"/>
              </w:rPr>
              <w:t>氯甲烷</w:t>
            </w:r>
          </w:p>
        </w:tc>
        <w:tc>
          <w:tcPr>
            <w:tcW w:w="7329" w:type="dxa"/>
          </w:tcPr>
          <w:p>
            <w:pPr>
              <w:pStyle w:val="14"/>
              <w:spacing w:before="66"/>
              <w:ind w:left="483"/>
              <w:jc w:val="left"/>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 xml:space="preserve">质谱法 </w:t>
            </w:r>
            <w:r>
              <w:rPr>
                <w:rFonts w:ascii="Times New Roman" w:eastAsia="Times New Roman"/>
                <w:sz w:val="21"/>
              </w:rPr>
              <w:t>HJ736-2015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711" w:type="dxa"/>
          </w:tcPr>
          <w:p>
            <w:pPr>
              <w:pStyle w:val="14"/>
              <w:spacing w:before="66"/>
              <w:ind w:left="85"/>
              <w:jc w:val="left"/>
              <w:rPr>
                <w:sz w:val="21"/>
              </w:rPr>
            </w:pPr>
            <w:r>
              <w:rPr>
                <w:sz w:val="21"/>
              </w:rPr>
              <w:t>氯仿</w:t>
            </w:r>
            <w:r>
              <w:rPr>
                <w:rFonts w:ascii="Times New Roman" w:eastAsia="Times New Roman"/>
                <w:sz w:val="21"/>
              </w:rPr>
              <w:t>(</w:t>
            </w:r>
            <w:r>
              <w:rPr>
                <w:sz w:val="21"/>
              </w:rPr>
              <w:t>三氯甲烷）</w:t>
            </w:r>
          </w:p>
        </w:tc>
        <w:tc>
          <w:tcPr>
            <w:tcW w:w="7329" w:type="dxa"/>
          </w:tcPr>
          <w:p>
            <w:pPr>
              <w:pStyle w:val="14"/>
              <w:spacing w:before="66"/>
              <w:ind w:left="483"/>
              <w:jc w:val="left"/>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 xml:space="preserve">质谱法 </w:t>
            </w:r>
            <w:r>
              <w:rPr>
                <w:rFonts w:ascii="Times New Roman" w:eastAsia="Times New Roman"/>
                <w:sz w:val="21"/>
              </w:rPr>
              <w:t>HJ736-2015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6"/>
              <w:ind w:left="269"/>
              <w:jc w:val="left"/>
              <w:rPr>
                <w:sz w:val="21"/>
              </w:rPr>
            </w:pPr>
            <w:bookmarkStart w:id="880" w:name="1,1-二氯乙烷"/>
            <w:bookmarkEnd w:id="880"/>
            <w:r>
              <w:rPr>
                <w:rFonts w:ascii="Times New Roman" w:eastAsia="Times New Roman"/>
                <w:sz w:val="21"/>
              </w:rPr>
              <w:t>1,1-</w:t>
            </w:r>
            <w:r>
              <w:rPr>
                <w:sz w:val="21"/>
              </w:rPr>
              <w:t>二氯乙烷</w:t>
            </w:r>
          </w:p>
        </w:tc>
        <w:tc>
          <w:tcPr>
            <w:tcW w:w="7329" w:type="dxa"/>
          </w:tcPr>
          <w:p>
            <w:pPr>
              <w:pStyle w:val="14"/>
              <w:spacing w:before="66"/>
              <w:ind w:left="483"/>
              <w:jc w:val="left"/>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 xml:space="preserve">质谱法 </w:t>
            </w:r>
            <w:r>
              <w:rPr>
                <w:rFonts w:ascii="Times New Roman" w:eastAsia="Times New Roman"/>
                <w:sz w:val="21"/>
              </w:rPr>
              <w:t>HJ736-2015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6"/>
              <w:ind w:left="269"/>
              <w:jc w:val="left"/>
              <w:rPr>
                <w:sz w:val="21"/>
              </w:rPr>
            </w:pPr>
            <w:bookmarkStart w:id="881" w:name="1,2-二氯乙烷"/>
            <w:bookmarkEnd w:id="881"/>
            <w:r>
              <w:rPr>
                <w:rFonts w:ascii="Times New Roman" w:eastAsia="Times New Roman"/>
                <w:sz w:val="21"/>
              </w:rPr>
              <w:t>1,2-</w:t>
            </w:r>
            <w:r>
              <w:rPr>
                <w:sz w:val="21"/>
              </w:rPr>
              <w:t>二氯乙烷</w:t>
            </w:r>
          </w:p>
        </w:tc>
        <w:tc>
          <w:tcPr>
            <w:tcW w:w="7329" w:type="dxa"/>
          </w:tcPr>
          <w:p>
            <w:pPr>
              <w:pStyle w:val="14"/>
              <w:spacing w:before="66"/>
              <w:ind w:left="483"/>
              <w:jc w:val="left"/>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 xml:space="preserve">质谱法 </w:t>
            </w:r>
            <w:r>
              <w:rPr>
                <w:rFonts w:ascii="Times New Roman" w:eastAsia="Times New Roman"/>
                <w:sz w:val="21"/>
              </w:rPr>
              <w:t>HJ736-2015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711" w:type="dxa"/>
          </w:tcPr>
          <w:p>
            <w:pPr>
              <w:pStyle w:val="14"/>
              <w:spacing w:before="65"/>
              <w:ind w:left="269"/>
              <w:jc w:val="left"/>
              <w:rPr>
                <w:sz w:val="21"/>
              </w:rPr>
            </w:pPr>
            <w:bookmarkStart w:id="882" w:name="1,1-二氯乙烯"/>
            <w:bookmarkEnd w:id="882"/>
            <w:r>
              <w:rPr>
                <w:rFonts w:ascii="Times New Roman" w:eastAsia="Times New Roman"/>
                <w:sz w:val="21"/>
              </w:rPr>
              <w:t>1,1-</w:t>
            </w:r>
            <w:r>
              <w:rPr>
                <w:sz w:val="21"/>
              </w:rPr>
              <w:t>二氯乙烯</w:t>
            </w:r>
          </w:p>
        </w:tc>
        <w:tc>
          <w:tcPr>
            <w:tcW w:w="7329" w:type="dxa"/>
          </w:tcPr>
          <w:p>
            <w:pPr>
              <w:pStyle w:val="14"/>
              <w:spacing w:before="65"/>
              <w:ind w:left="483"/>
              <w:jc w:val="left"/>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 xml:space="preserve">质谱法 </w:t>
            </w:r>
            <w:r>
              <w:rPr>
                <w:rFonts w:ascii="Times New Roman" w:eastAsia="Times New Roman"/>
                <w:sz w:val="21"/>
              </w:rPr>
              <w:t>HJ736-2015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5"/>
              <w:ind w:left="130"/>
              <w:jc w:val="left"/>
              <w:rPr>
                <w:sz w:val="21"/>
              </w:rPr>
            </w:pPr>
            <w:r>
              <w:rPr>
                <w:sz w:val="21"/>
              </w:rPr>
              <w:t>顺</w:t>
            </w:r>
            <w:r>
              <w:rPr>
                <w:rFonts w:ascii="Times New Roman" w:eastAsia="Times New Roman"/>
                <w:sz w:val="21"/>
              </w:rPr>
              <w:t>-1,2-</w:t>
            </w:r>
            <w:r>
              <w:rPr>
                <w:sz w:val="21"/>
              </w:rPr>
              <w:t>二氯乙烯</w:t>
            </w:r>
          </w:p>
        </w:tc>
        <w:tc>
          <w:tcPr>
            <w:tcW w:w="7329" w:type="dxa"/>
          </w:tcPr>
          <w:p>
            <w:pPr>
              <w:pStyle w:val="14"/>
              <w:spacing w:before="65"/>
              <w:ind w:left="483"/>
              <w:jc w:val="left"/>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 xml:space="preserve">质谱法 </w:t>
            </w:r>
            <w:r>
              <w:rPr>
                <w:rFonts w:ascii="Times New Roman" w:eastAsia="Times New Roman"/>
                <w:sz w:val="21"/>
              </w:rPr>
              <w:t>HJ736-2015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5"/>
              <w:ind w:left="130"/>
              <w:jc w:val="left"/>
              <w:rPr>
                <w:sz w:val="21"/>
              </w:rPr>
            </w:pPr>
            <w:r>
              <w:rPr>
                <w:sz w:val="21"/>
              </w:rPr>
              <w:t>反</w:t>
            </w:r>
            <w:r>
              <w:rPr>
                <w:rFonts w:ascii="Times New Roman" w:eastAsia="Times New Roman"/>
                <w:sz w:val="21"/>
              </w:rPr>
              <w:t>-1,2-</w:t>
            </w:r>
            <w:r>
              <w:rPr>
                <w:sz w:val="21"/>
              </w:rPr>
              <w:t>二氯乙烯</w:t>
            </w:r>
          </w:p>
        </w:tc>
        <w:tc>
          <w:tcPr>
            <w:tcW w:w="7329" w:type="dxa"/>
          </w:tcPr>
          <w:p>
            <w:pPr>
              <w:pStyle w:val="14"/>
              <w:spacing w:before="65"/>
              <w:ind w:left="483"/>
              <w:jc w:val="left"/>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 xml:space="preserve">质谱法 </w:t>
            </w:r>
            <w:r>
              <w:rPr>
                <w:rFonts w:ascii="Times New Roman" w:eastAsia="Times New Roman"/>
                <w:sz w:val="21"/>
              </w:rPr>
              <w:t>HJ736-2015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711" w:type="dxa"/>
          </w:tcPr>
          <w:p>
            <w:pPr>
              <w:pStyle w:val="14"/>
              <w:spacing w:before="65"/>
              <w:ind w:left="435"/>
              <w:jc w:val="left"/>
              <w:rPr>
                <w:sz w:val="21"/>
              </w:rPr>
            </w:pPr>
            <w:r>
              <w:rPr>
                <w:sz w:val="21"/>
              </w:rPr>
              <w:t>二氯甲烷</w:t>
            </w:r>
          </w:p>
        </w:tc>
        <w:tc>
          <w:tcPr>
            <w:tcW w:w="7329" w:type="dxa"/>
          </w:tcPr>
          <w:p>
            <w:pPr>
              <w:pStyle w:val="14"/>
              <w:spacing w:before="65"/>
              <w:ind w:left="483"/>
              <w:jc w:val="left"/>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 xml:space="preserve">质谱法 </w:t>
            </w:r>
            <w:r>
              <w:rPr>
                <w:rFonts w:ascii="Times New Roman" w:eastAsia="Times New Roman"/>
                <w:sz w:val="21"/>
              </w:rPr>
              <w:t>HJ736-2015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7"/>
              <w:ind w:left="269"/>
              <w:jc w:val="left"/>
              <w:rPr>
                <w:sz w:val="21"/>
              </w:rPr>
            </w:pPr>
            <w:r>
              <w:rPr>
                <w:rFonts w:ascii="Times New Roman" w:eastAsia="Times New Roman"/>
                <w:sz w:val="21"/>
              </w:rPr>
              <w:t>1,2-</w:t>
            </w:r>
            <w:r>
              <w:rPr>
                <w:sz w:val="21"/>
              </w:rPr>
              <w:t>二氯丙烷</w:t>
            </w:r>
          </w:p>
        </w:tc>
        <w:tc>
          <w:tcPr>
            <w:tcW w:w="7329" w:type="dxa"/>
          </w:tcPr>
          <w:p>
            <w:pPr>
              <w:pStyle w:val="14"/>
              <w:spacing w:before="67"/>
              <w:ind w:left="483"/>
              <w:jc w:val="left"/>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 xml:space="preserve">质谱法 </w:t>
            </w:r>
            <w:r>
              <w:rPr>
                <w:rFonts w:ascii="Times New Roman" w:eastAsia="Times New Roman"/>
                <w:sz w:val="21"/>
              </w:rPr>
              <w:t>HJ736-2015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711" w:type="dxa"/>
          </w:tcPr>
          <w:p>
            <w:pPr>
              <w:pStyle w:val="14"/>
              <w:spacing w:before="67"/>
              <w:ind w:left="111"/>
              <w:jc w:val="left"/>
              <w:rPr>
                <w:sz w:val="21"/>
              </w:rPr>
            </w:pPr>
            <w:r>
              <w:rPr>
                <w:rFonts w:ascii="Times New Roman" w:eastAsia="Times New Roman"/>
                <w:sz w:val="21"/>
              </w:rPr>
              <w:t>1,1,1,2-</w:t>
            </w:r>
            <w:r>
              <w:rPr>
                <w:sz w:val="21"/>
              </w:rPr>
              <w:t>四氯乙烷</w:t>
            </w:r>
          </w:p>
        </w:tc>
        <w:tc>
          <w:tcPr>
            <w:tcW w:w="7329" w:type="dxa"/>
          </w:tcPr>
          <w:p>
            <w:pPr>
              <w:pStyle w:val="14"/>
              <w:spacing w:before="67"/>
              <w:ind w:left="483"/>
              <w:jc w:val="left"/>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 xml:space="preserve">质谱法 </w:t>
            </w:r>
            <w:r>
              <w:rPr>
                <w:rFonts w:ascii="Times New Roman" w:eastAsia="Times New Roman"/>
                <w:sz w:val="21"/>
              </w:rPr>
              <w:t>HJ736-2015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7"/>
              <w:ind w:left="111"/>
              <w:jc w:val="left"/>
              <w:rPr>
                <w:sz w:val="21"/>
              </w:rPr>
            </w:pPr>
            <w:r>
              <w:rPr>
                <w:rFonts w:ascii="Times New Roman" w:eastAsia="Times New Roman"/>
                <w:sz w:val="21"/>
              </w:rPr>
              <w:t>1,1,2,2-</w:t>
            </w:r>
            <w:r>
              <w:rPr>
                <w:sz w:val="21"/>
              </w:rPr>
              <w:t>四氯乙烷</w:t>
            </w:r>
          </w:p>
        </w:tc>
        <w:tc>
          <w:tcPr>
            <w:tcW w:w="7329" w:type="dxa"/>
          </w:tcPr>
          <w:p>
            <w:pPr>
              <w:pStyle w:val="14"/>
              <w:spacing w:before="67"/>
              <w:ind w:left="483"/>
              <w:jc w:val="left"/>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 xml:space="preserve">质谱法 </w:t>
            </w:r>
            <w:r>
              <w:rPr>
                <w:rFonts w:ascii="Times New Roman" w:eastAsia="Times New Roman"/>
                <w:sz w:val="21"/>
              </w:rPr>
              <w:t>HJ736-2015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6"/>
              <w:ind w:left="435"/>
              <w:jc w:val="left"/>
              <w:rPr>
                <w:sz w:val="21"/>
              </w:rPr>
            </w:pPr>
            <w:r>
              <w:rPr>
                <w:sz w:val="21"/>
              </w:rPr>
              <w:t>四氯乙烯</w:t>
            </w:r>
          </w:p>
        </w:tc>
        <w:tc>
          <w:tcPr>
            <w:tcW w:w="7329" w:type="dxa"/>
          </w:tcPr>
          <w:p>
            <w:pPr>
              <w:pStyle w:val="14"/>
              <w:spacing w:before="66"/>
              <w:ind w:left="483"/>
              <w:jc w:val="left"/>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 xml:space="preserve">质谱法 </w:t>
            </w:r>
            <w:r>
              <w:rPr>
                <w:rFonts w:ascii="Times New Roman" w:eastAsia="Times New Roman"/>
                <w:sz w:val="21"/>
              </w:rPr>
              <w:t>HJ736-2015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711" w:type="dxa"/>
          </w:tcPr>
          <w:p>
            <w:pPr>
              <w:pStyle w:val="14"/>
              <w:spacing w:before="66"/>
              <w:ind w:left="190"/>
              <w:jc w:val="left"/>
              <w:rPr>
                <w:sz w:val="21"/>
              </w:rPr>
            </w:pPr>
            <w:r>
              <w:rPr>
                <w:rFonts w:ascii="Times New Roman" w:eastAsia="Times New Roman"/>
                <w:sz w:val="21"/>
              </w:rPr>
              <w:t>1,1,1-</w:t>
            </w:r>
            <w:r>
              <w:rPr>
                <w:sz w:val="21"/>
              </w:rPr>
              <w:t>三氯乙烷</w:t>
            </w:r>
          </w:p>
        </w:tc>
        <w:tc>
          <w:tcPr>
            <w:tcW w:w="7329" w:type="dxa"/>
          </w:tcPr>
          <w:p>
            <w:pPr>
              <w:pStyle w:val="14"/>
              <w:spacing w:before="66"/>
              <w:ind w:left="483"/>
              <w:jc w:val="left"/>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 xml:space="preserve">质谱法 </w:t>
            </w:r>
            <w:r>
              <w:rPr>
                <w:rFonts w:ascii="Times New Roman" w:eastAsia="Times New Roman"/>
                <w:sz w:val="21"/>
              </w:rPr>
              <w:t>HJ736-2015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6"/>
              <w:ind w:left="190"/>
              <w:jc w:val="left"/>
              <w:rPr>
                <w:sz w:val="21"/>
              </w:rPr>
            </w:pPr>
            <w:r>
              <w:rPr>
                <w:rFonts w:ascii="Times New Roman" w:eastAsia="Times New Roman"/>
                <w:sz w:val="21"/>
              </w:rPr>
              <w:t>1,1,2-</w:t>
            </w:r>
            <w:r>
              <w:rPr>
                <w:sz w:val="21"/>
              </w:rPr>
              <w:t>三氯乙烷</w:t>
            </w:r>
          </w:p>
        </w:tc>
        <w:tc>
          <w:tcPr>
            <w:tcW w:w="7329" w:type="dxa"/>
          </w:tcPr>
          <w:p>
            <w:pPr>
              <w:pStyle w:val="14"/>
              <w:spacing w:before="66"/>
              <w:ind w:left="483"/>
              <w:jc w:val="left"/>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 xml:space="preserve">质谱法 </w:t>
            </w:r>
            <w:r>
              <w:rPr>
                <w:rFonts w:ascii="Times New Roman" w:eastAsia="Times New Roman"/>
                <w:sz w:val="21"/>
              </w:rPr>
              <w:t>HJ736-2015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6"/>
              <w:ind w:left="435"/>
              <w:jc w:val="left"/>
              <w:rPr>
                <w:sz w:val="21"/>
              </w:rPr>
            </w:pPr>
            <w:r>
              <w:rPr>
                <w:sz w:val="21"/>
              </w:rPr>
              <w:t>三氯乙烯</w:t>
            </w:r>
          </w:p>
        </w:tc>
        <w:tc>
          <w:tcPr>
            <w:tcW w:w="7329" w:type="dxa"/>
          </w:tcPr>
          <w:p>
            <w:pPr>
              <w:pStyle w:val="14"/>
              <w:spacing w:before="66"/>
              <w:ind w:left="483"/>
              <w:jc w:val="left"/>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 xml:space="preserve">质谱法 </w:t>
            </w:r>
            <w:r>
              <w:rPr>
                <w:rFonts w:ascii="Times New Roman" w:eastAsia="Times New Roman"/>
                <w:sz w:val="21"/>
              </w:rPr>
              <w:t>HJ736-2015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711" w:type="dxa"/>
          </w:tcPr>
          <w:p>
            <w:pPr>
              <w:pStyle w:val="14"/>
              <w:spacing w:before="65"/>
              <w:ind w:left="190"/>
              <w:jc w:val="left"/>
              <w:rPr>
                <w:sz w:val="21"/>
              </w:rPr>
            </w:pPr>
            <w:r>
              <w:rPr>
                <w:rFonts w:ascii="Times New Roman" w:eastAsia="Times New Roman"/>
                <w:sz w:val="21"/>
              </w:rPr>
              <w:t>1,2,3-</w:t>
            </w:r>
            <w:r>
              <w:rPr>
                <w:sz w:val="21"/>
              </w:rPr>
              <w:t>三氯丙烷</w:t>
            </w:r>
          </w:p>
        </w:tc>
        <w:tc>
          <w:tcPr>
            <w:tcW w:w="7329" w:type="dxa"/>
          </w:tcPr>
          <w:p>
            <w:pPr>
              <w:pStyle w:val="14"/>
              <w:spacing w:before="65"/>
              <w:ind w:left="483"/>
              <w:jc w:val="left"/>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 xml:space="preserve">质谱法 </w:t>
            </w:r>
            <w:r>
              <w:rPr>
                <w:rFonts w:ascii="Times New Roman" w:eastAsia="Times New Roman"/>
                <w:sz w:val="21"/>
              </w:rPr>
              <w:t>HJ736-2015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5"/>
              <w:ind w:left="538"/>
              <w:jc w:val="left"/>
              <w:rPr>
                <w:sz w:val="21"/>
              </w:rPr>
            </w:pPr>
            <w:r>
              <w:rPr>
                <w:sz w:val="21"/>
              </w:rPr>
              <w:t>氯乙烯</w:t>
            </w:r>
          </w:p>
        </w:tc>
        <w:tc>
          <w:tcPr>
            <w:tcW w:w="7329" w:type="dxa"/>
          </w:tcPr>
          <w:p>
            <w:pPr>
              <w:pStyle w:val="14"/>
              <w:spacing w:before="65"/>
              <w:ind w:left="483"/>
              <w:jc w:val="left"/>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 xml:space="preserve">质谱法 </w:t>
            </w:r>
            <w:r>
              <w:rPr>
                <w:rFonts w:ascii="Times New Roman" w:eastAsia="Times New Roman"/>
                <w:sz w:val="21"/>
              </w:rPr>
              <w:t>HJ736-2015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5"/>
              <w:ind w:left="7"/>
              <w:rPr>
                <w:sz w:val="21"/>
              </w:rPr>
            </w:pPr>
            <w:r>
              <w:rPr>
                <w:w w:val="99"/>
                <w:sz w:val="21"/>
              </w:rPr>
              <w:t>苯</w:t>
            </w:r>
          </w:p>
        </w:tc>
        <w:tc>
          <w:tcPr>
            <w:tcW w:w="7329" w:type="dxa"/>
          </w:tcPr>
          <w:p>
            <w:pPr>
              <w:pStyle w:val="14"/>
              <w:spacing w:before="65"/>
              <w:ind w:left="728"/>
              <w:jc w:val="left"/>
              <w:rPr>
                <w:rFonts w:ascii="Times New Roman" w:eastAsia="Times New Roman"/>
                <w:sz w:val="21"/>
              </w:rPr>
            </w:pPr>
            <w:r>
              <w:rPr>
                <w:sz w:val="21"/>
              </w:rPr>
              <w:t>土壤和沉积物挥发性有机物的测定 顶空</w:t>
            </w:r>
            <w:r>
              <w:rPr>
                <w:rFonts w:ascii="Times New Roman" w:eastAsia="Times New Roman"/>
                <w:sz w:val="21"/>
              </w:rPr>
              <w:t>/</w:t>
            </w:r>
            <w:r>
              <w:rPr>
                <w:sz w:val="21"/>
              </w:rPr>
              <w:t xml:space="preserve">气相色谱法 </w:t>
            </w:r>
            <w:r>
              <w:rPr>
                <w:rFonts w:ascii="Times New Roman" w:eastAsia="Times New Roman"/>
                <w:sz w:val="21"/>
              </w:rPr>
              <w:t>HJ741-2015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70"/>
              <w:ind w:left="407" w:right="402"/>
              <w:rPr>
                <w:sz w:val="21"/>
              </w:rPr>
            </w:pPr>
            <w:r>
              <w:rPr>
                <w:sz w:val="21"/>
              </w:rPr>
              <w:t>氯苯</w:t>
            </w:r>
          </w:p>
        </w:tc>
        <w:tc>
          <w:tcPr>
            <w:tcW w:w="7329" w:type="dxa"/>
          </w:tcPr>
          <w:p>
            <w:pPr>
              <w:pStyle w:val="14"/>
              <w:spacing w:before="65"/>
              <w:ind w:left="483"/>
              <w:jc w:val="left"/>
              <w:rPr>
                <w:rFonts w:ascii="Times New Roman" w:eastAsia="Times New Roman"/>
                <w:sz w:val="21"/>
              </w:rPr>
            </w:pPr>
            <w:r>
              <w:rPr>
                <w:sz w:val="21"/>
              </w:rPr>
              <w:t>土壤和沉积物挥发性有机物的测定 顶空</w:t>
            </w:r>
            <w:r>
              <w:rPr>
                <w:rFonts w:ascii="Times New Roman" w:eastAsia="Times New Roman"/>
                <w:sz w:val="21"/>
              </w:rPr>
              <w:t>/</w:t>
            </w:r>
            <w:r>
              <w:rPr>
                <w:sz w:val="21"/>
              </w:rPr>
              <w:t>气相色谱</w:t>
            </w:r>
            <w:r>
              <w:rPr>
                <w:rFonts w:ascii="Times New Roman" w:eastAsia="Times New Roman"/>
                <w:sz w:val="21"/>
              </w:rPr>
              <w:t>-</w:t>
            </w:r>
            <w:r>
              <w:rPr>
                <w:sz w:val="21"/>
              </w:rPr>
              <w:t xml:space="preserve">质谱法 </w:t>
            </w:r>
            <w:r>
              <w:rPr>
                <w:rFonts w:ascii="Times New Roman" w:eastAsia="Times New Roman"/>
                <w:sz w:val="21"/>
              </w:rPr>
              <w:t>HJ642-2013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9"/>
              <w:ind w:left="375"/>
              <w:jc w:val="left"/>
              <w:rPr>
                <w:sz w:val="21"/>
              </w:rPr>
            </w:pPr>
            <w:r>
              <w:rPr>
                <w:rFonts w:ascii="Times New Roman" w:eastAsia="Times New Roman"/>
                <w:sz w:val="21"/>
              </w:rPr>
              <w:t>1,2-</w:t>
            </w:r>
            <w:r>
              <w:rPr>
                <w:sz w:val="21"/>
              </w:rPr>
              <w:t>二氯苯</w:t>
            </w:r>
          </w:p>
        </w:tc>
        <w:tc>
          <w:tcPr>
            <w:tcW w:w="7329" w:type="dxa"/>
          </w:tcPr>
          <w:p>
            <w:pPr>
              <w:pStyle w:val="14"/>
              <w:spacing w:before="65"/>
              <w:ind w:left="483"/>
              <w:jc w:val="left"/>
              <w:rPr>
                <w:rFonts w:ascii="Times New Roman" w:eastAsia="Times New Roman"/>
                <w:sz w:val="21"/>
              </w:rPr>
            </w:pPr>
            <w:r>
              <w:rPr>
                <w:sz w:val="21"/>
              </w:rPr>
              <w:t>土壤和沉积物挥发性有机物的测定 顶空</w:t>
            </w:r>
            <w:r>
              <w:rPr>
                <w:rFonts w:ascii="Times New Roman" w:eastAsia="Times New Roman"/>
                <w:sz w:val="21"/>
              </w:rPr>
              <w:t>/</w:t>
            </w:r>
            <w:r>
              <w:rPr>
                <w:sz w:val="21"/>
              </w:rPr>
              <w:t>气相色谱</w:t>
            </w:r>
            <w:r>
              <w:rPr>
                <w:rFonts w:ascii="Times New Roman" w:eastAsia="Times New Roman"/>
                <w:sz w:val="21"/>
              </w:rPr>
              <w:t>-</w:t>
            </w:r>
            <w:r>
              <w:rPr>
                <w:sz w:val="21"/>
              </w:rPr>
              <w:t xml:space="preserve">质谱法 </w:t>
            </w:r>
            <w:r>
              <w:rPr>
                <w:rFonts w:ascii="Times New Roman" w:eastAsia="Times New Roman"/>
                <w:sz w:val="21"/>
              </w:rPr>
              <w:t>HJ642-2013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711" w:type="dxa"/>
          </w:tcPr>
          <w:p>
            <w:pPr>
              <w:pStyle w:val="14"/>
              <w:spacing w:before="67"/>
              <w:ind w:left="375"/>
              <w:jc w:val="left"/>
              <w:rPr>
                <w:sz w:val="21"/>
              </w:rPr>
            </w:pPr>
            <w:r>
              <w:rPr>
                <w:rFonts w:ascii="Times New Roman" w:eastAsia="Times New Roman"/>
                <w:sz w:val="21"/>
              </w:rPr>
              <w:t>1,4-</w:t>
            </w:r>
            <w:r>
              <w:rPr>
                <w:sz w:val="21"/>
              </w:rPr>
              <w:t>二氯苯</w:t>
            </w:r>
          </w:p>
        </w:tc>
        <w:tc>
          <w:tcPr>
            <w:tcW w:w="7329" w:type="dxa"/>
          </w:tcPr>
          <w:p>
            <w:pPr>
              <w:pStyle w:val="14"/>
              <w:spacing w:before="67"/>
              <w:ind w:left="483"/>
              <w:jc w:val="left"/>
              <w:rPr>
                <w:rFonts w:ascii="Times New Roman" w:eastAsia="Times New Roman"/>
                <w:sz w:val="21"/>
              </w:rPr>
            </w:pPr>
            <w:r>
              <w:rPr>
                <w:sz w:val="21"/>
              </w:rPr>
              <w:t>土壤和沉积物挥发性有机物的测定 顶空</w:t>
            </w:r>
            <w:r>
              <w:rPr>
                <w:rFonts w:ascii="Times New Roman" w:eastAsia="Times New Roman"/>
                <w:sz w:val="21"/>
              </w:rPr>
              <w:t>/</w:t>
            </w:r>
            <w:r>
              <w:rPr>
                <w:sz w:val="21"/>
              </w:rPr>
              <w:t>气相色谱</w:t>
            </w:r>
            <w:r>
              <w:rPr>
                <w:rFonts w:ascii="Times New Roman" w:eastAsia="Times New Roman"/>
                <w:sz w:val="21"/>
              </w:rPr>
              <w:t>-</w:t>
            </w:r>
            <w:r>
              <w:rPr>
                <w:sz w:val="21"/>
              </w:rPr>
              <w:t xml:space="preserve">质谱法 </w:t>
            </w:r>
            <w:r>
              <w:rPr>
                <w:rFonts w:ascii="Times New Roman" w:eastAsia="Times New Roman"/>
                <w:sz w:val="21"/>
              </w:rPr>
              <w:t>HJ642-2013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7"/>
              <w:ind w:left="407" w:right="402"/>
              <w:rPr>
                <w:sz w:val="21"/>
              </w:rPr>
            </w:pPr>
            <w:r>
              <w:rPr>
                <w:sz w:val="21"/>
              </w:rPr>
              <w:t>乙苯</w:t>
            </w:r>
          </w:p>
        </w:tc>
        <w:tc>
          <w:tcPr>
            <w:tcW w:w="7329" w:type="dxa"/>
          </w:tcPr>
          <w:p>
            <w:pPr>
              <w:pStyle w:val="14"/>
              <w:spacing w:before="67"/>
              <w:ind w:left="728"/>
              <w:jc w:val="left"/>
              <w:rPr>
                <w:rFonts w:ascii="Times New Roman" w:eastAsia="Times New Roman"/>
                <w:sz w:val="21"/>
              </w:rPr>
            </w:pPr>
            <w:r>
              <w:rPr>
                <w:sz w:val="21"/>
              </w:rPr>
              <w:t>土壤和沉积物挥发性有机物的测定 顶空</w:t>
            </w:r>
            <w:r>
              <w:rPr>
                <w:rFonts w:ascii="Times New Roman" w:eastAsia="Times New Roman"/>
                <w:sz w:val="21"/>
              </w:rPr>
              <w:t>/</w:t>
            </w:r>
            <w:r>
              <w:rPr>
                <w:sz w:val="21"/>
              </w:rPr>
              <w:t xml:space="preserve">气相色谱法 </w:t>
            </w:r>
            <w:r>
              <w:rPr>
                <w:rFonts w:ascii="Times New Roman" w:eastAsia="Times New Roman"/>
                <w:sz w:val="21"/>
              </w:rPr>
              <w:t>HJ741-2015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6"/>
              <w:ind w:left="538"/>
              <w:jc w:val="left"/>
              <w:rPr>
                <w:sz w:val="21"/>
              </w:rPr>
            </w:pPr>
            <w:r>
              <w:rPr>
                <w:sz w:val="21"/>
              </w:rPr>
              <w:t>苯乙烯</w:t>
            </w:r>
          </w:p>
        </w:tc>
        <w:tc>
          <w:tcPr>
            <w:tcW w:w="7329" w:type="dxa"/>
          </w:tcPr>
          <w:p>
            <w:pPr>
              <w:pStyle w:val="14"/>
              <w:spacing w:before="66"/>
              <w:ind w:left="675"/>
              <w:jc w:val="left"/>
              <w:rPr>
                <w:rFonts w:ascii="Times New Roman" w:eastAsia="Times New Roman"/>
                <w:sz w:val="21"/>
              </w:rPr>
            </w:pPr>
            <w:r>
              <w:rPr>
                <w:sz w:val="21"/>
              </w:rPr>
              <w:t>土壤和沉积物 挥发性有机物的测定 顶空</w:t>
            </w:r>
            <w:r>
              <w:rPr>
                <w:rFonts w:ascii="Times New Roman" w:eastAsia="Times New Roman"/>
                <w:sz w:val="21"/>
              </w:rPr>
              <w:t>/</w:t>
            </w:r>
            <w:r>
              <w:rPr>
                <w:sz w:val="21"/>
              </w:rPr>
              <w:t xml:space="preserve">气相色谱法 </w:t>
            </w:r>
            <w:r>
              <w:rPr>
                <w:rFonts w:ascii="Times New Roman" w:eastAsia="Times New Roman"/>
                <w:sz w:val="21"/>
              </w:rPr>
              <w:t>HJ741-2015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6"/>
              <w:ind w:left="407" w:right="402"/>
              <w:rPr>
                <w:sz w:val="21"/>
              </w:rPr>
            </w:pPr>
            <w:bookmarkStart w:id="883" w:name="甲苯"/>
            <w:bookmarkEnd w:id="883"/>
            <w:r>
              <w:rPr>
                <w:sz w:val="21"/>
              </w:rPr>
              <w:t>甲苯</w:t>
            </w:r>
          </w:p>
        </w:tc>
        <w:tc>
          <w:tcPr>
            <w:tcW w:w="7329" w:type="dxa"/>
          </w:tcPr>
          <w:p>
            <w:pPr>
              <w:pStyle w:val="14"/>
              <w:spacing w:before="66"/>
              <w:ind w:left="675"/>
              <w:jc w:val="left"/>
              <w:rPr>
                <w:rFonts w:ascii="Times New Roman" w:eastAsia="Times New Roman"/>
                <w:sz w:val="21"/>
              </w:rPr>
            </w:pPr>
            <w:r>
              <w:rPr>
                <w:sz w:val="21"/>
              </w:rPr>
              <w:t>土壤和沉积物 挥发性有机物的测定 顶空</w:t>
            </w:r>
            <w:r>
              <w:rPr>
                <w:rFonts w:ascii="Times New Roman" w:eastAsia="Times New Roman"/>
                <w:sz w:val="21"/>
              </w:rPr>
              <w:t>/</w:t>
            </w:r>
            <w:r>
              <w:rPr>
                <w:sz w:val="21"/>
              </w:rPr>
              <w:t xml:space="preserve">气相色谱法 </w:t>
            </w:r>
            <w:r>
              <w:rPr>
                <w:rFonts w:ascii="Times New Roman" w:eastAsia="Times New Roman"/>
                <w:sz w:val="21"/>
              </w:rPr>
              <w:t>HJ741-2015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711" w:type="dxa"/>
          </w:tcPr>
          <w:p>
            <w:pPr>
              <w:pStyle w:val="14"/>
              <w:spacing w:before="66"/>
              <w:ind w:left="435"/>
              <w:jc w:val="left"/>
              <w:rPr>
                <w:sz w:val="21"/>
              </w:rPr>
            </w:pPr>
            <w:r>
              <w:rPr>
                <w:sz w:val="21"/>
              </w:rPr>
              <w:t>间二甲苯</w:t>
            </w:r>
          </w:p>
        </w:tc>
        <w:tc>
          <w:tcPr>
            <w:tcW w:w="7329" w:type="dxa"/>
          </w:tcPr>
          <w:p>
            <w:pPr>
              <w:pStyle w:val="14"/>
              <w:spacing w:before="66"/>
              <w:ind w:left="675"/>
              <w:jc w:val="left"/>
              <w:rPr>
                <w:rFonts w:ascii="Times New Roman" w:eastAsia="Times New Roman"/>
                <w:sz w:val="21"/>
              </w:rPr>
            </w:pPr>
            <w:r>
              <w:rPr>
                <w:sz w:val="21"/>
              </w:rPr>
              <w:t>土壤和沉积物 挥发性有机物的测定 顶空</w:t>
            </w:r>
            <w:r>
              <w:rPr>
                <w:rFonts w:ascii="Times New Roman" w:eastAsia="Times New Roman"/>
                <w:sz w:val="21"/>
              </w:rPr>
              <w:t>/</w:t>
            </w:r>
            <w:r>
              <w:rPr>
                <w:sz w:val="21"/>
              </w:rPr>
              <w:t xml:space="preserve">气相色谱法 </w:t>
            </w:r>
            <w:r>
              <w:rPr>
                <w:rFonts w:ascii="Times New Roman" w:eastAsia="Times New Roman"/>
                <w:sz w:val="21"/>
              </w:rPr>
              <w:t>HJ741-2015</w:t>
            </w:r>
          </w:p>
        </w:tc>
      </w:tr>
    </w:tbl>
    <w:p>
      <w:pPr>
        <w:spacing w:after="0"/>
        <w:jc w:val="left"/>
        <w:rPr>
          <w:rFonts w:ascii="Times New Roman" w:eastAsia="Times New Roman"/>
          <w:sz w:val="21"/>
        </w:rPr>
        <w:sectPr>
          <w:pgSz w:w="11910" w:h="16840"/>
          <w:pgMar w:top="1580" w:right="780" w:bottom="1240" w:left="1200" w:header="0" w:footer="1058" w:gutter="0"/>
        </w:sectPr>
      </w:pPr>
    </w:p>
    <w:tbl>
      <w:tblPr>
        <w:tblStyle w:val="10"/>
        <w:tblW w:w="0" w:type="auto"/>
        <w:tblInd w:w="2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1"/>
        <w:gridCol w:w="73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5"/>
              <w:ind w:left="435"/>
              <w:jc w:val="left"/>
              <w:rPr>
                <w:sz w:val="21"/>
              </w:rPr>
            </w:pPr>
            <w:r>
              <w:rPr>
                <w:sz w:val="21"/>
              </w:rPr>
              <w:t>对二甲苯</w:t>
            </w:r>
          </w:p>
        </w:tc>
        <w:tc>
          <w:tcPr>
            <w:tcW w:w="7329" w:type="dxa"/>
          </w:tcPr>
          <w:p>
            <w:pPr>
              <w:pStyle w:val="14"/>
              <w:spacing w:before="65"/>
              <w:ind w:left="675"/>
              <w:jc w:val="left"/>
              <w:rPr>
                <w:rFonts w:ascii="Times New Roman" w:eastAsia="Times New Roman"/>
                <w:sz w:val="21"/>
              </w:rPr>
            </w:pPr>
            <w:r>
              <w:rPr>
                <w:sz w:val="21"/>
              </w:rPr>
              <w:t>土壤和沉积物 挥发性有机物的测定 顶空</w:t>
            </w:r>
            <w:r>
              <w:rPr>
                <w:rFonts w:ascii="Times New Roman" w:eastAsia="Times New Roman"/>
                <w:sz w:val="21"/>
              </w:rPr>
              <w:t>/</w:t>
            </w:r>
            <w:r>
              <w:rPr>
                <w:sz w:val="21"/>
              </w:rPr>
              <w:t xml:space="preserve">气相色谱法 </w:t>
            </w:r>
            <w:r>
              <w:rPr>
                <w:rFonts w:ascii="Times New Roman" w:eastAsia="Times New Roman"/>
                <w:sz w:val="21"/>
              </w:rPr>
              <w:t>HJ741-2015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5"/>
              <w:ind w:left="435"/>
              <w:jc w:val="left"/>
              <w:rPr>
                <w:sz w:val="21"/>
              </w:rPr>
            </w:pPr>
            <w:r>
              <w:rPr>
                <w:sz w:val="21"/>
              </w:rPr>
              <w:t>邻二甲苯</w:t>
            </w:r>
          </w:p>
        </w:tc>
        <w:tc>
          <w:tcPr>
            <w:tcW w:w="7329" w:type="dxa"/>
          </w:tcPr>
          <w:p>
            <w:pPr>
              <w:pStyle w:val="14"/>
              <w:spacing w:before="65"/>
              <w:ind w:left="675"/>
              <w:jc w:val="left"/>
              <w:rPr>
                <w:rFonts w:ascii="Times New Roman" w:eastAsia="Times New Roman"/>
                <w:sz w:val="21"/>
              </w:rPr>
            </w:pPr>
            <w:r>
              <w:rPr>
                <w:sz w:val="21"/>
              </w:rPr>
              <w:t>土壤和沉积物 挥发性有机物的测定 顶空</w:t>
            </w:r>
            <w:r>
              <w:rPr>
                <w:rFonts w:ascii="Times New Roman" w:eastAsia="Times New Roman"/>
                <w:sz w:val="21"/>
              </w:rPr>
              <w:t>/</w:t>
            </w:r>
            <w:r>
              <w:rPr>
                <w:sz w:val="21"/>
              </w:rPr>
              <w:t xml:space="preserve">气相色谱法 </w:t>
            </w:r>
            <w:r>
              <w:rPr>
                <w:rFonts w:ascii="Times New Roman" w:eastAsia="Times New Roman"/>
                <w:sz w:val="21"/>
              </w:rPr>
              <w:t>HJ741-2015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5"/>
              <w:ind w:left="538"/>
              <w:jc w:val="left"/>
              <w:rPr>
                <w:sz w:val="21"/>
              </w:rPr>
            </w:pPr>
            <w:r>
              <w:rPr>
                <w:sz w:val="21"/>
              </w:rPr>
              <w:t>硝基苯</w:t>
            </w:r>
          </w:p>
        </w:tc>
        <w:tc>
          <w:tcPr>
            <w:tcW w:w="7329" w:type="dxa"/>
          </w:tcPr>
          <w:p>
            <w:pPr>
              <w:pStyle w:val="14"/>
              <w:spacing w:before="65"/>
              <w:ind w:right="551"/>
              <w:jc w:val="right"/>
              <w:rPr>
                <w:rFonts w:ascii="Times New Roman" w:eastAsia="Times New Roman"/>
                <w:sz w:val="21"/>
              </w:rPr>
            </w:pPr>
            <w:r>
              <w:rPr>
                <w:sz w:val="21"/>
              </w:rPr>
              <w:t>土壤和沉积物 半挥发性有机物的测定 气相色谱</w:t>
            </w:r>
            <w:r>
              <w:rPr>
                <w:rFonts w:ascii="Times New Roman" w:eastAsia="Times New Roman"/>
                <w:sz w:val="21"/>
              </w:rPr>
              <w:t>-</w:t>
            </w:r>
            <w:r>
              <w:rPr>
                <w:sz w:val="21"/>
              </w:rPr>
              <w:t xml:space="preserve">质谱法 </w:t>
            </w:r>
            <w:r>
              <w:rPr>
                <w:rFonts w:ascii="Times New Roman" w:eastAsia="Times New Roman"/>
                <w:sz w:val="21"/>
              </w:rPr>
              <w:t>HJ834-2017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5"/>
              <w:ind w:left="407" w:right="402"/>
              <w:rPr>
                <w:sz w:val="21"/>
              </w:rPr>
            </w:pPr>
            <w:r>
              <w:rPr>
                <w:sz w:val="21"/>
              </w:rPr>
              <w:t>苯胺</w:t>
            </w:r>
          </w:p>
        </w:tc>
        <w:tc>
          <w:tcPr>
            <w:tcW w:w="7329" w:type="dxa"/>
          </w:tcPr>
          <w:p>
            <w:pPr>
              <w:pStyle w:val="14"/>
              <w:spacing w:before="65"/>
              <w:ind w:right="551"/>
              <w:jc w:val="right"/>
              <w:rPr>
                <w:rFonts w:ascii="Times New Roman" w:eastAsia="Times New Roman"/>
                <w:sz w:val="21"/>
              </w:rPr>
            </w:pPr>
            <w:r>
              <w:rPr>
                <w:sz w:val="21"/>
              </w:rPr>
              <w:t>土壤和沉积物 半挥发性有机物的测定 气相色谱</w:t>
            </w:r>
            <w:r>
              <w:rPr>
                <w:rFonts w:ascii="Times New Roman" w:eastAsia="Times New Roman"/>
                <w:sz w:val="21"/>
              </w:rPr>
              <w:t>-</w:t>
            </w:r>
            <w:r>
              <w:rPr>
                <w:sz w:val="21"/>
              </w:rPr>
              <w:t xml:space="preserve">质谱法 </w:t>
            </w:r>
            <w:r>
              <w:rPr>
                <w:rFonts w:ascii="Times New Roman" w:eastAsia="Times New Roman"/>
                <w:sz w:val="21"/>
              </w:rPr>
              <w:t>HJ834-2017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711" w:type="dxa"/>
          </w:tcPr>
          <w:p>
            <w:pPr>
              <w:pStyle w:val="14"/>
              <w:spacing w:before="67"/>
              <w:ind w:left="7"/>
              <w:rPr>
                <w:sz w:val="21"/>
              </w:rPr>
            </w:pPr>
            <w:r>
              <w:rPr>
                <w:w w:val="99"/>
                <w:sz w:val="21"/>
              </w:rPr>
              <w:t>萘</w:t>
            </w:r>
          </w:p>
        </w:tc>
        <w:tc>
          <w:tcPr>
            <w:tcW w:w="7329" w:type="dxa"/>
          </w:tcPr>
          <w:p>
            <w:pPr>
              <w:pStyle w:val="14"/>
              <w:spacing w:before="67"/>
              <w:ind w:left="833" w:right="821"/>
              <w:rPr>
                <w:rFonts w:ascii="Times New Roman" w:eastAsia="Times New Roman"/>
                <w:sz w:val="21"/>
              </w:rPr>
            </w:pPr>
            <w:r>
              <w:rPr>
                <w:sz w:val="21"/>
              </w:rPr>
              <w:t>土壤和沉积物 多环芳烃的测定 气相色谱</w:t>
            </w:r>
            <w:r>
              <w:rPr>
                <w:rFonts w:ascii="Times New Roman" w:eastAsia="Times New Roman"/>
                <w:sz w:val="21"/>
              </w:rPr>
              <w:t>-</w:t>
            </w:r>
            <w:r>
              <w:rPr>
                <w:sz w:val="21"/>
              </w:rPr>
              <w:t xml:space="preserve">质谱法 </w:t>
            </w:r>
            <w:r>
              <w:rPr>
                <w:rFonts w:ascii="Times New Roman" w:eastAsia="Times New Roman"/>
                <w:sz w:val="21"/>
              </w:rPr>
              <w:t>HJ805-2016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7"/>
              <w:ind w:left="557"/>
              <w:jc w:val="left"/>
              <w:rPr>
                <w:sz w:val="21"/>
              </w:rPr>
            </w:pPr>
            <w:r>
              <w:rPr>
                <w:rFonts w:ascii="Times New Roman" w:eastAsia="Times New Roman"/>
                <w:sz w:val="21"/>
              </w:rPr>
              <w:t>2-</w:t>
            </w:r>
            <w:r>
              <w:rPr>
                <w:sz w:val="21"/>
              </w:rPr>
              <w:t>氯酚</w:t>
            </w:r>
          </w:p>
        </w:tc>
        <w:tc>
          <w:tcPr>
            <w:tcW w:w="7329" w:type="dxa"/>
          </w:tcPr>
          <w:p>
            <w:pPr>
              <w:pStyle w:val="14"/>
              <w:spacing w:before="67"/>
              <w:ind w:right="551"/>
              <w:jc w:val="right"/>
              <w:rPr>
                <w:rFonts w:ascii="Times New Roman" w:eastAsia="Times New Roman"/>
                <w:sz w:val="21"/>
              </w:rPr>
            </w:pPr>
            <w:r>
              <w:rPr>
                <w:sz w:val="21"/>
              </w:rPr>
              <w:t>土壤和沉积物 半挥发性有机物的测定 气相色谱</w:t>
            </w:r>
            <w:r>
              <w:rPr>
                <w:rFonts w:ascii="Times New Roman" w:eastAsia="Times New Roman"/>
                <w:sz w:val="21"/>
              </w:rPr>
              <w:t>-</w:t>
            </w:r>
            <w:r>
              <w:rPr>
                <w:sz w:val="21"/>
              </w:rPr>
              <w:t xml:space="preserve">质谱法 </w:t>
            </w:r>
            <w:r>
              <w:rPr>
                <w:rFonts w:ascii="Times New Roman" w:eastAsia="Times New Roman"/>
                <w:sz w:val="21"/>
              </w:rPr>
              <w:t>HJ834-2017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6"/>
              <w:ind w:left="423"/>
              <w:jc w:val="left"/>
              <w:rPr>
                <w:sz w:val="21"/>
              </w:rPr>
            </w:pPr>
            <w:r>
              <w:rPr>
                <w:sz w:val="21"/>
              </w:rPr>
              <w:t>苯并</w:t>
            </w:r>
            <w:r>
              <w:rPr>
                <w:rFonts w:ascii="Times New Roman" w:eastAsia="Times New Roman"/>
                <w:sz w:val="21"/>
              </w:rPr>
              <w:t>[a]</w:t>
            </w:r>
            <w:r>
              <w:rPr>
                <w:sz w:val="21"/>
              </w:rPr>
              <w:t>蒽</w:t>
            </w:r>
          </w:p>
        </w:tc>
        <w:tc>
          <w:tcPr>
            <w:tcW w:w="7329" w:type="dxa"/>
          </w:tcPr>
          <w:p>
            <w:pPr>
              <w:pStyle w:val="14"/>
              <w:spacing w:before="66"/>
              <w:ind w:left="833" w:right="821"/>
              <w:rPr>
                <w:rFonts w:ascii="Times New Roman" w:eastAsia="Times New Roman"/>
                <w:sz w:val="21"/>
              </w:rPr>
            </w:pPr>
            <w:r>
              <w:rPr>
                <w:sz w:val="21"/>
              </w:rPr>
              <w:t>土壤和沉积物 多环芳烃的测定 气相色谱</w:t>
            </w:r>
            <w:r>
              <w:rPr>
                <w:rFonts w:ascii="Times New Roman" w:eastAsia="Times New Roman"/>
                <w:sz w:val="21"/>
              </w:rPr>
              <w:t>-</w:t>
            </w:r>
            <w:r>
              <w:rPr>
                <w:sz w:val="21"/>
              </w:rPr>
              <w:t xml:space="preserve">质谱法 </w:t>
            </w:r>
            <w:r>
              <w:rPr>
                <w:rFonts w:ascii="Times New Roman" w:eastAsia="Times New Roman"/>
                <w:sz w:val="21"/>
              </w:rPr>
              <w:t>HJ805-2016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6"/>
              <w:ind w:left="423"/>
              <w:jc w:val="left"/>
              <w:rPr>
                <w:sz w:val="21"/>
              </w:rPr>
            </w:pPr>
            <w:bookmarkStart w:id="884" w:name="苯并[a]芘"/>
            <w:bookmarkEnd w:id="884"/>
            <w:r>
              <w:rPr>
                <w:sz w:val="21"/>
              </w:rPr>
              <w:t>苯并</w:t>
            </w:r>
            <w:r>
              <w:rPr>
                <w:rFonts w:ascii="Times New Roman" w:eastAsia="Times New Roman"/>
                <w:sz w:val="21"/>
              </w:rPr>
              <w:t>[a]</w:t>
            </w:r>
            <w:r>
              <w:rPr>
                <w:sz w:val="21"/>
              </w:rPr>
              <w:t>芘</w:t>
            </w:r>
          </w:p>
        </w:tc>
        <w:tc>
          <w:tcPr>
            <w:tcW w:w="7329" w:type="dxa"/>
          </w:tcPr>
          <w:p>
            <w:pPr>
              <w:pStyle w:val="14"/>
              <w:spacing w:before="66"/>
              <w:ind w:left="833" w:right="821"/>
              <w:rPr>
                <w:rFonts w:ascii="Times New Roman" w:eastAsia="Times New Roman"/>
                <w:sz w:val="21"/>
              </w:rPr>
            </w:pPr>
            <w:r>
              <w:rPr>
                <w:sz w:val="21"/>
              </w:rPr>
              <w:t>土壤和沉积物 多环芳烃的测定 气相色谱</w:t>
            </w:r>
            <w:r>
              <w:rPr>
                <w:rFonts w:ascii="Times New Roman" w:eastAsia="Times New Roman"/>
                <w:sz w:val="21"/>
              </w:rPr>
              <w:t>-</w:t>
            </w:r>
            <w:r>
              <w:rPr>
                <w:sz w:val="21"/>
              </w:rPr>
              <w:t xml:space="preserve">质谱法 </w:t>
            </w:r>
            <w:r>
              <w:rPr>
                <w:rFonts w:ascii="Times New Roman" w:eastAsia="Times New Roman"/>
                <w:sz w:val="21"/>
              </w:rPr>
              <w:t>HJ805-2016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6"/>
              <w:ind w:left="313"/>
              <w:jc w:val="left"/>
              <w:rPr>
                <w:sz w:val="21"/>
              </w:rPr>
            </w:pPr>
            <w:bookmarkStart w:id="885" w:name="苯并[b]荧蒽"/>
            <w:bookmarkEnd w:id="885"/>
            <w:r>
              <w:rPr>
                <w:sz w:val="21"/>
              </w:rPr>
              <w:t>苯并</w:t>
            </w:r>
            <w:r>
              <w:rPr>
                <w:rFonts w:ascii="Times New Roman" w:eastAsia="Times New Roman"/>
                <w:sz w:val="21"/>
              </w:rPr>
              <w:t>[b]</w:t>
            </w:r>
            <w:r>
              <w:rPr>
                <w:sz w:val="21"/>
              </w:rPr>
              <w:t>荧蒽</w:t>
            </w:r>
          </w:p>
        </w:tc>
        <w:tc>
          <w:tcPr>
            <w:tcW w:w="7329" w:type="dxa"/>
          </w:tcPr>
          <w:p>
            <w:pPr>
              <w:pStyle w:val="14"/>
              <w:spacing w:before="66"/>
              <w:ind w:left="833" w:right="821"/>
              <w:rPr>
                <w:rFonts w:ascii="Times New Roman" w:eastAsia="Times New Roman"/>
                <w:sz w:val="21"/>
              </w:rPr>
            </w:pPr>
            <w:r>
              <w:rPr>
                <w:sz w:val="21"/>
              </w:rPr>
              <w:t>土壤和沉积物 多环芳烃的测定 气相色谱</w:t>
            </w:r>
            <w:r>
              <w:rPr>
                <w:rFonts w:ascii="Times New Roman" w:eastAsia="Times New Roman"/>
                <w:sz w:val="21"/>
              </w:rPr>
              <w:t>-</w:t>
            </w:r>
            <w:r>
              <w:rPr>
                <w:sz w:val="21"/>
              </w:rPr>
              <w:t xml:space="preserve">质谱法 </w:t>
            </w:r>
            <w:r>
              <w:rPr>
                <w:rFonts w:ascii="Times New Roman" w:eastAsia="Times New Roman"/>
                <w:sz w:val="21"/>
              </w:rPr>
              <w:t>HJ805-2016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711" w:type="dxa"/>
          </w:tcPr>
          <w:p>
            <w:pPr>
              <w:pStyle w:val="14"/>
              <w:spacing w:before="66"/>
              <w:ind w:left="313"/>
              <w:jc w:val="left"/>
              <w:rPr>
                <w:sz w:val="21"/>
              </w:rPr>
            </w:pPr>
            <w:bookmarkStart w:id="886" w:name="苯并[k]荧蒽"/>
            <w:bookmarkEnd w:id="886"/>
            <w:r>
              <w:rPr>
                <w:sz w:val="21"/>
              </w:rPr>
              <w:t>苯并</w:t>
            </w:r>
            <w:r>
              <w:rPr>
                <w:rFonts w:ascii="Times New Roman" w:eastAsia="Times New Roman"/>
                <w:sz w:val="21"/>
              </w:rPr>
              <w:t>[k]</w:t>
            </w:r>
            <w:r>
              <w:rPr>
                <w:sz w:val="21"/>
              </w:rPr>
              <w:t>荧蒽</w:t>
            </w:r>
          </w:p>
        </w:tc>
        <w:tc>
          <w:tcPr>
            <w:tcW w:w="7329" w:type="dxa"/>
          </w:tcPr>
          <w:p>
            <w:pPr>
              <w:pStyle w:val="14"/>
              <w:spacing w:before="66"/>
              <w:ind w:left="833" w:right="821"/>
              <w:rPr>
                <w:rFonts w:ascii="Times New Roman" w:eastAsia="Times New Roman"/>
                <w:sz w:val="21"/>
              </w:rPr>
            </w:pPr>
            <w:r>
              <w:rPr>
                <w:sz w:val="21"/>
              </w:rPr>
              <w:t>土壤和沉积物 多环芳烃的测定 气相色谱</w:t>
            </w:r>
            <w:r>
              <w:rPr>
                <w:rFonts w:ascii="Times New Roman" w:eastAsia="Times New Roman"/>
                <w:sz w:val="21"/>
              </w:rPr>
              <w:t>-</w:t>
            </w:r>
            <w:r>
              <w:rPr>
                <w:sz w:val="21"/>
              </w:rPr>
              <w:t xml:space="preserve">质谱法 </w:t>
            </w:r>
            <w:r>
              <w:rPr>
                <w:rFonts w:ascii="Times New Roman" w:eastAsia="Times New Roman"/>
                <w:sz w:val="21"/>
              </w:rPr>
              <w:t>HJ805-2016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6"/>
              <w:ind w:left="7"/>
              <w:rPr>
                <w:sz w:val="21"/>
              </w:rPr>
            </w:pPr>
            <w:r>
              <w:rPr>
                <w:w w:val="99"/>
                <w:sz w:val="21"/>
              </w:rPr>
              <w:t>䓛</w:t>
            </w:r>
          </w:p>
        </w:tc>
        <w:tc>
          <w:tcPr>
            <w:tcW w:w="7329" w:type="dxa"/>
          </w:tcPr>
          <w:p>
            <w:pPr>
              <w:pStyle w:val="14"/>
              <w:spacing w:before="66"/>
              <w:ind w:left="833" w:right="821"/>
              <w:rPr>
                <w:rFonts w:ascii="Times New Roman" w:eastAsia="Times New Roman"/>
                <w:sz w:val="21"/>
              </w:rPr>
            </w:pPr>
            <w:r>
              <w:rPr>
                <w:sz w:val="21"/>
              </w:rPr>
              <w:t>土壤和沉积物 多环芳烃的测定 气相色谱</w:t>
            </w:r>
            <w:r>
              <w:rPr>
                <w:rFonts w:ascii="Times New Roman" w:eastAsia="Times New Roman"/>
                <w:sz w:val="21"/>
              </w:rPr>
              <w:t>-</w:t>
            </w:r>
            <w:r>
              <w:rPr>
                <w:sz w:val="21"/>
              </w:rPr>
              <w:t xml:space="preserve">质谱法 </w:t>
            </w:r>
            <w:r>
              <w:rPr>
                <w:rFonts w:ascii="Times New Roman" w:eastAsia="Times New Roman"/>
                <w:sz w:val="21"/>
              </w:rPr>
              <w:t>HJ805-2016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6"/>
              <w:ind w:right="113"/>
              <w:jc w:val="right"/>
              <w:rPr>
                <w:sz w:val="21"/>
              </w:rPr>
            </w:pPr>
            <w:r>
              <w:rPr>
                <w:w w:val="95"/>
                <w:sz w:val="21"/>
              </w:rPr>
              <w:t>茚并</w:t>
            </w:r>
            <w:r>
              <w:rPr>
                <w:rFonts w:ascii="Times New Roman" w:eastAsia="Times New Roman"/>
                <w:w w:val="95"/>
                <w:sz w:val="21"/>
              </w:rPr>
              <w:t>[1,2,3-cd]</w:t>
            </w:r>
            <w:r>
              <w:rPr>
                <w:w w:val="95"/>
                <w:sz w:val="21"/>
              </w:rPr>
              <w:t>芘</w:t>
            </w:r>
          </w:p>
        </w:tc>
        <w:tc>
          <w:tcPr>
            <w:tcW w:w="7329" w:type="dxa"/>
          </w:tcPr>
          <w:p>
            <w:pPr>
              <w:pStyle w:val="14"/>
              <w:spacing w:before="66"/>
              <w:ind w:left="833" w:right="821"/>
              <w:rPr>
                <w:rFonts w:ascii="Times New Roman" w:eastAsia="Times New Roman"/>
                <w:sz w:val="21"/>
              </w:rPr>
            </w:pPr>
            <w:r>
              <w:rPr>
                <w:sz w:val="21"/>
              </w:rPr>
              <w:t>土壤和沉积物 多环芳烃的测定 气相色谱</w:t>
            </w:r>
            <w:r>
              <w:rPr>
                <w:rFonts w:ascii="Times New Roman" w:eastAsia="Times New Roman"/>
                <w:sz w:val="21"/>
              </w:rPr>
              <w:t>-</w:t>
            </w:r>
            <w:r>
              <w:rPr>
                <w:sz w:val="21"/>
              </w:rPr>
              <w:t xml:space="preserve">质谱法 </w:t>
            </w:r>
            <w:r>
              <w:rPr>
                <w:rFonts w:ascii="Times New Roman" w:eastAsia="Times New Roman"/>
                <w:sz w:val="21"/>
              </w:rPr>
              <w:t>HJ805-2016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711" w:type="dxa"/>
          </w:tcPr>
          <w:p>
            <w:pPr>
              <w:pStyle w:val="14"/>
              <w:spacing w:before="65"/>
              <w:ind w:right="149"/>
              <w:jc w:val="right"/>
              <w:rPr>
                <w:sz w:val="21"/>
              </w:rPr>
            </w:pPr>
            <w:r>
              <w:rPr>
                <w:w w:val="95"/>
                <w:sz w:val="21"/>
              </w:rPr>
              <w:t>二苯并</w:t>
            </w:r>
            <w:r>
              <w:rPr>
                <w:rFonts w:ascii="Times New Roman" w:eastAsia="Times New Roman"/>
                <w:w w:val="95"/>
                <w:sz w:val="21"/>
              </w:rPr>
              <w:t>[a</w:t>
            </w:r>
            <w:r>
              <w:rPr>
                <w:w w:val="95"/>
                <w:sz w:val="21"/>
              </w:rPr>
              <w:t>，</w:t>
            </w:r>
            <w:r>
              <w:rPr>
                <w:rFonts w:ascii="Times New Roman" w:eastAsia="Times New Roman"/>
                <w:w w:val="95"/>
                <w:sz w:val="21"/>
              </w:rPr>
              <w:t>h]</w:t>
            </w:r>
            <w:r>
              <w:rPr>
                <w:w w:val="95"/>
                <w:sz w:val="21"/>
              </w:rPr>
              <w:t>蒽</w:t>
            </w:r>
          </w:p>
        </w:tc>
        <w:tc>
          <w:tcPr>
            <w:tcW w:w="7329" w:type="dxa"/>
          </w:tcPr>
          <w:p>
            <w:pPr>
              <w:pStyle w:val="14"/>
              <w:spacing w:before="65"/>
              <w:ind w:left="833" w:right="821"/>
              <w:rPr>
                <w:rFonts w:ascii="Times New Roman" w:eastAsia="Times New Roman"/>
                <w:sz w:val="21"/>
              </w:rPr>
            </w:pPr>
            <w:r>
              <w:rPr>
                <w:sz w:val="21"/>
              </w:rPr>
              <w:t>土壤和沉积物 多环芳烃的测定 气相色谱</w:t>
            </w:r>
            <w:r>
              <w:rPr>
                <w:rFonts w:ascii="Times New Roman" w:eastAsia="Times New Roman"/>
                <w:sz w:val="21"/>
              </w:rPr>
              <w:t>-</w:t>
            </w:r>
            <w:r>
              <w:rPr>
                <w:sz w:val="21"/>
              </w:rPr>
              <w:t xml:space="preserve">质谱法 </w:t>
            </w:r>
            <w:r>
              <w:rPr>
                <w:rFonts w:ascii="Times New Roman" w:eastAsia="Times New Roman"/>
                <w:sz w:val="21"/>
              </w:rPr>
              <w:t>HJ805-2016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5"/>
              <w:ind w:right="100"/>
              <w:jc w:val="right"/>
              <w:rPr>
                <w:rFonts w:ascii="Times New Roman" w:eastAsia="Times New Roman"/>
                <w:sz w:val="21"/>
              </w:rPr>
            </w:pPr>
            <w:r>
              <w:rPr>
                <w:w w:val="95"/>
                <w:sz w:val="21"/>
              </w:rPr>
              <w:t>石油烃（</w:t>
            </w:r>
            <w:r>
              <w:rPr>
                <w:rFonts w:ascii="Times New Roman" w:eastAsia="Times New Roman"/>
                <w:w w:val="95"/>
                <w:sz w:val="21"/>
              </w:rPr>
              <w:t>C10~C40</w:t>
            </w:r>
          </w:p>
        </w:tc>
        <w:tc>
          <w:tcPr>
            <w:tcW w:w="7329" w:type="dxa"/>
          </w:tcPr>
          <w:p>
            <w:pPr>
              <w:pStyle w:val="14"/>
              <w:tabs>
                <w:tab w:val="left" w:pos="656"/>
              </w:tabs>
              <w:spacing w:before="62"/>
              <w:ind w:left="-112"/>
              <w:jc w:val="left"/>
              <w:rPr>
                <w:rFonts w:ascii="Times New Roman" w:eastAsia="Times New Roman"/>
                <w:sz w:val="21"/>
              </w:rPr>
            </w:pPr>
            <w:r>
              <w:rPr>
                <w:position w:val="2"/>
                <w:sz w:val="21"/>
              </w:rPr>
              <w:t>）</w:t>
            </w:r>
            <w:r>
              <w:rPr>
                <w:position w:val="2"/>
                <w:sz w:val="21"/>
              </w:rPr>
              <w:tab/>
            </w:r>
            <w:r>
              <w:rPr>
                <w:position w:val="2"/>
                <w:sz w:val="21"/>
              </w:rPr>
              <w:t>土壤和沉积物 石油烃（</w:t>
            </w:r>
            <w:r>
              <w:rPr>
                <w:rFonts w:ascii="Times New Roman" w:eastAsia="Times New Roman"/>
                <w:position w:val="2"/>
                <w:sz w:val="21"/>
              </w:rPr>
              <w:t>C</w:t>
            </w:r>
            <w:r>
              <w:rPr>
                <w:rFonts w:ascii="Times New Roman" w:eastAsia="Times New Roman"/>
                <w:position w:val="2"/>
                <w:sz w:val="21"/>
                <w:vertAlign w:val="subscript"/>
              </w:rPr>
              <w:t>10</w:t>
            </w:r>
            <w:r>
              <w:rPr>
                <w:rFonts w:ascii="Times New Roman" w:eastAsia="Times New Roman"/>
                <w:position w:val="2"/>
                <w:sz w:val="21"/>
                <w:vertAlign w:val="baseline"/>
              </w:rPr>
              <w:t>-C</w:t>
            </w:r>
            <w:r>
              <w:rPr>
                <w:rFonts w:ascii="Times New Roman" w:eastAsia="Times New Roman"/>
                <w:position w:val="2"/>
                <w:sz w:val="21"/>
                <w:vertAlign w:val="subscript"/>
              </w:rPr>
              <w:t>40</w:t>
            </w:r>
            <w:r>
              <w:rPr>
                <w:position w:val="2"/>
                <w:sz w:val="21"/>
                <w:vertAlign w:val="baseline"/>
              </w:rPr>
              <w:t>）</w:t>
            </w:r>
            <w:r>
              <w:rPr>
                <w:spacing w:val="-6"/>
                <w:position w:val="2"/>
                <w:sz w:val="21"/>
                <w:vertAlign w:val="baseline"/>
              </w:rPr>
              <w:t xml:space="preserve">的测定 气相色谱法 </w:t>
            </w:r>
            <w:r>
              <w:rPr>
                <w:rFonts w:ascii="Times New Roman" w:eastAsia="Times New Roman"/>
                <w:position w:val="2"/>
                <w:sz w:val="21"/>
                <w:vertAlign w:val="baseline"/>
              </w:rPr>
              <w:t>HJ1021-2019</w:t>
            </w:r>
          </w:p>
        </w:tc>
      </w:tr>
    </w:tbl>
    <w:p>
      <w:pPr>
        <w:pStyle w:val="13"/>
        <w:numPr>
          <w:ilvl w:val="2"/>
          <w:numId w:val="73"/>
        </w:numPr>
        <w:tabs>
          <w:tab w:val="left" w:pos="972"/>
        </w:tabs>
        <w:spacing w:before="6" w:after="0" w:line="240" w:lineRule="auto"/>
        <w:ind w:left="972" w:right="0" w:hanging="757"/>
        <w:jc w:val="left"/>
        <w:rPr>
          <w:b/>
          <w:sz w:val="28"/>
        </w:rPr>
      </w:pPr>
      <w:bookmarkStart w:id="887" w:name="11.3.2井田开采区土壤环境质量现状评价"/>
      <w:bookmarkEnd w:id="887"/>
      <w:bookmarkStart w:id="888" w:name="11.3.2井田开采区土壤环境质量现状评价"/>
      <w:bookmarkEnd w:id="888"/>
      <w:r>
        <w:rPr>
          <w:b/>
          <w:sz w:val="28"/>
        </w:rPr>
        <w:t>井田开采区土壤环境质量现状评价</w:t>
      </w:r>
    </w:p>
    <w:p>
      <w:pPr>
        <w:pStyle w:val="13"/>
        <w:numPr>
          <w:ilvl w:val="3"/>
          <w:numId w:val="73"/>
        </w:numPr>
        <w:tabs>
          <w:tab w:val="left" w:pos="1044"/>
        </w:tabs>
        <w:spacing w:before="186" w:after="0" w:line="240" w:lineRule="auto"/>
        <w:ind w:left="1044" w:right="0" w:hanging="829"/>
        <w:jc w:val="left"/>
        <w:rPr>
          <w:b/>
          <w:sz w:val="24"/>
        </w:rPr>
      </w:pPr>
      <w:r>
        <w:rPr>
          <w:b/>
          <w:sz w:val="24"/>
        </w:rPr>
        <w:t>评价标准</w:t>
      </w:r>
    </w:p>
    <w:p>
      <w:pPr>
        <w:pStyle w:val="6"/>
        <w:spacing w:before="158"/>
        <w:ind w:left="696"/>
      </w:pPr>
      <w:r>
        <w:t>占地范围内土壤执行《土壤环境质量 建设用地土壤污染风险管控标准》</w:t>
      </w:r>
    </w:p>
    <w:p>
      <w:pPr>
        <w:pStyle w:val="6"/>
        <w:spacing w:before="160" w:line="364" w:lineRule="auto"/>
        <w:ind w:left="215" w:right="578"/>
      </w:pPr>
      <w:r>
        <w:t>（</w:t>
      </w:r>
      <w:r>
        <w:rPr>
          <w:rFonts w:ascii="Times New Roman" w:eastAsia="Times New Roman"/>
        </w:rPr>
        <w:t>GB36600-2018</w:t>
      </w:r>
      <w:r>
        <w:t>）中的第二类用地标准，占地范围外土壤《土壤环境质量 农用地土壤污染风险管控标准（试行）》（</w:t>
      </w:r>
      <w:r>
        <w:rPr>
          <w:rFonts w:ascii="Times New Roman" w:eastAsia="Times New Roman"/>
        </w:rPr>
        <w:t>GB/15618-2018</w:t>
      </w:r>
      <w:r>
        <w:t>）中的风险筛选值标准。</w:t>
      </w:r>
    </w:p>
    <w:p>
      <w:pPr>
        <w:pStyle w:val="5"/>
        <w:numPr>
          <w:ilvl w:val="3"/>
          <w:numId w:val="73"/>
        </w:numPr>
        <w:tabs>
          <w:tab w:val="left" w:pos="1044"/>
        </w:tabs>
        <w:spacing w:before="0" w:after="0" w:line="306" w:lineRule="exact"/>
        <w:ind w:left="1044" w:right="0" w:hanging="829"/>
        <w:jc w:val="left"/>
      </w:pPr>
      <w:r>
        <w:t>评价方法</w:t>
      </w:r>
    </w:p>
    <w:p>
      <w:pPr>
        <w:pStyle w:val="6"/>
        <w:spacing w:before="161" w:line="362" w:lineRule="auto"/>
        <w:ind w:left="215" w:right="578" w:firstLine="480"/>
      </w:pPr>
      <w:r>
        <w:t xml:space="preserve">本次土壤环境质量评价采用单因子标准指数法。单项土壤监测因子 </w:t>
      </w:r>
      <w:r>
        <w:rPr>
          <w:rFonts w:ascii="Times New Roman" w:eastAsia="Times New Roman"/>
        </w:rPr>
        <w:t xml:space="preserve">i </w:t>
      </w:r>
      <w:r>
        <w:t xml:space="preserve">在第 </w:t>
      </w:r>
      <w:r>
        <w:rPr>
          <w:rFonts w:ascii="Times New Roman" w:eastAsia="Times New Roman"/>
        </w:rPr>
        <w:t xml:space="preserve">j </w:t>
      </w:r>
      <w:r>
        <w:t>点的污染指数。</w:t>
      </w:r>
    </w:p>
    <w:p>
      <w:pPr>
        <w:pStyle w:val="6"/>
        <w:spacing w:before="1"/>
        <w:ind w:left="696"/>
        <w:rPr>
          <w:rFonts w:ascii="Times New Roman"/>
        </w:rPr>
      </w:pPr>
      <w:r>
        <w:rPr>
          <w:rFonts w:ascii="Times New Roman"/>
          <w:position w:val="2"/>
        </w:rPr>
        <w:t>Si=C</w:t>
      </w:r>
      <w:r>
        <w:rPr>
          <w:rFonts w:ascii="Times New Roman"/>
          <w:position w:val="2"/>
          <w:vertAlign w:val="subscript"/>
        </w:rPr>
        <w:t>i</w:t>
      </w:r>
      <w:r>
        <w:rPr>
          <w:rFonts w:ascii="Times New Roman"/>
          <w:position w:val="2"/>
          <w:vertAlign w:val="baseline"/>
        </w:rPr>
        <w:t>/C</w:t>
      </w:r>
      <w:r>
        <w:rPr>
          <w:rFonts w:ascii="Times New Roman"/>
          <w:position w:val="2"/>
          <w:vertAlign w:val="subscript"/>
        </w:rPr>
        <w:t>0</w:t>
      </w:r>
    </w:p>
    <w:p>
      <w:pPr>
        <w:pStyle w:val="6"/>
        <w:spacing w:before="117" w:line="360" w:lineRule="auto"/>
        <w:ind w:left="696" w:right="4622"/>
      </w:pPr>
      <w:r>
        <w:rPr>
          <w:position w:val="2"/>
        </w:rPr>
        <w:t>式中：</w:t>
      </w:r>
      <w:r>
        <w:rPr>
          <w:rFonts w:ascii="Times New Roman" w:hAnsi="Times New Roman" w:eastAsia="Times New Roman"/>
          <w:position w:val="2"/>
        </w:rPr>
        <w:t>S</w:t>
      </w:r>
      <w:r>
        <w:rPr>
          <w:rFonts w:ascii="Times New Roman" w:hAnsi="Times New Roman" w:eastAsia="Times New Roman"/>
          <w:position w:val="2"/>
          <w:vertAlign w:val="subscript"/>
        </w:rPr>
        <w:t>i</w:t>
      </w:r>
      <w:r>
        <w:rPr>
          <w:rFonts w:ascii="Times New Roman" w:hAnsi="Times New Roman" w:eastAsia="Times New Roman"/>
          <w:position w:val="2"/>
          <w:vertAlign w:val="baseline"/>
        </w:rPr>
        <w:t>—</w:t>
      </w:r>
      <w:r>
        <w:rPr>
          <w:spacing w:val="-15"/>
          <w:position w:val="2"/>
          <w:vertAlign w:val="baseline"/>
        </w:rPr>
        <w:t xml:space="preserve">土壤中 </w:t>
      </w:r>
      <w:r>
        <w:rPr>
          <w:rFonts w:ascii="Times New Roman" w:hAnsi="Times New Roman" w:eastAsia="Times New Roman"/>
          <w:position w:val="2"/>
          <w:vertAlign w:val="baseline"/>
        </w:rPr>
        <w:t xml:space="preserve">i </w:t>
      </w:r>
      <w:r>
        <w:rPr>
          <w:position w:val="2"/>
          <w:vertAlign w:val="baseline"/>
        </w:rPr>
        <w:t xml:space="preserve">污染物的污染指数； </w:t>
      </w:r>
      <w:r>
        <w:rPr>
          <w:rFonts w:ascii="Times New Roman" w:hAnsi="Times New Roman" w:eastAsia="Times New Roman"/>
          <w:position w:val="2"/>
          <w:vertAlign w:val="baseline"/>
        </w:rPr>
        <w:t>C</w:t>
      </w:r>
      <w:r>
        <w:rPr>
          <w:rFonts w:ascii="Times New Roman" w:hAnsi="Times New Roman" w:eastAsia="Times New Roman"/>
          <w:position w:val="2"/>
          <w:vertAlign w:val="subscript"/>
        </w:rPr>
        <w:t>i</w:t>
      </w:r>
      <w:r>
        <w:rPr>
          <w:rFonts w:ascii="Times New Roman" w:hAnsi="Times New Roman" w:eastAsia="Times New Roman"/>
          <w:position w:val="2"/>
          <w:vertAlign w:val="baseline"/>
        </w:rPr>
        <w:t>—</w:t>
      </w:r>
      <w:r>
        <w:rPr>
          <w:spacing w:val="-31"/>
          <w:position w:val="2"/>
          <w:vertAlign w:val="baseline"/>
        </w:rPr>
        <w:t xml:space="preserve">第 </w:t>
      </w:r>
      <w:r>
        <w:rPr>
          <w:rFonts w:ascii="Times New Roman" w:hAnsi="Times New Roman" w:eastAsia="Times New Roman"/>
          <w:position w:val="2"/>
          <w:vertAlign w:val="baseline"/>
        </w:rPr>
        <w:t>i</w:t>
      </w:r>
      <w:r>
        <w:rPr>
          <w:rFonts w:ascii="Times New Roman" w:hAnsi="Times New Roman" w:eastAsia="Times New Roman"/>
          <w:spacing w:val="58"/>
          <w:position w:val="2"/>
          <w:vertAlign w:val="baseline"/>
        </w:rPr>
        <w:t xml:space="preserve"> </w:t>
      </w:r>
      <w:r>
        <w:rPr>
          <w:position w:val="2"/>
          <w:vertAlign w:val="baseline"/>
        </w:rPr>
        <w:t>种污染物的实测浓度，（</w:t>
      </w:r>
      <w:r>
        <w:rPr>
          <w:rFonts w:ascii="Times New Roman" w:hAnsi="Times New Roman" w:eastAsia="Times New Roman"/>
          <w:position w:val="2"/>
          <w:vertAlign w:val="baseline"/>
        </w:rPr>
        <w:t>mg/L</w:t>
      </w:r>
      <w:r>
        <w:rPr>
          <w:position w:val="2"/>
          <w:vertAlign w:val="baseline"/>
        </w:rPr>
        <w:t xml:space="preserve">）； </w:t>
      </w:r>
      <w:r>
        <w:rPr>
          <w:rFonts w:ascii="Times New Roman" w:hAnsi="Times New Roman" w:eastAsia="Times New Roman"/>
          <w:position w:val="2"/>
          <w:vertAlign w:val="baseline"/>
        </w:rPr>
        <w:t>C</w:t>
      </w:r>
      <w:r>
        <w:rPr>
          <w:rFonts w:ascii="Times New Roman" w:hAnsi="Times New Roman" w:eastAsia="Times New Roman"/>
          <w:position w:val="2"/>
          <w:vertAlign w:val="subscript"/>
        </w:rPr>
        <w:t>0</w:t>
      </w:r>
      <w:r>
        <w:rPr>
          <w:rFonts w:ascii="Times New Roman" w:hAnsi="Times New Roman" w:eastAsia="Times New Roman"/>
          <w:spacing w:val="-1"/>
          <w:position w:val="2"/>
          <w:vertAlign w:val="baseline"/>
        </w:rPr>
        <w:t xml:space="preserve"> —</w:t>
      </w:r>
      <w:r>
        <w:rPr>
          <w:spacing w:val="-30"/>
          <w:position w:val="2"/>
          <w:vertAlign w:val="baseline"/>
        </w:rPr>
        <w:t xml:space="preserve">第 </w:t>
      </w:r>
      <w:r>
        <w:rPr>
          <w:rFonts w:ascii="Times New Roman" w:hAnsi="Times New Roman" w:eastAsia="Times New Roman"/>
          <w:position w:val="2"/>
          <w:vertAlign w:val="baseline"/>
        </w:rPr>
        <w:t xml:space="preserve">i </w:t>
      </w:r>
      <w:r>
        <w:rPr>
          <w:position w:val="2"/>
          <w:vertAlign w:val="baseline"/>
        </w:rPr>
        <w:t>种污染物的评价标准，（</w:t>
      </w:r>
      <w:r>
        <w:rPr>
          <w:rFonts w:ascii="Times New Roman" w:hAnsi="Times New Roman" w:eastAsia="Times New Roman"/>
          <w:position w:val="2"/>
          <w:vertAlign w:val="baseline"/>
        </w:rPr>
        <w:t>mg/L</w:t>
      </w:r>
      <w:r>
        <w:rPr>
          <w:position w:val="2"/>
          <w:vertAlign w:val="baseline"/>
        </w:rPr>
        <w:t>）</w:t>
      </w:r>
      <w:r>
        <w:rPr>
          <w:spacing w:val="-17"/>
          <w:position w:val="2"/>
          <w:vertAlign w:val="baseline"/>
        </w:rPr>
        <w:t>。</w:t>
      </w:r>
    </w:p>
    <w:p>
      <w:pPr>
        <w:pStyle w:val="6"/>
        <w:spacing w:before="8" w:line="362" w:lineRule="auto"/>
        <w:ind w:left="215" w:right="578" w:firstLine="480"/>
      </w:pPr>
      <w:r>
        <w:t xml:space="preserve">土壤污染因子的标准指数大于 </w:t>
      </w:r>
      <w:r>
        <w:rPr>
          <w:rFonts w:ascii="Times New Roman" w:eastAsia="Times New Roman"/>
        </w:rPr>
        <w:t>1</w:t>
      </w:r>
      <w:r>
        <w:t>，表明该污染物超过了规定的标准限值，标准指数越大，说明超标越严重。</w:t>
      </w:r>
    </w:p>
    <w:p>
      <w:pPr>
        <w:pStyle w:val="5"/>
        <w:numPr>
          <w:ilvl w:val="3"/>
          <w:numId w:val="73"/>
        </w:numPr>
        <w:tabs>
          <w:tab w:val="left" w:pos="1044"/>
        </w:tabs>
        <w:spacing w:before="5" w:after="0" w:line="240" w:lineRule="auto"/>
        <w:ind w:left="1044" w:right="0" w:hanging="829"/>
        <w:jc w:val="left"/>
      </w:pPr>
      <w:r>
        <w:t>监测结果与评价</w:t>
      </w:r>
    </w:p>
    <w:p>
      <w:pPr>
        <w:pStyle w:val="6"/>
        <w:spacing w:before="161"/>
        <w:ind w:left="696"/>
      </w:pPr>
      <w:r>
        <w:t xml:space="preserve">土壤环境质量监测结果和土壤环境质量评价结果见表 </w:t>
      </w:r>
      <w:r>
        <w:rPr>
          <w:rFonts w:ascii="Times New Roman" w:eastAsia="Times New Roman"/>
        </w:rPr>
        <w:t>11.3-2~11.3-5</w:t>
      </w:r>
      <w:r>
        <w:t>。</w:t>
      </w:r>
    </w:p>
    <w:p>
      <w:pPr>
        <w:pStyle w:val="5"/>
        <w:tabs>
          <w:tab w:val="left" w:pos="1147"/>
        </w:tabs>
        <w:spacing w:before="158"/>
        <w:ind w:right="352"/>
        <w:jc w:val="center"/>
      </w:pPr>
      <w:r>
        <w:t>表</w:t>
      </w:r>
      <w:r>
        <w:rPr>
          <w:spacing w:val="-61"/>
        </w:rPr>
        <w:t xml:space="preserve"> </w:t>
      </w:r>
      <w:r>
        <w:rPr>
          <w:rFonts w:ascii="Times New Roman" w:eastAsia="Times New Roman"/>
          <w:spacing w:val="-3"/>
        </w:rPr>
        <w:t>11.3-2</w:t>
      </w:r>
      <w:r>
        <w:rPr>
          <w:rFonts w:ascii="Times New Roman" w:eastAsia="Times New Roman"/>
          <w:spacing w:val="-3"/>
        </w:rPr>
        <w:tab/>
      </w:r>
      <w:r>
        <w:t>土壤环境质量监测结果</w:t>
      </w:r>
    </w:p>
    <w:p>
      <w:pPr>
        <w:spacing w:after="0"/>
        <w:jc w:val="center"/>
        <w:sectPr>
          <w:pgSz w:w="11910" w:h="16840"/>
          <w:pgMar w:top="1580" w:right="780" w:bottom="1240" w:left="1200" w:header="0" w:footer="1058" w:gutter="0"/>
        </w:sectPr>
      </w:pPr>
    </w:p>
    <w:tbl>
      <w:tblPr>
        <w:tblStyle w:val="10"/>
        <w:tblW w:w="0" w:type="auto"/>
        <w:tblInd w:w="6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14"/>
        <w:gridCol w:w="1986"/>
        <w:gridCol w:w="3150"/>
        <w:gridCol w:w="12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914" w:type="dxa"/>
            <w:vMerge w:val="restart"/>
          </w:tcPr>
          <w:p>
            <w:pPr>
              <w:pStyle w:val="14"/>
              <w:spacing w:before="10"/>
              <w:jc w:val="left"/>
              <w:rPr>
                <w:b/>
                <w:sz w:val="20"/>
              </w:rPr>
            </w:pPr>
          </w:p>
          <w:p>
            <w:pPr>
              <w:pStyle w:val="14"/>
              <w:spacing w:before="1"/>
              <w:ind w:left="571"/>
              <w:jc w:val="left"/>
              <w:rPr>
                <w:sz w:val="21"/>
              </w:rPr>
            </w:pPr>
            <w:bookmarkStart w:id="889" w:name="检测项目"/>
            <w:bookmarkEnd w:id="889"/>
            <w:r>
              <w:rPr>
                <w:sz w:val="21"/>
              </w:rPr>
              <w:t>检测项目</w:t>
            </w:r>
          </w:p>
        </w:tc>
        <w:tc>
          <w:tcPr>
            <w:tcW w:w="1986" w:type="dxa"/>
            <w:vMerge w:val="restart"/>
          </w:tcPr>
          <w:p>
            <w:pPr>
              <w:pStyle w:val="14"/>
              <w:spacing w:before="10"/>
              <w:jc w:val="left"/>
              <w:rPr>
                <w:b/>
                <w:sz w:val="20"/>
              </w:rPr>
            </w:pPr>
          </w:p>
          <w:p>
            <w:pPr>
              <w:pStyle w:val="14"/>
              <w:spacing w:before="1"/>
              <w:ind w:left="652" w:right="648"/>
              <w:rPr>
                <w:sz w:val="21"/>
              </w:rPr>
            </w:pPr>
            <w:r>
              <w:rPr>
                <w:sz w:val="21"/>
              </w:rPr>
              <w:t>单位</w:t>
            </w:r>
          </w:p>
        </w:tc>
        <w:tc>
          <w:tcPr>
            <w:tcW w:w="3150" w:type="dxa"/>
          </w:tcPr>
          <w:p>
            <w:pPr>
              <w:pStyle w:val="14"/>
              <w:spacing w:before="63"/>
              <w:ind w:left="714" w:right="705"/>
              <w:rPr>
                <w:sz w:val="21"/>
              </w:rPr>
            </w:pPr>
            <w:r>
              <w:rPr>
                <w:sz w:val="21"/>
              </w:rPr>
              <w:t>检测值</w:t>
            </w:r>
          </w:p>
        </w:tc>
        <w:tc>
          <w:tcPr>
            <w:tcW w:w="1200" w:type="dxa"/>
            <w:vMerge w:val="restart"/>
          </w:tcPr>
          <w:p>
            <w:pPr>
              <w:pStyle w:val="14"/>
              <w:spacing w:before="10"/>
              <w:jc w:val="left"/>
              <w:rPr>
                <w:b/>
                <w:sz w:val="20"/>
              </w:rPr>
            </w:pPr>
          </w:p>
          <w:p>
            <w:pPr>
              <w:pStyle w:val="14"/>
              <w:spacing w:before="1"/>
              <w:ind w:left="284"/>
              <w:jc w:val="left"/>
              <w:rPr>
                <w:sz w:val="21"/>
              </w:rPr>
            </w:pPr>
            <w:r>
              <w:rPr>
                <w:sz w:val="21"/>
              </w:rPr>
              <w:t>标准值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vMerge w:val="continue"/>
            <w:tcBorders>
              <w:top w:val="nil"/>
            </w:tcBorders>
          </w:tcPr>
          <w:p>
            <w:pPr>
              <w:rPr>
                <w:sz w:val="2"/>
                <w:szCs w:val="2"/>
              </w:rPr>
            </w:pPr>
          </w:p>
        </w:tc>
        <w:tc>
          <w:tcPr>
            <w:tcW w:w="1986" w:type="dxa"/>
            <w:vMerge w:val="continue"/>
            <w:tcBorders>
              <w:top w:val="nil"/>
            </w:tcBorders>
          </w:tcPr>
          <w:p>
            <w:pPr>
              <w:rPr>
                <w:sz w:val="2"/>
                <w:szCs w:val="2"/>
              </w:rPr>
            </w:pPr>
          </w:p>
        </w:tc>
        <w:tc>
          <w:tcPr>
            <w:tcW w:w="3150" w:type="dxa"/>
          </w:tcPr>
          <w:p>
            <w:pPr>
              <w:pStyle w:val="14"/>
              <w:spacing w:before="64"/>
              <w:ind w:left="714" w:right="706"/>
              <w:rPr>
                <w:rFonts w:ascii="Times New Roman" w:eastAsia="Times New Roman"/>
                <w:sz w:val="21"/>
              </w:rPr>
            </w:pPr>
            <w:r>
              <w:rPr>
                <w:sz w:val="21"/>
              </w:rPr>
              <w:t xml:space="preserve">工业场地表层样 </w:t>
            </w:r>
            <w:r>
              <w:rPr>
                <w:rFonts w:ascii="Times New Roman" w:eastAsia="Times New Roman"/>
                <w:sz w:val="21"/>
              </w:rPr>
              <w:t>1</w:t>
            </w:r>
          </w:p>
        </w:tc>
        <w:tc>
          <w:tcPr>
            <w:tcW w:w="120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3"/>
              <w:ind w:left="191" w:right="184"/>
              <w:rPr>
                <w:sz w:val="21"/>
              </w:rPr>
            </w:pPr>
            <w:r>
              <w:rPr>
                <w:rFonts w:ascii="Times New Roman" w:eastAsia="Times New Roman"/>
                <w:sz w:val="21"/>
              </w:rPr>
              <w:t xml:space="preserve">pH </w:t>
            </w:r>
            <w:r>
              <w:rPr>
                <w:sz w:val="21"/>
              </w:rPr>
              <w:t>值</w:t>
            </w:r>
          </w:p>
        </w:tc>
        <w:tc>
          <w:tcPr>
            <w:tcW w:w="1986" w:type="dxa"/>
          </w:tcPr>
          <w:p>
            <w:pPr>
              <w:pStyle w:val="14"/>
              <w:spacing w:before="63"/>
              <w:ind w:left="657" w:right="648"/>
              <w:rPr>
                <w:sz w:val="21"/>
              </w:rPr>
            </w:pPr>
            <w:r>
              <w:rPr>
                <w:sz w:val="21"/>
              </w:rPr>
              <w:t>无量纲</w:t>
            </w:r>
          </w:p>
        </w:tc>
        <w:tc>
          <w:tcPr>
            <w:tcW w:w="3150" w:type="dxa"/>
          </w:tcPr>
          <w:p>
            <w:pPr>
              <w:pStyle w:val="14"/>
              <w:spacing w:before="79"/>
              <w:ind w:left="714" w:right="706"/>
              <w:rPr>
                <w:rFonts w:ascii="Times New Roman"/>
                <w:sz w:val="21"/>
              </w:rPr>
            </w:pPr>
            <w:bookmarkStart w:id="890" w:name="7.07"/>
            <w:bookmarkEnd w:id="890"/>
            <w:r>
              <w:rPr>
                <w:rFonts w:ascii="Times New Roman"/>
                <w:sz w:val="21"/>
              </w:rPr>
              <w:t>7.07</w:t>
            </w:r>
          </w:p>
        </w:tc>
        <w:tc>
          <w:tcPr>
            <w:tcW w:w="1200" w:type="dxa"/>
          </w:tcPr>
          <w:p>
            <w:pPr>
              <w:pStyle w:val="14"/>
              <w:spacing w:before="76"/>
              <w:ind w:left="7"/>
              <w:rPr>
                <w:rFonts w:ascii="Times New Roman" w:hAnsi="Times New Roman"/>
                <w:sz w:val="21"/>
              </w:rPr>
            </w:pPr>
            <w:r>
              <w:rPr>
                <w:rFonts w:ascii="Times New Roman" w:hAns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3"/>
              <w:ind w:left="191" w:right="184"/>
              <w:rPr>
                <w:sz w:val="21"/>
              </w:rPr>
            </w:pPr>
            <w:r>
              <w:rPr>
                <w:sz w:val="21"/>
              </w:rPr>
              <w:t>含盐量</w:t>
            </w:r>
          </w:p>
        </w:tc>
        <w:tc>
          <w:tcPr>
            <w:tcW w:w="1986" w:type="dxa"/>
          </w:tcPr>
          <w:p>
            <w:pPr>
              <w:pStyle w:val="14"/>
              <w:spacing w:before="77"/>
              <w:ind w:left="654" w:right="648"/>
              <w:rPr>
                <w:rFonts w:ascii="Times New Roman"/>
                <w:sz w:val="21"/>
              </w:rPr>
            </w:pPr>
            <w:r>
              <w:rPr>
                <w:rFonts w:ascii="Times New Roman"/>
                <w:sz w:val="21"/>
              </w:rPr>
              <w:t>g/kg</w:t>
            </w:r>
          </w:p>
        </w:tc>
        <w:tc>
          <w:tcPr>
            <w:tcW w:w="3150" w:type="dxa"/>
          </w:tcPr>
          <w:p>
            <w:pPr>
              <w:pStyle w:val="14"/>
              <w:spacing w:before="80"/>
              <w:ind w:left="714" w:right="706"/>
              <w:rPr>
                <w:rFonts w:ascii="Times New Roman"/>
                <w:sz w:val="21"/>
              </w:rPr>
            </w:pPr>
            <w:bookmarkStart w:id="891" w:name="1.3"/>
            <w:bookmarkEnd w:id="891"/>
            <w:r>
              <w:rPr>
                <w:rFonts w:ascii="Times New Roman"/>
                <w:sz w:val="21"/>
              </w:rPr>
              <w:t>1.3</w:t>
            </w:r>
          </w:p>
        </w:tc>
        <w:tc>
          <w:tcPr>
            <w:tcW w:w="1200" w:type="dxa"/>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2"/>
              <w:ind w:left="9"/>
              <w:rPr>
                <w:sz w:val="21"/>
              </w:rPr>
            </w:pPr>
            <w:r>
              <w:rPr>
                <w:w w:val="99"/>
                <w:sz w:val="21"/>
              </w:rPr>
              <w:t>砷</w:t>
            </w:r>
          </w:p>
        </w:tc>
        <w:tc>
          <w:tcPr>
            <w:tcW w:w="1986" w:type="dxa"/>
          </w:tcPr>
          <w:p>
            <w:pPr>
              <w:pStyle w:val="14"/>
              <w:spacing w:before="98"/>
              <w:ind w:left="654" w:right="648"/>
              <w:rPr>
                <w:rFonts w:ascii="Times New Roman"/>
                <w:sz w:val="21"/>
              </w:rPr>
            </w:pPr>
            <w:bookmarkStart w:id="892" w:name="mg/kg"/>
            <w:bookmarkEnd w:id="892"/>
            <w:r>
              <w:rPr>
                <w:rFonts w:ascii="Times New Roman"/>
                <w:sz w:val="21"/>
              </w:rPr>
              <w:t>mg/kg</w:t>
            </w:r>
          </w:p>
        </w:tc>
        <w:tc>
          <w:tcPr>
            <w:tcW w:w="3150" w:type="dxa"/>
          </w:tcPr>
          <w:p>
            <w:pPr>
              <w:pStyle w:val="14"/>
              <w:spacing w:before="81"/>
              <w:ind w:left="714" w:right="706"/>
              <w:rPr>
                <w:rFonts w:ascii="Times New Roman"/>
                <w:sz w:val="21"/>
              </w:rPr>
            </w:pPr>
            <w:bookmarkStart w:id="893" w:name="7.91"/>
            <w:bookmarkEnd w:id="893"/>
            <w:r>
              <w:rPr>
                <w:rFonts w:ascii="Times New Roman"/>
                <w:sz w:val="21"/>
              </w:rPr>
              <w:t>7.91</w:t>
            </w:r>
          </w:p>
        </w:tc>
        <w:tc>
          <w:tcPr>
            <w:tcW w:w="1200" w:type="dxa"/>
          </w:tcPr>
          <w:p>
            <w:pPr>
              <w:pStyle w:val="14"/>
              <w:spacing w:before="76"/>
              <w:ind w:left="131" w:right="124"/>
              <w:rPr>
                <w:rFonts w:ascii="Times New Roman"/>
                <w:sz w:val="21"/>
              </w:rPr>
            </w:pPr>
            <w:r>
              <w:rPr>
                <w:rFonts w:ascii="Times New Roman"/>
                <w:sz w:val="21"/>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914" w:type="dxa"/>
          </w:tcPr>
          <w:p>
            <w:pPr>
              <w:pStyle w:val="14"/>
              <w:spacing w:before="63"/>
              <w:ind w:left="9"/>
              <w:rPr>
                <w:sz w:val="21"/>
              </w:rPr>
            </w:pPr>
            <w:r>
              <w:rPr>
                <w:w w:val="99"/>
                <w:sz w:val="21"/>
              </w:rPr>
              <w:t>镉</w:t>
            </w:r>
          </w:p>
        </w:tc>
        <w:tc>
          <w:tcPr>
            <w:tcW w:w="1986" w:type="dxa"/>
          </w:tcPr>
          <w:p>
            <w:pPr>
              <w:pStyle w:val="14"/>
              <w:spacing w:before="99"/>
              <w:ind w:left="654" w:right="648"/>
              <w:rPr>
                <w:rFonts w:ascii="Times New Roman"/>
                <w:sz w:val="21"/>
              </w:rPr>
            </w:pPr>
            <w:bookmarkStart w:id="894" w:name="mg/kg"/>
            <w:bookmarkEnd w:id="894"/>
            <w:r>
              <w:rPr>
                <w:rFonts w:ascii="Times New Roman"/>
                <w:sz w:val="21"/>
              </w:rPr>
              <w:t>mg/kg</w:t>
            </w:r>
          </w:p>
        </w:tc>
        <w:tc>
          <w:tcPr>
            <w:tcW w:w="3150" w:type="dxa"/>
          </w:tcPr>
          <w:p>
            <w:pPr>
              <w:pStyle w:val="14"/>
              <w:spacing w:before="79"/>
              <w:ind w:left="714" w:right="706"/>
              <w:rPr>
                <w:rFonts w:ascii="Times New Roman"/>
                <w:sz w:val="21"/>
              </w:rPr>
            </w:pPr>
            <w:bookmarkStart w:id="895" w:name="0.72"/>
            <w:bookmarkEnd w:id="895"/>
            <w:r>
              <w:rPr>
                <w:rFonts w:ascii="Times New Roman"/>
                <w:sz w:val="21"/>
              </w:rPr>
              <w:t>0.72</w:t>
            </w:r>
          </w:p>
        </w:tc>
        <w:tc>
          <w:tcPr>
            <w:tcW w:w="1200" w:type="dxa"/>
          </w:tcPr>
          <w:p>
            <w:pPr>
              <w:pStyle w:val="14"/>
              <w:spacing w:before="77"/>
              <w:ind w:left="131" w:right="124"/>
              <w:rPr>
                <w:rFonts w:ascii="Times New Roman"/>
                <w:sz w:val="21"/>
              </w:rPr>
            </w:pPr>
            <w:r>
              <w:rPr>
                <w:rFonts w:ascii="Times New Roman"/>
                <w:sz w:val="21"/>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2"/>
              <w:ind w:left="191" w:right="184"/>
              <w:rPr>
                <w:sz w:val="21"/>
              </w:rPr>
            </w:pPr>
            <w:r>
              <w:rPr>
                <w:sz w:val="21"/>
              </w:rPr>
              <w:t>六价铬</w:t>
            </w:r>
          </w:p>
        </w:tc>
        <w:tc>
          <w:tcPr>
            <w:tcW w:w="1986" w:type="dxa"/>
          </w:tcPr>
          <w:p>
            <w:pPr>
              <w:pStyle w:val="14"/>
              <w:spacing w:before="97"/>
              <w:ind w:left="654" w:right="648"/>
              <w:rPr>
                <w:rFonts w:ascii="Times New Roman"/>
                <w:sz w:val="21"/>
              </w:rPr>
            </w:pPr>
            <w:bookmarkStart w:id="896" w:name="mg/kg"/>
            <w:bookmarkEnd w:id="896"/>
            <w:r>
              <w:rPr>
                <w:rFonts w:ascii="Times New Roman"/>
                <w:sz w:val="21"/>
              </w:rPr>
              <w:t>mg/kg</w:t>
            </w:r>
          </w:p>
        </w:tc>
        <w:tc>
          <w:tcPr>
            <w:tcW w:w="3150" w:type="dxa"/>
          </w:tcPr>
          <w:p>
            <w:pPr>
              <w:pStyle w:val="14"/>
              <w:spacing w:before="80"/>
              <w:ind w:left="713" w:right="706"/>
              <w:rPr>
                <w:rFonts w:ascii="Times New Roman"/>
                <w:sz w:val="21"/>
              </w:rPr>
            </w:pPr>
            <w:bookmarkStart w:id="897" w:name="2L"/>
            <w:bookmarkEnd w:id="897"/>
            <w:r>
              <w:rPr>
                <w:rFonts w:ascii="Times New Roman"/>
                <w:sz w:val="21"/>
              </w:rPr>
              <w:t>2L</w:t>
            </w:r>
          </w:p>
        </w:tc>
        <w:tc>
          <w:tcPr>
            <w:tcW w:w="1200" w:type="dxa"/>
          </w:tcPr>
          <w:p>
            <w:pPr>
              <w:pStyle w:val="14"/>
              <w:spacing w:before="76"/>
              <w:ind w:left="133" w:right="121"/>
              <w:rPr>
                <w:rFonts w:ascii="Times New Roman"/>
                <w:sz w:val="21"/>
              </w:rPr>
            </w:pPr>
            <w:r>
              <w:rPr>
                <w:rFonts w:ascii="Times New Roman"/>
                <w:sz w:val="21"/>
              </w:rPr>
              <w:t>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3"/>
              <w:ind w:left="9"/>
              <w:rPr>
                <w:sz w:val="21"/>
              </w:rPr>
            </w:pPr>
            <w:r>
              <w:rPr>
                <w:w w:val="99"/>
                <w:sz w:val="21"/>
              </w:rPr>
              <w:t>铜</w:t>
            </w:r>
          </w:p>
        </w:tc>
        <w:tc>
          <w:tcPr>
            <w:tcW w:w="1986" w:type="dxa"/>
          </w:tcPr>
          <w:p>
            <w:pPr>
              <w:pStyle w:val="14"/>
              <w:spacing w:before="98"/>
              <w:ind w:left="654" w:right="648"/>
              <w:rPr>
                <w:rFonts w:ascii="Times New Roman"/>
                <w:sz w:val="21"/>
              </w:rPr>
            </w:pPr>
            <w:bookmarkStart w:id="898" w:name="mg/kg"/>
            <w:bookmarkEnd w:id="898"/>
            <w:r>
              <w:rPr>
                <w:rFonts w:ascii="Times New Roman"/>
                <w:sz w:val="21"/>
              </w:rPr>
              <w:t>mg/kg</w:t>
            </w:r>
          </w:p>
        </w:tc>
        <w:tc>
          <w:tcPr>
            <w:tcW w:w="3150" w:type="dxa"/>
          </w:tcPr>
          <w:p>
            <w:pPr>
              <w:pStyle w:val="14"/>
              <w:spacing w:before="79"/>
              <w:ind w:left="714" w:right="706"/>
              <w:rPr>
                <w:rFonts w:ascii="Times New Roman"/>
                <w:sz w:val="21"/>
              </w:rPr>
            </w:pPr>
            <w:bookmarkStart w:id="899" w:name="50"/>
            <w:bookmarkEnd w:id="899"/>
            <w:r>
              <w:rPr>
                <w:rFonts w:ascii="Times New Roman"/>
                <w:sz w:val="21"/>
              </w:rPr>
              <w:t>50</w:t>
            </w:r>
          </w:p>
        </w:tc>
        <w:tc>
          <w:tcPr>
            <w:tcW w:w="1200" w:type="dxa"/>
          </w:tcPr>
          <w:p>
            <w:pPr>
              <w:pStyle w:val="14"/>
              <w:spacing w:before="77"/>
              <w:ind w:left="337"/>
              <w:jc w:val="left"/>
              <w:rPr>
                <w:rFonts w:ascii="Times New Roman"/>
                <w:sz w:val="21"/>
              </w:rPr>
            </w:pPr>
            <w:r>
              <w:rPr>
                <w:rFonts w:ascii="Times New Roman"/>
                <w:sz w:val="21"/>
              </w:rPr>
              <w:t>18000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4"/>
              <w:ind w:left="9"/>
              <w:rPr>
                <w:sz w:val="21"/>
              </w:rPr>
            </w:pPr>
            <w:r>
              <w:rPr>
                <w:w w:val="99"/>
                <w:sz w:val="21"/>
              </w:rPr>
              <w:t>铅</w:t>
            </w:r>
          </w:p>
        </w:tc>
        <w:tc>
          <w:tcPr>
            <w:tcW w:w="1986" w:type="dxa"/>
          </w:tcPr>
          <w:p>
            <w:pPr>
              <w:pStyle w:val="14"/>
              <w:spacing w:before="78"/>
              <w:ind w:left="654" w:right="648"/>
              <w:rPr>
                <w:rFonts w:ascii="Times New Roman"/>
                <w:sz w:val="21"/>
              </w:rPr>
            </w:pPr>
            <w:r>
              <w:rPr>
                <w:rFonts w:ascii="Times New Roman"/>
                <w:sz w:val="21"/>
              </w:rPr>
              <w:t>mg/kg</w:t>
            </w:r>
          </w:p>
        </w:tc>
        <w:tc>
          <w:tcPr>
            <w:tcW w:w="3150" w:type="dxa"/>
          </w:tcPr>
          <w:p>
            <w:pPr>
              <w:pStyle w:val="14"/>
              <w:spacing w:before="80"/>
              <w:ind w:left="714" w:right="706"/>
              <w:rPr>
                <w:rFonts w:ascii="Times New Roman"/>
                <w:sz w:val="21"/>
              </w:rPr>
            </w:pPr>
            <w:bookmarkStart w:id="900" w:name="54.5"/>
            <w:bookmarkEnd w:id="900"/>
            <w:r>
              <w:rPr>
                <w:rFonts w:ascii="Times New Roman"/>
                <w:sz w:val="21"/>
              </w:rPr>
              <w:t>54.5</w:t>
            </w:r>
          </w:p>
        </w:tc>
        <w:tc>
          <w:tcPr>
            <w:tcW w:w="1200" w:type="dxa"/>
          </w:tcPr>
          <w:p>
            <w:pPr>
              <w:pStyle w:val="14"/>
              <w:spacing w:before="78"/>
              <w:ind w:left="131" w:right="124"/>
              <w:rPr>
                <w:rFonts w:ascii="Times New Roman"/>
                <w:sz w:val="21"/>
              </w:rPr>
            </w:pPr>
            <w:r>
              <w:rPr>
                <w:rFonts w:ascii="Times New Roman"/>
                <w:sz w:val="21"/>
              </w:rPr>
              <w:t>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2"/>
              <w:ind w:left="9"/>
              <w:rPr>
                <w:sz w:val="21"/>
              </w:rPr>
            </w:pPr>
            <w:r>
              <w:rPr>
                <w:w w:val="99"/>
                <w:sz w:val="21"/>
              </w:rPr>
              <w:t>汞</w:t>
            </w:r>
          </w:p>
        </w:tc>
        <w:tc>
          <w:tcPr>
            <w:tcW w:w="1986" w:type="dxa"/>
          </w:tcPr>
          <w:p>
            <w:pPr>
              <w:pStyle w:val="14"/>
              <w:spacing w:before="76"/>
              <w:ind w:left="654" w:right="648"/>
              <w:rPr>
                <w:rFonts w:ascii="Times New Roman"/>
                <w:sz w:val="21"/>
              </w:rPr>
            </w:pPr>
            <w:r>
              <w:rPr>
                <w:rFonts w:ascii="Times New Roman"/>
                <w:sz w:val="21"/>
              </w:rPr>
              <w:t>mg/kg</w:t>
            </w:r>
          </w:p>
        </w:tc>
        <w:tc>
          <w:tcPr>
            <w:tcW w:w="3150" w:type="dxa"/>
          </w:tcPr>
          <w:p>
            <w:pPr>
              <w:pStyle w:val="14"/>
              <w:spacing w:before="79"/>
              <w:ind w:left="714" w:right="704"/>
              <w:rPr>
                <w:rFonts w:ascii="Times New Roman"/>
                <w:sz w:val="21"/>
              </w:rPr>
            </w:pPr>
            <w:bookmarkStart w:id="901" w:name="0.125"/>
            <w:bookmarkEnd w:id="901"/>
            <w:r>
              <w:rPr>
                <w:rFonts w:ascii="Times New Roman"/>
                <w:sz w:val="21"/>
              </w:rPr>
              <w:t>0.125</w:t>
            </w:r>
          </w:p>
        </w:tc>
        <w:tc>
          <w:tcPr>
            <w:tcW w:w="1200" w:type="dxa"/>
          </w:tcPr>
          <w:p>
            <w:pPr>
              <w:pStyle w:val="14"/>
              <w:spacing w:before="76"/>
              <w:ind w:left="131" w:right="124"/>
              <w:rPr>
                <w:rFonts w:ascii="Times New Roman"/>
                <w:sz w:val="21"/>
              </w:rPr>
            </w:pPr>
            <w:r>
              <w:rPr>
                <w:rFonts w:ascii="Times New Roman"/>
                <w:sz w:val="21"/>
              </w:rPr>
              <w:t>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914" w:type="dxa"/>
          </w:tcPr>
          <w:p>
            <w:pPr>
              <w:pStyle w:val="14"/>
              <w:spacing w:before="63"/>
              <w:ind w:left="9"/>
              <w:rPr>
                <w:sz w:val="21"/>
              </w:rPr>
            </w:pPr>
            <w:r>
              <w:rPr>
                <w:w w:val="99"/>
                <w:sz w:val="21"/>
              </w:rPr>
              <w:t>镍</w:t>
            </w:r>
          </w:p>
        </w:tc>
        <w:tc>
          <w:tcPr>
            <w:tcW w:w="1986" w:type="dxa"/>
          </w:tcPr>
          <w:p>
            <w:pPr>
              <w:pStyle w:val="14"/>
              <w:spacing w:before="77"/>
              <w:ind w:left="654" w:right="648"/>
              <w:rPr>
                <w:rFonts w:ascii="Times New Roman"/>
                <w:sz w:val="21"/>
              </w:rPr>
            </w:pPr>
            <w:r>
              <w:rPr>
                <w:rFonts w:ascii="Times New Roman"/>
                <w:sz w:val="21"/>
              </w:rPr>
              <w:t>mg/kg</w:t>
            </w:r>
          </w:p>
        </w:tc>
        <w:tc>
          <w:tcPr>
            <w:tcW w:w="3150" w:type="dxa"/>
          </w:tcPr>
          <w:p>
            <w:pPr>
              <w:pStyle w:val="14"/>
              <w:spacing w:before="80"/>
              <w:ind w:left="714" w:right="706"/>
              <w:rPr>
                <w:rFonts w:ascii="Times New Roman"/>
                <w:sz w:val="21"/>
              </w:rPr>
            </w:pPr>
            <w:bookmarkStart w:id="902" w:name="56"/>
            <w:bookmarkEnd w:id="902"/>
            <w:r>
              <w:rPr>
                <w:rFonts w:ascii="Times New Roman"/>
                <w:sz w:val="21"/>
              </w:rPr>
              <w:t>56</w:t>
            </w:r>
          </w:p>
        </w:tc>
        <w:tc>
          <w:tcPr>
            <w:tcW w:w="1200" w:type="dxa"/>
          </w:tcPr>
          <w:p>
            <w:pPr>
              <w:pStyle w:val="14"/>
              <w:spacing w:before="77"/>
              <w:ind w:left="131" w:right="124"/>
              <w:rPr>
                <w:rFonts w:ascii="Times New Roman"/>
                <w:sz w:val="21"/>
              </w:rPr>
            </w:pPr>
            <w:r>
              <w:rPr>
                <w:rFonts w:ascii="Times New Roman"/>
                <w:sz w:val="21"/>
              </w:rPr>
              <w:t>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2"/>
              <w:ind w:left="188" w:right="184"/>
              <w:rPr>
                <w:sz w:val="21"/>
              </w:rPr>
            </w:pPr>
            <w:r>
              <w:rPr>
                <w:sz w:val="21"/>
              </w:rPr>
              <w:t>四氯化碳</w:t>
            </w:r>
          </w:p>
        </w:tc>
        <w:tc>
          <w:tcPr>
            <w:tcW w:w="1986" w:type="dxa"/>
          </w:tcPr>
          <w:p>
            <w:pPr>
              <w:pStyle w:val="14"/>
              <w:spacing w:before="76"/>
              <w:ind w:left="654" w:right="648"/>
              <w:rPr>
                <w:rFonts w:ascii="Times New Roman" w:hAnsi="Times New Roman"/>
                <w:sz w:val="21"/>
              </w:rPr>
            </w:pPr>
            <w:r>
              <w:rPr>
                <w:rFonts w:ascii="Times New Roman" w:hAnsi="Times New Roman"/>
                <w:sz w:val="21"/>
              </w:rPr>
              <w:t>μg/kg</w:t>
            </w:r>
          </w:p>
        </w:tc>
        <w:tc>
          <w:tcPr>
            <w:tcW w:w="3150" w:type="dxa"/>
          </w:tcPr>
          <w:p>
            <w:pPr>
              <w:pStyle w:val="14"/>
              <w:spacing w:before="81"/>
              <w:ind w:left="712" w:right="706"/>
              <w:rPr>
                <w:rFonts w:ascii="Times New Roman"/>
                <w:sz w:val="21"/>
              </w:rPr>
            </w:pPr>
            <w:bookmarkStart w:id="903" w:name="&lt;2"/>
            <w:bookmarkEnd w:id="903"/>
            <w:r>
              <w:rPr>
                <w:rFonts w:ascii="Times New Roman"/>
                <w:sz w:val="21"/>
              </w:rPr>
              <w:t>&lt;2</w:t>
            </w:r>
          </w:p>
        </w:tc>
        <w:tc>
          <w:tcPr>
            <w:tcW w:w="1200" w:type="dxa"/>
          </w:tcPr>
          <w:p>
            <w:pPr>
              <w:pStyle w:val="14"/>
              <w:spacing w:before="76"/>
              <w:ind w:left="390"/>
              <w:jc w:val="left"/>
              <w:rPr>
                <w:rFonts w:ascii="Times New Roman"/>
                <w:sz w:val="21"/>
              </w:rPr>
            </w:pPr>
            <w:r>
              <w:rPr>
                <w:rFonts w:ascii="Times New Roman"/>
                <w:sz w:val="21"/>
              </w:rPr>
              <w:t>2800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914" w:type="dxa"/>
          </w:tcPr>
          <w:p>
            <w:pPr>
              <w:pStyle w:val="14"/>
              <w:spacing w:before="63"/>
              <w:ind w:left="191" w:right="184"/>
              <w:rPr>
                <w:sz w:val="21"/>
              </w:rPr>
            </w:pPr>
            <w:r>
              <w:rPr>
                <w:sz w:val="21"/>
              </w:rPr>
              <w:t>氯甲烷</w:t>
            </w:r>
          </w:p>
        </w:tc>
        <w:tc>
          <w:tcPr>
            <w:tcW w:w="1986" w:type="dxa"/>
          </w:tcPr>
          <w:p>
            <w:pPr>
              <w:pStyle w:val="14"/>
              <w:spacing w:before="77"/>
              <w:ind w:left="654" w:right="648"/>
              <w:rPr>
                <w:rFonts w:ascii="Times New Roman" w:hAnsi="Times New Roman"/>
                <w:sz w:val="21"/>
              </w:rPr>
            </w:pPr>
            <w:r>
              <w:rPr>
                <w:rFonts w:ascii="Times New Roman" w:hAnsi="Times New Roman"/>
                <w:sz w:val="21"/>
              </w:rPr>
              <w:t>μg/kg</w:t>
            </w:r>
          </w:p>
        </w:tc>
        <w:tc>
          <w:tcPr>
            <w:tcW w:w="3150" w:type="dxa"/>
          </w:tcPr>
          <w:p>
            <w:pPr>
              <w:pStyle w:val="14"/>
              <w:spacing w:before="79"/>
              <w:ind w:left="712" w:right="706"/>
              <w:rPr>
                <w:rFonts w:ascii="Times New Roman"/>
                <w:sz w:val="21"/>
              </w:rPr>
            </w:pPr>
            <w:bookmarkStart w:id="904" w:name="&lt;3"/>
            <w:bookmarkEnd w:id="904"/>
            <w:r>
              <w:rPr>
                <w:rFonts w:ascii="Times New Roman"/>
                <w:sz w:val="21"/>
              </w:rPr>
              <w:t>&lt;3</w:t>
            </w:r>
          </w:p>
        </w:tc>
        <w:tc>
          <w:tcPr>
            <w:tcW w:w="1200" w:type="dxa"/>
          </w:tcPr>
          <w:p>
            <w:pPr>
              <w:pStyle w:val="14"/>
              <w:spacing w:before="77"/>
              <w:ind w:left="337"/>
              <w:jc w:val="left"/>
              <w:rPr>
                <w:rFonts w:ascii="Times New Roman"/>
                <w:sz w:val="21"/>
              </w:rPr>
            </w:pPr>
            <w:r>
              <w:rPr>
                <w:rFonts w:ascii="Times New Roman"/>
                <w:sz w:val="21"/>
              </w:rPr>
              <w:t>37000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4"/>
              <w:ind w:left="191" w:right="184"/>
              <w:rPr>
                <w:sz w:val="21"/>
              </w:rPr>
            </w:pPr>
            <w:r>
              <w:rPr>
                <w:sz w:val="21"/>
              </w:rPr>
              <w:t>氯仿</w:t>
            </w:r>
          </w:p>
        </w:tc>
        <w:tc>
          <w:tcPr>
            <w:tcW w:w="1986" w:type="dxa"/>
          </w:tcPr>
          <w:p>
            <w:pPr>
              <w:pStyle w:val="14"/>
              <w:spacing w:before="78"/>
              <w:ind w:left="654" w:right="648"/>
              <w:rPr>
                <w:rFonts w:ascii="Times New Roman" w:hAnsi="Times New Roman"/>
                <w:sz w:val="21"/>
              </w:rPr>
            </w:pPr>
            <w:r>
              <w:rPr>
                <w:rFonts w:ascii="Times New Roman" w:hAnsi="Times New Roman"/>
                <w:sz w:val="21"/>
              </w:rPr>
              <w:t>μg/kg</w:t>
            </w:r>
          </w:p>
        </w:tc>
        <w:tc>
          <w:tcPr>
            <w:tcW w:w="3150" w:type="dxa"/>
          </w:tcPr>
          <w:p>
            <w:pPr>
              <w:pStyle w:val="14"/>
              <w:spacing w:before="80"/>
              <w:ind w:left="712" w:right="706"/>
              <w:rPr>
                <w:rFonts w:ascii="Times New Roman"/>
                <w:sz w:val="21"/>
              </w:rPr>
            </w:pPr>
            <w:bookmarkStart w:id="905" w:name="&lt;2"/>
            <w:bookmarkEnd w:id="905"/>
            <w:r>
              <w:rPr>
                <w:rFonts w:ascii="Times New Roman"/>
                <w:sz w:val="21"/>
              </w:rPr>
              <w:t>&lt;2</w:t>
            </w:r>
          </w:p>
        </w:tc>
        <w:tc>
          <w:tcPr>
            <w:tcW w:w="1200" w:type="dxa"/>
          </w:tcPr>
          <w:p>
            <w:pPr>
              <w:pStyle w:val="14"/>
              <w:spacing w:before="78"/>
              <w:ind w:left="131" w:right="124"/>
              <w:rPr>
                <w:rFonts w:ascii="Times New Roman"/>
                <w:sz w:val="21"/>
              </w:rPr>
            </w:pPr>
            <w:r>
              <w:rPr>
                <w:rFonts w:ascii="Times New Roman"/>
                <w:sz w:val="21"/>
              </w:rPr>
              <w:t>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914" w:type="dxa"/>
          </w:tcPr>
          <w:p>
            <w:pPr>
              <w:pStyle w:val="14"/>
              <w:spacing w:before="63"/>
              <w:ind w:left="191" w:right="184"/>
              <w:rPr>
                <w:sz w:val="21"/>
              </w:rPr>
            </w:pPr>
            <w:r>
              <w:rPr>
                <w:rFonts w:ascii="Times New Roman" w:eastAsia="Times New Roman"/>
                <w:sz w:val="21"/>
              </w:rPr>
              <w:t>1,1-</w:t>
            </w:r>
            <w:r>
              <w:rPr>
                <w:sz w:val="21"/>
              </w:rPr>
              <w:t>二氯乙烷</w:t>
            </w:r>
          </w:p>
        </w:tc>
        <w:tc>
          <w:tcPr>
            <w:tcW w:w="1986" w:type="dxa"/>
          </w:tcPr>
          <w:p>
            <w:pPr>
              <w:pStyle w:val="14"/>
              <w:spacing w:before="76"/>
              <w:ind w:left="654" w:right="648"/>
              <w:rPr>
                <w:rFonts w:ascii="Times New Roman" w:hAnsi="Times New Roman"/>
                <w:sz w:val="21"/>
              </w:rPr>
            </w:pPr>
            <w:r>
              <w:rPr>
                <w:rFonts w:ascii="Times New Roman" w:hAnsi="Times New Roman"/>
                <w:sz w:val="21"/>
              </w:rPr>
              <w:t>μg/kg</w:t>
            </w:r>
          </w:p>
        </w:tc>
        <w:tc>
          <w:tcPr>
            <w:tcW w:w="3150" w:type="dxa"/>
          </w:tcPr>
          <w:p>
            <w:pPr>
              <w:pStyle w:val="14"/>
              <w:spacing w:before="79"/>
              <w:ind w:left="712" w:right="706"/>
              <w:rPr>
                <w:rFonts w:ascii="Times New Roman"/>
                <w:sz w:val="21"/>
              </w:rPr>
            </w:pPr>
            <w:bookmarkStart w:id="906" w:name="&lt;2"/>
            <w:bookmarkEnd w:id="906"/>
            <w:r>
              <w:rPr>
                <w:rFonts w:ascii="Times New Roman"/>
                <w:sz w:val="21"/>
              </w:rPr>
              <w:t>&lt;2</w:t>
            </w:r>
          </w:p>
        </w:tc>
        <w:tc>
          <w:tcPr>
            <w:tcW w:w="1200" w:type="dxa"/>
          </w:tcPr>
          <w:p>
            <w:pPr>
              <w:pStyle w:val="14"/>
              <w:spacing w:before="76"/>
              <w:ind w:left="390"/>
              <w:jc w:val="left"/>
              <w:rPr>
                <w:rFonts w:ascii="Times New Roman"/>
                <w:sz w:val="21"/>
              </w:rPr>
            </w:pPr>
            <w:r>
              <w:rPr>
                <w:rFonts w:ascii="Times New Roman"/>
                <w:sz w:val="21"/>
              </w:rPr>
              <w:t>9000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4"/>
              <w:ind w:left="191" w:right="184"/>
              <w:rPr>
                <w:sz w:val="21"/>
              </w:rPr>
            </w:pPr>
            <w:r>
              <w:rPr>
                <w:rFonts w:ascii="Times New Roman" w:eastAsia="Times New Roman"/>
                <w:sz w:val="21"/>
              </w:rPr>
              <w:t>1,2-</w:t>
            </w:r>
            <w:r>
              <w:rPr>
                <w:sz w:val="21"/>
              </w:rPr>
              <w:t>二氯乙烷</w:t>
            </w:r>
          </w:p>
        </w:tc>
        <w:tc>
          <w:tcPr>
            <w:tcW w:w="1986" w:type="dxa"/>
          </w:tcPr>
          <w:p>
            <w:pPr>
              <w:pStyle w:val="14"/>
              <w:spacing w:before="77"/>
              <w:ind w:left="654" w:right="648"/>
              <w:rPr>
                <w:rFonts w:ascii="Times New Roman" w:hAnsi="Times New Roman"/>
                <w:sz w:val="21"/>
              </w:rPr>
            </w:pPr>
            <w:r>
              <w:rPr>
                <w:rFonts w:ascii="Times New Roman" w:hAnsi="Times New Roman"/>
                <w:sz w:val="21"/>
              </w:rPr>
              <w:t>μg/kg</w:t>
            </w:r>
          </w:p>
        </w:tc>
        <w:tc>
          <w:tcPr>
            <w:tcW w:w="3150" w:type="dxa"/>
          </w:tcPr>
          <w:p>
            <w:pPr>
              <w:pStyle w:val="14"/>
              <w:spacing w:before="80"/>
              <w:ind w:left="712" w:right="706"/>
              <w:rPr>
                <w:rFonts w:ascii="Times New Roman"/>
                <w:sz w:val="21"/>
              </w:rPr>
            </w:pPr>
            <w:bookmarkStart w:id="907" w:name="&lt;3"/>
            <w:bookmarkEnd w:id="907"/>
            <w:r>
              <w:rPr>
                <w:rFonts w:ascii="Times New Roman"/>
                <w:sz w:val="21"/>
              </w:rPr>
              <w:t>&lt;3</w:t>
            </w:r>
          </w:p>
        </w:tc>
        <w:tc>
          <w:tcPr>
            <w:tcW w:w="1200" w:type="dxa"/>
          </w:tcPr>
          <w:p>
            <w:pPr>
              <w:pStyle w:val="14"/>
              <w:spacing w:before="77"/>
              <w:ind w:left="390"/>
              <w:jc w:val="left"/>
              <w:rPr>
                <w:rFonts w:ascii="Times New Roman"/>
                <w:sz w:val="21"/>
              </w:rPr>
            </w:pPr>
            <w:r>
              <w:rPr>
                <w:rFonts w:ascii="Times New Roman"/>
                <w:sz w:val="21"/>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2"/>
              <w:ind w:left="191" w:right="184"/>
              <w:rPr>
                <w:sz w:val="21"/>
              </w:rPr>
            </w:pPr>
            <w:r>
              <w:rPr>
                <w:rFonts w:ascii="Times New Roman" w:eastAsia="Times New Roman"/>
                <w:sz w:val="21"/>
              </w:rPr>
              <w:t>1,1-</w:t>
            </w:r>
            <w:r>
              <w:rPr>
                <w:sz w:val="21"/>
              </w:rPr>
              <w:t>二氯乙烯</w:t>
            </w:r>
          </w:p>
        </w:tc>
        <w:tc>
          <w:tcPr>
            <w:tcW w:w="1986" w:type="dxa"/>
          </w:tcPr>
          <w:p>
            <w:pPr>
              <w:pStyle w:val="14"/>
              <w:spacing w:before="76"/>
              <w:ind w:left="654" w:right="648"/>
              <w:rPr>
                <w:rFonts w:ascii="Times New Roman" w:hAnsi="Times New Roman"/>
                <w:sz w:val="21"/>
              </w:rPr>
            </w:pPr>
            <w:r>
              <w:rPr>
                <w:rFonts w:ascii="Times New Roman" w:hAnsi="Times New Roman"/>
                <w:sz w:val="21"/>
              </w:rPr>
              <w:t>μg/kg</w:t>
            </w:r>
          </w:p>
        </w:tc>
        <w:tc>
          <w:tcPr>
            <w:tcW w:w="3150" w:type="dxa"/>
          </w:tcPr>
          <w:p>
            <w:pPr>
              <w:pStyle w:val="14"/>
              <w:spacing w:before="81"/>
              <w:ind w:left="712" w:right="706"/>
              <w:rPr>
                <w:rFonts w:ascii="Times New Roman"/>
                <w:sz w:val="21"/>
              </w:rPr>
            </w:pPr>
            <w:bookmarkStart w:id="908" w:name="&lt;2"/>
            <w:bookmarkEnd w:id="908"/>
            <w:r>
              <w:rPr>
                <w:rFonts w:ascii="Times New Roman"/>
                <w:sz w:val="21"/>
              </w:rPr>
              <w:t>&lt;2</w:t>
            </w:r>
          </w:p>
        </w:tc>
        <w:tc>
          <w:tcPr>
            <w:tcW w:w="1200" w:type="dxa"/>
          </w:tcPr>
          <w:p>
            <w:pPr>
              <w:pStyle w:val="14"/>
              <w:spacing w:before="76"/>
              <w:ind w:left="337"/>
              <w:jc w:val="left"/>
              <w:rPr>
                <w:rFonts w:ascii="Times New Roman"/>
                <w:sz w:val="21"/>
              </w:rPr>
            </w:pPr>
            <w:r>
              <w:rPr>
                <w:rFonts w:ascii="Times New Roman"/>
                <w:sz w:val="21"/>
              </w:rPr>
              <w:t>66000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914" w:type="dxa"/>
          </w:tcPr>
          <w:p>
            <w:pPr>
              <w:pStyle w:val="14"/>
              <w:spacing w:before="63"/>
              <w:ind w:left="191" w:right="184"/>
              <w:rPr>
                <w:sz w:val="21"/>
              </w:rPr>
            </w:pPr>
            <w:r>
              <w:rPr>
                <w:sz w:val="21"/>
              </w:rPr>
              <w:t>顺</w:t>
            </w:r>
            <w:r>
              <w:rPr>
                <w:rFonts w:ascii="Times New Roman" w:eastAsia="Times New Roman"/>
                <w:sz w:val="21"/>
              </w:rPr>
              <w:t>-1,2-</w:t>
            </w:r>
            <w:r>
              <w:rPr>
                <w:sz w:val="21"/>
              </w:rPr>
              <w:t>二氯乙烯</w:t>
            </w:r>
          </w:p>
        </w:tc>
        <w:tc>
          <w:tcPr>
            <w:tcW w:w="1986" w:type="dxa"/>
          </w:tcPr>
          <w:p>
            <w:pPr>
              <w:pStyle w:val="14"/>
              <w:spacing w:before="77"/>
              <w:ind w:left="654" w:right="648"/>
              <w:rPr>
                <w:rFonts w:ascii="Times New Roman" w:hAnsi="Times New Roman"/>
                <w:sz w:val="21"/>
              </w:rPr>
            </w:pPr>
            <w:r>
              <w:rPr>
                <w:rFonts w:ascii="Times New Roman" w:hAnsi="Times New Roman"/>
                <w:sz w:val="21"/>
              </w:rPr>
              <w:t>μg/kg</w:t>
            </w:r>
          </w:p>
        </w:tc>
        <w:tc>
          <w:tcPr>
            <w:tcW w:w="3150" w:type="dxa"/>
          </w:tcPr>
          <w:p>
            <w:pPr>
              <w:pStyle w:val="14"/>
              <w:spacing w:before="79"/>
              <w:ind w:left="712" w:right="706"/>
              <w:rPr>
                <w:rFonts w:ascii="Times New Roman"/>
                <w:sz w:val="21"/>
              </w:rPr>
            </w:pPr>
            <w:bookmarkStart w:id="909" w:name="&lt;3"/>
            <w:bookmarkEnd w:id="909"/>
            <w:r>
              <w:rPr>
                <w:rFonts w:ascii="Times New Roman"/>
                <w:sz w:val="21"/>
              </w:rPr>
              <w:t>&lt;3</w:t>
            </w:r>
          </w:p>
        </w:tc>
        <w:tc>
          <w:tcPr>
            <w:tcW w:w="1200" w:type="dxa"/>
          </w:tcPr>
          <w:p>
            <w:pPr>
              <w:pStyle w:val="14"/>
              <w:spacing w:before="77"/>
              <w:ind w:left="284"/>
              <w:jc w:val="left"/>
              <w:rPr>
                <w:rFonts w:ascii="Times New Roman"/>
                <w:sz w:val="21"/>
              </w:rPr>
            </w:pPr>
            <w:r>
              <w:rPr>
                <w:rFonts w:ascii="Times New Roman"/>
                <w:sz w:val="21"/>
              </w:rPr>
              <w:t>596000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2"/>
              <w:ind w:left="191" w:right="184"/>
              <w:rPr>
                <w:sz w:val="21"/>
              </w:rPr>
            </w:pPr>
            <w:r>
              <w:rPr>
                <w:sz w:val="21"/>
              </w:rPr>
              <w:t>反</w:t>
            </w:r>
            <w:r>
              <w:rPr>
                <w:rFonts w:ascii="Times New Roman" w:eastAsia="Times New Roman"/>
                <w:sz w:val="21"/>
              </w:rPr>
              <w:t>-1,2-</w:t>
            </w:r>
            <w:r>
              <w:rPr>
                <w:sz w:val="21"/>
              </w:rPr>
              <w:t>二氯乙烯</w:t>
            </w:r>
          </w:p>
        </w:tc>
        <w:tc>
          <w:tcPr>
            <w:tcW w:w="1986" w:type="dxa"/>
          </w:tcPr>
          <w:p>
            <w:pPr>
              <w:pStyle w:val="14"/>
              <w:spacing w:before="76"/>
              <w:ind w:left="654" w:right="648"/>
              <w:rPr>
                <w:rFonts w:ascii="Times New Roman" w:hAnsi="Times New Roman"/>
                <w:sz w:val="21"/>
              </w:rPr>
            </w:pPr>
            <w:r>
              <w:rPr>
                <w:rFonts w:ascii="Times New Roman" w:hAnsi="Times New Roman"/>
                <w:sz w:val="21"/>
              </w:rPr>
              <w:t>μg/kg</w:t>
            </w:r>
          </w:p>
        </w:tc>
        <w:tc>
          <w:tcPr>
            <w:tcW w:w="3150" w:type="dxa"/>
          </w:tcPr>
          <w:p>
            <w:pPr>
              <w:pStyle w:val="14"/>
              <w:spacing w:before="80"/>
              <w:ind w:left="712" w:right="706"/>
              <w:rPr>
                <w:rFonts w:ascii="Times New Roman"/>
                <w:sz w:val="21"/>
              </w:rPr>
            </w:pPr>
            <w:bookmarkStart w:id="910" w:name="&lt;3"/>
            <w:bookmarkEnd w:id="910"/>
            <w:r>
              <w:rPr>
                <w:rFonts w:ascii="Times New Roman"/>
                <w:sz w:val="21"/>
              </w:rPr>
              <w:t>&lt;3</w:t>
            </w:r>
          </w:p>
        </w:tc>
        <w:tc>
          <w:tcPr>
            <w:tcW w:w="1200" w:type="dxa"/>
          </w:tcPr>
          <w:p>
            <w:pPr>
              <w:pStyle w:val="14"/>
              <w:spacing w:before="76"/>
              <w:ind w:left="337"/>
              <w:jc w:val="left"/>
              <w:rPr>
                <w:rFonts w:ascii="Times New Roman"/>
                <w:sz w:val="21"/>
              </w:rPr>
            </w:pPr>
            <w:r>
              <w:rPr>
                <w:rFonts w:ascii="Times New Roman"/>
                <w:sz w:val="21"/>
              </w:rPr>
              <w:t>54000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914" w:type="dxa"/>
          </w:tcPr>
          <w:p>
            <w:pPr>
              <w:pStyle w:val="14"/>
              <w:spacing w:before="63"/>
              <w:ind w:left="188" w:right="184"/>
              <w:rPr>
                <w:sz w:val="21"/>
              </w:rPr>
            </w:pPr>
            <w:r>
              <w:rPr>
                <w:sz w:val="21"/>
              </w:rPr>
              <w:t>二氯甲烷</w:t>
            </w:r>
          </w:p>
        </w:tc>
        <w:tc>
          <w:tcPr>
            <w:tcW w:w="1986" w:type="dxa"/>
          </w:tcPr>
          <w:p>
            <w:pPr>
              <w:pStyle w:val="14"/>
              <w:spacing w:before="77"/>
              <w:ind w:left="654" w:right="648"/>
              <w:rPr>
                <w:rFonts w:ascii="Times New Roman" w:hAnsi="Times New Roman"/>
                <w:sz w:val="21"/>
              </w:rPr>
            </w:pPr>
            <w:r>
              <w:rPr>
                <w:rFonts w:ascii="Times New Roman" w:hAnsi="Times New Roman"/>
                <w:sz w:val="21"/>
              </w:rPr>
              <w:t>μg/kg</w:t>
            </w:r>
          </w:p>
        </w:tc>
        <w:tc>
          <w:tcPr>
            <w:tcW w:w="3150" w:type="dxa"/>
          </w:tcPr>
          <w:p>
            <w:pPr>
              <w:pStyle w:val="14"/>
              <w:spacing w:before="79"/>
              <w:ind w:left="712" w:right="706"/>
              <w:rPr>
                <w:rFonts w:ascii="Times New Roman"/>
                <w:sz w:val="21"/>
              </w:rPr>
            </w:pPr>
            <w:bookmarkStart w:id="911" w:name="&lt;3"/>
            <w:bookmarkEnd w:id="911"/>
            <w:r>
              <w:rPr>
                <w:rFonts w:ascii="Times New Roman"/>
                <w:sz w:val="21"/>
              </w:rPr>
              <w:t>&lt;3</w:t>
            </w:r>
          </w:p>
        </w:tc>
        <w:tc>
          <w:tcPr>
            <w:tcW w:w="1200" w:type="dxa"/>
          </w:tcPr>
          <w:p>
            <w:pPr>
              <w:pStyle w:val="14"/>
              <w:spacing w:before="77"/>
              <w:ind w:left="284"/>
              <w:jc w:val="left"/>
              <w:rPr>
                <w:rFonts w:ascii="Times New Roman"/>
                <w:sz w:val="21"/>
              </w:rPr>
            </w:pPr>
            <w:r>
              <w:rPr>
                <w:rFonts w:ascii="Times New Roman"/>
                <w:sz w:val="21"/>
              </w:rPr>
              <w:t>616000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4"/>
              <w:ind w:left="191" w:right="184"/>
              <w:rPr>
                <w:sz w:val="21"/>
              </w:rPr>
            </w:pPr>
            <w:r>
              <w:rPr>
                <w:rFonts w:ascii="Times New Roman" w:eastAsia="Times New Roman"/>
                <w:sz w:val="21"/>
              </w:rPr>
              <w:t>1,2-</w:t>
            </w:r>
            <w:r>
              <w:rPr>
                <w:sz w:val="21"/>
              </w:rPr>
              <w:t>二氯丙烷</w:t>
            </w:r>
          </w:p>
        </w:tc>
        <w:tc>
          <w:tcPr>
            <w:tcW w:w="1986" w:type="dxa"/>
          </w:tcPr>
          <w:p>
            <w:pPr>
              <w:pStyle w:val="14"/>
              <w:spacing w:before="78"/>
              <w:ind w:left="654" w:right="648"/>
              <w:rPr>
                <w:rFonts w:ascii="Times New Roman" w:hAnsi="Times New Roman"/>
                <w:sz w:val="21"/>
              </w:rPr>
            </w:pPr>
            <w:r>
              <w:rPr>
                <w:rFonts w:ascii="Times New Roman" w:hAnsi="Times New Roman"/>
                <w:sz w:val="21"/>
              </w:rPr>
              <w:t>μg/kg</w:t>
            </w:r>
          </w:p>
        </w:tc>
        <w:tc>
          <w:tcPr>
            <w:tcW w:w="3150" w:type="dxa"/>
          </w:tcPr>
          <w:p>
            <w:pPr>
              <w:pStyle w:val="14"/>
              <w:spacing w:before="80"/>
              <w:ind w:left="712" w:right="706"/>
              <w:rPr>
                <w:rFonts w:ascii="Times New Roman"/>
                <w:sz w:val="21"/>
              </w:rPr>
            </w:pPr>
            <w:bookmarkStart w:id="912" w:name="&lt;2"/>
            <w:bookmarkEnd w:id="912"/>
            <w:r>
              <w:rPr>
                <w:rFonts w:ascii="Times New Roman"/>
                <w:sz w:val="21"/>
              </w:rPr>
              <w:t>&lt;2</w:t>
            </w:r>
          </w:p>
        </w:tc>
        <w:tc>
          <w:tcPr>
            <w:tcW w:w="1200" w:type="dxa"/>
          </w:tcPr>
          <w:p>
            <w:pPr>
              <w:pStyle w:val="14"/>
              <w:spacing w:before="78"/>
              <w:ind w:left="390"/>
              <w:jc w:val="left"/>
              <w:rPr>
                <w:rFonts w:ascii="Times New Roman"/>
                <w:sz w:val="21"/>
              </w:rPr>
            </w:pPr>
            <w:r>
              <w:rPr>
                <w:rFonts w:ascii="Times New Roman"/>
                <w:sz w:val="21"/>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914" w:type="dxa"/>
          </w:tcPr>
          <w:p>
            <w:pPr>
              <w:pStyle w:val="14"/>
              <w:spacing w:before="62"/>
              <w:ind w:left="191" w:right="184"/>
              <w:rPr>
                <w:sz w:val="21"/>
              </w:rPr>
            </w:pPr>
            <w:r>
              <w:rPr>
                <w:rFonts w:ascii="Times New Roman" w:eastAsia="Times New Roman"/>
                <w:sz w:val="21"/>
              </w:rPr>
              <w:t>1,1,1,2-</w:t>
            </w:r>
            <w:r>
              <w:rPr>
                <w:sz w:val="21"/>
              </w:rPr>
              <w:t>四氯乙烷</w:t>
            </w:r>
          </w:p>
        </w:tc>
        <w:tc>
          <w:tcPr>
            <w:tcW w:w="1986" w:type="dxa"/>
          </w:tcPr>
          <w:p>
            <w:pPr>
              <w:pStyle w:val="14"/>
              <w:spacing w:before="76"/>
              <w:ind w:left="654" w:right="648"/>
              <w:rPr>
                <w:rFonts w:ascii="Times New Roman" w:hAnsi="Times New Roman"/>
                <w:sz w:val="21"/>
              </w:rPr>
            </w:pPr>
            <w:r>
              <w:rPr>
                <w:rFonts w:ascii="Times New Roman" w:hAnsi="Times New Roman"/>
                <w:sz w:val="21"/>
              </w:rPr>
              <w:t>μg/kg</w:t>
            </w:r>
          </w:p>
        </w:tc>
        <w:tc>
          <w:tcPr>
            <w:tcW w:w="3150" w:type="dxa"/>
          </w:tcPr>
          <w:p>
            <w:pPr>
              <w:pStyle w:val="14"/>
              <w:spacing w:before="79"/>
              <w:ind w:left="712" w:right="706"/>
              <w:rPr>
                <w:rFonts w:ascii="Times New Roman"/>
                <w:sz w:val="21"/>
              </w:rPr>
            </w:pPr>
            <w:bookmarkStart w:id="913" w:name="&lt;3"/>
            <w:bookmarkEnd w:id="913"/>
            <w:r>
              <w:rPr>
                <w:rFonts w:ascii="Times New Roman"/>
                <w:sz w:val="21"/>
              </w:rPr>
              <w:t>&lt;3</w:t>
            </w:r>
          </w:p>
        </w:tc>
        <w:tc>
          <w:tcPr>
            <w:tcW w:w="1200" w:type="dxa"/>
          </w:tcPr>
          <w:p>
            <w:pPr>
              <w:pStyle w:val="14"/>
              <w:spacing w:before="76"/>
              <w:ind w:left="337"/>
              <w:jc w:val="left"/>
              <w:rPr>
                <w:rFonts w:ascii="Times New Roman"/>
                <w:sz w:val="21"/>
              </w:rPr>
            </w:pPr>
            <w:r>
              <w:rPr>
                <w:rFonts w:ascii="Times New Roman"/>
                <w:sz w:val="21"/>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3"/>
              <w:ind w:left="191" w:right="184"/>
              <w:rPr>
                <w:sz w:val="21"/>
              </w:rPr>
            </w:pPr>
            <w:r>
              <w:rPr>
                <w:rFonts w:ascii="Times New Roman" w:eastAsia="Times New Roman"/>
                <w:sz w:val="21"/>
              </w:rPr>
              <w:t>1,1,2,2-</w:t>
            </w:r>
            <w:r>
              <w:rPr>
                <w:sz w:val="21"/>
              </w:rPr>
              <w:t>四氯乙烷</w:t>
            </w:r>
          </w:p>
        </w:tc>
        <w:tc>
          <w:tcPr>
            <w:tcW w:w="1986" w:type="dxa"/>
          </w:tcPr>
          <w:p>
            <w:pPr>
              <w:pStyle w:val="14"/>
              <w:spacing w:before="99"/>
              <w:ind w:left="654" w:right="648"/>
              <w:rPr>
                <w:rFonts w:ascii="Times New Roman" w:hAnsi="Times New Roman"/>
                <w:sz w:val="21"/>
              </w:rPr>
            </w:pPr>
            <w:bookmarkStart w:id="914" w:name="μg/kg"/>
            <w:bookmarkEnd w:id="914"/>
            <w:r>
              <w:rPr>
                <w:rFonts w:ascii="Times New Roman" w:hAnsi="Times New Roman"/>
                <w:sz w:val="21"/>
              </w:rPr>
              <w:t>μg/kg</w:t>
            </w:r>
          </w:p>
        </w:tc>
        <w:tc>
          <w:tcPr>
            <w:tcW w:w="3150" w:type="dxa"/>
          </w:tcPr>
          <w:p>
            <w:pPr>
              <w:pStyle w:val="14"/>
              <w:spacing w:before="99"/>
              <w:ind w:left="712" w:right="706"/>
              <w:rPr>
                <w:rFonts w:ascii="Times New Roman"/>
                <w:sz w:val="21"/>
              </w:rPr>
            </w:pPr>
            <w:bookmarkStart w:id="915" w:name="&lt;3"/>
            <w:bookmarkEnd w:id="915"/>
            <w:r>
              <w:rPr>
                <w:rFonts w:ascii="Times New Roman"/>
                <w:sz w:val="21"/>
              </w:rPr>
              <w:t>&lt;3</w:t>
            </w:r>
          </w:p>
        </w:tc>
        <w:tc>
          <w:tcPr>
            <w:tcW w:w="1200" w:type="dxa"/>
          </w:tcPr>
          <w:p>
            <w:pPr>
              <w:pStyle w:val="14"/>
              <w:spacing w:before="77"/>
              <w:ind w:left="390"/>
              <w:jc w:val="left"/>
              <w:rPr>
                <w:rFonts w:ascii="Times New Roman"/>
                <w:sz w:val="21"/>
              </w:rPr>
            </w:pPr>
            <w:r>
              <w:rPr>
                <w:rFonts w:ascii="Times New Roman"/>
                <w:sz w:val="21"/>
              </w:rPr>
              <w:t>6800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2"/>
              <w:ind w:left="188" w:right="184"/>
              <w:rPr>
                <w:sz w:val="21"/>
              </w:rPr>
            </w:pPr>
            <w:r>
              <w:rPr>
                <w:sz w:val="21"/>
              </w:rPr>
              <w:t>四氯乙烯</w:t>
            </w:r>
          </w:p>
        </w:tc>
        <w:tc>
          <w:tcPr>
            <w:tcW w:w="1986" w:type="dxa"/>
          </w:tcPr>
          <w:p>
            <w:pPr>
              <w:pStyle w:val="14"/>
              <w:spacing w:before="97"/>
              <w:ind w:left="654" w:right="648"/>
              <w:rPr>
                <w:rFonts w:ascii="Times New Roman" w:hAnsi="Times New Roman"/>
                <w:sz w:val="21"/>
              </w:rPr>
            </w:pPr>
            <w:bookmarkStart w:id="916" w:name="μg/kg"/>
            <w:bookmarkEnd w:id="916"/>
            <w:r>
              <w:rPr>
                <w:rFonts w:ascii="Times New Roman" w:hAnsi="Times New Roman"/>
                <w:sz w:val="21"/>
              </w:rPr>
              <w:t>μg/kg</w:t>
            </w:r>
          </w:p>
        </w:tc>
        <w:tc>
          <w:tcPr>
            <w:tcW w:w="3150" w:type="dxa"/>
          </w:tcPr>
          <w:p>
            <w:pPr>
              <w:pStyle w:val="14"/>
              <w:spacing w:before="97"/>
              <w:ind w:left="712" w:right="706"/>
              <w:rPr>
                <w:rFonts w:ascii="Times New Roman"/>
                <w:sz w:val="21"/>
              </w:rPr>
            </w:pPr>
            <w:bookmarkStart w:id="917" w:name="&lt;2"/>
            <w:bookmarkEnd w:id="917"/>
            <w:r>
              <w:rPr>
                <w:rFonts w:ascii="Times New Roman"/>
                <w:sz w:val="21"/>
              </w:rPr>
              <w:t>&lt;2</w:t>
            </w:r>
          </w:p>
        </w:tc>
        <w:tc>
          <w:tcPr>
            <w:tcW w:w="1200" w:type="dxa"/>
          </w:tcPr>
          <w:p>
            <w:pPr>
              <w:pStyle w:val="14"/>
              <w:spacing w:before="76"/>
              <w:ind w:left="337"/>
              <w:jc w:val="left"/>
              <w:rPr>
                <w:rFonts w:ascii="Times New Roman"/>
                <w:sz w:val="21"/>
              </w:rPr>
            </w:pPr>
            <w:r>
              <w:rPr>
                <w:rFonts w:ascii="Times New Roman"/>
                <w:sz w:val="21"/>
              </w:rPr>
              <w:t>53000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3"/>
              <w:ind w:left="191" w:right="182"/>
              <w:rPr>
                <w:sz w:val="21"/>
              </w:rPr>
            </w:pPr>
            <w:r>
              <w:rPr>
                <w:rFonts w:ascii="Times New Roman" w:eastAsia="Times New Roman"/>
                <w:sz w:val="21"/>
              </w:rPr>
              <w:t>1,1,1-</w:t>
            </w:r>
            <w:r>
              <w:rPr>
                <w:sz w:val="21"/>
              </w:rPr>
              <w:t>三氯乙烷</w:t>
            </w:r>
          </w:p>
        </w:tc>
        <w:tc>
          <w:tcPr>
            <w:tcW w:w="1986" w:type="dxa"/>
          </w:tcPr>
          <w:p>
            <w:pPr>
              <w:pStyle w:val="14"/>
              <w:spacing w:before="98"/>
              <w:ind w:left="654" w:right="648"/>
              <w:rPr>
                <w:rFonts w:ascii="Times New Roman" w:hAnsi="Times New Roman"/>
                <w:sz w:val="21"/>
              </w:rPr>
            </w:pPr>
            <w:bookmarkStart w:id="918" w:name="μg/kg"/>
            <w:bookmarkEnd w:id="918"/>
            <w:r>
              <w:rPr>
                <w:rFonts w:ascii="Times New Roman" w:hAnsi="Times New Roman"/>
                <w:sz w:val="21"/>
              </w:rPr>
              <w:t>μg/kg</w:t>
            </w:r>
          </w:p>
        </w:tc>
        <w:tc>
          <w:tcPr>
            <w:tcW w:w="3150" w:type="dxa"/>
          </w:tcPr>
          <w:p>
            <w:pPr>
              <w:pStyle w:val="14"/>
              <w:spacing w:before="98"/>
              <w:ind w:left="712" w:right="706"/>
              <w:rPr>
                <w:rFonts w:ascii="Times New Roman"/>
                <w:sz w:val="21"/>
              </w:rPr>
            </w:pPr>
            <w:bookmarkStart w:id="919" w:name="&lt;2"/>
            <w:bookmarkEnd w:id="919"/>
            <w:r>
              <w:rPr>
                <w:rFonts w:ascii="Times New Roman"/>
                <w:sz w:val="21"/>
              </w:rPr>
              <w:t>&lt;2</w:t>
            </w:r>
          </w:p>
        </w:tc>
        <w:tc>
          <w:tcPr>
            <w:tcW w:w="1200" w:type="dxa"/>
          </w:tcPr>
          <w:p>
            <w:pPr>
              <w:pStyle w:val="14"/>
              <w:spacing w:before="77"/>
              <w:ind w:left="284"/>
              <w:jc w:val="left"/>
              <w:rPr>
                <w:rFonts w:ascii="Times New Roman"/>
                <w:sz w:val="21"/>
              </w:rPr>
            </w:pPr>
            <w:r>
              <w:rPr>
                <w:rFonts w:ascii="Times New Roman"/>
                <w:sz w:val="21"/>
              </w:rPr>
              <w:t>840000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4"/>
              <w:ind w:left="191" w:right="182"/>
              <w:rPr>
                <w:sz w:val="21"/>
              </w:rPr>
            </w:pPr>
            <w:r>
              <w:rPr>
                <w:rFonts w:ascii="Times New Roman" w:eastAsia="Times New Roman"/>
                <w:sz w:val="21"/>
              </w:rPr>
              <w:t>1,1,2-</w:t>
            </w:r>
            <w:r>
              <w:rPr>
                <w:sz w:val="21"/>
              </w:rPr>
              <w:t>三氯乙烷</w:t>
            </w:r>
          </w:p>
        </w:tc>
        <w:tc>
          <w:tcPr>
            <w:tcW w:w="1986" w:type="dxa"/>
          </w:tcPr>
          <w:p>
            <w:pPr>
              <w:pStyle w:val="14"/>
              <w:spacing w:before="97"/>
              <w:ind w:left="654" w:right="648"/>
              <w:rPr>
                <w:rFonts w:ascii="Times New Roman" w:hAnsi="Times New Roman"/>
                <w:sz w:val="21"/>
              </w:rPr>
            </w:pPr>
            <w:bookmarkStart w:id="920" w:name="μg/kg"/>
            <w:bookmarkEnd w:id="920"/>
            <w:r>
              <w:rPr>
                <w:rFonts w:ascii="Times New Roman" w:hAnsi="Times New Roman"/>
                <w:sz w:val="21"/>
              </w:rPr>
              <w:t>μg/kg</w:t>
            </w:r>
          </w:p>
        </w:tc>
        <w:tc>
          <w:tcPr>
            <w:tcW w:w="3150" w:type="dxa"/>
          </w:tcPr>
          <w:p>
            <w:pPr>
              <w:pStyle w:val="14"/>
              <w:spacing w:before="97"/>
              <w:ind w:left="712" w:right="706"/>
              <w:rPr>
                <w:rFonts w:ascii="Times New Roman"/>
                <w:sz w:val="21"/>
              </w:rPr>
            </w:pPr>
            <w:bookmarkStart w:id="921" w:name="&lt;2"/>
            <w:bookmarkEnd w:id="921"/>
            <w:r>
              <w:rPr>
                <w:rFonts w:ascii="Times New Roman"/>
                <w:sz w:val="21"/>
              </w:rPr>
              <w:t>&lt;2</w:t>
            </w:r>
          </w:p>
        </w:tc>
        <w:tc>
          <w:tcPr>
            <w:tcW w:w="1200" w:type="dxa"/>
          </w:tcPr>
          <w:p>
            <w:pPr>
              <w:pStyle w:val="14"/>
              <w:spacing w:before="78"/>
              <w:ind w:left="131" w:right="124"/>
              <w:rPr>
                <w:rFonts w:ascii="Times New Roman"/>
                <w:sz w:val="21"/>
              </w:rPr>
            </w:pPr>
            <w:r>
              <w:rPr>
                <w:rFonts w:ascii="Times New Roman"/>
                <w:sz w:val="21"/>
              </w:rPr>
              <w:t>280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914" w:type="dxa"/>
          </w:tcPr>
          <w:p>
            <w:pPr>
              <w:pStyle w:val="14"/>
              <w:spacing w:before="62"/>
              <w:ind w:left="188" w:right="184"/>
              <w:rPr>
                <w:sz w:val="21"/>
              </w:rPr>
            </w:pPr>
            <w:r>
              <w:rPr>
                <w:sz w:val="21"/>
              </w:rPr>
              <w:t>三氯乙烯</w:t>
            </w:r>
          </w:p>
        </w:tc>
        <w:tc>
          <w:tcPr>
            <w:tcW w:w="1986" w:type="dxa"/>
          </w:tcPr>
          <w:p>
            <w:pPr>
              <w:pStyle w:val="14"/>
              <w:spacing w:before="98"/>
              <w:ind w:left="654" w:right="648"/>
              <w:rPr>
                <w:rFonts w:ascii="Times New Roman" w:hAnsi="Times New Roman"/>
                <w:sz w:val="21"/>
              </w:rPr>
            </w:pPr>
            <w:bookmarkStart w:id="922" w:name="μg/kg"/>
            <w:bookmarkEnd w:id="922"/>
            <w:r>
              <w:rPr>
                <w:rFonts w:ascii="Times New Roman" w:hAnsi="Times New Roman"/>
                <w:sz w:val="21"/>
              </w:rPr>
              <w:t>μg/kg</w:t>
            </w:r>
          </w:p>
        </w:tc>
        <w:tc>
          <w:tcPr>
            <w:tcW w:w="3150" w:type="dxa"/>
          </w:tcPr>
          <w:p>
            <w:pPr>
              <w:pStyle w:val="14"/>
              <w:spacing w:before="98"/>
              <w:ind w:left="712" w:right="706"/>
              <w:rPr>
                <w:rFonts w:ascii="Times New Roman"/>
                <w:sz w:val="21"/>
              </w:rPr>
            </w:pPr>
            <w:bookmarkStart w:id="923" w:name="&lt;2"/>
            <w:bookmarkEnd w:id="923"/>
            <w:r>
              <w:rPr>
                <w:rFonts w:ascii="Times New Roman"/>
                <w:sz w:val="21"/>
              </w:rPr>
              <w:t>&lt;2</w:t>
            </w:r>
          </w:p>
        </w:tc>
        <w:tc>
          <w:tcPr>
            <w:tcW w:w="1200" w:type="dxa"/>
          </w:tcPr>
          <w:p>
            <w:pPr>
              <w:pStyle w:val="14"/>
              <w:spacing w:before="76"/>
              <w:ind w:left="131" w:right="124"/>
              <w:rPr>
                <w:rFonts w:ascii="Times New Roman"/>
                <w:sz w:val="21"/>
              </w:rPr>
            </w:pPr>
            <w:r>
              <w:rPr>
                <w:rFonts w:ascii="Times New Roman"/>
                <w:sz w:val="21"/>
              </w:rPr>
              <w:t>280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4"/>
              <w:ind w:left="191" w:right="182"/>
              <w:rPr>
                <w:sz w:val="21"/>
              </w:rPr>
            </w:pPr>
            <w:r>
              <w:rPr>
                <w:rFonts w:ascii="Times New Roman" w:eastAsia="Times New Roman"/>
                <w:sz w:val="21"/>
              </w:rPr>
              <w:t>1,2,3-</w:t>
            </w:r>
            <w:r>
              <w:rPr>
                <w:sz w:val="21"/>
              </w:rPr>
              <w:t>三氯丙烷</w:t>
            </w:r>
          </w:p>
        </w:tc>
        <w:tc>
          <w:tcPr>
            <w:tcW w:w="1986" w:type="dxa"/>
          </w:tcPr>
          <w:p>
            <w:pPr>
              <w:pStyle w:val="14"/>
              <w:spacing w:before="97"/>
              <w:ind w:left="654" w:right="648"/>
              <w:rPr>
                <w:rFonts w:ascii="Times New Roman" w:hAnsi="Times New Roman"/>
                <w:sz w:val="21"/>
              </w:rPr>
            </w:pPr>
            <w:bookmarkStart w:id="924" w:name="μg/kg"/>
            <w:bookmarkEnd w:id="924"/>
            <w:r>
              <w:rPr>
                <w:rFonts w:ascii="Times New Roman" w:hAnsi="Times New Roman"/>
                <w:sz w:val="21"/>
              </w:rPr>
              <w:t>μg/kg</w:t>
            </w:r>
          </w:p>
        </w:tc>
        <w:tc>
          <w:tcPr>
            <w:tcW w:w="3150" w:type="dxa"/>
          </w:tcPr>
          <w:p>
            <w:pPr>
              <w:pStyle w:val="14"/>
              <w:spacing w:before="97"/>
              <w:ind w:left="712" w:right="706"/>
              <w:rPr>
                <w:rFonts w:ascii="Times New Roman"/>
                <w:sz w:val="21"/>
              </w:rPr>
            </w:pPr>
            <w:bookmarkStart w:id="925" w:name="&lt;3"/>
            <w:bookmarkEnd w:id="925"/>
            <w:r>
              <w:rPr>
                <w:rFonts w:ascii="Times New Roman"/>
                <w:sz w:val="21"/>
              </w:rPr>
              <w:t>&lt;3</w:t>
            </w:r>
          </w:p>
        </w:tc>
        <w:tc>
          <w:tcPr>
            <w:tcW w:w="1200" w:type="dxa"/>
          </w:tcPr>
          <w:p>
            <w:pPr>
              <w:pStyle w:val="14"/>
              <w:spacing w:before="77"/>
              <w:ind w:left="131" w:right="124"/>
              <w:rPr>
                <w:rFonts w:ascii="Times New Roman"/>
                <w:sz w:val="21"/>
              </w:rPr>
            </w:pPr>
            <w:r>
              <w:rPr>
                <w:rFonts w:ascii="Times New Roman"/>
                <w:sz w:val="21"/>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2"/>
              <w:ind w:left="191" w:right="184"/>
              <w:rPr>
                <w:sz w:val="21"/>
              </w:rPr>
            </w:pPr>
            <w:r>
              <w:rPr>
                <w:sz w:val="21"/>
              </w:rPr>
              <w:t>氯乙烯</w:t>
            </w:r>
          </w:p>
        </w:tc>
        <w:tc>
          <w:tcPr>
            <w:tcW w:w="1986" w:type="dxa"/>
          </w:tcPr>
          <w:p>
            <w:pPr>
              <w:pStyle w:val="14"/>
              <w:spacing w:before="98"/>
              <w:ind w:left="654" w:right="648"/>
              <w:rPr>
                <w:rFonts w:ascii="Times New Roman" w:hAnsi="Times New Roman"/>
                <w:sz w:val="21"/>
              </w:rPr>
            </w:pPr>
            <w:bookmarkStart w:id="926" w:name="μg/kg"/>
            <w:bookmarkEnd w:id="926"/>
            <w:r>
              <w:rPr>
                <w:rFonts w:ascii="Times New Roman" w:hAnsi="Times New Roman"/>
                <w:sz w:val="21"/>
              </w:rPr>
              <w:t>μg/kg</w:t>
            </w:r>
          </w:p>
        </w:tc>
        <w:tc>
          <w:tcPr>
            <w:tcW w:w="3150" w:type="dxa"/>
          </w:tcPr>
          <w:p>
            <w:pPr>
              <w:pStyle w:val="14"/>
              <w:spacing w:before="98"/>
              <w:ind w:left="712" w:right="706"/>
              <w:rPr>
                <w:rFonts w:ascii="Times New Roman"/>
                <w:sz w:val="21"/>
              </w:rPr>
            </w:pPr>
            <w:bookmarkStart w:id="927" w:name="&lt;2"/>
            <w:bookmarkEnd w:id="927"/>
            <w:r>
              <w:rPr>
                <w:rFonts w:ascii="Times New Roman"/>
                <w:sz w:val="21"/>
              </w:rPr>
              <w:t>&lt;2</w:t>
            </w:r>
          </w:p>
        </w:tc>
        <w:tc>
          <w:tcPr>
            <w:tcW w:w="1200" w:type="dxa"/>
          </w:tcPr>
          <w:p>
            <w:pPr>
              <w:pStyle w:val="14"/>
              <w:spacing w:before="76"/>
              <w:ind w:left="131" w:right="124"/>
              <w:rPr>
                <w:rFonts w:ascii="Times New Roman"/>
                <w:sz w:val="21"/>
              </w:rPr>
            </w:pPr>
            <w:r>
              <w:rPr>
                <w:rFonts w:ascii="Times New Roman"/>
                <w:sz w:val="21"/>
              </w:rPr>
              <w:t>430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3"/>
              <w:ind w:left="9"/>
              <w:rPr>
                <w:sz w:val="21"/>
              </w:rPr>
            </w:pPr>
            <w:r>
              <w:rPr>
                <w:w w:val="99"/>
                <w:sz w:val="21"/>
              </w:rPr>
              <w:t>苯</w:t>
            </w:r>
          </w:p>
        </w:tc>
        <w:tc>
          <w:tcPr>
            <w:tcW w:w="1986" w:type="dxa"/>
          </w:tcPr>
          <w:p>
            <w:pPr>
              <w:pStyle w:val="14"/>
              <w:spacing w:before="99"/>
              <w:ind w:left="654" w:right="648"/>
              <w:rPr>
                <w:rFonts w:ascii="Times New Roman"/>
                <w:sz w:val="21"/>
              </w:rPr>
            </w:pPr>
            <w:bookmarkStart w:id="928" w:name="mg/kg"/>
            <w:bookmarkEnd w:id="928"/>
            <w:r>
              <w:rPr>
                <w:rFonts w:ascii="Times New Roman"/>
                <w:sz w:val="21"/>
              </w:rPr>
              <w:t>mg/kg</w:t>
            </w:r>
          </w:p>
        </w:tc>
        <w:tc>
          <w:tcPr>
            <w:tcW w:w="3150" w:type="dxa"/>
          </w:tcPr>
          <w:p>
            <w:pPr>
              <w:pStyle w:val="14"/>
              <w:spacing w:before="99"/>
              <w:ind w:left="714" w:right="704"/>
              <w:rPr>
                <w:rFonts w:ascii="Times New Roman"/>
                <w:sz w:val="21"/>
              </w:rPr>
            </w:pPr>
            <w:bookmarkStart w:id="929" w:name="&lt;0.01"/>
            <w:bookmarkEnd w:id="929"/>
            <w:r>
              <w:rPr>
                <w:rFonts w:ascii="Times New Roman"/>
                <w:sz w:val="21"/>
              </w:rPr>
              <w:t>&lt;0.01</w:t>
            </w:r>
          </w:p>
        </w:tc>
        <w:tc>
          <w:tcPr>
            <w:tcW w:w="1200" w:type="dxa"/>
          </w:tcPr>
          <w:p>
            <w:pPr>
              <w:pStyle w:val="14"/>
              <w:spacing w:before="77"/>
              <w:ind w:left="7"/>
              <w:rPr>
                <w:rFonts w:ascii="Times New Roman"/>
                <w:sz w:val="21"/>
              </w:rPr>
            </w:pPr>
            <w:r>
              <w:rPr>
                <w:rFonts w:ascii="Times New Roman"/>
                <w:w w:val="99"/>
                <w:sz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2"/>
              <w:ind w:left="191" w:right="184"/>
              <w:rPr>
                <w:sz w:val="21"/>
              </w:rPr>
            </w:pPr>
            <w:r>
              <w:rPr>
                <w:sz w:val="21"/>
              </w:rPr>
              <w:t>氯苯</w:t>
            </w:r>
          </w:p>
        </w:tc>
        <w:tc>
          <w:tcPr>
            <w:tcW w:w="1986" w:type="dxa"/>
          </w:tcPr>
          <w:p>
            <w:pPr>
              <w:pStyle w:val="14"/>
              <w:spacing w:before="97"/>
              <w:ind w:left="654" w:right="648"/>
              <w:rPr>
                <w:rFonts w:ascii="Times New Roman" w:hAnsi="Times New Roman"/>
                <w:sz w:val="21"/>
              </w:rPr>
            </w:pPr>
            <w:bookmarkStart w:id="930" w:name="μg/kg"/>
            <w:bookmarkEnd w:id="930"/>
            <w:r>
              <w:rPr>
                <w:rFonts w:ascii="Times New Roman" w:hAnsi="Times New Roman"/>
                <w:sz w:val="21"/>
              </w:rPr>
              <w:t>μg/kg</w:t>
            </w:r>
          </w:p>
        </w:tc>
        <w:tc>
          <w:tcPr>
            <w:tcW w:w="3150" w:type="dxa"/>
          </w:tcPr>
          <w:p>
            <w:pPr>
              <w:pStyle w:val="14"/>
              <w:spacing w:before="97"/>
              <w:ind w:left="714" w:right="704"/>
              <w:rPr>
                <w:rFonts w:ascii="Times New Roman"/>
                <w:sz w:val="21"/>
              </w:rPr>
            </w:pPr>
            <w:bookmarkStart w:id="931" w:name="&lt;1.1"/>
            <w:bookmarkEnd w:id="931"/>
            <w:r>
              <w:rPr>
                <w:rFonts w:ascii="Times New Roman"/>
                <w:sz w:val="21"/>
              </w:rPr>
              <w:t>&lt;1.1</w:t>
            </w:r>
          </w:p>
        </w:tc>
        <w:tc>
          <w:tcPr>
            <w:tcW w:w="1200" w:type="dxa"/>
          </w:tcPr>
          <w:p>
            <w:pPr>
              <w:pStyle w:val="14"/>
              <w:spacing w:before="76"/>
              <w:ind w:left="284"/>
              <w:jc w:val="left"/>
              <w:rPr>
                <w:rFonts w:ascii="Times New Roman"/>
                <w:sz w:val="21"/>
              </w:rPr>
            </w:pPr>
            <w:r>
              <w:rPr>
                <w:rFonts w:ascii="Times New Roman"/>
                <w:sz w:val="21"/>
              </w:rPr>
              <w:t>270000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914" w:type="dxa"/>
          </w:tcPr>
          <w:p>
            <w:pPr>
              <w:pStyle w:val="14"/>
              <w:spacing w:before="63"/>
              <w:ind w:left="191" w:right="184"/>
              <w:rPr>
                <w:sz w:val="21"/>
              </w:rPr>
            </w:pPr>
            <w:r>
              <w:rPr>
                <w:rFonts w:ascii="Times New Roman" w:eastAsia="Times New Roman"/>
                <w:sz w:val="21"/>
              </w:rPr>
              <w:t>1,2-</w:t>
            </w:r>
            <w:r>
              <w:rPr>
                <w:sz w:val="21"/>
              </w:rPr>
              <w:t>二氯苯</w:t>
            </w:r>
          </w:p>
        </w:tc>
        <w:tc>
          <w:tcPr>
            <w:tcW w:w="1986" w:type="dxa"/>
          </w:tcPr>
          <w:p>
            <w:pPr>
              <w:pStyle w:val="14"/>
              <w:spacing w:before="98"/>
              <w:ind w:left="654" w:right="648"/>
              <w:rPr>
                <w:rFonts w:ascii="Times New Roman" w:hAnsi="Times New Roman"/>
                <w:sz w:val="21"/>
              </w:rPr>
            </w:pPr>
            <w:bookmarkStart w:id="932" w:name="μg/kg"/>
            <w:bookmarkEnd w:id="932"/>
            <w:r>
              <w:rPr>
                <w:rFonts w:ascii="Times New Roman" w:hAnsi="Times New Roman"/>
                <w:sz w:val="21"/>
              </w:rPr>
              <w:t>μg/kg</w:t>
            </w:r>
          </w:p>
        </w:tc>
        <w:tc>
          <w:tcPr>
            <w:tcW w:w="3150" w:type="dxa"/>
          </w:tcPr>
          <w:p>
            <w:pPr>
              <w:pStyle w:val="14"/>
              <w:spacing w:before="98"/>
              <w:ind w:left="714" w:right="704"/>
              <w:rPr>
                <w:rFonts w:ascii="Times New Roman"/>
                <w:sz w:val="21"/>
              </w:rPr>
            </w:pPr>
            <w:bookmarkStart w:id="933" w:name="&lt;1.0"/>
            <w:bookmarkEnd w:id="933"/>
            <w:r>
              <w:rPr>
                <w:rFonts w:ascii="Times New Roman"/>
                <w:sz w:val="21"/>
              </w:rPr>
              <w:t>&lt;1.0</w:t>
            </w:r>
          </w:p>
        </w:tc>
        <w:tc>
          <w:tcPr>
            <w:tcW w:w="1200" w:type="dxa"/>
          </w:tcPr>
          <w:p>
            <w:pPr>
              <w:pStyle w:val="14"/>
              <w:spacing w:before="77"/>
              <w:ind w:left="284"/>
              <w:jc w:val="left"/>
              <w:rPr>
                <w:rFonts w:ascii="Times New Roman"/>
                <w:sz w:val="21"/>
              </w:rPr>
            </w:pPr>
            <w:r>
              <w:rPr>
                <w:rFonts w:ascii="Times New Roman"/>
                <w:sz w:val="21"/>
              </w:rPr>
              <w:t>560000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914" w:type="dxa"/>
          </w:tcPr>
          <w:p>
            <w:pPr>
              <w:pStyle w:val="14"/>
              <w:spacing w:before="64"/>
              <w:ind w:left="191" w:right="184"/>
              <w:rPr>
                <w:sz w:val="21"/>
              </w:rPr>
            </w:pPr>
            <w:r>
              <w:rPr>
                <w:rFonts w:ascii="Times New Roman" w:eastAsia="Times New Roman"/>
                <w:sz w:val="21"/>
              </w:rPr>
              <w:t>1,4-</w:t>
            </w:r>
            <w:r>
              <w:rPr>
                <w:sz w:val="21"/>
              </w:rPr>
              <w:t>二氯苯</w:t>
            </w:r>
          </w:p>
        </w:tc>
        <w:tc>
          <w:tcPr>
            <w:tcW w:w="1986" w:type="dxa"/>
          </w:tcPr>
          <w:p>
            <w:pPr>
              <w:pStyle w:val="14"/>
              <w:spacing w:before="78"/>
              <w:ind w:left="654" w:right="648"/>
              <w:rPr>
                <w:rFonts w:ascii="Times New Roman" w:hAnsi="Times New Roman"/>
                <w:sz w:val="21"/>
              </w:rPr>
            </w:pPr>
            <w:r>
              <w:rPr>
                <w:rFonts w:ascii="Times New Roman" w:hAnsi="Times New Roman"/>
                <w:sz w:val="21"/>
              </w:rPr>
              <w:t>μg/kg</w:t>
            </w:r>
          </w:p>
        </w:tc>
        <w:tc>
          <w:tcPr>
            <w:tcW w:w="3150" w:type="dxa"/>
          </w:tcPr>
          <w:p>
            <w:pPr>
              <w:pStyle w:val="14"/>
              <w:spacing w:before="80"/>
              <w:ind w:left="714" w:right="704"/>
              <w:rPr>
                <w:rFonts w:ascii="Times New Roman"/>
                <w:sz w:val="21"/>
              </w:rPr>
            </w:pPr>
            <w:bookmarkStart w:id="934" w:name="&lt;1.2"/>
            <w:bookmarkEnd w:id="934"/>
            <w:r>
              <w:rPr>
                <w:rFonts w:ascii="Times New Roman"/>
                <w:sz w:val="21"/>
              </w:rPr>
              <w:t>&lt;1.2</w:t>
            </w:r>
          </w:p>
        </w:tc>
        <w:tc>
          <w:tcPr>
            <w:tcW w:w="1200" w:type="dxa"/>
          </w:tcPr>
          <w:p>
            <w:pPr>
              <w:pStyle w:val="14"/>
              <w:spacing w:before="78"/>
              <w:ind w:left="337"/>
              <w:jc w:val="left"/>
              <w:rPr>
                <w:rFonts w:ascii="Times New Roman"/>
                <w:sz w:val="21"/>
              </w:rPr>
            </w:pPr>
            <w:r>
              <w:rPr>
                <w:rFonts w:ascii="Times New Roman"/>
                <w:sz w:val="21"/>
              </w:rPr>
              <w:t>20000</w:t>
            </w:r>
          </w:p>
        </w:tc>
      </w:tr>
    </w:tbl>
    <w:p>
      <w:pPr>
        <w:spacing w:after="0"/>
        <w:jc w:val="left"/>
        <w:rPr>
          <w:rFonts w:ascii="Times New Roman"/>
          <w:sz w:val="21"/>
        </w:rPr>
        <w:sectPr>
          <w:pgSz w:w="11910" w:h="16840"/>
          <w:pgMar w:top="1580" w:right="780" w:bottom="1240" w:left="1200" w:header="0" w:footer="1058" w:gutter="0"/>
        </w:sectPr>
      </w:pPr>
    </w:p>
    <w:tbl>
      <w:tblPr>
        <w:tblStyle w:val="10"/>
        <w:tblW w:w="0" w:type="auto"/>
        <w:tblInd w:w="6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14"/>
        <w:gridCol w:w="1986"/>
        <w:gridCol w:w="3150"/>
        <w:gridCol w:w="12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914" w:type="dxa"/>
          </w:tcPr>
          <w:p>
            <w:pPr>
              <w:pStyle w:val="14"/>
              <w:spacing w:before="63"/>
              <w:ind w:left="191" w:right="184"/>
              <w:rPr>
                <w:sz w:val="21"/>
              </w:rPr>
            </w:pPr>
            <w:r>
              <w:rPr>
                <w:sz w:val="21"/>
              </w:rPr>
              <w:t>乙苯</w:t>
            </w:r>
          </w:p>
        </w:tc>
        <w:tc>
          <w:tcPr>
            <w:tcW w:w="1986" w:type="dxa"/>
          </w:tcPr>
          <w:p>
            <w:pPr>
              <w:pStyle w:val="14"/>
              <w:spacing w:before="77"/>
              <w:ind w:left="654" w:right="648"/>
              <w:rPr>
                <w:rFonts w:ascii="Times New Roman"/>
                <w:sz w:val="21"/>
              </w:rPr>
            </w:pPr>
            <w:r>
              <w:rPr>
                <w:rFonts w:ascii="Times New Roman"/>
                <w:sz w:val="21"/>
              </w:rPr>
              <w:t>mg/kg</w:t>
            </w:r>
          </w:p>
        </w:tc>
        <w:tc>
          <w:tcPr>
            <w:tcW w:w="3150" w:type="dxa"/>
          </w:tcPr>
          <w:p>
            <w:pPr>
              <w:pStyle w:val="14"/>
              <w:spacing w:before="79"/>
              <w:ind w:left="714" w:right="704"/>
              <w:rPr>
                <w:rFonts w:ascii="Times New Roman"/>
                <w:sz w:val="21"/>
              </w:rPr>
            </w:pPr>
            <w:bookmarkStart w:id="935" w:name="&lt;0.006"/>
            <w:bookmarkEnd w:id="935"/>
            <w:r>
              <w:rPr>
                <w:rFonts w:ascii="Times New Roman"/>
                <w:sz w:val="21"/>
              </w:rPr>
              <w:t>&lt;0.006</w:t>
            </w:r>
          </w:p>
        </w:tc>
        <w:tc>
          <w:tcPr>
            <w:tcW w:w="1200" w:type="dxa"/>
          </w:tcPr>
          <w:p>
            <w:pPr>
              <w:pStyle w:val="14"/>
              <w:spacing w:before="77"/>
              <w:ind w:left="493"/>
              <w:jc w:val="left"/>
              <w:rPr>
                <w:rFonts w:ascii="Times New Roman"/>
                <w:sz w:val="21"/>
              </w:rPr>
            </w:pPr>
            <w:r>
              <w:rPr>
                <w:rFonts w:ascii="Times New Roman"/>
                <w:sz w:val="21"/>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4"/>
              <w:ind w:left="641"/>
              <w:jc w:val="left"/>
              <w:rPr>
                <w:sz w:val="21"/>
              </w:rPr>
            </w:pPr>
            <w:r>
              <w:rPr>
                <w:sz w:val="21"/>
              </w:rPr>
              <w:t>苯乙烯</w:t>
            </w:r>
          </w:p>
        </w:tc>
        <w:tc>
          <w:tcPr>
            <w:tcW w:w="1986" w:type="dxa"/>
          </w:tcPr>
          <w:p>
            <w:pPr>
              <w:pStyle w:val="14"/>
              <w:spacing w:before="97"/>
              <w:ind w:left="654" w:right="648"/>
              <w:rPr>
                <w:rFonts w:ascii="Times New Roman"/>
                <w:sz w:val="21"/>
              </w:rPr>
            </w:pPr>
            <w:bookmarkStart w:id="936" w:name="mg/kg"/>
            <w:bookmarkEnd w:id="936"/>
            <w:r>
              <w:rPr>
                <w:rFonts w:ascii="Times New Roman"/>
                <w:sz w:val="21"/>
              </w:rPr>
              <w:t>mg/kg</w:t>
            </w:r>
          </w:p>
        </w:tc>
        <w:tc>
          <w:tcPr>
            <w:tcW w:w="3150" w:type="dxa"/>
          </w:tcPr>
          <w:p>
            <w:pPr>
              <w:pStyle w:val="14"/>
              <w:spacing w:before="80"/>
              <w:ind w:left="714" w:right="704"/>
              <w:rPr>
                <w:rFonts w:ascii="Times New Roman"/>
                <w:sz w:val="21"/>
              </w:rPr>
            </w:pPr>
            <w:bookmarkStart w:id="937" w:name="&lt;0.002"/>
            <w:bookmarkEnd w:id="937"/>
            <w:r>
              <w:rPr>
                <w:rFonts w:ascii="Times New Roman"/>
                <w:sz w:val="21"/>
              </w:rPr>
              <w:t>&lt;0.002</w:t>
            </w:r>
          </w:p>
        </w:tc>
        <w:tc>
          <w:tcPr>
            <w:tcW w:w="1200" w:type="dxa"/>
          </w:tcPr>
          <w:p>
            <w:pPr>
              <w:pStyle w:val="14"/>
              <w:spacing w:before="78"/>
              <w:ind w:left="390"/>
              <w:jc w:val="left"/>
              <w:rPr>
                <w:rFonts w:ascii="Times New Roman"/>
                <w:sz w:val="21"/>
              </w:rPr>
            </w:pPr>
            <w:r>
              <w:rPr>
                <w:rFonts w:ascii="Times New Roman"/>
                <w:sz w:val="21"/>
              </w:rPr>
              <w:t>1290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3"/>
              <w:ind w:left="191" w:right="184"/>
              <w:rPr>
                <w:sz w:val="21"/>
              </w:rPr>
            </w:pPr>
            <w:r>
              <w:rPr>
                <w:sz w:val="21"/>
              </w:rPr>
              <w:t>甲苯</w:t>
            </w:r>
          </w:p>
        </w:tc>
        <w:tc>
          <w:tcPr>
            <w:tcW w:w="1986" w:type="dxa"/>
          </w:tcPr>
          <w:p>
            <w:pPr>
              <w:pStyle w:val="14"/>
              <w:spacing w:before="98"/>
              <w:ind w:left="654" w:right="648"/>
              <w:rPr>
                <w:rFonts w:ascii="Times New Roman"/>
                <w:sz w:val="21"/>
              </w:rPr>
            </w:pPr>
            <w:bookmarkStart w:id="938" w:name="mg/kg"/>
            <w:bookmarkEnd w:id="938"/>
            <w:r>
              <w:rPr>
                <w:rFonts w:ascii="Times New Roman"/>
                <w:sz w:val="21"/>
              </w:rPr>
              <w:t>mg/kg</w:t>
            </w:r>
          </w:p>
        </w:tc>
        <w:tc>
          <w:tcPr>
            <w:tcW w:w="3150" w:type="dxa"/>
          </w:tcPr>
          <w:p>
            <w:pPr>
              <w:pStyle w:val="14"/>
              <w:spacing w:before="79"/>
              <w:ind w:left="714" w:right="704"/>
              <w:rPr>
                <w:rFonts w:ascii="Times New Roman"/>
                <w:sz w:val="21"/>
              </w:rPr>
            </w:pPr>
            <w:bookmarkStart w:id="939" w:name="&lt;0.006"/>
            <w:bookmarkEnd w:id="939"/>
            <w:r>
              <w:rPr>
                <w:rFonts w:ascii="Times New Roman"/>
                <w:sz w:val="21"/>
              </w:rPr>
              <w:t>&lt;0.006</w:t>
            </w:r>
          </w:p>
        </w:tc>
        <w:tc>
          <w:tcPr>
            <w:tcW w:w="1200" w:type="dxa"/>
          </w:tcPr>
          <w:p>
            <w:pPr>
              <w:pStyle w:val="14"/>
              <w:spacing w:before="76"/>
              <w:ind w:left="390"/>
              <w:jc w:val="left"/>
              <w:rPr>
                <w:rFonts w:ascii="Times New Roman"/>
                <w:sz w:val="21"/>
              </w:rPr>
            </w:pPr>
            <w:r>
              <w:rPr>
                <w:rFonts w:ascii="Times New Roman"/>
                <w:sz w:val="21"/>
              </w:rPr>
              <w:t>1200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3"/>
              <w:ind w:left="535"/>
              <w:jc w:val="left"/>
              <w:rPr>
                <w:sz w:val="21"/>
              </w:rPr>
            </w:pPr>
            <w:r>
              <w:rPr>
                <w:sz w:val="21"/>
              </w:rPr>
              <w:t>间二甲苯</w:t>
            </w:r>
          </w:p>
        </w:tc>
        <w:tc>
          <w:tcPr>
            <w:tcW w:w="1986" w:type="dxa"/>
          </w:tcPr>
          <w:p>
            <w:pPr>
              <w:pStyle w:val="14"/>
              <w:spacing w:before="97"/>
              <w:ind w:left="654" w:right="648"/>
              <w:rPr>
                <w:rFonts w:ascii="Times New Roman"/>
                <w:sz w:val="21"/>
              </w:rPr>
            </w:pPr>
            <w:bookmarkStart w:id="940" w:name="mg/kg"/>
            <w:bookmarkEnd w:id="940"/>
            <w:r>
              <w:rPr>
                <w:rFonts w:ascii="Times New Roman"/>
                <w:sz w:val="21"/>
              </w:rPr>
              <w:t>mg/kg</w:t>
            </w:r>
          </w:p>
        </w:tc>
        <w:tc>
          <w:tcPr>
            <w:tcW w:w="3150" w:type="dxa"/>
          </w:tcPr>
          <w:p>
            <w:pPr>
              <w:pStyle w:val="14"/>
              <w:spacing w:before="80"/>
              <w:ind w:left="714" w:right="704"/>
              <w:rPr>
                <w:rFonts w:ascii="Times New Roman"/>
                <w:sz w:val="21"/>
              </w:rPr>
            </w:pPr>
            <w:bookmarkStart w:id="941" w:name="&lt;0.009"/>
            <w:bookmarkEnd w:id="941"/>
            <w:r>
              <w:rPr>
                <w:rFonts w:ascii="Times New Roman"/>
                <w:sz w:val="21"/>
              </w:rPr>
              <w:t>&lt;0.009</w:t>
            </w:r>
          </w:p>
        </w:tc>
        <w:tc>
          <w:tcPr>
            <w:tcW w:w="1200" w:type="dxa"/>
          </w:tcPr>
          <w:p>
            <w:pPr>
              <w:pStyle w:val="14"/>
              <w:spacing w:before="77"/>
              <w:ind w:left="440"/>
              <w:jc w:val="left"/>
              <w:rPr>
                <w:rFonts w:ascii="Times New Roman"/>
                <w:sz w:val="21"/>
              </w:rPr>
            </w:pPr>
            <w:r>
              <w:rPr>
                <w:rFonts w:ascii="Times New Roman"/>
                <w:sz w:val="21"/>
              </w:rPr>
              <w:t>570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2"/>
              <w:ind w:left="535"/>
              <w:jc w:val="left"/>
              <w:rPr>
                <w:sz w:val="21"/>
              </w:rPr>
            </w:pPr>
            <w:r>
              <w:rPr>
                <w:sz w:val="21"/>
              </w:rPr>
              <w:t>对二甲苯</w:t>
            </w:r>
          </w:p>
        </w:tc>
        <w:tc>
          <w:tcPr>
            <w:tcW w:w="1986" w:type="dxa"/>
          </w:tcPr>
          <w:p>
            <w:pPr>
              <w:pStyle w:val="14"/>
              <w:spacing w:before="98"/>
              <w:ind w:left="654" w:right="648"/>
              <w:rPr>
                <w:rFonts w:ascii="Times New Roman"/>
                <w:sz w:val="21"/>
              </w:rPr>
            </w:pPr>
            <w:bookmarkStart w:id="942" w:name="mg/kg"/>
            <w:bookmarkEnd w:id="942"/>
            <w:r>
              <w:rPr>
                <w:rFonts w:ascii="Times New Roman"/>
                <w:sz w:val="21"/>
              </w:rPr>
              <w:t>mg/kg</w:t>
            </w:r>
          </w:p>
        </w:tc>
        <w:tc>
          <w:tcPr>
            <w:tcW w:w="3150" w:type="dxa"/>
          </w:tcPr>
          <w:p>
            <w:pPr>
              <w:pStyle w:val="14"/>
              <w:spacing w:before="81"/>
              <w:ind w:left="714" w:right="704"/>
              <w:rPr>
                <w:rFonts w:ascii="Times New Roman"/>
                <w:sz w:val="21"/>
              </w:rPr>
            </w:pPr>
            <w:bookmarkStart w:id="943" w:name="&lt;0.009"/>
            <w:bookmarkEnd w:id="943"/>
            <w:r>
              <w:rPr>
                <w:rFonts w:ascii="Times New Roman"/>
                <w:sz w:val="21"/>
              </w:rPr>
              <w:t>&lt;0.009</w:t>
            </w:r>
          </w:p>
        </w:tc>
        <w:tc>
          <w:tcPr>
            <w:tcW w:w="1200" w:type="dxa"/>
          </w:tcPr>
          <w:p>
            <w:pPr>
              <w:pStyle w:val="14"/>
              <w:spacing w:before="76"/>
              <w:ind w:left="440"/>
              <w:jc w:val="left"/>
              <w:rPr>
                <w:rFonts w:ascii="Times New Roman"/>
                <w:sz w:val="21"/>
              </w:rPr>
            </w:pPr>
            <w:r>
              <w:rPr>
                <w:rFonts w:ascii="Times New Roman"/>
                <w:sz w:val="21"/>
              </w:rPr>
              <w:t>570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914" w:type="dxa"/>
          </w:tcPr>
          <w:p>
            <w:pPr>
              <w:pStyle w:val="14"/>
              <w:spacing w:before="63"/>
              <w:ind w:left="535"/>
              <w:jc w:val="left"/>
              <w:rPr>
                <w:sz w:val="21"/>
              </w:rPr>
            </w:pPr>
            <w:r>
              <w:rPr>
                <w:sz w:val="21"/>
              </w:rPr>
              <w:t>邻二甲苯</w:t>
            </w:r>
          </w:p>
        </w:tc>
        <w:tc>
          <w:tcPr>
            <w:tcW w:w="1986" w:type="dxa"/>
          </w:tcPr>
          <w:p>
            <w:pPr>
              <w:pStyle w:val="14"/>
              <w:spacing w:before="77"/>
              <w:ind w:left="654" w:right="648"/>
              <w:rPr>
                <w:rFonts w:ascii="Times New Roman"/>
                <w:sz w:val="21"/>
              </w:rPr>
            </w:pPr>
            <w:r>
              <w:rPr>
                <w:rFonts w:ascii="Times New Roman"/>
                <w:sz w:val="21"/>
              </w:rPr>
              <w:t>mg/kg</w:t>
            </w:r>
          </w:p>
        </w:tc>
        <w:tc>
          <w:tcPr>
            <w:tcW w:w="3150" w:type="dxa"/>
          </w:tcPr>
          <w:p>
            <w:pPr>
              <w:pStyle w:val="14"/>
              <w:spacing w:before="79"/>
              <w:ind w:left="714" w:right="704"/>
              <w:rPr>
                <w:rFonts w:ascii="Times New Roman"/>
                <w:sz w:val="21"/>
              </w:rPr>
            </w:pPr>
            <w:bookmarkStart w:id="944" w:name="&lt;0.002"/>
            <w:bookmarkEnd w:id="944"/>
            <w:r>
              <w:rPr>
                <w:rFonts w:ascii="Times New Roman"/>
                <w:sz w:val="21"/>
              </w:rPr>
              <w:t>&lt;0.002</w:t>
            </w:r>
          </w:p>
        </w:tc>
        <w:tc>
          <w:tcPr>
            <w:tcW w:w="1200" w:type="dxa"/>
          </w:tcPr>
          <w:p>
            <w:pPr>
              <w:pStyle w:val="14"/>
              <w:spacing w:before="77"/>
              <w:ind w:left="440"/>
              <w:jc w:val="left"/>
              <w:rPr>
                <w:rFonts w:ascii="Times New Roman"/>
                <w:sz w:val="21"/>
              </w:rPr>
            </w:pPr>
            <w:r>
              <w:rPr>
                <w:rFonts w:ascii="Times New Roman"/>
                <w:sz w:val="21"/>
              </w:rPr>
              <w:t>640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2"/>
              <w:ind w:left="641"/>
              <w:jc w:val="left"/>
              <w:rPr>
                <w:sz w:val="21"/>
              </w:rPr>
            </w:pPr>
            <w:r>
              <w:rPr>
                <w:sz w:val="21"/>
              </w:rPr>
              <w:t>硝基苯</w:t>
            </w:r>
          </w:p>
        </w:tc>
        <w:tc>
          <w:tcPr>
            <w:tcW w:w="1986" w:type="dxa"/>
          </w:tcPr>
          <w:p>
            <w:pPr>
              <w:pStyle w:val="14"/>
              <w:spacing w:before="76"/>
              <w:ind w:left="654" w:right="648"/>
              <w:rPr>
                <w:rFonts w:ascii="Times New Roman"/>
                <w:sz w:val="21"/>
              </w:rPr>
            </w:pPr>
            <w:r>
              <w:rPr>
                <w:rFonts w:ascii="Times New Roman"/>
                <w:sz w:val="21"/>
              </w:rPr>
              <w:t>mg/kg</w:t>
            </w:r>
          </w:p>
        </w:tc>
        <w:tc>
          <w:tcPr>
            <w:tcW w:w="3150" w:type="dxa"/>
          </w:tcPr>
          <w:p>
            <w:pPr>
              <w:pStyle w:val="14"/>
              <w:spacing w:before="80"/>
              <w:ind w:left="714" w:right="704"/>
              <w:rPr>
                <w:rFonts w:ascii="Times New Roman"/>
                <w:sz w:val="21"/>
              </w:rPr>
            </w:pPr>
            <w:bookmarkStart w:id="945" w:name="&lt;0.09"/>
            <w:bookmarkEnd w:id="945"/>
            <w:r>
              <w:rPr>
                <w:rFonts w:ascii="Times New Roman"/>
                <w:sz w:val="21"/>
              </w:rPr>
              <w:t>&lt;0.09</w:t>
            </w:r>
          </w:p>
        </w:tc>
        <w:tc>
          <w:tcPr>
            <w:tcW w:w="1200" w:type="dxa"/>
          </w:tcPr>
          <w:p>
            <w:pPr>
              <w:pStyle w:val="14"/>
              <w:spacing w:before="76"/>
              <w:ind w:left="493"/>
              <w:jc w:val="left"/>
              <w:rPr>
                <w:rFonts w:ascii="Times New Roman"/>
                <w:sz w:val="21"/>
              </w:rPr>
            </w:pPr>
            <w:r>
              <w:rPr>
                <w:rFonts w:ascii="Times New Roman"/>
                <w:sz w:val="21"/>
              </w:rPr>
              <w:t>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3"/>
              <w:ind w:left="191" w:right="184"/>
              <w:rPr>
                <w:sz w:val="21"/>
              </w:rPr>
            </w:pPr>
            <w:r>
              <w:rPr>
                <w:sz w:val="21"/>
              </w:rPr>
              <w:t>苯胺</w:t>
            </w:r>
          </w:p>
        </w:tc>
        <w:tc>
          <w:tcPr>
            <w:tcW w:w="1986" w:type="dxa"/>
          </w:tcPr>
          <w:p>
            <w:pPr>
              <w:pStyle w:val="14"/>
              <w:spacing w:before="77"/>
              <w:ind w:left="654" w:right="648"/>
              <w:rPr>
                <w:rFonts w:ascii="Times New Roman"/>
                <w:sz w:val="21"/>
              </w:rPr>
            </w:pPr>
            <w:r>
              <w:rPr>
                <w:rFonts w:ascii="Times New Roman"/>
                <w:sz w:val="21"/>
              </w:rPr>
              <w:t>mg/kg</w:t>
            </w:r>
          </w:p>
        </w:tc>
        <w:tc>
          <w:tcPr>
            <w:tcW w:w="3150" w:type="dxa"/>
          </w:tcPr>
          <w:p>
            <w:pPr>
              <w:pStyle w:val="14"/>
              <w:spacing w:before="79"/>
              <w:ind w:left="714" w:right="704"/>
              <w:rPr>
                <w:rFonts w:ascii="Times New Roman"/>
                <w:sz w:val="21"/>
              </w:rPr>
            </w:pPr>
            <w:bookmarkStart w:id="946" w:name="&lt;0.37"/>
            <w:bookmarkEnd w:id="946"/>
            <w:r>
              <w:rPr>
                <w:rFonts w:ascii="Times New Roman"/>
                <w:sz w:val="21"/>
              </w:rPr>
              <w:t>&lt;0.37</w:t>
            </w:r>
          </w:p>
        </w:tc>
        <w:tc>
          <w:tcPr>
            <w:tcW w:w="1200" w:type="dxa"/>
          </w:tcPr>
          <w:p>
            <w:pPr>
              <w:pStyle w:val="14"/>
              <w:spacing w:before="77"/>
              <w:ind w:left="440"/>
              <w:jc w:val="left"/>
              <w:rPr>
                <w:rFonts w:ascii="Times New Roman"/>
                <w:sz w:val="21"/>
              </w:rPr>
            </w:pPr>
            <w:r>
              <w:rPr>
                <w:rFonts w:ascii="Times New Roman"/>
                <w:sz w:val="21"/>
              </w:rPr>
              <w:t>260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4"/>
              <w:ind w:left="9"/>
              <w:rPr>
                <w:sz w:val="21"/>
              </w:rPr>
            </w:pPr>
            <w:r>
              <w:rPr>
                <w:w w:val="99"/>
                <w:sz w:val="21"/>
              </w:rPr>
              <w:t>萘</w:t>
            </w:r>
          </w:p>
        </w:tc>
        <w:tc>
          <w:tcPr>
            <w:tcW w:w="1986" w:type="dxa"/>
          </w:tcPr>
          <w:p>
            <w:pPr>
              <w:pStyle w:val="14"/>
              <w:spacing w:before="78"/>
              <w:ind w:left="654" w:right="648"/>
              <w:rPr>
                <w:rFonts w:ascii="Times New Roman"/>
                <w:sz w:val="21"/>
              </w:rPr>
            </w:pPr>
            <w:r>
              <w:rPr>
                <w:rFonts w:ascii="Times New Roman"/>
                <w:sz w:val="21"/>
              </w:rPr>
              <w:t>mg/kg</w:t>
            </w:r>
          </w:p>
        </w:tc>
        <w:tc>
          <w:tcPr>
            <w:tcW w:w="3150" w:type="dxa"/>
          </w:tcPr>
          <w:p>
            <w:pPr>
              <w:pStyle w:val="14"/>
              <w:spacing w:before="80"/>
              <w:ind w:left="714" w:right="704"/>
              <w:rPr>
                <w:rFonts w:ascii="Times New Roman"/>
                <w:sz w:val="21"/>
              </w:rPr>
            </w:pPr>
            <w:bookmarkStart w:id="947" w:name="&lt;0.09"/>
            <w:bookmarkEnd w:id="947"/>
            <w:r>
              <w:rPr>
                <w:rFonts w:ascii="Times New Roman"/>
                <w:sz w:val="21"/>
              </w:rPr>
              <w:t>&lt;0.09</w:t>
            </w:r>
          </w:p>
        </w:tc>
        <w:tc>
          <w:tcPr>
            <w:tcW w:w="1200" w:type="dxa"/>
          </w:tcPr>
          <w:p>
            <w:pPr>
              <w:pStyle w:val="14"/>
              <w:spacing w:before="78"/>
              <w:ind w:left="493"/>
              <w:jc w:val="left"/>
              <w:rPr>
                <w:rFonts w:ascii="Times New Roman"/>
                <w:sz w:val="21"/>
              </w:rPr>
            </w:pPr>
            <w:r>
              <w:rPr>
                <w:rFonts w:ascii="Times New Roman"/>
                <w:sz w:val="21"/>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2"/>
              <w:ind w:left="191" w:right="184"/>
              <w:rPr>
                <w:sz w:val="21"/>
              </w:rPr>
            </w:pPr>
            <w:r>
              <w:rPr>
                <w:rFonts w:ascii="Times New Roman" w:eastAsia="Times New Roman"/>
                <w:sz w:val="21"/>
              </w:rPr>
              <w:t>2-</w:t>
            </w:r>
            <w:r>
              <w:rPr>
                <w:sz w:val="21"/>
              </w:rPr>
              <w:t>氯酚</w:t>
            </w:r>
          </w:p>
        </w:tc>
        <w:tc>
          <w:tcPr>
            <w:tcW w:w="1986" w:type="dxa"/>
          </w:tcPr>
          <w:p>
            <w:pPr>
              <w:pStyle w:val="14"/>
              <w:spacing w:before="76"/>
              <w:ind w:left="654" w:right="648"/>
              <w:rPr>
                <w:rFonts w:ascii="Times New Roman"/>
                <w:sz w:val="21"/>
              </w:rPr>
            </w:pPr>
            <w:r>
              <w:rPr>
                <w:rFonts w:ascii="Times New Roman"/>
                <w:sz w:val="21"/>
              </w:rPr>
              <w:t>mg/kg</w:t>
            </w:r>
          </w:p>
        </w:tc>
        <w:tc>
          <w:tcPr>
            <w:tcW w:w="3150" w:type="dxa"/>
          </w:tcPr>
          <w:p>
            <w:pPr>
              <w:pStyle w:val="14"/>
              <w:spacing w:before="79"/>
              <w:ind w:left="714" w:right="704"/>
              <w:rPr>
                <w:rFonts w:ascii="Times New Roman"/>
                <w:sz w:val="21"/>
              </w:rPr>
            </w:pPr>
            <w:bookmarkStart w:id="948" w:name="&lt;0.06"/>
            <w:bookmarkEnd w:id="948"/>
            <w:r>
              <w:rPr>
                <w:rFonts w:ascii="Times New Roman"/>
                <w:sz w:val="21"/>
              </w:rPr>
              <w:t>&lt;0.06</w:t>
            </w:r>
          </w:p>
        </w:tc>
        <w:tc>
          <w:tcPr>
            <w:tcW w:w="1200" w:type="dxa"/>
          </w:tcPr>
          <w:p>
            <w:pPr>
              <w:pStyle w:val="14"/>
              <w:spacing w:before="76"/>
              <w:ind w:left="390"/>
              <w:jc w:val="left"/>
              <w:rPr>
                <w:rFonts w:ascii="Times New Roman"/>
                <w:sz w:val="21"/>
              </w:rPr>
            </w:pPr>
            <w:r>
              <w:rPr>
                <w:rFonts w:ascii="Times New Roman"/>
                <w:sz w:val="21"/>
              </w:rPr>
              <w:t>2256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914" w:type="dxa"/>
          </w:tcPr>
          <w:p>
            <w:pPr>
              <w:pStyle w:val="14"/>
              <w:spacing w:before="63"/>
              <w:ind w:left="525"/>
              <w:jc w:val="left"/>
              <w:rPr>
                <w:sz w:val="21"/>
              </w:rPr>
            </w:pPr>
            <w:r>
              <w:rPr>
                <w:sz w:val="21"/>
              </w:rPr>
              <w:t>苯并</w:t>
            </w:r>
            <w:r>
              <w:rPr>
                <w:rFonts w:ascii="Times New Roman" w:eastAsia="Times New Roman"/>
                <w:sz w:val="21"/>
              </w:rPr>
              <w:t>[a]</w:t>
            </w:r>
            <w:r>
              <w:rPr>
                <w:sz w:val="21"/>
              </w:rPr>
              <w:t>蒽</w:t>
            </w:r>
          </w:p>
        </w:tc>
        <w:tc>
          <w:tcPr>
            <w:tcW w:w="1986" w:type="dxa"/>
          </w:tcPr>
          <w:p>
            <w:pPr>
              <w:pStyle w:val="14"/>
              <w:spacing w:before="77"/>
              <w:ind w:left="654" w:right="648"/>
              <w:rPr>
                <w:rFonts w:ascii="Times New Roman"/>
                <w:sz w:val="21"/>
              </w:rPr>
            </w:pPr>
            <w:r>
              <w:rPr>
                <w:rFonts w:ascii="Times New Roman"/>
                <w:sz w:val="21"/>
              </w:rPr>
              <w:t>mg/kg</w:t>
            </w:r>
          </w:p>
        </w:tc>
        <w:tc>
          <w:tcPr>
            <w:tcW w:w="3150" w:type="dxa"/>
          </w:tcPr>
          <w:p>
            <w:pPr>
              <w:pStyle w:val="14"/>
              <w:spacing w:before="80"/>
              <w:ind w:left="714" w:right="704"/>
              <w:rPr>
                <w:rFonts w:ascii="Times New Roman"/>
                <w:sz w:val="21"/>
              </w:rPr>
            </w:pPr>
            <w:bookmarkStart w:id="949" w:name="&lt;0.12"/>
            <w:bookmarkEnd w:id="949"/>
            <w:r>
              <w:rPr>
                <w:rFonts w:ascii="Times New Roman"/>
                <w:sz w:val="21"/>
              </w:rPr>
              <w:t>&lt;0.12</w:t>
            </w:r>
          </w:p>
        </w:tc>
        <w:tc>
          <w:tcPr>
            <w:tcW w:w="1200" w:type="dxa"/>
          </w:tcPr>
          <w:p>
            <w:pPr>
              <w:pStyle w:val="14"/>
              <w:spacing w:before="77"/>
              <w:ind w:left="493"/>
              <w:jc w:val="left"/>
              <w:rPr>
                <w:rFonts w:ascii="Times New Roman"/>
                <w:sz w:val="21"/>
              </w:rPr>
            </w:pPr>
            <w:r>
              <w:rPr>
                <w:rFonts w:ascii="Times New Roman"/>
                <w:sz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2"/>
              <w:ind w:left="525"/>
              <w:jc w:val="left"/>
              <w:rPr>
                <w:sz w:val="21"/>
              </w:rPr>
            </w:pPr>
            <w:r>
              <w:rPr>
                <w:sz w:val="21"/>
              </w:rPr>
              <w:t>苯并</w:t>
            </w:r>
            <w:r>
              <w:rPr>
                <w:rFonts w:ascii="Times New Roman" w:eastAsia="Times New Roman"/>
                <w:sz w:val="21"/>
              </w:rPr>
              <w:t>[a]</w:t>
            </w:r>
            <w:r>
              <w:rPr>
                <w:sz w:val="21"/>
              </w:rPr>
              <w:t>芘</w:t>
            </w:r>
          </w:p>
        </w:tc>
        <w:tc>
          <w:tcPr>
            <w:tcW w:w="1986" w:type="dxa"/>
          </w:tcPr>
          <w:p>
            <w:pPr>
              <w:pStyle w:val="14"/>
              <w:spacing w:before="76"/>
              <w:ind w:left="654" w:right="648"/>
              <w:rPr>
                <w:rFonts w:ascii="Times New Roman"/>
                <w:sz w:val="21"/>
              </w:rPr>
            </w:pPr>
            <w:r>
              <w:rPr>
                <w:rFonts w:ascii="Times New Roman"/>
                <w:sz w:val="21"/>
              </w:rPr>
              <w:t>mg/kg</w:t>
            </w:r>
          </w:p>
        </w:tc>
        <w:tc>
          <w:tcPr>
            <w:tcW w:w="3150" w:type="dxa"/>
          </w:tcPr>
          <w:p>
            <w:pPr>
              <w:pStyle w:val="14"/>
              <w:spacing w:before="81"/>
              <w:ind w:left="714" w:right="704"/>
              <w:rPr>
                <w:rFonts w:ascii="Times New Roman"/>
                <w:sz w:val="21"/>
              </w:rPr>
            </w:pPr>
            <w:bookmarkStart w:id="950" w:name="&lt;0.17"/>
            <w:bookmarkEnd w:id="950"/>
            <w:r>
              <w:rPr>
                <w:rFonts w:ascii="Times New Roman"/>
                <w:sz w:val="21"/>
              </w:rPr>
              <w:t>&lt;0.17</w:t>
            </w:r>
          </w:p>
        </w:tc>
        <w:tc>
          <w:tcPr>
            <w:tcW w:w="1200" w:type="dxa"/>
          </w:tcPr>
          <w:p>
            <w:pPr>
              <w:pStyle w:val="14"/>
              <w:spacing w:before="76"/>
              <w:ind w:left="469"/>
              <w:jc w:val="left"/>
              <w:rPr>
                <w:rFonts w:ascii="Times New Roman"/>
                <w:sz w:val="21"/>
              </w:rPr>
            </w:pPr>
            <w:r>
              <w:rPr>
                <w:rFonts w:ascii="Times New Roman"/>
                <w:sz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914" w:type="dxa"/>
          </w:tcPr>
          <w:p>
            <w:pPr>
              <w:pStyle w:val="14"/>
              <w:spacing w:before="63"/>
              <w:ind w:left="415"/>
              <w:jc w:val="left"/>
              <w:rPr>
                <w:sz w:val="21"/>
              </w:rPr>
            </w:pPr>
            <w:r>
              <w:rPr>
                <w:sz w:val="21"/>
              </w:rPr>
              <w:t>苯并</w:t>
            </w:r>
            <w:r>
              <w:rPr>
                <w:rFonts w:ascii="Times New Roman" w:eastAsia="Times New Roman"/>
                <w:sz w:val="21"/>
              </w:rPr>
              <w:t>[b]</w:t>
            </w:r>
            <w:r>
              <w:rPr>
                <w:sz w:val="21"/>
              </w:rPr>
              <w:t>荧蒽</w:t>
            </w:r>
          </w:p>
        </w:tc>
        <w:tc>
          <w:tcPr>
            <w:tcW w:w="1986" w:type="dxa"/>
          </w:tcPr>
          <w:p>
            <w:pPr>
              <w:pStyle w:val="14"/>
              <w:spacing w:before="77"/>
              <w:ind w:left="654" w:right="648"/>
              <w:rPr>
                <w:rFonts w:ascii="Times New Roman"/>
                <w:sz w:val="21"/>
              </w:rPr>
            </w:pPr>
            <w:r>
              <w:rPr>
                <w:rFonts w:ascii="Times New Roman"/>
                <w:sz w:val="21"/>
              </w:rPr>
              <w:t>mg/kg</w:t>
            </w:r>
          </w:p>
        </w:tc>
        <w:tc>
          <w:tcPr>
            <w:tcW w:w="3150" w:type="dxa"/>
          </w:tcPr>
          <w:p>
            <w:pPr>
              <w:pStyle w:val="14"/>
              <w:spacing w:before="79"/>
              <w:ind w:left="714" w:right="704"/>
              <w:rPr>
                <w:rFonts w:ascii="Times New Roman"/>
                <w:sz w:val="21"/>
              </w:rPr>
            </w:pPr>
            <w:bookmarkStart w:id="951" w:name="&lt;0.17"/>
            <w:bookmarkEnd w:id="951"/>
            <w:r>
              <w:rPr>
                <w:rFonts w:ascii="Times New Roman"/>
                <w:sz w:val="21"/>
              </w:rPr>
              <w:t>&lt;0.17</w:t>
            </w:r>
          </w:p>
        </w:tc>
        <w:tc>
          <w:tcPr>
            <w:tcW w:w="1200" w:type="dxa"/>
          </w:tcPr>
          <w:p>
            <w:pPr>
              <w:pStyle w:val="14"/>
              <w:spacing w:before="77"/>
              <w:ind w:left="493"/>
              <w:jc w:val="left"/>
              <w:rPr>
                <w:rFonts w:ascii="Times New Roman"/>
                <w:sz w:val="21"/>
              </w:rPr>
            </w:pPr>
            <w:r>
              <w:rPr>
                <w:rFonts w:ascii="Times New Roman"/>
                <w:sz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4"/>
              <w:ind w:left="415"/>
              <w:jc w:val="left"/>
              <w:rPr>
                <w:sz w:val="21"/>
              </w:rPr>
            </w:pPr>
            <w:r>
              <w:rPr>
                <w:sz w:val="21"/>
              </w:rPr>
              <w:t>苯并</w:t>
            </w:r>
            <w:r>
              <w:rPr>
                <w:rFonts w:ascii="Times New Roman" w:eastAsia="Times New Roman"/>
                <w:sz w:val="21"/>
              </w:rPr>
              <w:t>[k]</w:t>
            </w:r>
            <w:r>
              <w:rPr>
                <w:sz w:val="21"/>
              </w:rPr>
              <w:t>荧蒽</w:t>
            </w:r>
          </w:p>
        </w:tc>
        <w:tc>
          <w:tcPr>
            <w:tcW w:w="1986" w:type="dxa"/>
          </w:tcPr>
          <w:p>
            <w:pPr>
              <w:pStyle w:val="14"/>
              <w:spacing w:before="78"/>
              <w:ind w:left="654" w:right="648"/>
              <w:rPr>
                <w:rFonts w:ascii="Times New Roman"/>
                <w:sz w:val="21"/>
              </w:rPr>
            </w:pPr>
            <w:r>
              <w:rPr>
                <w:rFonts w:ascii="Times New Roman"/>
                <w:sz w:val="21"/>
              </w:rPr>
              <w:t>mg/kg</w:t>
            </w:r>
          </w:p>
        </w:tc>
        <w:tc>
          <w:tcPr>
            <w:tcW w:w="3150" w:type="dxa"/>
          </w:tcPr>
          <w:p>
            <w:pPr>
              <w:pStyle w:val="14"/>
              <w:spacing w:before="80"/>
              <w:ind w:left="714" w:right="704"/>
              <w:rPr>
                <w:rFonts w:ascii="Times New Roman"/>
                <w:sz w:val="21"/>
              </w:rPr>
            </w:pPr>
            <w:bookmarkStart w:id="952" w:name="&lt;0.11"/>
            <w:bookmarkEnd w:id="952"/>
            <w:r>
              <w:rPr>
                <w:rFonts w:ascii="Times New Roman"/>
                <w:sz w:val="21"/>
              </w:rPr>
              <w:t>&lt;0.11</w:t>
            </w:r>
          </w:p>
        </w:tc>
        <w:tc>
          <w:tcPr>
            <w:tcW w:w="1200" w:type="dxa"/>
          </w:tcPr>
          <w:p>
            <w:pPr>
              <w:pStyle w:val="14"/>
              <w:spacing w:before="78"/>
              <w:ind w:left="440"/>
              <w:jc w:val="left"/>
              <w:rPr>
                <w:rFonts w:ascii="Times New Roman"/>
                <w:sz w:val="21"/>
              </w:rPr>
            </w:pPr>
            <w:r>
              <w:rPr>
                <w:rFonts w:ascii="Times New Roman"/>
                <w:sz w:val="21"/>
              </w:rPr>
              <w:t>151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914" w:type="dxa"/>
          </w:tcPr>
          <w:p>
            <w:pPr>
              <w:pStyle w:val="14"/>
              <w:spacing w:before="63"/>
              <w:ind w:left="9"/>
              <w:rPr>
                <w:sz w:val="21"/>
              </w:rPr>
            </w:pPr>
            <w:r>
              <w:rPr>
                <w:w w:val="99"/>
                <w:sz w:val="21"/>
              </w:rPr>
              <w:t>䓛</w:t>
            </w:r>
          </w:p>
        </w:tc>
        <w:tc>
          <w:tcPr>
            <w:tcW w:w="1986" w:type="dxa"/>
          </w:tcPr>
          <w:p>
            <w:pPr>
              <w:pStyle w:val="14"/>
              <w:spacing w:before="76"/>
              <w:ind w:left="654" w:right="648"/>
              <w:rPr>
                <w:rFonts w:ascii="Times New Roman"/>
                <w:sz w:val="21"/>
              </w:rPr>
            </w:pPr>
            <w:r>
              <w:rPr>
                <w:rFonts w:ascii="Times New Roman"/>
                <w:sz w:val="21"/>
              </w:rPr>
              <w:t>mg/kg</w:t>
            </w:r>
          </w:p>
        </w:tc>
        <w:tc>
          <w:tcPr>
            <w:tcW w:w="3150" w:type="dxa"/>
          </w:tcPr>
          <w:p>
            <w:pPr>
              <w:pStyle w:val="14"/>
              <w:spacing w:before="79"/>
              <w:ind w:left="714" w:right="704"/>
              <w:rPr>
                <w:rFonts w:ascii="Times New Roman"/>
                <w:sz w:val="21"/>
              </w:rPr>
            </w:pPr>
            <w:bookmarkStart w:id="953" w:name="&lt;0.14"/>
            <w:bookmarkEnd w:id="953"/>
            <w:r>
              <w:rPr>
                <w:rFonts w:ascii="Times New Roman"/>
                <w:sz w:val="21"/>
              </w:rPr>
              <w:t>&lt;0.14</w:t>
            </w:r>
          </w:p>
        </w:tc>
        <w:tc>
          <w:tcPr>
            <w:tcW w:w="1200" w:type="dxa"/>
          </w:tcPr>
          <w:p>
            <w:pPr>
              <w:pStyle w:val="14"/>
              <w:spacing w:before="76"/>
              <w:ind w:left="390"/>
              <w:jc w:val="left"/>
              <w:rPr>
                <w:rFonts w:ascii="Times New Roman"/>
                <w:sz w:val="21"/>
              </w:rPr>
            </w:pPr>
            <w:r>
              <w:rPr>
                <w:rFonts w:ascii="Times New Roman"/>
                <w:sz w:val="21"/>
              </w:rPr>
              <w:t>1293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4"/>
              <w:ind w:left="230"/>
              <w:jc w:val="left"/>
              <w:rPr>
                <w:sz w:val="21"/>
              </w:rPr>
            </w:pPr>
            <w:r>
              <w:rPr>
                <w:sz w:val="21"/>
              </w:rPr>
              <w:t>茚并</w:t>
            </w:r>
            <w:r>
              <w:rPr>
                <w:rFonts w:ascii="Times New Roman" w:eastAsia="Times New Roman"/>
                <w:sz w:val="21"/>
              </w:rPr>
              <w:t>[1,2,3-cd]</w:t>
            </w:r>
            <w:r>
              <w:rPr>
                <w:sz w:val="21"/>
              </w:rPr>
              <w:t>芘</w:t>
            </w:r>
          </w:p>
        </w:tc>
        <w:tc>
          <w:tcPr>
            <w:tcW w:w="1986" w:type="dxa"/>
          </w:tcPr>
          <w:p>
            <w:pPr>
              <w:pStyle w:val="14"/>
              <w:spacing w:before="77"/>
              <w:ind w:left="654" w:right="648"/>
              <w:rPr>
                <w:rFonts w:ascii="Times New Roman"/>
                <w:sz w:val="21"/>
              </w:rPr>
            </w:pPr>
            <w:r>
              <w:rPr>
                <w:rFonts w:ascii="Times New Roman"/>
                <w:sz w:val="21"/>
              </w:rPr>
              <w:t>mg/kg</w:t>
            </w:r>
          </w:p>
        </w:tc>
        <w:tc>
          <w:tcPr>
            <w:tcW w:w="3150" w:type="dxa"/>
          </w:tcPr>
          <w:p>
            <w:pPr>
              <w:pStyle w:val="14"/>
              <w:spacing w:before="80"/>
              <w:ind w:left="714" w:right="704"/>
              <w:rPr>
                <w:rFonts w:ascii="Times New Roman"/>
                <w:sz w:val="21"/>
              </w:rPr>
            </w:pPr>
            <w:bookmarkStart w:id="954" w:name="&lt;0.13"/>
            <w:bookmarkEnd w:id="954"/>
            <w:r>
              <w:rPr>
                <w:rFonts w:ascii="Times New Roman"/>
                <w:sz w:val="21"/>
              </w:rPr>
              <w:t>&lt;0.13</w:t>
            </w:r>
          </w:p>
        </w:tc>
        <w:tc>
          <w:tcPr>
            <w:tcW w:w="1200" w:type="dxa"/>
          </w:tcPr>
          <w:p>
            <w:pPr>
              <w:pStyle w:val="14"/>
              <w:spacing w:before="77"/>
              <w:ind w:left="469"/>
              <w:jc w:val="left"/>
              <w:rPr>
                <w:rFonts w:ascii="Times New Roman"/>
                <w:sz w:val="21"/>
              </w:rPr>
            </w:pPr>
            <w:r>
              <w:rPr>
                <w:rFonts w:ascii="Times New Roman"/>
                <w:sz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2"/>
              <w:ind w:left="264"/>
              <w:jc w:val="left"/>
              <w:rPr>
                <w:sz w:val="21"/>
              </w:rPr>
            </w:pPr>
            <w:r>
              <w:rPr>
                <w:sz w:val="21"/>
              </w:rPr>
              <w:t>二苯并</w:t>
            </w:r>
            <w:r>
              <w:rPr>
                <w:rFonts w:ascii="Times New Roman" w:eastAsia="Times New Roman"/>
                <w:sz w:val="21"/>
              </w:rPr>
              <w:t>[a</w:t>
            </w:r>
            <w:r>
              <w:rPr>
                <w:sz w:val="21"/>
              </w:rPr>
              <w:t>，</w:t>
            </w:r>
            <w:r>
              <w:rPr>
                <w:rFonts w:ascii="Times New Roman" w:eastAsia="Times New Roman"/>
                <w:sz w:val="21"/>
              </w:rPr>
              <w:t>h]</w:t>
            </w:r>
            <w:r>
              <w:rPr>
                <w:sz w:val="21"/>
              </w:rPr>
              <w:t>蒽</w:t>
            </w:r>
          </w:p>
        </w:tc>
        <w:tc>
          <w:tcPr>
            <w:tcW w:w="1986" w:type="dxa"/>
          </w:tcPr>
          <w:p>
            <w:pPr>
              <w:pStyle w:val="14"/>
              <w:spacing w:before="76"/>
              <w:ind w:left="654" w:right="648"/>
              <w:rPr>
                <w:rFonts w:ascii="Times New Roman"/>
                <w:sz w:val="21"/>
              </w:rPr>
            </w:pPr>
            <w:r>
              <w:rPr>
                <w:rFonts w:ascii="Times New Roman"/>
                <w:sz w:val="21"/>
              </w:rPr>
              <w:t>mg/kg</w:t>
            </w:r>
          </w:p>
        </w:tc>
        <w:tc>
          <w:tcPr>
            <w:tcW w:w="3150" w:type="dxa"/>
          </w:tcPr>
          <w:p>
            <w:pPr>
              <w:pStyle w:val="14"/>
              <w:spacing w:before="81"/>
              <w:ind w:left="714" w:right="704"/>
              <w:rPr>
                <w:rFonts w:ascii="Times New Roman"/>
                <w:sz w:val="21"/>
              </w:rPr>
            </w:pPr>
            <w:bookmarkStart w:id="955" w:name="&lt;0.13"/>
            <w:bookmarkEnd w:id="955"/>
            <w:r>
              <w:rPr>
                <w:rFonts w:ascii="Times New Roman"/>
                <w:sz w:val="21"/>
              </w:rPr>
              <w:t>&lt;0.13</w:t>
            </w:r>
          </w:p>
        </w:tc>
        <w:tc>
          <w:tcPr>
            <w:tcW w:w="1200" w:type="dxa"/>
          </w:tcPr>
          <w:p>
            <w:pPr>
              <w:pStyle w:val="14"/>
              <w:spacing w:before="76"/>
              <w:ind w:left="493"/>
              <w:jc w:val="left"/>
              <w:rPr>
                <w:rFonts w:ascii="Times New Roman"/>
                <w:sz w:val="21"/>
              </w:rPr>
            </w:pPr>
            <w:r>
              <w:rPr>
                <w:rFonts w:ascii="Times New Roman"/>
                <w:sz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914" w:type="dxa"/>
          </w:tcPr>
          <w:p>
            <w:pPr>
              <w:pStyle w:val="14"/>
              <w:spacing w:before="63"/>
              <w:ind w:left="108" w:right="-15"/>
              <w:jc w:val="left"/>
              <w:rPr>
                <w:sz w:val="21"/>
              </w:rPr>
            </w:pPr>
            <w:r>
              <w:rPr>
                <w:spacing w:val="-21"/>
                <w:sz w:val="21"/>
              </w:rPr>
              <w:t>石油烃</w:t>
            </w:r>
            <w:r>
              <w:rPr>
                <w:sz w:val="21"/>
              </w:rPr>
              <w:t>（</w:t>
            </w:r>
            <w:r>
              <w:rPr>
                <w:rFonts w:ascii="Times New Roman" w:eastAsia="Times New Roman"/>
                <w:sz w:val="21"/>
              </w:rPr>
              <w:t>C10~C40</w:t>
            </w:r>
            <w:r>
              <w:rPr>
                <w:sz w:val="21"/>
              </w:rPr>
              <w:t>）</w:t>
            </w:r>
          </w:p>
        </w:tc>
        <w:tc>
          <w:tcPr>
            <w:tcW w:w="1986" w:type="dxa"/>
          </w:tcPr>
          <w:p>
            <w:pPr>
              <w:pStyle w:val="14"/>
              <w:spacing w:before="77"/>
              <w:ind w:left="654" w:right="648"/>
              <w:rPr>
                <w:rFonts w:ascii="Times New Roman"/>
                <w:sz w:val="21"/>
              </w:rPr>
            </w:pPr>
            <w:r>
              <w:rPr>
                <w:rFonts w:ascii="Times New Roman"/>
                <w:sz w:val="21"/>
              </w:rPr>
              <w:t>mg/kg</w:t>
            </w:r>
          </w:p>
        </w:tc>
        <w:tc>
          <w:tcPr>
            <w:tcW w:w="3150" w:type="dxa"/>
          </w:tcPr>
          <w:p>
            <w:pPr>
              <w:pStyle w:val="14"/>
              <w:spacing w:before="79"/>
              <w:ind w:left="712" w:right="706"/>
              <w:rPr>
                <w:rFonts w:ascii="Times New Roman"/>
                <w:sz w:val="21"/>
              </w:rPr>
            </w:pPr>
            <w:bookmarkStart w:id="956" w:name="&lt;6"/>
            <w:bookmarkEnd w:id="956"/>
            <w:r>
              <w:rPr>
                <w:rFonts w:ascii="Times New Roman"/>
                <w:sz w:val="21"/>
              </w:rPr>
              <w:t>&lt;6</w:t>
            </w:r>
          </w:p>
        </w:tc>
        <w:tc>
          <w:tcPr>
            <w:tcW w:w="1200" w:type="dxa"/>
          </w:tcPr>
          <w:p>
            <w:pPr>
              <w:pStyle w:val="14"/>
              <w:spacing w:before="77"/>
              <w:ind w:left="390"/>
              <w:jc w:val="left"/>
              <w:rPr>
                <w:rFonts w:ascii="Times New Roman"/>
                <w:sz w:val="21"/>
              </w:rPr>
            </w:pPr>
            <w:r>
              <w:rPr>
                <w:rFonts w:ascii="Times New Roman"/>
                <w:sz w:val="21"/>
              </w:rPr>
              <w:t>4500</w:t>
            </w:r>
          </w:p>
        </w:tc>
      </w:tr>
    </w:tbl>
    <w:p>
      <w:pPr>
        <w:spacing w:before="7"/>
        <w:ind w:left="215" w:right="0" w:firstLine="0"/>
        <w:jc w:val="left"/>
        <w:rPr>
          <w:b/>
          <w:sz w:val="18"/>
        </w:rPr>
      </w:pPr>
      <w:r>
        <w:rPr>
          <w:b/>
          <w:sz w:val="18"/>
        </w:rPr>
        <w:t>注：</w:t>
      </w:r>
      <w:r>
        <w:rPr>
          <w:rFonts w:ascii="Times New Roman" w:hAnsi="Times New Roman" w:eastAsia="Times New Roman"/>
          <w:b/>
          <w:sz w:val="18"/>
        </w:rPr>
        <w:t>“</w:t>
      </w:r>
      <w:r>
        <w:rPr>
          <w:rFonts w:ascii="Times New Roman" w:hAnsi="Times New Roman" w:eastAsia="Times New Roman"/>
          <w:sz w:val="18"/>
        </w:rPr>
        <w:t>&lt;</w:t>
      </w:r>
      <w:r>
        <w:rPr>
          <w:rFonts w:ascii="Times New Roman" w:hAnsi="Times New Roman" w:eastAsia="Times New Roman"/>
          <w:b/>
          <w:sz w:val="18"/>
        </w:rPr>
        <w:t>”</w:t>
      </w:r>
      <w:r>
        <w:rPr>
          <w:b/>
          <w:sz w:val="18"/>
        </w:rPr>
        <w:t>代表低于检出限</w:t>
      </w:r>
    </w:p>
    <w:p>
      <w:pPr>
        <w:pStyle w:val="6"/>
        <w:spacing w:before="12"/>
        <w:rPr>
          <w:b/>
        </w:rPr>
      </w:pPr>
    </w:p>
    <w:p>
      <w:pPr>
        <w:pStyle w:val="5"/>
        <w:tabs>
          <w:tab w:val="left" w:pos="1147"/>
        </w:tabs>
        <w:spacing w:before="74" w:after="3"/>
        <w:ind w:right="352"/>
        <w:jc w:val="center"/>
      </w:pPr>
      <w:r>
        <w:t>表</w:t>
      </w:r>
      <w:r>
        <w:rPr>
          <w:spacing w:val="-61"/>
        </w:rPr>
        <w:t xml:space="preserve"> </w:t>
      </w:r>
      <w:r>
        <w:rPr>
          <w:rFonts w:ascii="Times New Roman" w:eastAsia="Times New Roman"/>
          <w:spacing w:val="-3"/>
        </w:rPr>
        <w:t>11.2-3</w:t>
      </w:r>
      <w:r>
        <w:rPr>
          <w:rFonts w:ascii="Times New Roman" w:eastAsia="Times New Roman"/>
          <w:spacing w:val="-3"/>
        </w:rPr>
        <w:tab/>
      </w:r>
      <w:r>
        <w:t>土壤环境质量评价结果</w:t>
      </w:r>
    </w:p>
    <w:tbl>
      <w:tblPr>
        <w:tblStyle w:val="10"/>
        <w:tblW w:w="0" w:type="auto"/>
        <w:tblInd w:w="6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68"/>
        <w:gridCol w:w="1721"/>
        <w:gridCol w:w="3088"/>
        <w:gridCol w:w="12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vMerge w:val="restart"/>
          </w:tcPr>
          <w:p>
            <w:pPr>
              <w:pStyle w:val="14"/>
              <w:spacing w:before="10"/>
              <w:jc w:val="left"/>
              <w:rPr>
                <w:b/>
                <w:sz w:val="20"/>
              </w:rPr>
            </w:pPr>
          </w:p>
          <w:p>
            <w:pPr>
              <w:pStyle w:val="14"/>
              <w:ind w:left="749"/>
              <w:jc w:val="left"/>
              <w:rPr>
                <w:sz w:val="21"/>
              </w:rPr>
            </w:pPr>
            <w:bookmarkStart w:id="957" w:name="检测项目"/>
            <w:bookmarkEnd w:id="957"/>
            <w:r>
              <w:rPr>
                <w:sz w:val="21"/>
              </w:rPr>
              <w:t>检测项目</w:t>
            </w:r>
          </w:p>
        </w:tc>
        <w:tc>
          <w:tcPr>
            <w:tcW w:w="1721" w:type="dxa"/>
            <w:vMerge w:val="restart"/>
          </w:tcPr>
          <w:p>
            <w:pPr>
              <w:pStyle w:val="14"/>
              <w:spacing w:before="10"/>
              <w:jc w:val="left"/>
              <w:rPr>
                <w:b/>
                <w:sz w:val="20"/>
              </w:rPr>
            </w:pPr>
          </w:p>
          <w:p>
            <w:pPr>
              <w:pStyle w:val="14"/>
              <w:ind w:left="335" w:right="331"/>
              <w:rPr>
                <w:sz w:val="21"/>
              </w:rPr>
            </w:pPr>
            <w:r>
              <w:rPr>
                <w:sz w:val="21"/>
              </w:rPr>
              <w:t>单位</w:t>
            </w:r>
          </w:p>
        </w:tc>
        <w:tc>
          <w:tcPr>
            <w:tcW w:w="3088" w:type="dxa"/>
          </w:tcPr>
          <w:p>
            <w:pPr>
              <w:pStyle w:val="14"/>
              <w:spacing w:before="63"/>
              <w:ind w:left="682" w:right="675"/>
              <w:rPr>
                <w:sz w:val="21"/>
              </w:rPr>
            </w:pPr>
            <w:r>
              <w:rPr>
                <w:sz w:val="21"/>
              </w:rPr>
              <w:t>占标率（</w:t>
            </w:r>
            <w:r>
              <w:rPr>
                <w:rFonts w:ascii="Times New Roman" w:eastAsia="Times New Roman"/>
                <w:sz w:val="21"/>
              </w:rPr>
              <w:t>%</w:t>
            </w:r>
            <w:r>
              <w:rPr>
                <w:sz w:val="21"/>
              </w:rPr>
              <w:t>）</w:t>
            </w:r>
          </w:p>
        </w:tc>
        <w:tc>
          <w:tcPr>
            <w:tcW w:w="1217" w:type="dxa"/>
            <w:vMerge w:val="restart"/>
          </w:tcPr>
          <w:p>
            <w:pPr>
              <w:pStyle w:val="14"/>
              <w:spacing w:before="10"/>
              <w:jc w:val="left"/>
              <w:rPr>
                <w:b/>
                <w:sz w:val="20"/>
              </w:rPr>
            </w:pPr>
          </w:p>
          <w:p>
            <w:pPr>
              <w:pStyle w:val="14"/>
              <w:ind w:left="188"/>
              <w:jc w:val="left"/>
              <w:rPr>
                <w:sz w:val="21"/>
              </w:rPr>
            </w:pPr>
            <w:r>
              <w:rPr>
                <w:sz w:val="21"/>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vMerge w:val="continue"/>
            <w:tcBorders>
              <w:top w:val="nil"/>
            </w:tcBorders>
          </w:tcPr>
          <w:p>
            <w:pPr>
              <w:rPr>
                <w:sz w:val="2"/>
                <w:szCs w:val="2"/>
              </w:rPr>
            </w:pPr>
          </w:p>
        </w:tc>
        <w:tc>
          <w:tcPr>
            <w:tcW w:w="1721" w:type="dxa"/>
            <w:vMerge w:val="continue"/>
            <w:tcBorders>
              <w:top w:val="nil"/>
            </w:tcBorders>
          </w:tcPr>
          <w:p>
            <w:pPr>
              <w:rPr>
                <w:sz w:val="2"/>
                <w:szCs w:val="2"/>
              </w:rPr>
            </w:pPr>
          </w:p>
        </w:tc>
        <w:tc>
          <w:tcPr>
            <w:tcW w:w="3088" w:type="dxa"/>
          </w:tcPr>
          <w:p>
            <w:pPr>
              <w:pStyle w:val="14"/>
              <w:spacing w:before="64"/>
              <w:ind w:left="683" w:right="675"/>
              <w:rPr>
                <w:rFonts w:ascii="Times New Roman" w:eastAsia="Times New Roman"/>
                <w:sz w:val="21"/>
              </w:rPr>
            </w:pPr>
            <w:r>
              <w:rPr>
                <w:sz w:val="21"/>
              </w:rPr>
              <w:t xml:space="preserve">工业场地表层样 </w:t>
            </w:r>
            <w:r>
              <w:rPr>
                <w:rFonts w:ascii="Times New Roman" w:eastAsia="Times New Roman"/>
                <w:sz w:val="21"/>
              </w:rPr>
              <w:t>1</w:t>
            </w:r>
          </w:p>
        </w:tc>
        <w:tc>
          <w:tcPr>
            <w:tcW w:w="121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268" w:type="dxa"/>
          </w:tcPr>
          <w:p>
            <w:pPr>
              <w:pStyle w:val="14"/>
              <w:spacing w:before="62"/>
              <w:ind w:left="7"/>
              <w:rPr>
                <w:sz w:val="21"/>
              </w:rPr>
            </w:pPr>
            <w:r>
              <w:rPr>
                <w:w w:val="99"/>
                <w:sz w:val="21"/>
              </w:rPr>
              <w:t>砷</w:t>
            </w:r>
          </w:p>
        </w:tc>
        <w:tc>
          <w:tcPr>
            <w:tcW w:w="1721" w:type="dxa"/>
          </w:tcPr>
          <w:p>
            <w:pPr>
              <w:pStyle w:val="14"/>
              <w:spacing w:before="76"/>
              <w:ind w:left="591"/>
              <w:jc w:val="left"/>
              <w:rPr>
                <w:rFonts w:ascii="Times New Roman"/>
                <w:sz w:val="21"/>
              </w:rPr>
            </w:pPr>
            <w:r>
              <w:rPr>
                <w:rFonts w:ascii="Times New Roman"/>
                <w:sz w:val="21"/>
              </w:rPr>
              <w:t>mg/kg</w:t>
            </w:r>
          </w:p>
        </w:tc>
        <w:tc>
          <w:tcPr>
            <w:tcW w:w="3088" w:type="dxa"/>
          </w:tcPr>
          <w:p>
            <w:pPr>
              <w:pStyle w:val="14"/>
              <w:spacing w:before="76"/>
              <w:ind w:left="683" w:right="672"/>
              <w:rPr>
                <w:rFonts w:ascii="Times New Roman"/>
                <w:sz w:val="21"/>
              </w:rPr>
            </w:pPr>
            <w:r>
              <w:rPr>
                <w:rFonts w:ascii="Times New Roman"/>
                <w:sz w:val="21"/>
              </w:rPr>
              <w:t>0.132</w:t>
            </w:r>
          </w:p>
        </w:tc>
        <w:tc>
          <w:tcPr>
            <w:tcW w:w="1217" w:type="dxa"/>
          </w:tcPr>
          <w:p>
            <w:pPr>
              <w:pStyle w:val="14"/>
              <w:spacing w:before="62"/>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3"/>
              <w:ind w:left="7"/>
              <w:rPr>
                <w:sz w:val="21"/>
              </w:rPr>
            </w:pPr>
            <w:r>
              <w:rPr>
                <w:w w:val="99"/>
                <w:sz w:val="21"/>
              </w:rPr>
              <w:t>镉</w:t>
            </w:r>
          </w:p>
        </w:tc>
        <w:tc>
          <w:tcPr>
            <w:tcW w:w="1721" w:type="dxa"/>
          </w:tcPr>
          <w:p>
            <w:pPr>
              <w:pStyle w:val="14"/>
              <w:spacing w:before="77"/>
              <w:ind w:left="591"/>
              <w:jc w:val="left"/>
              <w:rPr>
                <w:rFonts w:ascii="Times New Roman"/>
                <w:sz w:val="21"/>
              </w:rPr>
            </w:pPr>
            <w:r>
              <w:rPr>
                <w:rFonts w:ascii="Times New Roman"/>
                <w:sz w:val="21"/>
              </w:rPr>
              <w:t>mg/kg</w:t>
            </w:r>
          </w:p>
        </w:tc>
        <w:tc>
          <w:tcPr>
            <w:tcW w:w="3088" w:type="dxa"/>
          </w:tcPr>
          <w:p>
            <w:pPr>
              <w:pStyle w:val="14"/>
              <w:spacing w:before="77"/>
              <w:ind w:left="683" w:right="672"/>
              <w:rPr>
                <w:rFonts w:ascii="Times New Roman"/>
                <w:sz w:val="21"/>
              </w:rPr>
            </w:pPr>
            <w:r>
              <w:rPr>
                <w:rFonts w:ascii="Times New Roman"/>
                <w:sz w:val="21"/>
              </w:rPr>
              <w:t>0.011</w:t>
            </w:r>
          </w:p>
        </w:tc>
        <w:tc>
          <w:tcPr>
            <w:tcW w:w="1217" w:type="dxa"/>
          </w:tcPr>
          <w:p>
            <w:pPr>
              <w:pStyle w:val="14"/>
              <w:spacing w:before="63"/>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2268" w:type="dxa"/>
          </w:tcPr>
          <w:p>
            <w:pPr>
              <w:pStyle w:val="14"/>
              <w:spacing w:before="64"/>
              <w:ind w:left="213" w:right="204"/>
              <w:rPr>
                <w:sz w:val="21"/>
              </w:rPr>
            </w:pPr>
            <w:r>
              <w:rPr>
                <w:sz w:val="21"/>
              </w:rPr>
              <w:t>六价铬</w:t>
            </w:r>
          </w:p>
        </w:tc>
        <w:tc>
          <w:tcPr>
            <w:tcW w:w="1721" w:type="dxa"/>
          </w:tcPr>
          <w:p>
            <w:pPr>
              <w:pStyle w:val="14"/>
              <w:spacing w:before="78"/>
              <w:ind w:left="591"/>
              <w:jc w:val="left"/>
              <w:rPr>
                <w:rFonts w:ascii="Times New Roman"/>
                <w:sz w:val="21"/>
              </w:rPr>
            </w:pPr>
            <w:r>
              <w:rPr>
                <w:rFonts w:ascii="Times New Roman"/>
                <w:sz w:val="21"/>
              </w:rPr>
              <w:t>mg/kg</w:t>
            </w:r>
          </w:p>
        </w:tc>
        <w:tc>
          <w:tcPr>
            <w:tcW w:w="3088" w:type="dxa"/>
          </w:tcPr>
          <w:p>
            <w:pPr>
              <w:pStyle w:val="14"/>
              <w:spacing w:before="64"/>
              <w:ind w:left="683" w:right="673"/>
              <w:rPr>
                <w:sz w:val="21"/>
              </w:rPr>
            </w:pPr>
            <w:r>
              <w:rPr>
                <w:sz w:val="21"/>
              </w:rPr>
              <w:t>未检出</w:t>
            </w:r>
          </w:p>
        </w:tc>
        <w:tc>
          <w:tcPr>
            <w:tcW w:w="1217" w:type="dxa"/>
          </w:tcPr>
          <w:p>
            <w:pPr>
              <w:pStyle w:val="14"/>
              <w:spacing w:before="64"/>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3"/>
              <w:ind w:left="7"/>
              <w:rPr>
                <w:sz w:val="21"/>
              </w:rPr>
            </w:pPr>
            <w:r>
              <w:rPr>
                <w:w w:val="99"/>
                <w:sz w:val="21"/>
              </w:rPr>
              <w:t>铜</w:t>
            </w:r>
          </w:p>
        </w:tc>
        <w:tc>
          <w:tcPr>
            <w:tcW w:w="1721" w:type="dxa"/>
          </w:tcPr>
          <w:p>
            <w:pPr>
              <w:pStyle w:val="14"/>
              <w:spacing w:before="77"/>
              <w:ind w:left="591"/>
              <w:jc w:val="left"/>
              <w:rPr>
                <w:rFonts w:ascii="Times New Roman"/>
                <w:sz w:val="21"/>
              </w:rPr>
            </w:pPr>
            <w:r>
              <w:rPr>
                <w:rFonts w:ascii="Times New Roman"/>
                <w:sz w:val="21"/>
              </w:rPr>
              <w:t>mg/kg</w:t>
            </w:r>
          </w:p>
        </w:tc>
        <w:tc>
          <w:tcPr>
            <w:tcW w:w="3088" w:type="dxa"/>
          </w:tcPr>
          <w:p>
            <w:pPr>
              <w:pStyle w:val="14"/>
              <w:spacing w:before="77"/>
              <w:ind w:left="683" w:right="672"/>
              <w:rPr>
                <w:rFonts w:ascii="Times New Roman"/>
                <w:sz w:val="21"/>
              </w:rPr>
            </w:pPr>
            <w:r>
              <w:rPr>
                <w:rFonts w:ascii="Times New Roman"/>
                <w:sz w:val="21"/>
              </w:rPr>
              <w:t>0.003</w:t>
            </w:r>
          </w:p>
        </w:tc>
        <w:tc>
          <w:tcPr>
            <w:tcW w:w="1217" w:type="dxa"/>
          </w:tcPr>
          <w:p>
            <w:pPr>
              <w:pStyle w:val="14"/>
              <w:spacing w:before="63"/>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268" w:type="dxa"/>
          </w:tcPr>
          <w:p>
            <w:pPr>
              <w:pStyle w:val="14"/>
              <w:spacing w:before="62"/>
              <w:ind w:left="7"/>
              <w:rPr>
                <w:sz w:val="21"/>
              </w:rPr>
            </w:pPr>
            <w:r>
              <w:rPr>
                <w:w w:val="99"/>
                <w:sz w:val="21"/>
              </w:rPr>
              <w:t>铅</w:t>
            </w:r>
          </w:p>
        </w:tc>
        <w:tc>
          <w:tcPr>
            <w:tcW w:w="1721" w:type="dxa"/>
          </w:tcPr>
          <w:p>
            <w:pPr>
              <w:pStyle w:val="14"/>
              <w:spacing w:before="76"/>
              <w:ind w:left="617"/>
              <w:jc w:val="left"/>
              <w:rPr>
                <w:rFonts w:ascii="Times New Roman" w:hAnsi="Times New Roman"/>
                <w:sz w:val="21"/>
              </w:rPr>
            </w:pPr>
            <w:r>
              <w:rPr>
                <w:rFonts w:ascii="Times New Roman" w:hAnsi="Times New Roman"/>
                <w:sz w:val="21"/>
              </w:rPr>
              <w:t>μg/kg</w:t>
            </w:r>
          </w:p>
        </w:tc>
        <w:tc>
          <w:tcPr>
            <w:tcW w:w="3088" w:type="dxa"/>
          </w:tcPr>
          <w:p>
            <w:pPr>
              <w:pStyle w:val="14"/>
              <w:spacing w:before="76"/>
              <w:ind w:left="683" w:right="672"/>
              <w:rPr>
                <w:rFonts w:ascii="Times New Roman"/>
                <w:sz w:val="21"/>
              </w:rPr>
            </w:pPr>
            <w:r>
              <w:rPr>
                <w:rFonts w:ascii="Times New Roman"/>
                <w:sz w:val="21"/>
              </w:rPr>
              <w:t>0.068</w:t>
            </w:r>
          </w:p>
        </w:tc>
        <w:tc>
          <w:tcPr>
            <w:tcW w:w="1217" w:type="dxa"/>
          </w:tcPr>
          <w:p>
            <w:pPr>
              <w:pStyle w:val="14"/>
              <w:spacing w:before="62"/>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3"/>
              <w:ind w:left="7"/>
              <w:rPr>
                <w:sz w:val="21"/>
              </w:rPr>
            </w:pPr>
            <w:r>
              <w:rPr>
                <w:w w:val="99"/>
                <w:sz w:val="21"/>
              </w:rPr>
              <w:t>汞</w:t>
            </w:r>
          </w:p>
        </w:tc>
        <w:tc>
          <w:tcPr>
            <w:tcW w:w="1721" w:type="dxa"/>
          </w:tcPr>
          <w:p>
            <w:pPr>
              <w:pStyle w:val="14"/>
              <w:spacing w:before="77"/>
              <w:ind w:left="617"/>
              <w:jc w:val="left"/>
              <w:rPr>
                <w:rFonts w:ascii="Times New Roman" w:hAnsi="Times New Roman"/>
                <w:sz w:val="21"/>
              </w:rPr>
            </w:pPr>
            <w:r>
              <w:rPr>
                <w:rFonts w:ascii="Times New Roman" w:hAnsi="Times New Roman"/>
                <w:sz w:val="21"/>
              </w:rPr>
              <w:t>μg/kg</w:t>
            </w:r>
          </w:p>
        </w:tc>
        <w:tc>
          <w:tcPr>
            <w:tcW w:w="3088" w:type="dxa"/>
          </w:tcPr>
          <w:p>
            <w:pPr>
              <w:pStyle w:val="14"/>
              <w:spacing w:before="77"/>
              <w:ind w:left="683" w:right="672"/>
              <w:rPr>
                <w:rFonts w:ascii="Times New Roman"/>
                <w:sz w:val="21"/>
              </w:rPr>
            </w:pPr>
            <w:r>
              <w:rPr>
                <w:rFonts w:ascii="Times New Roman"/>
                <w:sz w:val="21"/>
              </w:rPr>
              <w:t>0.003</w:t>
            </w:r>
          </w:p>
        </w:tc>
        <w:tc>
          <w:tcPr>
            <w:tcW w:w="1217" w:type="dxa"/>
          </w:tcPr>
          <w:p>
            <w:pPr>
              <w:pStyle w:val="14"/>
              <w:spacing w:before="63"/>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4"/>
              <w:ind w:left="7"/>
              <w:rPr>
                <w:sz w:val="21"/>
              </w:rPr>
            </w:pPr>
            <w:r>
              <w:rPr>
                <w:w w:val="99"/>
                <w:sz w:val="21"/>
              </w:rPr>
              <w:t>镍</w:t>
            </w:r>
          </w:p>
        </w:tc>
        <w:tc>
          <w:tcPr>
            <w:tcW w:w="1721" w:type="dxa"/>
          </w:tcPr>
          <w:p>
            <w:pPr>
              <w:pStyle w:val="14"/>
              <w:spacing w:before="78"/>
              <w:ind w:left="617"/>
              <w:jc w:val="left"/>
              <w:rPr>
                <w:rFonts w:ascii="Times New Roman" w:hAnsi="Times New Roman"/>
                <w:sz w:val="21"/>
              </w:rPr>
            </w:pPr>
            <w:r>
              <w:rPr>
                <w:rFonts w:ascii="Times New Roman" w:hAnsi="Times New Roman"/>
                <w:sz w:val="21"/>
              </w:rPr>
              <w:t>μg/kg</w:t>
            </w:r>
          </w:p>
        </w:tc>
        <w:tc>
          <w:tcPr>
            <w:tcW w:w="3088" w:type="dxa"/>
          </w:tcPr>
          <w:p>
            <w:pPr>
              <w:pStyle w:val="14"/>
              <w:spacing w:before="78"/>
              <w:ind w:left="683" w:right="672"/>
              <w:rPr>
                <w:rFonts w:ascii="Times New Roman"/>
                <w:sz w:val="21"/>
              </w:rPr>
            </w:pPr>
            <w:r>
              <w:rPr>
                <w:rFonts w:ascii="Times New Roman"/>
                <w:sz w:val="21"/>
              </w:rPr>
              <w:t>0.062</w:t>
            </w:r>
          </w:p>
        </w:tc>
        <w:tc>
          <w:tcPr>
            <w:tcW w:w="1217" w:type="dxa"/>
          </w:tcPr>
          <w:p>
            <w:pPr>
              <w:pStyle w:val="14"/>
              <w:spacing w:before="64"/>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2"/>
              <w:ind w:left="213" w:right="206"/>
              <w:rPr>
                <w:sz w:val="21"/>
              </w:rPr>
            </w:pPr>
            <w:r>
              <w:rPr>
                <w:sz w:val="21"/>
              </w:rPr>
              <w:t>四氯化碳</w:t>
            </w:r>
          </w:p>
        </w:tc>
        <w:tc>
          <w:tcPr>
            <w:tcW w:w="1721" w:type="dxa"/>
          </w:tcPr>
          <w:p>
            <w:pPr>
              <w:pStyle w:val="14"/>
              <w:spacing w:before="76"/>
              <w:ind w:left="617"/>
              <w:jc w:val="left"/>
              <w:rPr>
                <w:rFonts w:ascii="Times New Roman" w:hAnsi="Times New Roman"/>
                <w:sz w:val="21"/>
              </w:rPr>
            </w:pPr>
            <w:r>
              <w:rPr>
                <w:rFonts w:ascii="Times New Roman" w:hAnsi="Times New Roman"/>
                <w:sz w:val="21"/>
              </w:rPr>
              <w:t>μg/kg</w:t>
            </w:r>
          </w:p>
        </w:tc>
        <w:tc>
          <w:tcPr>
            <w:tcW w:w="3088" w:type="dxa"/>
          </w:tcPr>
          <w:p>
            <w:pPr>
              <w:pStyle w:val="14"/>
              <w:spacing w:before="65"/>
              <w:ind w:left="683" w:right="673"/>
              <w:rPr>
                <w:sz w:val="21"/>
              </w:rPr>
            </w:pPr>
            <w:bookmarkStart w:id="958" w:name="未检出"/>
            <w:bookmarkEnd w:id="958"/>
            <w:r>
              <w:rPr>
                <w:sz w:val="21"/>
              </w:rPr>
              <w:t>未检出</w:t>
            </w:r>
          </w:p>
        </w:tc>
        <w:tc>
          <w:tcPr>
            <w:tcW w:w="1217" w:type="dxa"/>
          </w:tcPr>
          <w:p>
            <w:pPr>
              <w:pStyle w:val="14"/>
              <w:spacing w:before="62"/>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4"/>
              <w:ind w:left="210" w:right="206"/>
              <w:rPr>
                <w:sz w:val="21"/>
              </w:rPr>
            </w:pPr>
            <w:r>
              <w:rPr>
                <w:sz w:val="21"/>
              </w:rPr>
              <w:t>氯仿</w:t>
            </w:r>
          </w:p>
        </w:tc>
        <w:tc>
          <w:tcPr>
            <w:tcW w:w="1721" w:type="dxa"/>
          </w:tcPr>
          <w:p>
            <w:pPr>
              <w:pStyle w:val="14"/>
              <w:spacing w:before="77"/>
              <w:ind w:left="591"/>
              <w:jc w:val="left"/>
              <w:rPr>
                <w:rFonts w:ascii="Times New Roman"/>
                <w:sz w:val="21"/>
              </w:rPr>
            </w:pPr>
            <w:r>
              <w:rPr>
                <w:rFonts w:ascii="Times New Roman"/>
                <w:sz w:val="21"/>
              </w:rPr>
              <w:t>mg/kg</w:t>
            </w:r>
          </w:p>
        </w:tc>
        <w:tc>
          <w:tcPr>
            <w:tcW w:w="3088" w:type="dxa"/>
          </w:tcPr>
          <w:p>
            <w:pPr>
              <w:pStyle w:val="14"/>
              <w:spacing w:before="66"/>
              <w:ind w:left="683" w:right="673"/>
              <w:rPr>
                <w:sz w:val="21"/>
              </w:rPr>
            </w:pPr>
            <w:bookmarkStart w:id="959" w:name="未检出"/>
            <w:bookmarkEnd w:id="959"/>
            <w:r>
              <w:rPr>
                <w:sz w:val="21"/>
              </w:rPr>
              <w:t>未检出</w:t>
            </w:r>
          </w:p>
        </w:tc>
        <w:tc>
          <w:tcPr>
            <w:tcW w:w="1217" w:type="dxa"/>
          </w:tcPr>
          <w:p>
            <w:pPr>
              <w:pStyle w:val="14"/>
              <w:spacing w:before="64"/>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268" w:type="dxa"/>
          </w:tcPr>
          <w:p>
            <w:pPr>
              <w:pStyle w:val="14"/>
              <w:spacing w:before="62"/>
              <w:ind w:left="213" w:right="204"/>
              <w:rPr>
                <w:sz w:val="21"/>
              </w:rPr>
            </w:pPr>
            <w:r>
              <w:rPr>
                <w:sz w:val="21"/>
              </w:rPr>
              <w:t>氯甲烷</w:t>
            </w:r>
          </w:p>
        </w:tc>
        <w:tc>
          <w:tcPr>
            <w:tcW w:w="1721" w:type="dxa"/>
          </w:tcPr>
          <w:p>
            <w:pPr>
              <w:pStyle w:val="14"/>
              <w:spacing w:before="76"/>
              <w:ind w:left="617"/>
              <w:jc w:val="left"/>
              <w:rPr>
                <w:rFonts w:ascii="Times New Roman" w:hAnsi="Times New Roman"/>
                <w:sz w:val="21"/>
              </w:rPr>
            </w:pPr>
            <w:r>
              <w:rPr>
                <w:rFonts w:ascii="Times New Roman" w:hAnsi="Times New Roman"/>
                <w:sz w:val="21"/>
              </w:rPr>
              <w:t>μg/kg</w:t>
            </w:r>
          </w:p>
        </w:tc>
        <w:tc>
          <w:tcPr>
            <w:tcW w:w="3088" w:type="dxa"/>
          </w:tcPr>
          <w:p>
            <w:pPr>
              <w:pStyle w:val="14"/>
              <w:spacing w:before="67"/>
              <w:ind w:left="683" w:right="673"/>
              <w:rPr>
                <w:sz w:val="21"/>
              </w:rPr>
            </w:pPr>
            <w:bookmarkStart w:id="960" w:name="未检出"/>
            <w:bookmarkEnd w:id="960"/>
            <w:r>
              <w:rPr>
                <w:sz w:val="21"/>
              </w:rPr>
              <w:t>未检出</w:t>
            </w:r>
          </w:p>
        </w:tc>
        <w:tc>
          <w:tcPr>
            <w:tcW w:w="1217" w:type="dxa"/>
          </w:tcPr>
          <w:p>
            <w:pPr>
              <w:pStyle w:val="14"/>
              <w:spacing w:before="62"/>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2268" w:type="dxa"/>
          </w:tcPr>
          <w:p>
            <w:pPr>
              <w:pStyle w:val="14"/>
              <w:spacing w:before="63"/>
              <w:ind w:left="213" w:right="206"/>
              <w:rPr>
                <w:sz w:val="21"/>
              </w:rPr>
            </w:pPr>
            <w:r>
              <w:rPr>
                <w:rFonts w:ascii="Times New Roman" w:eastAsia="Times New Roman"/>
                <w:sz w:val="21"/>
              </w:rPr>
              <w:t>1,1-</w:t>
            </w:r>
            <w:r>
              <w:rPr>
                <w:sz w:val="21"/>
              </w:rPr>
              <w:t>二氯乙烷</w:t>
            </w:r>
          </w:p>
        </w:tc>
        <w:tc>
          <w:tcPr>
            <w:tcW w:w="1721" w:type="dxa"/>
          </w:tcPr>
          <w:p>
            <w:pPr>
              <w:pStyle w:val="14"/>
              <w:spacing w:before="77"/>
              <w:ind w:left="617"/>
              <w:jc w:val="left"/>
              <w:rPr>
                <w:rFonts w:ascii="Times New Roman" w:hAnsi="Times New Roman"/>
                <w:sz w:val="21"/>
              </w:rPr>
            </w:pPr>
            <w:r>
              <w:rPr>
                <w:rFonts w:ascii="Times New Roman" w:hAnsi="Times New Roman"/>
                <w:sz w:val="21"/>
              </w:rPr>
              <w:t>μg/kg</w:t>
            </w:r>
          </w:p>
        </w:tc>
        <w:tc>
          <w:tcPr>
            <w:tcW w:w="3088" w:type="dxa"/>
          </w:tcPr>
          <w:p>
            <w:pPr>
              <w:pStyle w:val="14"/>
              <w:spacing w:before="66"/>
              <w:ind w:left="683" w:right="673"/>
              <w:rPr>
                <w:sz w:val="21"/>
              </w:rPr>
            </w:pPr>
            <w:bookmarkStart w:id="961" w:name="未检出"/>
            <w:bookmarkEnd w:id="961"/>
            <w:r>
              <w:rPr>
                <w:sz w:val="21"/>
              </w:rPr>
              <w:t>未检出</w:t>
            </w:r>
          </w:p>
        </w:tc>
        <w:tc>
          <w:tcPr>
            <w:tcW w:w="1217" w:type="dxa"/>
          </w:tcPr>
          <w:p>
            <w:pPr>
              <w:pStyle w:val="14"/>
              <w:spacing w:before="63"/>
              <w:ind w:left="376" w:right="371"/>
              <w:rPr>
                <w:sz w:val="21"/>
              </w:rPr>
            </w:pPr>
            <w:r>
              <w:rPr>
                <w:sz w:val="21"/>
              </w:rPr>
              <w:t>达标</w:t>
            </w:r>
          </w:p>
        </w:tc>
      </w:tr>
    </w:tbl>
    <w:p>
      <w:pPr>
        <w:spacing w:after="0"/>
        <w:rPr>
          <w:sz w:val="21"/>
        </w:rPr>
        <w:sectPr>
          <w:pgSz w:w="11910" w:h="16840"/>
          <w:pgMar w:top="1580" w:right="780" w:bottom="1240" w:left="1200" w:header="0" w:footer="1058" w:gutter="0"/>
        </w:sectPr>
      </w:pPr>
    </w:p>
    <w:tbl>
      <w:tblPr>
        <w:tblStyle w:val="10"/>
        <w:tblW w:w="0" w:type="auto"/>
        <w:tblInd w:w="6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68"/>
        <w:gridCol w:w="1721"/>
        <w:gridCol w:w="3088"/>
        <w:gridCol w:w="12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268" w:type="dxa"/>
          </w:tcPr>
          <w:p>
            <w:pPr>
              <w:pStyle w:val="14"/>
              <w:spacing w:before="63"/>
              <w:ind w:left="213" w:right="206"/>
              <w:rPr>
                <w:sz w:val="21"/>
              </w:rPr>
            </w:pPr>
            <w:r>
              <w:rPr>
                <w:rFonts w:ascii="Times New Roman" w:eastAsia="Times New Roman"/>
                <w:sz w:val="21"/>
              </w:rPr>
              <w:t>1,2-</w:t>
            </w:r>
            <w:r>
              <w:rPr>
                <w:sz w:val="21"/>
              </w:rPr>
              <w:t>二氯乙烷</w:t>
            </w:r>
          </w:p>
        </w:tc>
        <w:tc>
          <w:tcPr>
            <w:tcW w:w="1721" w:type="dxa"/>
          </w:tcPr>
          <w:p>
            <w:pPr>
              <w:pStyle w:val="14"/>
              <w:spacing w:before="77"/>
              <w:ind w:left="617"/>
              <w:jc w:val="left"/>
              <w:rPr>
                <w:rFonts w:ascii="Times New Roman" w:hAnsi="Times New Roman"/>
                <w:sz w:val="21"/>
              </w:rPr>
            </w:pPr>
            <w:r>
              <w:rPr>
                <w:rFonts w:ascii="Times New Roman" w:hAnsi="Times New Roman"/>
                <w:sz w:val="21"/>
              </w:rPr>
              <w:t>μg/kg</w:t>
            </w:r>
          </w:p>
        </w:tc>
        <w:tc>
          <w:tcPr>
            <w:tcW w:w="3088" w:type="dxa"/>
          </w:tcPr>
          <w:p>
            <w:pPr>
              <w:pStyle w:val="14"/>
              <w:spacing w:before="65"/>
              <w:ind w:left="1229"/>
              <w:jc w:val="left"/>
              <w:rPr>
                <w:sz w:val="21"/>
              </w:rPr>
            </w:pPr>
            <w:bookmarkStart w:id="962" w:name="未检出"/>
            <w:bookmarkEnd w:id="962"/>
            <w:r>
              <w:rPr>
                <w:sz w:val="21"/>
              </w:rPr>
              <w:t>未检出</w:t>
            </w:r>
          </w:p>
        </w:tc>
        <w:tc>
          <w:tcPr>
            <w:tcW w:w="1217" w:type="dxa"/>
          </w:tcPr>
          <w:p>
            <w:pPr>
              <w:pStyle w:val="14"/>
              <w:spacing w:before="63"/>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4"/>
              <w:ind w:left="213" w:right="206"/>
              <w:rPr>
                <w:sz w:val="21"/>
              </w:rPr>
            </w:pPr>
            <w:r>
              <w:rPr>
                <w:rFonts w:ascii="Times New Roman" w:eastAsia="Times New Roman"/>
                <w:sz w:val="21"/>
              </w:rPr>
              <w:t>1,1-</w:t>
            </w:r>
            <w:r>
              <w:rPr>
                <w:sz w:val="21"/>
              </w:rPr>
              <w:t>二氯乙烯</w:t>
            </w:r>
          </w:p>
        </w:tc>
        <w:tc>
          <w:tcPr>
            <w:tcW w:w="1721" w:type="dxa"/>
          </w:tcPr>
          <w:p>
            <w:pPr>
              <w:pStyle w:val="14"/>
              <w:spacing w:before="78"/>
              <w:ind w:left="617"/>
              <w:jc w:val="left"/>
              <w:rPr>
                <w:rFonts w:ascii="Times New Roman" w:hAnsi="Times New Roman"/>
                <w:sz w:val="21"/>
              </w:rPr>
            </w:pPr>
            <w:r>
              <w:rPr>
                <w:rFonts w:ascii="Times New Roman" w:hAnsi="Times New Roman"/>
                <w:sz w:val="21"/>
              </w:rPr>
              <w:t>μg/kg</w:t>
            </w:r>
          </w:p>
        </w:tc>
        <w:tc>
          <w:tcPr>
            <w:tcW w:w="3088" w:type="dxa"/>
          </w:tcPr>
          <w:p>
            <w:pPr>
              <w:pStyle w:val="14"/>
              <w:spacing w:before="66"/>
              <w:ind w:left="1229"/>
              <w:jc w:val="left"/>
              <w:rPr>
                <w:sz w:val="21"/>
              </w:rPr>
            </w:pPr>
            <w:bookmarkStart w:id="963" w:name="未检出"/>
            <w:bookmarkEnd w:id="963"/>
            <w:r>
              <w:rPr>
                <w:sz w:val="21"/>
              </w:rPr>
              <w:t>未检出</w:t>
            </w:r>
          </w:p>
        </w:tc>
        <w:tc>
          <w:tcPr>
            <w:tcW w:w="1217" w:type="dxa"/>
          </w:tcPr>
          <w:p>
            <w:pPr>
              <w:pStyle w:val="14"/>
              <w:spacing w:before="64"/>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3"/>
              <w:ind w:left="213" w:right="204"/>
              <w:rPr>
                <w:sz w:val="21"/>
              </w:rPr>
            </w:pPr>
            <w:r>
              <w:rPr>
                <w:sz w:val="21"/>
              </w:rPr>
              <w:t>顺</w:t>
            </w:r>
            <w:r>
              <w:rPr>
                <w:rFonts w:ascii="Times New Roman" w:eastAsia="Times New Roman"/>
                <w:sz w:val="21"/>
              </w:rPr>
              <w:t>-1,2-</w:t>
            </w:r>
            <w:r>
              <w:rPr>
                <w:sz w:val="21"/>
              </w:rPr>
              <w:t>二氯乙烯</w:t>
            </w:r>
          </w:p>
        </w:tc>
        <w:tc>
          <w:tcPr>
            <w:tcW w:w="1721" w:type="dxa"/>
          </w:tcPr>
          <w:p>
            <w:pPr>
              <w:pStyle w:val="14"/>
              <w:spacing w:before="76"/>
              <w:ind w:left="591"/>
              <w:jc w:val="left"/>
              <w:rPr>
                <w:rFonts w:ascii="Times New Roman"/>
                <w:sz w:val="21"/>
              </w:rPr>
            </w:pPr>
            <w:r>
              <w:rPr>
                <w:rFonts w:ascii="Times New Roman"/>
                <w:sz w:val="21"/>
              </w:rPr>
              <w:t>mg/kg</w:t>
            </w:r>
          </w:p>
        </w:tc>
        <w:tc>
          <w:tcPr>
            <w:tcW w:w="3088" w:type="dxa"/>
          </w:tcPr>
          <w:p>
            <w:pPr>
              <w:pStyle w:val="14"/>
              <w:spacing w:before="65"/>
              <w:ind w:left="1229"/>
              <w:jc w:val="left"/>
              <w:rPr>
                <w:sz w:val="21"/>
              </w:rPr>
            </w:pPr>
            <w:bookmarkStart w:id="964" w:name="未检出"/>
            <w:bookmarkEnd w:id="964"/>
            <w:r>
              <w:rPr>
                <w:sz w:val="21"/>
              </w:rPr>
              <w:t>未检出</w:t>
            </w:r>
          </w:p>
        </w:tc>
        <w:tc>
          <w:tcPr>
            <w:tcW w:w="1217" w:type="dxa"/>
          </w:tcPr>
          <w:p>
            <w:pPr>
              <w:pStyle w:val="14"/>
              <w:spacing w:before="63"/>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3"/>
              <w:ind w:left="213" w:right="204"/>
              <w:rPr>
                <w:sz w:val="21"/>
              </w:rPr>
            </w:pPr>
            <w:r>
              <w:rPr>
                <w:sz w:val="21"/>
              </w:rPr>
              <w:t>反</w:t>
            </w:r>
            <w:r>
              <w:rPr>
                <w:rFonts w:ascii="Times New Roman" w:eastAsia="Times New Roman"/>
                <w:sz w:val="21"/>
              </w:rPr>
              <w:t>-1,2-</w:t>
            </w:r>
            <w:r>
              <w:rPr>
                <w:sz w:val="21"/>
              </w:rPr>
              <w:t>二氯乙烯</w:t>
            </w:r>
          </w:p>
        </w:tc>
        <w:tc>
          <w:tcPr>
            <w:tcW w:w="1721" w:type="dxa"/>
          </w:tcPr>
          <w:p>
            <w:pPr>
              <w:pStyle w:val="14"/>
              <w:spacing w:before="77"/>
              <w:ind w:left="617"/>
              <w:jc w:val="left"/>
              <w:rPr>
                <w:rFonts w:ascii="Times New Roman" w:hAnsi="Times New Roman"/>
                <w:sz w:val="21"/>
              </w:rPr>
            </w:pPr>
            <w:r>
              <w:rPr>
                <w:rFonts w:ascii="Times New Roman" w:hAnsi="Times New Roman"/>
                <w:sz w:val="21"/>
              </w:rPr>
              <w:t>μg/kg</w:t>
            </w:r>
          </w:p>
        </w:tc>
        <w:tc>
          <w:tcPr>
            <w:tcW w:w="3088" w:type="dxa"/>
          </w:tcPr>
          <w:p>
            <w:pPr>
              <w:pStyle w:val="14"/>
              <w:spacing w:before="66"/>
              <w:ind w:left="1229"/>
              <w:jc w:val="left"/>
              <w:rPr>
                <w:sz w:val="21"/>
              </w:rPr>
            </w:pPr>
            <w:bookmarkStart w:id="965" w:name="未检出"/>
            <w:bookmarkEnd w:id="965"/>
            <w:r>
              <w:rPr>
                <w:sz w:val="21"/>
              </w:rPr>
              <w:t>未检出</w:t>
            </w:r>
          </w:p>
        </w:tc>
        <w:tc>
          <w:tcPr>
            <w:tcW w:w="1217" w:type="dxa"/>
          </w:tcPr>
          <w:p>
            <w:pPr>
              <w:pStyle w:val="14"/>
              <w:spacing w:before="63"/>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2"/>
              <w:ind w:left="213" w:right="206"/>
              <w:rPr>
                <w:sz w:val="21"/>
              </w:rPr>
            </w:pPr>
            <w:r>
              <w:rPr>
                <w:sz w:val="21"/>
              </w:rPr>
              <w:t>二氯甲烷</w:t>
            </w:r>
          </w:p>
        </w:tc>
        <w:tc>
          <w:tcPr>
            <w:tcW w:w="1721" w:type="dxa"/>
          </w:tcPr>
          <w:p>
            <w:pPr>
              <w:pStyle w:val="14"/>
              <w:spacing w:before="76"/>
              <w:ind w:left="617"/>
              <w:jc w:val="left"/>
              <w:rPr>
                <w:rFonts w:ascii="Times New Roman" w:hAnsi="Times New Roman"/>
                <w:sz w:val="21"/>
              </w:rPr>
            </w:pPr>
            <w:r>
              <w:rPr>
                <w:rFonts w:ascii="Times New Roman" w:hAnsi="Times New Roman"/>
                <w:sz w:val="21"/>
              </w:rPr>
              <w:t>μg/kg</w:t>
            </w:r>
          </w:p>
        </w:tc>
        <w:tc>
          <w:tcPr>
            <w:tcW w:w="3088" w:type="dxa"/>
          </w:tcPr>
          <w:p>
            <w:pPr>
              <w:pStyle w:val="14"/>
              <w:spacing w:before="67"/>
              <w:ind w:left="1229"/>
              <w:jc w:val="left"/>
              <w:rPr>
                <w:sz w:val="21"/>
              </w:rPr>
            </w:pPr>
            <w:bookmarkStart w:id="966" w:name="未检出"/>
            <w:bookmarkEnd w:id="966"/>
            <w:r>
              <w:rPr>
                <w:sz w:val="21"/>
              </w:rPr>
              <w:t>未检出</w:t>
            </w:r>
          </w:p>
        </w:tc>
        <w:tc>
          <w:tcPr>
            <w:tcW w:w="1217" w:type="dxa"/>
          </w:tcPr>
          <w:p>
            <w:pPr>
              <w:pStyle w:val="14"/>
              <w:spacing w:before="62"/>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268" w:type="dxa"/>
          </w:tcPr>
          <w:p>
            <w:pPr>
              <w:pStyle w:val="14"/>
              <w:spacing w:before="63"/>
              <w:ind w:left="213" w:right="206"/>
              <w:rPr>
                <w:sz w:val="21"/>
              </w:rPr>
            </w:pPr>
            <w:r>
              <w:rPr>
                <w:rFonts w:ascii="Times New Roman" w:eastAsia="Times New Roman"/>
                <w:sz w:val="21"/>
              </w:rPr>
              <w:t>1,2-</w:t>
            </w:r>
            <w:r>
              <w:rPr>
                <w:sz w:val="21"/>
              </w:rPr>
              <w:t>二氯丙烷</w:t>
            </w:r>
          </w:p>
        </w:tc>
        <w:tc>
          <w:tcPr>
            <w:tcW w:w="1721" w:type="dxa"/>
          </w:tcPr>
          <w:p>
            <w:pPr>
              <w:pStyle w:val="14"/>
              <w:spacing w:before="77"/>
              <w:ind w:left="617"/>
              <w:jc w:val="left"/>
              <w:rPr>
                <w:rFonts w:ascii="Times New Roman" w:hAnsi="Times New Roman"/>
                <w:sz w:val="21"/>
              </w:rPr>
            </w:pPr>
            <w:r>
              <w:rPr>
                <w:rFonts w:ascii="Times New Roman" w:hAnsi="Times New Roman"/>
                <w:sz w:val="21"/>
              </w:rPr>
              <w:t>μg/kg</w:t>
            </w:r>
          </w:p>
        </w:tc>
        <w:tc>
          <w:tcPr>
            <w:tcW w:w="3088" w:type="dxa"/>
          </w:tcPr>
          <w:p>
            <w:pPr>
              <w:pStyle w:val="14"/>
              <w:spacing w:before="65"/>
              <w:ind w:left="1229"/>
              <w:jc w:val="left"/>
              <w:rPr>
                <w:sz w:val="21"/>
              </w:rPr>
            </w:pPr>
            <w:bookmarkStart w:id="967" w:name="未检出"/>
            <w:bookmarkEnd w:id="967"/>
            <w:r>
              <w:rPr>
                <w:sz w:val="21"/>
              </w:rPr>
              <w:t>未检出</w:t>
            </w:r>
          </w:p>
        </w:tc>
        <w:tc>
          <w:tcPr>
            <w:tcW w:w="1217" w:type="dxa"/>
          </w:tcPr>
          <w:p>
            <w:pPr>
              <w:pStyle w:val="14"/>
              <w:spacing w:before="63"/>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2"/>
              <w:ind w:left="213" w:right="206"/>
              <w:rPr>
                <w:sz w:val="21"/>
              </w:rPr>
            </w:pPr>
            <w:r>
              <w:rPr>
                <w:rFonts w:ascii="Times New Roman" w:eastAsia="Times New Roman"/>
                <w:sz w:val="21"/>
              </w:rPr>
              <w:t>1,1,1,2-</w:t>
            </w:r>
            <w:r>
              <w:rPr>
                <w:sz w:val="21"/>
              </w:rPr>
              <w:t>四氯乙烷</w:t>
            </w:r>
          </w:p>
        </w:tc>
        <w:tc>
          <w:tcPr>
            <w:tcW w:w="1721" w:type="dxa"/>
          </w:tcPr>
          <w:p>
            <w:pPr>
              <w:pStyle w:val="14"/>
              <w:spacing w:before="76"/>
              <w:ind w:left="617"/>
              <w:jc w:val="left"/>
              <w:rPr>
                <w:rFonts w:ascii="Times New Roman" w:hAnsi="Times New Roman"/>
                <w:sz w:val="21"/>
              </w:rPr>
            </w:pPr>
            <w:r>
              <w:rPr>
                <w:rFonts w:ascii="Times New Roman" w:hAnsi="Times New Roman"/>
                <w:sz w:val="21"/>
              </w:rPr>
              <w:t>μg/kg</w:t>
            </w:r>
          </w:p>
        </w:tc>
        <w:tc>
          <w:tcPr>
            <w:tcW w:w="3088" w:type="dxa"/>
          </w:tcPr>
          <w:p>
            <w:pPr>
              <w:pStyle w:val="14"/>
              <w:spacing w:before="67"/>
              <w:ind w:left="1229"/>
              <w:jc w:val="left"/>
              <w:rPr>
                <w:sz w:val="21"/>
              </w:rPr>
            </w:pPr>
            <w:bookmarkStart w:id="968" w:name="未检出"/>
            <w:bookmarkEnd w:id="968"/>
            <w:r>
              <w:rPr>
                <w:sz w:val="21"/>
              </w:rPr>
              <w:t>未检出</w:t>
            </w:r>
          </w:p>
        </w:tc>
        <w:tc>
          <w:tcPr>
            <w:tcW w:w="1217" w:type="dxa"/>
          </w:tcPr>
          <w:p>
            <w:pPr>
              <w:pStyle w:val="14"/>
              <w:spacing w:before="62"/>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3"/>
              <w:ind w:left="213" w:right="206"/>
              <w:rPr>
                <w:sz w:val="21"/>
              </w:rPr>
            </w:pPr>
            <w:r>
              <w:rPr>
                <w:rFonts w:ascii="Times New Roman" w:eastAsia="Times New Roman"/>
                <w:sz w:val="21"/>
              </w:rPr>
              <w:t>1,1,2,2-</w:t>
            </w:r>
            <w:r>
              <w:rPr>
                <w:sz w:val="21"/>
              </w:rPr>
              <w:t>四氯乙烷</w:t>
            </w:r>
          </w:p>
        </w:tc>
        <w:tc>
          <w:tcPr>
            <w:tcW w:w="1721" w:type="dxa"/>
          </w:tcPr>
          <w:p>
            <w:pPr>
              <w:pStyle w:val="14"/>
              <w:spacing w:before="77"/>
              <w:ind w:left="591"/>
              <w:jc w:val="left"/>
              <w:rPr>
                <w:rFonts w:ascii="Times New Roman"/>
                <w:sz w:val="21"/>
              </w:rPr>
            </w:pPr>
            <w:r>
              <w:rPr>
                <w:rFonts w:ascii="Times New Roman"/>
                <w:sz w:val="21"/>
              </w:rPr>
              <w:t>mg/kg</w:t>
            </w:r>
          </w:p>
        </w:tc>
        <w:tc>
          <w:tcPr>
            <w:tcW w:w="3088" w:type="dxa"/>
          </w:tcPr>
          <w:p>
            <w:pPr>
              <w:pStyle w:val="14"/>
              <w:spacing w:before="65"/>
              <w:ind w:left="1229"/>
              <w:jc w:val="left"/>
              <w:rPr>
                <w:sz w:val="21"/>
              </w:rPr>
            </w:pPr>
            <w:bookmarkStart w:id="969" w:name="未检出"/>
            <w:bookmarkEnd w:id="969"/>
            <w:r>
              <w:rPr>
                <w:sz w:val="21"/>
              </w:rPr>
              <w:t>未检出</w:t>
            </w:r>
          </w:p>
        </w:tc>
        <w:tc>
          <w:tcPr>
            <w:tcW w:w="1217" w:type="dxa"/>
          </w:tcPr>
          <w:p>
            <w:pPr>
              <w:pStyle w:val="14"/>
              <w:spacing w:before="63"/>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4"/>
              <w:ind w:left="213" w:right="206"/>
              <w:rPr>
                <w:sz w:val="21"/>
              </w:rPr>
            </w:pPr>
            <w:r>
              <w:rPr>
                <w:sz w:val="21"/>
              </w:rPr>
              <w:t>四氯乙烯</w:t>
            </w:r>
          </w:p>
        </w:tc>
        <w:tc>
          <w:tcPr>
            <w:tcW w:w="1721" w:type="dxa"/>
          </w:tcPr>
          <w:p>
            <w:pPr>
              <w:pStyle w:val="14"/>
              <w:spacing w:before="78"/>
              <w:ind w:left="617"/>
              <w:jc w:val="left"/>
              <w:rPr>
                <w:rFonts w:ascii="Times New Roman" w:hAnsi="Times New Roman"/>
                <w:sz w:val="21"/>
              </w:rPr>
            </w:pPr>
            <w:r>
              <w:rPr>
                <w:rFonts w:ascii="Times New Roman" w:hAnsi="Times New Roman"/>
                <w:sz w:val="21"/>
              </w:rPr>
              <w:t>μg/kg</w:t>
            </w:r>
          </w:p>
        </w:tc>
        <w:tc>
          <w:tcPr>
            <w:tcW w:w="3088" w:type="dxa"/>
          </w:tcPr>
          <w:p>
            <w:pPr>
              <w:pStyle w:val="14"/>
              <w:spacing w:before="66"/>
              <w:ind w:left="1229"/>
              <w:jc w:val="left"/>
              <w:rPr>
                <w:sz w:val="21"/>
              </w:rPr>
            </w:pPr>
            <w:bookmarkStart w:id="970" w:name="未检出"/>
            <w:bookmarkEnd w:id="970"/>
            <w:r>
              <w:rPr>
                <w:sz w:val="21"/>
              </w:rPr>
              <w:t>未检出</w:t>
            </w:r>
          </w:p>
        </w:tc>
        <w:tc>
          <w:tcPr>
            <w:tcW w:w="1217" w:type="dxa"/>
          </w:tcPr>
          <w:p>
            <w:pPr>
              <w:pStyle w:val="14"/>
              <w:spacing w:before="64"/>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2"/>
              <w:ind w:left="213" w:right="206"/>
              <w:rPr>
                <w:sz w:val="21"/>
              </w:rPr>
            </w:pPr>
            <w:r>
              <w:rPr>
                <w:rFonts w:ascii="Times New Roman" w:eastAsia="Times New Roman"/>
                <w:sz w:val="21"/>
              </w:rPr>
              <w:t>1,1,1-</w:t>
            </w:r>
            <w:r>
              <w:rPr>
                <w:sz w:val="21"/>
              </w:rPr>
              <w:t>三氯乙烷</w:t>
            </w:r>
          </w:p>
        </w:tc>
        <w:tc>
          <w:tcPr>
            <w:tcW w:w="1721" w:type="dxa"/>
          </w:tcPr>
          <w:p>
            <w:pPr>
              <w:pStyle w:val="14"/>
              <w:spacing w:before="76"/>
              <w:ind w:left="617"/>
              <w:jc w:val="left"/>
              <w:rPr>
                <w:rFonts w:ascii="Times New Roman" w:hAnsi="Times New Roman"/>
                <w:sz w:val="21"/>
              </w:rPr>
            </w:pPr>
            <w:r>
              <w:rPr>
                <w:rFonts w:ascii="Times New Roman" w:hAnsi="Times New Roman"/>
                <w:sz w:val="21"/>
              </w:rPr>
              <w:t>μg/kg</w:t>
            </w:r>
          </w:p>
        </w:tc>
        <w:tc>
          <w:tcPr>
            <w:tcW w:w="3088" w:type="dxa"/>
          </w:tcPr>
          <w:p>
            <w:pPr>
              <w:pStyle w:val="14"/>
              <w:spacing w:before="65"/>
              <w:ind w:left="1229"/>
              <w:jc w:val="left"/>
              <w:rPr>
                <w:sz w:val="21"/>
              </w:rPr>
            </w:pPr>
            <w:bookmarkStart w:id="971" w:name="未检出"/>
            <w:bookmarkEnd w:id="971"/>
            <w:r>
              <w:rPr>
                <w:sz w:val="21"/>
              </w:rPr>
              <w:t>未检出</w:t>
            </w:r>
          </w:p>
        </w:tc>
        <w:tc>
          <w:tcPr>
            <w:tcW w:w="1217" w:type="dxa"/>
          </w:tcPr>
          <w:p>
            <w:pPr>
              <w:pStyle w:val="14"/>
              <w:spacing w:before="62"/>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268" w:type="dxa"/>
          </w:tcPr>
          <w:p>
            <w:pPr>
              <w:pStyle w:val="14"/>
              <w:spacing w:before="63"/>
              <w:ind w:left="213" w:right="206"/>
              <w:rPr>
                <w:sz w:val="21"/>
              </w:rPr>
            </w:pPr>
            <w:r>
              <w:rPr>
                <w:rFonts w:ascii="Times New Roman" w:eastAsia="Times New Roman"/>
                <w:sz w:val="21"/>
              </w:rPr>
              <w:t>1,1,2-</w:t>
            </w:r>
            <w:r>
              <w:rPr>
                <w:sz w:val="21"/>
              </w:rPr>
              <w:t>三氯乙烷</w:t>
            </w:r>
          </w:p>
        </w:tc>
        <w:tc>
          <w:tcPr>
            <w:tcW w:w="1721" w:type="dxa"/>
          </w:tcPr>
          <w:p>
            <w:pPr>
              <w:pStyle w:val="14"/>
              <w:spacing w:before="77"/>
              <w:ind w:left="617"/>
              <w:jc w:val="left"/>
              <w:rPr>
                <w:rFonts w:ascii="Times New Roman" w:hAnsi="Times New Roman"/>
                <w:sz w:val="21"/>
              </w:rPr>
            </w:pPr>
            <w:r>
              <w:rPr>
                <w:rFonts w:ascii="Times New Roman" w:hAnsi="Times New Roman"/>
                <w:sz w:val="21"/>
              </w:rPr>
              <w:t>μg/kg</w:t>
            </w:r>
          </w:p>
        </w:tc>
        <w:tc>
          <w:tcPr>
            <w:tcW w:w="3088" w:type="dxa"/>
          </w:tcPr>
          <w:p>
            <w:pPr>
              <w:pStyle w:val="14"/>
              <w:spacing w:before="66"/>
              <w:ind w:left="1229"/>
              <w:jc w:val="left"/>
              <w:rPr>
                <w:sz w:val="21"/>
              </w:rPr>
            </w:pPr>
            <w:bookmarkStart w:id="972" w:name="未检出"/>
            <w:bookmarkEnd w:id="972"/>
            <w:r>
              <w:rPr>
                <w:sz w:val="21"/>
              </w:rPr>
              <w:t>未检出</w:t>
            </w:r>
          </w:p>
        </w:tc>
        <w:tc>
          <w:tcPr>
            <w:tcW w:w="1217" w:type="dxa"/>
          </w:tcPr>
          <w:p>
            <w:pPr>
              <w:pStyle w:val="14"/>
              <w:spacing w:before="63"/>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2"/>
              <w:ind w:left="213" w:right="206"/>
              <w:rPr>
                <w:sz w:val="21"/>
              </w:rPr>
            </w:pPr>
            <w:r>
              <w:rPr>
                <w:sz w:val="21"/>
              </w:rPr>
              <w:t>三氯乙烯</w:t>
            </w:r>
          </w:p>
        </w:tc>
        <w:tc>
          <w:tcPr>
            <w:tcW w:w="1721" w:type="dxa"/>
          </w:tcPr>
          <w:p>
            <w:pPr>
              <w:pStyle w:val="14"/>
              <w:spacing w:before="76"/>
              <w:ind w:left="617"/>
              <w:jc w:val="left"/>
              <w:rPr>
                <w:rFonts w:ascii="Times New Roman" w:hAnsi="Times New Roman"/>
                <w:sz w:val="21"/>
              </w:rPr>
            </w:pPr>
            <w:r>
              <w:rPr>
                <w:rFonts w:ascii="Times New Roman" w:hAnsi="Times New Roman"/>
                <w:sz w:val="21"/>
              </w:rPr>
              <w:t>μg/kg</w:t>
            </w:r>
          </w:p>
        </w:tc>
        <w:tc>
          <w:tcPr>
            <w:tcW w:w="3088" w:type="dxa"/>
          </w:tcPr>
          <w:p>
            <w:pPr>
              <w:pStyle w:val="14"/>
              <w:spacing w:before="67"/>
              <w:ind w:left="1229"/>
              <w:jc w:val="left"/>
              <w:rPr>
                <w:sz w:val="21"/>
              </w:rPr>
            </w:pPr>
            <w:bookmarkStart w:id="973" w:name="未检出"/>
            <w:bookmarkEnd w:id="973"/>
            <w:r>
              <w:rPr>
                <w:sz w:val="21"/>
              </w:rPr>
              <w:t>未检出</w:t>
            </w:r>
          </w:p>
        </w:tc>
        <w:tc>
          <w:tcPr>
            <w:tcW w:w="1217" w:type="dxa"/>
          </w:tcPr>
          <w:p>
            <w:pPr>
              <w:pStyle w:val="14"/>
              <w:spacing w:before="62"/>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268" w:type="dxa"/>
          </w:tcPr>
          <w:p>
            <w:pPr>
              <w:pStyle w:val="14"/>
              <w:spacing w:before="63"/>
              <w:ind w:left="213" w:right="206"/>
              <w:rPr>
                <w:sz w:val="21"/>
              </w:rPr>
            </w:pPr>
            <w:r>
              <w:rPr>
                <w:rFonts w:ascii="Times New Roman" w:eastAsia="Times New Roman"/>
                <w:sz w:val="21"/>
              </w:rPr>
              <w:t>1,2,3-</w:t>
            </w:r>
            <w:r>
              <w:rPr>
                <w:sz w:val="21"/>
              </w:rPr>
              <w:t>三氯丙烷</w:t>
            </w:r>
          </w:p>
        </w:tc>
        <w:tc>
          <w:tcPr>
            <w:tcW w:w="1721" w:type="dxa"/>
          </w:tcPr>
          <w:p>
            <w:pPr>
              <w:pStyle w:val="14"/>
              <w:spacing w:before="77"/>
              <w:ind w:left="617"/>
              <w:jc w:val="left"/>
              <w:rPr>
                <w:rFonts w:ascii="Times New Roman" w:hAnsi="Times New Roman"/>
                <w:sz w:val="21"/>
              </w:rPr>
            </w:pPr>
            <w:r>
              <w:rPr>
                <w:rFonts w:ascii="Times New Roman" w:hAnsi="Times New Roman"/>
                <w:sz w:val="21"/>
              </w:rPr>
              <w:t>μg/kg</w:t>
            </w:r>
          </w:p>
        </w:tc>
        <w:tc>
          <w:tcPr>
            <w:tcW w:w="3088" w:type="dxa"/>
          </w:tcPr>
          <w:p>
            <w:pPr>
              <w:pStyle w:val="14"/>
              <w:spacing w:before="65"/>
              <w:ind w:left="1229"/>
              <w:jc w:val="left"/>
              <w:rPr>
                <w:sz w:val="21"/>
              </w:rPr>
            </w:pPr>
            <w:bookmarkStart w:id="974" w:name="未检出"/>
            <w:bookmarkEnd w:id="974"/>
            <w:r>
              <w:rPr>
                <w:sz w:val="21"/>
              </w:rPr>
              <w:t>未检出</w:t>
            </w:r>
          </w:p>
        </w:tc>
        <w:tc>
          <w:tcPr>
            <w:tcW w:w="1217" w:type="dxa"/>
          </w:tcPr>
          <w:p>
            <w:pPr>
              <w:pStyle w:val="14"/>
              <w:spacing w:before="63"/>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4"/>
              <w:ind w:left="213" w:right="204"/>
              <w:rPr>
                <w:sz w:val="21"/>
              </w:rPr>
            </w:pPr>
            <w:r>
              <w:rPr>
                <w:sz w:val="21"/>
              </w:rPr>
              <w:t>氯乙烯</w:t>
            </w:r>
          </w:p>
        </w:tc>
        <w:tc>
          <w:tcPr>
            <w:tcW w:w="1721" w:type="dxa"/>
          </w:tcPr>
          <w:p>
            <w:pPr>
              <w:pStyle w:val="14"/>
              <w:spacing w:before="78"/>
              <w:ind w:left="617"/>
              <w:jc w:val="left"/>
              <w:rPr>
                <w:rFonts w:ascii="Times New Roman" w:hAnsi="Times New Roman"/>
                <w:sz w:val="21"/>
              </w:rPr>
            </w:pPr>
            <w:r>
              <w:rPr>
                <w:rFonts w:ascii="Times New Roman" w:hAnsi="Times New Roman"/>
                <w:sz w:val="21"/>
              </w:rPr>
              <w:t>μg/kg</w:t>
            </w:r>
          </w:p>
        </w:tc>
        <w:tc>
          <w:tcPr>
            <w:tcW w:w="3088" w:type="dxa"/>
          </w:tcPr>
          <w:p>
            <w:pPr>
              <w:pStyle w:val="14"/>
              <w:spacing w:before="66"/>
              <w:ind w:left="1229"/>
              <w:jc w:val="left"/>
              <w:rPr>
                <w:sz w:val="21"/>
              </w:rPr>
            </w:pPr>
            <w:bookmarkStart w:id="975" w:name="未检出"/>
            <w:bookmarkEnd w:id="975"/>
            <w:r>
              <w:rPr>
                <w:sz w:val="21"/>
              </w:rPr>
              <w:t>未检出</w:t>
            </w:r>
          </w:p>
        </w:tc>
        <w:tc>
          <w:tcPr>
            <w:tcW w:w="1217" w:type="dxa"/>
          </w:tcPr>
          <w:p>
            <w:pPr>
              <w:pStyle w:val="14"/>
              <w:spacing w:before="64"/>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268" w:type="dxa"/>
          </w:tcPr>
          <w:p>
            <w:pPr>
              <w:pStyle w:val="14"/>
              <w:spacing w:before="63"/>
              <w:ind w:left="7"/>
              <w:rPr>
                <w:sz w:val="21"/>
              </w:rPr>
            </w:pPr>
            <w:r>
              <w:rPr>
                <w:w w:val="99"/>
                <w:sz w:val="21"/>
              </w:rPr>
              <w:t>苯</w:t>
            </w:r>
          </w:p>
        </w:tc>
        <w:tc>
          <w:tcPr>
            <w:tcW w:w="1721" w:type="dxa"/>
          </w:tcPr>
          <w:p>
            <w:pPr>
              <w:pStyle w:val="14"/>
              <w:spacing w:before="76"/>
              <w:ind w:left="617"/>
              <w:jc w:val="left"/>
              <w:rPr>
                <w:rFonts w:ascii="Times New Roman" w:hAnsi="Times New Roman"/>
                <w:sz w:val="21"/>
              </w:rPr>
            </w:pPr>
            <w:r>
              <w:rPr>
                <w:rFonts w:ascii="Times New Roman" w:hAnsi="Times New Roman"/>
                <w:sz w:val="21"/>
              </w:rPr>
              <w:t>μg/kg</w:t>
            </w:r>
          </w:p>
        </w:tc>
        <w:tc>
          <w:tcPr>
            <w:tcW w:w="3088" w:type="dxa"/>
          </w:tcPr>
          <w:p>
            <w:pPr>
              <w:pStyle w:val="14"/>
              <w:spacing w:before="65"/>
              <w:ind w:left="1229"/>
              <w:jc w:val="left"/>
              <w:rPr>
                <w:sz w:val="21"/>
              </w:rPr>
            </w:pPr>
            <w:bookmarkStart w:id="976" w:name="未检出"/>
            <w:bookmarkEnd w:id="976"/>
            <w:r>
              <w:rPr>
                <w:sz w:val="21"/>
              </w:rPr>
              <w:t>未检出</w:t>
            </w:r>
          </w:p>
        </w:tc>
        <w:tc>
          <w:tcPr>
            <w:tcW w:w="1217" w:type="dxa"/>
          </w:tcPr>
          <w:p>
            <w:pPr>
              <w:pStyle w:val="14"/>
              <w:spacing w:before="63"/>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4"/>
              <w:ind w:left="210" w:right="206"/>
              <w:rPr>
                <w:sz w:val="21"/>
              </w:rPr>
            </w:pPr>
            <w:r>
              <w:rPr>
                <w:sz w:val="21"/>
              </w:rPr>
              <w:t>氯苯</w:t>
            </w:r>
          </w:p>
        </w:tc>
        <w:tc>
          <w:tcPr>
            <w:tcW w:w="1721" w:type="dxa"/>
          </w:tcPr>
          <w:p>
            <w:pPr>
              <w:pStyle w:val="14"/>
              <w:spacing w:before="77"/>
              <w:ind w:left="617"/>
              <w:jc w:val="left"/>
              <w:rPr>
                <w:rFonts w:ascii="Times New Roman" w:hAnsi="Times New Roman"/>
                <w:sz w:val="21"/>
              </w:rPr>
            </w:pPr>
            <w:r>
              <w:rPr>
                <w:rFonts w:ascii="Times New Roman" w:hAnsi="Times New Roman"/>
                <w:sz w:val="21"/>
              </w:rPr>
              <w:t>μg/kg</w:t>
            </w:r>
          </w:p>
        </w:tc>
        <w:tc>
          <w:tcPr>
            <w:tcW w:w="3088" w:type="dxa"/>
          </w:tcPr>
          <w:p>
            <w:pPr>
              <w:pStyle w:val="14"/>
              <w:spacing w:before="66"/>
              <w:ind w:left="1229"/>
              <w:jc w:val="left"/>
              <w:rPr>
                <w:sz w:val="21"/>
              </w:rPr>
            </w:pPr>
            <w:bookmarkStart w:id="977" w:name="未检出"/>
            <w:bookmarkEnd w:id="977"/>
            <w:r>
              <w:rPr>
                <w:sz w:val="21"/>
              </w:rPr>
              <w:t>未检出</w:t>
            </w:r>
          </w:p>
        </w:tc>
        <w:tc>
          <w:tcPr>
            <w:tcW w:w="1217" w:type="dxa"/>
          </w:tcPr>
          <w:p>
            <w:pPr>
              <w:pStyle w:val="14"/>
              <w:spacing w:before="64"/>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2"/>
              <w:ind w:left="213" w:right="204"/>
              <w:rPr>
                <w:sz w:val="21"/>
              </w:rPr>
            </w:pPr>
            <w:r>
              <w:rPr>
                <w:rFonts w:ascii="Times New Roman" w:eastAsia="Times New Roman"/>
                <w:sz w:val="21"/>
              </w:rPr>
              <w:t>1,2-</w:t>
            </w:r>
            <w:r>
              <w:rPr>
                <w:sz w:val="21"/>
              </w:rPr>
              <w:t>二氯苯</w:t>
            </w:r>
          </w:p>
        </w:tc>
        <w:tc>
          <w:tcPr>
            <w:tcW w:w="1721" w:type="dxa"/>
          </w:tcPr>
          <w:p>
            <w:pPr>
              <w:pStyle w:val="14"/>
              <w:spacing w:before="76"/>
              <w:ind w:left="617"/>
              <w:jc w:val="left"/>
              <w:rPr>
                <w:rFonts w:ascii="Times New Roman" w:hAnsi="Times New Roman"/>
                <w:sz w:val="21"/>
              </w:rPr>
            </w:pPr>
            <w:r>
              <w:rPr>
                <w:rFonts w:ascii="Times New Roman" w:hAnsi="Times New Roman"/>
                <w:sz w:val="21"/>
              </w:rPr>
              <w:t>μg/kg</w:t>
            </w:r>
          </w:p>
        </w:tc>
        <w:tc>
          <w:tcPr>
            <w:tcW w:w="3088" w:type="dxa"/>
          </w:tcPr>
          <w:p>
            <w:pPr>
              <w:pStyle w:val="14"/>
              <w:spacing w:before="67"/>
              <w:ind w:left="1229"/>
              <w:jc w:val="left"/>
              <w:rPr>
                <w:sz w:val="21"/>
              </w:rPr>
            </w:pPr>
            <w:bookmarkStart w:id="978" w:name="未检出"/>
            <w:bookmarkEnd w:id="978"/>
            <w:r>
              <w:rPr>
                <w:sz w:val="21"/>
              </w:rPr>
              <w:t>未检出</w:t>
            </w:r>
          </w:p>
        </w:tc>
        <w:tc>
          <w:tcPr>
            <w:tcW w:w="1217" w:type="dxa"/>
          </w:tcPr>
          <w:p>
            <w:pPr>
              <w:pStyle w:val="14"/>
              <w:spacing w:before="62"/>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268" w:type="dxa"/>
          </w:tcPr>
          <w:p>
            <w:pPr>
              <w:pStyle w:val="14"/>
              <w:spacing w:before="63"/>
              <w:ind w:left="213" w:right="204"/>
              <w:rPr>
                <w:sz w:val="21"/>
              </w:rPr>
            </w:pPr>
            <w:r>
              <w:rPr>
                <w:rFonts w:ascii="Times New Roman" w:eastAsia="Times New Roman"/>
                <w:sz w:val="21"/>
              </w:rPr>
              <w:t>1,4-</w:t>
            </w:r>
            <w:r>
              <w:rPr>
                <w:sz w:val="21"/>
              </w:rPr>
              <w:t>二氯苯</w:t>
            </w:r>
          </w:p>
        </w:tc>
        <w:tc>
          <w:tcPr>
            <w:tcW w:w="1721" w:type="dxa"/>
          </w:tcPr>
          <w:p>
            <w:pPr>
              <w:pStyle w:val="14"/>
              <w:spacing w:before="77"/>
              <w:ind w:left="617"/>
              <w:jc w:val="left"/>
              <w:rPr>
                <w:rFonts w:ascii="Times New Roman" w:hAnsi="Times New Roman"/>
                <w:sz w:val="21"/>
              </w:rPr>
            </w:pPr>
            <w:r>
              <w:rPr>
                <w:rFonts w:ascii="Times New Roman" w:hAnsi="Times New Roman"/>
                <w:sz w:val="21"/>
              </w:rPr>
              <w:t>μg/kg</w:t>
            </w:r>
          </w:p>
        </w:tc>
        <w:tc>
          <w:tcPr>
            <w:tcW w:w="3088" w:type="dxa"/>
          </w:tcPr>
          <w:p>
            <w:pPr>
              <w:pStyle w:val="14"/>
              <w:spacing w:before="65"/>
              <w:ind w:left="1229"/>
              <w:jc w:val="left"/>
              <w:rPr>
                <w:sz w:val="21"/>
              </w:rPr>
            </w:pPr>
            <w:bookmarkStart w:id="979" w:name="未检出"/>
            <w:bookmarkEnd w:id="979"/>
            <w:r>
              <w:rPr>
                <w:sz w:val="21"/>
              </w:rPr>
              <w:t>未检出</w:t>
            </w:r>
          </w:p>
        </w:tc>
        <w:tc>
          <w:tcPr>
            <w:tcW w:w="1217" w:type="dxa"/>
          </w:tcPr>
          <w:p>
            <w:pPr>
              <w:pStyle w:val="14"/>
              <w:spacing w:before="63"/>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2"/>
              <w:ind w:left="210" w:right="206"/>
              <w:rPr>
                <w:sz w:val="21"/>
              </w:rPr>
            </w:pPr>
            <w:r>
              <w:rPr>
                <w:sz w:val="21"/>
              </w:rPr>
              <w:t>乙苯</w:t>
            </w:r>
          </w:p>
        </w:tc>
        <w:tc>
          <w:tcPr>
            <w:tcW w:w="1721" w:type="dxa"/>
          </w:tcPr>
          <w:p>
            <w:pPr>
              <w:pStyle w:val="14"/>
              <w:spacing w:before="76"/>
              <w:ind w:left="617"/>
              <w:jc w:val="left"/>
              <w:rPr>
                <w:rFonts w:ascii="Times New Roman" w:hAnsi="Times New Roman"/>
                <w:sz w:val="21"/>
              </w:rPr>
            </w:pPr>
            <w:r>
              <w:rPr>
                <w:rFonts w:ascii="Times New Roman" w:hAnsi="Times New Roman"/>
                <w:sz w:val="21"/>
              </w:rPr>
              <w:t>μg/kg</w:t>
            </w:r>
          </w:p>
        </w:tc>
        <w:tc>
          <w:tcPr>
            <w:tcW w:w="3088" w:type="dxa"/>
          </w:tcPr>
          <w:p>
            <w:pPr>
              <w:pStyle w:val="14"/>
              <w:spacing w:before="66"/>
              <w:ind w:left="1229"/>
              <w:jc w:val="left"/>
              <w:rPr>
                <w:sz w:val="21"/>
              </w:rPr>
            </w:pPr>
            <w:bookmarkStart w:id="980" w:name="未检出"/>
            <w:bookmarkEnd w:id="980"/>
            <w:r>
              <w:rPr>
                <w:sz w:val="21"/>
              </w:rPr>
              <w:t>未检出</w:t>
            </w:r>
          </w:p>
        </w:tc>
        <w:tc>
          <w:tcPr>
            <w:tcW w:w="1217" w:type="dxa"/>
          </w:tcPr>
          <w:p>
            <w:pPr>
              <w:pStyle w:val="14"/>
              <w:spacing w:before="62"/>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268" w:type="dxa"/>
          </w:tcPr>
          <w:p>
            <w:pPr>
              <w:pStyle w:val="14"/>
              <w:spacing w:before="63"/>
              <w:ind w:left="213" w:right="204"/>
              <w:rPr>
                <w:sz w:val="21"/>
              </w:rPr>
            </w:pPr>
            <w:r>
              <w:rPr>
                <w:sz w:val="21"/>
              </w:rPr>
              <w:t>苯乙烯</w:t>
            </w:r>
          </w:p>
        </w:tc>
        <w:tc>
          <w:tcPr>
            <w:tcW w:w="1721" w:type="dxa"/>
          </w:tcPr>
          <w:p>
            <w:pPr>
              <w:pStyle w:val="14"/>
              <w:spacing w:before="77"/>
              <w:ind w:left="617"/>
              <w:jc w:val="left"/>
              <w:rPr>
                <w:rFonts w:ascii="Times New Roman" w:hAnsi="Times New Roman"/>
                <w:sz w:val="21"/>
              </w:rPr>
            </w:pPr>
            <w:r>
              <w:rPr>
                <w:rFonts w:ascii="Times New Roman" w:hAnsi="Times New Roman"/>
                <w:sz w:val="21"/>
              </w:rPr>
              <w:t>μg/kg</w:t>
            </w:r>
          </w:p>
        </w:tc>
        <w:tc>
          <w:tcPr>
            <w:tcW w:w="3088" w:type="dxa"/>
          </w:tcPr>
          <w:p>
            <w:pPr>
              <w:pStyle w:val="14"/>
              <w:spacing w:before="65"/>
              <w:ind w:left="1229"/>
              <w:jc w:val="left"/>
              <w:rPr>
                <w:sz w:val="21"/>
              </w:rPr>
            </w:pPr>
            <w:bookmarkStart w:id="981" w:name="未检出"/>
            <w:bookmarkEnd w:id="981"/>
            <w:r>
              <w:rPr>
                <w:sz w:val="21"/>
              </w:rPr>
              <w:t>未检出</w:t>
            </w:r>
          </w:p>
        </w:tc>
        <w:tc>
          <w:tcPr>
            <w:tcW w:w="1217" w:type="dxa"/>
          </w:tcPr>
          <w:p>
            <w:pPr>
              <w:pStyle w:val="14"/>
              <w:spacing w:before="63"/>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4"/>
              <w:ind w:left="210" w:right="206"/>
              <w:rPr>
                <w:sz w:val="21"/>
              </w:rPr>
            </w:pPr>
            <w:r>
              <w:rPr>
                <w:sz w:val="21"/>
              </w:rPr>
              <w:t>甲苯</w:t>
            </w:r>
          </w:p>
        </w:tc>
        <w:tc>
          <w:tcPr>
            <w:tcW w:w="1721" w:type="dxa"/>
          </w:tcPr>
          <w:p>
            <w:pPr>
              <w:pStyle w:val="14"/>
              <w:spacing w:before="78"/>
              <w:ind w:left="591"/>
              <w:jc w:val="left"/>
              <w:rPr>
                <w:rFonts w:ascii="Times New Roman"/>
                <w:sz w:val="21"/>
              </w:rPr>
            </w:pPr>
            <w:r>
              <w:rPr>
                <w:rFonts w:ascii="Times New Roman"/>
                <w:sz w:val="21"/>
              </w:rPr>
              <w:t>mg/kg</w:t>
            </w:r>
          </w:p>
        </w:tc>
        <w:tc>
          <w:tcPr>
            <w:tcW w:w="3088" w:type="dxa"/>
          </w:tcPr>
          <w:p>
            <w:pPr>
              <w:pStyle w:val="14"/>
              <w:spacing w:before="66"/>
              <w:ind w:left="1229"/>
              <w:jc w:val="left"/>
              <w:rPr>
                <w:sz w:val="21"/>
              </w:rPr>
            </w:pPr>
            <w:bookmarkStart w:id="982" w:name="未检出"/>
            <w:bookmarkEnd w:id="982"/>
            <w:r>
              <w:rPr>
                <w:sz w:val="21"/>
              </w:rPr>
              <w:t>未检出</w:t>
            </w:r>
          </w:p>
        </w:tc>
        <w:tc>
          <w:tcPr>
            <w:tcW w:w="1217" w:type="dxa"/>
          </w:tcPr>
          <w:p>
            <w:pPr>
              <w:pStyle w:val="14"/>
              <w:spacing w:before="64"/>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268" w:type="dxa"/>
          </w:tcPr>
          <w:p>
            <w:pPr>
              <w:pStyle w:val="14"/>
              <w:spacing w:before="62"/>
              <w:ind w:left="213" w:right="206"/>
              <w:rPr>
                <w:sz w:val="21"/>
              </w:rPr>
            </w:pPr>
            <w:r>
              <w:rPr>
                <w:sz w:val="21"/>
              </w:rPr>
              <w:t>间二甲苯</w:t>
            </w:r>
            <w:r>
              <w:rPr>
                <w:rFonts w:ascii="Times New Roman" w:eastAsia="Times New Roman"/>
                <w:sz w:val="21"/>
              </w:rPr>
              <w:t>+</w:t>
            </w:r>
            <w:r>
              <w:rPr>
                <w:sz w:val="21"/>
              </w:rPr>
              <w:t>对二甲苯</w:t>
            </w:r>
          </w:p>
        </w:tc>
        <w:tc>
          <w:tcPr>
            <w:tcW w:w="1721" w:type="dxa"/>
          </w:tcPr>
          <w:p>
            <w:pPr>
              <w:pStyle w:val="14"/>
              <w:spacing w:before="76"/>
              <w:ind w:left="591"/>
              <w:jc w:val="left"/>
              <w:rPr>
                <w:rFonts w:ascii="Times New Roman"/>
                <w:sz w:val="21"/>
              </w:rPr>
            </w:pPr>
            <w:r>
              <w:rPr>
                <w:rFonts w:ascii="Times New Roman"/>
                <w:sz w:val="21"/>
              </w:rPr>
              <w:t>mg/kg</w:t>
            </w:r>
          </w:p>
        </w:tc>
        <w:tc>
          <w:tcPr>
            <w:tcW w:w="3088" w:type="dxa"/>
          </w:tcPr>
          <w:p>
            <w:pPr>
              <w:pStyle w:val="14"/>
              <w:spacing w:before="65"/>
              <w:ind w:left="1229"/>
              <w:jc w:val="left"/>
              <w:rPr>
                <w:sz w:val="21"/>
              </w:rPr>
            </w:pPr>
            <w:bookmarkStart w:id="983" w:name="未检出"/>
            <w:bookmarkEnd w:id="983"/>
            <w:r>
              <w:rPr>
                <w:sz w:val="21"/>
              </w:rPr>
              <w:t>未检出</w:t>
            </w:r>
          </w:p>
        </w:tc>
        <w:tc>
          <w:tcPr>
            <w:tcW w:w="1217" w:type="dxa"/>
          </w:tcPr>
          <w:p>
            <w:pPr>
              <w:pStyle w:val="14"/>
              <w:spacing w:before="62"/>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3"/>
              <w:ind w:left="213" w:right="206"/>
              <w:rPr>
                <w:sz w:val="21"/>
              </w:rPr>
            </w:pPr>
            <w:r>
              <w:rPr>
                <w:sz w:val="21"/>
              </w:rPr>
              <w:t>邻二甲苯</w:t>
            </w:r>
          </w:p>
        </w:tc>
        <w:tc>
          <w:tcPr>
            <w:tcW w:w="1721" w:type="dxa"/>
          </w:tcPr>
          <w:p>
            <w:pPr>
              <w:pStyle w:val="14"/>
              <w:spacing w:before="77"/>
              <w:ind w:left="591"/>
              <w:jc w:val="left"/>
              <w:rPr>
                <w:rFonts w:ascii="Times New Roman"/>
                <w:sz w:val="21"/>
              </w:rPr>
            </w:pPr>
            <w:r>
              <w:rPr>
                <w:rFonts w:ascii="Times New Roman"/>
                <w:sz w:val="21"/>
              </w:rPr>
              <w:t>mg/kg</w:t>
            </w:r>
          </w:p>
        </w:tc>
        <w:tc>
          <w:tcPr>
            <w:tcW w:w="3088" w:type="dxa"/>
          </w:tcPr>
          <w:p>
            <w:pPr>
              <w:pStyle w:val="14"/>
              <w:spacing w:before="66"/>
              <w:ind w:left="1229"/>
              <w:jc w:val="left"/>
              <w:rPr>
                <w:sz w:val="21"/>
              </w:rPr>
            </w:pPr>
            <w:bookmarkStart w:id="984" w:name="未检出"/>
            <w:bookmarkEnd w:id="984"/>
            <w:r>
              <w:rPr>
                <w:sz w:val="21"/>
              </w:rPr>
              <w:t>未检出</w:t>
            </w:r>
          </w:p>
        </w:tc>
        <w:tc>
          <w:tcPr>
            <w:tcW w:w="1217" w:type="dxa"/>
          </w:tcPr>
          <w:p>
            <w:pPr>
              <w:pStyle w:val="14"/>
              <w:spacing w:before="63"/>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2"/>
              <w:ind w:left="213" w:right="204"/>
              <w:rPr>
                <w:sz w:val="21"/>
              </w:rPr>
            </w:pPr>
            <w:r>
              <w:rPr>
                <w:sz w:val="21"/>
              </w:rPr>
              <w:t>硝基苯</w:t>
            </w:r>
          </w:p>
        </w:tc>
        <w:tc>
          <w:tcPr>
            <w:tcW w:w="1721" w:type="dxa"/>
          </w:tcPr>
          <w:p>
            <w:pPr>
              <w:pStyle w:val="14"/>
              <w:spacing w:before="76"/>
              <w:ind w:left="591"/>
              <w:jc w:val="left"/>
              <w:rPr>
                <w:rFonts w:ascii="Times New Roman"/>
                <w:sz w:val="21"/>
              </w:rPr>
            </w:pPr>
            <w:r>
              <w:rPr>
                <w:rFonts w:ascii="Times New Roman"/>
                <w:sz w:val="21"/>
              </w:rPr>
              <w:t>mg/kg</w:t>
            </w:r>
          </w:p>
        </w:tc>
        <w:tc>
          <w:tcPr>
            <w:tcW w:w="3088" w:type="dxa"/>
          </w:tcPr>
          <w:p>
            <w:pPr>
              <w:pStyle w:val="14"/>
              <w:spacing w:before="67"/>
              <w:ind w:left="1229"/>
              <w:jc w:val="left"/>
              <w:rPr>
                <w:sz w:val="21"/>
              </w:rPr>
            </w:pPr>
            <w:bookmarkStart w:id="985" w:name="未检出"/>
            <w:bookmarkEnd w:id="985"/>
            <w:r>
              <w:rPr>
                <w:sz w:val="21"/>
              </w:rPr>
              <w:t>未检出</w:t>
            </w:r>
          </w:p>
        </w:tc>
        <w:tc>
          <w:tcPr>
            <w:tcW w:w="1217" w:type="dxa"/>
          </w:tcPr>
          <w:p>
            <w:pPr>
              <w:pStyle w:val="14"/>
              <w:spacing w:before="62"/>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3"/>
              <w:ind w:left="210" w:right="206"/>
              <w:rPr>
                <w:sz w:val="21"/>
              </w:rPr>
            </w:pPr>
            <w:r>
              <w:rPr>
                <w:sz w:val="21"/>
              </w:rPr>
              <w:t>苯胺</w:t>
            </w:r>
          </w:p>
        </w:tc>
        <w:tc>
          <w:tcPr>
            <w:tcW w:w="1721" w:type="dxa"/>
          </w:tcPr>
          <w:p>
            <w:pPr>
              <w:pStyle w:val="14"/>
              <w:spacing w:before="77"/>
              <w:ind w:left="591"/>
              <w:jc w:val="left"/>
              <w:rPr>
                <w:rFonts w:ascii="Times New Roman"/>
                <w:sz w:val="21"/>
              </w:rPr>
            </w:pPr>
            <w:r>
              <w:rPr>
                <w:rFonts w:ascii="Times New Roman"/>
                <w:sz w:val="21"/>
              </w:rPr>
              <w:t>mg/kg</w:t>
            </w:r>
          </w:p>
        </w:tc>
        <w:tc>
          <w:tcPr>
            <w:tcW w:w="3088" w:type="dxa"/>
          </w:tcPr>
          <w:p>
            <w:pPr>
              <w:pStyle w:val="14"/>
              <w:spacing w:before="65"/>
              <w:ind w:left="1229"/>
              <w:jc w:val="left"/>
              <w:rPr>
                <w:sz w:val="21"/>
              </w:rPr>
            </w:pPr>
            <w:bookmarkStart w:id="986" w:name="未检出"/>
            <w:bookmarkEnd w:id="986"/>
            <w:r>
              <w:rPr>
                <w:sz w:val="21"/>
              </w:rPr>
              <w:t>未检出</w:t>
            </w:r>
          </w:p>
        </w:tc>
        <w:tc>
          <w:tcPr>
            <w:tcW w:w="1217" w:type="dxa"/>
          </w:tcPr>
          <w:p>
            <w:pPr>
              <w:pStyle w:val="14"/>
              <w:spacing w:before="63"/>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4"/>
              <w:ind w:left="213" w:right="206"/>
              <w:rPr>
                <w:sz w:val="21"/>
              </w:rPr>
            </w:pPr>
            <w:r>
              <w:rPr>
                <w:rFonts w:ascii="Times New Roman" w:eastAsia="Times New Roman"/>
                <w:sz w:val="21"/>
              </w:rPr>
              <w:t>2-</w:t>
            </w:r>
            <w:r>
              <w:rPr>
                <w:sz w:val="21"/>
              </w:rPr>
              <w:t>氯酚</w:t>
            </w:r>
          </w:p>
        </w:tc>
        <w:tc>
          <w:tcPr>
            <w:tcW w:w="1721" w:type="dxa"/>
          </w:tcPr>
          <w:p>
            <w:pPr>
              <w:pStyle w:val="14"/>
              <w:spacing w:before="78"/>
              <w:ind w:left="591"/>
              <w:jc w:val="left"/>
              <w:rPr>
                <w:rFonts w:ascii="Times New Roman"/>
                <w:sz w:val="21"/>
              </w:rPr>
            </w:pPr>
            <w:r>
              <w:rPr>
                <w:rFonts w:ascii="Times New Roman"/>
                <w:sz w:val="21"/>
              </w:rPr>
              <w:t>mg/kg</w:t>
            </w:r>
          </w:p>
        </w:tc>
        <w:tc>
          <w:tcPr>
            <w:tcW w:w="3088" w:type="dxa"/>
          </w:tcPr>
          <w:p>
            <w:pPr>
              <w:pStyle w:val="14"/>
              <w:spacing w:before="66"/>
              <w:ind w:left="1229"/>
              <w:jc w:val="left"/>
              <w:rPr>
                <w:sz w:val="21"/>
              </w:rPr>
            </w:pPr>
            <w:bookmarkStart w:id="987" w:name="未检出"/>
            <w:bookmarkEnd w:id="987"/>
            <w:r>
              <w:rPr>
                <w:sz w:val="21"/>
              </w:rPr>
              <w:t>未检出</w:t>
            </w:r>
          </w:p>
        </w:tc>
        <w:tc>
          <w:tcPr>
            <w:tcW w:w="1217" w:type="dxa"/>
          </w:tcPr>
          <w:p>
            <w:pPr>
              <w:pStyle w:val="14"/>
              <w:spacing w:before="64"/>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268" w:type="dxa"/>
          </w:tcPr>
          <w:p>
            <w:pPr>
              <w:pStyle w:val="14"/>
              <w:spacing w:before="62"/>
              <w:ind w:left="213" w:right="206"/>
              <w:rPr>
                <w:sz w:val="21"/>
              </w:rPr>
            </w:pPr>
            <w:r>
              <w:rPr>
                <w:sz w:val="21"/>
              </w:rPr>
              <w:t>苯并</w:t>
            </w:r>
            <w:r>
              <w:rPr>
                <w:rFonts w:ascii="Times New Roman" w:eastAsia="Times New Roman"/>
                <w:sz w:val="21"/>
              </w:rPr>
              <w:t>[a]</w:t>
            </w:r>
            <w:r>
              <w:rPr>
                <w:sz w:val="21"/>
              </w:rPr>
              <w:t>蒽</w:t>
            </w:r>
          </w:p>
        </w:tc>
        <w:tc>
          <w:tcPr>
            <w:tcW w:w="1721" w:type="dxa"/>
          </w:tcPr>
          <w:p>
            <w:pPr>
              <w:pStyle w:val="14"/>
              <w:spacing w:before="76"/>
              <w:ind w:left="591"/>
              <w:jc w:val="left"/>
              <w:rPr>
                <w:rFonts w:ascii="Times New Roman"/>
                <w:sz w:val="21"/>
              </w:rPr>
            </w:pPr>
            <w:r>
              <w:rPr>
                <w:rFonts w:ascii="Times New Roman"/>
                <w:sz w:val="21"/>
              </w:rPr>
              <w:t>mg/kg</w:t>
            </w:r>
          </w:p>
        </w:tc>
        <w:tc>
          <w:tcPr>
            <w:tcW w:w="3088" w:type="dxa"/>
          </w:tcPr>
          <w:p>
            <w:pPr>
              <w:pStyle w:val="14"/>
              <w:spacing w:before="65"/>
              <w:ind w:left="1229"/>
              <w:jc w:val="left"/>
              <w:rPr>
                <w:sz w:val="21"/>
              </w:rPr>
            </w:pPr>
            <w:bookmarkStart w:id="988" w:name="未检出"/>
            <w:bookmarkEnd w:id="988"/>
            <w:r>
              <w:rPr>
                <w:sz w:val="21"/>
              </w:rPr>
              <w:t>未检出</w:t>
            </w:r>
          </w:p>
        </w:tc>
        <w:tc>
          <w:tcPr>
            <w:tcW w:w="1217" w:type="dxa"/>
          </w:tcPr>
          <w:p>
            <w:pPr>
              <w:pStyle w:val="14"/>
              <w:spacing w:before="62"/>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4"/>
              <w:ind w:left="213" w:right="206"/>
              <w:rPr>
                <w:sz w:val="21"/>
              </w:rPr>
            </w:pPr>
            <w:r>
              <w:rPr>
                <w:sz w:val="21"/>
              </w:rPr>
              <w:t>苯并</w:t>
            </w:r>
            <w:r>
              <w:rPr>
                <w:rFonts w:ascii="Times New Roman" w:eastAsia="Times New Roman"/>
                <w:sz w:val="21"/>
              </w:rPr>
              <w:t>[a]</w:t>
            </w:r>
            <w:r>
              <w:rPr>
                <w:sz w:val="21"/>
              </w:rPr>
              <w:t>芘</w:t>
            </w:r>
          </w:p>
        </w:tc>
        <w:tc>
          <w:tcPr>
            <w:tcW w:w="1721" w:type="dxa"/>
          </w:tcPr>
          <w:p>
            <w:pPr>
              <w:pStyle w:val="14"/>
              <w:spacing w:before="77"/>
              <w:ind w:left="591"/>
              <w:jc w:val="left"/>
              <w:rPr>
                <w:rFonts w:ascii="Times New Roman"/>
                <w:sz w:val="21"/>
              </w:rPr>
            </w:pPr>
            <w:r>
              <w:rPr>
                <w:rFonts w:ascii="Times New Roman"/>
                <w:sz w:val="21"/>
              </w:rPr>
              <w:t>mg/kg</w:t>
            </w:r>
          </w:p>
        </w:tc>
        <w:tc>
          <w:tcPr>
            <w:tcW w:w="3088" w:type="dxa"/>
          </w:tcPr>
          <w:p>
            <w:pPr>
              <w:pStyle w:val="14"/>
              <w:spacing w:before="66"/>
              <w:ind w:left="1229"/>
              <w:jc w:val="left"/>
              <w:rPr>
                <w:sz w:val="21"/>
              </w:rPr>
            </w:pPr>
            <w:bookmarkStart w:id="989" w:name="未检出"/>
            <w:bookmarkEnd w:id="989"/>
            <w:r>
              <w:rPr>
                <w:sz w:val="21"/>
              </w:rPr>
              <w:t>未检出</w:t>
            </w:r>
          </w:p>
        </w:tc>
        <w:tc>
          <w:tcPr>
            <w:tcW w:w="1217" w:type="dxa"/>
          </w:tcPr>
          <w:p>
            <w:pPr>
              <w:pStyle w:val="14"/>
              <w:spacing w:before="64"/>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2"/>
              <w:ind w:left="213" w:right="206"/>
              <w:rPr>
                <w:sz w:val="21"/>
              </w:rPr>
            </w:pPr>
            <w:r>
              <w:rPr>
                <w:sz w:val="21"/>
              </w:rPr>
              <w:t>苯并</w:t>
            </w:r>
            <w:r>
              <w:rPr>
                <w:rFonts w:ascii="Times New Roman" w:eastAsia="Times New Roman"/>
                <w:sz w:val="21"/>
              </w:rPr>
              <w:t>[b]</w:t>
            </w:r>
            <w:r>
              <w:rPr>
                <w:sz w:val="21"/>
              </w:rPr>
              <w:t>荧蒽</w:t>
            </w:r>
          </w:p>
        </w:tc>
        <w:tc>
          <w:tcPr>
            <w:tcW w:w="1721" w:type="dxa"/>
          </w:tcPr>
          <w:p>
            <w:pPr>
              <w:pStyle w:val="14"/>
              <w:spacing w:before="76"/>
              <w:ind w:left="591"/>
              <w:jc w:val="left"/>
              <w:rPr>
                <w:rFonts w:ascii="Times New Roman"/>
                <w:sz w:val="21"/>
              </w:rPr>
            </w:pPr>
            <w:r>
              <w:rPr>
                <w:rFonts w:ascii="Times New Roman"/>
                <w:sz w:val="21"/>
              </w:rPr>
              <w:t>mg/kg</w:t>
            </w:r>
          </w:p>
        </w:tc>
        <w:tc>
          <w:tcPr>
            <w:tcW w:w="3088" w:type="dxa"/>
          </w:tcPr>
          <w:p>
            <w:pPr>
              <w:pStyle w:val="14"/>
              <w:spacing w:before="67"/>
              <w:ind w:left="1229"/>
              <w:jc w:val="left"/>
              <w:rPr>
                <w:sz w:val="21"/>
              </w:rPr>
            </w:pPr>
            <w:bookmarkStart w:id="990" w:name="未检出"/>
            <w:bookmarkEnd w:id="990"/>
            <w:r>
              <w:rPr>
                <w:sz w:val="21"/>
              </w:rPr>
              <w:t>未检出</w:t>
            </w:r>
          </w:p>
        </w:tc>
        <w:tc>
          <w:tcPr>
            <w:tcW w:w="1217" w:type="dxa"/>
          </w:tcPr>
          <w:p>
            <w:pPr>
              <w:pStyle w:val="14"/>
              <w:spacing w:before="62"/>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3"/>
              <w:ind w:left="213" w:right="206"/>
              <w:rPr>
                <w:sz w:val="21"/>
              </w:rPr>
            </w:pPr>
            <w:r>
              <w:rPr>
                <w:sz w:val="21"/>
              </w:rPr>
              <w:t>苯并</w:t>
            </w:r>
            <w:r>
              <w:rPr>
                <w:rFonts w:ascii="Times New Roman" w:eastAsia="Times New Roman"/>
                <w:sz w:val="21"/>
              </w:rPr>
              <w:t>[k]</w:t>
            </w:r>
            <w:r>
              <w:rPr>
                <w:sz w:val="21"/>
              </w:rPr>
              <w:t>荧蒽</w:t>
            </w:r>
          </w:p>
        </w:tc>
        <w:tc>
          <w:tcPr>
            <w:tcW w:w="1721" w:type="dxa"/>
          </w:tcPr>
          <w:p>
            <w:pPr>
              <w:pStyle w:val="14"/>
              <w:spacing w:before="77"/>
              <w:ind w:left="591"/>
              <w:jc w:val="left"/>
              <w:rPr>
                <w:rFonts w:ascii="Times New Roman"/>
                <w:sz w:val="21"/>
              </w:rPr>
            </w:pPr>
            <w:r>
              <w:rPr>
                <w:rFonts w:ascii="Times New Roman"/>
                <w:sz w:val="21"/>
              </w:rPr>
              <w:t>mg/kg</w:t>
            </w:r>
          </w:p>
        </w:tc>
        <w:tc>
          <w:tcPr>
            <w:tcW w:w="3088" w:type="dxa"/>
          </w:tcPr>
          <w:p>
            <w:pPr>
              <w:pStyle w:val="14"/>
              <w:spacing w:before="66"/>
              <w:ind w:left="1229"/>
              <w:jc w:val="left"/>
              <w:rPr>
                <w:sz w:val="21"/>
              </w:rPr>
            </w:pPr>
            <w:bookmarkStart w:id="991" w:name="未检出"/>
            <w:bookmarkEnd w:id="991"/>
            <w:r>
              <w:rPr>
                <w:sz w:val="21"/>
              </w:rPr>
              <w:t>未检出</w:t>
            </w:r>
          </w:p>
        </w:tc>
        <w:tc>
          <w:tcPr>
            <w:tcW w:w="1217" w:type="dxa"/>
          </w:tcPr>
          <w:p>
            <w:pPr>
              <w:pStyle w:val="14"/>
              <w:spacing w:before="63"/>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2"/>
              <w:ind w:left="7"/>
              <w:rPr>
                <w:sz w:val="21"/>
              </w:rPr>
            </w:pPr>
            <w:r>
              <w:rPr>
                <w:w w:val="99"/>
                <w:sz w:val="21"/>
              </w:rPr>
              <w:t>䓛</w:t>
            </w:r>
          </w:p>
        </w:tc>
        <w:tc>
          <w:tcPr>
            <w:tcW w:w="1721" w:type="dxa"/>
          </w:tcPr>
          <w:p>
            <w:pPr>
              <w:pStyle w:val="14"/>
              <w:spacing w:before="76"/>
              <w:ind w:left="591"/>
              <w:jc w:val="left"/>
              <w:rPr>
                <w:rFonts w:ascii="Times New Roman"/>
                <w:sz w:val="21"/>
              </w:rPr>
            </w:pPr>
            <w:r>
              <w:rPr>
                <w:rFonts w:ascii="Times New Roman"/>
                <w:sz w:val="21"/>
              </w:rPr>
              <w:t>mg/kg</w:t>
            </w:r>
          </w:p>
        </w:tc>
        <w:tc>
          <w:tcPr>
            <w:tcW w:w="3088" w:type="dxa"/>
          </w:tcPr>
          <w:p>
            <w:pPr>
              <w:pStyle w:val="14"/>
              <w:spacing w:before="66"/>
              <w:ind w:left="1229"/>
              <w:jc w:val="left"/>
              <w:rPr>
                <w:sz w:val="21"/>
              </w:rPr>
            </w:pPr>
            <w:bookmarkStart w:id="992" w:name="未检出"/>
            <w:bookmarkEnd w:id="992"/>
            <w:r>
              <w:rPr>
                <w:sz w:val="21"/>
              </w:rPr>
              <w:t>未检出</w:t>
            </w:r>
          </w:p>
        </w:tc>
        <w:tc>
          <w:tcPr>
            <w:tcW w:w="1217" w:type="dxa"/>
          </w:tcPr>
          <w:p>
            <w:pPr>
              <w:pStyle w:val="14"/>
              <w:spacing w:before="62"/>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268" w:type="dxa"/>
          </w:tcPr>
          <w:p>
            <w:pPr>
              <w:pStyle w:val="14"/>
              <w:spacing w:before="63"/>
              <w:ind w:left="213" w:right="204"/>
              <w:rPr>
                <w:sz w:val="21"/>
              </w:rPr>
            </w:pPr>
            <w:r>
              <w:rPr>
                <w:sz w:val="21"/>
              </w:rPr>
              <w:t>二苯并</w:t>
            </w:r>
            <w:r>
              <w:rPr>
                <w:rFonts w:ascii="Times New Roman" w:eastAsia="Times New Roman"/>
                <w:sz w:val="21"/>
              </w:rPr>
              <w:t>[a, h]</w:t>
            </w:r>
            <w:r>
              <w:rPr>
                <w:sz w:val="21"/>
              </w:rPr>
              <w:t>蒽</w:t>
            </w:r>
          </w:p>
        </w:tc>
        <w:tc>
          <w:tcPr>
            <w:tcW w:w="1721" w:type="dxa"/>
          </w:tcPr>
          <w:p>
            <w:pPr>
              <w:pStyle w:val="14"/>
              <w:spacing w:before="77"/>
              <w:ind w:left="591"/>
              <w:jc w:val="left"/>
              <w:rPr>
                <w:rFonts w:ascii="Times New Roman"/>
                <w:sz w:val="21"/>
              </w:rPr>
            </w:pPr>
            <w:r>
              <w:rPr>
                <w:rFonts w:ascii="Times New Roman"/>
                <w:sz w:val="21"/>
              </w:rPr>
              <w:t>mg/kg</w:t>
            </w:r>
          </w:p>
        </w:tc>
        <w:tc>
          <w:tcPr>
            <w:tcW w:w="3088" w:type="dxa"/>
          </w:tcPr>
          <w:p>
            <w:pPr>
              <w:pStyle w:val="14"/>
              <w:spacing w:before="65"/>
              <w:ind w:left="1229"/>
              <w:jc w:val="left"/>
              <w:rPr>
                <w:sz w:val="21"/>
              </w:rPr>
            </w:pPr>
            <w:bookmarkStart w:id="993" w:name="未检出"/>
            <w:bookmarkEnd w:id="993"/>
            <w:r>
              <w:rPr>
                <w:sz w:val="21"/>
              </w:rPr>
              <w:t>未检出</w:t>
            </w:r>
          </w:p>
        </w:tc>
        <w:tc>
          <w:tcPr>
            <w:tcW w:w="1217" w:type="dxa"/>
          </w:tcPr>
          <w:p>
            <w:pPr>
              <w:pStyle w:val="14"/>
              <w:spacing w:before="63"/>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2268" w:type="dxa"/>
          </w:tcPr>
          <w:p>
            <w:pPr>
              <w:pStyle w:val="14"/>
              <w:spacing w:before="64"/>
              <w:ind w:left="213" w:right="201"/>
              <w:rPr>
                <w:sz w:val="21"/>
              </w:rPr>
            </w:pPr>
            <w:r>
              <w:rPr>
                <w:sz w:val="21"/>
              </w:rPr>
              <w:t>茚并</w:t>
            </w:r>
            <w:r>
              <w:rPr>
                <w:rFonts w:ascii="Times New Roman" w:eastAsia="Times New Roman"/>
                <w:sz w:val="21"/>
              </w:rPr>
              <w:t>[1,2,3-cd]</w:t>
            </w:r>
            <w:r>
              <w:rPr>
                <w:sz w:val="21"/>
              </w:rPr>
              <w:t>芘</w:t>
            </w:r>
          </w:p>
        </w:tc>
        <w:tc>
          <w:tcPr>
            <w:tcW w:w="1721" w:type="dxa"/>
          </w:tcPr>
          <w:p>
            <w:pPr>
              <w:pStyle w:val="14"/>
              <w:spacing w:before="78"/>
              <w:ind w:left="591"/>
              <w:jc w:val="left"/>
              <w:rPr>
                <w:rFonts w:ascii="Times New Roman"/>
                <w:sz w:val="21"/>
              </w:rPr>
            </w:pPr>
            <w:r>
              <w:rPr>
                <w:rFonts w:ascii="Times New Roman"/>
                <w:sz w:val="21"/>
              </w:rPr>
              <w:t>mg/kg</w:t>
            </w:r>
          </w:p>
        </w:tc>
        <w:tc>
          <w:tcPr>
            <w:tcW w:w="3088" w:type="dxa"/>
          </w:tcPr>
          <w:p>
            <w:pPr>
              <w:pStyle w:val="14"/>
              <w:spacing w:before="66"/>
              <w:ind w:left="1229"/>
              <w:jc w:val="left"/>
              <w:rPr>
                <w:sz w:val="21"/>
              </w:rPr>
            </w:pPr>
            <w:bookmarkStart w:id="994" w:name="未检出"/>
            <w:bookmarkEnd w:id="994"/>
            <w:r>
              <w:rPr>
                <w:sz w:val="21"/>
              </w:rPr>
              <w:t>未检出</w:t>
            </w:r>
          </w:p>
        </w:tc>
        <w:tc>
          <w:tcPr>
            <w:tcW w:w="1217" w:type="dxa"/>
          </w:tcPr>
          <w:p>
            <w:pPr>
              <w:pStyle w:val="14"/>
              <w:spacing w:before="64"/>
              <w:ind w:left="376" w:right="371"/>
              <w:rPr>
                <w:sz w:val="21"/>
              </w:rPr>
            </w:pPr>
            <w:r>
              <w:rPr>
                <w:sz w:val="21"/>
              </w:rPr>
              <w:t>达标</w:t>
            </w:r>
          </w:p>
        </w:tc>
      </w:tr>
    </w:tbl>
    <w:p>
      <w:pPr>
        <w:spacing w:after="0"/>
        <w:rPr>
          <w:sz w:val="21"/>
        </w:rPr>
        <w:sectPr>
          <w:pgSz w:w="11910" w:h="16840"/>
          <w:pgMar w:top="1580" w:right="780" w:bottom="1240" w:left="1200" w:header="0" w:footer="1058" w:gutter="0"/>
        </w:sectPr>
      </w:pPr>
    </w:p>
    <w:tbl>
      <w:tblPr>
        <w:tblStyle w:val="10"/>
        <w:tblW w:w="0" w:type="auto"/>
        <w:tblInd w:w="6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68"/>
        <w:gridCol w:w="1721"/>
        <w:gridCol w:w="3088"/>
        <w:gridCol w:w="12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268" w:type="dxa"/>
          </w:tcPr>
          <w:p>
            <w:pPr>
              <w:pStyle w:val="14"/>
              <w:spacing w:before="63"/>
              <w:ind w:left="7"/>
              <w:rPr>
                <w:sz w:val="21"/>
              </w:rPr>
            </w:pPr>
            <w:r>
              <w:rPr>
                <w:w w:val="99"/>
                <w:sz w:val="21"/>
              </w:rPr>
              <w:t>萘</w:t>
            </w:r>
          </w:p>
        </w:tc>
        <w:tc>
          <w:tcPr>
            <w:tcW w:w="1721" w:type="dxa"/>
          </w:tcPr>
          <w:p>
            <w:pPr>
              <w:pStyle w:val="14"/>
              <w:ind w:left="336" w:right="331"/>
              <w:rPr>
                <w:rFonts w:ascii="Times New Roman"/>
                <w:sz w:val="21"/>
              </w:rPr>
            </w:pPr>
            <w:r>
              <w:rPr>
                <w:rFonts w:ascii="Times New Roman"/>
                <w:sz w:val="21"/>
              </w:rPr>
              <w:t>mg/kg</w:t>
            </w:r>
          </w:p>
        </w:tc>
        <w:tc>
          <w:tcPr>
            <w:tcW w:w="3088" w:type="dxa"/>
          </w:tcPr>
          <w:p>
            <w:pPr>
              <w:pStyle w:val="14"/>
              <w:spacing w:before="65"/>
              <w:ind w:left="683" w:right="673"/>
              <w:rPr>
                <w:sz w:val="21"/>
              </w:rPr>
            </w:pPr>
            <w:bookmarkStart w:id="995" w:name="未检出"/>
            <w:bookmarkEnd w:id="995"/>
            <w:r>
              <w:rPr>
                <w:sz w:val="21"/>
              </w:rPr>
              <w:t>未检出</w:t>
            </w:r>
          </w:p>
        </w:tc>
        <w:tc>
          <w:tcPr>
            <w:tcW w:w="1217" w:type="dxa"/>
          </w:tcPr>
          <w:p>
            <w:pPr>
              <w:pStyle w:val="14"/>
              <w:spacing w:before="63"/>
              <w:ind w:left="397"/>
              <w:jc w:val="left"/>
              <w:rPr>
                <w:sz w:val="21"/>
              </w:rPr>
            </w:pPr>
            <w:r>
              <w:rPr>
                <w:sz w:val="21"/>
              </w:rPr>
              <w:t>达标</w:t>
            </w:r>
          </w:p>
        </w:tc>
      </w:tr>
    </w:tbl>
    <w:p>
      <w:pPr>
        <w:spacing w:before="7"/>
        <w:ind w:left="0" w:right="350" w:firstLine="0"/>
        <w:jc w:val="center"/>
        <w:rPr>
          <w:b/>
          <w:sz w:val="24"/>
        </w:rPr>
      </w:pPr>
      <w:r>
        <w:rPr>
          <w:b/>
          <w:spacing w:val="-31"/>
          <w:sz w:val="24"/>
        </w:rPr>
        <w:t xml:space="preserve">表 </w:t>
      </w:r>
      <w:r>
        <w:rPr>
          <w:rFonts w:ascii="Times New Roman" w:eastAsia="Times New Roman"/>
          <w:b/>
          <w:spacing w:val="-3"/>
          <w:sz w:val="24"/>
        </w:rPr>
        <w:t>11.2-4</w:t>
      </w:r>
      <w:r>
        <w:rPr>
          <w:rFonts w:ascii="Times New Roman" w:eastAsia="Times New Roman"/>
          <w:b/>
          <w:sz w:val="24"/>
        </w:rPr>
        <w:t xml:space="preserve">  </w:t>
      </w:r>
      <w:r>
        <w:rPr>
          <w:b/>
          <w:sz w:val="24"/>
        </w:rPr>
        <w:t>农用地土壤环境质量监测结果</w:t>
      </w:r>
    </w:p>
    <w:tbl>
      <w:tblPr>
        <w:tblStyle w:val="10"/>
        <w:tblW w:w="0" w:type="auto"/>
        <w:tblInd w:w="3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64"/>
        <w:gridCol w:w="960"/>
        <w:gridCol w:w="2576"/>
        <w:gridCol w:w="2576"/>
        <w:gridCol w:w="12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464" w:type="dxa"/>
            <w:vMerge w:val="restart"/>
          </w:tcPr>
          <w:p>
            <w:pPr>
              <w:pStyle w:val="14"/>
              <w:spacing w:before="10"/>
              <w:jc w:val="left"/>
              <w:rPr>
                <w:b/>
                <w:sz w:val="20"/>
              </w:rPr>
            </w:pPr>
          </w:p>
          <w:p>
            <w:pPr>
              <w:pStyle w:val="14"/>
              <w:ind w:left="348"/>
              <w:jc w:val="left"/>
              <w:rPr>
                <w:sz w:val="21"/>
              </w:rPr>
            </w:pPr>
            <w:bookmarkStart w:id="996" w:name="检测项目"/>
            <w:bookmarkEnd w:id="996"/>
            <w:r>
              <w:rPr>
                <w:sz w:val="21"/>
              </w:rPr>
              <w:t>检测项目</w:t>
            </w:r>
          </w:p>
        </w:tc>
        <w:tc>
          <w:tcPr>
            <w:tcW w:w="960" w:type="dxa"/>
            <w:vMerge w:val="restart"/>
          </w:tcPr>
          <w:p>
            <w:pPr>
              <w:pStyle w:val="14"/>
              <w:spacing w:before="10"/>
              <w:jc w:val="left"/>
              <w:rPr>
                <w:b/>
                <w:sz w:val="20"/>
              </w:rPr>
            </w:pPr>
          </w:p>
          <w:p>
            <w:pPr>
              <w:pStyle w:val="14"/>
              <w:ind w:left="269"/>
              <w:jc w:val="left"/>
              <w:rPr>
                <w:sz w:val="21"/>
              </w:rPr>
            </w:pPr>
            <w:r>
              <w:rPr>
                <w:sz w:val="21"/>
              </w:rPr>
              <w:t>单位</w:t>
            </w:r>
          </w:p>
        </w:tc>
        <w:tc>
          <w:tcPr>
            <w:tcW w:w="5152" w:type="dxa"/>
            <w:gridSpan w:val="2"/>
          </w:tcPr>
          <w:p>
            <w:pPr>
              <w:pStyle w:val="14"/>
              <w:spacing w:before="62"/>
              <w:ind w:left="2241" w:right="2231"/>
              <w:rPr>
                <w:sz w:val="21"/>
              </w:rPr>
            </w:pPr>
            <w:r>
              <w:rPr>
                <w:sz w:val="21"/>
              </w:rPr>
              <w:t>监测值</w:t>
            </w:r>
          </w:p>
        </w:tc>
        <w:tc>
          <w:tcPr>
            <w:tcW w:w="1220" w:type="dxa"/>
            <w:vMerge w:val="restart"/>
          </w:tcPr>
          <w:p>
            <w:pPr>
              <w:pStyle w:val="14"/>
              <w:spacing w:before="10"/>
              <w:jc w:val="left"/>
              <w:rPr>
                <w:b/>
                <w:sz w:val="20"/>
              </w:rPr>
            </w:pPr>
          </w:p>
          <w:p>
            <w:pPr>
              <w:pStyle w:val="14"/>
              <w:ind w:left="294"/>
              <w:jc w:val="left"/>
              <w:rPr>
                <w:sz w:val="21"/>
              </w:rPr>
            </w:pPr>
            <w:r>
              <w:rPr>
                <w:sz w:val="21"/>
              </w:rPr>
              <w:t>标准值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464" w:type="dxa"/>
            <w:vMerge w:val="continue"/>
            <w:tcBorders>
              <w:top w:val="nil"/>
            </w:tcBorders>
          </w:tcPr>
          <w:p>
            <w:pPr>
              <w:rPr>
                <w:sz w:val="2"/>
                <w:szCs w:val="2"/>
              </w:rPr>
            </w:pPr>
          </w:p>
        </w:tc>
        <w:tc>
          <w:tcPr>
            <w:tcW w:w="960" w:type="dxa"/>
            <w:vMerge w:val="continue"/>
            <w:tcBorders>
              <w:top w:val="nil"/>
            </w:tcBorders>
          </w:tcPr>
          <w:p>
            <w:pPr>
              <w:rPr>
                <w:sz w:val="2"/>
                <w:szCs w:val="2"/>
              </w:rPr>
            </w:pPr>
          </w:p>
        </w:tc>
        <w:tc>
          <w:tcPr>
            <w:tcW w:w="2576" w:type="dxa"/>
          </w:tcPr>
          <w:p>
            <w:pPr>
              <w:pStyle w:val="14"/>
              <w:spacing w:before="63"/>
              <w:ind w:left="111" w:right="104"/>
              <w:rPr>
                <w:rFonts w:ascii="Times New Roman" w:eastAsia="Times New Roman"/>
                <w:sz w:val="21"/>
              </w:rPr>
            </w:pPr>
            <w:r>
              <w:rPr>
                <w:sz w:val="21"/>
              </w:rPr>
              <w:t xml:space="preserve">工业场地厂址外表层样 </w:t>
            </w:r>
            <w:r>
              <w:rPr>
                <w:rFonts w:ascii="Times New Roman" w:eastAsia="Times New Roman"/>
                <w:sz w:val="21"/>
              </w:rPr>
              <w:t>1</w:t>
            </w:r>
          </w:p>
        </w:tc>
        <w:tc>
          <w:tcPr>
            <w:tcW w:w="2576" w:type="dxa"/>
          </w:tcPr>
          <w:p>
            <w:pPr>
              <w:pStyle w:val="14"/>
              <w:spacing w:before="63"/>
              <w:ind w:left="111" w:right="103"/>
              <w:rPr>
                <w:rFonts w:ascii="Times New Roman" w:eastAsia="Times New Roman"/>
                <w:sz w:val="21"/>
              </w:rPr>
            </w:pPr>
            <w:r>
              <w:rPr>
                <w:sz w:val="21"/>
              </w:rPr>
              <w:t xml:space="preserve">工业场地厂址外表层样 </w:t>
            </w:r>
            <w:r>
              <w:rPr>
                <w:rFonts w:ascii="Times New Roman" w:eastAsia="Times New Roman"/>
                <w:sz w:val="21"/>
              </w:rPr>
              <w:t>2</w:t>
            </w:r>
          </w:p>
        </w:tc>
        <w:tc>
          <w:tcPr>
            <w:tcW w:w="122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464" w:type="dxa"/>
          </w:tcPr>
          <w:p>
            <w:pPr>
              <w:pStyle w:val="14"/>
              <w:spacing w:before="62"/>
              <w:ind w:left="404" w:right="378"/>
              <w:rPr>
                <w:sz w:val="21"/>
              </w:rPr>
            </w:pPr>
            <w:bookmarkStart w:id="997" w:name="pH值"/>
            <w:bookmarkEnd w:id="997"/>
            <w:r>
              <w:rPr>
                <w:rFonts w:ascii="Times New Roman" w:eastAsia="Times New Roman"/>
                <w:sz w:val="21"/>
              </w:rPr>
              <w:t xml:space="preserve">pH </w:t>
            </w:r>
            <w:r>
              <w:rPr>
                <w:sz w:val="21"/>
              </w:rPr>
              <w:t>值</w:t>
            </w:r>
          </w:p>
        </w:tc>
        <w:tc>
          <w:tcPr>
            <w:tcW w:w="960" w:type="dxa"/>
          </w:tcPr>
          <w:p>
            <w:pPr>
              <w:pStyle w:val="14"/>
              <w:spacing w:before="62"/>
              <w:ind w:left="154" w:right="126"/>
              <w:rPr>
                <w:sz w:val="21"/>
              </w:rPr>
            </w:pPr>
            <w:bookmarkStart w:id="998" w:name="无量纲"/>
            <w:bookmarkEnd w:id="998"/>
            <w:r>
              <w:rPr>
                <w:sz w:val="21"/>
              </w:rPr>
              <w:t>无量纲</w:t>
            </w:r>
          </w:p>
        </w:tc>
        <w:tc>
          <w:tcPr>
            <w:tcW w:w="2576" w:type="dxa"/>
          </w:tcPr>
          <w:p>
            <w:pPr>
              <w:pStyle w:val="14"/>
              <w:spacing w:before="80"/>
              <w:ind w:left="111" w:right="102"/>
              <w:rPr>
                <w:rFonts w:ascii="Times New Roman"/>
                <w:sz w:val="21"/>
              </w:rPr>
            </w:pPr>
            <w:bookmarkStart w:id="999" w:name="6.94"/>
            <w:bookmarkEnd w:id="999"/>
            <w:r>
              <w:rPr>
                <w:rFonts w:ascii="Times New Roman"/>
                <w:sz w:val="21"/>
              </w:rPr>
              <w:t>6.94</w:t>
            </w:r>
          </w:p>
        </w:tc>
        <w:tc>
          <w:tcPr>
            <w:tcW w:w="2576" w:type="dxa"/>
          </w:tcPr>
          <w:p>
            <w:pPr>
              <w:pStyle w:val="14"/>
              <w:spacing w:before="80"/>
              <w:ind w:left="111" w:right="101"/>
              <w:rPr>
                <w:rFonts w:ascii="Times New Roman"/>
                <w:sz w:val="21"/>
              </w:rPr>
            </w:pPr>
            <w:bookmarkStart w:id="1000" w:name="7.01"/>
            <w:bookmarkEnd w:id="1000"/>
            <w:r>
              <w:rPr>
                <w:rFonts w:ascii="Times New Roman"/>
                <w:sz w:val="21"/>
              </w:rPr>
              <w:t>7.01</w:t>
            </w:r>
          </w:p>
        </w:tc>
        <w:tc>
          <w:tcPr>
            <w:tcW w:w="1220" w:type="dxa"/>
          </w:tcPr>
          <w:p>
            <w:pPr>
              <w:pStyle w:val="14"/>
              <w:spacing w:before="76"/>
              <w:ind w:left="16"/>
              <w:rPr>
                <w:rFonts w:ascii="Times New Roman" w:hAnsi="Times New Roman"/>
                <w:sz w:val="21"/>
              </w:rPr>
            </w:pPr>
            <w:bookmarkStart w:id="1001" w:name="─"/>
            <w:bookmarkEnd w:id="1001"/>
            <w:r>
              <w:rPr>
                <w:rFonts w:ascii="Times New Roman" w:hAns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464" w:type="dxa"/>
          </w:tcPr>
          <w:p>
            <w:pPr>
              <w:pStyle w:val="14"/>
              <w:spacing w:before="63"/>
              <w:ind w:left="406" w:right="378"/>
              <w:rPr>
                <w:sz w:val="21"/>
              </w:rPr>
            </w:pPr>
            <w:bookmarkStart w:id="1002" w:name="含盐量"/>
            <w:bookmarkEnd w:id="1002"/>
            <w:r>
              <w:rPr>
                <w:sz w:val="21"/>
              </w:rPr>
              <w:t>含盐量</w:t>
            </w:r>
          </w:p>
        </w:tc>
        <w:tc>
          <w:tcPr>
            <w:tcW w:w="960" w:type="dxa"/>
          </w:tcPr>
          <w:p>
            <w:pPr>
              <w:pStyle w:val="14"/>
              <w:spacing w:before="77"/>
              <w:ind w:left="134" w:right="126"/>
              <w:rPr>
                <w:rFonts w:ascii="Times New Roman"/>
                <w:sz w:val="21"/>
              </w:rPr>
            </w:pPr>
            <w:bookmarkStart w:id="1003" w:name="g/kg"/>
            <w:bookmarkEnd w:id="1003"/>
            <w:r>
              <w:rPr>
                <w:rFonts w:ascii="Times New Roman"/>
                <w:sz w:val="21"/>
              </w:rPr>
              <w:t>g/kg</w:t>
            </w:r>
          </w:p>
        </w:tc>
        <w:tc>
          <w:tcPr>
            <w:tcW w:w="2576" w:type="dxa"/>
          </w:tcPr>
          <w:p>
            <w:pPr>
              <w:pStyle w:val="14"/>
              <w:spacing w:before="79"/>
              <w:ind w:left="111" w:right="102"/>
              <w:rPr>
                <w:rFonts w:ascii="Times New Roman"/>
                <w:sz w:val="21"/>
              </w:rPr>
            </w:pPr>
            <w:bookmarkStart w:id="1004" w:name="1.4"/>
            <w:bookmarkEnd w:id="1004"/>
            <w:r>
              <w:rPr>
                <w:rFonts w:ascii="Times New Roman"/>
                <w:sz w:val="21"/>
              </w:rPr>
              <w:t>1.4</w:t>
            </w:r>
          </w:p>
        </w:tc>
        <w:tc>
          <w:tcPr>
            <w:tcW w:w="2576" w:type="dxa"/>
          </w:tcPr>
          <w:p>
            <w:pPr>
              <w:pStyle w:val="14"/>
              <w:spacing w:before="79"/>
              <w:ind w:left="111" w:right="101"/>
              <w:rPr>
                <w:rFonts w:ascii="Times New Roman"/>
                <w:sz w:val="21"/>
              </w:rPr>
            </w:pPr>
            <w:bookmarkStart w:id="1005" w:name="1.5"/>
            <w:bookmarkEnd w:id="1005"/>
            <w:r>
              <w:rPr>
                <w:rFonts w:ascii="Times New Roman"/>
                <w:sz w:val="21"/>
              </w:rPr>
              <w:t>1.5</w:t>
            </w:r>
          </w:p>
        </w:tc>
        <w:tc>
          <w:tcPr>
            <w:tcW w:w="1220" w:type="dxa"/>
          </w:tcPr>
          <w:p>
            <w:pPr>
              <w:pStyle w:val="14"/>
              <w:spacing w:before="77"/>
              <w:ind w:left="16"/>
              <w:rPr>
                <w:rFonts w:ascii="Times New Roman" w:hAnsi="Times New Roman"/>
                <w:sz w:val="21"/>
              </w:rPr>
            </w:pPr>
            <w:bookmarkStart w:id="1006" w:name="─"/>
            <w:bookmarkEnd w:id="1006"/>
            <w:r>
              <w:rPr>
                <w:rFonts w:ascii="Times New Roman" w:hAns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464" w:type="dxa"/>
          </w:tcPr>
          <w:p>
            <w:pPr>
              <w:pStyle w:val="14"/>
              <w:spacing w:before="64"/>
              <w:ind w:left="28"/>
              <w:rPr>
                <w:sz w:val="21"/>
              </w:rPr>
            </w:pPr>
            <w:bookmarkStart w:id="1007" w:name="镉"/>
            <w:bookmarkEnd w:id="1007"/>
            <w:r>
              <w:rPr>
                <w:w w:val="99"/>
                <w:sz w:val="21"/>
              </w:rPr>
              <w:t>镉</w:t>
            </w:r>
          </w:p>
        </w:tc>
        <w:tc>
          <w:tcPr>
            <w:tcW w:w="960" w:type="dxa"/>
          </w:tcPr>
          <w:p>
            <w:pPr>
              <w:pStyle w:val="14"/>
              <w:spacing w:before="78"/>
              <w:ind w:left="146" w:right="126"/>
              <w:rPr>
                <w:rFonts w:ascii="Times New Roman"/>
                <w:sz w:val="21"/>
              </w:rPr>
            </w:pPr>
            <w:bookmarkStart w:id="1008" w:name="mg/kg"/>
            <w:bookmarkEnd w:id="1008"/>
            <w:r>
              <w:rPr>
                <w:rFonts w:ascii="Times New Roman"/>
                <w:sz w:val="21"/>
              </w:rPr>
              <w:t>mg/kg</w:t>
            </w:r>
          </w:p>
        </w:tc>
        <w:tc>
          <w:tcPr>
            <w:tcW w:w="2576" w:type="dxa"/>
          </w:tcPr>
          <w:p>
            <w:pPr>
              <w:pStyle w:val="14"/>
              <w:spacing w:before="78"/>
              <w:ind w:left="111" w:right="102"/>
              <w:rPr>
                <w:rFonts w:ascii="Times New Roman"/>
                <w:sz w:val="21"/>
              </w:rPr>
            </w:pPr>
            <w:r>
              <w:rPr>
                <w:rFonts w:ascii="Times New Roman"/>
                <w:sz w:val="21"/>
              </w:rPr>
              <w:t>0.21</w:t>
            </w:r>
          </w:p>
        </w:tc>
        <w:tc>
          <w:tcPr>
            <w:tcW w:w="2576" w:type="dxa"/>
          </w:tcPr>
          <w:p>
            <w:pPr>
              <w:pStyle w:val="14"/>
              <w:spacing w:before="78"/>
              <w:ind w:left="111" w:right="101"/>
              <w:rPr>
                <w:rFonts w:ascii="Times New Roman"/>
                <w:sz w:val="21"/>
              </w:rPr>
            </w:pPr>
            <w:r>
              <w:rPr>
                <w:rFonts w:ascii="Times New Roman"/>
                <w:sz w:val="21"/>
              </w:rPr>
              <w:t>0.20</w:t>
            </w:r>
          </w:p>
        </w:tc>
        <w:tc>
          <w:tcPr>
            <w:tcW w:w="1220" w:type="dxa"/>
          </w:tcPr>
          <w:p>
            <w:pPr>
              <w:pStyle w:val="14"/>
              <w:spacing w:before="78"/>
              <w:ind w:left="433" w:right="413"/>
              <w:rPr>
                <w:rFonts w:ascii="Times New Roman"/>
                <w:sz w:val="21"/>
              </w:rPr>
            </w:pPr>
            <w:bookmarkStart w:id="1009" w:name="0.3"/>
            <w:bookmarkEnd w:id="1009"/>
            <w:r>
              <w:rPr>
                <w:rFonts w:ascii="Times New Roman"/>
                <w:sz w:val="21"/>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464" w:type="dxa"/>
          </w:tcPr>
          <w:p>
            <w:pPr>
              <w:pStyle w:val="14"/>
              <w:spacing w:before="62"/>
              <w:ind w:left="28"/>
              <w:rPr>
                <w:sz w:val="21"/>
              </w:rPr>
            </w:pPr>
            <w:bookmarkStart w:id="1010" w:name="汞"/>
            <w:bookmarkEnd w:id="1010"/>
            <w:r>
              <w:rPr>
                <w:w w:val="99"/>
                <w:sz w:val="21"/>
              </w:rPr>
              <w:t>汞</w:t>
            </w:r>
          </w:p>
        </w:tc>
        <w:tc>
          <w:tcPr>
            <w:tcW w:w="960" w:type="dxa"/>
          </w:tcPr>
          <w:p>
            <w:pPr>
              <w:pStyle w:val="14"/>
              <w:spacing w:before="98"/>
              <w:ind w:left="134" w:right="126"/>
              <w:rPr>
                <w:rFonts w:ascii="Times New Roman"/>
                <w:sz w:val="21"/>
              </w:rPr>
            </w:pPr>
            <w:bookmarkStart w:id="1011" w:name="mg/kg"/>
            <w:bookmarkEnd w:id="1011"/>
            <w:r>
              <w:rPr>
                <w:rFonts w:ascii="Times New Roman"/>
                <w:sz w:val="21"/>
              </w:rPr>
              <w:t>mg/kg</w:t>
            </w:r>
          </w:p>
        </w:tc>
        <w:tc>
          <w:tcPr>
            <w:tcW w:w="2576" w:type="dxa"/>
          </w:tcPr>
          <w:p>
            <w:pPr>
              <w:pStyle w:val="14"/>
              <w:spacing w:before="76"/>
              <w:ind w:left="111" w:right="99"/>
              <w:rPr>
                <w:rFonts w:ascii="Times New Roman"/>
                <w:sz w:val="21"/>
              </w:rPr>
            </w:pPr>
            <w:r>
              <w:rPr>
                <w:rFonts w:ascii="Times New Roman"/>
                <w:sz w:val="21"/>
              </w:rPr>
              <w:t>0.065</w:t>
            </w:r>
          </w:p>
        </w:tc>
        <w:tc>
          <w:tcPr>
            <w:tcW w:w="2576" w:type="dxa"/>
          </w:tcPr>
          <w:p>
            <w:pPr>
              <w:pStyle w:val="14"/>
              <w:spacing w:before="76"/>
              <w:ind w:left="111" w:right="101"/>
              <w:rPr>
                <w:rFonts w:ascii="Times New Roman"/>
                <w:sz w:val="21"/>
              </w:rPr>
            </w:pPr>
            <w:r>
              <w:rPr>
                <w:rFonts w:ascii="Times New Roman"/>
                <w:sz w:val="21"/>
              </w:rPr>
              <w:t>0.064</w:t>
            </w:r>
          </w:p>
        </w:tc>
        <w:tc>
          <w:tcPr>
            <w:tcW w:w="1220" w:type="dxa"/>
          </w:tcPr>
          <w:p>
            <w:pPr>
              <w:pStyle w:val="14"/>
              <w:spacing w:before="76"/>
              <w:ind w:left="433" w:right="422"/>
              <w:rPr>
                <w:rFonts w:ascii="Times New Roman"/>
                <w:sz w:val="21"/>
              </w:rPr>
            </w:pPr>
            <w:r>
              <w:rPr>
                <w:rFonts w:ascii="Times New Roman"/>
                <w:sz w:val="21"/>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464" w:type="dxa"/>
          </w:tcPr>
          <w:p>
            <w:pPr>
              <w:pStyle w:val="14"/>
              <w:spacing w:before="63"/>
              <w:ind w:left="28"/>
              <w:rPr>
                <w:sz w:val="21"/>
              </w:rPr>
            </w:pPr>
            <w:bookmarkStart w:id="1012" w:name="砷"/>
            <w:bookmarkEnd w:id="1012"/>
            <w:r>
              <w:rPr>
                <w:w w:val="99"/>
                <w:sz w:val="21"/>
              </w:rPr>
              <w:t>砷</w:t>
            </w:r>
          </w:p>
        </w:tc>
        <w:tc>
          <w:tcPr>
            <w:tcW w:w="960" w:type="dxa"/>
          </w:tcPr>
          <w:p>
            <w:pPr>
              <w:pStyle w:val="14"/>
              <w:spacing w:before="99"/>
              <w:ind w:left="134" w:right="126"/>
              <w:rPr>
                <w:rFonts w:ascii="Times New Roman"/>
                <w:sz w:val="21"/>
              </w:rPr>
            </w:pPr>
            <w:bookmarkStart w:id="1013" w:name="mg/kg"/>
            <w:bookmarkEnd w:id="1013"/>
            <w:r>
              <w:rPr>
                <w:rFonts w:ascii="Times New Roman"/>
                <w:sz w:val="21"/>
              </w:rPr>
              <w:t>mg/kg</w:t>
            </w:r>
          </w:p>
        </w:tc>
        <w:tc>
          <w:tcPr>
            <w:tcW w:w="2576" w:type="dxa"/>
          </w:tcPr>
          <w:p>
            <w:pPr>
              <w:pStyle w:val="14"/>
              <w:spacing w:before="77"/>
              <w:ind w:left="111" w:right="102"/>
              <w:rPr>
                <w:rFonts w:ascii="Times New Roman"/>
                <w:sz w:val="21"/>
              </w:rPr>
            </w:pPr>
            <w:r>
              <w:rPr>
                <w:rFonts w:ascii="Times New Roman"/>
                <w:sz w:val="21"/>
              </w:rPr>
              <w:t>8.77</w:t>
            </w:r>
          </w:p>
        </w:tc>
        <w:tc>
          <w:tcPr>
            <w:tcW w:w="2576" w:type="dxa"/>
          </w:tcPr>
          <w:p>
            <w:pPr>
              <w:pStyle w:val="14"/>
              <w:spacing w:before="77"/>
              <w:ind w:left="111" w:right="101"/>
              <w:rPr>
                <w:rFonts w:ascii="Times New Roman"/>
                <w:sz w:val="21"/>
              </w:rPr>
            </w:pPr>
            <w:r>
              <w:rPr>
                <w:rFonts w:ascii="Times New Roman"/>
                <w:sz w:val="21"/>
              </w:rPr>
              <w:t>8.71</w:t>
            </w:r>
          </w:p>
        </w:tc>
        <w:tc>
          <w:tcPr>
            <w:tcW w:w="1220" w:type="dxa"/>
          </w:tcPr>
          <w:p>
            <w:pPr>
              <w:pStyle w:val="14"/>
              <w:spacing w:before="77"/>
              <w:ind w:left="433" w:right="422"/>
              <w:rPr>
                <w:rFonts w:ascii="Times New Roman"/>
                <w:sz w:val="21"/>
              </w:rPr>
            </w:pPr>
            <w:r>
              <w:rPr>
                <w:rFonts w:ascii="Times New Roman"/>
                <w:sz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464" w:type="dxa"/>
          </w:tcPr>
          <w:p>
            <w:pPr>
              <w:pStyle w:val="14"/>
              <w:spacing w:before="62"/>
              <w:ind w:left="28"/>
              <w:rPr>
                <w:sz w:val="21"/>
              </w:rPr>
            </w:pPr>
            <w:bookmarkStart w:id="1014" w:name="铅"/>
            <w:bookmarkEnd w:id="1014"/>
            <w:r>
              <w:rPr>
                <w:w w:val="99"/>
                <w:sz w:val="21"/>
              </w:rPr>
              <w:t>铅</w:t>
            </w:r>
          </w:p>
        </w:tc>
        <w:tc>
          <w:tcPr>
            <w:tcW w:w="960" w:type="dxa"/>
          </w:tcPr>
          <w:p>
            <w:pPr>
              <w:pStyle w:val="14"/>
              <w:spacing w:before="97"/>
              <w:ind w:left="134" w:right="126"/>
              <w:rPr>
                <w:rFonts w:ascii="Times New Roman"/>
                <w:sz w:val="21"/>
              </w:rPr>
            </w:pPr>
            <w:bookmarkStart w:id="1015" w:name="mg/kg"/>
            <w:bookmarkEnd w:id="1015"/>
            <w:r>
              <w:rPr>
                <w:rFonts w:ascii="Times New Roman"/>
                <w:sz w:val="21"/>
              </w:rPr>
              <w:t>mg/kg</w:t>
            </w:r>
          </w:p>
        </w:tc>
        <w:tc>
          <w:tcPr>
            <w:tcW w:w="2576" w:type="dxa"/>
          </w:tcPr>
          <w:p>
            <w:pPr>
              <w:pStyle w:val="14"/>
              <w:spacing w:before="76"/>
              <w:ind w:left="111" w:right="102"/>
              <w:rPr>
                <w:rFonts w:ascii="Times New Roman"/>
                <w:sz w:val="21"/>
              </w:rPr>
            </w:pPr>
            <w:r>
              <w:rPr>
                <w:rFonts w:ascii="Times New Roman"/>
                <w:sz w:val="21"/>
              </w:rPr>
              <w:t>34.1</w:t>
            </w:r>
          </w:p>
        </w:tc>
        <w:tc>
          <w:tcPr>
            <w:tcW w:w="2576" w:type="dxa"/>
          </w:tcPr>
          <w:p>
            <w:pPr>
              <w:pStyle w:val="14"/>
              <w:spacing w:before="76"/>
              <w:ind w:left="111" w:right="101"/>
              <w:rPr>
                <w:rFonts w:ascii="Times New Roman"/>
                <w:sz w:val="21"/>
              </w:rPr>
            </w:pPr>
            <w:r>
              <w:rPr>
                <w:rFonts w:ascii="Times New Roman"/>
                <w:sz w:val="21"/>
              </w:rPr>
              <w:t>33.4</w:t>
            </w:r>
          </w:p>
        </w:tc>
        <w:tc>
          <w:tcPr>
            <w:tcW w:w="1220" w:type="dxa"/>
          </w:tcPr>
          <w:p>
            <w:pPr>
              <w:pStyle w:val="14"/>
              <w:spacing w:before="76"/>
              <w:ind w:left="433" w:right="422"/>
              <w:rPr>
                <w:rFonts w:ascii="Times New Roman"/>
                <w:sz w:val="21"/>
              </w:rPr>
            </w:pPr>
            <w:r>
              <w:rPr>
                <w:rFonts w:ascii="Times New Roman"/>
                <w:sz w:val="21"/>
              </w:rPr>
              <w:t>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464" w:type="dxa"/>
          </w:tcPr>
          <w:p>
            <w:pPr>
              <w:pStyle w:val="14"/>
              <w:spacing w:before="63"/>
              <w:ind w:left="28"/>
              <w:rPr>
                <w:sz w:val="21"/>
              </w:rPr>
            </w:pPr>
            <w:bookmarkStart w:id="1016" w:name="铬"/>
            <w:bookmarkEnd w:id="1016"/>
            <w:r>
              <w:rPr>
                <w:w w:val="99"/>
                <w:sz w:val="21"/>
              </w:rPr>
              <w:t>铬</w:t>
            </w:r>
          </w:p>
        </w:tc>
        <w:tc>
          <w:tcPr>
            <w:tcW w:w="960" w:type="dxa"/>
          </w:tcPr>
          <w:p>
            <w:pPr>
              <w:pStyle w:val="14"/>
              <w:spacing w:before="77"/>
              <w:ind w:left="134" w:right="126"/>
              <w:rPr>
                <w:rFonts w:ascii="Times New Roman"/>
                <w:sz w:val="21"/>
              </w:rPr>
            </w:pPr>
            <w:r>
              <w:rPr>
                <w:rFonts w:ascii="Times New Roman"/>
                <w:sz w:val="21"/>
              </w:rPr>
              <w:t>mg/kg</w:t>
            </w:r>
          </w:p>
        </w:tc>
        <w:tc>
          <w:tcPr>
            <w:tcW w:w="2576" w:type="dxa"/>
          </w:tcPr>
          <w:p>
            <w:pPr>
              <w:pStyle w:val="14"/>
              <w:spacing w:before="77"/>
              <w:ind w:left="111" w:right="104"/>
              <w:rPr>
                <w:rFonts w:ascii="Times New Roman"/>
                <w:sz w:val="21"/>
              </w:rPr>
            </w:pPr>
            <w:r>
              <w:rPr>
                <w:rFonts w:ascii="Times New Roman"/>
                <w:sz w:val="21"/>
              </w:rPr>
              <w:t>64</w:t>
            </w:r>
          </w:p>
        </w:tc>
        <w:tc>
          <w:tcPr>
            <w:tcW w:w="2576" w:type="dxa"/>
          </w:tcPr>
          <w:p>
            <w:pPr>
              <w:pStyle w:val="14"/>
              <w:spacing w:before="77"/>
              <w:ind w:left="111" w:right="101"/>
              <w:rPr>
                <w:rFonts w:ascii="Times New Roman"/>
                <w:sz w:val="21"/>
              </w:rPr>
            </w:pPr>
            <w:r>
              <w:rPr>
                <w:rFonts w:ascii="Times New Roman"/>
                <w:sz w:val="21"/>
              </w:rPr>
              <w:t>62</w:t>
            </w:r>
          </w:p>
        </w:tc>
        <w:tc>
          <w:tcPr>
            <w:tcW w:w="1220" w:type="dxa"/>
          </w:tcPr>
          <w:p>
            <w:pPr>
              <w:pStyle w:val="14"/>
              <w:spacing w:before="77"/>
              <w:ind w:left="433" w:right="422"/>
              <w:rPr>
                <w:rFonts w:ascii="Times New Roman"/>
                <w:sz w:val="21"/>
              </w:rPr>
            </w:pPr>
            <w:r>
              <w:rPr>
                <w:rFonts w:ascii="Times New Roman"/>
                <w:sz w:val="21"/>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464" w:type="dxa"/>
          </w:tcPr>
          <w:p>
            <w:pPr>
              <w:pStyle w:val="14"/>
              <w:spacing w:before="64"/>
              <w:ind w:left="28"/>
              <w:rPr>
                <w:sz w:val="21"/>
              </w:rPr>
            </w:pPr>
            <w:bookmarkStart w:id="1017" w:name="铜"/>
            <w:bookmarkEnd w:id="1017"/>
            <w:r>
              <w:rPr>
                <w:w w:val="99"/>
                <w:sz w:val="21"/>
              </w:rPr>
              <w:t>铜</w:t>
            </w:r>
          </w:p>
        </w:tc>
        <w:tc>
          <w:tcPr>
            <w:tcW w:w="960" w:type="dxa"/>
          </w:tcPr>
          <w:p>
            <w:pPr>
              <w:pStyle w:val="14"/>
              <w:spacing w:before="78"/>
              <w:ind w:left="134" w:right="126"/>
              <w:rPr>
                <w:rFonts w:ascii="Times New Roman"/>
                <w:sz w:val="21"/>
              </w:rPr>
            </w:pPr>
            <w:r>
              <w:rPr>
                <w:rFonts w:ascii="Times New Roman"/>
                <w:sz w:val="21"/>
              </w:rPr>
              <w:t>mg/kg</w:t>
            </w:r>
          </w:p>
        </w:tc>
        <w:tc>
          <w:tcPr>
            <w:tcW w:w="2576" w:type="dxa"/>
          </w:tcPr>
          <w:p>
            <w:pPr>
              <w:pStyle w:val="14"/>
              <w:spacing w:before="78"/>
              <w:ind w:left="111" w:right="104"/>
              <w:rPr>
                <w:rFonts w:ascii="Times New Roman"/>
                <w:sz w:val="21"/>
              </w:rPr>
            </w:pPr>
            <w:r>
              <w:rPr>
                <w:rFonts w:ascii="Times New Roman"/>
                <w:sz w:val="21"/>
              </w:rPr>
              <w:t>19</w:t>
            </w:r>
          </w:p>
        </w:tc>
        <w:tc>
          <w:tcPr>
            <w:tcW w:w="2576" w:type="dxa"/>
          </w:tcPr>
          <w:p>
            <w:pPr>
              <w:pStyle w:val="14"/>
              <w:spacing w:before="78"/>
              <w:ind w:left="111" w:right="101"/>
              <w:rPr>
                <w:rFonts w:ascii="Times New Roman"/>
                <w:sz w:val="21"/>
              </w:rPr>
            </w:pPr>
            <w:r>
              <w:rPr>
                <w:rFonts w:ascii="Times New Roman"/>
                <w:sz w:val="21"/>
              </w:rPr>
              <w:t>19</w:t>
            </w:r>
          </w:p>
        </w:tc>
        <w:tc>
          <w:tcPr>
            <w:tcW w:w="1220" w:type="dxa"/>
          </w:tcPr>
          <w:p>
            <w:pPr>
              <w:pStyle w:val="14"/>
              <w:spacing w:before="78"/>
              <w:ind w:left="433" w:right="422"/>
              <w:rPr>
                <w:rFonts w:ascii="Times New Roman"/>
                <w:sz w:val="21"/>
              </w:rPr>
            </w:pPr>
            <w:r>
              <w:rPr>
                <w:rFonts w:ascii="Times New Roman"/>
                <w:sz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464" w:type="dxa"/>
          </w:tcPr>
          <w:p>
            <w:pPr>
              <w:pStyle w:val="14"/>
              <w:spacing w:before="63"/>
              <w:ind w:left="28"/>
              <w:rPr>
                <w:sz w:val="21"/>
              </w:rPr>
            </w:pPr>
            <w:bookmarkStart w:id="1018" w:name="镍"/>
            <w:bookmarkEnd w:id="1018"/>
            <w:r>
              <w:rPr>
                <w:w w:val="99"/>
                <w:sz w:val="21"/>
              </w:rPr>
              <w:t>镍</w:t>
            </w:r>
          </w:p>
        </w:tc>
        <w:tc>
          <w:tcPr>
            <w:tcW w:w="960" w:type="dxa"/>
          </w:tcPr>
          <w:p>
            <w:pPr>
              <w:pStyle w:val="14"/>
              <w:spacing w:before="76"/>
              <w:ind w:left="134" w:right="126"/>
              <w:rPr>
                <w:rFonts w:ascii="Times New Roman"/>
                <w:sz w:val="21"/>
              </w:rPr>
            </w:pPr>
            <w:r>
              <w:rPr>
                <w:rFonts w:ascii="Times New Roman"/>
                <w:sz w:val="21"/>
              </w:rPr>
              <w:t>mg/kg</w:t>
            </w:r>
          </w:p>
        </w:tc>
        <w:tc>
          <w:tcPr>
            <w:tcW w:w="2576" w:type="dxa"/>
          </w:tcPr>
          <w:p>
            <w:pPr>
              <w:pStyle w:val="14"/>
              <w:spacing w:before="76"/>
              <w:ind w:left="111" w:right="104"/>
              <w:rPr>
                <w:rFonts w:ascii="Times New Roman"/>
                <w:sz w:val="21"/>
              </w:rPr>
            </w:pPr>
            <w:r>
              <w:rPr>
                <w:rFonts w:ascii="Times New Roman"/>
                <w:sz w:val="21"/>
              </w:rPr>
              <w:t>28</w:t>
            </w:r>
          </w:p>
        </w:tc>
        <w:tc>
          <w:tcPr>
            <w:tcW w:w="2576" w:type="dxa"/>
          </w:tcPr>
          <w:p>
            <w:pPr>
              <w:pStyle w:val="14"/>
              <w:spacing w:before="76"/>
              <w:ind w:left="111" w:right="101"/>
              <w:rPr>
                <w:rFonts w:ascii="Times New Roman"/>
                <w:sz w:val="21"/>
              </w:rPr>
            </w:pPr>
            <w:r>
              <w:rPr>
                <w:rFonts w:ascii="Times New Roman"/>
                <w:sz w:val="21"/>
              </w:rPr>
              <w:t>28</w:t>
            </w:r>
          </w:p>
        </w:tc>
        <w:tc>
          <w:tcPr>
            <w:tcW w:w="1220" w:type="dxa"/>
          </w:tcPr>
          <w:p>
            <w:pPr>
              <w:pStyle w:val="14"/>
              <w:spacing w:before="76"/>
              <w:ind w:left="433" w:right="422"/>
              <w:rPr>
                <w:rFonts w:ascii="Times New Roman"/>
                <w:sz w:val="21"/>
              </w:rPr>
            </w:pPr>
            <w:r>
              <w:rPr>
                <w:rFonts w:ascii="Times New Roman"/>
                <w:sz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464" w:type="dxa"/>
          </w:tcPr>
          <w:p>
            <w:pPr>
              <w:pStyle w:val="14"/>
              <w:spacing w:before="64"/>
              <w:ind w:left="28"/>
              <w:rPr>
                <w:sz w:val="21"/>
              </w:rPr>
            </w:pPr>
            <w:bookmarkStart w:id="1019" w:name="锌"/>
            <w:bookmarkEnd w:id="1019"/>
            <w:r>
              <w:rPr>
                <w:w w:val="99"/>
                <w:sz w:val="21"/>
              </w:rPr>
              <w:t>锌</w:t>
            </w:r>
          </w:p>
        </w:tc>
        <w:tc>
          <w:tcPr>
            <w:tcW w:w="960" w:type="dxa"/>
          </w:tcPr>
          <w:p>
            <w:pPr>
              <w:pStyle w:val="14"/>
              <w:spacing w:before="77"/>
              <w:ind w:left="134" w:right="126"/>
              <w:rPr>
                <w:rFonts w:ascii="Times New Roman"/>
                <w:sz w:val="21"/>
              </w:rPr>
            </w:pPr>
            <w:r>
              <w:rPr>
                <w:rFonts w:ascii="Times New Roman"/>
                <w:sz w:val="21"/>
              </w:rPr>
              <w:t>mg/kg</w:t>
            </w:r>
          </w:p>
        </w:tc>
        <w:tc>
          <w:tcPr>
            <w:tcW w:w="2576" w:type="dxa"/>
          </w:tcPr>
          <w:p>
            <w:pPr>
              <w:pStyle w:val="14"/>
              <w:spacing w:before="77"/>
              <w:ind w:left="111" w:right="104"/>
              <w:rPr>
                <w:rFonts w:ascii="Times New Roman"/>
                <w:sz w:val="21"/>
              </w:rPr>
            </w:pPr>
            <w:r>
              <w:rPr>
                <w:rFonts w:ascii="Times New Roman"/>
                <w:sz w:val="21"/>
              </w:rPr>
              <w:t>93</w:t>
            </w:r>
          </w:p>
        </w:tc>
        <w:tc>
          <w:tcPr>
            <w:tcW w:w="2576" w:type="dxa"/>
          </w:tcPr>
          <w:p>
            <w:pPr>
              <w:pStyle w:val="14"/>
              <w:spacing w:before="77"/>
              <w:ind w:left="111" w:right="101"/>
              <w:rPr>
                <w:rFonts w:ascii="Times New Roman"/>
                <w:sz w:val="21"/>
              </w:rPr>
            </w:pPr>
            <w:r>
              <w:rPr>
                <w:rFonts w:ascii="Times New Roman"/>
                <w:sz w:val="21"/>
              </w:rPr>
              <w:t>94</w:t>
            </w:r>
          </w:p>
        </w:tc>
        <w:tc>
          <w:tcPr>
            <w:tcW w:w="1220" w:type="dxa"/>
          </w:tcPr>
          <w:p>
            <w:pPr>
              <w:pStyle w:val="14"/>
              <w:spacing w:before="77"/>
              <w:ind w:left="433" w:right="422"/>
              <w:rPr>
                <w:rFonts w:ascii="Times New Roman"/>
                <w:sz w:val="21"/>
              </w:rPr>
            </w:pPr>
            <w:r>
              <w:rPr>
                <w:rFonts w:ascii="Times New Roman"/>
                <w:sz w:val="21"/>
              </w:rPr>
              <w:t>250</w:t>
            </w:r>
          </w:p>
        </w:tc>
      </w:tr>
    </w:tbl>
    <w:p>
      <w:pPr>
        <w:spacing w:before="1" w:after="4"/>
        <w:ind w:left="0" w:right="350" w:firstLine="0"/>
        <w:jc w:val="center"/>
        <w:rPr>
          <w:b/>
          <w:sz w:val="24"/>
        </w:rPr>
      </w:pPr>
      <w:r>
        <w:rPr>
          <w:b/>
          <w:spacing w:val="-31"/>
          <w:sz w:val="24"/>
        </w:rPr>
        <w:t xml:space="preserve">表 </w:t>
      </w:r>
      <w:r>
        <w:rPr>
          <w:rFonts w:ascii="Times New Roman" w:eastAsia="Times New Roman"/>
          <w:b/>
          <w:spacing w:val="-3"/>
          <w:sz w:val="24"/>
        </w:rPr>
        <w:t>11.2-5</w:t>
      </w:r>
      <w:r>
        <w:rPr>
          <w:rFonts w:ascii="Times New Roman" w:eastAsia="Times New Roman"/>
          <w:b/>
          <w:sz w:val="24"/>
        </w:rPr>
        <w:t xml:space="preserve">  </w:t>
      </w:r>
      <w:r>
        <w:rPr>
          <w:b/>
          <w:sz w:val="24"/>
        </w:rPr>
        <w:t>农用地土壤环境质量评价结果</w:t>
      </w:r>
    </w:p>
    <w:tbl>
      <w:tblPr>
        <w:tblStyle w:val="10"/>
        <w:tblW w:w="0" w:type="auto"/>
        <w:tblInd w:w="5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1"/>
        <w:gridCol w:w="848"/>
        <w:gridCol w:w="2536"/>
        <w:gridCol w:w="2672"/>
        <w:gridCol w:w="10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401" w:type="dxa"/>
            <w:vMerge w:val="restart"/>
          </w:tcPr>
          <w:p>
            <w:pPr>
              <w:pStyle w:val="14"/>
              <w:spacing w:before="9"/>
              <w:jc w:val="left"/>
              <w:rPr>
                <w:b/>
                <w:sz w:val="20"/>
              </w:rPr>
            </w:pPr>
          </w:p>
          <w:p>
            <w:pPr>
              <w:pStyle w:val="14"/>
              <w:ind w:left="315"/>
              <w:jc w:val="left"/>
              <w:rPr>
                <w:sz w:val="21"/>
              </w:rPr>
            </w:pPr>
            <w:bookmarkStart w:id="1020" w:name="检测项目"/>
            <w:bookmarkEnd w:id="1020"/>
            <w:r>
              <w:rPr>
                <w:sz w:val="21"/>
              </w:rPr>
              <w:t>检测项目</w:t>
            </w:r>
          </w:p>
        </w:tc>
        <w:tc>
          <w:tcPr>
            <w:tcW w:w="848" w:type="dxa"/>
            <w:vMerge w:val="restart"/>
          </w:tcPr>
          <w:p>
            <w:pPr>
              <w:pStyle w:val="14"/>
              <w:spacing w:before="9"/>
              <w:jc w:val="left"/>
              <w:rPr>
                <w:b/>
                <w:sz w:val="20"/>
              </w:rPr>
            </w:pPr>
          </w:p>
          <w:p>
            <w:pPr>
              <w:pStyle w:val="14"/>
              <w:ind w:left="212"/>
              <w:jc w:val="left"/>
              <w:rPr>
                <w:sz w:val="21"/>
              </w:rPr>
            </w:pPr>
            <w:r>
              <w:rPr>
                <w:sz w:val="21"/>
              </w:rPr>
              <w:t>单位</w:t>
            </w:r>
          </w:p>
        </w:tc>
        <w:tc>
          <w:tcPr>
            <w:tcW w:w="5208" w:type="dxa"/>
            <w:gridSpan w:val="2"/>
          </w:tcPr>
          <w:p>
            <w:pPr>
              <w:pStyle w:val="14"/>
              <w:spacing w:before="62"/>
              <w:ind w:left="1971" w:right="1962"/>
              <w:rPr>
                <w:sz w:val="21"/>
              </w:rPr>
            </w:pPr>
            <w:r>
              <w:rPr>
                <w:sz w:val="21"/>
              </w:rPr>
              <w:t>占标率（</w:t>
            </w:r>
            <w:r>
              <w:rPr>
                <w:rFonts w:ascii="Times New Roman" w:eastAsia="Times New Roman"/>
                <w:sz w:val="21"/>
              </w:rPr>
              <w:t>%</w:t>
            </w:r>
            <w:r>
              <w:rPr>
                <w:sz w:val="21"/>
              </w:rPr>
              <w:t>）</w:t>
            </w:r>
          </w:p>
        </w:tc>
        <w:tc>
          <w:tcPr>
            <w:tcW w:w="1060" w:type="dxa"/>
            <w:vMerge w:val="restart"/>
          </w:tcPr>
          <w:p>
            <w:pPr>
              <w:pStyle w:val="14"/>
              <w:spacing w:before="9"/>
              <w:jc w:val="left"/>
              <w:rPr>
                <w:b/>
                <w:sz w:val="20"/>
              </w:rPr>
            </w:pPr>
          </w:p>
          <w:p>
            <w:pPr>
              <w:pStyle w:val="14"/>
              <w:ind w:left="108"/>
              <w:jc w:val="left"/>
              <w:rPr>
                <w:sz w:val="21"/>
              </w:rPr>
            </w:pPr>
            <w:r>
              <w:rPr>
                <w:sz w:val="21"/>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401" w:type="dxa"/>
            <w:vMerge w:val="continue"/>
            <w:tcBorders>
              <w:top w:val="nil"/>
            </w:tcBorders>
          </w:tcPr>
          <w:p>
            <w:pPr>
              <w:rPr>
                <w:sz w:val="2"/>
                <w:szCs w:val="2"/>
              </w:rPr>
            </w:pPr>
          </w:p>
        </w:tc>
        <w:tc>
          <w:tcPr>
            <w:tcW w:w="848" w:type="dxa"/>
            <w:vMerge w:val="continue"/>
            <w:tcBorders>
              <w:top w:val="nil"/>
            </w:tcBorders>
          </w:tcPr>
          <w:p>
            <w:pPr>
              <w:rPr>
                <w:sz w:val="2"/>
                <w:szCs w:val="2"/>
              </w:rPr>
            </w:pPr>
          </w:p>
        </w:tc>
        <w:tc>
          <w:tcPr>
            <w:tcW w:w="2536" w:type="dxa"/>
          </w:tcPr>
          <w:p>
            <w:pPr>
              <w:pStyle w:val="14"/>
              <w:spacing w:before="63"/>
              <w:ind w:left="91" w:right="85"/>
              <w:rPr>
                <w:rFonts w:ascii="Times New Roman" w:eastAsia="Times New Roman"/>
                <w:sz w:val="21"/>
              </w:rPr>
            </w:pPr>
            <w:r>
              <w:rPr>
                <w:sz w:val="21"/>
              </w:rPr>
              <w:t xml:space="preserve">工业场地厂址外表层样 </w:t>
            </w:r>
            <w:r>
              <w:rPr>
                <w:rFonts w:ascii="Times New Roman" w:eastAsia="Times New Roman"/>
                <w:sz w:val="21"/>
              </w:rPr>
              <w:t>1</w:t>
            </w:r>
          </w:p>
        </w:tc>
        <w:tc>
          <w:tcPr>
            <w:tcW w:w="2672" w:type="dxa"/>
          </w:tcPr>
          <w:p>
            <w:pPr>
              <w:pStyle w:val="14"/>
              <w:spacing w:before="63"/>
              <w:ind w:left="159" w:right="153"/>
              <w:rPr>
                <w:rFonts w:ascii="Times New Roman" w:eastAsia="Times New Roman"/>
                <w:sz w:val="21"/>
              </w:rPr>
            </w:pPr>
            <w:r>
              <w:rPr>
                <w:sz w:val="21"/>
              </w:rPr>
              <w:t xml:space="preserve">工业场地厂址外表层样 </w:t>
            </w:r>
            <w:r>
              <w:rPr>
                <w:rFonts w:ascii="Times New Roman" w:eastAsia="Times New Roman"/>
                <w:sz w:val="21"/>
              </w:rPr>
              <w:t>2</w:t>
            </w:r>
          </w:p>
        </w:tc>
        <w:tc>
          <w:tcPr>
            <w:tcW w:w="106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401" w:type="dxa"/>
          </w:tcPr>
          <w:p>
            <w:pPr>
              <w:pStyle w:val="14"/>
              <w:spacing w:before="61"/>
              <w:ind w:left="24"/>
              <w:rPr>
                <w:sz w:val="21"/>
              </w:rPr>
            </w:pPr>
            <w:bookmarkStart w:id="1021" w:name="镉"/>
            <w:bookmarkEnd w:id="1021"/>
            <w:r>
              <w:rPr>
                <w:w w:val="99"/>
                <w:sz w:val="21"/>
              </w:rPr>
              <w:t>镉</w:t>
            </w:r>
          </w:p>
        </w:tc>
        <w:tc>
          <w:tcPr>
            <w:tcW w:w="848" w:type="dxa"/>
          </w:tcPr>
          <w:p>
            <w:pPr>
              <w:pStyle w:val="14"/>
              <w:spacing w:before="97"/>
              <w:ind w:left="87" w:right="81"/>
              <w:rPr>
                <w:rFonts w:ascii="Times New Roman"/>
                <w:sz w:val="21"/>
              </w:rPr>
            </w:pPr>
            <w:bookmarkStart w:id="1022" w:name="mg/kg"/>
            <w:bookmarkEnd w:id="1022"/>
            <w:r>
              <w:rPr>
                <w:rFonts w:ascii="Times New Roman"/>
                <w:sz w:val="21"/>
              </w:rPr>
              <w:t>mg/kg</w:t>
            </w:r>
          </w:p>
        </w:tc>
        <w:tc>
          <w:tcPr>
            <w:tcW w:w="2536" w:type="dxa"/>
          </w:tcPr>
          <w:p>
            <w:pPr>
              <w:pStyle w:val="14"/>
              <w:spacing w:before="75"/>
              <w:ind w:left="91" w:right="83"/>
              <w:rPr>
                <w:rFonts w:ascii="Times New Roman"/>
                <w:sz w:val="21"/>
              </w:rPr>
            </w:pPr>
            <w:r>
              <w:rPr>
                <w:rFonts w:ascii="Times New Roman"/>
                <w:sz w:val="21"/>
              </w:rPr>
              <w:t>0.70</w:t>
            </w:r>
          </w:p>
        </w:tc>
        <w:tc>
          <w:tcPr>
            <w:tcW w:w="2672" w:type="dxa"/>
          </w:tcPr>
          <w:p>
            <w:pPr>
              <w:pStyle w:val="14"/>
              <w:spacing w:before="75"/>
              <w:ind w:left="159" w:right="151"/>
              <w:rPr>
                <w:rFonts w:ascii="Times New Roman"/>
                <w:sz w:val="21"/>
              </w:rPr>
            </w:pPr>
            <w:r>
              <w:rPr>
                <w:rFonts w:ascii="Times New Roman"/>
                <w:sz w:val="21"/>
              </w:rPr>
              <w:t>0.67</w:t>
            </w:r>
          </w:p>
        </w:tc>
        <w:tc>
          <w:tcPr>
            <w:tcW w:w="1060" w:type="dxa"/>
          </w:tcPr>
          <w:p>
            <w:pPr>
              <w:pStyle w:val="14"/>
              <w:spacing w:before="61"/>
              <w:ind w:left="218" w:right="21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401" w:type="dxa"/>
          </w:tcPr>
          <w:p>
            <w:pPr>
              <w:pStyle w:val="14"/>
              <w:spacing w:before="62"/>
              <w:ind w:left="24"/>
              <w:rPr>
                <w:sz w:val="21"/>
              </w:rPr>
            </w:pPr>
            <w:bookmarkStart w:id="1023" w:name="汞"/>
            <w:bookmarkEnd w:id="1023"/>
            <w:r>
              <w:rPr>
                <w:w w:val="99"/>
                <w:sz w:val="21"/>
              </w:rPr>
              <w:t>汞</w:t>
            </w:r>
          </w:p>
        </w:tc>
        <w:tc>
          <w:tcPr>
            <w:tcW w:w="848" w:type="dxa"/>
          </w:tcPr>
          <w:p>
            <w:pPr>
              <w:pStyle w:val="14"/>
              <w:spacing w:before="98"/>
              <w:ind w:left="87" w:right="81"/>
              <w:rPr>
                <w:rFonts w:ascii="Times New Roman"/>
                <w:sz w:val="21"/>
              </w:rPr>
            </w:pPr>
            <w:bookmarkStart w:id="1024" w:name="mg/kg"/>
            <w:bookmarkEnd w:id="1024"/>
            <w:r>
              <w:rPr>
                <w:rFonts w:ascii="Times New Roman"/>
                <w:sz w:val="21"/>
              </w:rPr>
              <w:t>mg/kg</w:t>
            </w:r>
          </w:p>
        </w:tc>
        <w:tc>
          <w:tcPr>
            <w:tcW w:w="2536" w:type="dxa"/>
          </w:tcPr>
          <w:p>
            <w:pPr>
              <w:pStyle w:val="14"/>
              <w:spacing w:before="76"/>
              <w:ind w:left="91" w:right="83"/>
              <w:rPr>
                <w:rFonts w:ascii="Times New Roman"/>
                <w:sz w:val="21"/>
              </w:rPr>
            </w:pPr>
            <w:r>
              <w:rPr>
                <w:rFonts w:ascii="Times New Roman"/>
                <w:sz w:val="21"/>
              </w:rPr>
              <w:t>0.03</w:t>
            </w:r>
          </w:p>
        </w:tc>
        <w:tc>
          <w:tcPr>
            <w:tcW w:w="2672" w:type="dxa"/>
          </w:tcPr>
          <w:p>
            <w:pPr>
              <w:pStyle w:val="14"/>
              <w:spacing w:before="76"/>
              <w:ind w:left="159" w:right="151"/>
              <w:rPr>
                <w:rFonts w:ascii="Times New Roman"/>
                <w:sz w:val="21"/>
              </w:rPr>
            </w:pPr>
            <w:r>
              <w:rPr>
                <w:rFonts w:ascii="Times New Roman"/>
                <w:sz w:val="21"/>
              </w:rPr>
              <w:t>0.03</w:t>
            </w:r>
          </w:p>
        </w:tc>
        <w:tc>
          <w:tcPr>
            <w:tcW w:w="1060" w:type="dxa"/>
          </w:tcPr>
          <w:p>
            <w:pPr>
              <w:pStyle w:val="14"/>
              <w:spacing w:before="62"/>
              <w:ind w:left="218" w:right="21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1401" w:type="dxa"/>
          </w:tcPr>
          <w:p>
            <w:pPr>
              <w:pStyle w:val="14"/>
              <w:spacing w:before="63"/>
              <w:ind w:left="24"/>
              <w:rPr>
                <w:sz w:val="21"/>
              </w:rPr>
            </w:pPr>
            <w:bookmarkStart w:id="1025" w:name="砷"/>
            <w:bookmarkEnd w:id="1025"/>
            <w:r>
              <w:rPr>
                <w:w w:val="99"/>
                <w:sz w:val="21"/>
              </w:rPr>
              <w:t>砷</w:t>
            </w:r>
          </w:p>
        </w:tc>
        <w:tc>
          <w:tcPr>
            <w:tcW w:w="848" w:type="dxa"/>
          </w:tcPr>
          <w:p>
            <w:pPr>
              <w:pStyle w:val="14"/>
              <w:spacing w:before="99"/>
              <w:ind w:left="87" w:right="81"/>
              <w:rPr>
                <w:rFonts w:ascii="Times New Roman"/>
                <w:sz w:val="21"/>
              </w:rPr>
            </w:pPr>
            <w:bookmarkStart w:id="1026" w:name="mg/kg"/>
            <w:bookmarkEnd w:id="1026"/>
            <w:r>
              <w:rPr>
                <w:rFonts w:ascii="Times New Roman"/>
                <w:sz w:val="21"/>
              </w:rPr>
              <w:t>mg/kg</w:t>
            </w:r>
          </w:p>
        </w:tc>
        <w:tc>
          <w:tcPr>
            <w:tcW w:w="2536" w:type="dxa"/>
          </w:tcPr>
          <w:p>
            <w:pPr>
              <w:pStyle w:val="14"/>
              <w:spacing w:before="77"/>
              <w:ind w:left="91" w:right="83"/>
              <w:rPr>
                <w:rFonts w:ascii="Times New Roman"/>
                <w:sz w:val="21"/>
              </w:rPr>
            </w:pPr>
            <w:r>
              <w:rPr>
                <w:rFonts w:ascii="Times New Roman"/>
                <w:sz w:val="21"/>
              </w:rPr>
              <w:t>0.29</w:t>
            </w:r>
          </w:p>
        </w:tc>
        <w:tc>
          <w:tcPr>
            <w:tcW w:w="2672" w:type="dxa"/>
          </w:tcPr>
          <w:p>
            <w:pPr>
              <w:pStyle w:val="14"/>
              <w:spacing w:before="77"/>
              <w:ind w:left="159" w:right="151"/>
              <w:rPr>
                <w:rFonts w:ascii="Times New Roman"/>
                <w:sz w:val="21"/>
              </w:rPr>
            </w:pPr>
            <w:r>
              <w:rPr>
                <w:rFonts w:ascii="Times New Roman"/>
                <w:sz w:val="21"/>
              </w:rPr>
              <w:t>0.29</w:t>
            </w:r>
          </w:p>
        </w:tc>
        <w:tc>
          <w:tcPr>
            <w:tcW w:w="1060" w:type="dxa"/>
          </w:tcPr>
          <w:p>
            <w:pPr>
              <w:pStyle w:val="14"/>
              <w:spacing w:before="63"/>
              <w:ind w:left="218" w:right="21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401" w:type="dxa"/>
          </w:tcPr>
          <w:p>
            <w:pPr>
              <w:pStyle w:val="14"/>
              <w:spacing w:before="62"/>
              <w:ind w:left="24"/>
              <w:rPr>
                <w:sz w:val="21"/>
              </w:rPr>
            </w:pPr>
            <w:bookmarkStart w:id="1027" w:name="铅"/>
            <w:bookmarkEnd w:id="1027"/>
            <w:r>
              <w:rPr>
                <w:w w:val="99"/>
                <w:sz w:val="21"/>
              </w:rPr>
              <w:t>铅</w:t>
            </w:r>
          </w:p>
        </w:tc>
        <w:tc>
          <w:tcPr>
            <w:tcW w:w="848" w:type="dxa"/>
          </w:tcPr>
          <w:p>
            <w:pPr>
              <w:pStyle w:val="14"/>
              <w:spacing w:before="98"/>
              <w:ind w:left="87" w:right="81"/>
              <w:rPr>
                <w:rFonts w:ascii="Times New Roman"/>
                <w:sz w:val="21"/>
              </w:rPr>
            </w:pPr>
            <w:bookmarkStart w:id="1028" w:name="mg/kg"/>
            <w:bookmarkEnd w:id="1028"/>
            <w:r>
              <w:rPr>
                <w:rFonts w:ascii="Times New Roman"/>
                <w:sz w:val="21"/>
              </w:rPr>
              <w:t>mg/kg</w:t>
            </w:r>
          </w:p>
        </w:tc>
        <w:tc>
          <w:tcPr>
            <w:tcW w:w="2536" w:type="dxa"/>
          </w:tcPr>
          <w:p>
            <w:pPr>
              <w:pStyle w:val="14"/>
              <w:spacing w:before="76"/>
              <w:ind w:left="91" w:right="83"/>
              <w:rPr>
                <w:rFonts w:ascii="Times New Roman"/>
                <w:sz w:val="21"/>
              </w:rPr>
            </w:pPr>
            <w:r>
              <w:rPr>
                <w:rFonts w:ascii="Times New Roman"/>
                <w:sz w:val="21"/>
              </w:rPr>
              <w:t>0.28</w:t>
            </w:r>
          </w:p>
        </w:tc>
        <w:tc>
          <w:tcPr>
            <w:tcW w:w="2672" w:type="dxa"/>
          </w:tcPr>
          <w:p>
            <w:pPr>
              <w:pStyle w:val="14"/>
              <w:spacing w:before="76"/>
              <w:ind w:left="159" w:right="151"/>
              <w:rPr>
                <w:rFonts w:ascii="Times New Roman"/>
                <w:sz w:val="21"/>
              </w:rPr>
            </w:pPr>
            <w:r>
              <w:rPr>
                <w:rFonts w:ascii="Times New Roman"/>
                <w:sz w:val="21"/>
              </w:rPr>
              <w:t>0.28</w:t>
            </w:r>
          </w:p>
        </w:tc>
        <w:tc>
          <w:tcPr>
            <w:tcW w:w="1060" w:type="dxa"/>
          </w:tcPr>
          <w:p>
            <w:pPr>
              <w:pStyle w:val="14"/>
              <w:spacing w:before="62"/>
              <w:ind w:left="218" w:right="21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401" w:type="dxa"/>
          </w:tcPr>
          <w:p>
            <w:pPr>
              <w:pStyle w:val="14"/>
              <w:spacing w:before="61"/>
              <w:ind w:left="24"/>
              <w:rPr>
                <w:sz w:val="21"/>
              </w:rPr>
            </w:pPr>
            <w:bookmarkStart w:id="1029" w:name="铬"/>
            <w:bookmarkEnd w:id="1029"/>
            <w:r>
              <w:rPr>
                <w:w w:val="99"/>
                <w:sz w:val="21"/>
              </w:rPr>
              <w:t>铬</w:t>
            </w:r>
          </w:p>
        </w:tc>
        <w:tc>
          <w:tcPr>
            <w:tcW w:w="848" w:type="dxa"/>
          </w:tcPr>
          <w:p>
            <w:pPr>
              <w:pStyle w:val="14"/>
              <w:spacing w:before="75"/>
              <w:ind w:left="87" w:right="81"/>
              <w:rPr>
                <w:rFonts w:ascii="Times New Roman"/>
                <w:sz w:val="21"/>
              </w:rPr>
            </w:pPr>
            <w:r>
              <w:rPr>
                <w:rFonts w:ascii="Times New Roman"/>
                <w:sz w:val="21"/>
              </w:rPr>
              <w:t>mg/kg</w:t>
            </w:r>
          </w:p>
        </w:tc>
        <w:tc>
          <w:tcPr>
            <w:tcW w:w="2536" w:type="dxa"/>
          </w:tcPr>
          <w:p>
            <w:pPr>
              <w:pStyle w:val="14"/>
              <w:spacing w:before="75"/>
              <w:ind w:left="91" w:right="83"/>
              <w:rPr>
                <w:rFonts w:ascii="Times New Roman"/>
                <w:sz w:val="21"/>
              </w:rPr>
            </w:pPr>
            <w:r>
              <w:rPr>
                <w:rFonts w:ascii="Times New Roman"/>
                <w:sz w:val="21"/>
              </w:rPr>
              <w:t>0.32</w:t>
            </w:r>
          </w:p>
        </w:tc>
        <w:tc>
          <w:tcPr>
            <w:tcW w:w="2672" w:type="dxa"/>
          </w:tcPr>
          <w:p>
            <w:pPr>
              <w:pStyle w:val="14"/>
              <w:spacing w:before="75"/>
              <w:ind w:left="159" w:right="151"/>
              <w:rPr>
                <w:rFonts w:ascii="Times New Roman"/>
                <w:sz w:val="21"/>
              </w:rPr>
            </w:pPr>
            <w:r>
              <w:rPr>
                <w:rFonts w:ascii="Times New Roman"/>
                <w:sz w:val="21"/>
              </w:rPr>
              <w:t>0.31</w:t>
            </w:r>
          </w:p>
        </w:tc>
        <w:tc>
          <w:tcPr>
            <w:tcW w:w="1060" w:type="dxa"/>
          </w:tcPr>
          <w:p>
            <w:pPr>
              <w:pStyle w:val="14"/>
              <w:spacing w:before="61"/>
              <w:ind w:left="218" w:right="21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401" w:type="dxa"/>
          </w:tcPr>
          <w:p>
            <w:pPr>
              <w:pStyle w:val="14"/>
              <w:spacing w:before="62"/>
              <w:ind w:left="24"/>
              <w:rPr>
                <w:sz w:val="21"/>
              </w:rPr>
            </w:pPr>
            <w:bookmarkStart w:id="1030" w:name="铜"/>
            <w:bookmarkEnd w:id="1030"/>
            <w:r>
              <w:rPr>
                <w:w w:val="99"/>
                <w:sz w:val="21"/>
              </w:rPr>
              <w:t>铜</w:t>
            </w:r>
          </w:p>
        </w:tc>
        <w:tc>
          <w:tcPr>
            <w:tcW w:w="848" w:type="dxa"/>
          </w:tcPr>
          <w:p>
            <w:pPr>
              <w:pStyle w:val="14"/>
              <w:spacing w:before="76"/>
              <w:ind w:left="87" w:right="81"/>
              <w:rPr>
                <w:rFonts w:ascii="Times New Roman"/>
                <w:sz w:val="21"/>
              </w:rPr>
            </w:pPr>
            <w:r>
              <w:rPr>
                <w:rFonts w:ascii="Times New Roman"/>
                <w:sz w:val="21"/>
              </w:rPr>
              <w:t>mg/kg</w:t>
            </w:r>
          </w:p>
        </w:tc>
        <w:tc>
          <w:tcPr>
            <w:tcW w:w="2536" w:type="dxa"/>
          </w:tcPr>
          <w:p>
            <w:pPr>
              <w:pStyle w:val="14"/>
              <w:spacing w:before="76"/>
              <w:ind w:left="91" w:right="83"/>
              <w:rPr>
                <w:rFonts w:ascii="Times New Roman"/>
                <w:sz w:val="21"/>
              </w:rPr>
            </w:pPr>
            <w:r>
              <w:rPr>
                <w:rFonts w:ascii="Times New Roman"/>
                <w:sz w:val="21"/>
              </w:rPr>
              <w:t>0.19</w:t>
            </w:r>
          </w:p>
        </w:tc>
        <w:tc>
          <w:tcPr>
            <w:tcW w:w="2672" w:type="dxa"/>
          </w:tcPr>
          <w:p>
            <w:pPr>
              <w:pStyle w:val="14"/>
              <w:spacing w:before="76"/>
              <w:ind w:left="159" w:right="151"/>
              <w:rPr>
                <w:rFonts w:ascii="Times New Roman"/>
                <w:sz w:val="21"/>
              </w:rPr>
            </w:pPr>
            <w:r>
              <w:rPr>
                <w:rFonts w:ascii="Times New Roman"/>
                <w:sz w:val="21"/>
              </w:rPr>
              <w:t>0.19</w:t>
            </w:r>
          </w:p>
        </w:tc>
        <w:tc>
          <w:tcPr>
            <w:tcW w:w="1060" w:type="dxa"/>
          </w:tcPr>
          <w:p>
            <w:pPr>
              <w:pStyle w:val="14"/>
              <w:spacing w:before="62"/>
              <w:ind w:left="218" w:right="21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401" w:type="dxa"/>
          </w:tcPr>
          <w:p>
            <w:pPr>
              <w:pStyle w:val="14"/>
              <w:spacing w:before="63"/>
              <w:ind w:left="24"/>
              <w:rPr>
                <w:sz w:val="21"/>
              </w:rPr>
            </w:pPr>
            <w:bookmarkStart w:id="1031" w:name="镍"/>
            <w:bookmarkEnd w:id="1031"/>
            <w:r>
              <w:rPr>
                <w:w w:val="99"/>
                <w:sz w:val="21"/>
              </w:rPr>
              <w:t>镍</w:t>
            </w:r>
          </w:p>
        </w:tc>
        <w:tc>
          <w:tcPr>
            <w:tcW w:w="848" w:type="dxa"/>
          </w:tcPr>
          <w:p>
            <w:pPr>
              <w:pStyle w:val="14"/>
              <w:spacing w:before="77"/>
              <w:ind w:left="87" w:right="81"/>
              <w:rPr>
                <w:rFonts w:ascii="Times New Roman"/>
                <w:sz w:val="21"/>
              </w:rPr>
            </w:pPr>
            <w:r>
              <w:rPr>
                <w:rFonts w:ascii="Times New Roman"/>
                <w:sz w:val="21"/>
              </w:rPr>
              <w:t>mg/kg</w:t>
            </w:r>
          </w:p>
        </w:tc>
        <w:tc>
          <w:tcPr>
            <w:tcW w:w="2536" w:type="dxa"/>
          </w:tcPr>
          <w:p>
            <w:pPr>
              <w:pStyle w:val="14"/>
              <w:spacing w:before="77"/>
              <w:ind w:left="91" w:right="83"/>
              <w:rPr>
                <w:rFonts w:ascii="Times New Roman"/>
                <w:sz w:val="21"/>
              </w:rPr>
            </w:pPr>
            <w:r>
              <w:rPr>
                <w:rFonts w:ascii="Times New Roman"/>
                <w:sz w:val="21"/>
              </w:rPr>
              <w:t>0.28</w:t>
            </w:r>
          </w:p>
        </w:tc>
        <w:tc>
          <w:tcPr>
            <w:tcW w:w="2672" w:type="dxa"/>
          </w:tcPr>
          <w:p>
            <w:pPr>
              <w:pStyle w:val="14"/>
              <w:spacing w:before="77"/>
              <w:ind w:left="159" w:right="151"/>
              <w:rPr>
                <w:rFonts w:ascii="Times New Roman"/>
                <w:sz w:val="21"/>
              </w:rPr>
            </w:pPr>
            <w:r>
              <w:rPr>
                <w:rFonts w:ascii="Times New Roman"/>
                <w:sz w:val="21"/>
              </w:rPr>
              <w:t>0.28</w:t>
            </w:r>
          </w:p>
        </w:tc>
        <w:tc>
          <w:tcPr>
            <w:tcW w:w="1060" w:type="dxa"/>
          </w:tcPr>
          <w:p>
            <w:pPr>
              <w:pStyle w:val="14"/>
              <w:spacing w:before="63"/>
              <w:ind w:left="218" w:right="21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401" w:type="dxa"/>
          </w:tcPr>
          <w:p>
            <w:pPr>
              <w:pStyle w:val="14"/>
              <w:spacing w:before="62"/>
              <w:ind w:left="24"/>
              <w:rPr>
                <w:sz w:val="21"/>
              </w:rPr>
            </w:pPr>
            <w:bookmarkStart w:id="1032" w:name="锌"/>
            <w:bookmarkEnd w:id="1032"/>
            <w:r>
              <w:rPr>
                <w:w w:val="99"/>
                <w:sz w:val="21"/>
              </w:rPr>
              <w:t>锌</w:t>
            </w:r>
          </w:p>
        </w:tc>
        <w:tc>
          <w:tcPr>
            <w:tcW w:w="848" w:type="dxa"/>
          </w:tcPr>
          <w:p>
            <w:pPr>
              <w:pStyle w:val="14"/>
              <w:spacing w:before="75"/>
              <w:ind w:left="87" w:right="81"/>
              <w:rPr>
                <w:rFonts w:ascii="Times New Roman"/>
                <w:sz w:val="21"/>
              </w:rPr>
            </w:pPr>
            <w:r>
              <w:rPr>
                <w:rFonts w:ascii="Times New Roman"/>
                <w:sz w:val="21"/>
              </w:rPr>
              <w:t>mg/kg</w:t>
            </w:r>
          </w:p>
        </w:tc>
        <w:tc>
          <w:tcPr>
            <w:tcW w:w="2536" w:type="dxa"/>
          </w:tcPr>
          <w:p>
            <w:pPr>
              <w:pStyle w:val="14"/>
              <w:spacing w:before="78"/>
              <w:ind w:left="91" w:right="83"/>
              <w:rPr>
                <w:rFonts w:ascii="Times New Roman"/>
                <w:sz w:val="21"/>
              </w:rPr>
            </w:pPr>
            <w:bookmarkStart w:id="1033" w:name="0.37"/>
            <w:bookmarkEnd w:id="1033"/>
            <w:r>
              <w:rPr>
                <w:rFonts w:ascii="Times New Roman"/>
                <w:sz w:val="21"/>
              </w:rPr>
              <w:t>0.37</w:t>
            </w:r>
          </w:p>
        </w:tc>
        <w:tc>
          <w:tcPr>
            <w:tcW w:w="2672" w:type="dxa"/>
          </w:tcPr>
          <w:p>
            <w:pPr>
              <w:pStyle w:val="14"/>
              <w:spacing w:before="75"/>
              <w:ind w:left="159" w:right="151"/>
              <w:rPr>
                <w:rFonts w:ascii="Times New Roman"/>
                <w:sz w:val="21"/>
              </w:rPr>
            </w:pPr>
            <w:r>
              <w:rPr>
                <w:rFonts w:ascii="Times New Roman"/>
                <w:sz w:val="21"/>
              </w:rPr>
              <w:t>0.38</w:t>
            </w:r>
          </w:p>
        </w:tc>
        <w:tc>
          <w:tcPr>
            <w:tcW w:w="1060" w:type="dxa"/>
          </w:tcPr>
          <w:p>
            <w:pPr>
              <w:pStyle w:val="14"/>
              <w:spacing w:before="62"/>
              <w:ind w:left="218" w:right="211"/>
              <w:rPr>
                <w:sz w:val="21"/>
              </w:rPr>
            </w:pPr>
            <w:r>
              <w:rPr>
                <w:sz w:val="21"/>
              </w:rPr>
              <w:t>达标</w:t>
            </w:r>
          </w:p>
        </w:tc>
      </w:tr>
    </w:tbl>
    <w:p>
      <w:pPr>
        <w:pStyle w:val="6"/>
        <w:spacing w:before="1" w:line="364" w:lineRule="auto"/>
        <w:ind w:left="215" w:right="578" w:firstLine="480"/>
        <w:jc w:val="both"/>
      </w:pPr>
      <w:r>
        <w:rPr>
          <w:spacing w:val="-12"/>
        </w:rPr>
        <w:t>从土壤环境质量现状监测及评价结果来看，占地范围内土壤各监测项均可以满足《土</w:t>
      </w:r>
      <w:r>
        <w:t>壤环境质量 建设用地土壤污染风险管控标准（试行）》（</w:t>
      </w:r>
      <w:r>
        <w:rPr>
          <w:rFonts w:ascii="Times New Roman" w:eastAsia="Times New Roman"/>
        </w:rPr>
        <w:t>GB36600-2018</w:t>
      </w:r>
      <w:r>
        <w:t>）</w:t>
      </w:r>
      <w:r>
        <w:rPr>
          <w:spacing w:val="-15"/>
        </w:rPr>
        <w:t xml:space="preserve">中表 </w:t>
      </w:r>
      <w:r>
        <w:rPr>
          <w:rFonts w:ascii="Times New Roman" w:eastAsia="Times New Roman"/>
        </w:rPr>
        <w:t xml:space="preserve">1 </w:t>
      </w:r>
      <w:r>
        <w:t>筛选</w:t>
      </w:r>
      <w:r>
        <w:rPr>
          <w:spacing w:val="-8"/>
        </w:rPr>
        <w:t>值或管制值第二类用地要求；占地范围外土壤各监测项均可以满足《土壤环境质量 农用</w:t>
      </w:r>
      <w:r>
        <w:t>地土壤污染风险管控标准（试行）》（</w:t>
      </w:r>
      <w:r>
        <w:rPr>
          <w:rFonts w:ascii="Times New Roman" w:eastAsia="Times New Roman"/>
        </w:rPr>
        <w:t>GB15618-2018</w:t>
      </w:r>
      <w:r>
        <w:t>）</w:t>
      </w:r>
      <w:r>
        <w:rPr>
          <w:spacing w:val="-21"/>
        </w:rPr>
        <w:t xml:space="preserve">中表 </w:t>
      </w:r>
      <w:r>
        <w:rPr>
          <w:rFonts w:ascii="Times New Roman" w:eastAsia="Times New Roman"/>
        </w:rPr>
        <w:t xml:space="preserve">1 </w:t>
      </w:r>
      <w:r>
        <w:t>风险筛选值要求。</w:t>
      </w:r>
    </w:p>
    <w:p>
      <w:pPr>
        <w:pStyle w:val="5"/>
        <w:numPr>
          <w:ilvl w:val="3"/>
          <w:numId w:val="73"/>
        </w:numPr>
        <w:tabs>
          <w:tab w:val="left" w:pos="1044"/>
        </w:tabs>
        <w:spacing w:before="0" w:after="0" w:line="305" w:lineRule="exact"/>
        <w:ind w:left="1044" w:right="0" w:hanging="829"/>
        <w:jc w:val="both"/>
      </w:pPr>
      <w:r>
        <w:t>土壤盐化、酸化、碱化评价</w:t>
      </w:r>
    </w:p>
    <w:p>
      <w:pPr>
        <w:pStyle w:val="6"/>
        <w:spacing w:before="159" w:line="364" w:lineRule="auto"/>
        <w:ind w:left="215" w:right="573" w:firstLine="480"/>
        <w:jc w:val="both"/>
      </w:pPr>
      <w:r>
        <w:t>根据《环境影响评价技术导则 土壤环境（试行）》（</w:t>
      </w:r>
      <w:r>
        <w:rPr>
          <w:rFonts w:ascii="Times New Roman" w:eastAsia="Times New Roman"/>
        </w:rPr>
        <w:t>HJ964-2018</w:t>
      </w:r>
      <w:r>
        <w:t xml:space="preserve">）中附录 </w:t>
      </w:r>
      <w:r>
        <w:rPr>
          <w:rFonts w:ascii="Times New Roman" w:eastAsia="Times New Roman"/>
        </w:rPr>
        <w:t xml:space="preserve">D </w:t>
      </w:r>
      <w:r>
        <w:t xml:space="preserve">土壤酸化、碱化分级标准，本次监测及分析结果见表 </w:t>
      </w:r>
      <w:r>
        <w:rPr>
          <w:rFonts w:ascii="Times New Roman" w:eastAsia="Times New Roman"/>
        </w:rPr>
        <w:t>11.3-6</w:t>
      </w:r>
      <w:r>
        <w:t>。</w:t>
      </w:r>
    </w:p>
    <w:p>
      <w:pPr>
        <w:spacing w:before="0"/>
        <w:ind w:left="2966" w:right="0" w:firstLine="0"/>
        <w:jc w:val="both"/>
        <w:rPr>
          <w:b/>
          <w:sz w:val="21"/>
        </w:rPr>
      </w:pPr>
      <w:r>
        <w:rPr>
          <w:b/>
          <w:sz w:val="21"/>
        </w:rPr>
        <w:t xml:space="preserve">表 </w:t>
      </w:r>
      <w:r>
        <w:rPr>
          <w:rFonts w:ascii="Times New Roman" w:eastAsia="Times New Roman"/>
          <w:b/>
          <w:sz w:val="21"/>
        </w:rPr>
        <w:t xml:space="preserve">11.3-6 </w:t>
      </w:r>
      <w:r>
        <w:rPr>
          <w:b/>
          <w:sz w:val="21"/>
        </w:rPr>
        <w:t>土壤酸化、碱化监测结果分析</w:t>
      </w:r>
    </w:p>
    <w:p>
      <w:pPr>
        <w:spacing w:after="0"/>
        <w:jc w:val="both"/>
        <w:rPr>
          <w:sz w:val="21"/>
        </w:rPr>
        <w:sectPr>
          <w:footerReference r:id="rId26" w:type="default"/>
          <w:pgSz w:w="11910" w:h="16840"/>
          <w:pgMar w:top="1580" w:right="780" w:bottom="1240" w:left="1200" w:header="0" w:footer="1058" w:gutter="0"/>
          <w:pgNumType w:start="160"/>
        </w:sectPr>
      </w:pP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4"/>
        <w:gridCol w:w="1398"/>
        <w:gridCol w:w="2415"/>
        <w:gridCol w:w="1531"/>
        <w:gridCol w:w="22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714" w:type="dxa"/>
          </w:tcPr>
          <w:p>
            <w:pPr>
              <w:pStyle w:val="14"/>
              <w:spacing w:line="251" w:lineRule="exact"/>
              <w:ind w:left="201" w:right="177"/>
              <w:rPr>
                <w:sz w:val="21"/>
              </w:rPr>
            </w:pPr>
            <w:bookmarkStart w:id="1034" w:name="监测点位"/>
            <w:bookmarkEnd w:id="1034"/>
            <w:r>
              <w:rPr>
                <w:sz w:val="21"/>
              </w:rPr>
              <w:t>监测点位</w:t>
            </w:r>
          </w:p>
        </w:tc>
        <w:tc>
          <w:tcPr>
            <w:tcW w:w="1398" w:type="dxa"/>
          </w:tcPr>
          <w:p>
            <w:pPr>
              <w:pStyle w:val="14"/>
              <w:spacing w:line="251" w:lineRule="exact"/>
              <w:ind w:left="162" w:right="135"/>
              <w:rPr>
                <w:sz w:val="21"/>
              </w:rPr>
            </w:pPr>
            <w:bookmarkStart w:id="1035" w:name="土壤含盐量"/>
            <w:bookmarkEnd w:id="1035"/>
            <w:r>
              <w:rPr>
                <w:sz w:val="21"/>
              </w:rPr>
              <w:t>土壤含盐量</w:t>
            </w:r>
          </w:p>
        </w:tc>
        <w:tc>
          <w:tcPr>
            <w:tcW w:w="2415" w:type="dxa"/>
          </w:tcPr>
          <w:p>
            <w:pPr>
              <w:pStyle w:val="14"/>
              <w:spacing w:line="251" w:lineRule="exact"/>
              <w:ind w:left="565" w:right="540"/>
              <w:rPr>
                <w:sz w:val="21"/>
              </w:rPr>
            </w:pPr>
            <w:bookmarkStart w:id="1036" w:name="土壤盐化分级"/>
            <w:bookmarkEnd w:id="1036"/>
            <w:r>
              <w:rPr>
                <w:sz w:val="21"/>
              </w:rPr>
              <w:t>土壤盐化分级</w:t>
            </w:r>
          </w:p>
        </w:tc>
        <w:tc>
          <w:tcPr>
            <w:tcW w:w="1531" w:type="dxa"/>
          </w:tcPr>
          <w:p>
            <w:pPr>
              <w:pStyle w:val="14"/>
              <w:spacing w:line="251" w:lineRule="exact"/>
              <w:ind w:left="283" w:right="258"/>
              <w:rPr>
                <w:sz w:val="21"/>
              </w:rPr>
            </w:pPr>
            <w:bookmarkStart w:id="1037" w:name="土壤pH值"/>
            <w:bookmarkEnd w:id="1037"/>
            <w:r>
              <w:rPr>
                <w:sz w:val="21"/>
              </w:rPr>
              <w:t>土壤</w:t>
            </w:r>
            <w:r>
              <w:rPr>
                <w:rFonts w:ascii="Times New Roman" w:eastAsia="Times New Roman"/>
                <w:sz w:val="21"/>
              </w:rPr>
              <w:t xml:space="preserve">pH </w:t>
            </w:r>
            <w:r>
              <w:rPr>
                <w:sz w:val="21"/>
              </w:rPr>
              <w:t>值</w:t>
            </w:r>
          </w:p>
        </w:tc>
        <w:tc>
          <w:tcPr>
            <w:tcW w:w="2282" w:type="dxa"/>
          </w:tcPr>
          <w:p>
            <w:pPr>
              <w:pStyle w:val="14"/>
              <w:spacing w:line="251" w:lineRule="exact"/>
              <w:ind w:left="185" w:right="157"/>
              <w:rPr>
                <w:sz w:val="21"/>
              </w:rPr>
            </w:pPr>
            <w:bookmarkStart w:id="1038" w:name="土壤酸化、碱化程度"/>
            <w:bookmarkEnd w:id="1038"/>
            <w:r>
              <w:rPr>
                <w:sz w:val="21"/>
              </w:rPr>
              <w:t>土壤酸化、碱化程度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714" w:type="dxa"/>
          </w:tcPr>
          <w:p>
            <w:pPr>
              <w:pStyle w:val="14"/>
              <w:spacing w:before="16" w:line="237" w:lineRule="exact"/>
              <w:ind w:left="201" w:right="179"/>
              <w:rPr>
                <w:rFonts w:ascii="Times New Roman"/>
                <w:sz w:val="21"/>
              </w:rPr>
            </w:pPr>
            <w:bookmarkStart w:id="1039" w:name="TR3005-20101"/>
            <w:bookmarkEnd w:id="1039"/>
            <w:r>
              <w:rPr>
                <w:rFonts w:ascii="Times New Roman"/>
                <w:sz w:val="21"/>
              </w:rPr>
              <w:t>TR3005-20101</w:t>
            </w:r>
          </w:p>
        </w:tc>
        <w:tc>
          <w:tcPr>
            <w:tcW w:w="1398" w:type="dxa"/>
          </w:tcPr>
          <w:p>
            <w:pPr>
              <w:pStyle w:val="14"/>
              <w:spacing w:before="16" w:line="237" w:lineRule="exact"/>
              <w:ind w:left="156" w:right="135"/>
              <w:rPr>
                <w:rFonts w:ascii="Times New Roman"/>
                <w:sz w:val="21"/>
              </w:rPr>
            </w:pPr>
            <w:bookmarkStart w:id="1040" w:name="1.3"/>
            <w:bookmarkEnd w:id="1040"/>
            <w:r>
              <w:rPr>
                <w:rFonts w:ascii="Times New Roman"/>
                <w:sz w:val="21"/>
              </w:rPr>
              <w:t>1.3</w:t>
            </w:r>
          </w:p>
        </w:tc>
        <w:tc>
          <w:tcPr>
            <w:tcW w:w="2415" w:type="dxa"/>
          </w:tcPr>
          <w:p>
            <w:pPr>
              <w:pStyle w:val="14"/>
              <w:spacing w:before="2" w:line="251" w:lineRule="exact"/>
              <w:ind w:left="565" w:right="540"/>
              <w:rPr>
                <w:sz w:val="21"/>
              </w:rPr>
            </w:pPr>
            <w:bookmarkStart w:id="1041" w:name="轻度盐化"/>
            <w:bookmarkEnd w:id="1041"/>
            <w:r>
              <w:rPr>
                <w:sz w:val="21"/>
              </w:rPr>
              <w:t>轻度盐化</w:t>
            </w:r>
          </w:p>
        </w:tc>
        <w:tc>
          <w:tcPr>
            <w:tcW w:w="1531" w:type="dxa"/>
          </w:tcPr>
          <w:p>
            <w:pPr>
              <w:pStyle w:val="14"/>
              <w:spacing w:before="16" w:line="237" w:lineRule="exact"/>
              <w:ind w:left="279" w:right="258"/>
              <w:rPr>
                <w:rFonts w:ascii="Times New Roman"/>
                <w:sz w:val="21"/>
              </w:rPr>
            </w:pPr>
            <w:bookmarkStart w:id="1042" w:name="7.07"/>
            <w:bookmarkEnd w:id="1042"/>
            <w:r>
              <w:rPr>
                <w:rFonts w:ascii="Times New Roman"/>
                <w:sz w:val="21"/>
              </w:rPr>
              <w:t>7.07</w:t>
            </w:r>
          </w:p>
        </w:tc>
        <w:tc>
          <w:tcPr>
            <w:tcW w:w="2282" w:type="dxa"/>
          </w:tcPr>
          <w:p>
            <w:pPr>
              <w:pStyle w:val="14"/>
              <w:spacing w:before="2" w:line="251" w:lineRule="exact"/>
              <w:ind w:left="185" w:right="157"/>
              <w:rPr>
                <w:sz w:val="21"/>
              </w:rPr>
            </w:pPr>
            <w:bookmarkStart w:id="1043" w:name="无酸化或碱化"/>
            <w:bookmarkEnd w:id="1043"/>
            <w:r>
              <w:rPr>
                <w:sz w:val="21"/>
              </w:rPr>
              <w:t>无酸化或碱化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714" w:type="dxa"/>
          </w:tcPr>
          <w:p>
            <w:pPr>
              <w:pStyle w:val="14"/>
              <w:spacing w:before="13" w:line="238" w:lineRule="exact"/>
              <w:ind w:left="201" w:right="179"/>
              <w:rPr>
                <w:rFonts w:ascii="Times New Roman"/>
                <w:sz w:val="21"/>
              </w:rPr>
            </w:pPr>
            <w:bookmarkStart w:id="1044" w:name="TR3005-20401"/>
            <w:bookmarkEnd w:id="1044"/>
            <w:r>
              <w:rPr>
                <w:rFonts w:ascii="Times New Roman"/>
                <w:sz w:val="21"/>
              </w:rPr>
              <w:t>TR3005-20401</w:t>
            </w:r>
          </w:p>
        </w:tc>
        <w:tc>
          <w:tcPr>
            <w:tcW w:w="1398" w:type="dxa"/>
          </w:tcPr>
          <w:p>
            <w:pPr>
              <w:pStyle w:val="14"/>
              <w:spacing w:before="13" w:line="238" w:lineRule="exact"/>
              <w:ind w:left="156" w:right="135"/>
              <w:rPr>
                <w:rFonts w:ascii="Times New Roman"/>
                <w:sz w:val="21"/>
              </w:rPr>
            </w:pPr>
            <w:bookmarkStart w:id="1045" w:name="1.4"/>
            <w:bookmarkEnd w:id="1045"/>
            <w:r>
              <w:rPr>
                <w:rFonts w:ascii="Times New Roman"/>
                <w:sz w:val="21"/>
              </w:rPr>
              <w:t>1.4</w:t>
            </w:r>
          </w:p>
        </w:tc>
        <w:tc>
          <w:tcPr>
            <w:tcW w:w="2415" w:type="dxa"/>
          </w:tcPr>
          <w:p>
            <w:pPr>
              <w:pStyle w:val="14"/>
              <w:spacing w:line="252" w:lineRule="exact"/>
              <w:ind w:left="565" w:right="540"/>
              <w:rPr>
                <w:sz w:val="21"/>
              </w:rPr>
            </w:pPr>
            <w:bookmarkStart w:id="1046" w:name="轻度盐化"/>
            <w:bookmarkEnd w:id="1046"/>
            <w:r>
              <w:rPr>
                <w:sz w:val="21"/>
              </w:rPr>
              <w:t>轻度盐化</w:t>
            </w:r>
          </w:p>
        </w:tc>
        <w:tc>
          <w:tcPr>
            <w:tcW w:w="1531" w:type="dxa"/>
          </w:tcPr>
          <w:p>
            <w:pPr>
              <w:pStyle w:val="14"/>
              <w:spacing w:before="13" w:line="238" w:lineRule="exact"/>
              <w:ind w:left="279" w:right="258"/>
              <w:rPr>
                <w:rFonts w:ascii="Times New Roman"/>
                <w:sz w:val="21"/>
              </w:rPr>
            </w:pPr>
            <w:bookmarkStart w:id="1047" w:name="6.94"/>
            <w:bookmarkEnd w:id="1047"/>
            <w:r>
              <w:rPr>
                <w:rFonts w:ascii="Times New Roman"/>
                <w:sz w:val="21"/>
              </w:rPr>
              <w:t>6.94</w:t>
            </w:r>
          </w:p>
        </w:tc>
        <w:tc>
          <w:tcPr>
            <w:tcW w:w="2282" w:type="dxa"/>
          </w:tcPr>
          <w:p>
            <w:pPr>
              <w:pStyle w:val="14"/>
              <w:spacing w:line="252" w:lineRule="exact"/>
              <w:ind w:left="185" w:right="157"/>
              <w:rPr>
                <w:sz w:val="21"/>
              </w:rPr>
            </w:pPr>
            <w:bookmarkStart w:id="1048" w:name="无酸化或碱化"/>
            <w:bookmarkEnd w:id="1048"/>
            <w:r>
              <w:rPr>
                <w:sz w:val="21"/>
              </w:rPr>
              <w:t>无酸化或碱化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714" w:type="dxa"/>
          </w:tcPr>
          <w:p>
            <w:pPr>
              <w:pStyle w:val="14"/>
              <w:spacing w:before="15" w:line="237" w:lineRule="exact"/>
              <w:ind w:left="201" w:right="179"/>
              <w:rPr>
                <w:rFonts w:ascii="Times New Roman"/>
                <w:sz w:val="21"/>
              </w:rPr>
            </w:pPr>
            <w:bookmarkStart w:id="1049" w:name="TR3005-20501"/>
            <w:bookmarkEnd w:id="1049"/>
            <w:r>
              <w:rPr>
                <w:rFonts w:ascii="Times New Roman"/>
                <w:sz w:val="21"/>
              </w:rPr>
              <w:t>TR3005-20501</w:t>
            </w:r>
          </w:p>
        </w:tc>
        <w:tc>
          <w:tcPr>
            <w:tcW w:w="1398" w:type="dxa"/>
          </w:tcPr>
          <w:p>
            <w:pPr>
              <w:pStyle w:val="14"/>
              <w:spacing w:before="15" w:line="237" w:lineRule="exact"/>
              <w:ind w:left="156" w:right="135"/>
              <w:rPr>
                <w:rFonts w:ascii="Times New Roman"/>
                <w:sz w:val="21"/>
              </w:rPr>
            </w:pPr>
            <w:bookmarkStart w:id="1050" w:name="1.5"/>
            <w:bookmarkEnd w:id="1050"/>
            <w:r>
              <w:rPr>
                <w:rFonts w:ascii="Times New Roman"/>
                <w:sz w:val="21"/>
              </w:rPr>
              <w:t>1.5</w:t>
            </w:r>
          </w:p>
        </w:tc>
        <w:tc>
          <w:tcPr>
            <w:tcW w:w="2415" w:type="dxa"/>
          </w:tcPr>
          <w:p>
            <w:pPr>
              <w:pStyle w:val="14"/>
              <w:spacing w:before="1" w:line="251" w:lineRule="exact"/>
              <w:ind w:left="565" w:right="540"/>
              <w:rPr>
                <w:sz w:val="21"/>
              </w:rPr>
            </w:pPr>
            <w:bookmarkStart w:id="1051" w:name="轻度盐化"/>
            <w:bookmarkEnd w:id="1051"/>
            <w:r>
              <w:rPr>
                <w:sz w:val="21"/>
              </w:rPr>
              <w:t>轻度盐化</w:t>
            </w:r>
          </w:p>
        </w:tc>
        <w:tc>
          <w:tcPr>
            <w:tcW w:w="1531" w:type="dxa"/>
          </w:tcPr>
          <w:p>
            <w:pPr>
              <w:pStyle w:val="14"/>
              <w:spacing w:before="15" w:line="237" w:lineRule="exact"/>
              <w:ind w:left="279" w:right="258"/>
              <w:rPr>
                <w:rFonts w:ascii="Times New Roman"/>
                <w:sz w:val="21"/>
              </w:rPr>
            </w:pPr>
            <w:bookmarkStart w:id="1052" w:name="7.01"/>
            <w:bookmarkEnd w:id="1052"/>
            <w:r>
              <w:rPr>
                <w:rFonts w:ascii="Times New Roman"/>
                <w:sz w:val="21"/>
              </w:rPr>
              <w:t>7.01</w:t>
            </w:r>
          </w:p>
        </w:tc>
        <w:tc>
          <w:tcPr>
            <w:tcW w:w="2282" w:type="dxa"/>
          </w:tcPr>
          <w:p>
            <w:pPr>
              <w:pStyle w:val="14"/>
              <w:spacing w:before="1" w:line="251" w:lineRule="exact"/>
              <w:ind w:left="185" w:right="157"/>
              <w:rPr>
                <w:sz w:val="21"/>
              </w:rPr>
            </w:pPr>
            <w:bookmarkStart w:id="1053" w:name="无酸化或碱化"/>
            <w:bookmarkEnd w:id="1053"/>
            <w:r>
              <w:rPr>
                <w:sz w:val="21"/>
              </w:rPr>
              <w:t>无酸化或碱化</w:t>
            </w:r>
          </w:p>
        </w:tc>
      </w:tr>
    </w:tbl>
    <w:p>
      <w:pPr>
        <w:pStyle w:val="6"/>
        <w:spacing w:before="5"/>
        <w:ind w:left="696"/>
      </w:pPr>
      <w:bookmarkStart w:id="1054" w:name="井田开采区范围内的各监测点结果表明，土壤表现为轻度盐化、无酸化或碱化。"/>
      <w:bookmarkEnd w:id="1054"/>
      <w:r>
        <w:t>井田开采区范围内的各监测点结果表明，土壤表现为轻度盐化、无酸化或碱化。</w:t>
      </w:r>
    </w:p>
    <w:p>
      <w:pPr>
        <w:pStyle w:val="4"/>
        <w:numPr>
          <w:ilvl w:val="2"/>
          <w:numId w:val="73"/>
        </w:numPr>
        <w:tabs>
          <w:tab w:val="left" w:pos="1042"/>
        </w:tabs>
        <w:spacing w:before="161" w:after="0" w:line="240" w:lineRule="auto"/>
        <w:ind w:left="1041" w:right="0" w:hanging="827"/>
        <w:jc w:val="left"/>
      </w:pPr>
      <w:bookmarkStart w:id="1055" w:name="11.3.3 工业场地土壤现状监测与评价"/>
      <w:bookmarkEnd w:id="1055"/>
      <w:bookmarkStart w:id="1056" w:name="11.3.3 工业场地土壤现状监测与评价"/>
      <w:bookmarkEnd w:id="1056"/>
      <w:r>
        <w:t>工业场地土壤现状监测与评价</w:t>
      </w:r>
    </w:p>
    <w:p>
      <w:pPr>
        <w:pStyle w:val="5"/>
        <w:numPr>
          <w:ilvl w:val="3"/>
          <w:numId w:val="73"/>
        </w:numPr>
        <w:tabs>
          <w:tab w:val="left" w:pos="1044"/>
        </w:tabs>
        <w:spacing w:before="185" w:after="0" w:line="240" w:lineRule="auto"/>
        <w:ind w:left="1044" w:right="0" w:hanging="829"/>
        <w:jc w:val="left"/>
      </w:pPr>
      <w:r>
        <w:t>监测点位及监测因子</w:t>
      </w:r>
    </w:p>
    <w:p>
      <w:pPr>
        <w:pStyle w:val="6"/>
        <w:spacing w:before="159" w:line="364" w:lineRule="auto"/>
        <w:ind w:left="696" w:right="5081"/>
      </w:pPr>
      <w:r>
        <w:t xml:space="preserve">监测点位：工业场地范围内 </w:t>
      </w:r>
      <w:r>
        <w:rPr>
          <w:rFonts w:ascii="Times New Roman" w:eastAsia="Times New Roman"/>
        </w:rPr>
        <w:t xml:space="preserve">3 </w:t>
      </w:r>
      <w:r>
        <w:t>个表层样监测因子：</w:t>
      </w:r>
    </w:p>
    <w:p>
      <w:pPr>
        <w:pStyle w:val="6"/>
        <w:spacing w:line="364" w:lineRule="auto"/>
        <w:ind w:left="215" w:right="453" w:firstLine="480"/>
      </w:pPr>
      <w:r>
        <w:rPr>
          <w:spacing w:val="-6"/>
        </w:rPr>
        <w:t xml:space="preserve">工业场地范围内 </w:t>
      </w:r>
      <w:r>
        <w:rPr>
          <w:rFonts w:ascii="Times New Roman" w:eastAsia="Times New Roman"/>
        </w:rPr>
        <w:t xml:space="preserve">1 </w:t>
      </w:r>
      <w:r>
        <w:rPr>
          <w:spacing w:val="1"/>
        </w:rPr>
        <w:t>个表层样</w:t>
      </w:r>
      <w:r>
        <w:rPr>
          <w:rFonts w:ascii="Times New Roman" w:eastAsia="Times New Roman"/>
          <w:spacing w:val="4"/>
        </w:rPr>
        <w:t>-</w:t>
      </w:r>
      <w:r>
        <w:t>建设用地：</w:t>
      </w:r>
      <w:r>
        <w:rPr>
          <w:rFonts w:ascii="Times New Roman" w:eastAsia="Times New Roman"/>
        </w:rPr>
        <w:t>pH</w:t>
      </w:r>
      <w:r>
        <w:t>、含盐量、砷、镉、六价铬、铜、铅、</w:t>
      </w:r>
      <w:r>
        <w:rPr>
          <w:spacing w:val="-10"/>
        </w:rPr>
        <w:t>汞、镍、四氯化碳、氯仿、氯甲烷、</w:t>
      </w:r>
      <w:r>
        <w:rPr>
          <w:rFonts w:ascii="Times New Roman" w:eastAsia="Times New Roman"/>
        </w:rPr>
        <w:t>1,1-</w:t>
      </w:r>
      <w:r>
        <w:rPr>
          <w:spacing w:val="-4"/>
        </w:rPr>
        <w:t>二氯乙烷、</w:t>
      </w:r>
      <w:r>
        <w:rPr>
          <w:rFonts w:ascii="Times New Roman" w:eastAsia="Times New Roman"/>
        </w:rPr>
        <w:t>1,2-</w:t>
      </w:r>
      <w:r>
        <w:rPr>
          <w:spacing w:val="-4"/>
        </w:rPr>
        <w:t>二氯乙烷、</w:t>
      </w:r>
      <w:r>
        <w:rPr>
          <w:rFonts w:ascii="Times New Roman" w:eastAsia="Times New Roman"/>
        </w:rPr>
        <w:t>1,1-</w:t>
      </w:r>
      <w:r>
        <w:rPr>
          <w:spacing w:val="-4"/>
        </w:rPr>
        <w:t>二氯乙烯、顺</w:t>
      </w:r>
      <w:r>
        <w:rPr>
          <w:rFonts w:ascii="Times New Roman" w:eastAsia="Times New Roman"/>
        </w:rPr>
        <w:t xml:space="preserve">-1,2- </w:t>
      </w:r>
      <w:r>
        <w:t>二氯乙烯、反</w:t>
      </w:r>
      <w:r>
        <w:rPr>
          <w:rFonts w:ascii="Times New Roman" w:eastAsia="Times New Roman"/>
        </w:rPr>
        <w:t>-1,2-</w:t>
      </w:r>
      <w:r>
        <w:t>二氯乙烯、二氯甲烷、</w:t>
      </w:r>
      <w:r>
        <w:rPr>
          <w:rFonts w:ascii="Times New Roman" w:eastAsia="Times New Roman"/>
        </w:rPr>
        <w:t>1,2-</w:t>
      </w:r>
      <w:r>
        <w:t>二氯丙烷、</w:t>
      </w:r>
      <w:r>
        <w:rPr>
          <w:rFonts w:ascii="Times New Roman" w:eastAsia="Times New Roman"/>
        </w:rPr>
        <w:t>1,1,1,2-</w:t>
      </w:r>
      <w:r>
        <w:t>四氯乙烷、</w:t>
      </w:r>
      <w:r>
        <w:rPr>
          <w:rFonts w:ascii="Times New Roman" w:eastAsia="Times New Roman"/>
        </w:rPr>
        <w:t>1,1,2,2-</w:t>
      </w:r>
      <w:r>
        <w:t>四氯</w:t>
      </w:r>
      <w:r>
        <w:rPr>
          <w:spacing w:val="-7"/>
        </w:rPr>
        <w:t>乙烷、四氯乙烯、</w:t>
      </w:r>
      <w:r>
        <w:rPr>
          <w:rFonts w:ascii="Times New Roman" w:eastAsia="Times New Roman"/>
        </w:rPr>
        <w:t>1,1,1-</w:t>
      </w:r>
      <w:r>
        <w:rPr>
          <w:spacing w:val="-4"/>
        </w:rPr>
        <w:t>三氯乙烷、</w:t>
      </w:r>
      <w:r>
        <w:rPr>
          <w:rFonts w:ascii="Times New Roman" w:eastAsia="Times New Roman"/>
        </w:rPr>
        <w:t>1,1,2-</w:t>
      </w:r>
      <w:r>
        <w:rPr>
          <w:spacing w:val="-6"/>
        </w:rPr>
        <w:t>三氯乙烷、三氯乙烯、</w:t>
      </w:r>
      <w:r>
        <w:rPr>
          <w:rFonts w:ascii="Times New Roman" w:eastAsia="Times New Roman"/>
        </w:rPr>
        <w:t>1,2,3-</w:t>
      </w:r>
      <w:r>
        <w:rPr>
          <w:spacing w:val="-4"/>
        </w:rPr>
        <w:t>三氯丙烷、氯乙烯、</w:t>
      </w:r>
      <w:r>
        <w:rPr>
          <w:spacing w:val="-3"/>
        </w:rPr>
        <w:t>苯、氯苯、</w:t>
      </w:r>
      <w:r>
        <w:rPr>
          <w:rFonts w:ascii="Times New Roman" w:eastAsia="Times New Roman"/>
        </w:rPr>
        <w:t>1,2-</w:t>
      </w:r>
      <w:r>
        <w:t>二氯苯、</w:t>
      </w:r>
      <w:r>
        <w:rPr>
          <w:rFonts w:ascii="Times New Roman" w:eastAsia="Times New Roman"/>
        </w:rPr>
        <w:t>1,4-</w:t>
      </w:r>
      <w:r>
        <w:t>二氯苯、乙苯、苯乙烯、甲苯、间二甲苯</w:t>
      </w:r>
      <w:r>
        <w:rPr>
          <w:rFonts w:ascii="Times New Roman" w:eastAsia="Times New Roman"/>
        </w:rPr>
        <w:t>+</w:t>
      </w:r>
      <w:r>
        <w:t>对二甲苯、邻二甲苯、硝基苯、苯胺、</w:t>
      </w:r>
      <w:r>
        <w:rPr>
          <w:rFonts w:ascii="Times New Roman" w:eastAsia="Times New Roman"/>
        </w:rPr>
        <w:t>2-</w:t>
      </w:r>
      <w:r>
        <w:t>氯酚、苯并</w:t>
      </w:r>
      <w:r>
        <w:rPr>
          <w:rFonts w:ascii="Times New Roman" w:eastAsia="Times New Roman"/>
        </w:rPr>
        <w:t>[a]</w:t>
      </w:r>
      <w:r>
        <w:t>蒽、苯并</w:t>
      </w:r>
      <w:r>
        <w:rPr>
          <w:rFonts w:ascii="Times New Roman" w:eastAsia="Times New Roman"/>
        </w:rPr>
        <w:t>[a]</w:t>
      </w:r>
      <w:r>
        <w:t>芘、苯并</w:t>
      </w:r>
      <w:r>
        <w:rPr>
          <w:rFonts w:ascii="Times New Roman" w:eastAsia="Times New Roman"/>
        </w:rPr>
        <w:t>[b]</w:t>
      </w:r>
      <w:r>
        <w:t>荧蒽、苯并</w:t>
      </w:r>
      <w:r>
        <w:rPr>
          <w:rFonts w:ascii="Times New Roman" w:eastAsia="Times New Roman"/>
        </w:rPr>
        <w:t>[k]</w:t>
      </w:r>
      <w:r>
        <w:t>荧蒽、䓛、二苯并</w:t>
      </w:r>
      <w:r>
        <w:rPr>
          <w:rFonts w:ascii="Times New Roman" w:eastAsia="Times New Roman"/>
        </w:rPr>
        <w:t>[a,h]</w:t>
      </w:r>
      <w:r>
        <w:t>蒽、茚并</w:t>
      </w:r>
      <w:r>
        <w:rPr>
          <w:rFonts w:ascii="Times New Roman" w:eastAsia="Times New Roman"/>
        </w:rPr>
        <w:t>[1,2,3-cd]</w:t>
      </w:r>
      <w:r>
        <w:t>芘、萘、石油烃（</w:t>
      </w:r>
      <w:r>
        <w:rPr>
          <w:rFonts w:ascii="Times New Roman" w:eastAsia="Times New Roman"/>
        </w:rPr>
        <w:t>C10</w:t>
      </w:r>
      <w:r>
        <w:t>～</w:t>
      </w:r>
      <w:r>
        <w:rPr>
          <w:rFonts w:ascii="Times New Roman" w:eastAsia="Times New Roman"/>
        </w:rPr>
        <w:t>C40</w:t>
      </w:r>
      <w:r>
        <w:t>）、铬、锌；</w:t>
      </w:r>
    </w:p>
    <w:p>
      <w:pPr>
        <w:pStyle w:val="6"/>
        <w:spacing w:line="364" w:lineRule="auto"/>
        <w:ind w:left="215" w:right="578" w:firstLine="480"/>
      </w:pPr>
      <w:r>
        <w:t xml:space="preserve">工业场地范围内 </w:t>
      </w:r>
      <w:r>
        <w:rPr>
          <w:rFonts w:ascii="Times New Roman" w:eastAsia="Times New Roman"/>
        </w:rPr>
        <w:t xml:space="preserve">2 </w:t>
      </w:r>
      <w:r>
        <w:t>个表层样</w:t>
      </w:r>
      <w:r>
        <w:rPr>
          <w:rFonts w:ascii="Times New Roman" w:eastAsia="Times New Roman"/>
        </w:rPr>
        <w:t>-</w:t>
      </w:r>
      <w:r>
        <w:t>建设用地：</w:t>
      </w:r>
      <w:r>
        <w:rPr>
          <w:rFonts w:ascii="Times New Roman" w:eastAsia="Times New Roman"/>
        </w:rPr>
        <w:t>pH</w:t>
      </w:r>
      <w:r>
        <w:t>、含盐量、砷、镉、六价铬、铅、汞、石油烃（</w:t>
      </w:r>
      <w:r>
        <w:rPr>
          <w:rFonts w:ascii="Times New Roman" w:eastAsia="Times New Roman"/>
        </w:rPr>
        <w:t>C10</w:t>
      </w:r>
      <w:r>
        <w:t>～</w:t>
      </w:r>
      <w:r>
        <w:rPr>
          <w:rFonts w:ascii="Times New Roman" w:eastAsia="Times New Roman"/>
        </w:rPr>
        <w:t>C40</w:t>
      </w:r>
      <w:r>
        <w:t>）、铬、锌。</w:t>
      </w:r>
    </w:p>
    <w:p>
      <w:pPr>
        <w:pStyle w:val="5"/>
        <w:numPr>
          <w:ilvl w:val="3"/>
          <w:numId w:val="73"/>
        </w:numPr>
        <w:tabs>
          <w:tab w:val="left" w:pos="1044"/>
        </w:tabs>
        <w:spacing w:before="0" w:after="0" w:line="306" w:lineRule="exact"/>
        <w:ind w:left="1044" w:right="0" w:hanging="829"/>
        <w:jc w:val="left"/>
      </w:pPr>
      <w:r>
        <w:t>监测采样时间及频率</w:t>
      </w:r>
    </w:p>
    <w:p>
      <w:pPr>
        <w:pStyle w:val="6"/>
        <w:spacing w:before="156"/>
        <w:ind w:left="696"/>
      </w:pPr>
      <w:r>
        <w:rPr>
          <w:rFonts w:ascii="Times New Roman" w:eastAsia="Times New Roman"/>
        </w:rPr>
        <w:t xml:space="preserve">2020 </w:t>
      </w:r>
      <w:r>
        <w:t xml:space="preserve">年 </w:t>
      </w:r>
      <w:r>
        <w:rPr>
          <w:rFonts w:ascii="Times New Roman" w:eastAsia="Times New Roman"/>
        </w:rPr>
        <w:t xml:space="preserve">05 </w:t>
      </w:r>
      <w:r>
        <w:t xml:space="preserve">月 </w:t>
      </w:r>
      <w:r>
        <w:rPr>
          <w:rFonts w:ascii="Times New Roman" w:eastAsia="Times New Roman"/>
        </w:rPr>
        <w:t xml:space="preserve">24 </w:t>
      </w:r>
      <w:r>
        <w:t xml:space="preserve">日，采样 </w:t>
      </w:r>
      <w:r>
        <w:rPr>
          <w:rFonts w:ascii="Times New Roman" w:eastAsia="Times New Roman"/>
        </w:rPr>
        <w:t xml:space="preserve">1 </w:t>
      </w:r>
      <w:r>
        <w:t>次。</w:t>
      </w:r>
    </w:p>
    <w:p>
      <w:pPr>
        <w:pStyle w:val="5"/>
        <w:numPr>
          <w:ilvl w:val="3"/>
          <w:numId w:val="73"/>
        </w:numPr>
        <w:tabs>
          <w:tab w:val="left" w:pos="1044"/>
        </w:tabs>
        <w:spacing w:before="158" w:after="0" w:line="240" w:lineRule="auto"/>
        <w:ind w:left="1044" w:right="0" w:hanging="829"/>
        <w:jc w:val="left"/>
      </w:pPr>
      <w:r>
        <w:t>监测分析方法</w:t>
      </w:r>
    </w:p>
    <w:p>
      <w:pPr>
        <w:pStyle w:val="6"/>
        <w:spacing w:before="160"/>
        <w:ind w:right="4957"/>
        <w:jc w:val="right"/>
      </w:pPr>
      <w:r>
        <w:t xml:space="preserve">土壤污染物监测分析方法详见表 </w:t>
      </w:r>
      <w:r>
        <w:rPr>
          <w:rFonts w:ascii="Times New Roman" w:eastAsia="Times New Roman"/>
        </w:rPr>
        <w:t>11.3-1</w:t>
      </w:r>
      <w:r>
        <w:t>。</w:t>
      </w:r>
    </w:p>
    <w:p>
      <w:pPr>
        <w:pStyle w:val="4"/>
        <w:numPr>
          <w:ilvl w:val="2"/>
          <w:numId w:val="73"/>
        </w:numPr>
        <w:tabs>
          <w:tab w:val="left" w:pos="972"/>
        </w:tabs>
        <w:spacing w:before="159" w:after="0" w:line="240" w:lineRule="auto"/>
        <w:ind w:left="972" w:right="5018" w:hanging="972"/>
        <w:jc w:val="right"/>
      </w:pPr>
      <w:bookmarkStart w:id="1057" w:name="11.3.4工业场地土壤环境质量现状评价"/>
      <w:bookmarkEnd w:id="1057"/>
      <w:bookmarkStart w:id="1058" w:name="11.3.4工业场地土壤环境质量现状评价"/>
      <w:bookmarkEnd w:id="1058"/>
      <w:r>
        <w:rPr>
          <w:spacing w:val="-1"/>
          <w:w w:val="95"/>
        </w:rPr>
        <w:t>工业场地土壤环境质量现状评价</w:t>
      </w:r>
    </w:p>
    <w:p>
      <w:pPr>
        <w:pStyle w:val="5"/>
        <w:numPr>
          <w:ilvl w:val="3"/>
          <w:numId w:val="73"/>
        </w:numPr>
        <w:tabs>
          <w:tab w:val="left" w:pos="1044"/>
        </w:tabs>
        <w:spacing w:before="186" w:after="0" w:line="240" w:lineRule="auto"/>
        <w:ind w:left="1044" w:right="0" w:hanging="829"/>
        <w:jc w:val="left"/>
      </w:pPr>
      <w:r>
        <w:t>评价标准</w:t>
      </w:r>
    </w:p>
    <w:p>
      <w:pPr>
        <w:pStyle w:val="6"/>
        <w:spacing w:before="160" w:line="362" w:lineRule="auto"/>
        <w:ind w:left="215" w:right="578" w:firstLine="480"/>
      </w:pPr>
      <w:r>
        <w:t>执行《土壤环境质量 建设用地土壤污染风险管控标准》（</w:t>
      </w:r>
      <w:r>
        <w:rPr>
          <w:rFonts w:ascii="Times New Roman" w:eastAsia="Times New Roman"/>
        </w:rPr>
        <w:t>GB36600-2018</w:t>
      </w:r>
      <w:r>
        <w:t>）中的第二类用地标准。</w:t>
      </w:r>
    </w:p>
    <w:p>
      <w:pPr>
        <w:pStyle w:val="5"/>
        <w:numPr>
          <w:ilvl w:val="3"/>
          <w:numId w:val="73"/>
        </w:numPr>
        <w:tabs>
          <w:tab w:val="left" w:pos="1044"/>
        </w:tabs>
        <w:spacing w:before="5" w:after="0" w:line="240" w:lineRule="auto"/>
        <w:ind w:left="1044" w:right="0" w:hanging="829"/>
        <w:jc w:val="left"/>
      </w:pPr>
      <w:r>
        <w:t>评价方法</w:t>
      </w:r>
    </w:p>
    <w:p>
      <w:pPr>
        <w:pStyle w:val="6"/>
        <w:spacing w:before="161" w:line="362" w:lineRule="auto"/>
        <w:ind w:left="215" w:right="578" w:firstLine="480"/>
      </w:pPr>
      <w:r>
        <w:t xml:space="preserve">本次土壤环境质量评价采用单因子标准指数法。单项土壤监测因子 </w:t>
      </w:r>
      <w:r>
        <w:rPr>
          <w:rFonts w:ascii="Times New Roman" w:eastAsia="Times New Roman"/>
        </w:rPr>
        <w:t xml:space="preserve">i </w:t>
      </w:r>
      <w:r>
        <w:t xml:space="preserve">在第 </w:t>
      </w:r>
      <w:r>
        <w:rPr>
          <w:rFonts w:ascii="Times New Roman" w:eastAsia="Times New Roman"/>
        </w:rPr>
        <w:t xml:space="preserve">j </w:t>
      </w:r>
      <w:r>
        <w:t>点的污染指数。</w:t>
      </w:r>
    </w:p>
    <w:p>
      <w:pPr>
        <w:pStyle w:val="6"/>
        <w:spacing w:line="294" w:lineRule="exact"/>
        <w:ind w:left="696"/>
        <w:rPr>
          <w:rFonts w:ascii="Times New Roman"/>
        </w:rPr>
      </w:pPr>
      <w:r>
        <w:rPr>
          <w:rFonts w:ascii="Times New Roman"/>
          <w:position w:val="2"/>
        </w:rPr>
        <w:t>Si=C</w:t>
      </w:r>
      <w:r>
        <w:rPr>
          <w:rFonts w:ascii="Times New Roman"/>
          <w:position w:val="2"/>
          <w:vertAlign w:val="subscript"/>
        </w:rPr>
        <w:t>i</w:t>
      </w:r>
      <w:r>
        <w:rPr>
          <w:rFonts w:ascii="Times New Roman"/>
          <w:position w:val="2"/>
          <w:vertAlign w:val="baseline"/>
        </w:rPr>
        <w:t>/C</w:t>
      </w:r>
      <w:r>
        <w:rPr>
          <w:rFonts w:ascii="Times New Roman"/>
          <w:position w:val="2"/>
          <w:vertAlign w:val="subscript"/>
        </w:rPr>
        <w:t>0</w:t>
      </w:r>
    </w:p>
    <w:p>
      <w:pPr>
        <w:spacing w:after="0" w:line="294" w:lineRule="exact"/>
        <w:rPr>
          <w:rFonts w:ascii="Times New Roman"/>
        </w:rPr>
        <w:sectPr>
          <w:pgSz w:w="11910" w:h="16840"/>
          <w:pgMar w:top="1580" w:right="780" w:bottom="1320" w:left="1200" w:header="0" w:footer="1058" w:gutter="0"/>
        </w:sectPr>
      </w:pPr>
    </w:p>
    <w:p>
      <w:pPr>
        <w:pStyle w:val="6"/>
        <w:spacing w:before="63" w:line="360" w:lineRule="auto"/>
        <w:ind w:left="696" w:right="4622"/>
      </w:pPr>
      <w:r>
        <w:rPr>
          <w:position w:val="2"/>
        </w:rPr>
        <w:t>式中：</w:t>
      </w:r>
      <w:r>
        <w:rPr>
          <w:rFonts w:ascii="Times New Roman" w:hAnsi="Times New Roman" w:eastAsia="Times New Roman"/>
          <w:position w:val="2"/>
        </w:rPr>
        <w:t>S</w:t>
      </w:r>
      <w:r>
        <w:rPr>
          <w:rFonts w:ascii="Times New Roman" w:hAnsi="Times New Roman" w:eastAsia="Times New Roman"/>
          <w:position w:val="2"/>
          <w:vertAlign w:val="subscript"/>
        </w:rPr>
        <w:t>i</w:t>
      </w:r>
      <w:r>
        <w:rPr>
          <w:rFonts w:ascii="Times New Roman" w:hAnsi="Times New Roman" w:eastAsia="Times New Roman"/>
          <w:position w:val="2"/>
          <w:vertAlign w:val="baseline"/>
        </w:rPr>
        <w:t>—</w:t>
      </w:r>
      <w:r>
        <w:rPr>
          <w:spacing w:val="-15"/>
          <w:position w:val="2"/>
          <w:vertAlign w:val="baseline"/>
        </w:rPr>
        <w:t xml:space="preserve">土壤中 </w:t>
      </w:r>
      <w:r>
        <w:rPr>
          <w:rFonts w:ascii="Times New Roman" w:hAnsi="Times New Roman" w:eastAsia="Times New Roman"/>
          <w:position w:val="2"/>
          <w:vertAlign w:val="baseline"/>
        </w:rPr>
        <w:t xml:space="preserve">i </w:t>
      </w:r>
      <w:r>
        <w:rPr>
          <w:position w:val="2"/>
          <w:vertAlign w:val="baseline"/>
        </w:rPr>
        <w:t xml:space="preserve">污染物的污染指数； </w:t>
      </w:r>
      <w:r>
        <w:rPr>
          <w:rFonts w:ascii="Times New Roman" w:hAnsi="Times New Roman" w:eastAsia="Times New Roman"/>
          <w:position w:val="2"/>
          <w:vertAlign w:val="baseline"/>
        </w:rPr>
        <w:t>C</w:t>
      </w:r>
      <w:r>
        <w:rPr>
          <w:rFonts w:ascii="Times New Roman" w:hAnsi="Times New Roman" w:eastAsia="Times New Roman"/>
          <w:position w:val="2"/>
          <w:vertAlign w:val="subscript"/>
        </w:rPr>
        <w:t>i</w:t>
      </w:r>
      <w:r>
        <w:rPr>
          <w:rFonts w:ascii="Times New Roman" w:hAnsi="Times New Roman" w:eastAsia="Times New Roman"/>
          <w:position w:val="2"/>
          <w:vertAlign w:val="baseline"/>
        </w:rPr>
        <w:t>—</w:t>
      </w:r>
      <w:r>
        <w:rPr>
          <w:spacing w:val="-31"/>
          <w:position w:val="2"/>
          <w:vertAlign w:val="baseline"/>
        </w:rPr>
        <w:t xml:space="preserve">第 </w:t>
      </w:r>
      <w:r>
        <w:rPr>
          <w:rFonts w:ascii="Times New Roman" w:hAnsi="Times New Roman" w:eastAsia="Times New Roman"/>
          <w:position w:val="2"/>
          <w:vertAlign w:val="baseline"/>
        </w:rPr>
        <w:t>i</w:t>
      </w:r>
      <w:r>
        <w:rPr>
          <w:rFonts w:ascii="Times New Roman" w:hAnsi="Times New Roman" w:eastAsia="Times New Roman"/>
          <w:spacing w:val="58"/>
          <w:position w:val="2"/>
          <w:vertAlign w:val="baseline"/>
        </w:rPr>
        <w:t xml:space="preserve"> </w:t>
      </w:r>
      <w:r>
        <w:rPr>
          <w:position w:val="2"/>
          <w:vertAlign w:val="baseline"/>
        </w:rPr>
        <w:t>种污染物的实测浓度，（</w:t>
      </w:r>
      <w:r>
        <w:rPr>
          <w:rFonts w:ascii="Times New Roman" w:hAnsi="Times New Roman" w:eastAsia="Times New Roman"/>
          <w:position w:val="2"/>
          <w:vertAlign w:val="baseline"/>
        </w:rPr>
        <w:t>mg/L</w:t>
      </w:r>
      <w:r>
        <w:rPr>
          <w:position w:val="2"/>
          <w:vertAlign w:val="baseline"/>
        </w:rPr>
        <w:t xml:space="preserve">）； </w:t>
      </w:r>
      <w:r>
        <w:rPr>
          <w:rFonts w:ascii="Times New Roman" w:hAnsi="Times New Roman" w:eastAsia="Times New Roman"/>
          <w:position w:val="2"/>
          <w:vertAlign w:val="baseline"/>
        </w:rPr>
        <w:t>C</w:t>
      </w:r>
      <w:r>
        <w:rPr>
          <w:rFonts w:ascii="Times New Roman" w:hAnsi="Times New Roman" w:eastAsia="Times New Roman"/>
          <w:position w:val="2"/>
          <w:vertAlign w:val="subscript"/>
        </w:rPr>
        <w:t>0</w:t>
      </w:r>
      <w:r>
        <w:rPr>
          <w:rFonts w:ascii="Times New Roman" w:hAnsi="Times New Roman" w:eastAsia="Times New Roman"/>
          <w:spacing w:val="-1"/>
          <w:position w:val="2"/>
          <w:vertAlign w:val="baseline"/>
        </w:rPr>
        <w:t xml:space="preserve"> —</w:t>
      </w:r>
      <w:r>
        <w:rPr>
          <w:spacing w:val="-30"/>
          <w:position w:val="2"/>
          <w:vertAlign w:val="baseline"/>
        </w:rPr>
        <w:t xml:space="preserve">第 </w:t>
      </w:r>
      <w:r>
        <w:rPr>
          <w:rFonts w:ascii="Times New Roman" w:hAnsi="Times New Roman" w:eastAsia="Times New Roman"/>
          <w:position w:val="2"/>
          <w:vertAlign w:val="baseline"/>
        </w:rPr>
        <w:t xml:space="preserve">i </w:t>
      </w:r>
      <w:r>
        <w:rPr>
          <w:position w:val="2"/>
          <w:vertAlign w:val="baseline"/>
        </w:rPr>
        <w:t>种污染物的评价标准，（</w:t>
      </w:r>
      <w:r>
        <w:rPr>
          <w:rFonts w:ascii="Times New Roman" w:hAnsi="Times New Roman" w:eastAsia="Times New Roman"/>
          <w:position w:val="2"/>
          <w:vertAlign w:val="baseline"/>
        </w:rPr>
        <w:t>mg/L</w:t>
      </w:r>
      <w:r>
        <w:rPr>
          <w:position w:val="2"/>
          <w:vertAlign w:val="baseline"/>
        </w:rPr>
        <w:t>）</w:t>
      </w:r>
      <w:r>
        <w:rPr>
          <w:spacing w:val="-17"/>
          <w:position w:val="2"/>
          <w:vertAlign w:val="baseline"/>
        </w:rPr>
        <w:t>。</w:t>
      </w:r>
    </w:p>
    <w:p>
      <w:pPr>
        <w:pStyle w:val="6"/>
        <w:spacing w:before="5" w:line="364" w:lineRule="auto"/>
        <w:ind w:left="215" w:right="578" w:firstLine="480"/>
      </w:pPr>
      <w:r>
        <w:t xml:space="preserve">土壤污染因子的标准指数大于 </w:t>
      </w:r>
      <w:r>
        <w:rPr>
          <w:rFonts w:ascii="Times New Roman" w:eastAsia="Times New Roman"/>
        </w:rPr>
        <w:t>1</w:t>
      </w:r>
      <w:r>
        <w:t>，表明该污染物超过了规定的标准限值，标准指数越大，说明超标越严重。</w:t>
      </w:r>
    </w:p>
    <w:p>
      <w:pPr>
        <w:pStyle w:val="5"/>
        <w:numPr>
          <w:ilvl w:val="3"/>
          <w:numId w:val="73"/>
        </w:numPr>
        <w:tabs>
          <w:tab w:val="left" w:pos="1044"/>
        </w:tabs>
        <w:spacing w:before="0" w:after="0" w:line="306" w:lineRule="exact"/>
        <w:ind w:left="1044" w:right="0" w:hanging="829"/>
        <w:jc w:val="left"/>
      </w:pPr>
      <w:r>
        <w:t>监测结果与评价</w:t>
      </w:r>
    </w:p>
    <w:p>
      <w:pPr>
        <w:pStyle w:val="6"/>
        <w:spacing w:before="161"/>
        <w:ind w:left="696"/>
      </w:pPr>
      <w:r>
        <w:t xml:space="preserve">土壤环境质量监测结果和土壤环境质量评价结果见表 </w:t>
      </w:r>
      <w:r>
        <w:rPr>
          <w:rFonts w:ascii="Times New Roman" w:eastAsia="Times New Roman"/>
        </w:rPr>
        <w:t>11.3-7</w:t>
      </w:r>
      <w:r>
        <w:t>。</w:t>
      </w:r>
    </w:p>
    <w:p>
      <w:pPr>
        <w:pStyle w:val="5"/>
        <w:tabs>
          <w:tab w:val="left" w:pos="1147"/>
        </w:tabs>
        <w:spacing w:before="160"/>
        <w:ind w:right="352"/>
        <w:jc w:val="center"/>
      </w:pPr>
      <w:r>
        <w:t>表</w:t>
      </w:r>
      <w:r>
        <w:rPr>
          <w:spacing w:val="-61"/>
        </w:rPr>
        <w:t xml:space="preserve"> </w:t>
      </w:r>
      <w:r>
        <w:rPr>
          <w:rFonts w:ascii="Times New Roman" w:eastAsia="Times New Roman"/>
          <w:spacing w:val="-3"/>
        </w:rPr>
        <w:t>11.3-7</w:t>
      </w:r>
      <w:r>
        <w:rPr>
          <w:rFonts w:ascii="Times New Roman" w:eastAsia="Times New Roman"/>
          <w:spacing w:val="-3"/>
        </w:rPr>
        <w:tab/>
      </w:r>
      <w:r>
        <w:t>土壤环境质量监测结果</w:t>
      </w: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62"/>
        <w:gridCol w:w="1447"/>
        <w:gridCol w:w="1417"/>
        <w:gridCol w:w="1417"/>
        <w:gridCol w:w="1418"/>
        <w:gridCol w:w="10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562" w:type="dxa"/>
            <w:vMerge w:val="restart"/>
          </w:tcPr>
          <w:p>
            <w:pPr>
              <w:pStyle w:val="14"/>
              <w:spacing w:before="7"/>
              <w:jc w:val="left"/>
              <w:rPr>
                <w:b/>
                <w:sz w:val="26"/>
              </w:rPr>
            </w:pPr>
          </w:p>
          <w:p>
            <w:pPr>
              <w:pStyle w:val="14"/>
              <w:spacing w:before="1"/>
              <w:ind w:left="328" w:right="303"/>
              <w:rPr>
                <w:sz w:val="21"/>
              </w:rPr>
            </w:pPr>
            <w:bookmarkStart w:id="1059" w:name="检测项目"/>
            <w:bookmarkEnd w:id="1059"/>
            <w:r>
              <w:rPr>
                <w:sz w:val="21"/>
              </w:rPr>
              <w:t>检测项目</w:t>
            </w:r>
          </w:p>
        </w:tc>
        <w:tc>
          <w:tcPr>
            <w:tcW w:w="1447" w:type="dxa"/>
            <w:vMerge w:val="restart"/>
          </w:tcPr>
          <w:p>
            <w:pPr>
              <w:pStyle w:val="14"/>
              <w:spacing w:before="7"/>
              <w:jc w:val="left"/>
              <w:rPr>
                <w:b/>
                <w:sz w:val="26"/>
              </w:rPr>
            </w:pPr>
          </w:p>
          <w:p>
            <w:pPr>
              <w:pStyle w:val="14"/>
              <w:spacing w:before="1"/>
              <w:ind w:left="119" w:right="112"/>
              <w:rPr>
                <w:sz w:val="21"/>
              </w:rPr>
            </w:pPr>
            <w:r>
              <w:rPr>
                <w:sz w:val="21"/>
              </w:rPr>
              <w:t>单位</w:t>
            </w:r>
          </w:p>
        </w:tc>
        <w:tc>
          <w:tcPr>
            <w:tcW w:w="4252" w:type="dxa"/>
            <w:gridSpan w:val="3"/>
          </w:tcPr>
          <w:p>
            <w:pPr>
              <w:pStyle w:val="14"/>
              <w:spacing w:before="62"/>
              <w:ind w:left="1789" w:right="1783"/>
              <w:rPr>
                <w:sz w:val="21"/>
              </w:rPr>
            </w:pPr>
            <w:r>
              <w:rPr>
                <w:sz w:val="21"/>
              </w:rPr>
              <w:t>检测值</w:t>
            </w:r>
          </w:p>
        </w:tc>
        <w:tc>
          <w:tcPr>
            <w:tcW w:w="1083" w:type="dxa"/>
            <w:vMerge w:val="restart"/>
          </w:tcPr>
          <w:p>
            <w:pPr>
              <w:pStyle w:val="14"/>
              <w:spacing w:before="7"/>
              <w:jc w:val="left"/>
              <w:rPr>
                <w:b/>
                <w:sz w:val="26"/>
              </w:rPr>
            </w:pPr>
          </w:p>
          <w:p>
            <w:pPr>
              <w:pStyle w:val="14"/>
              <w:spacing w:before="1"/>
              <w:ind w:left="226"/>
              <w:jc w:val="left"/>
              <w:rPr>
                <w:sz w:val="21"/>
              </w:rPr>
            </w:pPr>
            <w:r>
              <w:rPr>
                <w:sz w:val="21"/>
              </w:rPr>
              <w:t>标准值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562" w:type="dxa"/>
            <w:vMerge w:val="continue"/>
            <w:tcBorders>
              <w:top w:val="nil"/>
            </w:tcBorders>
          </w:tcPr>
          <w:p>
            <w:pPr>
              <w:rPr>
                <w:sz w:val="2"/>
                <w:szCs w:val="2"/>
              </w:rPr>
            </w:pPr>
          </w:p>
        </w:tc>
        <w:tc>
          <w:tcPr>
            <w:tcW w:w="1447" w:type="dxa"/>
            <w:vMerge w:val="continue"/>
            <w:tcBorders>
              <w:top w:val="nil"/>
            </w:tcBorders>
          </w:tcPr>
          <w:p>
            <w:pPr>
              <w:rPr>
                <w:sz w:val="2"/>
                <w:szCs w:val="2"/>
              </w:rPr>
            </w:pPr>
          </w:p>
        </w:tc>
        <w:tc>
          <w:tcPr>
            <w:tcW w:w="1417" w:type="dxa"/>
          </w:tcPr>
          <w:p>
            <w:pPr>
              <w:pStyle w:val="14"/>
              <w:spacing w:before="1"/>
              <w:ind w:left="161" w:right="154"/>
              <w:rPr>
                <w:sz w:val="21"/>
              </w:rPr>
            </w:pPr>
            <w:r>
              <w:rPr>
                <w:sz w:val="21"/>
              </w:rPr>
              <w:t>工业场地表</w:t>
            </w:r>
          </w:p>
          <w:p>
            <w:pPr>
              <w:pStyle w:val="14"/>
              <w:spacing w:before="2" w:line="253" w:lineRule="exact"/>
              <w:ind w:left="161" w:right="153"/>
              <w:rPr>
                <w:rFonts w:ascii="Times New Roman" w:eastAsia="Times New Roman"/>
                <w:sz w:val="21"/>
              </w:rPr>
            </w:pPr>
            <w:r>
              <w:rPr>
                <w:sz w:val="21"/>
              </w:rPr>
              <w:t xml:space="preserve">层样 </w:t>
            </w:r>
            <w:r>
              <w:rPr>
                <w:rFonts w:ascii="Times New Roman" w:eastAsia="Times New Roman"/>
                <w:sz w:val="21"/>
              </w:rPr>
              <w:t>1</w:t>
            </w:r>
          </w:p>
        </w:tc>
        <w:tc>
          <w:tcPr>
            <w:tcW w:w="1417" w:type="dxa"/>
          </w:tcPr>
          <w:p>
            <w:pPr>
              <w:pStyle w:val="14"/>
              <w:spacing w:before="1"/>
              <w:ind w:left="160" w:right="155"/>
              <w:rPr>
                <w:sz w:val="21"/>
              </w:rPr>
            </w:pPr>
            <w:r>
              <w:rPr>
                <w:sz w:val="21"/>
              </w:rPr>
              <w:t>工业场地表</w:t>
            </w:r>
          </w:p>
          <w:p>
            <w:pPr>
              <w:pStyle w:val="14"/>
              <w:spacing w:before="2" w:line="253" w:lineRule="exact"/>
              <w:ind w:left="161" w:right="153"/>
              <w:rPr>
                <w:rFonts w:ascii="Times New Roman" w:eastAsia="Times New Roman"/>
                <w:sz w:val="21"/>
              </w:rPr>
            </w:pPr>
            <w:r>
              <w:rPr>
                <w:sz w:val="21"/>
              </w:rPr>
              <w:t xml:space="preserve">层样 </w:t>
            </w:r>
            <w:r>
              <w:rPr>
                <w:rFonts w:ascii="Times New Roman" w:eastAsia="Times New Roman"/>
                <w:sz w:val="21"/>
              </w:rPr>
              <w:t>2</w:t>
            </w:r>
          </w:p>
        </w:tc>
        <w:tc>
          <w:tcPr>
            <w:tcW w:w="1418" w:type="dxa"/>
          </w:tcPr>
          <w:p>
            <w:pPr>
              <w:pStyle w:val="14"/>
              <w:spacing w:before="1"/>
              <w:ind w:left="162" w:right="156"/>
              <w:rPr>
                <w:sz w:val="21"/>
              </w:rPr>
            </w:pPr>
            <w:r>
              <w:rPr>
                <w:sz w:val="21"/>
              </w:rPr>
              <w:t>工业场地表</w:t>
            </w:r>
          </w:p>
          <w:p>
            <w:pPr>
              <w:pStyle w:val="14"/>
              <w:spacing w:before="2" w:line="253" w:lineRule="exact"/>
              <w:ind w:left="162" w:right="154"/>
              <w:rPr>
                <w:rFonts w:ascii="Times New Roman" w:eastAsia="Times New Roman"/>
                <w:sz w:val="21"/>
              </w:rPr>
            </w:pPr>
            <w:r>
              <w:rPr>
                <w:sz w:val="21"/>
              </w:rPr>
              <w:t xml:space="preserve">层样 </w:t>
            </w:r>
            <w:r>
              <w:rPr>
                <w:rFonts w:ascii="Times New Roman" w:eastAsia="Times New Roman"/>
                <w:sz w:val="21"/>
              </w:rPr>
              <w:t>3</w:t>
            </w:r>
          </w:p>
        </w:tc>
        <w:tc>
          <w:tcPr>
            <w:tcW w:w="108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3"/>
              <w:ind w:left="328" w:right="319"/>
              <w:rPr>
                <w:sz w:val="21"/>
              </w:rPr>
            </w:pPr>
            <w:r>
              <w:rPr>
                <w:rFonts w:ascii="Times New Roman" w:eastAsia="Times New Roman"/>
                <w:sz w:val="21"/>
              </w:rPr>
              <w:t xml:space="preserve">pH </w:t>
            </w:r>
            <w:r>
              <w:rPr>
                <w:sz w:val="21"/>
              </w:rPr>
              <w:t>值</w:t>
            </w:r>
          </w:p>
        </w:tc>
        <w:tc>
          <w:tcPr>
            <w:tcW w:w="1447" w:type="dxa"/>
          </w:tcPr>
          <w:p>
            <w:pPr>
              <w:pStyle w:val="14"/>
              <w:spacing w:before="63"/>
              <w:ind w:left="119" w:right="112"/>
              <w:rPr>
                <w:sz w:val="21"/>
              </w:rPr>
            </w:pPr>
            <w:r>
              <w:rPr>
                <w:sz w:val="21"/>
              </w:rPr>
              <w:t>无量纲</w:t>
            </w:r>
          </w:p>
        </w:tc>
        <w:tc>
          <w:tcPr>
            <w:tcW w:w="1417" w:type="dxa"/>
          </w:tcPr>
          <w:p>
            <w:pPr>
              <w:pStyle w:val="14"/>
              <w:spacing w:before="79"/>
              <w:ind w:left="161" w:right="151"/>
              <w:rPr>
                <w:rFonts w:ascii="Times New Roman"/>
                <w:sz w:val="21"/>
              </w:rPr>
            </w:pPr>
            <w:bookmarkStart w:id="1060" w:name="7.07"/>
            <w:bookmarkEnd w:id="1060"/>
            <w:r>
              <w:rPr>
                <w:rFonts w:ascii="Times New Roman"/>
                <w:sz w:val="21"/>
              </w:rPr>
              <w:t>7.07</w:t>
            </w:r>
          </w:p>
        </w:tc>
        <w:tc>
          <w:tcPr>
            <w:tcW w:w="1417" w:type="dxa"/>
          </w:tcPr>
          <w:p>
            <w:pPr>
              <w:pStyle w:val="14"/>
              <w:spacing w:before="79"/>
              <w:ind w:right="511"/>
              <w:jc w:val="right"/>
              <w:rPr>
                <w:rFonts w:ascii="Times New Roman"/>
                <w:sz w:val="21"/>
              </w:rPr>
            </w:pPr>
            <w:bookmarkStart w:id="1061" w:name="7.44"/>
            <w:bookmarkEnd w:id="1061"/>
            <w:r>
              <w:rPr>
                <w:rFonts w:ascii="Times New Roman"/>
                <w:sz w:val="21"/>
              </w:rPr>
              <w:t>7.44</w:t>
            </w:r>
          </w:p>
        </w:tc>
        <w:tc>
          <w:tcPr>
            <w:tcW w:w="1418" w:type="dxa"/>
          </w:tcPr>
          <w:p>
            <w:pPr>
              <w:pStyle w:val="14"/>
              <w:spacing w:before="79"/>
              <w:ind w:left="162" w:right="154"/>
              <w:rPr>
                <w:rFonts w:ascii="Times New Roman"/>
                <w:sz w:val="21"/>
              </w:rPr>
            </w:pPr>
            <w:bookmarkStart w:id="1062" w:name="6.87"/>
            <w:bookmarkEnd w:id="1062"/>
            <w:r>
              <w:rPr>
                <w:rFonts w:ascii="Times New Roman"/>
                <w:sz w:val="21"/>
              </w:rPr>
              <w:t>6.87</w:t>
            </w:r>
          </w:p>
        </w:tc>
        <w:tc>
          <w:tcPr>
            <w:tcW w:w="1083" w:type="dxa"/>
          </w:tcPr>
          <w:p>
            <w:pPr>
              <w:pStyle w:val="14"/>
              <w:spacing w:before="77"/>
              <w:ind w:left="8"/>
              <w:rPr>
                <w:rFonts w:ascii="Times New Roman" w:hAnsi="Times New Roman"/>
                <w:sz w:val="21"/>
              </w:rPr>
            </w:pPr>
            <w:r>
              <w:rPr>
                <w:rFonts w:ascii="Times New Roman" w:hAns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562" w:type="dxa"/>
          </w:tcPr>
          <w:p>
            <w:pPr>
              <w:pStyle w:val="14"/>
              <w:spacing w:before="64"/>
              <w:ind w:left="327" w:right="319"/>
              <w:rPr>
                <w:sz w:val="21"/>
              </w:rPr>
            </w:pPr>
            <w:r>
              <w:rPr>
                <w:sz w:val="21"/>
              </w:rPr>
              <w:t>含盐量</w:t>
            </w:r>
          </w:p>
        </w:tc>
        <w:tc>
          <w:tcPr>
            <w:tcW w:w="1447" w:type="dxa"/>
          </w:tcPr>
          <w:p>
            <w:pPr>
              <w:pStyle w:val="14"/>
              <w:spacing w:before="78"/>
              <w:ind w:left="121" w:right="112"/>
              <w:rPr>
                <w:rFonts w:ascii="Times New Roman"/>
                <w:sz w:val="21"/>
              </w:rPr>
            </w:pPr>
            <w:r>
              <w:rPr>
                <w:rFonts w:ascii="Times New Roman"/>
                <w:sz w:val="21"/>
              </w:rPr>
              <w:t>g/kg</w:t>
            </w:r>
          </w:p>
        </w:tc>
        <w:tc>
          <w:tcPr>
            <w:tcW w:w="1417" w:type="dxa"/>
          </w:tcPr>
          <w:p>
            <w:pPr>
              <w:pStyle w:val="14"/>
              <w:spacing w:before="80"/>
              <w:ind w:left="161" w:right="153"/>
              <w:rPr>
                <w:rFonts w:ascii="Times New Roman"/>
                <w:sz w:val="21"/>
              </w:rPr>
            </w:pPr>
            <w:bookmarkStart w:id="1063" w:name="1.3"/>
            <w:bookmarkEnd w:id="1063"/>
            <w:r>
              <w:rPr>
                <w:rFonts w:ascii="Times New Roman"/>
                <w:sz w:val="21"/>
              </w:rPr>
              <w:t>1.3</w:t>
            </w:r>
          </w:p>
        </w:tc>
        <w:tc>
          <w:tcPr>
            <w:tcW w:w="1417" w:type="dxa"/>
          </w:tcPr>
          <w:p>
            <w:pPr>
              <w:pStyle w:val="14"/>
              <w:spacing w:before="80"/>
              <w:ind w:right="566"/>
              <w:jc w:val="right"/>
              <w:rPr>
                <w:rFonts w:ascii="Times New Roman"/>
                <w:sz w:val="21"/>
              </w:rPr>
            </w:pPr>
            <w:bookmarkStart w:id="1064" w:name="1.3"/>
            <w:bookmarkEnd w:id="1064"/>
            <w:r>
              <w:rPr>
                <w:rFonts w:ascii="Times New Roman"/>
                <w:w w:val="95"/>
                <w:sz w:val="21"/>
              </w:rPr>
              <w:t>1.3</w:t>
            </w:r>
          </w:p>
        </w:tc>
        <w:tc>
          <w:tcPr>
            <w:tcW w:w="1418" w:type="dxa"/>
          </w:tcPr>
          <w:p>
            <w:pPr>
              <w:pStyle w:val="14"/>
              <w:spacing w:before="80"/>
              <w:ind w:left="162" w:right="154"/>
              <w:rPr>
                <w:rFonts w:ascii="Times New Roman"/>
                <w:sz w:val="21"/>
              </w:rPr>
            </w:pPr>
            <w:bookmarkStart w:id="1065" w:name="1.8"/>
            <w:bookmarkEnd w:id="1065"/>
            <w:r>
              <w:rPr>
                <w:rFonts w:ascii="Times New Roman"/>
                <w:sz w:val="21"/>
              </w:rPr>
              <w:t>1.8</w:t>
            </w:r>
          </w:p>
        </w:tc>
        <w:tc>
          <w:tcPr>
            <w:tcW w:w="1083" w:type="dxa"/>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2"/>
              <w:ind w:left="6"/>
              <w:rPr>
                <w:sz w:val="21"/>
              </w:rPr>
            </w:pPr>
            <w:r>
              <w:rPr>
                <w:w w:val="99"/>
                <w:sz w:val="21"/>
              </w:rPr>
              <w:t>砷</w:t>
            </w:r>
          </w:p>
        </w:tc>
        <w:tc>
          <w:tcPr>
            <w:tcW w:w="1447" w:type="dxa"/>
          </w:tcPr>
          <w:p>
            <w:pPr>
              <w:pStyle w:val="14"/>
              <w:spacing w:before="98"/>
              <w:ind w:left="116" w:right="112"/>
              <w:rPr>
                <w:rFonts w:ascii="Times New Roman"/>
                <w:sz w:val="21"/>
              </w:rPr>
            </w:pPr>
            <w:bookmarkStart w:id="1066" w:name="mg/kg"/>
            <w:bookmarkEnd w:id="1066"/>
            <w:r>
              <w:rPr>
                <w:rFonts w:ascii="Times New Roman"/>
                <w:sz w:val="21"/>
              </w:rPr>
              <w:t>mg/kg</w:t>
            </w:r>
          </w:p>
        </w:tc>
        <w:tc>
          <w:tcPr>
            <w:tcW w:w="1417" w:type="dxa"/>
          </w:tcPr>
          <w:p>
            <w:pPr>
              <w:pStyle w:val="14"/>
              <w:spacing w:before="79"/>
              <w:ind w:left="161" w:right="151"/>
              <w:rPr>
                <w:rFonts w:ascii="Times New Roman"/>
                <w:sz w:val="21"/>
              </w:rPr>
            </w:pPr>
            <w:bookmarkStart w:id="1067" w:name="7.91"/>
            <w:bookmarkEnd w:id="1067"/>
            <w:r>
              <w:rPr>
                <w:rFonts w:ascii="Times New Roman"/>
                <w:sz w:val="21"/>
              </w:rPr>
              <w:t>7.91</w:t>
            </w:r>
          </w:p>
        </w:tc>
        <w:tc>
          <w:tcPr>
            <w:tcW w:w="1417" w:type="dxa"/>
          </w:tcPr>
          <w:p>
            <w:pPr>
              <w:pStyle w:val="14"/>
              <w:spacing w:before="79"/>
              <w:ind w:right="511"/>
              <w:jc w:val="right"/>
              <w:rPr>
                <w:rFonts w:ascii="Times New Roman"/>
                <w:sz w:val="21"/>
              </w:rPr>
            </w:pPr>
            <w:bookmarkStart w:id="1068" w:name="7.40"/>
            <w:bookmarkEnd w:id="1068"/>
            <w:r>
              <w:rPr>
                <w:rFonts w:ascii="Times New Roman"/>
                <w:sz w:val="21"/>
              </w:rPr>
              <w:t>7.40</w:t>
            </w:r>
          </w:p>
        </w:tc>
        <w:tc>
          <w:tcPr>
            <w:tcW w:w="1418" w:type="dxa"/>
          </w:tcPr>
          <w:p>
            <w:pPr>
              <w:pStyle w:val="14"/>
              <w:spacing w:before="79"/>
              <w:ind w:left="162" w:right="154"/>
              <w:rPr>
                <w:rFonts w:ascii="Times New Roman"/>
                <w:sz w:val="21"/>
              </w:rPr>
            </w:pPr>
            <w:bookmarkStart w:id="1069" w:name="8.01"/>
            <w:bookmarkEnd w:id="1069"/>
            <w:r>
              <w:rPr>
                <w:rFonts w:ascii="Times New Roman"/>
                <w:sz w:val="21"/>
              </w:rPr>
              <w:t>8.01</w:t>
            </w:r>
          </w:p>
        </w:tc>
        <w:tc>
          <w:tcPr>
            <w:tcW w:w="1083" w:type="dxa"/>
          </w:tcPr>
          <w:p>
            <w:pPr>
              <w:pStyle w:val="14"/>
              <w:spacing w:before="76"/>
              <w:ind w:left="203" w:right="196"/>
              <w:rPr>
                <w:rFonts w:ascii="Times New Roman"/>
                <w:sz w:val="21"/>
              </w:rPr>
            </w:pPr>
            <w:r>
              <w:rPr>
                <w:rFonts w:ascii="Times New Roman"/>
                <w:sz w:val="21"/>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3"/>
              <w:ind w:left="6"/>
              <w:rPr>
                <w:sz w:val="21"/>
              </w:rPr>
            </w:pPr>
            <w:r>
              <w:rPr>
                <w:w w:val="99"/>
                <w:sz w:val="21"/>
              </w:rPr>
              <w:t>镉</w:t>
            </w:r>
          </w:p>
        </w:tc>
        <w:tc>
          <w:tcPr>
            <w:tcW w:w="1447" w:type="dxa"/>
          </w:tcPr>
          <w:p>
            <w:pPr>
              <w:pStyle w:val="14"/>
              <w:spacing w:before="99"/>
              <w:ind w:left="116" w:right="112"/>
              <w:rPr>
                <w:rFonts w:ascii="Times New Roman"/>
                <w:sz w:val="21"/>
              </w:rPr>
            </w:pPr>
            <w:bookmarkStart w:id="1070" w:name="mg/kg"/>
            <w:bookmarkEnd w:id="1070"/>
            <w:r>
              <w:rPr>
                <w:rFonts w:ascii="Times New Roman"/>
                <w:sz w:val="21"/>
              </w:rPr>
              <w:t>mg/kg</w:t>
            </w:r>
          </w:p>
        </w:tc>
        <w:tc>
          <w:tcPr>
            <w:tcW w:w="1417" w:type="dxa"/>
          </w:tcPr>
          <w:p>
            <w:pPr>
              <w:pStyle w:val="14"/>
              <w:spacing w:before="80"/>
              <w:ind w:left="161" w:right="151"/>
              <w:rPr>
                <w:rFonts w:ascii="Times New Roman"/>
                <w:sz w:val="21"/>
              </w:rPr>
            </w:pPr>
            <w:bookmarkStart w:id="1071" w:name="0.72"/>
            <w:bookmarkEnd w:id="1071"/>
            <w:r>
              <w:rPr>
                <w:rFonts w:ascii="Times New Roman"/>
                <w:sz w:val="21"/>
              </w:rPr>
              <w:t>0.72</w:t>
            </w:r>
          </w:p>
        </w:tc>
        <w:tc>
          <w:tcPr>
            <w:tcW w:w="1417" w:type="dxa"/>
          </w:tcPr>
          <w:p>
            <w:pPr>
              <w:pStyle w:val="14"/>
              <w:spacing w:before="80"/>
              <w:ind w:right="511"/>
              <w:jc w:val="right"/>
              <w:rPr>
                <w:rFonts w:ascii="Times New Roman"/>
                <w:sz w:val="21"/>
              </w:rPr>
            </w:pPr>
            <w:bookmarkStart w:id="1072" w:name="0.12"/>
            <w:bookmarkEnd w:id="1072"/>
            <w:r>
              <w:rPr>
                <w:rFonts w:ascii="Times New Roman"/>
                <w:sz w:val="21"/>
              </w:rPr>
              <w:t>0.12</w:t>
            </w:r>
          </w:p>
        </w:tc>
        <w:tc>
          <w:tcPr>
            <w:tcW w:w="1418" w:type="dxa"/>
          </w:tcPr>
          <w:p>
            <w:pPr>
              <w:pStyle w:val="14"/>
              <w:spacing w:before="80"/>
              <w:ind w:left="162" w:right="150"/>
              <w:rPr>
                <w:rFonts w:ascii="Times New Roman"/>
                <w:sz w:val="21"/>
              </w:rPr>
            </w:pPr>
            <w:bookmarkStart w:id="1073" w:name="0.11"/>
            <w:bookmarkEnd w:id="1073"/>
            <w:r>
              <w:rPr>
                <w:rFonts w:ascii="Times New Roman"/>
                <w:sz w:val="21"/>
              </w:rPr>
              <w:t>0.11</w:t>
            </w:r>
          </w:p>
        </w:tc>
        <w:tc>
          <w:tcPr>
            <w:tcW w:w="1083" w:type="dxa"/>
          </w:tcPr>
          <w:p>
            <w:pPr>
              <w:pStyle w:val="14"/>
              <w:spacing w:before="77"/>
              <w:ind w:left="203" w:right="196"/>
              <w:rPr>
                <w:rFonts w:ascii="Times New Roman"/>
                <w:sz w:val="21"/>
              </w:rPr>
            </w:pPr>
            <w:r>
              <w:rPr>
                <w:rFonts w:ascii="Times New Roman"/>
                <w:sz w:val="21"/>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562" w:type="dxa"/>
          </w:tcPr>
          <w:p>
            <w:pPr>
              <w:pStyle w:val="14"/>
              <w:spacing w:before="62"/>
              <w:ind w:left="327" w:right="319"/>
              <w:rPr>
                <w:sz w:val="21"/>
              </w:rPr>
            </w:pPr>
            <w:r>
              <w:rPr>
                <w:sz w:val="21"/>
              </w:rPr>
              <w:t>六价铬</w:t>
            </w:r>
          </w:p>
        </w:tc>
        <w:tc>
          <w:tcPr>
            <w:tcW w:w="1447" w:type="dxa"/>
          </w:tcPr>
          <w:p>
            <w:pPr>
              <w:pStyle w:val="14"/>
              <w:spacing w:before="97"/>
              <w:ind w:left="116" w:right="112"/>
              <w:rPr>
                <w:rFonts w:ascii="Times New Roman"/>
                <w:sz w:val="21"/>
              </w:rPr>
            </w:pPr>
            <w:bookmarkStart w:id="1074" w:name="mg/kg"/>
            <w:bookmarkEnd w:id="1074"/>
            <w:r>
              <w:rPr>
                <w:rFonts w:ascii="Times New Roman"/>
                <w:sz w:val="21"/>
              </w:rPr>
              <w:t>mg/kg</w:t>
            </w:r>
          </w:p>
        </w:tc>
        <w:tc>
          <w:tcPr>
            <w:tcW w:w="1417" w:type="dxa"/>
          </w:tcPr>
          <w:p>
            <w:pPr>
              <w:pStyle w:val="14"/>
              <w:spacing w:before="81"/>
              <w:ind w:left="161" w:right="154"/>
              <w:rPr>
                <w:rFonts w:ascii="Times New Roman"/>
                <w:sz w:val="21"/>
              </w:rPr>
            </w:pPr>
            <w:bookmarkStart w:id="1075" w:name="2L"/>
            <w:bookmarkEnd w:id="1075"/>
            <w:r>
              <w:rPr>
                <w:rFonts w:ascii="Times New Roman"/>
                <w:sz w:val="21"/>
              </w:rPr>
              <w:t>2L</w:t>
            </w:r>
          </w:p>
        </w:tc>
        <w:tc>
          <w:tcPr>
            <w:tcW w:w="1417" w:type="dxa"/>
          </w:tcPr>
          <w:p>
            <w:pPr>
              <w:pStyle w:val="14"/>
              <w:spacing w:before="76"/>
              <w:ind w:right="511"/>
              <w:jc w:val="right"/>
              <w:rPr>
                <w:rFonts w:ascii="Times New Roman"/>
                <w:sz w:val="21"/>
              </w:rPr>
            </w:pPr>
            <w:r>
              <w:rPr>
                <w:rFonts w:ascii="Times New Roman"/>
                <w:sz w:val="21"/>
              </w:rPr>
              <w:t>2.36</w:t>
            </w:r>
          </w:p>
        </w:tc>
        <w:tc>
          <w:tcPr>
            <w:tcW w:w="1418" w:type="dxa"/>
          </w:tcPr>
          <w:p>
            <w:pPr>
              <w:pStyle w:val="14"/>
              <w:spacing w:before="81"/>
              <w:ind w:left="162" w:right="155"/>
              <w:rPr>
                <w:rFonts w:ascii="Times New Roman"/>
                <w:sz w:val="21"/>
              </w:rPr>
            </w:pPr>
            <w:bookmarkStart w:id="1076" w:name="2L"/>
            <w:bookmarkEnd w:id="1076"/>
            <w:r>
              <w:rPr>
                <w:rFonts w:ascii="Times New Roman"/>
                <w:sz w:val="21"/>
              </w:rPr>
              <w:t>2L</w:t>
            </w:r>
          </w:p>
        </w:tc>
        <w:tc>
          <w:tcPr>
            <w:tcW w:w="1083" w:type="dxa"/>
          </w:tcPr>
          <w:p>
            <w:pPr>
              <w:pStyle w:val="14"/>
              <w:spacing w:before="76"/>
              <w:ind w:left="203" w:right="196"/>
              <w:rPr>
                <w:rFonts w:ascii="Times New Roman"/>
                <w:sz w:val="21"/>
              </w:rPr>
            </w:pPr>
            <w:r>
              <w:rPr>
                <w:rFonts w:ascii="Times New Roman"/>
                <w:sz w:val="21"/>
              </w:rPr>
              <w:t>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3"/>
              <w:ind w:left="6"/>
              <w:rPr>
                <w:sz w:val="21"/>
              </w:rPr>
            </w:pPr>
            <w:r>
              <w:rPr>
                <w:w w:val="99"/>
                <w:sz w:val="21"/>
              </w:rPr>
              <w:t>铜</w:t>
            </w:r>
          </w:p>
        </w:tc>
        <w:tc>
          <w:tcPr>
            <w:tcW w:w="1447" w:type="dxa"/>
          </w:tcPr>
          <w:p>
            <w:pPr>
              <w:pStyle w:val="14"/>
              <w:spacing w:before="98"/>
              <w:ind w:left="116" w:right="112"/>
              <w:rPr>
                <w:rFonts w:ascii="Times New Roman"/>
                <w:sz w:val="21"/>
              </w:rPr>
            </w:pPr>
            <w:bookmarkStart w:id="1077" w:name="mg/kg"/>
            <w:bookmarkEnd w:id="1077"/>
            <w:r>
              <w:rPr>
                <w:rFonts w:ascii="Times New Roman"/>
                <w:sz w:val="21"/>
              </w:rPr>
              <w:t>mg/kg</w:t>
            </w:r>
          </w:p>
        </w:tc>
        <w:tc>
          <w:tcPr>
            <w:tcW w:w="1417" w:type="dxa"/>
          </w:tcPr>
          <w:p>
            <w:pPr>
              <w:pStyle w:val="14"/>
              <w:spacing w:before="79"/>
              <w:ind w:left="161" w:right="153"/>
              <w:rPr>
                <w:rFonts w:ascii="Times New Roman"/>
                <w:sz w:val="21"/>
              </w:rPr>
            </w:pPr>
            <w:bookmarkStart w:id="1078" w:name="50"/>
            <w:bookmarkEnd w:id="1078"/>
            <w:r>
              <w:rPr>
                <w:rFonts w:ascii="Times New Roman"/>
                <w:sz w:val="21"/>
              </w:rPr>
              <w:t>50</w:t>
            </w:r>
          </w:p>
        </w:tc>
        <w:tc>
          <w:tcPr>
            <w:tcW w:w="1417" w:type="dxa"/>
          </w:tcPr>
          <w:p>
            <w:pPr>
              <w:pStyle w:val="14"/>
              <w:spacing w:before="77"/>
              <w:ind w:left="7"/>
              <w:rPr>
                <w:rFonts w:ascii="Times New Roman"/>
                <w:sz w:val="21"/>
              </w:rPr>
            </w:pPr>
            <w:r>
              <w:rPr>
                <w:rFonts w:ascii="Times New Roman"/>
                <w:w w:val="99"/>
                <w:sz w:val="21"/>
              </w:rPr>
              <w:t>/</w:t>
            </w:r>
          </w:p>
        </w:tc>
        <w:tc>
          <w:tcPr>
            <w:tcW w:w="1418" w:type="dxa"/>
          </w:tcPr>
          <w:p>
            <w:pPr>
              <w:pStyle w:val="14"/>
              <w:spacing w:before="77"/>
              <w:ind w:left="9"/>
              <w:rPr>
                <w:rFonts w:ascii="Times New Roman"/>
                <w:sz w:val="21"/>
              </w:rPr>
            </w:pPr>
            <w:r>
              <w:rPr>
                <w:rFonts w:ascii="Times New Roman"/>
                <w:w w:val="99"/>
                <w:sz w:val="21"/>
              </w:rPr>
              <w:t>/</w:t>
            </w:r>
          </w:p>
        </w:tc>
        <w:tc>
          <w:tcPr>
            <w:tcW w:w="1083" w:type="dxa"/>
          </w:tcPr>
          <w:p>
            <w:pPr>
              <w:pStyle w:val="14"/>
              <w:spacing w:before="77"/>
              <w:ind w:left="206" w:right="196"/>
              <w:rPr>
                <w:rFonts w:ascii="Times New Roman"/>
                <w:sz w:val="21"/>
              </w:rPr>
            </w:pPr>
            <w:r>
              <w:rPr>
                <w:rFonts w:ascii="Times New Roman"/>
                <w:sz w:val="21"/>
              </w:rPr>
              <w:t>18000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562" w:type="dxa"/>
          </w:tcPr>
          <w:p>
            <w:pPr>
              <w:pStyle w:val="14"/>
              <w:spacing w:before="64"/>
              <w:ind w:left="6"/>
              <w:rPr>
                <w:sz w:val="21"/>
              </w:rPr>
            </w:pPr>
            <w:r>
              <w:rPr>
                <w:w w:val="99"/>
                <w:sz w:val="21"/>
              </w:rPr>
              <w:t>铅</w:t>
            </w:r>
          </w:p>
        </w:tc>
        <w:tc>
          <w:tcPr>
            <w:tcW w:w="1447" w:type="dxa"/>
          </w:tcPr>
          <w:p>
            <w:pPr>
              <w:pStyle w:val="14"/>
              <w:spacing w:before="78"/>
              <w:ind w:left="116" w:right="112"/>
              <w:rPr>
                <w:rFonts w:ascii="Times New Roman"/>
                <w:sz w:val="21"/>
              </w:rPr>
            </w:pPr>
            <w:r>
              <w:rPr>
                <w:rFonts w:ascii="Times New Roman"/>
                <w:sz w:val="21"/>
              </w:rPr>
              <w:t>mg/kg</w:t>
            </w:r>
          </w:p>
        </w:tc>
        <w:tc>
          <w:tcPr>
            <w:tcW w:w="1417" w:type="dxa"/>
          </w:tcPr>
          <w:p>
            <w:pPr>
              <w:pStyle w:val="14"/>
              <w:spacing w:before="80"/>
              <w:ind w:left="161" w:right="151"/>
              <w:rPr>
                <w:rFonts w:ascii="Times New Roman"/>
                <w:sz w:val="21"/>
              </w:rPr>
            </w:pPr>
            <w:bookmarkStart w:id="1079" w:name="54.5"/>
            <w:bookmarkEnd w:id="1079"/>
            <w:r>
              <w:rPr>
                <w:rFonts w:ascii="Times New Roman"/>
                <w:sz w:val="21"/>
              </w:rPr>
              <w:t>54.5</w:t>
            </w:r>
          </w:p>
        </w:tc>
        <w:tc>
          <w:tcPr>
            <w:tcW w:w="1417" w:type="dxa"/>
          </w:tcPr>
          <w:p>
            <w:pPr>
              <w:pStyle w:val="14"/>
              <w:spacing w:before="80"/>
              <w:ind w:right="511"/>
              <w:jc w:val="right"/>
              <w:rPr>
                <w:rFonts w:ascii="Times New Roman"/>
                <w:sz w:val="21"/>
              </w:rPr>
            </w:pPr>
            <w:bookmarkStart w:id="1080" w:name="31.9"/>
            <w:bookmarkEnd w:id="1080"/>
            <w:r>
              <w:rPr>
                <w:rFonts w:ascii="Times New Roman"/>
                <w:sz w:val="21"/>
              </w:rPr>
              <w:t>31.9</w:t>
            </w:r>
          </w:p>
        </w:tc>
        <w:tc>
          <w:tcPr>
            <w:tcW w:w="1418" w:type="dxa"/>
          </w:tcPr>
          <w:p>
            <w:pPr>
              <w:pStyle w:val="14"/>
              <w:spacing w:before="80"/>
              <w:ind w:left="162" w:right="154"/>
              <w:rPr>
                <w:rFonts w:ascii="Times New Roman"/>
                <w:sz w:val="21"/>
              </w:rPr>
            </w:pPr>
            <w:bookmarkStart w:id="1081" w:name="32.2"/>
            <w:bookmarkEnd w:id="1081"/>
            <w:r>
              <w:rPr>
                <w:rFonts w:ascii="Times New Roman"/>
                <w:sz w:val="21"/>
              </w:rPr>
              <w:t>32.2</w:t>
            </w:r>
          </w:p>
        </w:tc>
        <w:tc>
          <w:tcPr>
            <w:tcW w:w="1083" w:type="dxa"/>
          </w:tcPr>
          <w:p>
            <w:pPr>
              <w:pStyle w:val="14"/>
              <w:spacing w:before="78"/>
              <w:ind w:left="203" w:right="196"/>
              <w:rPr>
                <w:rFonts w:ascii="Times New Roman"/>
                <w:sz w:val="21"/>
              </w:rPr>
            </w:pPr>
            <w:r>
              <w:rPr>
                <w:rFonts w:ascii="Times New Roman"/>
                <w:sz w:val="21"/>
              </w:rPr>
              <w:t>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2"/>
              <w:ind w:left="6"/>
              <w:rPr>
                <w:sz w:val="21"/>
              </w:rPr>
            </w:pPr>
            <w:r>
              <w:rPr>
                <w:w w:val="99"/>
                <w:sz w:val="21"/>
              </w:rPr>
              <w:t>汞</w:t>
            </w:r>
          </w:p>
        </w:tc>
        <w:tc>
          <w:tcPr>
            <w:tcW w:w="1447" w:type="dxa"/>
          </w:tcPr>
          <w:p>
            <w:pPr>
              <w:pStyle w:val="14"/>
              <w:spacing w:before="76"/>
              <w:ind w:left="116" w:right="112"/>
              <w:rPr>
                <w:rFonts w:ascii="Times New Roman"/>
                <w:sz w:val="21"/>
              </w:rPr>
            </w:pPr>
            <w:r>
              <w:rPr>
                <w:rFonts w:ascii="Times New Roman"/>
                <w:sz w:val="21"/>
              </w:rPr>
              <w:t>mg/kg</w:t>
            </w:r>
          </w:p>
        </w:tc>
        <w:tc>
          <w:tcPr>
            <w:tcW w:w="1417" w:type="dxa"/>
          </w:tcPr>
          <w:p>
            <w:pPr>
              <w:pStyle w:val="14"/>
              <w:spacing w:before="79"/>
              <w:ind w:left="161" w:right="153"/>
              <w:rPr>
                <w:rFonts w:ascii="Times New Roman"/>
                <w:sz w:val="21"/>
              </w:rPr>
            </w:pPr>
            <w:bookmarkStart w:id="1082" w:name="0.125"/>
            <w:bookmarkEnd w:id="1082"/>
            <w:r>
              <w:rPr>
                <w:rFonts w:ascii="Times New Roman"/>
                <w:sz w:val="21"/>
              </w:rPr>
              <w:t>0.125</w:t>
            </w:r>
          </w:p>
        </w:tc>
        <w:tc>
          <w:tcPr>
            <w:tcW w:w="1417" w:type="dxa"/>
          </w:tcPr>
          <w:p>
            <w:pPr>
              <w:pStyle w:val="14"/>
              <w:spacing w:before="79"/>
              <w:ind w:right="463"/>
              <w:jc w:val="right"/>
              <w:rPr>
                <w:rFonts w:ascii="Times New Roman"/>
                <w:sz w:val="21"/>
              </w:rPr>
            </w:pPr>
            <w:bookmarkStart w:id="1083" w:name="0.118"/>
            <w:bookmarkEnd w:id="1083"/>
            <w:r>
              <w:rPr>
                <w:rFonts w:ascii="Times New Roman"/>
                <w:w w:val="95"/>
                <w:sz w:val="21"/>
              </w:rPr>
              <w:t>0.118</w:t>
            </w:r>
          </w:p>
        </w:tc>
        <w:tc>
          <w:tcPr>
            <w:tcW w:w="1418" w:type="dxa"/>
          </w:tcPr>
          <w:p>
            <w:pPr>
              <w:pStyle w:val="14"/>
              <w:spacing w:before="79"/>
              <w:ind w:left="162" w:right="152"/>
              <w:rPr>
                <w:rFonts w:ascii="Times New Roman"/>
                <w:sz w:val="21"/>
              </w:rPr>
            </w:pPr>
            <w:bookmarkStart w:id="1084" w:name="0.126"/>
            <w:bookmarkEnd w:id="1084"/>
            <w:r>
              <w:rPr>
                <w:rFonts w:ascii="Times New Roman"/>
                <w:sz w:val="21"/>
              </w:rPr>
              <w:t>0.126</w:t>
            </w:r>
          </w:p>
        </w:tc>
        <w:tc>
          <w:tcPr>
            <w:tcW w:w="1083" w:type="dxa"/>
          </w:tcPr>
          <w:p>
            <w:pPr>
              <w:pStyle w:val="14"/>
              <w:spacing w:before="76"/>
              <w:ind w:left="203" w:right="196"/>
              <w:rPr>
                <w:rFonts w:ascii="Times New Roman"/>
                <w:sz w:val="21"/>
              </w:rPr>
            </w:pPr>
            <w:r>
              <w:rPr>
                <w:rFonts w:ascii="Times New Roman"/>
                <w:sz w:val="21"/>
              </w:rPr>
              <w:t>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4"/>
              <w:ind w:left="6"/>
              <w:rPr>
                <w:sz w:val="21"/>
              </w:rPr>
            </w:pPr>
            <w:r>
              <w:rPr>
                <w:w w:val="99"/>
                <w:sz w:val="21"/>
              </w:rPr>
              <w:t>镍</w:t>
            </w:r>
          </w:p>
        </w:tc>
        <w:tc>
          <w:tcPr>
            <w:tcW w:w="1447" w:type="dxa"/>
          </w:tcPr>
          <w:p>
            <w:pPr>
              <w:pStyle w:val="14"/>
              <w:spacing w:before="77"/>
              <w:ind w:left="116" w:right="112"/>
              <w:rPr>
                <w:rFonts w:ascii="Times New Roman"/>
                <w:sz w:val="21"/>
              </w:rPr>
            </w:pPr>
            <w:r>
              <w:rPr>
                <w:rFonts w:ascii="Times New Roman"/>
                <w:sz w:val="21"/>
              </w:rPr>
              <w:t>mg/kg</w:t>
            </w:r>
          </w:p>
        </w:tc>
        <w:tc>
          <w:tcPr>
            <w:tcW w:w="1417" w:type="dxa"/>
          </w:tcPr>
          <w:p>
            <w:pPr>
              <w:pStyle w:val="14"/>
              <w:spacing w:before="80"/>
              <w:ind w:left="161" w:right="153"/>
              <w:rPr>
                <w:rFonts w:ascii="Times New Roman"/>
                <w:sz w:val="21"/>
              </w:rPr>
            </w:pPr>
            <w:bookmarkStart w:id="1085" w:name="56"/>
            <w:bookmarkEnd w:id="1085"/>
            <w:r>
              <w:rPr>
                <w:rFonts w:ascii="Times New Roman"/>
                <w:sz w:val="21"/>
              </w:rPr>
              <w:t>56</w:t>
            </w:r>
          </w:p>
        </w:tc>
        <w:tc>
          <w:tcPr>
            <w:tcW w:w="1417" w:type="dxa"/>
          </w:tcPr>
          <w:p>
            <w:pPr>
              <w:pStyle w:val="14"/>
              <w:spacing w:before="77"/>
              <w:ind w:left="7"/>
              <w:rPr>
                <w:rFonts w:ascii="Times New Roman"/>
                <w:sz w:val="21"/>
              </w:rPr>
            </w:pPr>
            <w:r>
              <w:rPr>
                <w:rFonts w:ascii="Times New Roman"/>
                <w:w w:val="99"/>
                <w:sz w:val="21"/>
              </w:rPr>
              <w:t>/</w:t>
            </w:r>
          </w:p>
        </w:tc>
        <w:tc>
          <w:tcPr>
            <w:tcW w:w="1418" w:type="dxa"/>
          </w:tcPr>
          <w:p>
            <w:pPr>
              <w:pStyle w:val="14"/>
              <w:spacing w:before="77"/>
              <w:ind w:left="9"/>
              <w:rPr>
                <w:rFonts w:ascii="Times New Roman"/>
                <w:sz w:val="21"/>
              </w:rPr>
            </w:pPr>
            <w:r>
              <w:rPr>
                <w:rFonts w:ascii="Times New Roman"/>
                <w:w w:val="99"/>
                <w:sz w:val="21"/>
              </w:rPr>
              <w:t>/</w:t>
            </w:r>
          </w:p>
        </w:tc>
        <w:tc>
          <w:tcPr>
            <w:tcW w:w="1083" w:type="dxa"/>
          </w:tcPr>
          <w:p>
            <w:pPr>
              <w:pStyle w:val="14"/>
              <w:spacing w:before="77"/>
              <w:ind w:left="203" w:right="196"/>
              <w:rPr>
                <w:rFonts w:ascii="Times New Roman"/>
                <w:sz w:val="21"/>
              </w:rPr>
            </w:pPr>
            <w:r>
              <w:rPr>
                <w:rFonts w:ascii="Times New Roman"/>
                <w:sz w:val="21"/>
              </w:rPr>
              <w:t>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562" w:type="dxa"/>
          </w:tcPr>
          <w:p>
            <w:pPr>
              <w:pStyle w:val="14"/>
              <w:spacing w:before="62"/>
              <w:ind w:left="325" w:right="319"/>
              <w:rPr>
                <w:sz w:val="21"/>
              </w:rPr>
            </w:pPr>
            <w:r>
              <w:rPr>
                <w:sz w:val="21"/>
              </w:rPr>
              <w:t>四氯化碳</w:t>
            </w:r>
          </w:p>
        </w:tc>
        <w:tc>
          <w:tcPr>
            <w:tcW w:w="1447" w:type="dxa"/>
          </w:tcPr>
          <w:p>
            <w:pPr>
              <w:pStyle w:val="14"/>
              <w:spacing w:before="76"/>
              <w:ind w:left="118" w:right="112"/>
              <w:rPr>
                <w:rFonts w:ascii="Times New Roman" w:hAnsi="Times New Roman"/>
                <w:sz w:val="21"/>
              </w:rPr>
            </w:pPr>
            <w:r>
              <w:rPr>
                <w:rFonts w:ascii="Times New Roman" w:hAnsi="Times New Roman"/>
                <w:sz w:val="21"/>
              </w:rPr>
              <w:t>μg/kg</w:t>
            </w:r>
          </w:p>
        </w:tc>
        <w:tc>
          <w:tcPr>
            <w:tcW w:w="1417" w:type="dxa"/>
          </w:tcPr>
          <w:p>
            <w:pPr>
              <w:pStyle w:val="14"/>
              <w:spacing w:before="81"/>
              <w:ind w:left="161" w:right="151"/>
              <w:rPr>
                <w:rFonts w:ascii="Times New Roman"/>
                <w:sz w:val="21"/>
              </w:rPr>
            </w:pPr>
            <w:bookmarkStart w:id="1086" w:name="&lt;2"/>
            <w:bookmarkEnd w:id="1086"/>
            <w:r>
              <w:rPr>
                <w:rFonts w:ascii="Times New Roman"/>
                <w:sz w:val="21"/>
              </w:rPr>
              <w:t>&lt;2</w:t>
            </w:r>
          </w:p>
        </w:tc>
        <w:tc>
          <w:tcPr>
            <w:tcW w:w="1417" w:type="dxa"/>
          </w:tcPr>
          <w:p>
            <w:pPr>
              <w:pStyle w:val="14"/>
              <w:spacing w:before="76"/>
              <w:ind w:left="7"/>
              <w:rPr>
                <w:rFonts w:ascii="Times New Roman"/>
                <w:sz w:val="21"/>
              </w:rPr>
            </w:pPr>
            <w:r>
              <w:rPr>
                <w:rFonts w:ascii="Times New Roman"/>
                <w:w w:val="99"/>
                <w:sz w:val="21"/>
              </w:rPr>
              <w:t>/</w:t>
            </w:r>
          </w:p>
        </w:tc>
        <w:tc>
          <w:tcPr>
            <w:tcW w:w="1418" w:type="dxa"/>
          </w:tcPr>
          <w:p>
            <w:pPr>
              <w:pStyle w:val="14"/>
              <w:spacing w:before="76"/>
              <w:ind w:left="9"/>
              <w:rPr>
                <w:rFonts w:ascii="Times New Roman"/>
                <w:sz w:val="21"/>
              </w:rPr>
            </w:pPr>
            <w:r>
              <w:rPr>
                <w:rFonts w:ascii="Times New Roman"/>
                <w:w w:val="99"/>
                <w:sz w:val="21"/>
              </w:rPr>
              <w:t>/</w:t>
            </w:r>
          </w:p>
        </w:tc>
        <w:tc>
          <w:tcPr>
            <w:tcW w:w="1083" w:type="dxa"/>
          </w:tcPr>
          <w:p>
            <w:pPr>
              <w:pStyle w:val="14"/>
              <w:spacing w:before="76"/>
              <w:ind w:left="203" w:right="196"/>
              <w:rPr>
                <w:rFonts w:ascii="Times New Roman"/>
                <w:sz w:val="21"/>
              </w:rPr>
            </w:pPr>
            <w:r>
              <w:rPr>
                <w:rFonts w:ascii="Times New Roman"/>
                <w:sz w:val="21"/>
              </w:rPr>
              <w:t>2800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3"/>
              <w:ind w:left="327" w:right="319"/>
              <w:rPr>
                <w:sz w:val="21"/>
              </w:rPr>
            </w:pPr>
            <w:r>
              <w:rPr>
                <w:sz w:val="21"/>
              </w:rPr>
              <w:t>氯甲烷</w:t>
            </w:r>
          </w:p>
        </w:tc>
        <w:tc>
          <w:tcPr>
            <w:tcW w:w="1447" w:type="dxa"/>
          </w:tcPr>
          <w:p>
            <w:pPr>
              <w:pStyle w:val="14"/>
              <w:spacing w:before="77"/>
              <w:ind w:left="118" w:right="112"/>
              <w:rPr>
                <w:rFonts w:ascii="Times New Roman" w:hAnsi="Times New Roman"/>
                <w:sz w:val="21"/>
              </w:rPr>
            </w:pPr>
            <w:r>
              <w:rPr>
                <w:rFonts w:ascii="Times New Roman" w:hAnsi="Times New Roman"/>
                <w:sz w:val="21"/>
              </w:rPr>
              <w:t>μg/kg</w:t>
            </w:r>
          </w:p>
        </w:tc>
        <w:tc>
          <w:tcPr>
            <w:tcW w:w="1417" w:type="dxa"/>
          </w:tcPr>
          <w:p>
            <w:pPr>
              <w:pStyle w:val="14"/>
              <w:spacing w:before="79"/>
              <w:ind w:left="161" w:right="151"/>
              <w:rPr>
                <w:rFonts w:ascii="Times New Roman"/>
                <w:sz w:val="21"/>
              </w:rPr>
            </w:pPr>
            <w:bookmarkStart w:id="1087" w:name="&lt;3"/>
            <w:bookmarkEnd w:id="1087"/>
            <w:r>
              <w:rPr>
                <w:rFonts w:ascii="Times New Roman"/>
                <w:sz w:val="21"/>
              </w:rPr>
              <w:t>&lt;3</w:t>
            </w:r>
          </w:p>
        </w:tc>
        <w:tc>
          <w:tcPr>
            <w:tcW w:w="1417" w:type="dxa"/>
          </w:tcPr>
          <w:p>
            <w:pPr>
              <w:pStyle w:val="14"/>
              <w:spacing w:before="77"/>
              <w:ind w:left="7"/>
              <w:rPr>
                <w:rFonts w:ascii="Times New Roman"/>
                <w:sz w:val="21"/>
              </w:rPr>
            </w:pPr>
            <w:r>
              <w:rPr>
                <w:rFonts w:ascii="Times New Roman"/>
                <w:w w:val="99"/>
                <w:sz w:val="21"/>
              </w:rPr>
              <w:t>/</w:t>
            </w:r>
          </w:p>
        </w:tc>
        <w:tc>
          <w:tcPr>
            <w:tcW w:w="1418" w:type="dxa"/>
          </w:tcPr>
          <w:p>
            <w:pPr>
              <w:pStyle w:val="14"/>
              <w:spacing w:before="77"/>
              <w:ind w:left="9"/>
              <w:rPr>
                <w:rFonts w:ascii="Times New Roman"/>
                <w:sz w:val="21"/>
              </w:rPr>
            </w:pPr>
            <w:r>
              <w:rPr>
                <w:rFonts w:ascii="Times New Roman"/>
                <w:w w:val="99"/>
                <w:sz w:val="21"/>
              </w:rPr>
              <w:t>/</w:t>
            </w:r>
          </w:p>
        </w:tc>
        <w:tc>
          <w:tcPr>
            <w:tcW w:w="1083" w:type="dxa"/>
          </w:tcPr>
          <w:p>
            <w:pPr>
              <w:pStyle w:val="14"/>
              <w:spacing w:before="77"/>
              <w:ind w:left="206" w:right="196"/>
              <w:rPr>
                <w:rFonts w:ascii="Times New Roman"/>
                <w:sz w:val="21"/>
              </w:rPr>
            </w:pPr>
            <w:r>
              <w:rPr>
                <w:rFonts w:ascii="Times New Roman"/>
                <w:sz w:val="21"/>
              </w:rPr>
              <w:t>37000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2"/>
              <w:ind w:left="327" w:right="319"/>
              <w:rPr>
                <w:sz w:val="21"/>
              </w:rPr>
            </w:pPr>
            <w:r>
              <w:rPr>
                <w:sz w:val="21"/>
              </w:rPr>
              <w:t>氯仿</w:t>
            </w:r>
          </w:p>
        </w:tc>
        <w:tc>
          <w:tcPr>
            <w:tcW w:w="1447" w:type="dxa"/>
          </w:tcPr>
          <w:p>
            <w:pPr>
              <w:pStyle w:val="14"/>
              <w:spacing w:before="76"/>
              <w:ind w:left="118" w:right="112"/>
              <w:rPr>
                <w:rFonts w:ascii="Times New Roman" w:hAnsi="Times New Roman"/>
                <w:sz w:val="21"/>
              </w:rPr>
            </w:pPr>
            <w:r>
              <w:rPr>
                <w:rFonts w:ascii="Times New Roman" w:hAnsi="Times New Roman"/>
                <w:sz w:val="21"/>
              </w:rPr>
              <w:t>μg/kg</w:t>
            </w:r>
          </w:p>
        </w:tc>
        <w:tc>
          <w:tcPr>
            <w:tcW w:w="1417" w:type="dxa"/>
          </w:tcPr>
          <w:p>
            <w:pPr>
              <w:pStyle w:val="14"/>
              <w:spacing w:before="80"/>
              <w:ind w:left="161" w:right="151"/>
              <w:rPr>
                <w:rFonts w:ascii="Times New Roman"/>
                <w:sz w:val="21"/>
              </w:rPr>
            </w:pPr>
            <w:bookmarkStart w:id="1088" w:name="&lt;2"/>
            <w:bookmarkEnd w:id="1088"/>
            <w:r>
              <w:rPr>
                <w:rFonts w:ascii="Times New Roman"/>
                <w:sz w:val="21"/>
              </w:rPr>
              <w:t>&lt;2</w:t>
            </w:r>
          </w:p>
        </w:tc>
        <w:tc>
          <w:tcPr>
            <w:tcW w:w="1417" w:type="dxa"/>
          </w:tcPr>
          <w:p>
            <w:pPr>
              <w:pStyle w:val="14"/>
              <w:spacing w:before="76"/>
              <w:ind w:left="7"/>
              <w:rPr>
                <w:rFonts w:ascii="Times New Roman"/>
                <w:sz w:val="21"/>
              </w:rPr>
            </w:pPr>
            <w:r>
              <w:rPr>
                <w:rFonts w:ascii="Times New Roman"/>
                <w:w w:val="99"/>
                <w:sz w:val="21"/>
              </w:rPr>
              <w:t>/</w:t>
            </w:r>
          </w:p>
        </w:tc>
        <w:tc>
          <w:tcPr>
            <w:tcW w:w="1418" w:type="dxa"/>
          </w:tcPr>
          <w:p>
            <w:pPr>
              <w:pStyle w:val="14"/>
              <w:spacing w:before="76"/>
              <w:ind w:left="9"/>
              <w:rPr>
                <w:rFonts w:ascii="Times New Roman"/>
                <w:sz w:val="21"/>
              </w:rPr>
            </w:pPr>
            <w:r>
              <w:rPr>
                <w:rFonts w:ascii="Times New Roman"/>
                <w:w w:val="99"/>
                <w:sz w:val="21"/>
              </w:rPr>
              <w:t>/</w:t>
            </w:r>
          </w:p>
        </w:tc>
        <w:tc>
          <w:tcPr>
            <w:tcW w:w="1083" w:type="dxa"/>
          </w:tcPr>
          <w:p>
            <w:pPr>
              <w:pStyle w:val="14"/>
              <w:spacing w:before="76"/>
              <w:ind w:left="203" w:right="196"/>
              <w:rPr>
                <w:rFonts w:ascii="Times New Roman"/>
                <w:sz w:val="21"/>
              </w:rPr>
            </w:pPr>
            <w:r>
              <w:rPr>
                <w:rFonts w:ascii="Times New Roman"/>
                <w:sz w:val="21"/>
              </w:rPr>
              <w:t>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3"/>
              <w:ind w:left="325" w:right="319"/>
              <w:rPr>
                <w:sz w:val="21"/>
              </w:rPr>
            </w:pPr>
            <w:r>
              <w:rPr>
                <w:rFonts w:ascii="Times New Roman" w:eastAsia="Times New Roman"/>
                <w:sz w:val="21"/>
              </w:rPr>
              <w:t>1,1-</w:t>
            </w:r>
            <w:r>
              <w:rPr>
                <w:sz w:val="21"/>
              </w:rPr>
              <w:t>二氯乙烷</w:t>
            </w:r>
          </w:p>
        </w:tc>
        <w:tc>
          <w:tcPr>
            <w:tcW w:w="1447" w:type="dxa"/>
          </w:tcPr>
          <w:p>
            <w:pPr>
              <w:pStyle w:val="14"/>
              <w:spacing w:before="77"/>
              <w:ind w:left="118" w:right="112"/>
              <w:rPr>
                <w:rFonts w:ascii="Times New Roman" w:hAnsi="Times New Roman"/>
                <w:sz w:val="21"/>
              </w:rPr>
            </w:pPr>
            <w:r>
              <w:rPr>
                <w:rFonts w:ascii="Times New Roman" w:hAnsi="Times New Roman"/>
                <w:sz w:val="21"/>
              </w:rPr>
              <w:t>μg/kg</w:t>
            </w:r>
          </w:p>
        </w:tc>
        <w:tc>
          <w:tcPr>
            <w:tcW w:w="1417" w:type="dxa"/>
          </w:tcPr>
          <w:p>
            <w:pPr>
              <w:pStyle w:val="14"/>
              <w:spacing w:before="79"/>
              <w:ind w:left="161" w:right="151"/>
              <w:rPr>
                <w:rFonts w:ascii="Times New Roman"/>
                <w:sz w:val="21"/>
              </w:rPr>
            </w:pPr>
            <w:bookmarkStart w:id="1089" w:name="&lt;2"/>
            <w:bookmarkEnd w:id="1089"/>
            <w:r>
              <w:rPr>
                <w:rFonts w:ascii="Times New Roman"/>
                <w:sz w:val="21"/>
              </w:rPr>
              <w:t>&lt;2</w:t>
            </w:r>
          </w:p>
        </w:tc>
        <w:tc>
          <w:tcPr>
            <w:tcW w:w="1417" w:type="dxa"/>
          </w:tcPr>
          <w:p>
            <w:pPr>
              <w:pStyle w:val="14"/>
              <w:spacing w:before="77"/>
              <w:ind w:left="7"/>
              <w:rPr>
                <w:rFonts w:ascii="Times New Roman"/>
                <w:sz w:val="21"/>
              </w:rPr>
            </w:pPr>
            <w:r>
              <w:rPr>
                <w:rFonts w:ascii="Times New Roman"/>
                <w:w w:val="99"/>
                <w:sz w:val="21"/>
              </w:rPr>
              <w:t>/</w:t>
            </w:r>
          </w:p>
        </w:tc>
        <w:tc>
          <w:tcPr>
            <w:tcW w:w="1418" w:type="dxa"/>
          </w:tcPr>
          <w:p>
            <w:pPr>
              <w:pStyle w:val="14"/>
              <w:spacing w:before="77"/>
              <w:ind w:left="9"/>
              <w:rPr>
                <w:rFonts w:ascii="Times New Roman"/>
                <w:sz w:val="21"/>
              </w:rPr>
            </w:pPr>
            <w:r>
              <w:rPr>
                <w:rFonts w:ascii="Times New Roman"/>
                <w:w w:val="99"/>
                <w:sz w:val="21"/>
              </w:rPr>
              <w:t>/</w:t>
            </w:r>
          </w:p>
        </w:tc>
        <w:tc>
          <w:tcPr>
            <w:tcW w:w="1083" w:type="dxa"/>
          </w:tcPr>
          <w:p>
            <w:pPr>
              <w:pStyle w:val="14"/>
              <w:spacing w:before="77"/>
              <w:ind w:left="203" w:right="196"/>
              <w:rPr>
                <w:rFonts w:ascii="Times New Roman"/>
                <w:sz w:val="21"/>
              </w:rPr>
            </w:pPr>
            <w:r>
              <w:rPr>
                <w:rFonts w:ascii="Times New Roman"/>
                <w:sz w:val="21"/>
              </w:rPr>
              <w:t>9000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562" w:type="dxa"/>
          </w:tcPr>
          <w:p>
            <w:pPr>
              <w:pStyle w:val="14"/>
              <w:spacing w:before="64"/>
              <w:ind w:left="325" w:right="319"/>
              <w:rPr>
                <w:sz w:val="21"/>
              </w:rPr>
            </w:pPr>
            <w:r>
              <w:rPr>
                <w:rFonts w:ascii="Times New Roman" w:eastAsia="Times New Roman"/>
                <w:sz w:val="21"/>
              </w:rPr>
              <w:t>1,2-</w:t>
            </w:r>
            <w:r>
              <w:rPr>
                <w:sz w:val="21"/>
              </w:rPr>
              <w:t>二氯乙烷</w:t>
            </w:r>
          </w:p>
        </w:tc>
        <w:tc>
          <w:tcPr>
            <w:tcW w:w="1447" w:type="dxa"/>
          </w:tcPr>
          <w:p>
            <w:pPr>
              <w:pStyle w:val="14"/>
              <w:spacing w:before="78"/>
              <w:ind w:left="118" w:right="112"/>
              <w:rPr>
                <w:rFonts w:ascii="Times New Roman" w:hAnsi="Times New Roman"/>
                <w:sz w:val="21"/>
              </w:rPr>
            </w:pPr>
            <w:r>
              <w:rPr>
                <w:rFonts w:ascii="Times New Roman" w:hAnsi="Times New Roman"/>
                <w:sz w:val="21"/>
              </w:rPr>
              <w:t>μg/kg</w:t>
            </w:r>
          </w:p>
        </w:tc>
        <w:tc>
          <w:tcPr>
            <w:tcW w:w="1417" w:type="dxa"/>
          </w:tcPr>
          <w:p>
            <w:pPr>
              <w:pStyle w:val="14"/>
              <w:spacing w:before="80"/>
              <w:ind w:left="161" w:right="151"/>
              <w:rPr>
                <w:rFonts w:ascii="Times New Roman"/>
                <w:sz w:val="21"/>
              </w:rPr>
            </w:pPr>
            <w:bookmarkStart w:id="1090" w:name="&lt;3"/>
            <w:bookmarkEnd w:id="1090"/>
            <w:r>
              <w:rPr>
                <w:rFonts w:ascii="Times New Roman"/>
                <w:sz w:val="21"/>
              </w:rPr>
              <w:t>&lt;3</w:t>
            </w:r>
          </w:p>
        </w:tc>
        <w:tc>
          <w:tcPr>
            <w:tcW w:w="1417" w:type="dxa"/>
          </w:tcPr>
          <w:p>
            <w:pPr>
              <w:pStyle w:val="14"/>
              <w:spacing w:before="78"/>
              <w:ind w:left="7"/>
              <w:rPr>
                <w:rFonts w:ascii="Times New Roman"/>
                <w:sz w:val="21"/>
              </w:rPr>
            </w:pPr>
            <w:r>
              <w:rPr>
                <w:rFonts w:ascii="Times New Roman"/>
                <w:w w:val="99"/>
                <w:sz w:val="21"/>
              </w:rPr>
              <w:t>/</w:t>
            </w:r>
          </w:p>
        </w:tc>
        <w:tc>
          <w:tcPr>
            <w:tcW w:w="1418" w:type="dxa"/>
          </w:tcPr>
          <w:p>
            <w:pPr>
              <w:pStyle w:val="14"/>
              <w:spacing w:before="78"/>
              <w:ind w:left="9"/>
              <w:rPr>
                <w:rFonts w:ascii="Times New Roman"/>
                <w:sz w:val="21"/>
              </w:rPr>
            </w:pPr>
            <w:r>
              <w:rPr>
                <w:rFonts w:ascii="Times New Roman"/>
                <w:w w:val="99"/>
                <w:sz w:val="21"/>
              </w:rPr>
              <w:t>/</w:t>
            </w:r>
          </w:p>
        </w:tc>
        <w:tc>
          <w:tcPr>
            <w:tcW w:w="1083" w:type="dxa"/>
          </w:tcPr>
          <w:p>
            <w:pPr>
              <w:pStyle w:val="14"/>
              <w:spacing w:before="78"/>
              <w:ind w:left="203" w:right="196"/>
              <w:rPr>
                <w:rFonts w:ascii="Times New Roman"/>
                <w:sz w:val="21"/>
              </w:rPr>
            </w:pPr>
            <w:r>
              <w:rPr>
                <w:rFonts w:ascii="Times New Roman"/>
                <w:sz w:val="21"/>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2"/>
              <w:ind w:left="325" w:right="319"/>
              <w:rPr>
                <w:sz w:val="21"/>
              </w:rPr>
            </w:pPr>
            <w:r>
              <w:rPr>
                <w:rFonts w:ascii="Times New Roman" w:eastAsia="Times New Roman"/>
                <w:sz w:val="21"/>
              </w:rPr>
              <w:t>1,1-</w:t>
            </w:r>
            <w:r>
              <w:rPr>
                <w:sz w:val="21"/>
              </w:rPr>
              <w:t>二氯乙烯</w:t>
            </w:r>
          </w:p>
        </w:tc>
        <w:tc>
          <w:tcPr>
            <w:tcW w:w="1447" w:type="dxa"/>
          </w:tcPr>
          <w:p>
            <w:pPr>
              <w:pStyle w:val="14"/>
              <w:spacing w:before="76"/>
              <w:ind w:left="118" w:right="112"/>
              <w:rPr>
                <w:rFonts w:ascii="Times New Roman" w:hAnsi="Times New Roman"/>
                <w:sz w:val="21"/>
              </w:rPr>
            </w:pPr>
            <w:r>
              <w:rPr>
                <w:rFonts w:ascii="Times New Roman" w:hAnsi="Times New Roman"/>
                <w:sz w:val="21"/>
              </w:rPr>
              <w:t>μg/kg</w:t>
            </w:r>
          </w:p>
        </w:tc>
        <w:tc>
          <w:tcPr>
            <w:tcW w:w="1417" w:type="dxa"/>
          </w:tcPr>
          <w:p>
            <w:pPr>
              <w:pStyle w:val="14"/>
              <w:spacing w:before="79"/>
              <w:ind w:left="161" w:right="151"/>
              <w:rPr>
                <w:rFonts w:ascii="Times New Roman"/>
                <w:sz w:val="21"/>
              </w:rPr>
            </w:pPr>
            <w:bookmarkStart w:id="1091" w:name="&lt;2"/>
            <w:bookmarkEnd w:id="1091"/>
            <w:r>
              <w:rPr>
                <w:rFonts w:ascii="Times New Roman"/>
                <w:sz w:val="21"/>
              </w:rPr>
              <w:t>&lt;2</w:t>
            </w:r>
          </w:p>
        </w:tc>
        <w:tc>
          <w:tcPr>
            <w:tcW w:w="1417" w:type="dxa"/>
          </w:tcPr>
          <w:p>
            <w:pPr>
              <w:pStyle w:val="14"/>
              <w:spacing w:before="76"/>
              <w:ind w:left="7"/>
              <w:rPr>
                <w:rFonts w:ascii="Times New Roman"/>
                <w:sz w:val="21"/>
              </w:rPr>
            </w:pPr>
            <w:r>
              <w:rPr>
                <w:rFonts w:ascii="Times New Roman"/>
                <w:w w:val="99"/>
                <w:sz w:val="21"/>
              </w:rPr>
              <w:t>/</w:t>
            </w:r>
          </w:p>
        </w:tc>
        <w:tc>
          <w:tcPr>
            <w:tcW w:w="1418" w:type="dxa"/>
          </w:tcPr>
          <w:p>
            <w:pPr>
              <w:pStyle w:val="14"/>
              <w:spacing w:before="76"/>
              <w:ind w:left="9"/>
              <w:rPr>
                <w:rFonts w:ascii="Times New Roman"/>
                <w:sz w:val="21"/>
              </w:rPr>
            </w:pPr>
            <w:r>
              <w:rPr>
                <w:rFonts w:ascii="Times New Roman"/>
                <w:w w:val="99"/>
                <w:sz w:val="21"/>
              </w:rPr>
              <w:t>/</w:t>
            </w:r>
          </w:p>
        </w:tc>
        <w:tc>
          <w:tcPr>
            <w:tcW w:w="1083" w:type="dxa"/>
          </w:tcPr>
          <w:p>
            <w:pPr>
              <w:pStyle w:val="14"/>
              <w:spacing w:before="76"/>
              <w:ind w:left="206" w:right="196"/>
              <w:rPr>
                <w:rFonts w:ascii="Times New Roman"/>
                <w:sz w:val="21"/>
              </w:rPr>
            </w:pPr>
            <w:r>
              <w:rPr>
                <w:rFonts w:ascii="Times New Roman"/>
                <w:sz w:val="21"/>
              </w:rPr>
              <w:t>66000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3"/>
              <w:ind w:left="327" w:right="319"/>
              <w:rPr>
                <w:sz w:val="21"/>
              </w:rPr>
            </w:pPr>
            <w:r>
              <w:rPr>
                <w:sz w:val="21"/>
              </w:rPr>
              <w:t>顺</w:t>
            </w:r>
            <w:r>
              <w:rPr>
                <w:rFonts w:ascii="Times New Roman" w:eastAsia="Times New Roman"/>
                <w:sz w:val="21"/>
              </w:rPr>
              <w:t>-1,2-</w:t>
            </w:r>
            <w:r>
              <w:rPr>
                <w:sz w:val="21"/>
              </w:rPr>
              <w:t>二氯乙烯</w:t>
            </w:r>
          </w:p>
        </w:tc>
        <w:tc>
          <w:tcPr>
            <w:tcW w:w="1447" w:type="dxa"/>
          </w:tcPr>
          <w:p>
            <w:pPr>
              <w:pStyle w:val="14"/>
              <w:spacing w:before="77"/>
              <w:ind w:left="118" w:right="112"/>
              <w:rPr>
                <w:rFonts w:ascii="Times New Roman" w:hAnsi="Times New Roman"/>
                <w:sz w:val="21"/>
              </w:rPr>
            </w:pPr>
            <w:r>
              <w:rPr>
                <w:rFonts w:ascii="Times New Roman" w:hAnsi="Times New Roman"/>
                <w:sz w:val="21"/>
              </w:rPr>
              <w:t>μg/kg</w:t>
            </w:r>
          </w:p>
        </w:tc>
        <w:tc>
          <w:tcPr>
            <w:tcW w:w="1417" w:type="dxa"/>
          </w:tcPr>
          <w:p>
            <w:pPr>
              <w:pStyle w:val="14"/>
              <w:spacing w:before="80"/>
              <w:ind w:left="161" w:right="151"/>
              <w:rPr>
                <w:rFonts w:ascii="Times New Roman"/>
                <w:sz w:val="21"/>
              </w:rPr>
            </w:pPr>
            <w:bookmarkStart w:id="1092" w:name="&lt;3"/>
            <w:bookmarkEnd w:id="1092"/>
            <w:r>
              <w:rPr>
                <w:rFonts w:ascii="Times New Roman"/>
                <w:sz w:val="21"/>
              </w:rPr>
              <w:t>&lt;3</w:t>
            </w:r>
          </w:p>
        </w:tc>
        <w:tc>
          <w:tcPr>
            <w:tcW w:w="1417" w:type="dxa"/>
          </w:tcPr>
          <w:p>
            <w:pPr>
              <w:pStyle w:val="14"/>
              <w:spacing w:before="77"/>
              <w:ind w:left="7"/>
              <w:rPr>
                <w:rFonts w:ascii="Times New Roman"/>
                <w:sz w:val="21"/>
              </w:rPr>
            </w:pPr>
            <w:r>
              <w:rPr>
                <w:rFonts w:ascii="Times New Roman"/>
                <w:w w:val="99"/>
                <w:sz w:val="21"/>
              </w:rPr>
              <w:t>/</w:t>
            </w:r>
          </w:p>
        </w:tc>
        <w:tc>
          <w:tcPr>
            <w:tcW w:w="1418" w:type="dxa"/>
          </w:tcPr>
          <w:p>
            <w:pPr>
              <w:pStyle w:val="14"/>
              <w:spacing w:before="77"/>
              <w:ind w:left="9"/>
              <w:rPr>
                <w:rFonts w:ascii="Times New Roman"/>
                <w:sz w:val="21"/>
              </w:rPr>
            </w:pPr>
            <w:r>
              <w:rPr>
                <w:rFonts w:ascii="Times New Roman"/>
                <w:w w:val="99"/>
                <w:sz w:val="21"/>
              </w:rPr>
              <w:t>/</w:t>
            </w:r>
          </w:p>
        </w:tc>
        <w:tc>
          <w:tcPr>
            <w:tcW w:w="1083" w:type="dxa"/>
          </w:tcPr>
          <w:p>
            <w:pPr>
              <w:pStyle w:val="14"/>
              <w:spacing w:before="77"/>
              <w:ind w:left="206" w:right="196"/>
              <w:rPr>
                <w:rFonts w:ascii="Times New Roman"/>
                <w:sz w:val="21"/>
              </w:rPr>
            </w:pPr>
            <w:r>
              <w:rPr>
                <w:rFonts w:ascii="Times New Roman"/>
                <w:sz w:val="21"/>
              </w:rPr>
              <w:t>596000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2"/>
              <w:ind w:left="327" w:right="319"/>
              <w:rPr>
                <w:sz w:val="21"/>
              </w:rPr>
            </w:pPr>
            <w:r>
              <w:rPr>
                <w:sz w:val="21"/>
              </w:rPr>
              <w:t>反</w:t>
            </w:r>
            <w:r>
              <w:rPr>
                <w:rFonts w:ascii="Times New Roman" w:eastAsia="Times New Roman"/>
                <w:sz w:val="21"/>
              </w:rPr>
              <w:t>-1,2-</w:t>
            </w:r>
            <w:r>
              <w:rPr>
                <w:sz w:val="21"/>
              </w:rPr>
              <w:t>二氯乙烯</w:t>
            </w:r>
          </w:p>
        </w:tc>
        <w:tc>
          <w:tcPr>
            <w:tcW w:w="1447" w:type="dxa"/>
          </w:tcPr>
          <w:p>
            <w:pPr>
              <w:pStyle w:val="14"/>
              <w:spacing w:before="76"/>
              <w:ind w:left="118" w:right="112"/>
              <w:rPr>
                <w:rFonts w:ascii="Times New Roman" w:hAnsi="Times New Roman"/>
                <w:sz w:val="21"/>
              </w:rPr>
            </w:pPr>
            <w:r>
              <w:rPr>
                <w:rFonts w:ascii="Times New Roman" w:hAnsi="Times New Roman"/>
                <w:sz w:val="21"/>
              </w:rPr>
              <w:t>μg/kg</w:t>
            </w:r>
          </w:p>
        </w:tc>
        <w:tc>
          <w:tcPr>
            <w:tcW w:w="1417" w:type="dxa"/>
          </w:tcPr>
          <w:p>
            <w:pPr>
              <w:pStyle w:val="14"/>
              <w:spacing w:before="81"/>
              <w:ind w:left="161" w:right="151"/>
              <w:rPr>
                <w:rFonts w:ascii="Times New Roman"/>
                <w:sz w:val="21"/>
              </w:rPr>
            </w:pPr>
            <w:bookmarkStart w:id="1093" w:name="&lt;3"/>
            <w:bookmarkEnd w:id="1093"/>
            <w:r>
              <w:rPr>
                <w:rFonts w:ascii="Times New Roman"/>
                <w:sz w:val="21"/>
              </w:rPr>
              <w:t>&lt;3</w:t>
            </w:r>
          </w:p>
        </w:tc>
        <w:tc>
          <w:tcPr>
            <w:tcW w:w="1417" w:type="dxa"/>
          </w:tcPr>
          <w:p>
            <w:pPr>
              <w:pStyle w:val="14"/>
              <w:spacing w:before="76"/>
              <w:ind w:left="7"/>
              <w:rPr>
                <w:rFonts w:ascii="Times New Roman"/>
                <w:sz w:val="21"/>
              </w:rPr>
            </w:pPr>
            <w:r>
              <w:rPr>
                <w:rFonts w:ascii="Times New Roman"/>
                <w:w w:val="99"/>
                <w:sz w:val="21"/>
              </w:rPr>
              <w:t>/</w:t>
            </w:r>
          </w:p>
        </w:tc>
        <w:tc>
          <w:tcPr>
            <w:tcW w:w="1418" w:type="dxa"/>
          </w:tcPr>
          <w:p>
            <w:pPr>
              <w:pStyle w:val="14"/>
              <w:spacing w:before="76"/>
              <w:ind w:left="9"/>
              <w:rPr>
                <w:rFonts w:ascii="Times New Roman"/>
                <w:sz w:val="21"/>
              </w:rPr>
            </w:pPr>
            <w:r>
              <w:rPr>
                <w:rFonts w:ascii="Times New Roman"/>
                <w:w w:val="99"/>
                <w:sz w:val="21"/>
              </w:rPr>
              <w:t>/</w:t>
            </w:r>
          </w:p>
        </w:tc>
        <w:tc>
          <w:tcPr>
            <w:tcW w:w="1083" w:type="dxa"/>
          </w:tcPr>
          <w:p>
            <w:pPr>
              <w:pStyle w:val="14"/>
              <w:spacing w:before="76"/>
              <w:ind w:left="206" w:right="196"/>
              <w:rPr>
                <w:rFonts w:ascii="Times New Roman"/>
                <w:sz w:val="21"/>
              </w:rPr>
            </w:pPr>
            <w:r>
              <w:rPr>
                <w:rFonts w:ascii="Times New Roman"/>
                <w:sz w:val="21"/>
              </w:rPr>
              <w:t>54000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3"/>
              <w:ind w:left="325" w:right="319"/>
              <w:rPr>
                <w:sz w:val="21"/>
              </w:rPr>
            </w:pPr>
            <w:r>
              <w:rPr>
                <w:sz w:val="21"/>
              </w:rPr>
              <w:t>二氯甲烷</w:t>
            </w:r>
          </w:p>
        </w:tc>
        <w:tc>
          <w:tcPr>
            <w:tcW w:w="1447" w:type="dxa"/>
          </w:tcPr>
          <w:p>
            <w:pPr>
              <w:pStyle w:val="14"/>
              <w:spacing w:before="77"/>
              <w:ind w:left="118" w:right="112"/>
              <w:rPr>
                <w:rFonts w:ascii="Times New Roman" w:hAnsi="Times New Roman"/>
                <w:sz w:val="21"/>
              </w:rPr>
            </w:pPr>
            <w:r>
              <w:rPr>
                <w:rFonts w:ascii="Times New Roman" w:hAnsi="Times New Roman"/>
                <w:sz w:val="21"/>
              </w:rPr>
              <w:t>μg/kg</w:t>
            </w:r>
          </w:p>
        </w:tc>
        <w:tc>
          <w:tcPr>
            <w:tcW w:w="1417" w:type="dxa"/>
          </w:tcPr>
          <w:p>
            <w:pPr>
              <w:pStyle w:val="14"/>
              <w:spacing w:before="79"/>
              <w:ind w:left="161" w:right="151"/>
              <w:rPr>
                <w:rFonts w:ascii="Times New Roman"/>
                <w:sz w:val="21"/>
              </w:rPr>
            </w:pPr>
            <w:bookmarkStart w:id="1094" w:name="&lt;3"/>
            <w:bookmarkEnd w:id="1094"/>
            <w:r>
              <w:rPr>
                <w:rFonts w:ascii="Times New Roman"/>
                <w:sz w:val="21"/>
              </w:rPr>
              <w:t>&lt;3</w:t>
            </w:r>
          </w:p>
        </w:tc>
        <w:tc>
          <w:tcPr>
            <w:tcW w:w="1417" w:type="dxa"/>
          </w:tcPr>
          <w:p>
            <w:pPr>
              <w:pStyle w:val="14"/>
              <w:spacing w:before="77"/>
              <w:ind w:left="7"/>
              <w:rPr>
                <w:rFonts w:ascii="Times New Roman"/>
                <w:sz w:val="21"/>
              </w:rPr>
            </w:pPr>
            <w:r>
              <w:rPr>
                <w:rFonts w:ascii="Times New Roman"/>
                <w:w w:val="99"/>
                <w:sz w:val="21"/>
              </w:rPr>
              <w:t>/</w:t>
            </w:r>
          </w:p>
        </w:tc>
        <w:tc>
          <w:tcPr>
            <w:tcW w:w="1418" w:type="dxa"/>
          </w:tcPr>
          <w:p>
            <w:pPr>
              <w:pStyle w:val="14"/>
              <w:spacing w:before="77"/>
              <w:ind w:left="9"/>
              <w:rPr>
                <w:rFonts w:ascii="Times New Roman"/>
                <w:sz w:val="21"/>
              </w:rPr>
            </w:pPr>
            <w:r>
              <w:rPr>
                <w:rFonts w:ascii="Times New Roman"/>
                <w:w w:val="99"/>
                <w:sz w:val="21"/>
              </w:rPr>
              <w:t>/</w:t>
            </w:r>
          </w:p>
        </w:tc>
        <w:tc>
          <w:tcPr>
            <w:tcW w:w="1083" w:type="dxa"/>
          </w:tcPr>
          <w:p>
            <w:pPr>
              <w:pStyle w:val="14"/>
              <w:spacing w:before="77"/>
              <w:ind w:left="206" w:right="196"/>
              <w:rPr>
                <w:rFonts w:ascii="Times New Roman"/>
                <w:sz w:val="21"/>
              </w:rPr>
            </w:pPr>
            <w:r>
              <w:rPr>
                <w:rFonts w:ascii="Times New Roman"/>
                <w:sz w:val="21"/>
              </w:rPr>
              <w:t>616000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562" w:type="dxa"/>
          </w:tcPr>
          <w:p>
            <w:pPr>
              <w:pStyle w:val="14"/>
              <w:spacing w:before="64"/>
              <w:ind w:left="325" w:right="319"/>
              <w:rPr>
                <w:sz w:val="21"/>
              </w:rPr>
            </w:pPr>
            <w:r>
              <w:rPr>
                <w:rFonts w:ascii="Times New Roman" w:eastAsia="Times New Roman"/>
                <w:sz w:val="21"/>
              </w:rPr>
              <w:t>1,2-</w:t>
            </w:r>
            <w:r>
              <w:rPr>
                <w:sz w:val="21"/>
              </w:rPr>
              <w:t>二氯丙烷</w:t>
            </w:r>
          </w:p>
        </w:tc>
        <w:tc>
          <w:tcPr>
            <w:tcW w:w="1447" w:type="dxa"/>
          </w:tcPr>
          <w:p>
            <w:pPr>
              <w:pStyle w:val="14"/>
              <w:spacing w:before="78"/>
              <w:ind w:left="118" w:right="112"/>
              <w:rPr>
                <w:rFonts w:ascii="Times New Roman" w:hAnsi="Times New Roman"/>
                <w:sz w:val="21"/>
              </w:rPr>
            </w:pPr>
            <w:r>
              <w:rPr>
                <w:rFonts w:ascii="Times New Roman" w:hAnsi="Times New Roman"/>
                <w:sz w:val="21"/>
              </w:rPr>
              <w:t>μg/kg</w:t>
            </w:r>
          </w:p>
        </w:tc>
        <w:tc>
          <w:tcPr>
            <w:tcW w:w="1417" w:type="dxa"/>
          </w:tcPr>
          <w:p>
            <w:pPr>
              <w:pStyle w:val="14"/>
              <w:spacing w:before="80"/>
              <w:ind w:left="161" w:right="151"/>
              <w:rPr>
                <w:rFonts w:ascii="Times New Roman"/>
                <w:sz w:val="21"/>
              </w:rPr>
            </w:pPr>
            <w:bookmarkStart w:id="1095" w:name="&lt;2"/>
            <w:bookmarkEnd w:id="1095"/>
            <w:r>
              <w:rPr>
                <w:rFonts w:ascii="Times New Roman"/>
                <w:sz w:val="21"/>
              </w:rPr>
              <w:t>&lt;2</w:t>
            </w:r>
          </w:p>
        </w:tc>
        <w:tc>
          <w:tcPr>
            <w:tcW w:w="1417" w:type="dxa"/>
          </w:tcPr>
          <w:p>
            <w:pPr>
              <w:pStyle w:val="14"/>
              <w:spacing w:before="78"/>
              <w:ind w:left="7"/>
              <w:rPr>
                <w:rFonts w:ascii="Times New Roman"/>
                <w:sz w:val="21"/>
              </w:rPr>
            </w:pPr>
            <w:r>
              <w:rPr>
                <w:rFonts w:ascii="Times New Roman"/>
                <w:w w:val="99"/>
                <w:sz w:val="21"/>
              </w:rPr>
              <w:t>/</w:t>
            </w:r>
          </w:p>
        </w:tc>
        <w:tc>
          <w:tcPr>
            <w:tcW w:w="1418" w:type="dxa"/>
          </w:tcPr>
          <w:p>
            <w:pPr>
              <w:pStyle w:val="14"/>
              <w:spacing w:before="78"/>
              <w:ind w:left="9"/>
              <w:rPr>
                <w:rFonts w:ascii="Times New Roman"/>
                <w:sz w:val="21"/>
              </w:rPr>
            </w:pPr>
            <w:r>
              <w:rPr>
                <w:rFonts w:ascii="Times New Roman"/>
                <w:w w:val="99"/>
                <w:sz w:val="21"/>
              </w:rPr>
              <w:t>/</w:t>
            </w:r>
          </w:p>
        </w:tc>
        <w:tc>
          <w:tcPr>
            <w:tcW w:w="1083" w:type="dxa"/>
          </w:tcPr>
          <w:p>
            <w:pPr>
              <w:pStyle w:val="14"/>
              <w:spacing w:before="78"/>
              <w:ind w:left="203" w:right="196"/>
              <w:rPr>
                <w:rFonts w:ascii="Times New Roman"/>
                <w:sz w:val="21"/>
              </w:rPr>
            </w:pPr>
            <w:r>
              <w:rPr>
                <w:rFonts w:ascii="Times New Roman"/>
                <w:sz w:val="21"/>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2"/>
              <w:ind w:left="327" w:right="319"/>
              <w:rPr>
                <w:sz w:val="21"/>
              </w:rPr>
            </w:pPr>
            <w:r>
              <w:rPr>
                <w:rFonts w:ascii="Times New Roman" w:eastAsia="Times New Roman"/>
                <w:sz w:val="21"/>
              </w:rPr>
              <w:t>1,1,1,2-</w:t>
            </w:r>
            <w:r>
              <w:rPr>
                <w:sz w:val="21"/>
              </w:rPr>
              <w:t>四氯乙烷</w:t>
            </w:r>
          </w:p>
        </w:tc>
        <w:tc>
          <w:tcPr>
            <w:tcW w:w="1447" w:type="dxa"/>
          </w:tcPr>
          <w:p>
            <w:pPr>
              <w:pStyle w:val="14"/>
              <w:spacing w:before="76"/>
              <w:ind w:left="118" w:right="112"/>
              <w:rPr>
                <w:rFonts w:ascii="Times New Roman" w:hAnsi="Times New Roman"/>
                <w:sz w:val="21"/>
              </w:rPr>
            </w:pPr>
            <w:r>
              <w:rPr>
                <w:rFonts w:ascii="Times New Roman" w:hAnsi="Times New Roman"/>
                <w:sz w:val="21"/>
              </w:rPr>
              <w:t>μg/kg</w:t>
            </w:r>
          </w:p>
        </w:tc>
        <w:tc>
          <w:tcPr>
            <w:tcW w:w="1417" w:type="dxa"/>
          </w:tcPr>
          <w:p>
            <w:pPr>
              <w:pStyle w:val="14"/>
              <w:spacing w:before="79"/>
              <w:ind w:left="161" w:right="151"/>
              <w:rPr>
                <w:rFonts w:ascii="Times New Roman"/>
                <w:sz w:val="21"/>
              </w:rPr>
            </w:pPr>
            <w:bookmarkStart w:id="1096" w:name="&lt;3"/>
            <w:bookmarkEnd w:id="1096"/>
            <w:r>
              <w:rPr>
                <w:rFonts w:ascii="Times New Roman"/>
                <w:sz w:val="21"/>
              </w:rPr>
              <w:t>&lt;3</w:t>
            </w:r>
          </w:p>
        </w:tc>
        <w:tc>
          <w:tcPr>
            <w:tcW w:w="1417" w:type="dxa"/>
          </w:tcPr>
          <w:p>
            <w:pPr>
              <w:pStyle w:val="14"/>
              <w:spacing w:before="76"/>
              <w:ind w:left="7"/>
              <w:rPr>
                <w:rFonts w:ascii="Times New Roman"/>
                <w:sz w:val="21"/>
              </w:rPr>
            </w:pPr>
            <w:r>
              <w:rPr>
                <w:rFonts w:ascii="Times New Roman"/>
                <w:w w:val="99"/>
                <w:sz w:val="21"/>
              </w:rPr>
              <w:t>/</w:t>
            </w:r>
          </w:p>
        </w:tc>
        <w:tc>
          <w:tcPr>
            <w:tcW w:w="1418" w:type="dxa"/>
          </w:tcPr>
          <w:p>
            <w:pPr>
              <w:pStyle w:val="14"/>
              <w:spacing w:before="76"/>
              <w:ind w:left="9"/>
              <w:rPr>
                <w:rFonts w:ascii="Times New Roman"/>
                <w:sz w:val="21"/>
              </w:rPr>
            </w:pPr>
            <w:r>
              <w:rPr>
                <w:rFonts w:ascii="Times New Roman"/>
                <w:w w:val="99"/>
                <w:sz w:val="21"/>
              </w:rPr>
              <w:t>/</w:t>
            </w:r>
          </w:p>
        </w:tc>
        <w:tc>
          <w:tcPr>
            <w:tcW w:w="1083" w:type="dxa"/>
          </w:tcPr>
          <w:p>
            <w:pPr>
              <w:pStyle w:val="14"/>
              <w:spacing w:before="76"/>
              <w:ind w:left="206" w:right="196"/>
              <w:rPr>
                <w:rFonts w:ascii="Times New Roman"/>
                <w:sz w:val="21"/>
              </w:rPr>
            </w:pPr>
            <w:r>
              <w:rPr>
                <w:rFonts w:ascii="Times New Roman"/>
                <w:sz w:val="21"/>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4"/>
              <w:ind w:left="327" w:right="319"/>
              <w:rPr>
                <w:sz w:val="21"/>
              </w:rPr>
            </w:pPr>
            <w:r>
              <w:rPr>
                <w:rFonts w:ascii="Times New Roman" w:eastAsia="Times New Roman"/>
                <w:sz w:val="21"/>
              </w:rPr>
              <w:t>1,1,2,2-</w:t>
            </w:r>
            <w:r>
              <w:rPr>
                <w:sz w:val="21"/>
              </w:rPr>
              <w:t>四氯乙烷</w:t>
            </w:r>
          </w:p>
        </w:tc>
        <w:tc>
          <w:tcPr>
            <w:tcW w:w="1447" w:type="dxa"/>
          </w:tcPr>
          <w:p>
            <w:pPr>
              <w:pStyle w:val="14"/>
              <w:spacing w:before="97"/>
              <w:ind w:left="118" w:right="112"/>
              <w:rPr>
                <w:rFonts w:ascii="Times New Roman" w:hAnsi="Times New Roman"/>
                <w:sz w:val="21"/>
              </w:rPr>
            </w:pPr>
            <w:bookmarkStart w:id="1097" w:name="μg/kg"/>
            <w:bookmarkEnd w:id="1097"/>
            <w:r>
              <w:rPr>
                <w:rFonts w:ascii="Times New Roman" w:hAnsi="Times New Roman"/>
                <w:sz w:val="21"/>
              </w:rPr>
              <w:t>μg/kg</w:t>
            </w:r>
          </w:p>
        </w:tc>
        <w:tc>
          <w:tcPr>
            <w:tcW w:w="1417" w:type="dxa"/>
          </w:tcPr>
          <w:p>
            <w:pPr>
              <w:pStyle w:val="14"/>
              <w:spacing w:before="97"/>
              <w:ind w:left="161" w:right="151"/>
              <w:rPr>
                <w:rFonts w:ascii="Times New Roman"/>
                <w:sz w:val="21"/>
              </w:rPr>
            </w:pPr>
            <w:bookmarkStart w:id="1098" w:name="&lt;3"/>
            <w:bookmarkEnd w:id="1098"/>
            <w:r>
              <w:rPr>
                <w:rFonts w:ascii="Times New Roman"/>
                <w:sz w:val="21"/>
              </w:rPr>
              <w:t>&lt;3</w:t>
            </w:r>
          </w:p>
        </w:tc>
        <w:tc>
          <w:tcPr>
            <w:tcW w:w="1417" w:type="dxa"/>
          </w:tcPr>
          <w:p>
            <w:pPr>
              <w:pStyle w:val="14"/>
              <w:spacing w:before="77"/>
              <w:ind w:left="7"/>
              <w:rPr>
                <w:rFonts w:ascii="Times New Roman"/>
                <w:sz w:val="21"/>
              </w:rPr>
            </w:pPr>
            <w:r>
              <w:rPr>
                <w:rFonts w:ascii="Times New Roman"/>
                <w:w w:val="99"/>
                <w:sz w:val="21"/>
              </w:rPr>
              <w:t>/</w:t>
            </w:r>
          </w:p>
        </w:tc>
        <w:tc>
          <w:tcPr>
            <w:tcW w:w="1418" w:type="dxa"/>
          </w:tcPr>
          <w:p>
            <w:pPr>
              <w:pStyle w:val="14"/>
              <w:spacing w:before="77"/>
              <w:ind w:left="9"/>
              <w:rPr>
                <w:rFonts w:ascii="Times New Roman"/>
                <w:sz w:val="21"/>
              </w:rPr>
            </w:pPr>
            <w:r>
              <w:rPr>
                <w:rFonts w:ascii="Times New Roman"/>
                <w:w w:val="99"/>
                <w:sz w:val="21"/>
              </w:rPr>
              <w:t>/</w:t>
            </w:r>
          </w:p>
        </w:tc>
        <w:tc>
          <w:tcPr>
            <w:tcW w:w="1083" w:type="dxa"/>
          </w:tcPr>
          <w:p>
            <w:pPr>
              <w:pStyle w:val="14"/>
              <w:spacing w:before="77"/>
              <w:ind w:left="203" w:right="196"/>
              <w:rPr>
                <w:rFonts w:ascii="Times New Roman"/>
                <w:sz w:val="21"/>
              </w:rPr>
            </w:pPr>
            <w:r>
              <w:rPr>
                <w:rFonts w:ascii="Times New Roman"/>
                <w:sz w:val="21"/>
              </w:rPr>
              <w:t>6800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2562" w:type="dxa"/>
          </w:tcPr>
          <w:p>
            <w:pPr>
              <w:pStyle w:val="14"/>
              <w:spacing w:before="62"/>
              <w:ind w:left="325" w:right="319"/>
              <w:rPr>
                <w:sz w:val="21"/>
              </w:rPr>
            </w:pPr>
            <w:r>
              <w:rPr>
                <w:sz w:val="21"/>
              </w:rPr>
              <w:t>四氯乙烯</w:t>
            </w:r>
          </w:p>
        </w:tc>
        <w:tc>
          <w:tcPr>
            <w:tcW w:w="1447" w:type="dxa"/>
          </w:tcPr>
          <w:p>
            <w:pPr>
              <w:pStyle w:val="14"/>
              <w:spacing w:before="98"/>
              <w:ind w:left="118" w:right="112"/>
              <w:rPr>
                <w:rFonts w:ascii="Times New Roman" w:hAnsi="Times New Roman"/>
                <w:sz w:val="21"/>
              </w:rPr>
            </w:pPr>
            <w:bookmarkStart w:id="1099" w:name="μg/kg"/>
            <w:bookmarkEnd w:id="1099"/>
            <w:r>
              <w:rPr>
                <w:rFonts w:ascii="Times New Roman" w:hAnsi="Times New Roman"/>
                <w:sz w:val="21"/>
              </w:rPr>
              <w:t>μg/kg</w:t>
            </w:r>
          </w:p>
        </w:tc>
        <w:tc>
          <w:tcPr>
            <w:tcW w:w="1417" w:type="dxa"/>
          </w:tcPr>
          <w:p>
            <w:pPr>
              <w:pStyle w:val="14"/>
              <w:spacing w:before="98"/>
              <w:ind w:left="161" w:right="151"/>
              <w:rPr>
                <w:rFonts w:ascii="Times New Roman"/>
                <w:sz w:val="21"/>
              </w:rPr>
            </w:pPr>
            <w:bookmarkStart w:id="1100" w:name="&lt;2"/>
            <w:bookmarkEnd w:id="1100"/>
            <w:r>
              <w:rPr>
                <w:rFonts w:ascii="Times New Roman"/>
                <w:sz w:val="21"/>
              </w:rPr>
              <w:t>&lt;2</w:t>
            </w:r>
          </w:p>
        </w:tc>
        <w:tc>
          <w:tcPr>
            <w:tcW w:w="1417" w:type="dxa"/>
          </w:tcPr>
          <w:p>
            <w:pPr>
              <w:pStyle w:val="14"/>
              <w:spacing w:before="76"/>
              <w:ind w:left="7"/>
              <w:rPr>
                <w:rFonts w:ascii="Times New Roman"/>
                <w:sz w:val="21"/>
              </w:rPr>
            </w:pPr>
            <w:r>
              <w:rPr>
                <w:rFonts w:ascii="Times New Roman"/>
                <w:w w:val="99"/>
                <w:sz w:val="21"/>
              </w:rPr>
              <w:t>/</w:t>
            </w:r>
          </w:p>
        </w:tc>
        <w:tc>
          <w:tcPr>
            <w:tcW w:w="1418" w:type="dxa"/>
          </w:tcPr>
          <w:p>
            <w:pPr>
              <w:pStyle w:val="14"/>
              <w:spacing w:before="76"/>
              <w:ind w:left="9"/>
              <w:rPr>
                <w:rFonts w:ascii="Times New Roman"/>
                <w:sz w:val="21"/>
              </w:rPr>
            </w:pPr>
            <w:r>
              <w:rPr>
                <w:rFonts w:ascii="Times New Roman"/>
                <w:w w:val="99"/>
                <w:sz w:val="21"/>
              </w:rPr>
              <w:t>/</w:t>
            </w:r>
          </w:p>
        </w:tc>
        <w:tc>
          <w:tcPr>
            <w:tcW w:w="1083" w:type="dxa"/>
          </w:tcPr>
          <w:p>
            <w:pPr>
              <w:pStyle w:val="14"/>
              <w:spacing w:before="76"/>
              <w:ind w:left="206" w:right="196"/>
              <w:rPr>
                <w:rFonts w:ascii="Times New Roman"/>
                <w:sz w:val="21"/>
              </w:rPr>
            </w:pPr>
            <w:r>
              <w:rPr>
                <w:rFonts w:ascii="Times New Roman"/>
                <w:sz w:val="21"/>
              </w:rPr>
              <w:t>53000</w:t>
            </w:r>
          </w:p>
        </w:tc>
      </w:tr>
    </w:tbl>
    <w:p>
      <w:pPr>
        <w:spacing w:after="0"/>
        <w:rPr>
          <w:rFonts w:ascii="Times New Roman"/>
          <w:sz w:val="21"/>
        </w:rPr>
        <w:sectPr>
          <w:pgSz w:w="11910" w:h="16840"/>
          <w:pgMar w:top="1520" w:right="780" w:bottom="1320" w:left="1200" w:header="0" w:footer="1058" w:gutter="0"/>
        </w:sectPr>
      </w:pP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62"/>
        <w:gridCol w:w="1447"/>
        <w:gridCol w:w="1417"/>
        <w:gridCol w:w="1417"/>
        <w:gridCol w:w="1418"/>
        <w:gridCol w:w="10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562" w:type="dxa"/>
          </w:tcPr>
          <w:p>
            <w:pPr>
              <w:pStyle w:val="14"/>
              <w:spacing w:before="63"/>
              <w:ind w:left="325" w:right="319"/>
              <w:rPr>
                <w:sz w:val="21"/>
              </w:rPr>
            </w:pPr>
            <w:r>
              <w:rPr>
                <w:rFonts w:ascii="Times New Roman" w:eastAsia="Times New Roman"/>
                <w:sz w:val="21"/>
              </w:rPr>
              <w:t>1,1,1-</w:t>
            </w:r>
            <w:r>
              <w:rPr>
                <w:sz w:val="21"/>
              </w:rPr>
              <w:t>三氯乙烷</w:t>
            </w:r>
          </w:p>
        </w:tc>
        <w:tc>
          <w:tcPr>
            <w:tcW w:w="1447" w:type="dxa"/>
          </w:tcPr>
          <w:p>
            <w:pPr>
              <w:pStyle w:val="14"/>
              <w:spacing w:before="98"/>
              <w:ind w:left="118" w:right="112"/>
              <w:rPr>
                <w:rFonts w:ascii="Times New Roman" w:hAnsi="Times New Roman"/>
                <w:sz w:val="21"/>
              </w:rPr>
            </w:pPr>
            <w:bookmarkStart w:id="1101" w:name="μg/kg"/>
            <w:bookmarkEnd w:id="1101"/>
            <w:r>
              <w:rPr>
                <w:rFonts w:ascii="Times New Roman" w:hAnsi="Times New Roman"/>
                <w:sz w:val="21"/>
              </w:rPr>
              <w:t>μg/kg</w:t>
            </w:r>
          </w:p>
        </w:tc>
        <w:tc>
          <w:tcPr>
            <w:tcW w:w="1417" w:type="dxa"/>
          </w:tcPr>
          <w:p>
            <w:pPr>
              <w:pStyle w:val="14"/>
              <w:spacing w:before="98"/>
              <w:ind w:left="161" w:right="151"/>
              <w:rPr>
                <w:rFonts w:ascii="Times New Roman"/>
                <w:sz w:val="21"/>
              </w:rPr>
            </w:pPr>
            <w:bookmarkStart w:id="1102" w:name="&lt;2"/>
            <w:bookmarkEnd w:id="1102"/>
            <w:r>
              <w:rPr>
                <w:rFonts w:ascii="Times New Roman"/>
                <w:sz w:val="21"/>
              </w:rPr>
              <w:t>&lt;2</w:t>
            </w:r>
          </w:p>
        </w:tc>
        <w:tc>
          <w:tcPr>
            <w:tcW w:w="1417" w:type="dxa"/>
          </w:tcPr>
          <w:p>
            <w:pPr>
              <w:pStyle w:val="14"/>
              <w:spacing w:before="77"/>
              <w:ind w:left="7"/>
              <w:rPr>
                <w:rFonts w:ascii="Times New Roman"/>
                <w:sz w:val="21"/>
              </w:rPr>
            </w:pPr>
            <w:r>
              <w:rPr>
                <w:rFonts w:ascii="Times New Roman"/>
                <w:w w:val="99"/>
                <w:sz w:val="21"/>
              </w:rPr>
              <w:t>/</w:t>
            </w:r>
          </w:p>
        </w:tc>
        <w:tc>
          <w:tcPr>
            <w:tcW w:w="1418" w:type="dxa"/>
          </w:tcPr>
          <w:p>
            <w:pPr>
              <w:pStyle w:val="14"/>
              <w:spacing w:before="77"/>
              <w:ind w:left="9"/>
              <w:rPr>
                <w:rFonts w:ascii="Times New Roman"/>
                <w:sz w:val="21"/>
              </w:rPr>
            </w:pPr>
            <w:r>
              <w:rPr>
                <w:rFonts w:ascii="Times New Roman"/>
                <w:w w:val="99"/>
                <w:sz w:val="21"/>
              </w:rPr>
              <w:t>/</w:t>
            </w:r>
          </w:p>
        </w:tc>
        <w:tc>
          <w:tcPr>
            <w:tcW w:w="1083" w:type="dxa"/>
          </w:tcPr>
          <w:p>
            <w:pPr>
              <w:pStyle w:val="14"/>
              <w:spacing w:before="77"/>
              <w:ind w:left="206" w:right="196"/>
              <w:rPr>
                <w:rFonts w:ascii="Times New Roman"/>
                <w:sz w:val="21"/>
              </w:rPr>
            </w:pPr>
            <w:r>
              <w:rPr>
                <w:rFonts w:ascii="Times New Roman"/>
                <w:sz w:val="21"/>
              </w:rPr>
              <w:t>840000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4"/>
              <w:ind w:left="325" w:right="319"/>
              <w:rPr>
                <w:sz w:val="21"/>
              </w:rPr>
            </w:pPr>
            <w:r>
              <w:rPr>
                <w:rFonts w:ascii="Times New Roman" w:eastAsia="Times New Roman"/>
                <w:sz w:val="21"/>
              </w:rPr>
              <w:t>1,1,2-</w:t>
            </w:r>
            <w:r>
              <w:rPr>
                <w:sz w:val="21"/>
              </w:rPr>
              <w:t>三氯乙烷</w:t>
            </w:r>
          </w:p>
        </w:tc>
        <w:tc>
          <w:tcPr>
            <w:tcW w:w="1447" w:type="dxa"/>
          </w:tcPr>
          <w:p>
            <w:pPr>
              <w:pStyle w:val="14"/>
              <w:spacing w:before="97"/>
              <w:ind w:left="118" w:right="112"/>
              <w:rPr>
                <w:rFonts w:ascii="Times New Roman" w:hAnsi="Times New Roman"/>
                <w:sz w:val="21"/>
              </w:rPr>
            </w:pPr>
            <w:bookmarkStart w:id="1103" w:name="μg/kg"/>
            <w:bookmarkEnd w:id="1103"/>
            <w:r>
              <w:rPr>
                <w:rFonts w:ascii="Times New Roman" w:hAnsi="Times New Roman"/>
                <w:sz w:val="21"/>
              </w:rPr>
              <w:t>μg/kg</w:t>
            </w:r>
          </w:p>
        </w:tc>
        <w:tc>
          <w:tcPr>
            <w:tcW w:w="1417" w:type="dxa"/>
          </w:tcPr>
          <w:p>
            <w:pPr>
              <w:pStyle w:val="14"/>
              <w:spacing w:before="97"/>
              <w:ind w:left="161" w:right="151"/>
              <w:rPr>
                <w:rFonts w:ascii="Times New Roman"/>
                <w:sz w:val="21"/>
              </w:rPr>
            </w:pPr>
            <w:bookmarkStart w:id="1104" w:name="&lt;2"/>
            <w:bookmarkEnd w:id="1104"/>
            <w:r>
              <w:rPr>
                <w:rFonts w:ascii="Times New Roman"/>
                <w:sz w:val="21"/>
              </w:rPr>
              <w:t>&lt;2</w:t>
            </w:r>
          </w:p>
        </w:tc>
        <w:tc>
          <w:tcPr>
            <w:tcW w:w="1417" w:type="dxa"/>
          </w:tcPr>
          <w:p>
            <w:pPr>
              <w:pStyle w:val="14"/>
              <w:spacing w:before="78"/>
              <w:ind w:left="7"/>
              <w:rPr>
                <w:rFonts w:ascii="Times New Roman"/>
                <w:sz w:val="21"/>
              </w:rPr>
            </w:pPr>
            <w:r>
              <w:rPr>
                <w:rFonts w:ascii="Times New Roman"/>
                <w:w w:val="99"/>
                <w:sz w:val="21"/>
              </w:rPr>
              <w:t>/</w:t>
            </w:r>
          </w:p>
        </w:tc>
        <w:tc>
          <w:tcPr>
            <w:tcW w:w="1418" w:type="dxa"/>
          </w:tcPr>
          <w:p>
            <w:pPr>
              <w:pStyle w:val="14"/>
              <w:spacing w:before="78"/>
              <w:ind w:left="9"/>
              <w:rPr>
                <w:rFonts w:ascii="Times New Roman"/>
                <w:sz w:val="21"/>
              </w:rPr>
            </w:pPr>
            <w:r>
              <w:rPr>
                <w:rFonts w:ascii="Times New Roman"/>
                <w:w w:val="99"/>
                <w:sz w:val="21"/>
              </w:rPr>
              <w:t>/</w:t>
            </w:r>
          </w:p>
        </w:tc>
        <w:tc>
          <w:tcPr>
            <w:tcW w:w="1083" w:type="dxa"/>
          </w:tcPr>
          <w:p>
            <w:pPr>
              <w:pStyle w:val="14"/>
              <w:spacing w:before="78"/>
              <w:ind w:left="203" w:right="196"/>
              <w:rPr>
                <w:rFonts w:ascii="Times New Roman"/>
                <w:sz w:val="21"/>
              </w:rPr>
            </w:pPr>
            <w:r>
              <w:rPr>
                <w:rFonts w:ascii="Times New Roman"/>
                <w:sz w:val="21"/>
              </w:rPr>
              <w:t>280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3"/>
              <w:ind w:left="325" w:right="319"/>
              <w:rPr>
                <w:sz w:val="21"/>
              </w:rPr>
            </w:pPr>
            <w:r>
              <w:rPr>
                <w:sz w:val="21"/>
              </w:rPr>
              <w:t>三氯乙烯</w:t>
            </w:r>
          </w:p>
        </w:tc>
        <w:tc>
          <w:tcPr>
            <w:tcW w:w="1447" w:type="dxa"/>
          </w:tcPr>
          <w:p>
            <w:pPr>
              <w:pStyle w:val="14"/>
              <w:spacing w:before="98"/>
              <w:ind w:left="118" w:right="112"/>
              <w:rPr>
                <w:rFonts w:ascii="Times New Roman" w:hAnsi="Times New Roman"/>
                <w:sz w:val="21"/>
              </w:rPr>
            </w:pPr>
            <w:bookmarkStart w:id="1105" w:name="μg/kg"/>
            <w:bookmarkEnd w:id="1105"/>
            <w:r>
              <w:rPr>
                <w:rFonts w:ascii="Times New Roman" w:hAnsi="Times New Roman"/>
                <w:sz w:val="21"/>
              </w:rPr>
              <w:t>μg/kg</w:t>
            </w:r>
          </w:p>
        </w:tc>
        <w:tc>
          <w:tcPr>
            <w:tcW w:w="1417" w:type="dxa"/>
          </w:tcPr>
          <w:p>
            <w:pPr>
              <w:pStyle w:val="14"/>
              <w:spacing w:before="98"/>
              <w:ind w:left="161" w:right="151"/>
              <w:rPr>
                <w:rFonts w:ascii="Times New Roman"/>
                <w:sz w:val="21"/>
              </w:rPr>
            </w:pPr>
            <w:bookmarkStart w:id="1106" w:name="&lt;2"/>
            <w:bookmarkEnd w:id="1106"/>
            <w:r>
              <w:rPr>
                <w:rFonts w:ascii="Times New Roman"/>
                <w:sz w:val="21"/>
              </w:rPr>
              <w:t>&lt;2</w:t>
            </w:r>
          </w:p>
        </w:tc>
        <w:tc>
          <w:tcPr>
            <w:tcW w:w="1417" w:type="dxa"/>
          </w:tcPr>
          <w:p>
            <w:pPr>
              <w:pStyle w:val="14"/>
              <w:spacing w:before="76"/>
              <w:ind w:left="7"/>
              <w:rPr>
                <w:rFonts w:ascii="Times New Roman"/>
                <w:sz w:val="21"/>
              </w:rPr>
            </w:pPr>
            <w:r>
              <w:rPr>
                <w:rFonts w:ascii="Times New Roman"/>
                <w:w w:val="99"/>
                <w:sz w:val="21"/>
              </w:rPr>
              <w:t>/</w:t>
            </w:r>
          </w:p>
        </w:tc>
        <w:tc>
          <w:tcPr>
            <w:tcW w:w="1418" w:type="dxa"/>
          </w:tcPr>
          <w:p>
            <w:pPr>
              <w:pStyle w:val="14"/>
              <w:spacing w:before="76"/>
              <w:ind w:left="9"/>
              <w:rPr>
                <w:rFonts w:ascii="Times New Roman"/>
                <w:sz w:val="21"/>
              </w:rPr>
            </w:pPr>
            <w:r>
              <w:rPr>
                <w:rFonts w:ascii="Times New Roman"/>
                <w:w w:val="99"/>
                <w:sz w:val="21"/>
              </w:rPr>
              <w:t>/</w:t>
            </w:r>
          </w:p>
        </w:tc>
        <w:tc>
          <w:tcPr>
            <w:tcW w:w="1083" w:type="dxa"/>
          </w:tcPr>
          <w:p>
            <w:pPr>
              <w:pStyle w:val="14"/>
              <w:spacing w:before="76"/>
              <w:ind w:left="203" w:right="196"/>
              <w:rPr>
                <w:rFonts w:ascii="Times New Roman"/>
                <w:sz w:val="21"/>
              </w:rPr>
            </w:pPr>
            <w:r>
              <w:rPr>
                <w:rFonts w:ascii="Times New Roman"/>
                <w:sz w:val="21"/>
              </w:rPr>
              <w:t>280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3"/>
              <w:ind w:left="325" w:right="319"/>
              <w:rPr>
                <w:sz w:val="21"/>
              </w:rPr>
            </w:pPr>
            <w:r>
              <w:rPr>
                <w:rFonts w:ascii="Times New Roman" w:eastAsia="Times New Roman"/>
                <w:sz w:val="21"/>
              </w:rPr>
              <w:t>1,2,3-</w:t>
            </w:r>
            <w:r>
              <w:rPr>
                <w:sz w:val="21"/>
              </w:rPr>
              <w:t>三氯丙烷</w:t>
            </w:r>
          </w:p>
        </w:tc>
        <w:tc>
          <w:tcPr>
            <w:tcW w:w="1447" w:type="dxa"/>
          </w:tcPr>
          <w:p>
            <w:pPr>
              <w:pStyle w:val="14"/>
              <w:spacing w:before="97"/>
              <w:ind w:left="118" w:right="112"/>
              <w:rPr>
                <w:rFonts w:ascii="Times New Roman" w:hAnsi="Times New Roman"/>
                <w:sz w:val="21"/>
              </w:rPr>
            </w:pPr>
            <w:bookmarkStart w:id="1107" w:name="μg/kg"/>
            <w:bookmarkEnd w:id="1107"/>
            <w:r>
              <w:rPr>
                <w:rFonts w:ascii="Times New Roman" w:hAnsi="Times New Roman"/>
                <w:sz w:val="21"/>
              </w:rPr>
              <w:t>μg/kg</w:t>
            </w:r>
          </w:p>
        </w:tc>
        <w:tc>
          <w:tcPr>
            <w:tcW w:w="1417" w:type="dxa"/>
          </w:tcPr>
          <w:p>
            <w:pPr>
              <w:pStyle w:val="14"/>
              <w:spacing w:before="97"/>
              <w:ind w:left="161" w:right="151"/>
              <w:rPr>
                <w:rFonts w:ascii="Times New Roman"/>
                <w:sz w:val="21"/>
              </w:rPr>
            </w:pPr>
            <w:bookmarkStart w:id="1108" w:name="&lt;3"/>
            <w:bookmarkEnd w:id="1108"/>
            <w:r>
              <w:rPr>
                <w:rFonts w:ascii="Times New Roman"/>
                <w:sz w:val="21"/>
              </w:rPr>
              <w:t>&lt;3</w:t>
            </w:r>
          </w:p>
        </w:tc>
        <w:tc>
          <w:tcPr>
            <w:tcW w:w="1417" w:type="dxa"/>
          </w:tcPr>
          <w:p>
            <w:pPr>
              <w:pStyle w:val="14"/>
              <w:spacing w:before="77"/>
              <w:ind w:left="7"/>
              <w:rPr>
                <w:rFonts w:ascii="Times New Roman"/>
                <w:sz w:val="21"/>
              </w:rPr>
            </w:pPr>
            <w:r>
              <w:rPr>
                <w:rFonts w:ascii="Times New Roman"/>
                <w:w w:val="99"/>
                <w:sz w:val="21"/>
              </w:rPr>
              <w:t>/</w:t>
            </w:r>
          </w:p>
        </w:tc>
        <w:tc>
          <w:tcPr>
            <w:tcW w:w="1418" w:type="dxa"/>
          </w:tcPr>
          <w:p>
            <w:pPr>
              <w:pStyle w:val="14"/>
              <w:spacing w:before="77"/>
              <w:ind w:left="9"/>
              <w:rPr>
                <w:rFonts w:ascii="Times New Roman"/>
                <w:sz w:val="21"/>
              </w:rPr>
            </w:pPr>
            <w:r>
              <w:rPr>
                <w:rFonts w:ascii="Times New Roman"/>
                <w:w w:val="99"/>
                <w:sz w:val="21"/>
              </w:rPr>
              <w:t>/</w:t>
            </w:r>
          </w:p>
        </w:tc>
        <w:tc>
          <w:tcPr>
            <w:tcW w:w="1083" w:type="dxa"/>
          </w:tcPr>
          <w:p>
            <w:pPr>
              <w:pStyle w:val="14"/>
              <w:spacing w:before="77"/>
              <w:ind w:left="203" w:right="196"/>
              <w:rPr>
                <w:rFonts w:ascii="Times New Roman"/>
                <w:sz w:val="21"/>
              </w:rPr>
            </w:pPr>
            <w:r>
              <w:rPr>
                <w:rFonts w:ascii="Times New Roman"/>
                <w:sz w:val="21"/>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2"/>
              <w:ind w:left="327" w:right="319"/>
              <w:rPr>
                <w:sz w:val="21"/>
              </w:rPr>
            </w:pPr>
            <w:r>
              <w:rPr>
                <w:sz w:val="21"/>
              </w:rPr>
              <w:t>氯乙烯</w:t>
            </w:r>
          </w:p>
        </w:tc>
        <w:tc>
          <w:tcPr>
            <w:tcW w:w="1447" w:type="dxa"/>
          </w:tcPr>
          <w:p>
            <w:pPr>
              <w:pStyle w:val="14"/>
              <w:spacing w:before="98"/>
              <w:ind w:left="118" w:right="112"/>
              <w:rPr>
                <w:rFonts w:ascii="Times New Roman" w:hAnsi="Times New Roman"/>
                <w:sz w:val="21"/>
              </w:rPr>
            </w:pPr>
            <w:bookmarkStart w:id="1109" w:name="μg/kg"/>
            <w:bookmarkEnd w:id="1109"/>
            <w:r>
              <w:rPr>
                <w:rFonts w:ascii="Times New Roman" w:hAnsi="Times New Roman"/>
                <w:sz w:val="21"/>
              </w:rPr>
              <w:t>μg/kg</w:t>
            </w:r>
          </w:p>
        </w:tc>
        <w:tc>
          <w:tcPr>
            <w:tcW w:w="1417" w:type="dxa"/>
          </w:tcPr>
          <w:p>
            <w:pPr>
              <w:pStyle w:val="14"/>
              <w:spacing w:before="98"/>
              <w:ind w:left="161" w:right="151"/>
              <w:rPr>
                <w:rFonts w:ascii="Times New Roman"/>
                <w:sz w:val="21"/>
              </w:rPr>
            </w:pPr>
            <w:bookmarkStart w:id="1110" w:name="&lt;2"/>
            <w:bookmarkEnd w:id="1110"/>
            <w:r>
              <w:rPr>
                <w:rFonts w:ascii="Times New Roman"/>
                <w:sz w:val="21"/>
              </w:rPr>
              <w:t>&lt;2</w:t>
            </w:r>
          </w:p>
        </w:tc>
        <w:tc>
          <w:tcPr>
            <w:tcW w:w="1417" w:type="dxa"/>
          </w:tcPr>
          <w:p>
            <w:pPr>
              <w:pStyle w:val="14"/>
              <w:spacing w:before="76"/>
              <w:ind w:left="7"/>
              <w:rPr>
                <w:rFonts w:ascii="Times New Roman"/>
                <w:sz w:val="21"/>
              </w:rPr>
            </w:pPr>
            <w:r>
              <w:rPr>
                <w:rFonts w:ascii="Times New Roman"/>
                <w:w w:val="99"/>
                <w:sz w:val="21"/>
              </w:rPr>
              <w:t>/</w:t>
            </w:r>
          </w:p>
        </w:tc>
        <w:tc>
          <w:tcPr>
            <w:tcW w:w="1418" w:type="dxa"/>
          </w:tcPr>
          <w:p>
            <w:pPr>
              <w:pStyle w:val="14"/>
              <w:spacing w:before="76"/>
              <w:ind w:left="9"/>
              <w:rPr>
                <w:rFonts w:ascii="Times New Roman"/>
                <w:sz w:val="21"/>
              </w:rPr>
            </w:pPr>
            <w:r>
              <w:rPr>
                <w:rFonts w:ascii="Times New Roman"/>
                <w:w w:val="99"/>
                <w:sz w:val="21"/>
              </w:rPr>
              <w:t>/</w:t>
            </w:r>
          </w:p>
        </w:tc>
        <w:tc>
          <w:tcPr>
            <w:tcW w:w="1083" w:type="dxa"/>
          </w:tcPr>
          <w:p>
            <w:pPr>
              <w:pStyle w:val="14"/>
              <w:spacing w:before="76"/>
              <w:ind w:left="203" w:right="196"/>
              <w:rPr>
                <w:rFonts w:ascii="Times New Roman"/>
                <w:sz w:val="21"/>
              </w:rPr>
            </w:pPr>
            <w:r>
              <w:rPr>
                <w:rFonts w:ascii="Times New Roman"/>
                <w:sz w:val="21"/>
              </w:rPr>
              <w:t>430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562" w:type="dxa"/>
          </w:tcPr>
          <w:p>
            <w:pPr>
              <w:pStyle w:val="14"/>
              <w:spacing w:before="63"/>
              <w:ind w:left="6"/>
              <w:rPr>
                <w:sz w:val="21"/>
              </w:rPr>
            </w:pPr>
            <w:r>
              <w:rPr>
                <w:w w:val="99"/>
                <w:sz w:val="21"/>
              </w:rPr>
              <w:t>苯</w:t>
            </w:r>
          </w:p>
        </w:tc>
        <w:tc>
          <w:tcPr>
            <w:tcW w:w="1447" w:type="dxa"/>
          </w:tcPr>
          <w:p>
            <w:pPr>
              <w:pStyle w:val="14"/>
              <w:spacing w:before="99"/>
              <w:ind w:left="116" w:right="112"/>
              <w:rPr>
                <w:rFonts w:ascii="Times New Roman"/>
                <w:sz w:val="21"/>
              </w:rPr>
            </w:pPr>
            <w:bookmarkStart w:id="1111" w:name="mg/kg"/>
            <w:bookmarkEnd w:id="1111"/>
            <w:r>
              <w:rPr>
                <w:rFonts w:ascii="Times New Roman"/>
                <w:sz w:val="21"/>
              </w:rPr>
              <w:t>mg/kg</w:t>
            </w:r>
          </w:p>
        </w:tc>
        <w:tc>
          <w:tcPr>
            <w:tcW w:w="1417" w:type="dxa"/>
          </w:tcPr>
          <w:p>
            <w:pPr>
              <w:pStyle w:val="14"/>
              <w:spacing w:before="99"/>
              <w:ind w:left="465"/>
              <w:jc w:val="left"/>
              <w:rPr>
                <w:rFonts w:ascii="Times New Roman"/>
                <w:sz w:val="21"/>
              </w:rPr>
            </w:pPr>
            <w:bookmarkStart w:id="1112" w:name="&lt;0.01"/>
            <w:bookmarkEnd w:id="1112"/>
            <w:r>
              <w:rPr>
                <w:rFonts w:ascii="Times New Roman"/>
                <w:sz w:val="21"/>
              </w:rPr>
              <w:t>&lt;0.01</w:t>
            </w:r>
          </w:p>
        </w:tc>
        <w:tc>
          <w:tcPr>
            <w:tcW w:w="1417" w:type="dxa"/>
          </w:tcPr>
          <w:p>
            <w:pPr>
              <w:pStyle w:val="14"/>
              <w:spacing w:before="77"/>
              <w:ind w:left="7"/>
              <w:rPr>
                <w:rFonts w:ascii="Times New Roman"/>
                <w:sz w:val="21"/>
              </w:rPr>
            </w:pPr>
            <w:r>
              <w:rPr>
                <w:rFonts w:ascii="Times New Roman"/>
                <w:w w:val="99"/>
                <w:sz w:val="21"/>
              </w:rPr>
              <w:t>/</w:t>
            </w:r>
          </w:p>
        </w:tc>
        <w:tc>
          <w:tcPr>
            <w:tcW w:w="1418" w:type="dxa"/>
          </w:tcPr>
          <w:p>
            <w:pPr>
              <w:pStyle w:val="14"/>
              <w:spacing w:before="77"/>
              <w:ind w:left="9"/>
              <w:rPr>
                <w:rFonts w:ascii="Times New Roman"/>
                <w:sz w:val="21"/>
              </w:rPr>
            </w:pPr>
            <w:r>
              <w:rPr>
                <w:rFonts w:ascii="Times New Roman"/>
                <w:w w:val="99"/>
                <w:sz w:val="21"/>
              </w:rPr>
              <w:t>/</w:t>
            </w:r>
          </w:p>
        </w:tc>
        <w:tc>
          <w:tcPr>
            <w:tcW w:w="1083" w:type="dxa"/>
          </w:tcPr>
          <w:p>
            <w:pPr>
              <w:pStyle w:val="14"/>
              <w:spacing w:before="77"/>
              <w:ind w:left="7"/>
              <w:rPr>
                <w:rFonts w:ascii="Times New Roman"/>
                <w:sz w:val="21"/>
              </w:rPr>
            </w:pPr>
            <w:r>
              <w:rPr>
                <w:rFonts w:ascii="Times New Roman"/>
                <w:w w:val="99"/>
                <w:sz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2"/>
              <w:ind w:left="327" w:right="319"/>
              <w:rPr>
                <w:sz w:val="21"/>
              </w:rPr>
            </w:pPr>
            <w:r>
              <w:rPr>
                <w:sz w:val="21"/>
              </w:rPr>
              <w:t>氯苯</w:t>
            </w:r>
          </w:p>
        </w:tc>
        <w:tc>
          <w:tcPr>
            <w:tcW w:w="1447" w:type="dxa"/>
          </w:tcPr>
          <w:p>
            <w:pPr>
              <w:pStyle w:val="14"/>
              <w:spacing w:before="97"/>
              <w:ind w:left="118" w:right="112"/>
              <w:rPr>
                <w:rFonts w:ascii="Times New Roman" w:hAnsi="Times New Roman"/>
                <w:sz w:val="21"/>
              </w:rPr>
            </w:pPr>
            <w:bookmarkStart w:id="1113" w:name="μg/kg"/>
            <w:bookmarkEnd w:id="1113"/>
            <w:r>
              <w:rPr>
                <w:rFonts w:ascii="Times New Roman" w:hAnsi="Times New Roman"/>
                <w:sz w:val="21"/>
              </w:rPr>
              <w:t>μg/kg</w:t>
            </w:r>
          </w:p>
        </w:tc>
        <w:tc>
          <w:tcPr>
            <w:tcW w:w="1417" w:type="dxa"/>
          </w:tcPr>
          <w:p>
            <w:pPr>
              <w:pStyle w:val="14"/>
              <w:spacing w:before="97"/>
              <w:ind w:left="518"/>
              <w:jc w:val="left"/>
              <w:rPr>
                <w:rFonts w:ascii="Times New Roman"/>
                <w:sz w:val="21"/>
              </w:rPr>
            </w:pPr>
            <w:bookmarkStart w:id="1114" w:name="&lt;1.1"/>
            <w:bookmarkEnd w:id="1114"/>
            <w:r>
              <w:rPr>
                <w:rFonts w:ascii="Times New Roman"/>
                <w:sz w:val="21"/>
              </w:rPr>
              <w:t>&lt;1.1</w:t>
            </w:r>
          </w:p>
        </w:tc>
        <w:tc>
          <w:tcPr>
            <w:tcW w:w="1417" w:type="dxa"/>
          </w:tcPr>
          <w:p>
            <w:pPr>
              <w:pStyle w:val="14"/>
              <w:spacing w:before="76"/>
              <w:ind w:left="7"/>
              <w:rPr>
                <w:rFonts w:ascii="Times New Roman"/>
                <w:sz w:val="21"/>
              </w:rPr>
            </w:pPr>
            <w:r>
              <w:rPr>
                <w:rFonts w:ascii="Times New Roman"/>
                <w:w w:val="99"/>
                <w:sz w:val="21"/>
              </w:rPr>
              <w:t>/</w:t>
            </w:r>
          </w:p>
        </w:tc>
        <w:tc>
          <w:tcPr>
            <w:tcW w:w="1418" w:type="dxa"/>
          </w:tcPr>
          <w:p>
            <w:pPr>
              <w:pStyle w:val="14"/>
              <w:spacing w:before="76"/>
              <w:ind w:left="9"/>
              <w:rPr>
                <w:rFonts w:ascii="Times New Roman"/>
                <w:sz w:val="21"/>
              </w:rPr>
            </w:pPr>
            <w:r>
              <w:rPr>
                <w:rFonts w:ascii="Times New Roman"/>
                <w:w w:val="99"/>
                <w:sz w:val="21"/>
              </w:rPr>
              <w:t>/</w:t>
            </w:r>
          </w:p>
        </w:tc>
        <w:tc>
          <w:tcPr>
            <w:tcW w:w="1083" w:type="dxa"/>
          </w:tcPr>
          <w:p>
            <w:pPr>
              <w:pStyle w:val="14"/>
              <w:spacing w:before="76"/>
              <w:ind w:left="206" w:right="196"/>
              <w:rPr>
                <w:rFonts w:ascii="Times New Roman"/>
                <w:sz w:val="21"/>
              </w:rPr>
            </w:pPr>
            <w:r>
              <w:rPr>
                <w:rFonts w:ascii="Times New Roman"/>
                <w:sz w:val="21"/>
              </w:rPr>
              <w:t>270000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3"/>
              <w:ind w:left="327" w:right="319"/>
              <w:rPr>
                <w:sz w:val="21"/>
              </w:rPr>
            </w:pPr>
            <w:r>
              <w:rPr>
                <w:rFonts w:ascii="Times New Roman" w:eastAsia="Times New Roman"/>
                <w:sz w:val="21"/>
              </w:rPr>
              <w:t>1,2-</w:t>
            </w:r>
            <w:r>
              <w:rPr>
                <w:sz w:val="21"/>
              </w:rPr>
              <w:t>二氯苯</w:t>
            </w:r>
          </w:p>
        </w:tc>
        <w:tc>
          <w:tcPr>
            <w:tcW w:w="1447" w:type="dxa"/>
          </w:tcPr>
          <w:p>
            <w:pPr>
              <w:pStyle w:val="14"/>
              <w:spacing w:before="98"/>
              <w:ind w:left="118" w:right="112"/>
              <w:rPr>
                <w:rFonts w:ascii="Times New Roman" w:hAnsi="Times New Roman"/>
                <w:sz w:val="21"/>
              </w:rPr>
            </w:pPr>
            <w:bookmarkStart w:id="1115" w:name="μg/kg"/>
            <w:bookmarkEnd w:id="1115"/>
            <w:r>
              <w:rPr>
                <w:rFonts w:ascii="Times New Roman" w:hAnsi="Times New Roman"/>
                <w:sz w:val="21"/>
              </w:rPr>
              <w:t>μg/kg</w:t>
            </w:r>
          </w:p>
        </w:tc>
        <w:tc>
          <w:tcPr>
            <w:tcW w:w="1417" w:type="dxa"/>
          </w:tcPr>
          <w:p>
            <w:pPr>
              <w:pStyle w:val="14"/>
              <w:spacing w:before="98"/>
              <w:ind w:left="518"/>
              <w:jc w:val="left"/>
              <w:rPr>
                <w:rFonts w:ascii="Times New Roman"/>
                <w:sz w:val="21"/>
              </w:rPr>
            </w:pPr>
            <w:bookmarkStart w:id="1116" w:name="&lt;1.0"/>
            <w:bookmarkEnd w:id="1116"/>
            <w:r>
              <w:rPr>
                <w:rFonts w:ascii="Times New Roman"/>
                <w:sz w:val="21"/>
              </w:rPr>
              <w:t>&lt;1.0</w:t>
            </w:r>
          </w:p>
        </w:tc>
        <w:tc>
          <w:tcPr>
            <w:tcW w:w="1417" w:type="dxa"/>
          </w:tcPr>
          <w:p>
            <w:pPr>
              <w:pStyle w:val="14"/>
              <w:spacing w:before="77"/>
              <w:ind w:left="7"/>
              <w:rPr>
                <w:rFonts w:ascii="Times New Roman"/>
                <w:sz w:val="21"/>
              </w:rPr>
            </w:pPr>
            <w:r>
              <w:rPr>
                <w:rFonts w:ascii="Times New Roman"/>
                <w:w w:val="99"/>
                <w:sz w:val="21"/>
              </w:rPr>
              <w:t>/</w:t>
            </w:r>
          </w:p>
        </w:tc>
        <w:tc>
          <w:tcPr>
            <w:tcW w:w="1418" w:type="dxa"/>
          </w:tcPr>
          <w:p>
            <w:pPr>
              <w:pStyle w:val="14"/>
              <w:spacing w:before="77"/>
              <w:ind w:left="9"/>
              <w:rPr>
                <w:rFonts w:ascii="Times New Roman"/>
                <w:sz w:val="21"/>
              </w:rPr>
            </w:pPr>
            <w:r>
              <w:rPr>
                <w:rFonts w:ascii="Times New Roman"/>
                <w:w w:val="99"/>
                <w:sz w:val="21"/>
              </w:rPr>
              <w:t>/</w:t>
            </w:r>
          </w:p>
        </w:tc>
        <w:tc>
          <w:tcPr>
            <w:tcW w:w="1083" w:type="dxa"/>
          </w:tcPr>
          <w:p>
            <w:pPr>
              <w:pStyle w:val="14"/>
              <w:spacing w:before="77"/>
              <w:ind w:left="206" w:right="196"/>
              <w:rPr>
                <w:rFonts w:ascii="Times New Roman"/>
                <w:sz w:val="21"/>
              </w:rPr>
            </w:pPr>
            <w:r>
              <w:rPr>
                <w:rFonts w:ascii="Times New Roman"/>
                <w:sz w:val="21"/>
              </w:rPr>
              <w:t>560000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4"/>
              <w:ind w:left="327" w:right="319"/>
              <w:rPr>
                <w:sz w:val="21"/>
              </w:rPr>
            </w:pPr>
            <w:r>
              <w:rPr>
                <w:rFonts w:ascii="Times New Roman" w:eastAsia="Times New Roman"/>
                <w:sz w:val="21"/>
              </w:rPr>
              <w:t>1,4-</w:t>
            </w:r>
            <w:r>
              <w:rPr>
                <w:sz w:val="21"/>
              </w:rPr>
              <w:t>二氯苯</w:t>
            </w:r>
          </w:p>
        </w:tc>
        <w:tc>
          <w:tcPr>
            <w:tcW w:w="1447" w:type="dxa"/>
          </w:tcPr>
          <w:p>
            <w:pPr>
              <w:pStyle w:val="14"/>
              <w:spacing w:before="78"/>
              <w:ind w:left="118" w:right="112"/>
              <w:rPr>
                <w:rFonts w:ascii="Times New Roman" w:hAnsi="Times New Roman"/>
                <w:sz w:val="21"/>
              </w:rPr>
            </w:pPr>
            <w:r>
              <w:rPr>
                <w:rFonts w:ascii="Times New Roman" w:hAnsi="Times New Roman"/>
                <w:sz w:val="21"/>
              </w:rPr>
              <w:t>μg/kg</w:t>
            </w:r>
          </w:p>
        </w:tc>
        <w:tc>
          <w:tcPr>
            <w:tcW w:w="1417" w:type="dxa"/>
          </w:tcPr>
          <w:p>
            <w:pPr>
              <w:pStyle w:val="14"/>
              <w:spacing w:before="80"/>
              <w:ind w:left="518"/>
              <w:jc w:val="left"/>
              <w:rPr>
                <w:rFonts w:ascii="Times New Roman"/>
                <w:sz w:val="21"/>
              </w:rPr>
            </w:pPr>
            <w:bookmarkStart w:id="1117" w:name="&lt;1.2"/>
            <w:bookmarkEnd w:id="1117"/>
            <w:r>
              <w:rPr>
                <w:rFonts w:ascii="Times New Roman"/>
                <w:sz w:val="21"/>
              </w:rPr>
              <w:t>&lt;1.2</w:t>
            </w:r>
          </w:p>
        </w:tc>
        <w:tc>
          <w:tcPr>
            <w:tcW w:w="1417" w:type="dxa"/>
          </w:tcPr>
          <w:p>
            <w:pPr>
              <w:pStyle w:val="14"/>
              <w:spacing w:before="78"/>
              <w:ind w:left="7"/>
              <w:rPr>
                <w:rFonts w:ascii="Times New Roman"/>
                <w:sz w:val="21"/>
              </w:rPr>
            </w:pPr>
            <w:r>
              <w:rPr>
                <w:rFonts w:ascii="Times New Roman"/>
                <w:w w:val="99"/>
                <w:sz w:val="21"/>
              </w:rPr>
              <w:t>/</w:t>
            </w:r>
          </w:p>
        </w:tc>
        <w:tc>
          <w:tcPr>
            <w:tcW w:w="1418" w:type="dxa"/>
          </w:tcPr>
          <w:p>
            <w:pPr>
              <w:pStyle w:val="14"/>
              <w:spacing w:before="78"/>
              <w:ind w:left="9"/>
              <w:rPr>
                <w:rFonts w:ascii="Times New Roman"/>
                <w:sz w:val="21"/>
              </w:rPr>
            </w:pPr>
            <w:r>
              <w:rPr>
                <w:rFonts w:ascii="Times New Roman"/>
                <w:w w:val="99"/>
                <w:sz w:val="21"/>
              </w:rPr>
              <w:t>/</w:t>
            </w:r>
          </w:p>
        </w:tc>
        <w:tc>
          <w:tcPr>
            <w:tcW w:w="1083" w:type="dxa"/>
          </w:tcPr>
          <w:p>
            <w:pPr>
              <w:pStyle w:val="14"/>
              <w:spacing w:before="78"/>
              <w:ind w:left="206" w:right="196"/>
              <w:rPr>
                <w:rFonts w:ascii="Times New Roman"/>
                <w:sz w:val="21"/>
              </w:rPr>
            </w:pPr>
            <w:r>
              <w:rPr>
                <w:rFonts w:ascii="Times New Roman"/>
                <w:sz w:val="21"/>
              </w:rPr>
              <w:t>20000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2"/>
              <w:ind w:left="327" w:right="319"/>
              <w:rPr>
                <w:sz w:val="21"/>
              </w:rPr>
            </w:pPr>
            <w:r>
              <w:rPr>
                <w:sz w:val="21"/>
              </w:rPr>
              <w:t>乙苯</w:t>
            </w:r>
          </w:p>
        </w:tc>
        <w:tc>
          <w:tcPr>
            <w:tcW w:w="1447" w:type="dxa"/>
          </w:tcPr>
          <w:p>
            <w:pPr>
              <w:pStyle w:val="14"/>
              <w:spacing w:before="76"/>
              <w:ind w:left="116" w:right="112"/>
              <w:rPr>
                <w:rFonts w:ascii="Times New Roman"/>
                <w:sz w:val="21"/>
              </w:rPr>
            </w:pPr>
            <w:r>
              <w:rPr>
                <w:rFonts w:ascii="Times New Roman"/>
                <w:sz w:val="21"/>
              </w:rPr>
              <w:t>mg/kg</w:t>
            </w:r>
          </w:p>
        </w:tc>
        <w:tc>
          <w:tcPr>
            <w:tcW w:w="1417" w:type="dxa"/>
          </w:tcPr>
          <w:p>
            <w:pPr>
              <w:pStyle w:val="14"/>
              <w:spacing w:before="79"/>
              <w:ind w:left="412"/>
              <w:jc w:val="left"/>
              <w:rPr>
                <w:rFonts w:ascii="Times New Roman"/>
                <w:sz w:val="21"/>
              </w:rPr>
            </w:pPr>
            <w:bookmarkStart w:id="1118" w:name="&lt;0.006"/>
            <w:bookmarkEnd w:id="1118"/>
            <w:r>
              <w:rPr>
                <w:rFonts w:ascii="Times New Roman"/>
                <w:sz w:val="21"/>
              </w:rPr>
              <w:t>&lt;0.006</w:t>
            </w:r>
          </w:p>
        </w:tc>
        <w:tc>
          <w:tcPr>
            <w:tcW w:w="1417" w:type="dxa"/>
          </w:tcPr>
          <w:p>
            <w:pPr>
              <w:pStyle w:val="14"/>
              <w:spacing w:before="76"/>
              <w:ind w:left="7"/>
              <w:rPr>
                <w:rFonts w:ascii="Times New Roman"/>
                <w:sz w:val="21"/>
              </w:rPr>
            </w:pPr>
            <w:r>
              <w:rPr>
                <w:rFonts w:ascii="Times New Roman"/>
                <w:w w:val="99"/>
                <w:sz w:val="21"/>
              </w:rPr>
              <w:t>/</w:t>
            </w:r>
          </w:p>
        </w:tc>
        <w:tc>
          <w:tcPr>
            <w:tcW w:w="1418" w:type="dxa"/>
          </w:tcPr>
          <w:p>
            <w:pPr>
              <w:pStyle w:val="14"/>
              <w:spacing w:before="76"/>
              <w:ind w:left="9"/>
              <w:rPr>
                <w:rFonts w:ascii="Times New Roman"/>
                <w:sz w:val="21"/>
              </w:rPr>
            </w:pPr>
            <w:r>
              <w:rPr>
                <w:rFonts w:ascii="Times New Roman"/>
                <w:w w:val="99"/>
                <w:sz w:val="21"/>
              </w:rPr>
              <w:t>/</w:t>
            </w:r>
          </w:p>
        </w:tc>
        <w:tc>
          <w:tcPr>
            <w:tcW w:w="1083" w:type="dxa"/>
          </w:tcPr>
          <w:p>
            <w:pPr>
              <w:pStyle w:val="14"/>
              <w:spacing w:before="76"/>
              <w:ind w:left="203" w:right="196"/>
              <w:rPr>
                <w:rFonts w:ascii="Times New Roman"/>
                <w:sz w:val="21"/>
              </w:rPr>
            </w:pPr>
            <w:r>
              <w:rPr>
                <w:rFonts w:ascii="Times New Roman"/>
                <w:sz w:val="21"/>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562" w:type="dxa"/>
          </w:tcPr>
          <w:p>
            <w:pPr>
              <w:pStyle w:val="14"/>
              <w:spacing w:before="63"/>
              <w:ind w:left="327" w:right="319"/>
              <w:rPr>
                <w:sz w:val="21"/>
              </w:rPr>
            </w:pPr>
            <w:r>
              <w:rPr>
                <w:sz w:val="21"/>
              </w:rPr>
              <w:t>苯乙烯</w:t>
            </w:r>
          </w:p>
        </w:tc>
        <w:tc>
          <w:tcPr>
            <w:tcW w:w="1447" w:type="dxa"/>
          </w:tcPr>
          <w:p>
            <w:pPr>
              <w:pStyle w:val="14"/>
              <w:spacing w:before="99"/>
              <w:ind w:left="116" w:right="112"/>
              <w:rPr>
                <w:rFonts w:ascii="Times New Roman"/>
                <w:sz w:val="21"/>
              </w:rPr>
            </w:pPr>
            <w:bookmarkStart w:id="1119" w:name="mg/kg"/>
            <w:bookmarkEnd w:id="1119"/>
            <w:r>
              <w:rPr>
                <w:rFonts w:ascii="Times New Roman"/>
                <w:sz w:val="21"/>
              </w:rPr>
              <w:t>mg/kg</w:t>
            </w:r>
          </w:p>
        </w:tc>
        <w:tc>
          <w:tcPr>
            <w:tcW w:w="1417" w:type="dxa"/>
          </w:tcPr>
          <w:p>
            <w:pPr>
              <w:pStyle w:val="14"/>
              <w:spacing w:before="80"/>
              <w:ind w:left="412"/>
              <w:jc w:val="left"/>
              <w:rPr>
                <w:rFonts w:ascii="Times New Roman"/>
                <w:sz w:val="21"/>
              </w:rPr>
            </w:pPr>
            <w:bookmarkStart w:id="1120" w:name="&lt;0.002"/>
            <w:bookmarkEnd w:id="1120"/>
            <w:r>
              <w:rPr>
                <w:rFonts w:ascii="Times New Roman"/>
                <w:sz w:val="21"/>
              </w:rPr>
              <w:t>&lt;0.002</w:t>
            </w:r>
          </w:p>
        </w:tc>
        <w:tc>
          <w:tcPr>
            <w:tcW w:w="1417" w:type="dxa"/>
          </w:tcPr>
          <w:p>
            <w:pPr>
              <w:pStyle w:val="14"/>
              <w:spacing w:before="77"/>
              <w:ind w:left="7"/>
              <w:rPr>
                <w:rFonts w:ascii="Times New Roman"/>
                <w:sz w:val="21"/>
              </w:rPr>
            </w:pPr>
            <w:r>
              <w:rPr>
                <w:rFonts w:ascii="Times New Roman"/>
                <w:w w:val="99"/>
                <w:sz w:val="21"/>
              </w:rPr>
              <w:t>/</w:t>
            </w:r>
          </w:p>
        </w:tc>
        <w:tc>
          <w:tcPr>
            <w:tcW w:w="1418" w:type="dxa"/>
          </w:tcPr>
          <w:p>
            <w:pPr>
              <w:pStyle w:val="14"/>
              <w:spacing w:before="77"/>
              <w:ind w:left="9"/>
              <w:rPr>
                <w:rFonts w:ascii="Times New Roman"/>
                <w:sz w:val="21"/>
              </w:rPr>
            </w:pPr>
            <w:r>
              <w:rPr>
                <w:rFonts w:ascii="Times New Roman"/>
                <w:w w:val="99"/>
                <w:sz w:val="21"/>
              </w:rPr>
              <w:t>/</w:t>
            </w:r>
          </w:p>
        </w:tc>
        <w:tc>
          <w:tcPr>
            <w:tcW w:w="1083" w:type="dxa"/>
          </w:tcPr>
          <w:p>
            <w:pPr>
              <w:pStyle w:val="14"/>
              <w:spacing w:before="77"/>
              <w:ind w:left="203" w:right="196"/>
              <w:rPr>
                <w:rFonts w:ascii="Times New Roman"/>
                <w:sz w:val="21"/>
              </w:rPr>
            </w:pPr>
            <w:r>
              <w:rPr>
                <w:rFonts w:ascii="Times New Roman"/>
                <w:sz w:val="21"/>
              </w:rPr>
              <w:t>1290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2562" w:type="dxa"/>
          </w:tcPr>
          <w:p>
            <w:pPr>
              <w:pStyle w:val="14"/>
              <w:spacing w:before="105"/>
              <w:ind w:left="327" w:right="319"/>
              <w:rPr>
                <w:sz w:val="21"/>
              </w:rPr>
            </w:pPr>
            <w:r>
              <w:rPr>
                <w:sz w:val="21"/>
              </w:rPr>
              <w:t>甲苯</w:t>
            </w:r>
          </w:p>
        </w:tc>
        <w:tc>
          <w:tcPr>
            <w:tcW w:w="1447" w:type="dxa"/>
          </w:tcPr>
          <w:p>
            <w:pPr>
              <w:pStyle w:val="14"/>
              <w:spacing w:before="141"/>
              <w:ind w:left="116" w:right="112"/>
              <w:rPr>
                <w:rFonts w:ascii="Times New Roman"/>
                <w:sz w:val="21"/>
              </w:rPr>
            </w:pPr>
            <w:bookmarkStart w:id="1121" w:name="mg/kg"/>
            <w:bookmarkEnd w:id="1121"/>
            <w:r>
              <w:rPr>
                <w:rFonts w:ascii="Times New Roman"/>
                <w:sz w:val="21"/>
              </w:rPr>
              <w:t>mg/kg</w:t>
            </w:r>
          </w:p>
        </w:tc>
        <w:tc>
          <w:tcPr>
            <w:tcW w:w="1417" w:type="dxa"/>
          </w:tcPr>
          <w:p>
            <w:pPr>
              <w:pStyle w:val="14"/>
              <w:spacing w:before="124"/>
              <w:ind w:left="412"/>
              <w:jc w:val="left"/>
              <w:rPr>
                <w:rFonts w:ascii="Times New Roman"/>
                <w:sz w:val="21"/>
              </w:rPr>
            </w:pPr>
            <w:bookmarkStart w:id="1122" w:name="&lt;0.006"/>
            <w:bookmarkEnd w:id="1122"/>
            <w:r>
              <w:rPr>
                <w:rFonts w:ascii="Times New Roman"/>
                <w:sz w:val="21"/>
              </w:rPr>
              <w:t>&lt;0.006</w:t>
            </w:r>
          </w:p>
        </w:tc>
        <w:tc>
          <w:tcPr>
            <w:tcW w:w="1417" w:type="dxa"/>
          </w:tcPr>
          <w:p>
            <w:pPr>
              <w:pStyle w:val="14"/>
              <w:spacing w:before="119"/>
              <w:ind w:left="7"/>
              <w:rPr>
                <w:rFonts w:ascii="Times New Roman"/>
                <w:sz w:val="21"/>
              </w:rPr>
            </w:pPr>
            <w:r>
              <w:rPr>
                <w:rFonts w:ascii="Times New Roman"/>
                <w:w w:val="99"/>
                <w:sz w:val="21"/>
              </w:rPr>
              <w:t>/</w:t>
            </w:r>
          </w:p>
        </w:tc>
        <w:tc>
          <w:tcPr>
            <w:tcW w:w="1418" w:type="dxa"/>
          </w:tcPr>
          <w:p>
            <w:pPr>
              <w:pStyle w:val="14"/>
              <w:spacing w:line="241" w:lineRule="exact"/>
              <w:ind w:left="9"/>
              <w:rPr>
                <w:rFonts w:ascii="Times New Roman"/>
                <w:sz w:val="21"/>
              </w:rPr>
            </w:pPr>
            <w:r>
              <w:rPr>
                <w:rFonts w:ascii="Times New Roman"/>
                <w:w w:val="99"/>
                <w:sz w:val="21"/>
              </w:rPr>
              <w:t>/</w:t>
            </w:r>
          </w:p>
        </w:tc>
        <w:tc>
          <w:tcPr>
            <w:tcW w:w="1083" w:type="dxa"/>
          </w:tcPr>
          <w:p>
            <w:pPr>
              <w:pStyle w:val="14"/>
              <w:spacing w:before="119"/>
              <w:ind w:left="203" w:right="196"/>
              <w:rPr>
                <w:rFonts w:ascii="Times New Roman"/>
                <w:sz w:val="21"/>
              </w:rPr>
            </w:pPr>
            <w:r>
              <w:rPr>
                <w:rFonts w:ascii="Times New Roman"/>
                <w:sz w:val="21"/>
              </w:rPr>
              <w:t>1200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562" w:type="dxa"/>
          </w:tcPr>
          <w:p>
            <w:pPr>
              <w:pStyle w:val="14"/>
              <w:spacing w:before="61"/>
              <w:ind w:left="325" w:right="319"/>
              <w:rPr>
                <w:sz w:val="21"/>
              </w:rPr>
            </w:pPr>
            <w:r>
              <w:rPr>
                <w:sz w:val="21"/>
              </w:rPr>
              <w:t>间二甲苯</w:t>
            </w:r>
          </w:p>
        </w:tc>
        <w:tc>
          <w:tcPr>
            <w:tcW w:w="1447" w:type="dxa"/>
          </w:tcPr>
          <w:p>
            <w:pPr>
              <w:pStyle w:val="14"/>
              <w:spacing w:before="96"/>
              <w:ind w:left="116" w:right="112"/>
              <w:rPr>
                <w:rFonts w:ascii="Times New Roman"/>
                <w:sz w:val="21"/>
              </w:rPr>
            </w:pPr>
            <w:bookmarkStart w:id="1123" w:name="mg/kg"/>
            <w:bookmarkEnd w:id="1123"/>
            <w:r>
              <w:rPr>
                <w:rFonts w:ascii="Times New Roman"/>
                <w:sz w:val="21"/>
              </w:rPr>
              <w:t>mg/kg</w:t>
            </w:r>
          </w:p>
        </w:tc>
        <w:tc>
          <w:tcPr>
            <w:tcW w:w="1417" w:type="dxa"/>
          </w:tcPr>
          <w:p>
            <w:pPr>
              <w:pStyle w:val="14"/>
              <w:spacing w:before="80"/>
              <w:ind w:left="412"/>
              <w:jc w:val="left"/>
              <w:rPr>
                <w:rFonts w:ascii="Times New Roman"/>
                <w:sz w:val="21"/>
              </w:rPr>
            </w:pPr>
            <w:bookmarkStart w:id="1124" w:name="&lt;0.009"/>
            <w:bookmarkEnd w:id="1124"/>
            <w:r>
              <w:rPr>
                <w:rFonts w:ascii="Times New Roman"/>
                <w:sz w:val="21"/>
              </w:rPr>
              <w:t>&lt;0.009</w:t>
            </w:r>
          </w:p>
        </w:tc>
        <w:tc>
          <w:tcPr>
            <w:tcW w:w="1417" w:type="dxa"/>
          </w:tcPr>
          <w:p>
            <w:pPr>
              <w:pStyle w:val="14"/>
              <w:spacing w:before="75"/>
              <w:ind w:left="7"/>
              <w:rPr>
                <w:rFonts w:ascii="Times New Roman"/>
                <w:sz w:val="21"/>
              </w:rPr>
            </w:pPr>
            <w:r>
              <w:rPr>
                <w:rFonts w:ascii="Times New Roman"/>
                <w:w w:val="99"/>
                <w:sz w:val="21"/>
              </w:rPr>
              <w:t>/</w:t>
            </w:r>
          </w:p>
        </w:tc>
        <w:tc>
          <w:tcPr>
            <w:tcW w:w="1418" w:type="dxa"/>
          </w:tcPr>
          <w:p>
            <w:pPr>
              <w:pStyle w:val="14"/>
              <w:spacing w:before="75"/>
              <w:ind w:left="9"/>
              <w:rPr>
                <w:rFonts w:ascii="Times New Roman"/>
                <w:sz w:val="21"/>
              </w:rPr>
            </w:pPr>
            <w:r>
              <w:rPr>
                <w:rFonts w:ascii="Times New Roman"/>
                <w:w w:val="99"/>
                <w:sz w:val="21"/>
              </w:rPr>
              <w:t>/</w:t>
            </w:r>
          </w:p>
        </w:tc>
        <w:tc>
          <w:tcPr>
            <w:tcW w:w="1083" w:type="dxa"/>
          </w:tcPr>
          <w:p>
            <w:pPr>
              <w:pStyle w:val="14"/>
              <w:spacing w:before="75"/>
              <w:ind w:left="203" w:right="196"/>
              <w:rPr>
                <w:rFonts w:ascii="Times New Roman"/>
                <w:sz w:val="21"/>
              </w:rPr>
            </w:pPr>
            <w:r>
              <w:rPr>
                <w:rFonts w:ascii="Times New Roman"/>
                <w:sz w:val="21"/>
              </w:rPr>
              <w:t>570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2"/>
              <w:ind w:left="325" w:right="319"/>
              <w:rPr>
                <w:sz w:val="21"/>
              </w:rPr>
            </w:pPr>
            <w:r>
              <w:rPr>
                <w:sz w:val="21"/>
              </w:rPr>
              <w:t>对二甲苯</w:t>
            </w:r>
          </w:p>
        </w:tc>
        <w:tc>
          <w:tcPr>
            <w:tcW w:w="1447" w:type="dxa"/>
          </w:tcPr>
          <w:p>
            <w:pPr>
              <w:pStyle w:val="14"/>
              <w:spacing w:before="97"/>
              <w:ind w:left="116" w:right="112"/>
              <w:rPr>
                <w:rFonts w:ascii="Times New Roman"/>
                <w:sz w:val="21"/>
              </w:rPr>
            </w:pPr>
            <w:bookmarkStart w:id="1125" w:name="mg/kg"/>
            <w:bookmarkEnd w:id="1125"/>
            <w:r>
              <w:rPr>
                <w:rFonts w:ascii="Times New Roman"/>
                <w:sz w:val="21"/>
              </w:rPr>
              <w:t>mg/kg</w:t>
            </w:r>
          </w:p>
        </w:tc>
        <w:tc>
          <w:tcPr>
            <w:tcW w:w="1417" w:type="dxa"/>
          </w:tcPr>
          <w:p>
            <w:pPr>
              <w:pStyle w:val="14"/>
              <w:spacing w:before="78"/>
              <w:ind w:left="412"/>
              <w:jc w:val="left"/>
              <w:rPr>
                <w:rFonts w:ascii="Times New Roman"/>
                <w:sz w:val="21"/>
              </w:rPr>
            </w:pPr>
            <w:bookmarkStart w:id="1126" w:name="&lt;0.009"/>
            <w:bookmarkEnd w:id="1126"/>
            <w:r>
              <w:rPr>
                <w:rFonts w:ascii="Times New Roman"/>
                <w:sz w:val="21"/>
              </w:rPr>
              <w:t>&lt;0.009</w:t>
            </w:r>
          </w:p>
        </w:tc>
        <w:tc>
          <w:tcPr>
            <w:tcW w:w="1417" w:type="dxa"/>
          </w:tcPr>
          <w:p>
            <w:pPr>
              <w:pStyle w:val="14"/>
              <w:spacing w:before="76"/>
              <w:ind w:left="7"/>
              <w:rPr>
                <w:rFonts w:ascii="Times New Roman"/>
                <w:sz w:val="21"/>
              </w:rPr>
            </w:pPr>
            <w:r>
              <w:rPr>
                <w:rFonts w:ascii="Times New Roman"/>
                <w:w w:val="99"/>
                <w:sz w:val="21"/>
              </w:rPr>
              <w:t>/</w:t>
            </w:r>
          </w:p>
        </w:tc>
        <w:tc>
          <w:tcPr>
            <w:tcW w:w="1418" w:type="dxa"/>
          </w:tcPr>
          <w:p>
            <w:pPr>
              <w:pStyle w:val="14"/>
              <w:spacing w:before="76"/>
              <w:ind w:left="9"/>
              <w:rPr>
                <w:rFonts w:ascii="Times New Roman"/>
                <w:sz w:val="21"/>
              </w:rPr>
            </w:pPr>
            <w:r>
              <w:rPr>
                <w:rFonts w:ascii="Times New Roman"/>
                <w:w w:val="99"/>
                <w:sz w:val="21"/>
              </w:rPr>
              <w:t>/</w:t>
            </w:r>
          </w:p>
        </w:tc>
        <w:tc>
          <w:tcPr>
            <w:tcW w:w="1083" w:type="dxa"/>
          </w:tcPr>
          <w:p>
            <w:pPr>
              <w:pStyle w:val="14"/>
              <w:spacing w:before="76"/>
              <w:ind w:left="203" w:right="196"/>
              <w:rPr>
                <w:rFonts w:ascii="Times New Roman"/>
                <w:sz w:val="21"/>
              </w:rPr>
            </w:pPr>
            <w:r>
              <w:rPr>
                <w:rFonts w:ascii="Times New Roman"/>
                <w:sz w:val="21"/>
              </w:rPr>
              <w:t>570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562" w:type="dxa"/>
          </w:tcPr>
          <w:p>
            <w:pPr>
              <w:pStyle w:val="14"/>
              <w:spacing w:before="63"/>
              <w:ind w:left="325" w:right="319"/>
              <w:rPr>
                <w:sz w:val="21"/>
              </w:rPr>
            </w:pPr>
            <w:r>
              <w:rPr>
                <w:sz w:val="21"/>
              </w:rPr>
              <w:t>邻二甲苯</w:t>
            </w:r>
          </w:p>
        </w:tc>
        <w:tc>
          <w:tcPr>
            <w:tcW w:w="1447" w:type="dxa"/>
          </w:tcPr>
          <w:p>
            <w:pPr>
              <w:pStyle w:val="14"/>
              <w:spacing w:before="77"/>
              <w:ind w:left="116" w:right="112"/>
              <w:rPr>
                <w:rFonts w:ascii="Times New Roman"/>
                <w:sz w:val="21"/>
              </w:rPr>
            </w:pPr>
            <w:r>
              <w:rPr>
                <w:rFonts w:ascii="Times New Roman"/>
                <w:sz w:val="21"/>
              </w:rPr>
              <w:t>mg/kg</w:t>
            </w:r>
          </w:p>
        </w:tc>
        <w:tc>
          <w:tcPr>
            <w:tcW w:w="1417" w:type="dxa"/>
          </w:tcPr>
          <w:p>
            <w:pPr>
              <w:pStyle w:val="14"/>
              <w:spacing w:before="79"/>
              <w:ind w:left="412"/>
              <w:jc w:val="left"/>
              <w:rPr>
                <w:rFonts w:ascii="Times New Roman"/>
                <w:sz w:val="21"/>
              </w:rPr>
            </w:pPr>
            <w:bookmarkStart w:id="1127" w:name="&lt;0.002"/>
            <w:bookmarkEnd w:id="1127"/>
            <w:r>
              <w:rPr>
                <w:rFonts w:ascii="Times New Roman"/>
                <w:sz w:val="21"/>
              </w:rPr>
              <w:t>&lt;0.002</w:t>
            </w:r>
          </w:p>
        </w:tc>
        <w:tc>
          <w:tcPr>
            <w:tcW w:w="1417" w:type="dxa"/>
          </w:tcPr>
          <w:p>
            <w:pPr>
              <w:pStyle w:val="14"/>
              <w:spacing w:before="77"/>
              <w:ind w:left="7"/>
              <w:rPr>
                <w:rFonts w:ascii="Times New Roman"/>
                <w:sz w:val="21"/>
              </w:rPr>
            </w:pPr>
            <w:r>
              <w:rPr>
                <w:rFonts w:ascii="Times New Roman"/>
                <w:w w:val="99"/>
                <w:sz w:val="21"/>
              </w:rPr>
              <w:t>/</w:t>
            </w:r>
          </w:p>
        </w:tc>
        <w:tc>
          <w:tcPr>
            <w:tcW w:w="1418" w:type="dxa"/>
          </w:tcPr>
          <w:p>
            <w:pPr>
              <w:pStyle w:val="14"/>
              <w:spacing w:before="77"/>
              <w:ind w:left="9"/>
              <w:rPr>
                <w:rFonts w:ascii="Times New Roman"/>
                <w:sz w:val="21"/>
              </w:rPr>
            </w:pPr>
            <w:r>
              <w:rPr>
                <w:rFonts w:ascii="Times New Roman"/>
                <w:w w:val="99"/>
                <w:sz w:val="21"/>
              </w:rPr>
              <w:t>/</w:t>
            </w:r>
          </w:p>
        </w:tc>
        <w:tc>
          <w:tcPr>
            <w:tcW w:w="1083" w:type="dxa"/>
          </w:tcPr>
          <w:p>
            <w:pPr>
              <w:pStyle w:val="14"/>
              <w:spacing w:before="77"/>
              <w:ind w:left="203" w:right="196"/>
              <w:rPr>
                <w:rFonts w:ascii="Times New Roman"/>
                <w:sz w:val="21"/>
              </w:rPr>
            </w:pPr>
            <w:r>
              <w:rPr>
                <w:rFonts w:ascii="Times New Roman"/>
                <w:sz w:val="21"/>
              </w:rPr>
              <w:t>640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1"/>
              <w:ind w:left="327" w:right="319"/>
              <w:rPr>
                <w:sz w:val="21"/>
              </w:rPr>
            </w:pPr>
            <w:r>
              <w:rPr>
                <w:sz w:val="21"/>
              </w:rPr>
              <w:t>硝基苯</w:t>
            </w:r>
          </w:p>
        </w:tc>
        <w:tc>
          <w:tcPr>
            <w:tcW w:w="1447" w:type="dxa"/>
          </w:tcPr>
          <w:p>
            <w:pPr>
              <w:pStyle w:val="14"/>
              <w:spacing w:before="75"/>
              <w:ind w:left="116" w:right="112"/>
              <w:rPr>
                <w:rFonts w:ascii="Times New Roman"/>
                <w:sz w:val="21"/>
              </w:rPr>
            </w:pPr>
            <w:r>
              <w:rPr>
                <w:rFonts w:ascii="Times New Roman"/>
                <w:sz w:val="21"/>
              </w:rPr>
              <w:t>mg/kg</w:t>
            </w:r>
          </w:p>
        </w:tc>
        <w:tc>
          <w:tcPr>
            <w:tcW w:w="1417" w:type="dxa"/>
          </w:tcPr>
          <w:p>
            <w:pPr>
              <w:pStyle w:val="14"/>
              <w:spacing w:before="78"/>
              <w:ind w:left="465"/>
              <w:jc w:val="left"/>
              <w:rPr>
                <w:rFonts w:ascii="Times New Roman"/>
                <w:sz w:val="21"/>
              </w:rPr>
            </w:pPr>
            <w:bookmarkStart w:id="1128" w:name="&lt;0.09"/>
            <w:bookmarkEnd w:id="1128"/>
            <w:r>
              <w:rPr>
                <w:rFonts w:ascii="Times New Roman"/>
                <w:sz w:val="21"/>
              </w:rPr>
              <w:t>&lt;0.09</w:t>
            </w:r>
          </w:p>
        </w:tc>
        <w:tc>
          <w:tcPr>
            <w:tcW w:w="1417" w:type="dxa"/>
          </w:tcPr>
          <w:p>
            <w:pPr>
              <w:pStyle w:val="14"/>
              <w:spacing w:before="75"/>
              <w:ind w:left="7"/>
              <w:rPr>
                <w:rFonts w:ascii="Times New Roman"/>
                <w:sz w:val="21"/>
              </w:rPr>
            </w:pPr>
            <w:r>
              <w:rPr>
                <w:rFonts w:ascii="Times New Roman"/>
                <w:w w:val="99"/>
                <w:sz w:val="21"/>
              </w:rPr>
              <w:t>/</w:t>
            </w:r>
          </w:p>
        </w:tc>
        <w:tc>
          <w:tcPr>
            <w:tcW w:w="1418" w:type="dxa"/>
          </w:tcPr>
          <w:p>
            <w:pPr>
              <w:pStyle w:val="14"/>
              <w:spacing w:before="75"/>
              <w:ind w:left="9"/>
              <w:rPr>
                <w:rFonts w:ascii="Times New Roman"/>
                <w:sz w:val="21"/>
              </w:rPr>
            </w:pPr>
            <w:r>
              <w:rPr>
                <w:rFonts w:ascii="Times New Roman"/>
                <w:w w:val="99"/>
                <w:sz w:val="21"/>
              </w:rPr>
              <w:t>/</w:t>
            </w:r>
          </w:p>
        </w:tc>
        <w:tc>
          <w:tcPr>
            <w:tcW w:w="1083" w:type="dxa"/>
          </w:tcPr>
          <w:p>
            <w:pPr>
              <w:pStyle w:val="14"/>
              <w:spacing w:before="75"/>
              <w:ind w:left="203" w:right="196"/>
              <w:rPr>
                <w:rFonts w:ascii="Times New Roman"/>
                <w:sz w:val="21"/>
              </w:rPr>
            </w:pPr>
            <w:r>
              <w:rPr>
                <w:rFonts w:ascii="Times New Roman"/>
                <w:sz w:val="21"/>
              </w:rPr>
              <w:t>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562" w:type="dxa"/>
          </w:tcPr>
          <w:p>
            <w:pPr>
              <w:pStyle w:val="14"/>
              <w:spacing w:before="63"/>
              <w:ind w:left="327" w:right="319"/>
              <w:rPr>
                <w:sz w:val="21"/>
              </w:rPr>
            </w:pPr>
            <w:r>
              <w:rPr>
                <w:sz w:val="21"/>
              </w:rPr>
              <w:t>苯胺</w:t>
            </w:r>
          </w:p>
        </w:tc>
        <w:tc>
          <w:tcPr>
            <w:tcW w:w="1447" w:type="dxa"/>
          </w:tcPr>
          <w:p>
            <w:pPr>
              <w:pStyle w:val="14"/>
              <w:spacing w:before="76"/>
              <w:ind w:left="116" w:right="112"/>
              <w:rPr>
                <w:rFonts w:ascii="Times New Roman"/>
                <w:sz w:val="21"/>
              </w:rPr>
            </w:pPr>
            <w:r>
              <w:rPr>
                <w:rFonts w:ascii="Times New Roman"/>
                <w:sz w:val="21"/>
              </w:rPr>
              <w:t>mg/kg</w:t>
            </w:r>
          </w:p>
        </w:tc>
        <w:tc>
          <w:tcPr>
            <w:tcW w:w="1417" w:type="dxa"/>
          </w:tcPr>
          <w:p>
            <w:pPr>
              <w:pStyle w:val="14"/>
              <w:spacing w:before="79"/>
              <w:ind w:left="465"/>
              <w:jc w:val="left"/>
              <w:rPr>
                <w:rFonts w:ascii="Times New Roman"/>
                <w:sz w:val="21"/>
              </w:rPr>
            </w:pPr>
            <w:bookmarkStart w:id="1129" w:name="&lt;0.37"/>
            <w:bookmarkEnd w:id="1129"/>
            <w:r>
              <w:rPr>
                <w:rFonts w:ascii="Times New Roman"/>
                <w:sz w:val="21"/>
              </w:rPr>
              <w:t>&lt;0.37</w:t>
            </w:r>
          </w:p>
        </w:tc>
        <w:tc>
          <w:tcPr>
            <w:tcW w:w="1417" w:type="dxa"/>
          </w:tcPr>
          <w:p>
            <w:pPr>
              <w:pStyle w:val="14"/>
              <w:spacing w:before="76"/>
              <w:ind w:left="7"/>
              <w:rPr>
                <w:rFonts w:ascii="Times New Roman"/>
                <w:sz w:val="21"/>
              </w:rPr>
            </w:pPr>
            <w:r>
              <w:rPr>
                <w:rFonts w:ascii="Times New Roman"/>
                <w:w w:val="99"/>
                <w:sz w:val="21"/>
              </w:rPr>
              <w:t>/</w:t>
            </w:r>
          </w:p>
        </w:tc>
        <w:tc>
          <w:tcPr>
            <w:tcW w:w="1418" w:type="dxa"/>
          </w:tcPr>
          <w:p>
            <w:pPr>
              <w:pStyle w:val="14"/>
              <w:spacing w:before="76"/>
              <w:ind w:left="9"/>
              <w:rPr>
                <w:rFonts w:ascii="Times New Roman"/>
                <w:sz w:val="21"/>
              </w:rPr>
            </w:pPr>
            <w:r>
              <w:rPr>
                <w:rFonts w:ascii="Times New Roman"/>
                <w:w w:val="99"/>
                <w:sz w:val="21"/>
              </w:rPr>
              <w:t>/</w:t>
            </w:r>
          </w:p>
        </w:tc>
        <w:tc>
          <w:tcPr>
            <w:tcW w:w="1083" w:type="dxa"/>
          </w:tcPr>
          <w:p>
            <w:pPr>
              <w:pStyle w:val="14"/>
              <w:spacing w:before="76"/>
              <w:ind w:left="203" w:right="196"/>
              <w:rPr>
                <w:rFonts w:ascii="Times New Roman"/>
                <w:sz w:val="21"/>
              </w:rPr>
            </w:pPr>
            <w:r>
              <w:rPr>
                <w:rFonts w:ascii="Times New Roman"/>
                <w:sz w:val="21"/>
              </w:rPr>
              <w:t>260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1"/>
              <w:ind w:left="6"/>
              <w:rPr>
                <w:sz w:val="21"/>
              </w:rPr>
            </w:pPr>
            <w:r>
              <w:rPr>
                <w:w w:val="99"/>
                <w:sz w:val="21"/>
              </w:rPr>
              <w:t>萘</w:t>
            </w:r>
          </w:p>
        </w:tc>
        <w:tc>
          <w:tcPr>
            <w:tcW w:w="1447" w:type="dxa"/>
          </w:tcPr>
          <w:p>
            <w:pPr>
              <w:pStyle w:val="14"/>
              <w:spacing w:before="75"/>
              <w:ind w:left="116" w:right="112"/>
              <w:rPr>
                <w:rFonts w:ascii="Times New Roman"/>
                <w:sz w:val="21"/>
              </w:rPr>
            </w:pPr>
            <w:r>
              <w:rPr>
                <w:rFonts w:ascii="Times New Roman"/>
                <w:sz w:val="21"/>
              </w:rPr>
              <w:t>mg/kg</w:t>
            </w:r>
          </w:p>
        </w:tc>
        <w:tc>
          <w:tcPr>
            <w:tcW w:w="1417" w:type="dxa"/>
          </w:tcPr>
          <w:p>
            <w:pPr>
              <w:pStyle w:val="14"/>
              <w:spacing w:before="80"/>
              <w:ind w:left="465"/>
              <w:jc w:val="left"/>
              <w:rPr>
                <w:rFonts w:ascii="Times New Roman"/>
                <w:sz w:val="21"/>
              </w:rPr>
            </w:pPr>
            <w:bookmarkStart w:id="1130" w:name="&lt;0.09"/>
            <w:bookmarkEnd w:id="1130"/>
            <w:r>
              <w:rPr>
                <w:rFonts w:ascii="Times New Roman"/>
                <w:sz w:val="21"/>
              </w:rPr>
              <w:t>&lt;0.09</w:t>
            </w:r>
          </w:p>
        </w:tc>
        <w:tc>
          <w:tcPr>
            <w:tcW w:w="1417" w:type="dxa"/>
          </w:tcPr>
          <w:p>
            <w:pPr>
              <w:pStyle w:val="14"/>
              <w:spacing w:before="75"/>
              <w:ind w:left="7"/>
              <w:rPr>
                <w:rFonts w:ascii="Times New Roman"/>
                <w:sz w:val="21"/>
              </w:rPr>
            </w:pPr>
            <w:r>
              <w:rPr>
                <w:rFonts w:ascii="Times New Roman"/>
                <w:w w:val="99"/>
                <w:sz w:val="21"/>
              </w:rPr>
              <w:t>/</w:t>
            </w:r>
          </w:p>
        </w:tc>
        <w:tc>
          <w:tcPr>
            <w:tcW w:w="1418" w:type="dxa"/>
          </w:tcPr>
          <w:p>
            <w:pPr>
              <w:pStyle w:val="14"/>
              <w:spacing w:before="75"/>
              <w:ind w:left="9"/>
              <w:rPr>
                <w:rFonts w:ascii="Times New Roman"/>
                <w:sz w:val="21"/>
              </w:rPr>
            </w:pPr>
            <w:r>
              <w:rPr>
                <w:rFonts w:ascii="Times New Roman"/>
                <w:w w:val="99"/>
                <w:sz w:val="21"/>
              </w:rPr>
              <w:t>/</w:t>
            </w:r>
          </w:p>
        </w:tc>
        <w:tc>
          <w:tcPr>
            <w:tcW w:w="1083" w:type="dxa"/>
          </w:tcPr>
          <w:p>
            <w:pPr>
              <w:pStyle w:val="14"/>
              <w:spacing w:before="75"/>
              <w:ind w:left="203" w:right="196"/>
              <w:rPr>
                <w:rFonts w:ascii="Times New Roman"/>
                <w:sz w:val="21"/>
              </w:rPr>
            </w:pPr>
            <w:r>
              <w:rPr>
                <w:rFonts w:ascii="Times New Roman"/>
                <w:sz w:val="21"/>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2"/>
              <w:ind w:left="325" w:right="319"/>
              <w:rPr>
                <w:sz w:val="21"/>
              </w:rPr>
            </w:pPr>
            <w:r>
              <w:rPr>
                <w:rFonts w:ascii="Times New Roman" w:eastAsia="Times New Roman"/>
                <w:sz w:val="21"/>
              </w:rPr>
              <w:t>2-</w:t>
            </w:r>
            <w:r>
              <w:rPr>
                <w:sz w:val="21"/>
              </w:rPr>
              <w:t>氯酚</w:t>
            </w:r>
          </w:p>
        </w:tc>
        <w:tc>
          <w:tcPr>
            <w:tcW w:w="1447" w:type="dxa"/>
          </w:tcPr>
          <w:p>
            <w:pPr>
              <w:pStyle w:val="14"/>
              <w:spacing w:before="76"/>
              <w:ind w:left="116" w:right="112"/>
              <w:rPr>
                <w:rFonts w:ascii="Times New Roman"/>
                <w:sz w:val="21"/>
              </w:rPr>
            </w:pPr>
            <w:r>
              <w:rPr>
                <w:rFonts w:ascii="Times New Roman"/>
                <w:sz w:val="21"/>
              </w:rPr>
              <w:t>mg/kg</w:t>
            </w:r>
          </w:p>
        </w:tc>
        <w:tc>
          <w:tcPr>
            <w:tcW w:w="1417" w:type="dxa"/>
          </w:tcPr>
          <w:p>
            <w:pPr>
              <w:pStyle w:val="14"/>
              <w:spacing w:before="78"/>
              <w:ind w:left="465"/>
              <w:jc w:val="left"/>
              <w:rPr>
                <w:rFonts w:ascii="Times New Roman"/>
                <w:sz w:val="21"/>
              </w:rPr>
            </w:pPr>
            <w:bookmarkStart w:id="1131" w:name="&lt;0.06"/>
            <w:bookmarkEnd w:id="1131"/>
            <w:r>
              <w:rPr>
                <w:rFonts w:ascii="Times New Roman"/>
                <w:sz w:val="21"/>
              </w:rPr>
              <w:t>&lt;0.06</w:t>
            </w:r>
          </w:p>
        </w:tc>
        <w:tc>
          <w:tcPr>
            <w:tcW w:w="1417" w:type="dxa"/>
          </w:tcPr>
          <w:p>
            <w:pPr>
              <w:pStyle w:val="14"/>
              <w:spacing w:before="76"/>
              <w:ind w:left="7"/>
              <w:rPr>
                <w:rFonts w:ascii="Times New Roman"/>
                <w:sz w:val="21"/>
              </w:rPr>
            </w:pPr>
            <w:r>
              <w:rPr>
                <w:rFonts w:ascii="Times New Roman"/>
                <w:w w:val="99"/>
                <w:sz w:val="21"/>
              </w:rPr>
              <w:t>/</w:t>
            </w:r>
          </w:p>
        </w:tc>
        <w:tc>
          <w:tcPr>
            <w:tcW w:w="1418" w:type="dxa"/>
          </w:tcPr>
          <w:p>
            <w:pPr>
              <w:pStyle w:val="14"/>
              <w:spacing w:before="76"/>
              <w:ind w:left="9"/>
              <w:rPr>
                <w:rFonts w:ascii="Times New Roman"/>
                <w:sz w:val="21"/>
              </w:rPr>
            </w:pPr>
            <w:r>
              <w:rPr>
                <w:rFonts w:ascii="Times New Roman"/>
                <w:w w:val="99"/>
                <w:sz w:val="21"/>
              </w:rPr>
              <w:t>/</w:t>
            </w:r>
          </w:p>
        </w:tc>
        <w:tc>
          <w:tcPr>
            <w:tcW w:w="1083" w:type="dxa"/>
          </w:tcPr>
          <w:p>
            <w:pPr>
              <w:pStyle w:val="14"/>
              <w:spacing w:before="76"/>
              <w:ind w:left="203" w:right="196"/>
              <w:rPr>
                <w:rFonts w:ascii="Times New Roman"/>
                <w:sz w:val="21"/>
              </w:rPr>
            </w:pPr>
            <w:r>
              <w:rPr>
                <w:rFonts w:ascii="Times New Roman"/>
                <w:sz w:val="21"/>
              </w:rPr>
              <w:t>2256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562" w:type="dxa"/>
          </w:tcPr>
          <w:p>
            <w:pPr>
              <w:pStyle w:val="14"/>
              <w:spacing w:before="61"/>
              <w:ind w:left="328" w:right="317"/>
              <w:rPr>
                <w:sz w:val="21"/>
              </w:rPr>
            </w:pPr>
            <w:r>
              <w:rPr>
                <w:sz w:val="21"/>
              </w:rPr>
              <w:t>苯并</w:t>
            </w:r>
            <w:r>
              <w:rPr>
                <w:rFonts w:ascii="Times New Roman" w:eastAsia="Times New Roman"/>
                <w:sz w:val="21"/>
              </w:rPr>
              <w:t>[a]</w:t>
            </w:r>
            <w:r>
              <w:rPr>
                <w:sz w:val="21"/>
              </w:rPr>
              <w:t>蒽</w:t>
            </w:r>
          </w:p>
        </w:tc>
        <w:tc>
          <w:tcPr>
            <w:tcW w:w="1447" w:type="dxa"/>
          </w:tcPr>
          <w:p>
            <w:pPr>
              <w:pStyle w:val="14"/>
              <w:spacing w:before="75"/>
              <w:ind w:left="116" w:right="112"/>
              <w:rPr>
                <w:rFonts w:ascii="Times New Roman"/>
                <w:sz w:val="21"/>
              </w:rPr>
            </w:pPr>
            <w:r>
              <w:rPr>
                <w:rFonts w:ascii="Times New Roman"/>
                <w:sz w:val="21"/>
              </w:rPr>
              <w:t>mg/kg</w:t>
            </w:r>
          </w:p>
        </w:tc>
        <w:tc>
          <w:tcPr>
            <w:tcW w:w="1417" w:type="dxa"/>
          </w:tcPr>
          <w:p>
            <w:pPr>
              <w:pStyle w:val="14"/>
              <w:spacing w:before="79"/>
              <w:ind w:left="465"/>
              <w:jc w:val="left"/>
              <w:rPr>
                <w:rFonts w:ascii="Times New Roman"/>
                <w:sz w:val="21"/>
              </w:rPr>
            </w:pPr>
            <w:bookmarkStart w:id="1132" w:name="&lt;0.12"/>
            <w:bookmarkEnd w:id="1132"/>
            <w:r>
              <w:rPr>
                <w:rFonts w:ascii="Times New Roman"/>
                <w:sz w:val="21"/>
              </w:rPr>
              <w:t>&lt;0.12</w:t>
            </w:r>
          </w:p>
        </w:tc>
        <w:tc>
          <w:tcPr>
            <w:tcW w:w="1417" w:type="dxa"/>
          </w:tcPr>
          <w:p>
            <w:pPr>
              <w:pStyle w:val="14"/>
              <w:spacing w:before="75"/>
              <w:ind w:left="7"/>
              <w:rPr>
                <w:rFonts w:ascii="Times New Roman"/>
                <w:sz w:val="21"/>
              </w:rPr>
            </w:pPr>
            <w:r>
              <w:rPr>
                <w:rFonts w:ascii="Times New Roman"/>
                <w:w w:val="99"/>
                <w:sz w:val="21"/>
              </w:rPr>
              <w:t>/</w:t>
            </w:r>
          </w:p>
        </w:tc>
        <w:tc>
          <w:tcPr>
            <w:tcW w:w="1418" w:type="dxa"/>
          </w:tcPr>
          <w:p>
            <w:pPr>
              <w:pStyle w:val="14"/>
              <w:spacing w:before="75"/>
              <w:ind w:left="9"/>
              <w:rPr>
                <w:rFonts w:ascii="Times New Roman"/>
                <w:sz w:val="21"/>
              </w:rPr>
            </w:pPr>
            <w:r>
              <w:rPr>
                <w:rFonts w:ascii="Times New Roman"/>
                <w:w w:val="99"/>
                <w:sz w:val="21"/>
              </w:rPr>
              <w:t>/</w:t>
            </w:r>
          </w:p>
        </w:tc>
        <w:tc>
          <w:tcPr>
            <w:tcW w:w="1083" w:type="dxa"/>
          </w:tcPr>
          <w:p>
            <w:pPr>
              <w:pStyle w:val="14"/>
              <w:spacing w:before="75"/>
              <w:ind w:left="203" w:right="196"/>
              <w:rPr>
                <w:rFonts w:ascii="Times New Roman"/>
                <w:sz w:val="21"/>
              </w:rPr>
            </w:pPr>
            <w:r>
              <w:rPr>
                <w:rFonts w:ascii="Times New Roman"/>
                <w:sz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2"/>
              <w:ind w:left="328" w:right="317"/>
              <w:rPr>
                <w:sz w:val="21"/>
              </w:rPr>
            </w:pPr>
            <w:r>
              <w:rPr>
                <w:sz w:val="21"/>
              </w:rPr>
              <w:t>苯并</w:t>
            </w:r>
            <w:r>
              <w:rPr>
                <w:rFonts w:ascii="Times New Roman" w:eastAsia="Times New Roman"/>
                <w:sz w:val="21"/>
              </w:rPr>
              <w:t>[a]</w:t>
            </w:r>
            <w:r>
              <w:rPr>
                <w:sz w:val="21"/>
              </w:rPr>
              <w:t>芘</w:t>
            </w:r>
          </w:p>
        </w:tc>
        <w:tc>
          <w:tcPr>
            <w:tcW w:w="1447" w:type="dxa"/>
          </w:tcPr>
          <w:p>
            <w:pPr>
              <w:pStyle w:val="14"/>
              <w:spacing w:before="76"/>
              <w:ind w:left="116" w:right="112"/>
              <w:rPr>
                <w:rFonts w:ascii="Times New Roman"/>
                <w:sz w:val="21"/>
              </w:rPr>
            </w:pPr>
            <w:r>
              <w:rPr>
                <w:rFonts w:ascii="Times New Roman"/>
                <w:sz w:val="21"/>
              </w:rPr>
              <w:t>mg/kg</w:t>
            </w:r>
          </w:p>
        </w:tc>
        <w:tc>
          <w:tcPr>
            <w:tcW w:w="1417" w:type="dxa"/>
          </w:tcPr>
          <w:p>
            <w:pPr>
              <w:pStyle w:val="14"/>
              <w:spacing w:before="78"/>
              <w:ind w:left="465"/>
              <w:jc w:val="left"/>
              <w:rPr>
                <w:rFonts w:ascii="Times New Roman"/>
                <w:sz w:val="21"/>
              </w:rPr>
            </w:pPr>
            <w:bookmarkStart w:id="1133" w:name="&lt;0.17"/>
            <w:bookmarkEnd w:id="1133"/>
            <w:r>
              <w:rPr>
                <w:rFonts w:ascii="Times New Roman"/>
                <w:sz w:val="21"/>
              </w:rPr>
              <w:t>&lt;0.17</w:t>
            </w:r>
          </w:p>
        </w:tc>
        <w:tc>
          <w:tcPr>
            <w:tcW w:w="1417" w:type="dxa"/>
          </w:tcPr>
          <w:p>
            <w:pPr>
              <w:pStyle w:val="14"/>
              <w:spacing w:before="76"/>
              <w:ind w:left="7"/>
              <w:rPr>
                <w:rFonts w:ascii="Times New Roman"/>
                <w:sz w:val="21"/>
              </w:rPr>
            </w:pPr>
            <w:r>
              <w:rPr>
                <w:rFonts w:ascii="Times New Roman"/>
                <w:w w:val="99"/>
                <w:sz w:val="21"/>
              </w:rPr>
              <w:t>/</w:t>
            </w:r>
          </w:p>
        </w:tc>
        <w:tc>
          <w:tcPr>
            <w:tcW w:w="1418" w:type="dxa"/>
          </w:tcPr>
          <w:p>
            <w:pPr>
              <w:pStyle w:val="14"/>
              <w:spacing w:before="76"/>
              <w:ind w:left="9"/>
              <w:rPr>
                <w:rFonts w:ascii="Times New Roman"/>
                <w:sz w:val="21"/>
              </w:rPr>
            </w:pPr>
            <w:r>
              <w:rPr>
                <w:rFonts w:ascii="Times New Roman"/>
                <w:w w:val="99"/>
                <w:sz w:val="21"/>
              </w:rPr>
              <w:t>/</w:t>
            </w:r>
          </w:p>
        </w:tc>
        <w:tc>
          <w:tcPr>
            <w:tcW w:w="1083" w:type="dxa"/>
          </w:tcPr>
          <w:p>
            <w:pPr>
              <w:pStyle w:val="14"/>
              <w:spacing w:before="76"/>
              <w:ind w:left="203" w:right="196"/>
              <w:rPr>
                <w:rFonts w:ascii="Times New Roman"/>
                <w:sz w:val="21"/>
              </w:rPr>
            </w:pPr>
            <w:r>
              <w:rPr>
                <w:rFonts w:ascii="Times New Roman"/>
                <w:sz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3"/>
              <w:ind w:left="325" w:right="319"/>
              <w:rPr>
                <w:sz w:val="21"/>
              </w:rPr>
            </w:pPr>
            <w:r>
              <w:rPr>
                <w:sz w:val="21"/>
              </w:rPr>
              <w:t>苯并</w:t>
            </w:r>
            <w:r>
              <w:rPr>
                <w:rFonts w:ascii="Times New Roman" w:eastAsia="Times New Roman"/>
                <w:sz w:val="21"/>
              </w:rPr>
              <w:t>[b]</w:t>
            </w:r>
            <w:r>
              <w:rPr>
                <w:sz w:val="21"/>
              </w:rPr>
              <w:t>荧蒽</w:t>
            </w:r>
          </w:p>
        </w:tc>
        <w:tc>
          <w:tcPr>
            <w:tcW w:w="1447" w:type="dxa"/>
          </w:tcPr>
          <w:p>
            <w:pPr>
              <w:pStyle w:val="14"/>
              <w:spacing w:before="77"/>
              <w:ind w:left="116" w:right="112"/>
              <w:rPr>
                <w:rFonts w:ascii="Times New Roman"/>
                <w:sz w:val="21"/>
              </w:rPr>
            </w:pPr>
            <w:r>
              <w:rPr>
                <w:rFonts w:ascii="Times New Roman"/>
                <w:sz w:val="21"/>
              </w:rPr>
              <w:t>mg/kg</w:t>
            </w:r>
          </w:p>
        </w:tc>
        <w:tc>
          <w:tcPr>
            <w:tcW w:w="1417" w:type="dxa"/>
          </w:tcPr>
          <w:p>
            <w:pPr>
              <w:pStyle w:val="14"/>
              <w:spacing w:before="79"/>
              <w:ind w:left="465"/>
              <w:jc w:val="left"/>
              <w:rPr>
                <w:rFonts w:ascii="Times New Roman"/>
                <w:sz w:val="21"/>
              </w:rPr>
            </w:pPr>
            <w:bookmarkStart w:id="1134" w:name="&lt;0.17"/>
            <w:bookmarkEnd w:id="1134"/>
            <w:r>
              <w:rPr>
                <w:rFonts w:ascii="Times New Roman"/>
                <w:sz w:val="21"/>
              </w:rPr>
              <w:t>&lt;0.17</w:t>
            </w:r>
          </w:p>
        </w:tc>
        <w:tc>
          <w:tcPr>
            <w:tcW w:w="1417" w:type="dxa"/>
          </w:tcPr>
          <w:p>
            <w:pPr>
              <w:pStyle w:val="14"/>
              <w:spacing w:before="77"/>
              <w:ind w:left="7"/>
              <w:rPr>
                <w:rFonts w:ascii="Times New Roman"/>
                <w:sz w:val="21"/>
              </w:rPr>
            </w:pPr>
            <w:r>
              <w:rPr>
                <w:rFonts w:ascii="Times New Roman"/>
                <w:w w:val="99"/>
                <w:sz w:val="21"/>
              </w:rPr>
              <w:t>/</w:t>
            </w:r>
          </w:p>
        </w:tc>
        <w:tc>
          <w:tcPr>
            <w:tcW w:w="1418" w:type="dxa"/>
          </w:tcPr>
          <w:p>
            <w:pPr>
              <w:pStyle w:val="14"/>
              <w:spacing w:before="77"/>
              <w:ind w:left="9"/>
              <w:rPr>
                <w:rFonts w:ascii="Times New Roman"/>
                <w:sz w:val="21"/>
              </w:rPr>
            </w:pPr>
            <w:r>
              <w:rPr>
                <w:rFonts w:ascii="Times New Roman"/>
                <w:w w:val="99"/>
                <w:sz w:val="21"/>
              </w:rPr>
              <w:t>/</w:t>
            </w:r>
          </w:p>
        </w:tc>
        <w:tc>
          <w:tcPr>
            <w:tcW w:w="1083" w:type="dxa"/>
          </w:tcPr>
          <w:p>
            <w:pPr>
              <w:pStyle w:val="14"/>
              <w:spacing w:before="77"/>
              <w:ind w:left="203" w:right="196"/>
              <w:rPr>
                <w:rFonts w:ascii="Times New Roman"/>
                <w:sz w:val="21"/>
              </w:rPr>
            </w:pPr>
            <w:r>
              <w:rPr>
                <w:rFonts w:ascii="Times New Roman"/>
                <w:sz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1"/>
              <w:ind w:left="325" w:right="319"/>
              <w:rPr>
                <w:sz w:val="21"/>
              </w:rPr>
            </w:pPr>
            <w:r>
              <w:rPr>
                <w:sz w:val="21"/>
              </w:rPr>
              <w:t>苯并</w:t>
            </w:r>
            <w:r>
              <w:rPr>
                <w:rFonts w:ascii="Times New Roman" w:eastAsia="Times New Roman"/>
                <w:sz w:val="21"/>
              </w:rPr>
              <w:t>[k]</w:t>
            </w:r>
            <w:r>
              <w:rPr>
                <w:sz w:val="21"/>
              </w:rPr>
              <w:t>荧蒽</w:t>
            </w:r>
          </w:p>
        </w:tc>
        <w:tc>
          <w:tcPr>
            <w:tcW w:w="1447" w:type="dxa"/>
          </w:tcPr>
          <w:p>
            <w:pPr>
              <w:pStyle w:val="14"/>
              <w:spacing w:before="75"/>
              <w:ind w:left="116" w:right="112"/>
              <w:rPr>
                <w:rFonts w:ascii="Times New Roman"/>
                <w:sz w:val="21"/>
              </w:rPr>
            </w:pPr>
            <w:r>
              <w:rPr>
                <w:rFonts w:ascii="Times New Roman"/>
                <w:sz w:val="21"/>
              </w:rPr>
              <w:t>mg/kg</w:t>
            </w:r>
          </w:p>
        </w:tc>
        <w:tc>
          <w:tcPr>
            <w:tcW w:w="1417" w:type="dxa"/>
          </w:tcPr>
          <w:p>
            <w:pPr>
              <w:pStyle w:val="14"/>
              <w:spacing w:before="78"/>
              <w:ind w:left="470"/>
              <w:jc w:val="left"/>
              <w:rPr>
                <w:rFonts w:ascii="Times New Roman"/>
                <w:sz w:val="21"/>
              </w:rPr>
            </w:pPr>
            <w:bookmarkStart w:id="1135" w:name="&lt;0.11"/>
            <w:bookmarkEnd w:id="1135"/>
            <w:r>
              <w:rPr>
                <w:rFonts w:ascii="Times New Roman"/>
                <w:sz w:val="21"/>
              </w:rPr>
              <w:t>&lt;0.11</w:t>
            </w:r>
          </w:p>
        </w:tc>
        <w:tc>
          <w:tcPr>
            <w:tcW w:w="1417" w:type="dxa"/>
          </w:tcPr>
          <w:p>
            <w:pPr>
              <w:pStyle w:val="14"/>
              <w:spacing w:before="75"/>
              <w:ind w:left="7"/>
              <w:rPr>
                <w:rFonts w:ascii="Times New Roman"/>
                <w:sz w:val="21"/>
              </w:rPr>
            </w:pPr>
            <w:r>
              <w:rPr>
                <w:rFonts w:ascii="Times New Roman"/>
                <w:w w:val="99"/>
                <w:sz w:val="21"/>
              </w:rPr>
              <w:t>/</w:t>
            </w:r>
          </w:p>
        </w:tc>
        <w:tc>
          <w:tcPr>
            <w:tcW w:w="1418" w:type="dxa"/>
          </w:tcPr>
          <w:p>
            <w:pPr>
              <w:pStyle w:val="14"/>
              <w:spacing w:before="75"/>
              <w:ind w:left="9"/>
              <w:rPr>
                <w:rFonts w:ascii="Times New Roman"/>
                <w:sz w:val="21"/>
              </w:rPr>
            </w:pPr>
            <w:r>
              <w:rPr>
                <w:rFonts w:ascii="Times New Roman"/>
                <w:w w:val="99"/>
                <w:sz w:val="21"/>
              </w:rPr>
              <w:t>/</w:t>
            </w:r>
          </w:p>
        </w:tc>
        <w:tc>
          <w:tcPr>
            <w:tcW w:w="1083" w:type="dxa"/>
          </w:tcPr>
          <w:p>
            <w:pPr>
              <w:pStyle w:val="14"/>
              <w:spacing w:before="75"/>
              <w:ind w:left="203" w:right="196"/>
              <w:rPr>
                <w:rFonts w:ascii="Times New Roman"/>
                <w:sz w:val="21"/>
              </w:rPr>
            </w:pPr>
            <w:r>
              <w:rPr>
                <w:rFonts w:ascii="Times New Roman"/>
                <w:sz w:val="21"/>
              </w:rPr>
              <w:t>151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562" w:type="dxa"/>
          </w:tcPr>
          <w:p>
            <w:pPr>
              <w:pStyle w:val="14"/>
              <w:spacing w:before="62"/>
              <w:ind w:left="6"/>
              <w:rPr>
                <w:sz w:val="21"/>
              </w:rPr>
            </w:pPr>
            <w:r>
              <w:rPr>
                <w:w w:val="99"/>
                <w:sz w:val="21"/>
              </w:rPr>
              <w:t>䓛</w:t>
            </w:r>
          </w:p>
        </w:tc>
        <w:tc>
          <w:tcPr>
            <w:tcW w:w="1447" w:type="dxa"/>
          </w:tcPr>
          <w:p>
            <w:pPr>
              <w:pStyle w:val="14"/>
              <w:spacing w:before="76"/>
              <w:ind w:left="116" w:right="112"/>
              <w:rPr>
                <w:rFonts w:ascii="Times New Roman"/>
                <w:sz w:val="21"/>
              </w:rPr>
            </w:pPr>
            <w:r>
              <w:rPr>
                <w:rFonts w:ascii="Times New Roman"/>
                <w:sz w:val="21"/>
              </w:rPr>
              <w:t>mg/kg</w:t>
            </w:r>
          </w:p>
        </w:tc>
        <w:tc>
          <w:tcPr>
            <w:tcW w:w="1417" w:type="dxa"/>
          </w:tcPr>
          <w:p>
            <w:pPr>
              <w:pStyle w:val="14"/>
              <w:spacing w:before="79"/>
              <w:ind w:left="465"/>
              <w:jc w:val="left"/>
              <w:rPr>
                <w:rFonts w:ascii="Times New Roman"/>
                <w:sz w:val="21"/>
              </w:rPr>
            </w:pPr>
            <w:bookmarkStart w:id="1136" w:name="&lt;0.14"/>
            <w:bookmarkEnd w:id="1136"/>
            <w:r>
              <w:rPr>
                <w:rFonts w:ascii="Times New Roman"/>
                <w:sz w:val="21"/>
              </w:rPr>
              <w:t>&lt;0.14</w:t>
            </w:r>
          </w:p>
        </w:tc>
        <w:tc>
          <w:tcPr>
            <w:tcW w:w="1417" w:type="dxa"/>
          </w:tcPr>
          <w:p>
            <w:pPr>
              <w:pStyle w:val="14"/>
              <w:spacing w:before="76"/>
              <w:ind w:left="7"/>
              <w:rPr>
                <w:rFonts w:ascii="Times New Roman"/>
                <w:sz w:val="21"/>
              </w:rPr>
            </w:pPr>
            <w:r>
              <w:rPr>
                <w:rFonts w:ascii="Times New Roman"/>
                <w:w w:val="99"/>
                <w:sz w:val="21"/>
              </w:rPr>
              <w:t>/</w:t>
            </w:r>
          </w:p>
        </w:tc>
        <w:tc>
          <w:tcPr>
            <w:tcW w:w="1418" w:type="dxa"/>
          </w:tcPr>
          <w:p>
            <w:pPr>
              <w:pStyle w:val="14"/>
              <w:spacing w:before="76"/>
              <w:ind w:left="9"/>
              <w:rPr>
                <w:rFonts w:ascii="Times New Roman"/>
                <w:sz w:val="21"/>
              </w:rPr>
            </w:pPr>
            <w:r>
              <w:rPr>
                <w:rFonts w:ascii="Times New Roman"/>
                <w:w w:val="99"/>
                <w:sz w:val="21"/>
              </w:rPr>
              <w:t>/</w:t>
            </w:r>
          </w:p>
        </w:tc>
        <w:tc>
          <w:tcPr>
            <w:tcW w:w="1083" w:type="dxa"/>
          </w:tcPr>
          <w:p>
            <w:pPr>
              <w:pStyle w:val="14"/>
              <w:spacing w:before="76"/>
              <w:ind w:left="203" w:right="196"/>
              <w:rPr>
                <w:rFonts w:ascii="Times New Roman"/>
                <w:sz w:val="21"/>
              </w:rPr>
            </w:pPr>
            <w:r>
              <w:rPr>
                <w:rFonts w:ascii="Times New Roman"/>
                <w:sz w:val="21"/>
              </w:rPr>
              <w:t>1293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1"/>
              <w:ind w:left="328" w:right="317"/>
              <w:rPr>
                <w:sz w:val="21"/>
              </w:rPr>
            </w:pPr>
            <w:r>
              <w:rPr>
                <w:sz w:val="21"/>
              </w:rPr>
              <w:t>茚并</w:t>
            </w:r>
            <w:r>
              <w:rPr>
                <w:rFonts w:ascii="Times New Roman" w:eastAsia="Times New Roman"/>
                <w:sz w:val="21"/>
              </w:rPr>
              <w:t>[1,2,3-cd]</w:t>
            </w:r>
            <w:r>
              <w:rPr>
                <w:sz w:val="21"/>
              </w:rPr>
              <w:t>芘</w:t>
            </w:r>
          </w:p>
        </w:tc>
        <w:tc>
          <w:tcPr>
            <w:tcW w:w="1447" w:type="dxa"/>
          </w:tcPr>
          <w:p>
            <w:pPr>
              <w:pStyle w:val="14"/>
              <w:spacing w:before="75"/>
              <w:ind w:left="116" w:right="112"/>
              <w:rPr>
                <w:rFonts w:ascii="Times New Roman"/>
                <w:sz w:val="21"/>
              </w:rPr>
            </w:pPr>
            <w:r>
              <w:rPr>
                <w:rFonts w:ascii="Times New Roman"/>
                <w:sz w:val="21"/>
              </w:rPr>
              <w:t>mg/kg</w:t>
            </w:r>
          </w:p>
        </w:tc>
        <w:tc>
          <w:tcPr>
            <w:tcW w:w="1417" w:type="dxa"/>
          </w:tcPr>
          <w:p>
            <w:pPr>
              <w:pStyle w:val="14"/>
              <w:spacing w:before="80"/>
              <w:ind w:left="465"/>
              <w:jc w:val="left"/>
              <w:rPr>
                <w:rFonts w:ascii="Times New Roman"/>
                <w:sz w:val="21"/>
              </w:rPr>
            </w:pPr>
            <w:bookmarkStart w:id="1137" w:name="&lt;0.13"/>
            <w:bookmarkEnd w:id="1137"/>
            <w:r>
              <w:rPr>
                <w:rFonts w:ascii="Times New Roman"/>
                <w:sz w:val="21"/>
              </w:rPr>
              <w:t>&lt;0.13</w:t>
            </w:r>
          </w:p>
        </w:tc>
        <w:tc>
          <w:tcPr>
            <w:tcW w:w="1417" w:type="dxa"/>
          </w:tcPr>
          <w:p>
            <w:pPr>
              <w:pStyle w:val="14"/>
              <w:spacing w:before="75"/>
              <w:ind w:left="7"/>
              <w:rPr>
                <w:rFonts w:ascii="Times New Roman"/>
                <w:sz w:val="21"/>
              </w:rPr>
            </w:pPr>
            <w:r>
              <w:rPr>
                <w:rFonts w:ascii="Times New Roman"/>
                <w:w w:val="99"/>
                <w:sz w:val="21"/>
              </w:rPr>
              <w:t>/</w:t>
            </w:r>
          </w:p>
        </w:tc>
        <w:tc>
          <w:tcPr>
            <w:tcW w:w="1418" w:type="dxa"/>
          </w:tcPr>
          <w:p>
            <w:pPr>
              <w:pStyle w:val="14"/>
              <w:spacing w:before="75"/>
              <w:ind w:left="9"/>
              <w:rPr>
                <w:rFonts w:ascii="Times New Roman"/>
                <w:sz w:val="21"/>
              </w:rPr>
            </w:pPr>
            <w:r>
              <w:rPr>
                <w:rFonts w:ascii="Times New Roman"/>
                <w:w w:val="99"/>
                <w:sz w:val="21"/>
              </w:rPr>
              <w:t>/</w:t>
            </w:r>
          </w:p>
        </w:tc>
        <w:tc>
          <w:tcPr>
            <w:tcW w:w="1083" w:type="dxa"/>
          </w:tcPr>
          <w:p>
            <w:pPr>
              <w:pStyle w:val="14"/>
              <w:spacing w:before="75"/>
              <w:ind w:left="203" w:right="196"/>
              <w:rPr>
                <w:rFonts w:ascii="Times New Roman"/>
                <w:sz w:val="21"/>
              </w:rPr>
            </w:pPr>
            <w:r>
              <w:rPr>
                <w:rFonts w:ascii="Times New Roman"/>
                <w:sz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2"/>
              <w:ind w:left="328" w:right="319"/>
              <w:rPr>
                <w:sz w:val="21"/>
              </w:rPr>
            </w:pPr>
            <w:r>
              <w:rPr>
                <w:sz w:val="21"/>
              </w:rPr>
              <w:t>二苯并</w:t>
            </w:r>
            <w:r>
              <w:rPr>
                <w:rFonts w:ascii="Times New Roman" w:eastAsia="Times New Roman"/>
                <w:sz w:val="21"/>
              </w:rPr>
              <w:t>[a</w:t>
            </w:r>
            <w:r>
              <w:rPr>
                <w:sz w:val="21"/>
              </w:rPr>
              <w:t>，</w:t>
            </w:r>
            <w:r>
              <w:rPr>
                <w:rFonts w:ascii="Times New Roman" w:eastAsia="Times New Roman"/>
                <w:sz w:val="21"/>
              </w:rPr>
              <w:t>h]</w:t>
            </w:r>
            <w:r>
              <w:rPr>
                <w:sz w:val="21"/>
              </w:rPr>
              <w:t>蒽</w:t>
            </w:r>
          </w:p>
        </w:tc>
        <w:tc>
          <w:tcPr>
            <w:tcW w:w="1447" w:type="dxa"/>
          </w:tcPr>
          <w:p>
            <w:pPr>
              <w:pStyle w:val="14"/>
              <w:spacing w:before="76"/>
              <w:ind w:left="116" w:right="112"/>
              <w:rPr>
                <w:rFonts w:ascii="Times New Roman"/>
                <w:sz w:val="21"/>
              </w:rPr>
            </w:pPr>
            <w:r>
              <w:rPr>
                <w:rFonts w:ascii="Times New Roman"/>
                <w:sz w:val="21"/>
              </w:rPr>
              <w:t>mg/kg</w:t>
            </w:r>
          </w:p>
        </w:tc>
        <w:tc>
          <w:tcPr>
            <w:tcW w:w="1417" w:type="dxa"/>
          </w:tcPr>
          <w:p>
            <w:pPr>
              <w:pStyle w:val="14"/>
              <w:spacing w:before="78"/>
              <w:ind w:left="465"/>
              <w:jc w:val="left"/>
              <w:rPr>
                <w:rFonts w:ascii="Times New Roman"/>
                <w:sz w:val="21"/>
              </w:rPr>
            </w:pPr>
            <w:bookmarkStart w:id="1138" w:name="&lt;0.13"/>
            <w:bookmarkEnd w:id="1138"/>
            <w:r>
              <w:rPr>
                <w:rFonts w:ascii="Times New Roman"/>
                <w:sz w:val="21"/>
              </w:rPr>
              <w:t>&lt;0.13</w:t>
            </w:r>
          </w:p>
        </w:tc>
        <w:tc>
          <w:tcPr>
            <w:tcW w:w="1417" w:type="dxa"/>
          </w:tcPr>
          <w:p>
            <w:pPr>
              <w:pStyle w:val="14"/>
              <w:spacing w:before="76"/>
              <w:ind w:left="7"/>
              <w:rPr>
                <w:rFonts w:ascii="Times New Roman"/>
                <w:sz w:val="21"/>
              </w:rPr>
            </w:pPr>
            <w:r>
              <w:rPr>
                <w:rFonts w:ascii="Times New Roman"/>
                <w:w w:val="99"/>
                <w:sz w:val="21"/>
              </w:rPr>
              <w:t>/</w:t>
            </w:r>
          </w:p>
        </w:tc>
        <w:tc>
          <w:tcPr>
            <w:tcW w:w="1418" w:type="dxa"/>
          </w:tcPr>
          <w:p>
            <w:pPr>
              <w:pStyle w:val="14"/>
              <w:spacing w:before="76"/>
              <w:ind w:left="9"/>
              <w:rPr>
                <w:rFonts w:ascii="Times New Roman"/>
                <w:sz w:val="21"/>
              </w:rPr>
            </w:pPr>
            <w:r>
              <w:rPr>
                <w:rFonts w:ascii="Times New Roman"/>
                <w:w w:val="99"/>
                <w:sz w:val="21"/>
              </w:rPr>
              <w:t>/</w:t>
            </w:r>
          </w:p>
        </w:tc>
        <w:tc>
          <w:tcPr>
            <w:tcW w:w="1083" w:type="dxa"/>
          </w:tcPr>
          <w:p>
            <w:pPr>
              <w:pStyle w:val="14"/>
              <w:spacing w:before="76"/>
              <w:ind w:left="203" w:right="196"/>
              <w:rPr>
                <w:rFonts w:ascii="Times New Roman"/>
                <w:sz w:val="21"/>
              </w:rPr>
            </w:pPr>
            <w:r>
              <w:rPr>
                <w:rFonts w:ascii="Times New Roman"/>
                <w:sz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3"/>
              <w:ind w:left="328" w:right="319"/>
              <w:rPr>
                <w:sz w:val="21"/>
              </w:rPr>
            </w:pPr>
            <w:r>
              <w:rPr>
                <w:sz w:val="21"/>
              </w:rPr>
              <w:t>石油烃（</w:t>
            </w:r>
            <w:r>
              <w:rPr>
                <w:rFonts w:ascii="Times New Roman" w:eastAsia="Times New Roman"/>
                <w:sz w:val="21"/>
              </w:rPr>
              <w:t>C10~C40</w:t>
            </w:r>
            <w:r>
              <w:rPr>
                <w:sz w:val="21"/>
              </w:rPr>
              <w:t>）</w:t>
            </w:r>
          </w:p>
        </w:tc>
        <w:tc>
          <w:tcPr>
            <w:tcW w:w="1447" w:type="dxa"/>
          </w:tcPr>
          <w:p>
            <w:pPr>
              <w:pStyle w:val="14"/>
              <w:spacing w:before="77"/>
              <w:ind w:left="116" w:right="112"/>
              <w:rPr>
                <w:rFonts w:ascii="Times New Roman"/>
                <w:sz w:val="21"/>
              </w:rPr>
            </w:pPr>
            <w:r>
              <w:rPr>
                <w:rFonts w:ascii="Times New Roman"/>
                <w:sz w:val="21"/>
              </w:rPr>
              <w:t>mg/kg</w:t>
            </w:r>
          </w:p>
        </w:tc>
        <w:tc>
          <w:tcPr>
            <w:tcW w:w="1417" w:type="dxa"/>
          </w:tcPr>
          <w:p>
            <w:pPr>
              <w:pStyle w:val="14"/>
              <w:spacing w:before="79"/>
              <w:ind w:left="161" w:right="151"/>
              <w:rPr>
                <w:rFonts w:ascii="Times New Roman"/>
                <w:sz w:val="21"/>
              </w:rPr>
            </w:pPr>
            <w:bookmarkStart w:id="1139" w:name="&lt;6"/>
            <w:bookmarkEnd w:id="1139"/>
            <w:r>
              <w:rPr>
                <w:rFonts w:ascii="Times New Roman"/>
                <w:sz w:val="21"/>
              </w:rPr>
              <w:t>&lt;6</w:t>
            </w:r>
          </w:p>
        </w:tc>
        <w:tc>
          <w:tcPr>
            <w:tcW w:w="1417" w:type="dxa"/>
          </w:tcPr>
          <w:p>
            <w:pPr>
              <w:pStyle w:val="14"/>
              <w:spacing w:before="79"/>
              <w:ind w:left="161" w:right="153"/>
              <w:rPr>
                <w:rFonts w:ascii="Times New Roman"/>
                <w:sz w:val="21"/>
              </w:rPr>
            </w:pPr>
            <w:bookmarkStart w:id="1140" w:name="&lt;6"/>
            <w:bookmarkEnd w:id="1140"/>
            <w:r>
              <w:rPr>
                <w:rFonts w:ascii="Times New Roman"/>
                <w:sz w:val="21"/>
              </w:rPr>
              <w:t>&lt;6</w:t>
            </w:r>
          </w:p>
        </w:tc>
        <w:tc>
          <w:tcPr>
            <w:tcW w:w="1418" w:type="dxa"/>
          </w:tcPr>
          <w:p>
            <w:pPr>
              <w:pStyle w:val="14"/>
              <w:spacing w:before="79"/>
              <w:ind w:left="162" w:right="154"/>
              <w:rPr>
                <w:rFonts w:ascii="Times New Roman"/>
                <w:sz w:val="21"/>
              </w:rPr>
            </w:pPr>
            <w:bookmarkStart w:id="1141" w:name="&lt;6"/>
            <w:bookmarkEnd w:id="1141"/>
            <w:r>
              <w:rPr>
                <w:rFonts w:ascii="Times New Roman"/>
                <w:sz w:val="21"/>
              </w:rPr>
              <w:t>&lt;6</w:t>
            </w:r>
          </w:p>
        </w:tc>
        <w:tc>
          <w:tcPr>
            <w:tcW w:w="1083" w:type="dxa"/>
          </w:tcPr>
          <w:p>
            <w:pPr>
              <w:pStyle w:val="14"/>
              <w:spacing w:before="77"/>
              <w:ind w:left="203" w:right="196"/>
              <w:rPr>
                <w:rFonts w:ascii="Times New Roman"/>
                <w:sz w:val="21"/>
              </w:rPr>
            </w:pPr>
            <w:r>
              <w:rPr>
                <w:rFonts w:ascii="Times New Roman"/>
                <w:sz w:val="21"/>
              </w:rPr>
              <w:t>4500</w:t>
            </w:r>
          </w:p>
        </w:tc>
      </w:tr>
    </w:tbl>
    <w:p>
      <w:pPr>
        <w:spacing w:after="0"/>
        <w:rPr>
          <w:rFonts w:ascii="Times New Roman"/>
          <w:sz w:val="21"/>
        </w:rPr>
        <w:sectPr>
          <w:pgSz w:w="11910" w:h="16840"/>
          <w:pgMar w:top="1580" w:right="780" w:bottom="1320" w:left="1200" w:header="0" w:footer="1058" w:gutter="0"/>
        </w:sectPr>
      </w:pPr>
    </w:p>
    <w:p>
      <w:pPr>
        <w:spacing w:before="5"/>
        <w:ind w:left="215" w:right="0" w:firstLine="0"/>
        <w:jc w:val="left"/>
        <w:rPr>
          <w:b/>
          <w:sz w:val="18"/>
        </w:rPr>
      </w:pPr>
      <w:r>
        <w:rPr>
          <w:b/>
          <w:sz w:val="18"/>
        </w:rPr>
        <w:t>注：</w:t>
      </w:r>
      <w:r>
        <w:rPr>
          <w:rFonts w:ascii="Times New Roman" w:hAnsi="Times New Roman" w:eastAsia="Times New Roman"/>
          <w:b/>
          <w:sz w:val="18"/>
        </w:rPr>
        <w:t>“</w:t>
      </w:r>
      <w:r>
        <w:rPr>
          <w:rFonts w:ascii="Times New Roman" w:hAnsi="Times New Roman" w:eastAsia="Times New Roman"/>
          <w:sz w:val="18"/>
        </w:rPr>
        <w:t>&lt;</w:t>
      </w:r>
      <w:r>
        <w:rPr>
          <w:rFonts w:ascii="Times New Roman" w:hAnsi="Times New Roman" w:eastAsia="Times New Roman"/>
          <w:b/>
          <w:sz w:val="18"/>
        </w:rPr>
        <w:t>”</w:t>
      </w:r>
      <w:r>
        <w:rPr>
          <w:b/>
          <w:sz w:val="18"/>
        </w:rPr>
        <w:t>代表低于检出限</w:t>
      </w:r>
    </w:p>
    <w:p>
      <w:pPr>
        <w:pStyle w:val="6"/>
        <w:spacing w:before="9"/>
        <w:rPr>
          <w:b/>
          <w:sz w:val="27"/>
        </w:rPr>
      </w:pPr>
      <w:r>
        <w:br w:type="column"/>
      </w:r>
    </w:p>
    <w:p>
      <w:pPr>
        <w:pStyle w:val="5"/>
        <w:tabs>
          <w:tab w:val="left" w:pos="1363"/>
        </w:tabs>
        <w:ind w:left="215"/>
      </w:pPr>
      <w:r>
        <w:t>表</w:t>
      </w:r>
      <w:r>
        <w:rPr>
          <w:spacing w:val="-61"/>
        </w:rPr>
        <w:t xml:space="preserve"> </w:t>
      </w:r>
      <w:r>
        <w:rPr>
          <w:rFonts w:ascii="Times New Roman" w:eastAsia="Times New Roman"/>
          <w:spacing w:val="-3"/>
        </w:rPr>
        <w:t>11.3-8</w:t>
      </w:r>
      <w:r>
        <w:rPr>
          <w:rFonts w:ascii="Times New Roman" w:eastAsia="Times New Roman"/>
          <w:spacing w:val="-3"/>
        </w:rPr>
        <w:tab/>
      </w:r>
      <w:r>
        <w:t>土壤环境质量评价结果</w:t>
      </w:r>
    </w:p>
    <w:p>
      <w:pPr>
        <w:spacing w:after="0"/>
        <w:sectPr>
          <w:type w:val="continuous"/>
          <w:pgSz w:w="11910" w:h="16840"/>
          <w:pgMar w:top="1580" w:right="780" w:bottom="280" w:left="1200" w:header="720" w:footer="720" w:gutter="0"/>
          <w:cols w:equalWidth="0" w:num="2">
            <w:col w:w="2164" w:space="627"/>
            <w:col w:w="7139"/>
          </w:cols>
        </w:sectPr>
      </w:pP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56"/>
        <w:gridCol w:w="1367"/>
        <w:gridCol w:w="1579"/>
        <w:gridCol w:w="1579"/>
        <w:gridCol w:w="1580"/>
        <w:gridCol w:w="10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vMerge w:val="restart"/>
          </w:tcPr>
          <w:p>
            <w:pPr>
              <w:pStyle w:val="14"/>
              <w:spacing w:before="8"/>
              <w:jc w:val="left"/>
              <w:rPr>
                <w:b/>
                <w:sz w:val="26"/>
              </w:rPr>
            </w:pPr>
          </w:p>
          <w:p>
            <w:pPr>
              <w:pStyle w:val="14"/>
              <w:ind w:left="694"/>
              <w:jc w:val="left"/>
              <w:rPr>
                <w:sz w:val="21"/>
              </w:rPr>
            </w:pPr>
            <w:bookmarkStart w:id="1142" w:name="检测项目"/>
            <w:bookmarkEnd w:id="1142"/>
            <w:r>
              <w:rPr>
                <w:sz w:val="21"/>
              </w:rPr>
              <w:t>检测项目</w:t>
            </w:r>
          </w:p>
        </w:tc>
        <w:tc>
          <w:tcPr>
            <w:tcW w:w="1367" w:type="dxa"/>
            <w:vMerge w:val="restart"/>
          </w:tcPr>
          <w:p>
            <w:pPr>
              <w:pStyle w:val="14"/>
              <w:spacing w:before="8"/>
              <w:jc w:val="left"/>
              <w:rPr>
                <w:b/>
                <w:sz w:val="26"/>
              </w:rPr>
            </w:pPr>
          </w:p>
          <w:p>
            <w:pPr>
              <w:pStyle w:val="14"/>
              <w:ind w:left="452" w:right="445"/>
              <w:rPr>
                <w:sz w:val="21"/>
              </w:rPr>
            </w:pPr>
            <w:r>
              <w:rPr>
                <w:sz w:val="21"/>
              </w:rPr>
              <w:t>单位</w:t>
            </w:r>
          </w:p>
        </w:tc>
        <w:tc>
          <w:tcPr>
            <w:tcW w:w="4738" w:type="dxa"/>
            <w:gridSpan w:val="3"/>
          </w:tcPr>
          <w:p>
            <w:pPr>
              <w:pStyle w:val="14"/>
              <w:spacing w:before="63"/>
              <w:ind w:left="1735" w:right="1728"/>
              <w:rPr>
                <w:sz w:val="21"/>
              </w:rPr>
            </w:pPr>
            <w:r>
              <w:rPr>
                <w:sz w:val="21"/>
              </w:rPr>
              <w:t>占标率（</w:t>
            </w:r>
            <w:r>
              <w:rPr>
                <w:rFonts w:ascii="Times New Roman" w:eastAsia="Times New Roman"/>
                <w:sz w:val="21"/>
              </w:rPr>
              <w:t>%</w:t>
            </w:r>
            <w:r>
              <w:rPr>
                <w:sz w:val="21"/>
              </w:rPr>
              <w:t>）</w:t>
            </w:r>
          </w:p>
        </w:tc>
        <w:tc>
          <w:tcPr>
            <w:tcW w:w="1083" w:type="dxa"/>
            <w:vMerge w:val="restart"/>
          </w:tcPr>
          <w:p>
            <w:pPr>
              <w:pStyle w:val="14"/>
              <w:spacing w:before="8"/>
              <w:jc w:val="left"/>
              <w:rPr>
                <w:b/>
                <w:sz w:val="26"/>
              </w:rPr>
            </w:pPr>
          </w:p>
          <w:p>
            <w:pPr>
              <w:pStyle w:val="14"/>
              <w:ind w:left="120"/>
              <w:jc w:val="left"/>
              <w:rPr>
                <w:sz w:val="21"/>
              </w:rPr>
            </w:pPr>
            <w:r>
              <w:rPr>
                <w:sz w:val="21"/>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156" w:type="dxa"/>
            <w:vMerge w:val="continue"/>
            <w:tcBorders>
              <w:top w:val="nil"/>
            </w:tcBorders>
          </w:tcPr>
          <w:p>
            <w:pPr>
              <w:rPr>
                <w:sz w:val="2"/>
                <w:szCs w:val="2"/>
              </w:rPr>
            </w:pPr>
          </w:p>
        </w:tc>
        <w:tc>
          <w:tcPr>
            <w:tcW w:w="1367" w:type="dxa"/>
            <w:vMerge w:val="continue"/>
            <w:tcBorders>
              <w:top w:val="nil"/>
            </w:tcBorders>
          </w:tcPr>
          <w:p>
            <w:pPr>
              <w:rPr>
                <w:sz w:val="2"/>
                <w:szCs w:val="2"/>
              </w:rPr>
            </w:pPr>
          </w:p>
        </w:tc>
        <w:tc>
          <w:tcPr>
            <w:tcW w:w="1579" w:type="dxa"/>
          </w:tcPr>
          <w:p>
            <w:pPr>
              <w:pStyle w:val="14"/>
              <w:spacing w:before="1"/>
              <w:ind w:left="136" w:right="128"/>
              <w:rPr>
                <w:sz w:val="21"/>
              </w:rPr>
            </w:pPr>
            <w:r>
              <w:rPr>
                <w:sz w:val="21"/>
              </w:rPr>
              <w:t>工业场地表层</w:t>
            </w:r>
          </w:p>
          <w:p>
            <w:pPr>
              <w:pStyle w:val="14"/>
              <w:spacing w:before="2" w:line="252" w:lineRule="exact"/>
              <w:ind w:left="136" w:right="127"/>
              <w:rPr>
                <w:rFonts w:ascii="Times New Roman" w:eastAsia="Times New Roman"/>
                <w:sz w:val="21"/>
              </w:rPr>
            </w:pPr>
            <w:r>
              <w:rPr>
                <w:sz w:val="21"/>
              </w:rPr>
              <w:t xml:space="preserve">样 </w:t>
            </w:r>
            <w:r>
              <w:rPr>
                <w:rFonts w:ascii="Times New Roman" w:eastAsia="Times New Roman"/>
                <w:sz w:val="21"/>
              </w:rPr>
              <w:t>1</w:t>
            </w:r>
          </w:p>
        </w:tc>
        <w:tc>
          <w:tcPr>
            <w:tcW w:w="1579" w:type="dxa"/>
          </w:tcPr>
          <w:p>
            <w:pPr>
              <w:pStyle w:val="14"/>
              <w:spacing w:before="1"/>
              <w:ind w:left="133" w:right="130"/>
              <w:rPr>
                <w:sz w:val="21"/>
              </w:rPr>
            </w:pPr>
            <w:r>
              <w:rPr>
                <w:sz w:val="21"/>
              </w:rPr>
              <w:t>工业场地表层</w:t>
            </w:r>
          </w:p>
          <w:p>
            <w:pPr>
              <w:pStyle w:val="14"/>
              <w:spacing w:before="2" w:line="252" w:lineRule="exact"/>
              <w:ind w:left="136" w:right="127"/>
              <w:rPr>
                <w:rFonts w:ascii="Times New Roman" w:eastAsia="Times New Roman"/>
                <w:sz w:val="21"/>
              </w:rPr>
            </w:pPr>
            <w:r>
              <w:rPr>
                <w:sz w:val="21"/>
              </w:rPr>
              <w:t xml:space="preserve">样 </w:t>
            </w:r>
            <w:r>
              <w:rPr>
                <w:rFonts w:ascii="Times New Roman" w:eastAsia="Times New Roman"/>
                <w:sz w:val="21"/>
              </w:rPr>
              <w:t>2</w:t>
            </w:r>
          </w:p>
        </w:tc>
        <w:tc>
          <w:tcPr>
            <w:tcW w:w="1580" w:type="dxa"/>
          </w:tcPr>
          <w:p>
            <w:pPr>
              <w:pStyle w:val="14"/>
              <w:spacing w:before="1"/>
              <w:ind w:left="137" w:right="129"/>
              <w:rPr>
                <w:sz w:val="21"/>
              </w:rPr>
            </w:pPr>
            <w:r>
              <w:rPr>
                <w:sz w:val="21"/>
              </w:rPr>
              <w:t>工业场地表层</w:t>
            </w:r>
          </w:p>
          <w:p>
            <w:pPr>
              <w:pStyle w:val="14"/>
              <w:spacing w:before="2" w:line="252" w:lineRule="exact"/>
              <w:ind w:left="137" w:right="128"/>
              <w:rPr>
                <w:rFonts w:ascii="Times New Roman" w:eastAsia="Times New Roman"/>
                <w:sz w:val="21"/>
              </w:rPr>
            </w:pPr>
            <w:r>
              <w:rPr>
                <w:sz w:val="21"/>
              </w:rPr>
              <w:t xml:space="preserve">样 </w:t>
            </w:r>
            <w:r>
              <w:rPr>
                <w:rFonts w:ascii="Times New Roman" w:eastAsia="Times New Roman"/>
                <w:sz w:val="21"/>
              </w:rPr>
              <w:t>3</w:t>
            </w:r>
          </w:p>
        </w:tc>
        <w:tc>
          <w:tcPr>
            <w:tcW w:w="108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3"/>
              <w:ind w:right="961"/>
              <w:jc w:val="right"/>
              <w:rPr>
                <w:sz w:val="21"/>
              </w:rPr>
            </w:pPr>
            <w:r>
              <w:rPr>
                <w:w w:val="99"/>
                <w:sz w:val="21"/>
              </w:rPr>
              <w:t>砷</w:t>
            </w:r>
          </w:p>
        </w:tc>
        <w:tc>
          <w:tcPr>
            <w:tcW w:w="1367" w:type="dxa"/>
          </w:tcPr>
          <w:p>
            <w:pPr>
              <w:pStyle w:val="14"/>
              <w:spacing w:before="77"/>
              <w:ind w:right="405"/>
              <w:jc w:val="right"/>
              <w:rPr>
                <w:rFonts w:ascii="Times New Roman"/>
                <w:sz w:val="21"/>
              </w:rPr>
            </w:pPr>
            <w:r>
              <w:rPr>
                <w:rFonts w:ascii="Times New Roman"/>
                <w:sz w:val="21"/>
              </w:rPr>
              <w:t>mg/kg</w:t>
            </w:r>
          </w:p>
        </w:tc>
        <w:tc>
          <w:tcPr>
            <w:tcW w:w="1579" w:type="dxa"/>
          </w:tcPr>
          <w:p>
            <w:pPr>
              <w:pStyle w:val="14"/>
              <w:spacing w:before="77"/>
              <w:ind w:left="136" w:right="127"/>
              <w:rPr>
                <w:rFonts w:ascii="Times New Roman"/>
                <w:sz w:val="21"/>
              </w:rPr>
            </w:pPr>
            <w:r>
              <w:rPr>
                <w:rFonts w:ascii="Times New Roman"/>
                <w:sz w:val="21"/>
              </w:rPr>
              <w:t>0.132</w:t>
            </w:r>
          </w:p>
        </w:tc>
        <w:tc>
          <w:tcPr>
            <w:tcW w:w="1579" w:type="dxa"/>
          </w:tcPr>
          <w:p>
            <w:pPr>
              <w:pStyle w:val="14"/>
              <w:spacing w:before="77"/>
              <w:ind w:left="136" w:right="127"/>
              <w:rPr>
                <w:rFonts w:ascii="Times New Roman"/>
                <w:sz w:val="21"/>
              </w:rPr>
            </w:pPr>
            <w:r>
              <w:rPr>
                <w:rFonts w:ascii="Times New Roman"/>
                <w:sz w:val="21"/>
              </w:rPr>
              <w:t>0.123</w:t>
            </w:r>
          </w:p>
        </w:tc>
        <w:tc>
          <w:tcPr>
            <w:tcW w:w="1580" w:type="dxa"/>
          </w:tcPr>
          <w:p>
            <w:pPr>
              <w:pStyle w:val="14"/>
              <w:spacing w:before="77"/>
              <w:ind w:left="137" w:right="126"/>
              <w:rPr>
                <w:rFonts w:ascii="Times New Roman"/>
                <w:sz w:val="21"/>
              </w:rPr>
            </w:pPr>
            <w:r>
              <w:rPr>
                <w:rFonts w:ascii="Times New Roman"/>
                <w:sz w:val="21"/>
              </w:rPr>
              <w:t>0.134</w:t>
            </w:r>
          </w:p>
        </w:tc>
        <w:tc>
          <w:tcPr>
            <w:tcW w:w="1083" w:type="dxa"/>
          </w:tcPr>
          <w:p>
            <w:pPr>
              <w:pStyle w:val="14"/>
              <w:spacing w:before="63"/>
              <w:ind w:left="200" w:right="196"/>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2156" w:type="dxa"/>
          </w:tcPr>
          <w:p>
            <w:pPr>
              <w:pStyle w:val="14"/>
              <w:spacing w:before="64"/>
              <w:ind w:right="961"/>
              <w:jc w:val="right"/>
              <w:rPr>
                <w:sz w:val="21"/>
              </w:rPr>
            </w:pPr>
            <w:r>
              <w:rPr>
                <w:w w:val="99"/>
                <w:sz w:val="21"/>
              </w:rPr>
              <w:t>镉</w:t>
            </w:r>
          </w:p>
        </w:tc>
        <w:tc>
          <w:tcPr>
            <w:tcW w:w="1367" w:type="dxa"/>
          </w:tcPr>
          <w:p>
            <w:pPr>
              <w:pStyle w:val="14"/>
              <w:spacing w:before="78"/>
              <w:ind w:right="405"/>
              <w:jc w:val="right"/>
              <w:rPr>
                <w:rFonts w:ascii="Times New Roman"/>
                <w:sz w:val="21"/>
              </w:rPr>
            </w:pPr>
            <w:r>
              <w:rPr>
                <w:rFonts w:ascii="Times New Roman"/>
                <w:sz w:val="21"/>
              </w:rPr>
              <w:t>mg/kg</w:t>
            </w:r>
          </w:p>
        </w:tc>
        <w:tc>
          <w:tcPr>
            <w:tcW w:w="1579" w:type="dxa"/>
          </w:tcPr>
          <w:p>
            <w:pPr>
              <w:pStyle w:val="14"/>
              <w:spacing w:before="78"/>
              <w:ind w:left="136" w:right="127"/>
              <w:rPr>
                <w:rFonts w:ascii="Times New Roman"/>
                <w:sz w:val="21"/>
              </w:rPr>
            </w:pPr>
            <w:r>
              <w:rPr>
                <w:rFonts w:ascii="Times New Roman"/>
                <w:sz w:val="21"/>
              </w:rPr>
              <w:t>0.011</w:t>
            </w:r>
          </w:p>
        </w:tc>
        <w:tc>
          <w:tcPr>
            <w:tcW w:w="1579" w:type="dxa"/>
          </w:tcPr>
          <w:p>
            <w:pPr>
              <w:pStyle w:val="14"/>
              <w:spacing w:before="78"/>
              <w:ind w:left="136" w:right="127"/>
              <w:rPr>
                <w:rFonts w:ascii="Times New Roman"/>
                <w:sz w:val="21"/>
              </w:rPr>
            </w:pPr>
            <w:r>
              <w:rPr>
                <w:rFonts w:ascii="Times New Roman"/>
                <w:sz w:val="21"/>
              </w:rPr>
              <w:t>0.002</w:t>
            </w:r>
          </w:p>
        </w:tc>
        <w:tc>
          <w:tcPr>
            <w:tcW w:w="1580" w:type="dxa"/>
          </w:tcPr>
          <w:p>
            <w:pPr>
              <w:pStyle w:val="14"/>
              <w:spacing w:before="78"/>
              <w:ind w:left="137" w:right="126"/>
              <w:rPr>
                <w:rFonts w:ascii="Times New Roman"/>
                <w:sz w:val="21"/>
              </w:rPr>
            </w:pPr>
            <w:r>
              <w:rPr>
                <w:rFonts w:ascii="Times New Roman"/>
                <w:sz w:val="21"/>
              </w:rPr>
              <w:t>0.002</w:t>
            </w:r>
          </w:p>
        </w:tc>
        <w:tc>
          <w:tcPr>
            <w:tcW w:w="1083" w:type="dxa"/>
          </w:tcPr>
          <w:p>
            <w:pPr>
              <w:pStyle w:val="14"/>
              <w:spacing w:before="64"/>
              <w:ind w:left="200" w:right="196"/>
              <w:rPr>
                <w:sz w:val="21"/>
              </w:rPr>
            </w:pPr>
            <w:r>
              <w:rPr>
                <w:sz w:val="21"/>
              </w:rPr>
              <w:t>达标</w:t>
            </w:r>
          </w:p>
        </w:tc>
      </w:tr>
    </w:tbl>
    <w:p>
      <w:pPr>
        <w:spacing w:after="0"/>
        <w:rPr>
          <w:sz w:val="21"/>
        </w:rPr>
        <w:sectPr>
          <w:type w:val="continuous"/>
          <w:pgSz w:w="11910" w:h="16840"/>
          <w:pgMar w:top="1580" w:right="780" w:bottom="280" w:left="1200" w:header="720" w:footer="720" w:gutter="0"/>
        </w:sectPr>
      </w:pP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56"/>
        <w:gridCol w:w="1367"/>
        <w:gridCol w:w="1579"/>
        <w:gridCol w:w="1579"/>
        <w:gridCol w:w="1580"/>
        <w:gridCol w:w="10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156" w:type="dxa"/>
          </w:tcPr>
          <w:p>
            <w:pPr>
              <w:pStyle w:val="14"/>
              <w:spacing w:before="63"/>
              <w:ind w:left="156" w:right="150"/>
              <w:rPr>
                <w:sz w:val="21"/>
              </w:rPr>
            </w:pPr>
            <w:r>
              <w:rPr>
                <w:sz w:val="21"/>
              </w:rPr>
              <w:t>六价铬</w:t>
            </w:r>
          </w:p>
        </w:tc>
        <w:tc>
          <w:tcPr>
            <w:tcW w:w="1367" w:type="dxa"/>
          </w:tcPr>
          <w:p>
            <w:pPr>
              <w:pStyle w:val="14"/>
              <w:spacing w:before="77"/>
              <w:ind w:right="405"/>
              <w:jc w:val="right"/>
              <w:rPr>
                <w:rFonts w:ascii="Times New Roman"/>
                <w:sz w:val="21"/>
              </w:rPr>
            </w:pPr>
            <w:r>
              <w:rPr>
                <w:rFonts w:ascii="Times New Roman"/>
                <w:sz w:val="21"/>
              </w:rPr>
              <w:t>mg/kg</w:t>
            </w:r>
          </w:p>
        </w:tc>
        <w:tc>
          <w:tcPr>
            <w:tcW w:w="1579" w:type="dxa"/>
          </w:tcPr>
          <w:p>
            <w:pPr>
              <w:pStyle w:val="14"/>
              <w:spacing w:before="63"/>
              <w:ind w:left="136" w:right="128"/>
              <w:rPr>
                <w:sz w:val="21"/>
              </w:rPr>
            </w:pPr>
            <w:r>
              <w:rPr>
                <w:sz w:val="21"/>
              </w:rPr>
              <w:t>未检出</w:t>
            </w:r>
          </w:p>
        </w:tc>
        <w:tc>
          <w:tcPr>
            <w:tcW w:w="1579" w:type="dxa"/>
          </w:tcPr>
          <w:p>
            <w:pPr>
              <w:pStyle w:val="14"/>
              <w:spacing w:before="77"/>
              <w:ind w:left="136" w:right="127"/>
              <w:rPr>
                <w:rFonts w:ascii="Times New Roman"/>
                <w:sz w:val="21"/>
              </w:rPr>
            </w:pPr>
            <w:r>
              <w:rPr>
                <w:rFonts w:ascii="Times New Roman"/>
                <w:sz w:val="21"/>
              </w:rPr>
              <w:t>0.414</w:t>
            </w:r>
          </w:p>
        </w:tc>
        <w:tc>
          <w:tcPr>
            <w:tcW w:w="1580" w:type="dxa"/>
          </w:tcPr>
          <w:p>
            <w:pPr>
              <w:pStyle w:val="14"/>
              <w:spacing w:before="63"/>
              <w:ind w:left="137" w:right="129"/>
              <w:rPr>
                <w:sz w:val="21"/>
              </w:rPr>
            </w:pPr>
            <w:r>
              <w:rPr>
                <w:sz w:val="21"/>
              </w:rPr>
              <w:t>未检出</w:t>
            </w:r>
          </w:p>
        </w:tc>
        <w:tc>
          <w:tcPr>
            <w:tcW w:w="1083" w:type="dxa"/>
          </w:tcPr>
          <w:p>
            <w:pPr>
              <w:pStyle w:val="14"/>
              <w:spacing w:before="63"/>
              <w:ind w:left="200" w:right="196"/>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2"/>
              <w:ind w:left="9"/>
              <w:rPr>
                <w:sz w:val="21"/>
              </w:rPr>
            </w:pPr>
            <w:r>
              <w:rPr>
                <w:w w:val="99"/>
                <w:sz w:val="21"/>
              </w:rPr>
              <w:t>铜</w:t>
            </w:r>
          </w:p>
        </w:tc>
        <w:tc>
          <w:tcPr>
            <w:tcW w:w="1367" w:type="dxa"/>
          </w:tcPr>
          <w:p>
            <w:pPr>
              <w:pStyle w:val="14"/>
              <w:spacing w:before="76"/>
              <w:ind w:right="405"/>
              <w:jc w:val="right"/>
              <w:rPr>
                <w:rFonts w:ascii="Times New Roman"/>
                <w:sz w:val="21"/>
              </w:rPr>
            </w:pPr>
            <w:r>
              <w:rPr>
                <w:rFonts w:ascii="Times New Roman"/>
                <w:sz w:val="21"/>
              </w:rPr>
              <w:t>mg/kg</w:t>
            </w:r>
          </w:p>
        </w:tc>
        <w:tc>
          <w:tcPr>
            <w:tcW w:w="1579" w:type="dxa"/>
          </w:tcPr>
          <w:p>
            <w:pPr>
              <w:pStyle w:val="14"/>
              <w:spacing w:before="76"/>
              <w:ind w:left="136" w:right="127"/>
              <w:rPr>
                <w:rFonts w:ascii="Times New Roman"/>
                <w:sz w:val="21"/>
              </w:rPr>
            </w:pPr>
            <w:r>
              <w:rPr>
                <w:rFonts w:ascii="Times New Roman"/>
                <w:sz w:val="21"/>
              </w:rPr>
              <w:t>0.003</w:t>
            </w:r>
          </w:p>
        </w:tc>
        <w:tc>
          <w:tcPr>
            <w:tcW w:w="1579" w:type="dxa"/>
          </w:tcPr>
          <w:p>
            <w:pPr>
              <w:pStyle w:val="14"/>
              <w:spacing w:before="76"/>
              <w:ind w:left="9"/>
              <w:rPr>
                <w:rFonts w:ascii="Times New Roman"/>
                <w:sz w:val="21"/>
              </w:rPr>
            </w:pPr>
            <w:r>
              <w:rPr>
                <w:rFonts w:ascii="Times New Roman"/>
                <w:w w:val="99"/>
                <w:sz w:val="21"/>
              </w:rPr>
              <w:t>/</w:t>
            </w:r>
          </w:p>
        </w:tc>
        <w:tc>
          <w:tcPr>
            <w:tcW w:w="1580" w:type="dxa"/>
          </w:tcPr>
          <w:p>
            <w:pPr>
              <w:pStyle w:val="14"/>
              <w:spacing w:before="76"/>
              <w:ind w:left="8"/>
              <w:rPr>
                <w:rFonts w:ascii="Times New Roman"/>
                <w:sz w:val="21"/>
              </w:rPr>
            </w:pPr>
            <w:r>
              <w:rPr>
                <w:rFonts w:ascii="Times New Roman"/>
                <w:w w:val="99"/>
                <w:sz w:val="21"/>
              </w:rPr>
              <w:t>/</w:t>
            </w:r>
          </w:p>
        </w:tc>
        <w:tc>
          <w:tcPr>
            <w:tcW w:w="1083" w:type="dxa"/>
          </w:tcPr>
          <w:p>
            <w:pPr>
              <w:pStyle w:val="14"/>
              <w:spacing w:before="62"/>
              <w:ind w:left="200" w:right="196"/>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3"/>
              <w:ind w:left="9"/>
              <w:rPr>
                <w:sz w:val="21"/>
              </w:rPr>
            </w:pPr>
            <w:r>
              <w:rPr>
                <w:w w:val="99"/>
                <w:sz w:val="21"/>
              </w:rPr>
              <w:t>铅</w:t>
            </w:r>
          </w:p>
        </w:tc>
        <w:tc>
          <w:tcPr>
            <w:tcW w:w="1367" w:type="dxa"/>
          </w:tcPr>
          <w:p>
            <w:pPr>
              <w:pStyle w:val="14"/>
              <w:spacing w:before="77"/>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77"/>
              <w:ind w:left="136" w:right="127"/>
              <w:rPr>
                <w:rFonts w:ascii="Times New Roman"/>
                <w:sz w:val="21"/>
              </w:rPr>
            </w:pPr>
            <w:r>
              <w:rPr>
                <w:rFonts w:ascii="Times New Roman"/>
                <w:sz w:val="21"/>
              </w:rPr>
              <w:t>0.068</w:t>
            </w:r>
          </w:p>
        </w:tc>
        <w:tc>
          <w:tcPr>
            <w:tcW w:w="1579" w:type="dxa"/>
          </w:tcPr>
          <w:p>
            <w:pPr>
              <w:pStyle w:val="14"/>
              <w:spacing w:before="77"/>
              <w:ind w:left="136" w:right="127"/>
              <w:rPr>
                <w:rFonts w:ascii="Times New Roman"/>
                <w:sz w:val="21"/>
              </w:rPr>
            </w:pPr>
            <w:r>
              <w:rPr>
                <w:rFonts w:ascii="Times New Roman"/>
                <w:sz w:val="21"/>
              </w:rPr>
              <w:t>0.040</w:t>
            </w:r>
          </w:p>
        </w:tc>
        <w:tc>
          <w:tcPr>
            <w:tcW w:w="1580" w:type="dxa"/>
          </w:tcPr>
          <w:p>
            <w:pPr>
              <w:pStyle w:val="14"/>
              <w:spacing w:before="77"/>
              <w:ind w:left="137" w:right="126"/>
              <w:rPr>
                <w:rFonts w:ascii="Times New Roman"/>
                <w:sz w:val="21"/>
              </w:rPr>
            </w:pPr>
            <w:r>
              <w:rPr>
                <w:rFonts w:ascii="Times New Roman"/>
                <w:sz w:val="21"/>
              </w:rPr>
              <w:t>0.040</w:t>
            </w:r>
          </w:p>
        </w:tc>
        <w:tc>
          <w:tcPr>
            <w:tcW w:w="1083" w:type="dxa"/>
          </w:tcPr>
          <w:p>
            <w:pPr>
              <w:pStyle w:val="14"/>
              <w:spacing w:before="63"/>
              <w:ind w:left="200" w:right="196"/>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4"/>
              <w:ind w:left="9"/>
              <w:rPr>
                <w:sz w:val="21"/>
              </w:rPr>
            </w:pPr>
            <w:r>
              <w:rPr>
                <w:w w:val="99"/>
                <w:sz w:val="21"/>
              </w:rPr>
              <w:t>汞</w:t>
            </w:r>
          </w:p>
        </w:tc>
        <w:tc>
          <w:tcPr>
            <w:tcW w:w="1367" w:type="dxa"/>
          </w:tcPr>
          <w:p>
            <w:pPr>
              <w:pStyle w:val="14"/>
              <w:spacing w:before="78"/>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78"/>
              <w:ind w:left="136" w:right="127"/>
              <w:rPr>
                <w:rFonts w:ascii="Times New Roman"/>
                <w:sz w:val="21"/>
              </w:rPr>
            </w:pPr>
            <w:r>
              <w:rPr>
                <w:rFonts w:ascii="Times New Roman"/>
                <w:sz w:val="21"/>
              </w:rPr>
              <w:t>0.003</w:t>
            </w:r>
          </w:p>
        </w:tc>
        <w:tc>
          <w:tcPr>
            <w:tcW w:w="1579" w:type="dxa"/>
          </w:tcPr>
          <w:p>
            <w:pPr>
              <w:pStyle w:val="14"/>
              <w:spacing w:before="78"/>
              <w:ind w:left="136" w:right="127"/>
              <w:rPr>
                <w:rFonts w:ascii="Times New Roman"/>
                <w:sz w:val="21"/>
              </w:rPr>
            </w:pPr>
            <w:r>
              <w:rPr>
                <w:rFonts w:ascii="Times New Roman"/>
                <w:sz w:val="21"/>
              </w:rPr>
              <w:t>0.003</w:t>
            </w:r>
          </w:p>
        </w:tc>
        <w:tc>
          <w:tcPr>
            <w:tcW w:w="1580" w:type="dxa"/>
          </w:tcPr>
          <w:p>
            <w:pPr>
              <w:pStyle w:val="14"/>
              <w:spacing w:before="78"/>
              <w:ind w:left="137" w:right="126"/>
              <w:rPr>
                <w:rFonts w:ascii="Times New Roman"/>
                <w:sz w:val="21"/>
              </w:rPr>
            </w:pPr>
            <w:r>
              <w:rPr>
                <w:rFonts w:ascii="Times New Roman"/>
                <w:sz w:val="21"/>
              </w:rPr>
              <w:t>0.003</w:t>
            </w:r>
          </w:p>
        </w:tc>
        <w:tc>
          <w:tcPr>
            <w:tcW w:w="1083" w:type="dxa"/>
          </w:tcPr>
          <w:p>
            <w:pPr>
              <w:pStyle w:val="14"/>
              <w:spacing w:before="64"/>
              <w:ind w:left="200" w:right="196"/>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156" w:type="dxa"/>
          </w:tcPr>
          <w:p>
            <w:pPr>
              <w:pStyle w:val="14"/>
              <w:spacing w:before="63"/>
              <w:ind w:left="9"/>
              <w:rPr>
                <w:sz w:val="21"/>
              </w:rPr>
            </w:pPr>
            <w:r>
              <w:rPr>
                <w:w w:val="99"/>
                <w:sz w:val="21"/>
              </w:rPr>
              <w:t>镍</w:t>
            </w:r>
          </w:p>
        </w:tc>
        <w:tc>
          <w:tcPr>
            <w:tcW w:w="1367" w:type="dxa"/>
          </w:tcPr>
          <w:p>
            <w:pPr>
              <w:pStyle w:val="14"/>
              <w:spacing w:before="76"/>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76"/>
              <w:ind w:left="136" w:right="127"/>
              <w:rPr>
                <w:rFonts w:ascii="Times New Roman"/>
                <w:sz w:val="21"/>
              </w:rPr>
            </w:pPr>
            <w:r>
              <w:rPr>
                <w:rFonts w:ascii="Times New Roman"/>
                <w:sz w:val="21"/>
              </w:rPr>
              <w:t>0.062</w:t>
            </w:r>
          </w:p>
        </w:tc>
        <w:tc>
          <w:tcPr>
            <w:tcW w:w="1579" w:type="dxa"/>
          </w:tcPr>
          <w:p>
            <w:pPr>
              <w:pStyle w:val="14"/>
              <w:spacing w:before="76"/>
              <w:ind w:left="9"/>
              <w:rPr>
                <w:rFonts w:ascii="Times New Roman"/>
                <w:sz w:val="21"/>
              </w:rPr>
            </w:pPr>
            <w:r>
              <w:rPr>
                <w:rFonts w:ascii="Times New Roman"/>
                <w:w w:val="99"/>
                <w:sz w:val="21"/>
              </w:rPr>
              <w:t>/</w:t>
            </w:r>
          </w:p>
        </w:tc>
        <w:tc>
          <w:tcPr>
            <w:tcW w:w="1580" w:type="dxa"/>
          </w:tcPr>
          <w:p>
            <w:pPr>
              <w:pStyle w:val="14"/>
              <w:spacing w:before="76"/>
              <w:ind w:left="8"/>
              <w:rPr>
                <w:rFonts w:ascii="Times New Roman"/>
                <w:sz w:val="21"/>
              </w:rPr>
            </w:pPr>
            <w:r>
              <w:rPr>
                <w:rFonts w:ascii="Times New Roman"/>
                <w:w w:val="99"/>
                <w:sz w:val="21"/>
              </w:rPr>
              <w:t>/</w:t>
            </w:r>
          </w:p>
        </w:tc>
        <w:tc>
          <w:tcPr>
            <w:tcW w:w="1083" w:type="dxa"/>
          </w:tcPr>
          <w:p>
            <w:pPr>
              <w:pStyle w:val="14"/>
              <w:spacing w:before="63"/>
              <w:ind w:left="200" w:right="196"/>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3"/>
              <w:ind w:left="156" w:right="147"/>
              <w:rPr>
                <w:sz w:val="21"/>
              </w:rPr>
            </w:pPr>
            <w:r>
              <w:rPr>
                <w:sz w:val="21"/>
              </w:rPr>
              <w:t>四氯化碳</w:t>
            </w:r>
          </w:p>
        </w:tc>
        <w:tc>
          <w:tcPr>
            <w:tcW w:w="1367" w:type="dxa"/>
          </w:tcPr>
          <w:p>
            <w:pPr>
              <w:pStyle w:val="14"/>
              <w:spacing w:before="77"/>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66"/>
              <w:ind w:left="136" w:right="128"/>
              <w:rPr>
                <w:sz w:val="21"/>
              </w:rPr>
            </w:pPr>
            <w:bookmarkStart w:id="1143" w:name="未检出"/>
            <w:bookmarkEnd w:id="1143"/>
            <w:r>
              <w:rPr>
                <w:sz w:val="21"/>
              </w:rPr>
              <w:t>未检出</w:t>
            </w:r>
          </w:p>
        </w:tc>
        <w:tc>
          <w:tcPr>
            <w:tcW w:w="1579" w:type="dxa"/>
          </w:tcPr>
          <w:p>
            <w:pPr>
              <w:pStyle w:val="14"/>
              <w:spacing w:before="77"/>
              <w:ind w:left="9"/>
              <w:rPr>
                <w:rFonts w:ascii="Times New Roman"/>
                <w:sz w:val="21"/>
              </w:rPr>
            </w:pPr>
            <w:r>
              <w:rPr>
                <w:rFonts w:ascii="Times New Roman"/>
                <w:w w:val="99"/>
                <w:sz w:val="21"/>
              </w:rPr>
              <w:t>/</w:t>
            </w:r>
          </w:p>
        </w:tc>
        <w:tc>
          <w:tcPr>
            <w:tcW w:w="1580" w:type="dxa"/>
          </w:tcPr>
          <w:p>
            <w:pPr>
              <w:pStyle w:val="14"/>
              <w:spacing w:before="77"/>
              <w:ind w:left="8"/>
              <w:rPr>
                <w:rFonts w:ascii="Times New Roman"/>
                <w:sz w:val="21"/>
              </w:rPr>
            </w:pPr>
            <w:r>
              <w:rPr>
                <w:rFonts w:ascii="Times New Roman"/>
                <w:w w:val="99"/>
                <w:sz w:val="21"/>
              </w:rPr>
              <w:t>/</w:t>
            </w:r>
          </w:p>
        </w:tc>
        <w:tc>
          <w:tcPr>
            <w:tcW w:w="1083" w:type="dxa"/>
          </w:tcPr>
          <w:p>
            <w:pPr>
              <w:pStyle w:val="14"/>
              <w:spacing w:before="63"/>
              <w:ind w:left="200" w:right="196"/>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2"/>
              <w:ind w:left="156" w:right="150"/>
              <w:rPr>
                <w:sz w:val="21"/>
              </w:rPr>
            </w:pPr>
            <w:r>
              <w:rPr>
                <w:sz w:val="21"/>
              </w:rPr>
              <w:t>氯仿</w:t>
            </w:r>
          </w:p>
        </w:tc>
        <w:tc>
          <w:tcPr>
            <w:tcW w:w="1367" w:type="dxa"/>
          </w:tcPr>
          <w:p>
            <w:pPr>
              <w:pStyle w:val="14"/>
              <w:spacing w:before="76"/>
              <w:ind w:right="405"/>
              <w:jc w:val="right"/>
              <w:rPr>
                <w:rFonts w:ascii="Times New Roman"/>
                <w:sz w:val="21"/>
              </w:rPr>
            </w:pPr>
            <w:r>
              <w:rPr>
                <w:rFonts w:ascii="Times New Roman"/>
                <w:sz w:val="21"/>
              </w:rPr>
              <w:t>mg/kg</w:t>
            </w:r>
          </w:p>
        </w:tc>
        <w:tc>
          <w:tcPr>
            <w:tcW w:w="1579" w:type="dxa"/>
          </w:tcPr>
          <w:p>
            <w:pPr>
              <w:pStyle w:val="14"/>
              <w:spacing w:before="67"/>
              <w:ind w:left="136" w:right="128"/>
              <w:rPr>
                <w:sz w:val="21"/>
              </w:rPr>
            </w:pPr>
            <w:bookmarkStart w:id="1144" w:name="未检出"/>
            <w:bookmarkEnd w:id="1144"/>
            <w:r>
              <w:rPr>
                <w:sz w:val="21"/>
              </w:rPr>
              <w:t>未检出</w:t>
            </w:r>
          </w:p>
        </w:tc>
        <w:tc>
          <w:tcPr>
            <w:tcW w:w="1579" w:type="dxa"/>
          </w:tcPr>
          <w:p>
            <w:pPr>
              <w:pStyle w:val="14"/>
              <w:spacing w:before="76"/>
              <w:ind w:left="9"/>
              <w:rPr>
                <w:rFonts w:ascii="Times New Roman"/>
                <w:sz w:val="21"/>
              </w:rPr>
            </w:pPr>
            <w:r>
              <w:rPr>
                <w:rFonts w:ascii="Times New Roman"/>
                <w:w w:val="99"/>
                <w:sz w:val="21"/>
              </w:rPr>
              <w:t>/</w:t>
            </w:r>
          </w:p>
        </w:tc>
        <w:tc>
          <w:tcPr>
            <w:tcW w:w="1580" w:type="dxa"/>
          </w:tcPr>
          <w:p>
            <w:pPr>
              <w:pStyle w:val="14"/>
              <w:spacing w:before="76"/>
              <w:ind w:left="8"/>
              <w:rPr>
                <w:rFonts w:ascii="Times New Roman"/>
                <w:sz w:val="21"/>
              </w:rPr>
            </w:pPr>
            <w:r>
              <w:rPr>
                <w:rFonts w:ascii="Times New Roman"/>
                <w:w w:val="99"/>
                <w:sz w:val="21"/>
              </w:rPr>
              <w:t>/</w:t>
            </w:r>
          </w:p>
        </w:tc>
        <w:tc>
          <w:tcPr>
            <w:tcW w:w="1083" w:type="dxa"/>
          </w:tcPr>
          <w:p>
            <w:pPr>
              <w:pStyle w:val="14"/>
              <w:spacing w:before="62"/>
              <w:ind w:left="200" w:right="196"/>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3"/>
              <w:ind w:left="156" w:right="150"/>
              <w:rPr>
                <w:sz w:val="21"/>
              </w:rPr>
            </w:pPr>
            <w:r>
              <w:rPr>
                <w:sz w:val="21"/>
              </w:rPr>
              <w:t>氯甲烷</w:t>
            </w:r>
          </w:p>
        </w:tc>
        <w:tc>
          <w:tcPr>
            <w:tcW w:w="1367" w:type="dxa"/>
          </w:tcPr>
          <w:p>
            <w:pPr>
              <w:pStyle w:val="14"/>
              <w:spacing w:before="77"/>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66"/>
              <w:ind w:left="136" w:right="128"/>
              <w:rPr>
                <w:sz w:val="21"/>
              </w:rPr>
            </w:pPr>
            <w:bookmarkStart w:id="1145" w:name="未检出"/>
            <w:bookmarkEnd w:id="1145"/>
            <w:r>
              <w:rPr>
                <w:sz w:val="21"/>
              </w:rPr>
              <w:t>未检出</w:t>
            </w:r>
          </w:p>
        </w:tc>
        <w:tc>
          <w:tcPr>
            <w:tcW w:w="1579" w:type="dxa"/>
          </w:tcPr>
          <w:p>
            <w:pPr>
              <w:pStyle w:val="14"/>
              <w:spacing w:before="77"/>
              <w:ind w:left="9"/>
              <w:rPr>
                <w:rFonts w:ascii="Times New Roman"/>
                <w:sz w:val="21"/>
              </w:rPr>
            </w:pPr>
            <w:r>
              <w:rPr>
                <w:rFonts w:ascii="Times New Roman"/>
                <w:w w:val="99"/>
                <w:sz w:val="21"/>
              </w:rPr>
              <w:t>/</w:t>
            </w:r>
          </w:p>
        </w:tc>
        <w:tc>
          <w:tcPr>
            <w:tcW w:w="1580" w:type="dxa"/>
          </w:tcPr>
          <w:p>
            <w:pPr>
              <w:pStyle w:val="14"/>
              <w:spacing w:before="77"/>
              <w:ind w:left="8"/>
              <w:rPr>
                <w:rFonts w:ascii="Times New Roman"/>
                <w:sz w:val="21"/>
              </w:rPr>
            </w:pPr>
            <w:r>
              <w:rPr>
                <w:rFonts w:ascii="Times New Roman"/>
                <w:w w:val="99"/>
                <w:sz w:val="21"/>
              </w:rPr>
              <w:t>/</w:t>
            </w:r>
          </w:p>
        </w:tc>
        <w:tc>
          <w:tcPr>
            <w:tcW w:w="1083" w:type="dxa"/>
          </w:tcPr>
          <w:p>
            <w:pPr>
              <w:pStyle w:val="14"/>
              <w:spacing w:before="63"/>
              <w:ind w:left="200" w:right="196"/>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2"/>
              <w:ind w:left="156" w:right="150"/>
              <w:rPr>
                <w:sz w:val="21"/>
              </w:rPr>
            </w:pPr>
            <w:r>
              <w:rPr>
                <w:rFonts w:ascii="Times New Roman" w:eastAsia="Times New Roman"/>
                <w:sz w:val="21"/>
              </w:rPr>
              <w:t>1,1-</w:t>
            </w:r>
            <w:r>
              <w:rPr>
                <w:sz w:val="21"/>
              </w:rPr>
              <w:t>二氯乙烷</w:t>
            </w:r>
          </w:p>
        </w:tc>
        <w:tc>
          <w:tcPr>
            <w:tcW w:w="1367" w:type="dxa"/>
          </w:tcPr>
          <w:p>
            <w:pPr>
              <w:pStyle w:val="14"/>
              <w:spacing w:before="76"/>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66"/>
              <w:ind w:left="136" w:right="128"/>
              <w:rPr>
                <w:sz w:val="21"/>
              </w:rPr>
            </w:pPr>
            <w:bookmarkStart w:id="1146" w:name="未检出"/>
            <w:bookmarkEnd w:id="1146"/>
            <w:r>
              <w:rPr>
                <w:sz w:val="21"/>
              </w:rPr>
              <w:t>未检出</w:t>
            </w:r>
          </w:p>
        </w:tc>
        <w:tc>
          <w:tcPr>
            <w:tcW w:w="1579" w:type="dxa"/>
          </w:tcPr>
          <w:p>
            <w:pPr>
              <w:pStyle w:val="14"/>
              <w:spacing w:before="76"/>
              <w:ind w:left="9"/>
              <w:rPr>
                <w:rFonts w:ascii="Times New Roman"/>
                <w:sz w:val="21"/>
              </w:rPr>
            </w:pPr>
            <w:r>
              <w:rPr>
                <w:rFonts w:ascii="Times New Roman"/>
                <w:w w:val="99"/>
                <w:sz w:val="21"/>
              </w:rPr>
              <w:t>/</w:t>
            </w:r>
          </w:p>
        </w:tc>
        <w:tc>
          <w:tcPr>
            <w:tcW w:w="1580" w:type="dxa"/>
          </w:tcPr>
          <w:p>
            <w:pPr>
              <w:pStyle w:val="14"/>
              <w:spacing w:before="76"/>
              <w:ind w:left="8"/>
              <w:rPr>
                <w:rFonts w:ascii="Times New Roman"/>
                <w:sz w:val="21"/>
              </w:rPr>
            </w:pPr>
            <w:r>
              <w:rPr>
                <w:rFonts w:ascii="Times New Roman"/>
                <w:w w:val="99"/>
                <w:sz w:val="21"/>
              </w:rPr>
              <w:t>/</w:t>
            </w:r>
          </w:p>
        </w:tc>
        <w:tc>
          <w:tcPr>
            <w:tcW w:w="1083" w:type="dxa"/>
          </w:tcPr>
          <w:p>
            <w:pPr>
              <w:pStyle w:val="14"/>
              <w:spacing w:before="62"/>
              <w:ind w:left="200" w:right="196"/>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156" w:type="dxa"/>
          </w:tcPr>
          <w:p>
            <w:pPr>
              <w:pStyle w:val="14"/>
              <w:spacing w:before="63"/>
              <w:ind w:left="156" w:right="150"/>
              <w:rPr>
                <w:sz w:val="21"/>
              </w:rPr>
            </w:pPr>
            <w:r>
              <w:rPr>
                <w:rFonts w:ascii="Times New Roman" w:eastAsia="Times New Roman"/>
                <w:sz w:val="21"/>
              </w:rPr>
              <w:t>1,2-</w:t>
            </w:r>
            <w:r>
              <w:rPr>
                <w:sz w:val="21"/>
              </w:rPr>
              <w:t>二氯乙烷</w:t>
            </w:r>
          </w:p>
        </w:tc>
        <w:tc>
          <w:tcPr>
            <w:tcW w:w="1367" w:type="dxa"/>
          </w:tcPr>
          <w:p>
            <w:pPr>
              <w:pStyle w:val="14"/>
              <w:spacing w:before="77"/>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65"/>
              <w:ind w:left="136" w:right="128"/>
              <w:rPr>
                <w:sz w:val="21"/>
              </w:rPr>
            </w:pPr>
            <w:bookmarkStart w:id="1147" w:name="未检出"/>
            <w:bookmarkEnd w:id="1147"/>
            <w:r>
              <w:rPr>
                <w:sz w:val="21"/>
              </w:rPr>
              <w:t>未检出</w:t>
            </w:r>
          </w:p>
        </w:tc>
        <w:tc>
          <w:tcPr>
            <w:tcW w:w="1579" w:type="dxa"/>
          </w:tcPr>
          <w:p>
            <w:pPr>
              <w:pStyle w:val="14"/>
              <w:spacing w:before="77"/>
              <w:ind w:left="9"/>
              <w:rPr>
                <w:rFonts w:ascii="Times New Roman"/>
                <w:sz w:val="21"/>
              </w:rPr>
            </w:pPr>
            <w:r>
              <w:rPr>
                <w:rFonts w:ascii="Times New Roman"/>
                <w:w w:val="99"/>
                <w:sz w:val="21"/>
              </w:rPr>
              <w:t>/</w:t>
            </w:r>
          </w:p>
        </w:tc>
        <w:tc>
          <w:tcPr>
            <w:tcW w:w="1580" w:type="dxa"/>
          </w:tcPr>
          <w:p>
            <w:pPr>
              <w:pStyle w:val="14"/>
              <w:spacing w:before="77"/>
              <w:ind w:left="8"/>
              <w:rPr>
                <w:rFonts w:ascii="Times New Roman"/>
                <w:sz w:val="21"/>
              </w:rPr>
            </w:pPr>
            <w:r>
              <w:rPr>
                <w:rFonts w:ascii="Times New Roman"/>
                <w:w w:val="99"/>
                <w:sz w:val="21"/>
              </w:rPr>
              <w:t>/</w:t>
            </w:r>
          </w:p>
        </w:tc>
        <w:tc>
          <w:tcPr>
            <w:tcW w:w="1083" w:type="dxa"/>
          </w:tcPr>
          <w:p>
            <w:pPr>
              <w:pStyle w:val="14"/>
              <w:spacing w:before="63"/>
              <w:ind w:left="200" w:right="196"/>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4"/>
              <w:ind w:left="156" w:right="150"/>
              <w:rPr>
                <w:sz w:val="21"/>
              </w:rPr>
            </w:pPr>
            <w:r>
              <w:rPr>
                <w:rFonts w:ascii="Times New Roman" w:eastAsia="Times New Roman"/>
                <w:sz w:val="21"/>
              </w:rPr>
              <w:t>1,1-</w:t>
            </w:r>
            <w:r>
              <w:rPr>
                <w:sz w:val="21"/>
              </w:rPr>
              <w:t>二氯乙烯</w:t>
            </w:r>
          </w:p>
        </w:tc>
        <w:tc>
          <w:tcPr>
            <w:tcW w:w="1367" w:type="dxa"/>
          </w:tcPr>
          <w:p>
            <w:pPr>
              <w:pStyle w:val="14"/>
              <w:spacing w:before="78"/>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66"/>
              <w:ind w:left="136" w:right="128"/>
              <w:rPr>
                <w:sz w:val="21"/>
              </w:rPr>
            </w:pPr>
            <w:bookmarkStart w:id="1148" w:name="未检出"/>
            <w:bookmarkEnd w:id="1148"/>
            <w:r>
              <w:rPr>
                <w:sz w:val="21"/>
              </w:rPr>
              <w:t>未检出</w:t>
            </w:r>
          </w:p>
        </w:tc>
        <w:tc>
          <w:tcPr>
            <w:tcW w:w="1579" w:type="dxa"/>
          </w:tcPr>
          <w:p>
            <w:pPr>
              <w:pStyle w:val="14"/>
              <w:spacing w:before="78"/>
              <w:ind w:left="9"/>
              <w:rPr>
                <w:rFonts w:ascii="Times New Roman"/>
                <w:sz w:val="21"/>
              </w:rPr>
            </w:pPr>
            <w:r>
              <w:rPr>
                <w:rFonts w:ascii="Times New Roman"/>
                <w:w w:val="99"/>
                <w:sz w:val="21"/>
              </w:rPr>
              <w:t>/</w:t>
            </w:r>
          </w:p>
        </w:tc>
        <w:tc>
          <w:tcPr>
            <w:tcW w:w="1580" w:type="dxa"/>
          </w:tcPr>
          <w:p>
            <w:pPr>
              <w:pStyle w:val="14"/>
              <w:spacing w:before="78"/>
              <w:ind w:left="8"/>
              <w:rPr>
                <w:rFonts w:ascii="Times New Roman"/>
                <w:sz w:val="21"/>
              </w:rPr>
            </w:pPr>
            <w:r>
              <w:rPr>
                <w:rFonts w:ascii="Times New Roman"/>
                <w:w w:val="99"/>
                <w:sz w:val="21"/>
              </w:rPr>
              <w:t>/</w:t>
            </w:r>
          </w:p>
        </w:tc>
        <w:tc>
          <w:tcPr>
            <w:tcW w:w="1083" w:type="dxa"/>
          </w:tcPr>
          <w:p>
            <w:pPr>
              <w:pStyle w:val="14"/>
              <w:spacing w:before="64"/>
              <w:ind w:left="200" w:right="196"/>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156" w:type="dxa"/>
          </w:tcPr>
          <w:p>
            <w:pPr>
              <w:pStyle w:val="14"/>
              <w:spacing w:before="62"/>
              <w:ind w:left="156" w:right="150"/>
              <w:rPr>
                <w:sz w:val="21"/>
              </w:rPr>
            </w:pPr>
            <w:r>
              <w:rPr>
                <w:sz w:val="21"/>
              </w:rPr>
              <w:t>顺</w:t>
            </w:r>
            <w:r>
              <w:rPr>
                <w:rFonts w:ascii="Times New Roman" w:eastAsia="Times New Roman"/>
                <w:sz w:val="21"/>
              </w:rPr>
              <w:t>-1,2-</w:t>
            </w:r>
            <w:r>
              <w:rPr>
                <w:sz w:val="21"/>
              </w:rPr>
              <w:t>二氯乙烯</w:t>
            </w:r>
          </w:p>
        </w:tc>
        <w:tc>
          <w:tcPr>
            <w:tcW w:w="1367" w:type="dxa"/>
          </w:tcPr>
          <w:p>
            <w:pPr>
              <w:pStyle w:val="14"/>
              <w:spacing w:before="76"/>
              <w:ind w:right="405"/>
              <w:jc w:val="right"/>
              <w:rPr>
                <w:rFonts w:ascii="Times New Roman"/>
                <w:sz w:val="21"/>
              </w:rPr>
            </w:pPr>
            <w:r>
              <w:rPr>
                <w:rFonts w:ascii="Times New Roman"/>
                <w:sz w:val="21"/>
              </w:rPr>
              <w:t>mg/kg</w:t>
            </w:r>
          </w:p>
        </w:tc>
        <w:tc>
          <w:tcPr>
            <w:tcW w:w="1579" w:type="dxa"/>
          </w:tcPr>
          <w:p>
            <w:pPr>
              <w:pStyle w:val="14"/>
              <w:spacing w:before="65"/>
              <w:ind w:left="136" w:right="128"/>
              <w:rPr>
                <w:sz w:val="21"/>
              </w:rPr>
            </w:pPr>
            <w:bookmarkStart w:id="1149" w:name="未检出"/>
            <w:bookmarkEnd w:id="1149"/>
            <w:r>
              <w:rPr>
                <w:sz w:val="21"/>
              </w:rPr>
              <w:t>未检出</w:t>
            </w:r>
          </w:p>
        </w:tc>
        <w:tc>
          <w:tcPr>
            <w:tcW w:w="1579" w:type="dxa"/>
          </w:tcPr>
          <w:p>
            <w:pPr>
              <w:pStyle w:val="14"/>
              <w:spacing w:before="76"/>
              <w:ind w:left="9"/>
              <w:rPr>
                <w:rFonts w:ascii="Times New Roman"/>
                <w:sz w:val="21"/>
              </w:rPr>
            </w:pPr>
            <w:r>
              <w:rPr>
                <w:rFonts w:ascii="Times New Roman"/>
                <w:w w:val="99"/>
                <w:sz w:val="21"/>
              </w:rPr>
              <w:t>/</w:t>
            </w:r>
          </w:p>
        </w:tc>
        <w:tc>
          <w:tcPr>
            <w:tcW w:w="1580" w:type="dxa"/>
          </w:tcPr>
          <w:p>
            <w:pPr>
              <w:pStyle w:val="14"/>
              <w:spacing w:before="76"/>
              <w:ind w:left="8"/>
              <w:rPr>
                <w:rFonts w:ascii="Times New Roman"/>
                <w:sz w:val="21"/>
              </w:rPr>
            </w:pPr>
            <w:r>
              <w:rPr>
                <w:rFonts w:ascii="Times New Roman"/>
                <w:w w:val="99"/>
                <w:sz w:val="21"/>
              </w:rPr>
              <w:t>/</w:t>
            </w:r>
          </w:p>
        </w:tc>
        <w:tc>
          <w:tcPr>
            <w:tcW w:w="1083" w:type="dxa"/>
          </w:tcPr>
          <w:p>
            <w:pPr>
              <w:pStyle w:val="14"/>
              <w:spacing w:before="62"/>
              <w:ind w:left="200" w:right="196"/>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3"/>
              <w:ind w:left="156" w:right="150"/>
              <w:rPr>
                <w:sz w:val="21"/>
              </w:rPr>
            </w:pPr>
            <w:r>
              <w:rPr>
                <w:sz w:val="21"/>
              </w:rPr>
              <w:t>反</w:t>
            </w:r>
            <w:r>
              <w:rPr>
                <w:rFonts w:ascii="Times New Roman" w:eastAsia="Times New Roman"/>
                <w:sz w:val="21"/>
              </w:rPr>
              <w:t>-1,2-</w:t>
            </w:r>
            <w:r>
              <w:rPr>
                <w:sz w:val="21"/>
              </w:rPr>
              <w:t>二氯乙烯</w:t>
            </w:r>
          </w:p>
        </w:tc>
        <w:tc>
          <w:tcPr>
            <w:tcW w:w="1367" w:type="dxa"/>
          </w:tcPr>
          <w:p>
            <w:pPr>
              <w:pStyle w:val="14"/>
              <w:spacing w:before="77"/>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66"/>
              <w:ind w:left="136" w:right="128"/>
              <w:rPr>
                <w:sz w:val="21"/>
              </w:rPr>
            </w:pPr>
            <w:bookmarkStart w:id="1150" w:name="未检出"/>
            <w:bookmarkEnd w:id="1150"/>
            <w:r>
              <w:rPr>
                <w:sz w:val="21"/>
              </w:rPr>
              <w:t>未检出</w:t>
            </w:r>
          </w:p>
        </w:tc>
        <w:tc>
          <w:tcPr>
            <w:tcW w:w="1579" w:type="dxa"/>
          </w:tcPr>
          <w:p>
            <w:pPr>
              <w:pStyle w:val="14"/>
              <w:spacing w:before="77"/>
              <w:ind w:left="9"/>
              <w:rPr>
                <w:rFonts w:ascii="Times New Roman"/>
                <w:sz w:val="21"/>
              </w:rPr>
            </w:pPr>
            <w:r>
              <w:rPr>
                <w:rFonts w:ascii="Times New Roman"/>
                <w:w w:val="99"/>
                <w:sz w:val="21"/>
              </w:rPr>
              <w:t>/</w:t>
            </w:r>
          </w:p>
        </w:tc>
        <w:tc>
          <w:tcPr>
            <w:tcW w:w="1580" w:type="dxa"/>
          </w:tcPr>
          <w:p>
            <w:pPr>
              <w:pStyle w:val="14"/>
              <w:spacing w:before="77"/>
              <w:ind w:left="8"/>
              <w:rPr>
                <w:rFonts w:ascii="Times New Roman"/>
                <w:sz w:val="21"/>
              </w:rPr>
            </w:pPr>
            <w:r>
              <w:rPr>
                <w:rFonts w:ascii="Times New Roman"/>
                <w:w w:val="99"/>
                <w:sz w:val="21"/>
              </w:rPr>
              <w:t>/</w:t>
            </w:r>
          </w:p>
        </w:tc>
        <w:tc>
          <w:tcPr>
            <w:tcW w:w="1083" w:type="dxa"/>
          </w:tcPr>
          <w:p>
            <w:pPr>
              <w:pStyle w:val="14"/>
              <w:spacing w:before="63"/>
              <w:ind w:left="200" w:right="196"/>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156" w:type="dxa"/>
          </w:tcPr>
          <w:p>
            <w:pPr>
              <w:pStyle w:val="14"/>
              <w:spacing w:before="62"/>
              <w:ind w:left="156" w:right="147"/>
              <w:rPr>
                <w:sz w:val="21"/>
              </w:rPr>
            </w:pPr>
            <w:r>
              <w:rPr>
                <w:sz w:val="21"/>
              </w:rPr>
              <w:t>二氯甲烷</w:t>
            </w:r>
          </w:p>
        </w:tc>
        <w:tc>
          <w:tcPr>
            <w:tcW w:w="1367" w:type="dxa"/>
          </w:tcPr>
          <w:p>
            <w:pPr>
              <w:pStyle w:val="14"/>
              <w:spacing w:before="76"/>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67"/>
              <w:ind w:left="136" w:right="128"/>
              <w:rPr>
                <w:sz w:val="21"/>
              </w:rPr>
            </w:pPr>
            <w:bookmarkStart w:id="1151" w:name="未检出"/>
            <w:bookmarkEnd w:id="1151"/>
            <w:r>
              <w:rPr>
                <w:sz w:val="21"/>
              </w:rPr>
              <w:t>未检出</w:t>
            </w:r>
          </w:p>
        </w:tc>
        <w:tc>
          <w:tcPr>
            <w:tcW w:w="1579" w:type="dxa"/>
          </w:tcPr>
          <w:p>
            <w:pPr>
              <w:pStyle w:val="14"/>
              <w:spacing w:before="76"/>
              <w:ind w:left="9"/>
              <w:rPr>
                <w:rFonts w:ascii="Times New Roman"/>
                <w:sz w:val="21"/>
              </w:rPr>
            </w:pPr>
            <w:r>
              <w:rPr>
                <w:rFonts w:ascii="Times New Roman"/>
                <w:w w:val="99"/>
                <w:sz w:val="21"/>
              </w:rPr>
              <w:t>/</w:t>
            </w:r>
          </w:p>
        </w:tc>
        <w:tc>
          <w:tcPr>
            <w:tcW w:w="1580" w:type="dxa"/>
          </w:tcPr>
          <w:p>
            <w:pPr>
              <w:pStyle w:val="14"/>
              <w:spacing w:before="76"/>
              <w:ind w:left="8"/>
              <w:rPr>
                <w:rFonts w:ascii="Times New Roman"/>
                <w:sz w:val="21"/>
              </w:rPr>
            </w:pPr>
            <w:r>
              <w:rPr>
                <w:rFonts w:ascii="Times New Roman"/>
                <w:w w:val="99"/>
                <w:sz w:val="21"/>
              </w:rPr>
              <w:t>/</w:t>
            </w:r>
          </w:p>
        </w:tc>
        <w:tc>
          <w:tcPr>
            <w:tcW w:w="1083" w:type="dxa"/>
          </w:tcPr>
          <w:p>
            <w:pPr>
              <w:pStyle w:val="14"/>
              <w:spacing w:before="62"/>
              <w:ind w:left="200" w:right="196"/>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3"/>
              <w:ind w:left="156" w:right="150"/>
              <w:rPr>
                <w:sz w:val="21"/>
              </w:rPr>
            </w:pPr>
            <w:r>
              <w:rPr>
                <w:rFonts w:ascii="Times New Roman" w:eastAsia="Times New Roman"/>
                <w:sz w:val="21"/>
              </w:rPr>
              <w:t>1,2-</w:t>
            </w:r>
            <w:r>
              <w:rPr>
                <w:sz w:val="21"/>
              </w:rPr>
              <w:t>二氯丙烷</w:t>
            </w:r>
          </w:p>
        </w:tc>
        <w:tc>
          <w:tcPr>
            <w:tcW w:w="1367" w:type="dxa"/>
          </w:tcPr>
          <w:p>
            <w:pPr>
              <w:pStyle w:val="14"/>
              <w:spacing w:before="77"/>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65"/>
              <w:ind w:left="136" w:right="128"/>
              <w:rPr>
                <w:sz w:val="21"/>
              </w:rPr>
            </w:pPr>
            <w:bookmarkStart w:id="1152" w:name="未检出"/>
            <w:bookmarkEnd w:id="1152"/>
            <w:r>
              <w:rPr>
                <w:sz w:val="21"/>
              </w:rPr>
              <w:t>未检出</w:t>
            </w:r>
          </w:p>
        </w:tc>
        <w:tc>
          <w:tcPr>
            <w:tcW w:w="1579" w:type="dxa"/>
          </w:tcPr>
          <w:p>
            <w:pPr>
              <w:pStyle w:val="14"/>
              <w:spacing w:before="77"/>
              <w:ind w:left="9"/>
              <w:rPr>
                <w:rFonts w:ascii="Times New Roman"/>
                <w:sz w:val="21"/>
              </w:rPr>
            </w:pPr>
            <w:r>
              <w:rPr>
                <w:rFonts w:ascii="Times New Roman"/>
                <w:w w:val="99"/>
                <w:sz w:val="21"/>
              </w:rPr>
              <w:t>/</w:t>
            </w:r>
          </w:p>
        </w:tc>
        <w:tc>
          <w:tcPr>
            <w:tcW w:w="1580" w:type="dxa"/>
          </w:tcPr>
          <w:p>
            <w:pPr>
              <w:pStyle w:val="14"/>
              <w:spacing w:before="77"/>
              <w:ind w:left="8"/>
              <w:rPr>
                <w:rFonts w:ascii="Times New Roman"/>
                <w:sz w:val="21"/>
              </w:rPr>
            </w:pPr>
            <w:r>
              <w:rPr>
                <w:rFonts w:ascii="Times New Roman"/>
                <w:w w:val="99"/>
                <w:sz w:val="21"/>
              </w:rPr>
              <w:t>/</w:t>
            </w:r>
          </w:p>
        </w:tc>
        <w:tc>
          <w:tcPr>
            <w:tcW w:w="1083" w:type="dxa"/>
          </w:tcPr>
          <w:p>
            <w:pPr>
              <w:pStyle w:val="14"/>
              <w:spacing w:before="63"/>
              <w:ind w:left="200" w:right="196"/>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4"/>
              <w:ind w:left="156" w:right="147"/>
              <w:rPr>
                <w:sz w:val="21"/>
              </w:rPr>
            </w:pPr>
            <w:r>
              <w:rPr>
                <w:rFonts w:ascii="Times New Roman" w:eastAsia="Times New Roman"/>
                <w:sz w:val="21"/>
              </w:rPr>
              <w:t>1,1,1,2-</w:t>
            </w:r>
            <w:r>
              <w:rPr>
                <w:sz w:val="21"/>
              </w:rPr>
              <w:t>四氯乙烷</w:t>
            </w:r>
          </w:p>
        </w:tc>
        <w:tc>
          <w:tcPr>
            <w:tcW w:w="1367" w:type="dxa"/>
          </w:tcPr>
          <w:p>
            <w:pPr>
              <w:pStyle w:val="14"/>
              <w:spacing w:before="78"/>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66"/>
              <w:ind w:left="136" w:right="128"/>
              <w:rPr>
                <w:sz w:val="21"/>
              </w:rPr>
            </w:pPr>
            <w:bookmarkStart w:id="1153" w:name="未检出"/>
            <w:bookmarkEnd w:id="1153"/>
            <w:r>
              <w:rPr>
                <w:sz w:val="21"/>
              </w:rPr>
              <w:t>未检出</w:t>
            </w:r>
          </w:p>
        </w:tc>
        <w:tc>
          <w:tcPr>
            <w:tcW w:w="1579" w:type="dxa"/>
          </w:tcPr>
          <w:p>
            <w:pPr>
              <w:pStyle w:val="14"/>
              <w:spacing w:before="78"/>
              <w:ind w:left="9"/>
              <w:rPr>
                <w:rFonts w:ascii="Times New Roman"/>
                <w:sz w:val="21"/>
              </w:rPr>
            </w:pPr>
            <w:r>
              <w:rPr>
                <w:rFonts w:ascii="Times New Roman"/>
                <w:w w:val="99"/>
                <w:sz w:val="21"/>
              </w:rPr>
              <w:t>/</w:t>
            </w:r>
          </w:p>
        </w:tc>
        <w:tc>
          <w:tcPr>
            <w:tcW w:w="1580" w:type="dxa"/>
          </w:tcPr>
          <w:p>
            <w:pPr>
              <w:pStyle w:val="14"/>
              <w:spacing w:before="78"/>
              <w:ind w:left="8"/>
              <w:rPr>
                <w:rFonts w:ascii="Times New Roman"/>
                <w:sz w:val="21"/>
              </w:rPr>
            </w:pPr>
            <w:r>
              <w:rPr>
                <w:rFonts w:ascii="Times New Roman"/>
                <w:w w:val="99"/>
                <w:sz w:val="21"/>
              </w:rPr>
              <w:t>/</w:t>
            </w:r>
          </w:p>
        </w:tc>
        <w:tc>
          <w:tcPr>
            <w:tcW w:w="1083" w:type="dxa"/>
          </w:tcPr>
          <w:p>
            <w:pPr>
              <w:pStyle w:val="14"/>
              <w:spacing w:before="64"/>
              <w:ind w:left="200" w:right="196"/>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156" w:type="dxa"/>
          </w:tcPr>
          <w:p>
            <w:pPr>
              <w:pStyle w:val="14"/>
              <w:spacing w:before="62"/>
              <w:ind w:left="156" w:right="147"/>
              <w:rPr>
                <w:sz w:val="21"/>
              </w:rPr>
            </w:pPr>
            <w:r>
              <w:rPr>
                <w:rFonts w:ascii="Times New Roman" w:eastAsia="Times New Roman"/>
                <w:sz w:val="21"/>
              </w:rPr>
              <w:t>1,1,2,2-</w:t>
            </w:r>
            <w:r>
              <w:rPr>
                <w:sz w:val="21"/>
              </w:rPr>
              <w:t>四氯乙烷</w:t>
            </w:r>
          </w:p>
        </w:tc>
        <w:tc>
          <w:tcPr>
            <w:tcW w:w="1367" w:type="dxa"/>
          </w:tcPr>
          <w:p>
            <w:pPr>
              <w:pStyle w:val="14"/>
              <w:spacing w:before="76"/>
              <w:ind w:right="405"/>
              <w:jc w:val="right"/>
              <w:rPr>
                <w:rFonts w:ascii="Times New Roman"/>
                <w:sz w:val="21"/>
              </w:rPr>
            </w:pPr>
            <w:r>
              <w:rPr>
                <w:rFonts w:ascii="Times New Roman"/>
                <w:sz w:val="21"/>
              </w:rPr>
              <w:t>mg/kg</w:t>
            </w:r>
          </w:p>
        </w:tc>
        <w:tc>
          <w:tcPr>
            <w:tcW w:w="1579" w:type="dxa"/>
          </w:tcPr>
          <w:p>
            <w:pPr>
              <w:pStyle w:val="14"/>
              <w:spacing w:before="65"/>
              <w:ind w:left="136" w:right="128"/>
              <w:rPr>
                <w:sz w:val="21"/>
              </w:rPr>
            </w:pPr>
            <w:bookmarkStart w:id="1154" w:name="未检出"/>
            <w:bookmarkEnd w:id="1154"/>
            <w:r>
              <w:rPr>
                <w:sz w:val="21"/>
              </w:rPr>
              <w:t>未检出</w:t>
            </w:r>
          </w:p>
        </w:tc>
        <w:tc>
          <w:tcPr>
            <w:tcW w:w="1579" w:type="dxa"/>
          </w:tcPr>
          <w:p>
            <w:pPr>
              <w:pStyle w:val="14"/>
              <w:spacing w:before="76"/>
              <w:ind w:left="9"/>
              <w:rPr>
                <w:rFonts w:ascii="Times New Roman"/>
                <w:sz w:val="21"/>
              </w:rPr>
            </w:pPr>
            <w:r>
              <w:rPr>
                <w:rFonts w:ascii="Times New Roman"/>
                <w:w w:val="99"/>
                <w:sz w:val="21"/>
              </w:rPr>
              <w:t>/</w:t>
            </w:r>
          </w:p>
        </w:tc>
        <w:tc>
          <w:tcPr>
            <w:tcW w:w="1580" w:type="dxa"/>
          </w:tcPr>
          <w:p>
            <w:pPr>
              <w:pStyle w:val="14"/>
              <w:spacing w:before="76"/>
              <w:ind w:left="8"/>
              <w:rPr>
                <w:rFonts w:ascii="Times New Roman"/>
                <w:sz w:val="21"/>
              </w:rPr>
            </w:pPr>
            <w:r>
              <w:rPr>
                <w:rFonts w:ascii="Times New Roman"/>
                <w:w w:val="99"/>
                <w:sz w:val="21"/>
              </w:rPr>
              <w:t>/</w:t>
            </w:r>
          </w:p>
        </w:tc>
        <w:tc>
          <w:tcPr>
            <w:tcW w:w="1083" w:type="dxa"/>
          </w:tcPr>
          <w:p>
            <w:pPr>
              <w:pStyle w:val="14"/>
              <w:spacing w:before="62"/>
              <w:ind w:left="200" w:right="196"/>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3"/>
              <w:ind w:left="156" w:right="147"/>
              <w:rPr>
                <w:sz w:val="21"/>
              </w:rPr>
            </w:pPr>
            <w:r>
              <w:rPr>
                <w:sz w:val="21"/>
              </w:rPr>
              <w:t>四氯乙烯</w:t>
            </w:r>
          </w:p>
        </w:tc>
        <w:tc>
          <w:tcPr>
            <w:tcW w:w="1367" w:type="dxa"/>
          </w:tcPr>
          <w:p>
            <w:pPr>
              <w:pStyle w:val="14"/>
              <w:spacing w:before="77"/>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66"/>
              <w:ind w:left="136" w:right="128"/>
              <w:rPr>
                <w:sz w:val="21"/>
              </w:rPr>
            </w:pPr>
            <w:bookmarkStart w:id="1155" w:name="未检出"/>
            <w:bookmarkEnd w:id="1155"/>
            <w:r>
              <w:rPr>
                <w:sz w:val="21"/>
              </w:rPr>
              <w:t>未检出</w:t>
            </w:r>
          </w:p>
        </w:tc>
        <w:tc>
          <w:tcPr>
            <w:tcW w:w="1579" w:type="dxa"/>
          </w:tcPr>
          <w:p>
            <w:pPr>
              <w:pStyle w:val="14"/>
              <w:spacing w:before="77"/>
              <w:ind w:left="9"/>
              <w:rPr>
                <w:rFonts w:ascii="Times New Roman"/>
                <w:sz w:val="21"/>
              </w:rPr>
            </w:pPr>
            <w:r>
              <w:rPr>
                <w:rFonts w:ascii="Times New Roman"/>
                <w:w w:val="99"/>
                <w:sz w:val="21"/>
              </w:rPr>
              <w:t>/</w:t>
            </w:r>
          </w:p>
        </w:tc>
        <w:tc>
          <w:tcPr>
            <w:tcW w:w="1580" w:type="dxa"/>
          </w:tcPr>
          <w:p>
            <w:pPr>
              <w:pStyle w:val="14"/>
              <w:spacing w:before="77"/>
              <w:ind w:left="8"/>
              <w:rPr>
                <w:rFonts w:ascii="Times New Roman"/>
                <w:sz w:val="21"/>
              </w:rPr>
            </w:pPr>
            <w:r>
              <w:rPr>
                <w:rFonts w:ascii="Times New Roman"/>
                <w:w w:val="99"/>
                <w:sz w:val="21"/>
              </w:rPr>
              <w:t>/</w:t>
            </w:r>
          </w:p>
        </w:tc>
        <w:tc>
          <w:tcPr>
            <w:tcW w:w="1083" w:type="dxa"/>
          </w:tcPr>
          <w:p>
            <w:pPr>
              <w:pStyle w:val="14"/>
              <w:spacing w:before="63"/>
              <w:ind w:left="200" w:right="196"/>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156" w:type="dxa"/>
          </w:tcPr>
          <w:p>
            <w:pPr>
              <w:pStyle w:val="14"/>
              <w:spacing w:before="62"/>
              <w:ind w:left="156" w:right="147"/>
              <w:rPr>
                <w:sz w:val="21"/>
              </w:rPr>
            </w:pPr>
            <w:r>
              <w:rPr>
                <w:rFonts w:ascii="Times New Roman" w:eastAsia="Times New Roman"/>
                <w:sz w:val="21"/>
              </w:rPr>
              <w:t>1,1,1-</w:t>
            </w:r>
            <w:r>
              <w:rPr>
                <w:sz w:val="21"/>
              </w:rPr>
              <w:t>三氯乙烷</w:t>
            </w:r>
          </w:p>
        </w:tc>
        <w:tc>
          <w:tcPr>
            <w:tcW w:w="1367" w:type="dxa"/>
          </w:tcPr>
          <w:p>
            <w:pPr>
              <w:pStyle w:val="14"/>
              <w:spacing w:before="76"/>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67"/>
              <w:ind w:left="136" w:right="128"/>
              <w:rPr>
                <w:sz w:val="21"/>
              </w:rPr>
            </w:pPr>
            <w:bookmarkStart w:id="1156" w:name="未检出"/>
            <w:bookmarkEnd w:id="1156"/>
            <w:r>
              <w:rPr>
                <w:sz w:val="21"/>
              </w:rPr>
              <w:t>未检出</w:t>
            </w:r>
          </w:p>
        </w:tc>
        <w:tc>
          <w:tcPr>
            <w:tcW w:w="1579" w:type="dxa"/>
          </w:tcPr>
          <w:p>
            <w:pPr>
              <w:pStyle w:val="14"/>
              <w:spacing w:before="76"/>
              <w:ind w:left="9"/>
              <w:rPr>
                <w:rFonts w:ascii="Times New Roman"/>
                <w:sz w:val="21"/>
              </w:rPr>
            </w:pPr>
            <w:r>
              <w:rPr>
                <w:rFonts w:ascii="Times New Roman"/>
                <w:w w:val="99"/>
                <w:sz w:val="21"/>
              </w:rPr>
              <w:t>/</w:t>
            </w:r>
          </w:p>
        </w:tc>
        <w:tc>
          <w:tcPr>
            <w:tcW w:w="1580" w:type="dxa"/>
          </w:tcPr>
          <w:p>
            <w:pPr>
              <w:pStyle w:val="14"/>
              <w:spacing w:before="76"/>
              <w:ind w:left="8"/>
              <w:rPr>
                <w:rFonts w:ascii="Times New Roman"/>
                <w:sz w:val="21"/>
              </w:rPr>
            </w:pPr>
            <w:r>
              <w:rPr>
                <w:rFonts w:ascii="Times New Roman"/>
                <w:w w:val="99"/>
                <w:sz w:val="21"/>
              </w:rPr>
              <w:t>/</w:t>
            </w:r>
          </w:p>
        </w:tc>
        <w:tc>
          <w:tcPr>
            <w:tcW w:w="1083" w:type="dxa"/>
          </w:tcPr>
          <w:p>
            <w:pPr>
              <w:pStyle w:val="14"/>
              <w:spacing w:before="62"/>
              <w:ind w:left="200" w:right="196"/>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3"/>
              <w:ind w:left="156" w:right="147"/>
              <w:rPr>
                <w:sz w:val="21"/>
              </w:rPr>
            </w:pPr>
            <w:r>
              <w:rPr>
                <w:rFonts w:ascii="Times New Roman" w:eastAsia="Times New Roman"/>
                <w:sz w:val="21"/>
              </w:rPr>
              <w:t>1,1,2-</w:t>
            </w:r>
            <w:r>
              <w:rPr>
                <w:sz w:val="21"/>
              </w:rPr>
              <w:t>三氯乙烷</w:t>
            </w:r>
          </w:p>
        </w:tc>
        <w:tc>
          <w:tcPr>
            <w:tcW w:w="1367" w:type="dxa"/>
          </w:tcPr>
          <w:p>
            <w:pPr>
              <w:pStyle w:val="14"/>
              <w:spacing w:before="77"/>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66"/>
              <w:ind w:left="136" w:right="128"/>
              <w:rPr>
                <w:sz w:val="21"/>
              </w:rPr>
            </w:pPr>
            <w:bookmarkStart w:id="1157" w:name="未检出"/>
            <w:bookmarkEnd w:id="1157"/>
            <w:r>
              <w:rPr>
                <w:sz w:val="21"/>
              </w:rPr>
              <w:t>未检出</w:t>
            </w:r>
          </w:p>
        </w:tc>
        <w:tc>
          <w:tcPr>
            <w:tcW w:w="1579" w:type="dxa"/>
          </w:tcPr>
          <w:p>
            <w:pPr>
              <w:pStyle w:val="14"/>
              <w:spacing w:before="77"/>
              <w:ind w:left="9"/>
              <w:rPr>
                <w:rFonts w:ascii="Times New Roman"/>
                <w:sz w:val="21"/>
              </w:rPr>
            </w:pPr>
            <w:r>
              <w:rPr>
                <w:rFonts w:ascii="Times New Roman"/>
                <w:w w:val="99"/>
                <w:sz w:val="21"/>
              </w:rPr>
              <w:t>/</w:t>
            </w:r>
          </w:p>
        </w:tc>
        <w:tc>
          <w:tcPr>
            <w:tcW w:w="1580" w:type="dxa"/>
          </w:tcPr>
          <w:p>
            <w:pPr>
              <w:pStyle w:val="14"/>
              <w:spacing w:before="77"/>
              <w:ind w:left="8"/>
              <w:rPr>
                <w:rFonts w:ascii="Times New Roman"/>
                <w:sz w:val="21"/>
              </w:rPr>
            </w:pPr>
            <w:r>
              <w:rPr>
                <w:rFonts w:ascii="Times New Roman"/>
                <w:w w:val="99"/>
                <w:sz w:val="21"/>
              </w:rPr>
              <w:t>/</w:t>
            </w:r>
          </w:p>
        </w:tc>
        <w:tc>
          <w:tcPr>
            <w:tcW w:w="1083" w:type="dxa"/>
          </w:tcPr>
          <w:p>
            <w:pPr>
              <w:pStyle w:val="14"/>
              <w:spacing w:before="63"/>
              <w:ind w:left="200" w:right="196"/>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2"/>
              <w:ind w:left="156" w:right="147"/>
              <w:rPr>
                <w:sz w:val="21"/>
              </w:rPr>
            </w:pPr>
            <w:r>
              <w:rPr>
                <w:sz w:val="21"/>
              </w:rPr>
              <w:t>三氯乙烯</w:t>
            </w:r>
          </w:p>
        </w:tc>
        <w:tc>
          <w:tcPr>
            <w:tcW w:w="1367" w:type="dxa"/>
          </w:tcPr>
          <w:p>
            <w:pPr>
              <w:pStyle w:val="14"/>
              <w:spacing w:before="76"/>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67"/>
              <w:ind w:left="136" w:right="128"/>
              <w:rPr>
                <w:sz w:val="21"/>
              </w:rPr>
            </w:pPr>
            <w:bookmarkStart w:id="1158" w:name="未检出"/>
            <w:bookmarkEnd w:id="1158"/>
            <w:r>
              <w:rPr>
                <w:sz w:val="21"/>
              </w:rPr>
              <w:t>未检出</w:t>
            </w:r>
          </w:p>
        </w:tc>
        <w:tc>
          <w:tcPr>
            <w:tcW w:w="1579" w:type="dxa"/>
          </w:tcPr>
          <w:p>
            <w:pPr>
              <w:pStyle w:val="14"/>
              <w:spacing w:before="76"/>
              <w:ind w:left="9"/>
              <w:rPr>
                <w:rFonts w:ascii="Times New Roman"/>
                <w:sz w:val="21"/>
              </w:rPr>
            </w:pPr>
            <w:r>
              <w:rPr>
                <w:rFonts w:ascii="Times New Roman"/>
                <w:w w:val="99"/>
                <w:sz w:val="21"/>
              </w:rPr>
              <w:t>/</w:t>
            </w:r>
          </w:p>
        </w:tc>
        <w:tc>
          <w:tcPr>
            <w:tcW w:w="1580" w:type="dxa"/>
          </w:tcPr>
          <w:p>
            <w:pPr>
              <w:pStyle w:val="14"/>
              <w:spacing w:before="76"/>
              <w:ind w:left="8"/>
              <w:rPr>
                <w:rFonts w:ascii="Times New Roman"/>
                <w:sz w:val="21"/>
              </w:rPr>
            </w:pPr>
            <w:r>
              <w:rPr>
                <w:rFonts w:ascii="Times New Roman"/>
                <w:w w:val="99"/>
                <w:sz w:val="21"/>
              </w:rPr>
              <w:t>/</w:t>
            </w:r>
          </w:p>
        </w:tc>
        <w:tc>
          <w:tcPr>
            <w:tcW w:w="1083" w:type="dxa"/>
          </w:tcPr>
          <w:p>
            <w:pPr>
              <w:pStyle w:val="14"/>
              <w:spacing w:before="62"/>
              <w:ind w:left="200" w:right="196"/>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156" w:type="dxa"/>
          </w:tcPr>
          <w:p>
            <w:pPr>
              <w:pStyle w:val="14"/>
              <w:spacing w:before="63"/>
              <w:ind w:left="156" w:right="147"/>
              <w:rPr>
                <w:sz w:val="21"/>
              </w:rPr>
            </w:pPr>
            <w:r>
              <w:rPr>
                <w:rFonts w:ascii="Times New Roman" w:eastAsia="Times New Roman"/>
                <w:sz w:val="21"/>
              </w:rPr>
              <w:t>1,2,3-</w:t>
            </w:r>
            <w:r>
              <w:rPr>
                <w:sz w:val="21"/>
              </w:rPr>
              <w:t>三氯丙烷</w:t>
            </w:r>
          </w:p>
        </w:tc>
        <w:tc>
          <w:tcPr>
            <w:tcW w:w="1367" w:type="dxa"/>
          </w:tcPr>
          <w:p>
            <w:pPr>
              <w:pStyle w:val="14"/>
              <w:spacing w:before="77"/>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65"/>
              <w:ind w:left="136" w:right="128"/>
              <w:rPr>
                <w:sz w:val="21"/>
              </w:rPr>
            </w:pPr>
            <w:bookmarkStart w:id="1159" w:name="未检出"/>
            <w:bookmarkEnd w:id="1159"/>
            <w:r>
              <w:rPr>
                <w:sz w:val="21"/>
              </w:rPr>
              <w:t>未检出</w:t>
            </w:r>
          </w:p>
        </w:tc>
        <w:tc>
          <w:tcPr>
            <w:tcW w:w="1579" w:type="dxa"/>
          </w:tcPr>
          <w:p>
            <w:pPr>
              <w:pStyle w:val="14"/>
              <w:spacing w:before="77"/>
              <w:ind w:left="9"/>
              <w:rPr>
                <w:rFonts w:ascii="Times New Roman"/>
                <w:sz w:val="21"/>
              </w:rPr>
            </w:pPr>
            <w:r>
              <w:rPr>
                <w:rFonts w:ascii="Times New Roman"/>
                <w:w w:val="99"/>
                <w:sz w:val="21"/>
              </w:rPr>
              <w:t>/</w:t>
            </w:r>
          </w:p>
        </w:tc>
        <w:tc>
          <w:tcPr>
            <w:tcW w:w="1580" w:type="dxa"/>
          </w:tcPr>
          <w:p>
            <w:pPr>
              <w:pStyle w:val="14"/>
              <w:spacing w:before="77"/>
              <w:ind w:left="8"/>
              <w:rPr>
                <w:rFonts w:ascii="Times New Roman"/>
                <w:sz w:val="21"/>
              </w:rPr>
            </w:pPr>
            <w:r>
              <w:rPr>
                <w:rFonts w:ascii="Times New Roman"/>
                <w:w w:val="99"/>
                <w:sz w:val="21"/>
              </w:rPr>
              <w:t>/</w:t>
            </w:r>
          </w:p>
        </w:tc>
        <w:tc>
          <w:tcPr>
            <w:tcW w:w="1083" w:type="dxa"/>
          </w:tcPr>
          <w:p>
            <w:pPr>
              <w:pStyle w:val="14"/>
              <w:spacing w:before="63"/>
              <w:ind w:left="200" w:right="196"/>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4"/>
              <w:ind w:left="156" w:right="150"/>
              <w:rPr>
                <w:sz w:val="21"/>
              </w:rPr>
            </w:pPr>
            <w:r>
              <w:rPr>
                <w:sz w:val="21"/>
              </w:rPr>
              <w:t>氯乙烯</w:t>
            </w:r>
          </w:p>
        </w:tc>
        <w:tc>
          <w:tcPr>
            <w:tcW w:w="1367" w:type="dxa"/>
          </w:tcPr>
          <w:p>
            <w:pPr>
              <w:pStyle w:val="14"/>
              <w:spacing w:before="78"/>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66"/>
              <w:ind w:left="136" w:right="128"/>
              <w:rPr>
                <w:sz w:val="21"/>
              </w:rPr>
            </w:pPr>
            <w:bookmarkStart w:id="1160" w:name="未检出"/>
            <w:bookmarkEnd w:id="1160"/>
            <w:r>
              <w:rPr>
                <w:sz w:val="21"/>
              </w:rPr>
              <w:t>未检出</w:t>
            </w:r>
          </w:p>
        </w:tc>
        <w:tc>
          <w:tcPr>
            <w:tcW w:w="1579" w:type="dxa"/>
          </w:tcPr>
          <w:p>
            <w:pPr>
              <w:pStyle w:val="14"/>
              <w:spacing w:before="78"/>
              <w:ind w:left="9"/>
              <w:rPr>
                <w:rFonts w:ascii="Times New Roman"/>
                <w:sz w:val="21"/>
              </w:rPr>
            </w:pPr>
            <w:r>
              <w:rPr>
                <w:rFonts w:ascii="Times New Roman"/>
                <w:w w:val="99"/>
                <w:sz w:val="21"/>
              </w:rPr>
              <w:t>/</w:t>
            </w:r>
          </w:p>
        </w:tc>
        <w:tc>
          <w:tcPr>
            <w:tcW w:w="1580" w:type="dxa"/>
          </w:tcPr>
          <w:p>
            <w:pPr>
              <w:pStyle w:val="14"/>
              <w:spacing w:before="78"/>
              <w:ind w:left="8"/>
              <w:rPr>
                <w:rFonts w:ascii="Times New Roman"/>
                <w:sz w:val="21"/>
              </w:rPr>
            </w:pPr>
            <w:r>
              <w:rPr>
                <w:rFonts w:ascii="Times New Roman"/>
                <w:w w:val="99"/>
                <w:sz w:val="21"/>
              </w:rPr>
              <w:t>/</w:t>
            </w:r>
          </w:p>
        </w:tc>
        <w:tc>
          <w:tcPr>
            <w:tcW w:w="1083" w:type="dxa"/>
          </w:tcPr>
          <w:p>
            <w:pPr>
              <w:pStyle w:val="14"/>
              <w:spacing w:before="64"/>
              <w:ind w:left="200" w:right="196"/>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2"/>
              <w:ind w:left="9"/>
              <w:rPr>
                <w:sz w:val="21"/>
              </w:rPr>
            </w:pPr>
            <w:r>
              <w:rPr>
                <w:w w:val="99"/>
                <w:sz w:val="21"/>
              </w:rPr>
              <w:t>苯</w:t>
            </w:r>
          </w:p>
        </w:tc>
        <w:tc>
          <w:tcPr>
            <w:tcW w:w="1367" w:type="dxa"/>
          </w:tcPr>
          <w:p>
            <w:pPr>
              <w:pStyle w:val="14"/>
              <w:spacing w:before="76"/>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65"/>
              <w:ind w:left="136" w:right="128"/>
              <w:rPr>
                <w:sz w:val="21"/>
              </w:rPr>
            </w:pPr>
            <w:bookmarkStart w:id="1161" w:name="未检出"/>
            <w:bookmarkEnd w:id="1161"/>
            <w:r>
              <w:rPr>
                <w:sz w:val="21"/>
              </w:rPr>
              <w:t>未检出</w:t>
            </w:r>
          </w:p>
        </w:tc>
        <w:tc>
          <w:tcPr>
            <w:tcW w:w="1579" w:type="dxa"/>
          </w:tcPr>
          <w:p>
            <w:pPr>
              <w:pStyle w:val="14"/>
              <w:spacing w:before="76"/>
              <w:ind w:left="9"/>
              <w:rPr>
                <w:rFonts w:ascii="Times New Roman"/>
                <w:sz w:val="21"/>
              </w:rPr>
            </w:pPr>
            <w:r>
              <w:rPr>
                <w:rFonts w:ascii="Times New Roman"/>
                <w:w w:val="99"/>
                <w:sz w:val="21"/>
              </w:rPr>
              <w:t>/</w:t>
            </w:r>
          </w:p>
        </w:tc>
        <w:tc>
          <w:tcPr>
            <w:tcW w:w="1580" w:type="dxa"/>
          </w:tcPr>
          <w:p>
            <w:pPr>
              <w:pStyle w:val="14"/>
              <w:spacing w:before="76"/>
              <w:ind w:left="8"/>
              <w:rPr>
                <w:rFonts w:ascii="Times New Roman"/>
                <w:sz w:val="21"/>
              </w:rPr>
            </w:pPr>
            <w:r>
              <w:rPr>
                <w:rFonts w:ascii="Times New Roman"/>
                <w:w w:val="99"/>
                <w:sz w:val="21"/>
              </w:rPr>
              <w:t>/</w:t>
            </w:r>
          </w:p>
        </w:tc>
        <w:tc>
          <w:tcPr>
            <w:tcW w:w="1083" w:type="dxa"/>
          </w:tcPr>
          <w:p>
            <w:pPr>
              <w:pStyle w:val="14"/>
              <w:spacing w:before="62"/>
              <w:ind w:left="200" w:right="196"/>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3"/>
              <w:ind w:left="156" w:right="150"/>
              <w:rPr>
                <w:sz w:val="21"/>
              </w:rPr>
            </w:pPr>
            <w:r>
              <w:rPr>
                <w:sz w:val="21"/>
              </w:rPr>
              <w:t>氯苯</w:t>
            </w:r>
          </w:p>
        </w:tc>
        <w:tc>
          <w:tcPr>
            <w:tcW w:w="1367" w:type="dxa"/>
          </w:tcPr>
          <w:p>
            <w:pPr>
              <w:pStyle w:val="14"/>
              <w:spacing w:before="77"/>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66"/>
              <w:ind w:left="136" w:right="128"/>
              <w:rPr>
                <w:sz w:val="21"/>
              </w:rPr>
            </w:pPr>
            <w:bookmarkStart w:id="1162" w:name="未检出"/>
            <w:bookmarkEnd w:id="1162"/>
            <w:r>
              <w:rPr>
                <w:sz w:val="21"/>
              </w:rPr>
              <w:t>未检出</w:t>
            </w:r>
          </w:p>
        </w:tc>
        <w:tc>
          <w:tcPr>
            <w:tcW w:w="1579" w:type="dxa"/>
          </w:tcPr>
          <w:p>
            <w:pPr>
              <w:pStyle w:val="14"/>
              <w:spacing w:before="77"/>
              <w:ind w:left="9"/>
              <w:rPr>
                <w:rFonts w:ascii="Times New Roman"/>
                <w:sz w:val="21"/>
              </w:rPr>
            </w:pPr>
            <w:r>
              <w:rPr>
                <w:rFonts w:ascii="Times New Roman"/>
                <w:w w:val="99"/>
                <w:sz w:val="21"/>
              </w:rPr>
              <w:t>/</w:t>
            </w:r>
          </w:p>
        </w:tc>
        <w:tc>
          <w:tcPr>
            <w:tcW w:w="1580" w:type="dxa"/>
          </w:tcPr>
          <w:p>
            <w:pPr>
              <w:pStyle w:val="14"/>
              <w:spacing w:before="77"/>
              <w:ind w:left="8"/>
              <w:rPr>
                <w:rFonts w:ascii="Times New Roman"/>
                <w:sz w:val="21"/>
              </w:rPr>
            </w:pPr>
            <w:r>
              <w:rPr>
                <w:rFonts w:ascii="Times New Roman"/>
                <w:w w:val="99"/>
                <w:sz w:val="21"/>
              </w:rPr>
              <w:t>/</w:t>
            </w:r>
          </w:p>
        </w:tc>
        <w:tc>
          <w:tcPr>
            <w:tcW w:w="1083" w:type="dxa"/>
          </w:tcPr>
          <w:p>
            <w:pPr>
              <w:pStyle w:val="14"/>
              <w:spacing w:before="63"/>
              <w:ind w:left="200" w:right="196"/>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156" w:type="dxa"/>
          </w:tcPr>
          <w:p>
            <w:pPr>
              <w:pStyle w:val="14"/>
              <w:spacing w:before="62"/>
              <w:ind w:left="156" w:right="150"/>
              <w:rPr>
                <w:sz w:val="21"/>
              </w:rPr>
            </w:pPr>
            <w:r>
              <w:rPr>
                <w:rFonts w:ascii="Times New Roman" w:eastAsia="Times New Roman"/>
                <w:sz w:val="21"/>
              </w:rPr>
              <w:t>1,2-</w:t>
            </w:r>
            <w:r>
              <w:rPr>
                <w:sz w:val="21"/>
              </w:rPr>
              <w:t>二氯苯</w:t>
            </w:r>
          </w:p>
        </w:tc>
        <w:tc>
          <w:tcPr>
            <w:tcW w:w="1367" w:type="dxa"/>
          </w:tcPr>
          <w:p>
            <w:pPr>
              <w:pStyle w:val="14"/>
              <w:spacing w:before="76"/>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67"/>
              <w:ind w:left="136" w:right="128"/>
              <w:rPr>
                <w:sz w:val="21"/>
              </w:rPr>
            </w:pPr>
            <w:bookmarkStart w:id="1163" w:name="未检出"/>
            <w:bookmarkEnd w:id="1163"/>
            <w:r>
              <w:rPr>
                <w:sz w:val="21"/>
              </w:rPr>
              <w:t>未检出</w:t>
            </w:r>
          </w:p>
        </w:tc>
        <w:tc>
          <w:tcPr>
            <w:tcW w:w="1579" w:type="dxa"/>
          </w:tcPr>
          <w:p>
            <w:pPr>
              <w:pStyle w:val="14"/>
              <w:spacing w:before="76"/>
              <w:ind w:left="9"/>
              <w:rPr>
                <w:rFonts w:ascii="Times New Roman"/>
                <w:sz w:val="21"/>
              </w:rPr>
            </w:pPr>
            <w:r>
              <w:rPr>
                <w:rFonts w:ascii="Times New Roman"/>
                <w:w w:val="99"/>
                <w:sz w:val="21"/>
              </w:rPr>
              <w:t>/</w:t>
            </w:r>
          </w:p>
        </w:tc>
        <w:tc>
          <w:tcPr>
            <w:tcW w:w="1580" w:type="dxa"/>
          </w:tcPr>
          <w:p>
            <w:pPr>
              <w:pStyle w:val="14"/>
              <w:spacing w:before="76"/>
              <w:ind w:left="8"/>
              <w:rPr>
                <w:rFonts w:ascii="Times New Roman"/>
                <w:sz w:val="21"/>
              </w:rPr>
            </w:pPr>
            <w:r>
              <w:rPr>
                <w:rFonts w:ascii="Times New Roman"/>
                <w:w w:val="99"/>
                <w:sz w:val="21"/>
              </w:rPr>
              <w:t>/</w:t>
            </w:r>
          </w:p>
        </w:tc>
        <w:tc>
          <w:tcPr>
            <w:tcW w:w="1083" w:type="dxa"/>
          </w:tcPr>
          <w:p>
            <w:pPr>
              <w:pStyle w:val="14"/>
              <w:spacing w:before="62"/>
              <w:ind w:left="200" w:right="196"/>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3"/>
              <w:ind w:left="156" w:right="150"/>
              <w:rPr>
                <w:sz w:val="21"/>
              </w:rPr>
            </w:pPr>
            <w:r>
              <w:rPr>
                <w:rFonts w:ascii="Times New Roman" w:eastAsia="Times New Roman"/>
                <w:sz w:val="21"/>
              </w:rPr>
              <w:t>1,4-</w:t>
            </w:r>
            <w:r>
              <w:rPr>
                <w:sz w:val="21"/>
              </w:rPr>
              <w:t>二氯苯</w:t>
            </w:r>
          </w:p>
        </w:tc>
        <w:tc>
          <w:tcPr>
            <w:tcW w:w="1367" w:type="dxa"/>
          </w:tcPr>
          <w:p>
            <w:pPr>
              <w:pStyle w:val="14"/>
              <w:spacing w:before="77"/>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65"/>
              <w:ind w:left="136" w:right="128"/>
              <w:rPr>
                <w:sz w:val="21"/>
              </w:rPr>
            </w:pPr>
            <w:bookmarkStart w:id="1164" w:name="未检出"/>
            <w:bookmarkEnd w:id="1164"/>
            <w:r>
              <w:rPr>
                <w:sz w:val="21"/>
              </w:rPr>
              <w:t>未检出</w:t>
            </w:r>
          </w:p>
        </w:tc>
        <w:tc>
          <w:tcPr>
            <w:tcW w:w="1579" w:type="dxa"/>
          </w:tcPr>
          <w:p>
            <w:pPr>
              <w:pStyle w:val="14"/>
              <w:spacing w:before="77"/>
              <w:ind w:left="9"/>
              <w:rPr>
                <w:rFonts w:ascii="Times New Roman"/>
                <w:sz w:val="21"/>
              </w:rPr>
            </w:pPr>
            <w:r>
              <w:rPr>
                <w:rFonts w:ascii="Times New Roman"/>
                <w:w w:val="99"/>
                <w:sz w:val="21"/>
              </w:rPr>
              <w:t>/</w:t>
            </w:r>
          </w:p>
        </w:tc>
        <w:tc>
          <w:tcPr>
            <w:tcW w:w="1580" w:type="dxa"/>
          </w:tcPr>
          <w:p>
            <w:pPr>
              <w:pStyle w:val="14"/>
              <w:spacing w:before="77"/>
              <w:ind w:left="8"/>
              <w:rPr>
                <w:rFonts w:ascii="Times New Roman"/>
                <w:sz w:val="21"/>
              </w:rPr>
            </w:pPr>
            <w:r>
              <w:rPr>
                <w:rFonts w:ascii="Times New Roman"/>
                <w:w w:val="99"/>
                <w:sz w:val="21"/>
              </w:rPr>
              <w:t>/</w:t>
            </w:r>
          </w:p>
        </w:tc>
        <w:tc>
          <w:tcPr>
            <w:tcW w:w="1083" w:type="dxa"/>
          </w:tcPr>
          <w:p>
            <w:pPr>
              <w:pStyle w:val="14"/>
              <w:spacing w:before="63"/>
              <w:ind w:left="200" w:right="196"/>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4"/>
              <w:ind w:left="156" w:right="150"/>
              <w:rPr>
                <w:sz w:val="21"/>
              </w:rPr>
            </w:pPr>
            <w:r>
              <w:rPr>
                <w:sz w:val="21"/>
              </w:rPr>
              <w:t>乙苯</w:t>
            </w:r>
          </w:p>
        </w:tc>
        <w:tc>
          <w:tcPr>
            <w:tcW w:w="1367" w:type="dxa"/>
          </w:tcPr>
          <w:p>
            <w:pPr>
              <w:pStyle w:val="14"/>
              <w:spacing w:before="78"/>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66"/>
              <w:ind w:left="136" w:right="128"/>
              <w:rPr>
                <w:sz w:val="21"/>
              </w:rPr>
            </w:pPr>
            <w:bookmarkStart w:id="1165" w:name="未检出"/>
            <w:bookmarkEnd w:id="1165"/>
            <w:r>
              <w:rPr>
                <w:sz w:val="21"/>
              </w:rPr>
              <w:t>未检出</w:t>
            </w:r>
          </w:p>
        </w:tc>
        <w:tc>
          <w:tcPr>
            <w:tcW w:w="1579" w:type="dxa"/>
          </w:tcPr>
          <w:p>
            <w:pPr>
              <w:pStyle w:val="14"/>
              <w:spacing w:before="78"/>
              <w:ind w:left="9"/>
              <w:rPr>
                <w:rFonts w:ascii="Times New Roman"/>
                <w:sz w:val="21"/>
              </w:rPr>
            </w:pPr>
            <w:r>
              <w:rPr>
                <w:rFonts w:ascii="Times New Roman"/>
                <w:w w:val="99"/>
                <w:sz w:val="21"/>
              </w:rPr>
              <w:t>/</w:t>
            </w:r>
          </w:p>
        </w:tc>
        <w:tc>
          <w:tcPr>
            <w:tcW w:w="1580" w:type="dxa"/>
          </w:tcPr>
          <w:p>
            <w:pPr>
              <w:pStyle w:val="14"/>
              <w:spacing w:before="78"/>
              <w:ind w:left="8"/>
              <w:rPr>
                <w:rFonts w:ascii="Times New Roman"/>
                <w:sz w:val="21"/>
              </w:rPr>
            </w:pPr>
            <w:r>
              <w:rPr>
                <w:rFonts w:ascii="Times New Roman"/>
                <w:w w:val="99"/>
                <w:sz w:val="21"/>
              </w:rPr>
              <w:t>/</w:t>
            </w:r>
          </w:p>
        </w:tc>
        <w:tc>
          <w:tcPr>
            <w:tcW w:w="1083" w:type="dxa"/>
          </w:tcPr>
          <w:p>
            <w:pPr>
              <w:pStyle w:val="14"/>
              <w:spacing w:before="64"/>
              <w:ind w:left="200" w:right="196"/>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2"/>
              <w:ind w:left="156" w:right="150"/>
              <w:rPr>
                <w:sz w:val="21"/>
              </w:rPr>
            </w:pPr>
            <w:r>
              <w:rPr>
                <w:sz w:val="21"/>
              </w:rPr>
              <w:t>苯乙烯</w:t>
            </w:r>
          </w:p>
        </w:tc>
        <w:tc>
          <w:tcPr>
            <w:tcW w:w="1367" w:type="dxa"/>
          </w:tcPr>
          <w:p>
            <w:pPr>
              <w:pStyle w:val="14"/>
              <w:spacing w:before="76"/>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65"/>
              <w:ind w:left="136" w:right="128"/>
              <w:rPr>
                <w:sz w:val="21"/>
              </w:rPr>
            </w:pPr>
            <w:bookmarkStart w:id="1166" w:name="未检出"/>
            <w:bookmarkEnd w:id="1166"/>
            <w:r>
              <w:rPr>
                <w:sz w:val="21"/>
              </w:rPr>
              <w:t>未检出</w:t>
            </w:r>
          </w:p>
        </w:tc>
        <w:tc>
          <w:tcPr>
            <w:tcW w:w="1579" w:type="dxa"/>
          </w:tcPr>
          <w:p>
            <w:pPr>
              <w:pStyle w:val="14"/>
              <w:spacing w:before="76"/>
              <w:ind w:left="9"/>
              <w:rPr>
                <w:rFonts w:ascii="Times New Roman"/>
                <w:sz w:val="21"/>
              </w:rPr>
            </w:pPr>
            <w:r>
              <w:rPr>
                <w:rFonts w:ascii="Times New Roman"/>
                <w:w w:val="99"/>
                <w:sz w:val="21"/>
              </w:rPr>
              <w:t>/</w:t>
            </w:r>
          </w:p>
        </w:tc>
        <w:tc>
          <w:tcPr>
            <w:tcW w:w="1580" w:type="dxa"/>
          </w:tcPr>
          <w:p>
            <w:pPr>
              <w:pStyle w:val="14"/>
              <w:spacing w:before="76"/>
              <w:ind w:left="8"/>
              <w:rPr>
                <w:rFonts w:ascii="Times New Roman"/>
                <w:sz w:val="21"/>
              </w:rPr>
            </w:pPr>
            <w:r>
              <w:rPr>
                <w:rFonts w:ascii="Times New Roman"/>
                <w:w w:val="99"/>
                <w:sz w:val="21"/>
              </w:rPr>
              <w:t>/</w:t>
            </w:r>
          </w:p>
        </w:tc>
        <w:tc>
          <w:tcPr>
            <w:tcW w:w="1083" w:type="dxa"/>
          </w:tcPr>
          <w:p>
            <w:pPr>
              <w:pStyle w:val="14"/>
              <w:spacing w:before="62"/>
              <w:ind w:left="200" w:right="196"/>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4"/>
              <w:ind w:left="156" w:right="150"/>
              <w:rPr>
                <w:sz w:val="21"/>
              </w:rPr>
            </w:pPr>
            <w:r>
              <w:rPr>
                <w:sz w:val="21"/>
              </w:rPr>
              <w:t>甲苯</w:t>
            </w:r>
          </w:p>
        </w:tc>
        <w:tc>
          <w:tcPr>
            <w:tcW w:w="1367" w:type="dxa"/>
          </w:tcPr>
          <w:p>
            <w:pPr>
              <w:pStyle w:val="14"/>
              <w:spacing w:before="77"/>
              <w:ind w:right="405"/>
              <w:jc w:val="right"/>
              <w:rPr>
                <w:rFonts w:ascii="Times New Roman"/>
                <w:sz w:val="21"/>
              </w:rPr>
            </w:pPr>
            <w:r>
              <w:rPr>
                <w:rFonts w:ascii="Times New Roman"/>
                <w:sz w:val="21"/>
              </w:rPr>
              <w:t>mg/kg</w:t>
            </w:r>
          </w:p>
        </w:tc>
        <w:tc>
          <w:tcPr>
            <w:tcW w:w="1579" w:type="dxa"/>
          </w:tcPr>
          <w:p>
            <w:pPr>
              <w:pStyle w:val="14"/>
              <w:spacing w:before="66"/>
              <w:ind w:left="136" w:right="128"/>
              <w:rPr>
                <w:sz w:val="21"/>
              </w:rPr>
            </w:pPr>
            <w:bookmarkStart w:id="1167" w:name="未检出"/>
            <w:bookmarkEnd w:id="1167"/>
            <w:r>
              <w:rPr>
                <w:sz w:val="21"/>
              </w:rPr>
              <w:t>未检出</w:t>
            </w:r>
          </w:p>
        </w:tc>
        <w:tc>
          <w:tcPr>
            <w:tcW w:w="1579" w:type="dxa"/>
          </w:tcPr>
          <w:p>
            <w:pPr>
              <w:pStyle w:val="14"/>
              <w:spacing w:before="77"/>
              <w:ind w:left="9"/>
              <w:rPr>
                <w:rFonts w:ascii="Times New Roman"/>
                <w:sz w:val="21"/>
              </w:rPr>
            </w:pPr>
            <w:r>
              <w:rPr>
                <w:rFonts w:ascii="Times New Roman"/>
                <w:w w:val="99"/>
                <w:sz w:val="21"/>
              </w:rPr>
              <w:t>/</w:t>
            </w:r>
          </w:p>
        </w:tc>
        <w:tc>
          <w:tcPr>
            <w:tcW w:w="1580" w:type="dxa"/>
          </w:tcPr>
          <w:p>
            <w:pPr>
              <w:pStyle w:val="14"/>
              <w:spacing w:before="77"/>
              <w:ind w:left="8"/>
              <w:rPr>
                <w:rFonts w:ascii="Times New Roman"/>
                <w:sz w:val="21"/>
              </w:rPr>
            </w:pPr>
            <w:r>
              <w:rPr>
                <w:rFonts w:ascii="Times New Roman"/>
                <w:w w:val="99"/>
                <w:sz w:val="21"/>
              </w:rPr>
              <w:t>/</w:t>
            </w:r>
          </w:p>
        </w:tc>
        <w:tc>
          <w:tcPr>
            <w:tcW w:w="1083" w:type="dxa"/>
          </w:tcPr>
          <w:p>
            <w:pPr>
              <w:pStyle w:val="14"/>
              <w:spacing w:before="64"/>
              <w:ind w:left="200" w:right="196"/>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156" w:type="dxa"/>
          </w:tcPr>
          <w:p>
            <w:pPr>
              <w:pStyle w:val="14"/>
              <w:spacing w:before="62"/>
              <w:ind w:left="156" w:right="150"/>
              <w:rPr>
                <w:sz w:val="21"/>
              </w:rPr>
            </w:pPr>
            <w:r>
              <w:rPr>
                <w:sz w:val="21"/>
              </w:rPr>
              <w:t>间二甲苯</w:t>
            </w:r>
            <w:r>
              <w:rPr>
                <w:rFonts w:ascii="Times New Roman" w:eastAsia="Times New Roman"/>
                <w:sz w:val="21"/>
              </w:rPr>
              <w:t>+</w:t>
            </w:r>
            <w:r>
              <w:rPr>
                <w:sz w:val="21"/>
              </w:rPr>
              <w:t>对二甲苯</w:t>
            </w:r>
          </w:p>
        </w:tc>
        <w:tc>
          <w:tcPr>
            <w:tcW w:w="1367" w:type="dxa"/>
          </w:tcPr>
          <w:p>
            <w:pPr>
              <w:pStyle w:val="14"/>
              <w:spacing w:before="76"/>
              <w:ind w:right="405"/>
              <w:jc w:val="right"/>
              <w:rPr>
                <w:rFonts w:ascii="Times New Roman"/>
                <w:sz w:val="21"/>
              </w:rPr>
            </w:pPr>
            <w:r>
              <w:rPr>
                <w:rFonts w:ascii="Times New Roman"/>
                <w:sz w:val="21"/>
              </w:rPr>
              <w:t>mg/kg</w:t>
            </w:r>
          </w:p>
        </w:tc>
        <w:tc>
          <w:tcPr>
            <w:tcW w:w="1579" w:type="dxa"/>
          </w:tcPr>
          <w:p>
            <w:pPr>
              <w:pStyle w:val="14"/>
              <w:spacing w:before="67"/>
              <w:ind w:left="136" w:right="128"/>
              <w:rPr>
                <w:sz w:val="21"/>
              </w:rPr>
            </w:pPr>
            <w:bookmarkStart w:id="1168" w:name="未检出"/>
            <w:bookmarkEnd w:id="1168"/>
            <w:r>
              <w:rPr>
                <w:sz w:val="21"/>
              </w:rPr>
              <w:t>未检出</w:t>
            </w:r>
          </w:p>
        </w:tc>
        <w:tc>
          <w:tcPr>
            <w:tcW w:w="1579" w:type="dxa"/>
          </w:tcPr>
          <w:p>
            <w:pPr>
              <w:pStyle w:val="14"/>
              <w:spacing w:before="76"/>
              <w:ind w:left="9"/>
              <w:rPr>
                <w:rFonts w:ascii="Times New Roman"/>
                <w:sz w:val="21"/>
              </w:rPr>
            </w:pPr>
            <w:r>
              <w:rPr>
                <w:rFonts w:ascii="Times New Roman"/>
                <w:w w:val="99"/>
                <w:sz w:val="21"/>
              </w:rPr>
              <w:t>/</w:t>
            </w:r>
          </w:p>
        </w:tc>
        <w:tc>
          <w:tcPr>
            <w:tcW w:w="1580" w:type="dxa"/>
          </w:tcPr>
          <w:p>
            <w:pPr>
              <w:pStyle w:val="14"/>
              <w:spacing w:before="76"/>
              <w:ind w:left="8"/>
              <w:rPr>
                <w:rFonts w:ascii="Times New Roman"/>
                <w:sz w:val="21"/>
              </w:rPr>
            </w:pPr>
            <w:r>
              <w:rPr>
                <w:rFonts w:ascii="Times New Roman"/>
                <w:w w:val="99"/>
                <w:sz w:val="21"/>
              </w:rPr>
              <w:t>/</w:t>
            </w:r>
          </w:p>
        </w:tc>
        <w:tc>
          <w:tcPr>
            <w:tcW w:w="1083" w:type="dxa"/>
          </w:tcPr>
          <w:p>
            <w:pPr>
              <w:pStyle w:val="14"/>
              <w:spacing w:before="62"/>
              <w:ind w:left="200" w:right="196"/>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3"/>
              <w:ind w:left="156" w:right="147"/>
              <w:rPr>
                <w:sz w:val="21"/>
              </w:rPr>
            </w:pPr>
            <w:r>
              <w:rPr>
                <w:sz w:val="21"/>
              </w:rPr>
              <w:t>邻二甲苯</w:t>
            </w:r>
          </w:p>
        </w:tc>
        <w:tc>
          <w:tcPr>
            <w:tcW w:w="1367" w:type="dxa"/>
          </w:tcPr>
          <w:p>
            <w:pPr>
              <w:pStyle w:val="14"/>
              <w:spacing w:before="77"/>
              <w:ind w:right="405"/>
              <w:jc w:val="right"/>
              <w:rPr>
                <w:rFonts w:ascii="Times New Roman"/>
                <w:sz w:val="21"/>
              </w:rPr>
            </w:pPr>
            <w:r>
              <w:rPr>
                <w:rFonts w:ascii="Times New Roman"/>
                <w:sz w:val="21"/>
              </w:rPr>
              <w:t>mg/kg</w:t>
            </w:r>
          </w:p>
        </w:tc>
        <w:tc>
          <w:tcPr>
            <w:tcW w:w="1579" w:type="dxa"/>
          </w:tcPr>
          <w:p>
            <w:pPr>
              <w:pStyle w:val="14"/>
              <w:spacing w:before="66"/>
              <w:ind w:left="136" w:right="128"/>
              <w:rPr>
                <w:sz w:val="21"/>
              </w:rPr>
            </w:pPr>
            <w:bookmarkStart w:id="1169" w:name="未检出"/>
            <w:bookmarkEnd w:id="1169"/>
            <w:r>
              <w:rPr>
                <w:sz w:val="21"/>
              </w:rPr>
              <w:t>未检出</w:t>
            </w:r>
          </w:p>
        </w:tc>
        <w:tc>
          <w:tcPr>
            <w:tcW w:w="1579" w:type="dxa"/>
          </w:tcPr>
          <w:p>
            <w:pPr>
              <w:pStyle w:val="14"/>
              <w:spacing w:before="77"/>
              <w:ind w:left="9"/>
              <w:rPr>
                <w:rFonts w:ascii="Times New Roman"/>
                <w:sz w:val="21"/>
              </w:rPr>
            </w:pPr>
            <w:r>
              <w:rPr>
                <w:rFonts w:ascii="Times New Roman"/>
                <w:w w:val="99"/>
                <w:sz w:val="21"/>
              </w:rPr>
              <w:t>/</w:t>
            </w:r>
          </w:p>
        </w:tc>
        <w:tc>
          <w:tcPr>
            <w:tcW w:w="1580" w:type="dxa"/>
          </w:tcPr>
          <w:p>
            <w:pPr>
              <w:pStyle w:val="14"/>
              <w:spacing w:before="77"/>
              <w:ind w:left="8"/>
              <w:rPr>
                <w:rFonts w:ascii="Times New Roman"/>
                <w:sz w:val="21"/>
              </w:rPr>
            </w:pPr>
            <w:r>
              <w:rPr>
                <w:rFonts w:ascii="Times New Roman"/>
                <w:w w:val="99"/>
                <w:sz w:val="21"/>
              </w:rPr>
              <w:t>/</w:t>
            </w:r>
          </w:p>
        </w:tc>
        <w:tc>
          <w:tcPr>
            <w:tcW w:w="1083" w:type="dxa"/>
          </w:tcPr>
          <w:p>
            <w:pPr>
              <w:pStyle w:val="14"/>
              <w:spacing w:before="63"/>
              <w:ind w:left="200" w:right="196"/>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2156" w:type="dxa"/>
          </w:tcPr>
          <w:p>
            <w:pPr>
              <w:pStyle w:val="14"/>
              <w:spacing w:before="62"/>
              <w:ind w:left="156" w:right="150"/>
              <w:rPr>
                <w:sz w:val="21"/>
              </w:rPr>
            </w:pPr>
            <w:r>
              <w:rPr>
                <w:sz w:val="21"/>
              </w:rPr>
              <w:t>硝基苯</w:t>
            </w:r>
          </w:p>
        </w:tc>
        <w:tc>
          <w:tcPr>
            <w:tcW w:w="1367" w:type="dxa"/>
          </w:tcPr>
          <w:p>
            <w:pPr>
              <w:pStyle w:val="14"/>
              <w:spacing w:before="76"/>
              <w:ind w:right="405"/>
              <w:jc w:val="right"/>
              <w:rPr>
                <w:rFonts w:ascii="Times New Roman"/>
                <w:sz w:val="21"/>
              </w:rPr>
            </w:pPr>
            <w:r>
              <w:rPr>
                <w:rFonts w:ascii="Times New Roman"/>
                <w:sz w:val="21"/>
              </w:rPr>
              <w:t>mg/kg</w:t>
            </w:r>
          </w:p>
        </w:tc>
        <w:tc>
          <w:tcPr>
            <w:tcW w:w="1579" w:type="dxa"/>
          </w:tcPr>
          <w:p>
            <w:pPr>
              <w:pStyle w:val="14"/>
              <w:spacing w:before="67"/>
              <w:ind w:left="136" w:right="128"/>
              <w:rPr>
                <w:sz w:val="21"/>
              </w:rPr>
            </w:pPr>
            <w:bookmarkStart w:id="1170" w:name="未检出"/>
            <w:bookmarkEnd w:id="1170"/>
            <w:r>
              <w:rPr>
                <w:sz w:val="21"/>
              </w:rPr>
              <w:t>未检出</w:t>
            </w:r>
          </w:p>
        </w:tc>
        <w:tc>
          <w:tcPr>
            <w:tcW w:w="1579" w:type="dxa"/>
          </w:tcPr>
          <w:p>
            <w:pPr>
              <w:pStyle w:val="14"/>
              <w:spacing w:before="76"/>
              <w:ind w:left="9"/>
              <w:rPr>
                <w:rFonts w:ascii="Times New Roman"/>
                <w:sz w:val="21"/>
              </w:rPr>
            </w:pPr>
            <w:r>
              <w:rPr>
                <w:rFonts w:ascii="Times New Roman"/>
                <w:w w:val="99"/>
                <w:sz w:val="21"/>
              </w:rPr>
              <w:t>/</w:t>
            </w:r>
          </w:p>
        </w:tc>
        <w:tc>
          <w:tcPr>
            <w:tcW w:w="1580" w:type="dxa"/>
          </w:tcPr>
          <w:p>
            <w:pPr>
              <w:pStyle w:val="14"/>
              <w:spacing w:before="76"/>
              <w:ind w:left="8"/>
              <w:rPr>
                <w:rFonts w:ascii="Times New Roman"/>
                <w:sz w:val="21"/>
              </w:rPr>
            </w:pPr>
            <w:r>
              <w:rPr>
                <w:rFonts w:ascii="Times New Roman"/>
                <w:w w:val="99"/>
                <w:sz w:val="21"/>
              </w:rPr>
              <w:t>/</w:t>
            </w:r>
          </w:p>
        </w:tc>
        <w:tc>
          <w:tcPr>
            <w:tcW w:w="1083" w:type="dxa"/>
          </w:tcPr>
          <w:p>
            <w:pPr>
              <w:pStyle w:val="14"/>
              <w:spacing w:before="62"/>
              <w:ind w:left="200" w:right="196"/>
              <w:rPr>
                <w:sz w:val="21"/>
              </w:rPr>
            </w:pPr>
            <w:r>
              <w:rPr>
                <w:sz w:val="21"/>
              </w:rPr>
              <w:t>达标</w:t>
            </w:r>
          </w:p>
        </w:tc>
      </w:tr>
    </w:tbl>
    <w:p>
      <w:pPr>
        <w:spacing w:after="0"/>
        <w:rPr>
          <w:sz w:val="21"/>
        </w:rPr>
        <w:sectPr>
          <w:pgSz w:w="11910" w:h="16840"/>
          <w:pgMar w:top="1580" w:right="780" w:bottom="1240" w:left="1200" w:header="0" w:footer="1058" w:gutter="0"/>
        </w:sectPr>
      </w:pP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56"/>
        <w:gridCol w:w="1367"/>
        <w:gridCol w:w="1579"/>
        <w:gridCol w:w="1579"/>
        <w:gridCol w:w="1580"/>
        <w:gridCol w:w="10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156" w:type="dxa"/>
          </w:tcPr>
          <w:p>
            <w:pPr>
              <w:pStyle w:val="14"/>
              <w:spacing w:before="63"/>
              <w:ind w:left="156" w:right="150"/>
              <w:rPr>
                <w:sz w:val="21"/>
              </w:rPr>
            </w:pPr>
            <w:r>
              <w:rPr>
                <w:sz w:val="21"/>
              </w:rPr>
              <w:t>苯胺</w:t>
            </w:r>
          </w:p>
        </w:tc>
        <w:tc>
          <w:tcPr>
            <w:tcW w:w="1367" w:type="dxa"/>
          </w:tcPr>
          <w:p>
            <w:pPr>
              <w:pStyle w:val="14"/>
              <w:spacing w:before="77"/>
              <w:ind w:right="405"/>
              <w:jc w:val="right"/>
              <w:rPr>
                <w:rFonts w:ascii="Times New Roman"/>
                <w:sz w:val="21"/>
              </w:rPr>
            </w:pPr>
            <w:r>
              <w:rPr>
                <w:rFonts w:ascii="Times New Roman"/>
                <w:sz w:val="21"/>
              </w:rPr>
              <w:t>mg/kg</w:t>
            </w:r>
          </w:p>
        </w:tc>
        <w:tc>
          <w:tcPr>
            <w:tcW w:w="1579" w:type="dxa"/>
          </w:tcPr>
          <w:p>
            <w:pPr>
              <w:pStyle w:val="14"/>
              <w:spacing w:before="65"/>
              <w:ind w:left="136" w:right="128"/>
              <w:rPr>
                <w:sz w:val="21"/>
              </w:rPr>
            </w:pPr>
            <w:bookmarkStart w:id="1171" w:name="未检出"/>
            <w:bookmarkEnd w:id="1171"/>
            <w:r>
              <w:rPr>
                <w:sz w:val="21"/>
              </w:rPr>
              <w:t>未检出</w:t>
            </w:r>
          </w:p>
        </w:tc>
        <w:tc>
          <w:tcPr>
            <w:tcW w:w="1579" w:type="dxa"/>
          </w:tcPr>
          <w:p>
            <w:pPr>
              <w:pStyle w:val="14"/>
              <w:spacing w:before="77"/>
              <w:ind w:left="9"/>
              <w:rPr>
                <w:rFonts w:ascii="Times New Roman"/>
                <w:sz w:val="21"/>
              </w:rPr>
            </w:pPr>
            <w:r>
              <w:rPr>
                <w:rFonts w:ascii="Times New Roman"/>
                <w:w w:val="99"/>
                <w:sz w:val="21"/>
              </w:rPr>
              <w:t>/</w:t>
            </w:r>
          </w:p>
        </w:tc>
        <w:tc>
          <w:tcPr>
            <w:tcW w:w="1580" w:type="dxa"/>
          </w:tcPr>
          <w:p>
            <w:pPr>
              <w:pStyle w:val="14"/>
              <w:spacing w:before="77"/>
              <w:ind w:left="760"/>
              <w:jc w:val="left"/>
              <w:rPr>
                <w:rFonts w:ascii="Times New Roman"/>
                <w:sz w:val="21"/>
              </w:rPr>
            </w:pPr>
            <w:r>
              <w:rPr>
                <w:rFonts w:ascii="Times New Roman"/>
                <w:w w:val="99"/>
                <w:sz w:val="21"/>
              </w:rPr>
              <w:t>/</w:t>
            </w:r>
          </w:p>
        </w:tc>
        <w:tc>
          <w:tcPr>
            <w:tcW w:w="1083" w:type="dxa"/>
          </w:tcPr>
          <w:p>
            <w:pPr>
              <w:pStyle w:val="14"/>
              <w:spacing w:before="63"/>
              <w:ind w:left="200" w:right="196"/>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4"/>
              <w:ind w:left="156" w:right="150"/>
              <w:rPr>
                <w:sz w:val="21"/>
              </w:rPr>
            </w:pPr>
            <w:r>
              <w:rPr>
                <w:rFonts w:ascii="Times New Roman" w:eastAsia="Times New Roman"/>
                <w:sz w:val="21"/>
              </w:rPr>
              <w:t>2-</w:t>
            </w:r>
            <w:r>
              <w:rPr>
                <w:sz w:val="21"/>
              </w:rPr>
              <w:t>氯酚</w:t>
            </w:r>
          </w:p>
        </w:tc>
        <w:tc>
          <w:tcPr>
            <w:tcW w:w="1367" w:type="dxa"/>
          </w:tcPr>
          <w:p>
            <w:pPr>
              <w:pStyle w:val="14"/>
              <w:spacing w:before="78"/>
              <w:ind w:right="405"/>
              <w:jc w:val="right"/>
              <w:rPr>
                <w:rFonts w:ascii="Times New Roman"/>
                <w:sz w:val="21"/>
              </w:rPr>
            </w:pPr>
            <w:r>
              <w:rPr>
                <w:rFonts w:ascii="Times New Roman"/>
                <w:sz w:val="21"/>
              </w:rPr>
              <w:t>mg/kg</w:t>
            </w:r>
          </w:p>
        </w:tc>
        <w:tc>
          <w:tcPr>
            <w:tcW w:w="1579" w:type="dxa"/>
          </w:tcPr>
          <w:p>
            <w:pPr>
              <w:pStyle w:val="14"/>
              <w:spacing w:before="66"/>
              <w:ind w:left="136" w:right="128"/>
              <w:rPr>
                <w:sz w:val="21"/>
              </w:rPr>
            </w:pPr>
            <w:bookmarkStart w:id="1172" w:name="未检出"/>
            <w:bookmarkEnd w:id="1172"/>
            <w:r>
              <w:rPr>
                <w:sz w:val="21"/>
              </w:rPr>
              <w:t>未检出</w:t>
            </w:r>
          </w:p>
        </w:tc>
        <w:tc>
          <w:tcPr>
            <w:tcW w:w="1579" w:type="dxa"/>
          </w:tcPr>
          <w:p>
            <w:pPr>
              <w:pStyle w:val="14"/>
              <w:spacing w:before="78"/>
              <w:ind w:left="9"/>
              <w:rPr>
                <w:rFonts w:ascii="Times New Roman"/>
                <w:sz w:val="21"/>
              </w:rPr>
            </w:pPr>
            <w:r>
              <w:rPr>
                <w:rFonts w:ascii="Times New Roman"/>
                <w:w w:val="99"/>
                <w:sz w:val="21"/>
              </w:rPr>
              <w:t>/</w:t>
            </w:r>
          </w:p>
        </w:tc>
        <w:tc>
          <w:tcPr>
            <w:tcW w:w="1580" w:type="dxa"/>
          </w:tcPr>
          <w:p>
            <w:pPr>
              <w:pStyle w:val="14"/>
              <w:spacing w:before="78"/>
              <w:ind w:left="760"/>
              <w:jc w:val="left"/>
              <w:rPr>
                <w:rFonts w:ascii="Times New Roman"/>
                <w:sz w:val="21"/>
              </w:rPr>
            </w:pPr>
            <w:r>
              <w:rPr>
                <w:rFonts w:ascii="Times New Roman"/>
                <w:w w:val="99"/>
                <w:sz w:val="21"/>
              </w:rPr>
              <w:t>/</w:t>
            </w:r>
          </w:p>
        </w:tc>
        <w:tc>
          <w:tcPr>
            <w:tcW w:w="1083" w:type="dxa"/>
          </w:tcPr>
          <w:p>
            <w:pPr>
              <w:pStyle w:val="14"/>
              <w:spacing w:before="64"/>
              <w:ind w:left="200" w:right="196"/>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3"/>
              <w:ind w:left="156" w:right="147"/>
              <w:rPr>
                <w:sz w:val="21"/>
              </w:rPr>
            </w:pPr>
            <w:r>
              <w:rPr>
                <w:sz w:val="21"/>
              </w:rPr>
              <w:t>苯并</w:t>
            </w:r>
            <w:r>
              <w:rPr>
                <w:rFonts w:ascii="Times New Roman" w:eastAsia="Times New Roman"/>
                <w:sz w:val="21"/>
              </w:rPr>
              <w:t>[a]</w:t>
            </w:r>
            <w:r>
              <w:rPr>
                <w:sz w:val="21"/>
              </w:rPr>
              <w:t>蒽</w:t>
            </w:r>
          </w:p>
        </w:tc>
        <w:tc>
          <w:tcPr>
            <w:tcW w:w="1367" w:type="dxa"/>
          </w:tcPr>
          <w:p>
            <w:pPr>
              <w:pStyle w:val="14"/>
              <w:spacing w:before="76"/>
              <w:ind w:right="405"/>
              <w:jc w:val="right"/>
              <w:rPr>
                <w:rFonts w:ascii="Times New Roman"/>
                <w:sz w:val="21"/>
              </w:rPr>
            </w:pPr>
            <w:r>
              <w:rPr>
                <w:rFonts w:ascii="Times New Roman"/>
                <w:sz w:val="21"/>
              </w:rPr>
              <w:t>mg/kg</w:t>
            </w:r>
          </w:p>
        </w:tc>
        <w:tc>
          <w:tcPr>
            <w:tcW w:w="1579" w:type="dxa"/>
          </w:tcPr>
          <w:p>
            <w:pPr>
              <w:pStyle w:val="14"/>
              <w:spacing w:before="65"/>
              <w:ind w:left="136" w:right="128"/>
              <w:rPr>
                <w:sz w:val="21"/>
              </w:rPr>
            </w:pPr>
            <w:bookmarkStart w:id="1173" w:name="未检出"/>
            <w:bookmarkEnd w:id="1173"/>
            <w:r>
              <w:rPr>
                <w:sz w:val="21"/>
              </w:rPr>
              <w:t>未检出</w:t>
            </w:r>
          </w:p>
        </w:tc>
        <w:tc>
          <w:tcPr>
            <w:tcW w:w="1579" w:type="dxa"/>
          </w:tcPr>
          <w:p>
            <w:pPr>
              <w:pStyle w:val="14"/>
              <w:spacing w:before="76"/>
              <w:ind w:left="9"/>
              <w:rPr>
                <w:rFonts w:ascii="Times New Roman"/>
                <w:sz w:val="21"/>
              </w:rPr>
            </w:pPr>
            <w:r>
              <w:rPr>
                <w:rFonts w:ascii="Times New Roman"/>
                <w:w w:val="99"/>
                <w:sz w:val="21"/>
              </w:rPr>
              <w:t>/</w:t>
            </w:r>
          </w:p>
        </w:tc>
        <w:tc>
          <w:tcPr>
            <w:tcW w:w="1580" w:type="dxa"/>
          </w:tcPr>
          <w:p>
            <w:pPr>
              <w:pStyle w:val="14"/>
              <w:spacing w:before="76"/>
              <w:ind w:left="760"/>
              <w:jc w:val="left"/>
              <w:rPr>
                <w:rFonts w:ascii="Times New Roman"/>
                <w:sz w:val="21"/>
              </w:rPr>
            </w:pPr>
            <w:r>
              <w:rPr>
                <w:rFonts w:ascii="Times New Roman"/>
                <w:w w:val="99"/>
                <w:sz w:val="21"/>
              </w:rPr>
              <w:t>/</w:t>
            </w:r>
          </w:p>
        </w:tc>
        <w:tc>
          <w:tcPr>
            <w:tcW w:w="1083" w:type="dxa"/>
          </w:tcPr>
          <w:p>
            <w:pPr>
              <w:pStyle w:val="14"/>
              <w:spacing w:before="63"/>
              <w:ind w:left="200" w:right="196"/>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3"/>
              <w:ind w:left="156" w:right="147"/>
              <w:rPr>
                <w:sz w:val="21"/>
              </w:rPr>
            </w:pPr>
            <w:r>
              <w:rPr>
                <w:sz w:val="21"/>
              </w:rPr>
              <w:t>苯并</w:t>
            </w:r>
            <w:r>
              <w:rPr>
                <w:rFonts w:ascii="Times New Roman" w:eastAsia="Times New Roman"/>
                <w:sz w:val="21"/>
              </w:rPr>
              <w:t>[a]</w:t>
            </w:r>
            <w:r>
              <w:rPr>
                <w:sz w:val="21"/>
              </w:rPr>
              <w:t>芘</w:t>
            </w:r>
          </w:p>
        </w:tc>
        <w:tc>
          <w:tcPr>
            <w:tcW w:w="1367" w:type="dxa"/>
          </w:tcPr>
          <w:p>
            <w:pPr>
              <w:pStyle w:val="14"/>
              <w:spacing w:before="77"/>
              <w:ind w:right="405"/>
              <w:jc w:val="right"/>
              <w:rPr>
                <w:rFonts w:ascii="Times New Roman"/>
                <w:sz w:val="21"/>
              </w:rPr>
            </w:pPr>
            <w:r>
              <w:rPr>
                <w:rFonts w:ascii="Times New Roman"/>
                <w:sz w:val="21"/>
              </w:rPr>
              <w:t>mg/kg</w:t>
            </w:r>
          </w:p>
        </w:tc>
        <w:tc>
          <w:tcPr>
            <w:tcW w:w="1579" w:type="dxa"/>
          </w:tcPr>
          <w:p>
            <w:pPr>
              <w:pStyle w:val="14"/>
              <w:spacing w:before="66"/>
              <w:ind w:left="136" w:right="128"/>
              <w:rPr>
                <w:sz w:val="21"/>
              </w:rPr>
            </w:pPr>
            <w:bookmarkStart w:id="1174" w:name="未检出"/>
            <w:bookmarkEnd w:id="1174"/>
            <w:r>
              <w:rPr>
                <w:sz w:val="21"/>
              </w:rPr>
              <w:t>未检出</w:t>
            </w:r>
          </w:p>
        </w:tc>
        <w:tc>
          <w:tcPr>
            <w:tcW w:w="1579" w:type="dxa"/>
          </w:tcPr>
          <w:p>
            <w:pPr>
              <w:pStyle w:val="14"/>
              <w:spacing w:before="77"/>
              <w:ind w:left="9"/>
              <w:rPr>
                <w:rFonts w:ascii="Times New Roman"/>
                <w:sz w:val="21"/>
              </w:rPr>
            </w:pPr>
            <w:r>
              <w:rPr>
                <w:rFonts w:ascii="Times New Roman"/>
                <w:w w:val="99"/>
                <w:sz w:val="21"/>
              </w:rPr>
              <w:t>/</w:t>
            </w:r>
          </w:p>
        </w:tc>
        <w:tc>
          <w:tcPr>
            <w:tcW w:w="1580" w:type="dxa"/>
          </w:tcPr>
          <w:p>
            <w:pPr>
              <w:pStyle w:val="14"/>
              <w:spacing w:before="77"/>
              <w:ind w:left="760"/>
              <w:jc w:val="left"/>
              <w:rPr>
                <w:rFonts w:ascii="Times New Roman"/>
                <w:sz w:val="21"/>
              </w:rPr>
            </w:pPr>
            <w:r>
              <w:rPr>
                <w:rFonts w:ascii="Times New Roman"/>
                <w:w w:val="99"/>
                <w:sz w:val="21"/>
              </w:rPr>
              <w:t>/</w:t>
            </w:r>
          </w:p>
        </w:tc>
        <w:tc>
          <w:tcPr>
            <w:tcW w:w="1083" w:type="dxa"/>
          </w:tcPr>
          <w:p>
            <w:pPr>
              <w:pStyle w:val="14"/>
              <w:spacing w:before="63"/>
              <w:ind w:left="200" w:right="196"/>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2"/>
              <w:ind w:left="156" w:right="150"/>
              <w:rPr>
                <w:sz w:val="21"/>
              </w:rPr>
            </w:pPr>
            <w:r>
              <w:rPr>
                <w:sz w:val="21"/>
              </w:rPr>
              <w:t>苯并</w:t>
            </w:r>
            <w:r>
              <w:rPr>
                <w:rFonts w:ascii="Times New Roman" w:eastAsia="Times New Roman"/>
                <w:sz w:val="21"/>
              </w:rPr>
              <w:t>[b]</w:t>
            </w:r>
            <w:r>
              <w:rPr>
                <w:sz w:val="21"/>
              </w:rPr>
              <w:t>荧蒽</w:t>
            </w:r>
          </w:p>
        </w:tc>
        <w:tc>
          <w:tcPr>
            <w:tcW w:w="1367" w:type="dxa"/>
          </w:tcPr>
          <w:p>
            <w:pPr>
              <w:pStyle w:val="14"/>
              <w:spacing w:before="76"/>
              <w:ind w:right="405"/>
              <w:jc w:val="right"/>
              <w:rPr>
                <w:rFonts w:ascii="Times New Roman"/>
                <w:sz w:val="21"/>
              </w:rPr>
            </w:pPr>
            <w:r>
              <w:rPr>
                <w:rFonts w:ascii="Times New Roman"/>
                <w:sz w:val="21"/>
              </w:rPr>
              <w:t>mg/kg</w:t>
            </w:r>
          </w:p>
        </w:tc>
        <w:tc>
          <w:tcPr>
            <w:tcW w:w="1579" w:type="dxa"/>
          </w:tcPr>
          <w:p>
            <w:pPr>
              <w:pStyle w:val="14"/>
              <w:spacing w:before="67"/>
              <w:ind w:left="136" w:right="128"/>
              <w:rPr>
                <w:sz w:val="21"/>
              </w:rPr>
            </w:pPr>
            <w:bookmarkStart w:id="1175" w:name="未检出"/>
            <w:bookmarkEnd w:id="1175"/>
            <w:r>
              <w:rPr>
                <w:sz w:val="21"/>
              </w:rPr>
              <w:t>未检出</w:t>
            </w:r>
          </w:p>
        </w:tc>
        <w:tc>
          <w:tcPr>
            <w:tcW w:w="1579" w:type="dxa"/>
          </w:tcPr>
          <w:p>
            <w:pPr>
              <w:pStyle w:val="14"/>
              <w:spacing w:before="76"/>
              <w:ind w:left="9"/>
              <w:rPr>
                <w:rFonts w:ascii="Times New Roman"/>
                <w:sz w:val="21"/>
              </w:rPr>
            </w:pPr>
            <w:r>
              <w:rPr>
                <w:rFonts w:ascii="Times New Roman"/>
                <w:w w:val="99"/>
                <w:sz w:val="21"/>
              </w:rPr>
              <w:t>/</w:t>
            </w:r>
          </w:p>
        </w:tc>
        <w:tc>
          <w:tcPr>
            <w:tcW w:w="1580" w:type="dxa"/>
          </w:tcPr>
          <w:p>
            <w:pPr>
              <w:pStyle w:val="14"/>
              <w:spacing w:before="76"/>
              <w:ind w:left="760"/>
              <w:jc w:val="left"/>
              <w:rPr>
                <w:rFonts w:ascii="Times New Roman"/>
                <w:sz w:val="21"/>
              </w:rPr>
            </w:pPr>
            <w:r>
              <w:rPr>
                <w:rFonts w:ascii="Times New Roman"/>
                <w:w w:val="99"/>
                <w:sz w:val="21"/>
              </w:rPr>
              <w:t>/</w:t>
            </w:r>
          </w:p>
        </w:tc>
        <w:tc>
          <w:tcPr>
            <w:tcW w:w="1083" w:type="dxa"/>
          </w:tcPr>
          <w:p>
            <w:pPr>
              <w:pStyle w:val="14"/>
              <w:spacing w:before="62"/>
              <w:ind w:left="200" w:right="196"/>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156" w:type="dxa"/>
          </w:tcPr>
          <w:p>
            <w:pPr>
              <w:pStyle w:val="14"/>
              <w:spacing w:before="63"/>
              <w:ind w:left="156" w:right="150"/>
              <w:rPr>
                <w:sz w:val="21"/>
              </w:rPr>
            </w:pPr>
            <w:r>
              <w:rPr>
                <w:sz w:val="21"/>
              </w:rPr>
              <w:t>苯并</w:t>
            </w:r>
            <w:r>
              <w:rPr>
                <w:rFonts w:ascii="Times New Roman" w:eastAsia="Times New Roman"/>
                <w:sz w:val="21"/>
              </w:rPr>
              <w:t>[k]</w:t>
            </w:r>
            <w:r>
              <w:rPr>
                <w:sz w:val="21"/>
              </w:rPr>
              <w:t>荧蒽</w:t>
            </w:r>
          </w:p>
        </w:tc>
        <w:tc>
          <w:tcPr>
            <w:tcW w:w="1367" w:type="dxa"/>
          </w:tcPr>
          <w:p>
            <w:pPr>
              <w:pStyle w:val="14"/>
              <w:spacing w:before="77"/>
              <w:ind w:right="405"/>
              <w:jc w:val="right"/>
              <w:rPr>
                <w:rFonts w:ascii="Times New Roman"/>
                <w:sz w:val="21"/>
              </w:rPr>
            </w:pPr>
            <w:r>
              <w:rPr>
                <w:rFonts w:ascii="Times New Roman"/>
                <w:sz w:val="21"/>
              </w:rPr>
              <w:t>mg/kg</w:t>
            </w:r>
          </w:p>
        </w:tc>
        <w:tc>
          <w:tcPr>
            <w:tcW w:w="1579" w:type="dxa"/>
          </w:tcPr>
          <w:p>
            <w:pPr>
              <w:pStyle w:val="14"/>
              <w:spacing w:before="65"/>
              <w:ind w:left="136" w:right="128"/>
              <w:rPr>
                <w:sz w:val="21"/>
              </w:rPr>
            </w:pPr>
            <w:bookmarkStart w:id="1176" w:name="未检出"/>
            <w:bookmarkEnd w:id="1176"/>
            <w:r>
              <w:rPr>
                <w:sz w:val="21"/>
              </w:rPr>
              <w:t>未检出</w:t>
            </w:r>
          </w:p>
        </w:tc>
        <w:tc>
          <w:tcPr>
            <w:tcW w:w="1579" w:type="dxa"/>
          </w:tcPr>
          <w:p>
            <w:pPr>
              <w:pStyle w:val="14"/>
              <w:spacing w:before="77"/>
              <w:ind w:left="9"/>
              <w:rPr>
                <w:rFonts w:ascii="Times New Roman"/>
                <w:sz w:val="21"/>
              </w:rPr>
            </w:pPr>
            <w:r>
              <w:rPr>
                <w:rFonts w:ascii="Times New Roman"/>
                <w:w w:val="99"/>
                <w:sz w:val="21"/>
              </w:rPr>
              <w:t>/</w:t>
            </w:r>
          </w:p>
        </w:tc>
        <w:tc>
          <w:tcPr>
            <w:tcW w:w="1580" w:type="dxa"/>
          </w:tcPr>
          <w:p>
            <w:pPr>
              <w:pStyle w:val="14"/>
              <w:spacing w:before="77"/>
              <w:ind w:left="760"/>
              <w:jc w:val="left"/>
              <w:rPr>
                <w:rFonts w:ascii="Times New Roman"/>
                <w:sz w:val="21"/>
              </w:rPr>
            </w:pPr>
            <w:r>
              <w:rPr>
                <w:rFonts w:ascii="Times New Roman"/>
                <w:w w:val="99"/>
                <w:sz w:val="21"/>
              </w:rPr>
              <w:t>/</w:t>
            </w:r>
          </w:p>
        </w:tc>
        <w:tc>
          <w:tcPr>
            <w:tcW w:w="1083" w:type="dxa"/>
          </w:tcPr>
          <w:p>
            <w:pPr>
              <w:pStyle w:val="14"/>
              <w:spacing w:before="63"/>
              <w:ind w:left="200" w:right="196"/>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2"/>
              <w:ind w:left="9"/>
              <w:rPr>
                <w:sz w:val="21"/>
              </w:rPr>
            </w:pPr>
            <w:r>
              <w:rPr>
                <w:w w:val="99"/>
                <w:sz w:val="21"/>
              </w:rPr>
              <w:t>䓛</w:t>
            </w:r>
          </w:p>
        </w:tc>
        <w:tc>
          <w:tcPr>
            <w:tcW w:w="1367" w:type="dxa"/>
          </w:tcPr>
          <w:p>
            <w:pPr>
              <w:pStyle w:val="14"/>
              <w:spacing w:before="76"/>
              <w:ind w:right="405"/>
              <w:jc w:val="right"/>
              <w:rPr>
                <w:rFonts w:ascii="Times New Roman"/>
                <w:sz w:val="21"/>
              </w:rPr>
            </w:pPr>
            <w:r>
              <w:rPr>
                <w:rFonts w:ascii="Times New Roman"/>
                <w:sz w:val="21"/>
              </w:rPr>
              <w:t>mg/kg</w:t>
            </w:r>
          </w:p>
        </w:tc>
        <w:tc>
          <w:tcPr>
            <w:tcW w:w="1579" w:type="dxa"/>
          </w:tcPr>
          <w:p>
            <w:pPr>
              <w:pStyle w:val="14"/>
              <w:spacing w:before="67"/>
              <w:ind w:left="136" w:right="128"/>
              <w:rPr>
                <w:sz w:val="21"/>
              </w:rPr>
            </w:pPr>
            <w:bookmarkStart w:id="1177" w:name="未检出"/>
            <w:bookmarkEnd w:id="1177"/>
            <w:r>
              <w:rPr>
                <w:sz w:val="21"/>
              </w:rPr>
              <w:t>未检出</w:t>
            </w:r>
          </w:p>
        </w:tc>
        <w:tc>
          <w:tcPr>
            <w:tcW w:w="1579" w:type="dxa"/>
          </w:tcPr>
          <w:p>
            <w:pPr>
              <w:pStyle w:val="14"/>
              <w:spacing w:before="76"/>
              <w:ind w:left="9"/>
              <w:rPr>
                <w:rFonts w:ascii="Times New Roman"/>
                <w:sz w:val="21"/>
              </w:rPr>
            </w:pPr>
            <w:r>
              <w:rPr>
                <w:rFonts w:ascii="Times New Roman"/>
                <w:w w:val="99"/>
                <w:sz w:val="21"/>
              </w:rPr>
              <w:t>/</w:t>
            </w:r>
          </w:p>
        </w:tc>
        <w:tc>
          <w:tcPr>
            <w:tcW w:w="1580" w:type="dxa"/>
          </w:tcPr>
          <w:p>
            <w:pPr>
              <w:pStyle w:val="14"/>
              <w:spacing w:before="76"/>
              <w:ind w:left="760"/>
              <w:jc w:val="left"/>
              <w:rPr>
                <w:rFonts w:ascii="Times New Roman"/>
                <w:sz w:val="21"/>
              </w:rPr>
            </w:pPr>
            <w:r>
              <w:rPr>
                <w:rFonts w:ascii="Times New Roman"/>
                <w:w w:val="99"/>
                <w:sz w:val="21"/>
              </w:rPr>
              <w:t>/</w:t>
            </w:r>
          </w:p>
        </w:tc>
        <w:tc>
          <w:tcPr>
            <w:tcW w:w="1083" w:type="dxa"/>
          </w:tcPr>
          <w:p>
            <w:pPr>
              <w:pStyle w:val="14"/>
              <w:spacing w:before="62"/>
              <w:ind w:left="200" w:right="196"/>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3"/>
              <w:ind w:left="156" w:right="145"/>
              <w:rPr>
                <w:sz w:val="21"/>
              </w:rPr>
            </w:pPr>
            <w:r>
              <w:rPr>
                <w:sz w:val="21"/>
              </w:rPr>
              <w:t>二苯并</w:t>
            </w:r>
            <w:r>
              <w:rPr>
                <w:rFonts w:ascii="Times New Roman" w:eastAsia="Times New Roman"/>
                <w:sz w:val="21"/>
              </w:rPr>
              <w:t>[a, h]</w:t>
            </w:r>
            <w:r>
              <w:rPr>
                <w:sz w:val="21"/>
              </w:rPr>
              <w:t>蒽</w:t>
            </w:r>
          </w:p>
        </w:tc>
        <w:tc>
          <w:tcPr>
            <w:tcW w:w="1367" w:type="dxa"/>
          </w:tcPr>
          <w:p>
            <w:pPr>
              <w:pStyle w:val="14"/>
              <w:spacing w:before="77"/>
              <w:ind w:right="405"/>
              <w:jc w:val="right"/>
              <w:rPr>
                <w:rFonts w:ascii="Times New Roman"/>
                <w:sz w:val="21"/>
              </w:rPr>
            </w:pPr>
            <w:r>
              <w:rPr>
                <w:rFonts w:ascii="Times New Roman"/>
                <w:sz w:val="21"/>
              </w:rPr>
              <w:t>mg/kg</w:t>
            </w:r>
          </w:p>
        </w:tc>
        <w:tc>
          <w:tcPr>
            <w:tcW w:w="1579" w:type="dxa"/>
          </w:tcPr>
          <w:p>
            <w:pPr>
              <w:pStyle w:val="14"/>
              <w:spacing w:before="65"/>
              <w:ind w:left="136" w:right="128"/>
              <w:rPr>
                <w:sz w:val="21"/>
              </w:rPr>
            </w:pPr>
            <w:bookmarkStart w:id="1178" w:name="未检出"/>
            <w:bookmarkEnd w:id="1178"/>
            <w:r>
              <w:rPr>
                <w:sz w:val="21"/>
              </w:rPr>
              <w:t>未检出</w:t>
            </w:r>
          </w:p>
        </w:tc>
        <w:tc>
          <w:tcPr>
            <w:tcW w:w="1579" w:type="dxa"/>
          </w:tcPr>
          <w:p>
            <w:pPr>
              <w:pStyle w:val="14"/>
              <w:spacing w:before="77"/>
              <w:ind w:left="9"/>
              <w:rPr>
                <w:rFonts w:ascii="Times New Roman"/>
                <w:sz w:val="21"/>
              </w:rPr>
            </w:pPr>
            <w:r>
              <w:rPr>
                <w:rFonts w:ascii="Times New Roman"/>
                <w:w w:val="99"/>
                <w:sz w:val="21"/>
              </w:rPr>
              <w:t>/</w:t>
            </w:r>
          </w:p>
        </w:tc>
        <w:tc>
          <w:tcPr>
            <w:tcW w:w="1580" w:type="dxa"/>
          </w:tcPr>
          <w:p>
            <w:pPr>
              <w:pStyle w:val="14"/>
              <w:spacing w:before="77"/>
              <w:ind w:left="760"/>
              <w:jc w:val="left"/>
              <w:rPr>
                <w:rFonts w:ascii="Times New Roman"/>
                <w:sz w:val="21"/>
              </w:rPr>
            </w:pPr>
            <w:r>
              <w:rPr>
                <w:rFonts w:ascii="Times New Roman"/>
                <w:w w:val="99"/>
                <w:sz w:val="21"/>
              </w:rPr>
              <w:t>/</w:t>
            </w:r>
          </w:p>
        </w:tc>
        <w:tc>
          <w:tcPr>
            <w:tcW w:w="1083" w:type="dxa"/>
          </w:tcPr>
          <w:p>
            <w:pPr>
              <w:pStyle w:val="14"/>
              <w:spacing w:before="63"/>
              <w:ind w:left="200" w:right="196"/>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4"/>
              <w:ind w:left="156" w:right="142"/>
              <w:rPr>
                <w:sz w:val="21"/>
              </w:rPr>
            </w:pPr>
            <w:r>
              <w:rPr>
                <w:sz w:val="21"/>
              </w:rPr>
              <w:t>茚并</w:t>
            </w:r>
            <w:r>
              <w:rPr>
                <w:rFonts w:ascii="Times New Roman" w:eastAsia="Times New Roman"/>
                <w:sz w:val="21"/>
              </w:rPr>
              <w:t>[1,2,3-cd]</w:t>
            </w:r>
            <w:r>
              <w:rPr>
                <w:sz w:val="21"/>
              </w:rPr>
              <w:t>芘</w:t>
            </w:r>
          </w:p>
        </w:tc>
        <w:tc>
          <w:tcPr>
            <w:tcW w:w="1367" w:type="dxa"/>
          </w:tcPr>
          <w:p>
            <w:pPr>
              <w:pStyle w:val="14"/>
              <w:spacing w:before="78"/>
              <w:ind w:right="405"/>
              <w:jc w:val="right"/>
              <w:rPr>
                <w:rFonts w:ascii="Times New Roman"/>
                <w:sz w:val="21"/>
              </w:rPr>
            </w:pPr>
            <w:r>
              <w:rPr>
                <w:rFonts w:ascii="Times New Roman"/>
                <w:sz w:val="21"/>
              </w:rPr>
              <w:t>mg/kg</w:t>
            </w:r>
          </w:p>
        </w:tc>
        <w:tc>
          <w:tcPr>
            <w:tcW w:w="1579" w:type="dxa"/>
          </w:tcPr>
          <w:p>
            <w:pPr>
              <w:pStyle w:val="14"/>
              <w:spacing w:before="66"/>
              <w:ind w:left="136" w:right="128"/>
              <w:rPr>
                <w:sz w:val="21"/>
              </w:rPr>
            </w:pPr>
            <w:bookmarkStart w:id="1179" w:name="未检出"/>
            <w:bookmarkEnd w:id="1179"/>
            <w:r>
              <w:rPr>
                <w:sz w:val="21"/>
              </w:rPr>
              <w:t>未检出</w:t>
            </w:r>
          </w:p>
        </w:tc>
        <w:tc>
          <w:tcPr>
            <w:tcW w:w="1579" w:type="dxa"/>
          </w:tcPr>
          <w:p>
            <w:pPr>
              <w:pStyle w:val="14"/>
              <w:spacing w:before="78"/>
              <w:ind w:left="9"/>
              <w:rPr>
                <w:rFonts w:ascii="Times New Roman"/>
                <w:sz w:val="21"/>
              </w:rPr>
            </w:pPr>
            <w:r>
              <w:rPr>
                <w:rFonts w:ascii="Times New Roman"/>
                <w:w w:val="99"/>
                <w:sz w:val="21"/>
              </w:rPr>
              <w:t>/</w:t>
            </w:r>
          </w:p>
        </w:tc>
        <w:tc>
          <w:tcPr>
            <w:tcW w:w="1580" w:type="dxa"/>
          </w:tcPr>
          <w:p>
            <w:pPr>
              <w:pStyle w:val="14"/>
              <w:spacing w:before="78"/>
              <w:ind w:left="760"/>
              <w:jc w:val="left"/>
              <w:rPr>
                <w:rFonts w:ascii="Times New Roman"/>
                <w:sz w:val="21"/>
              </w:rPr>
            </w:pPr>
            <w:r>
              <w:rPr>
                <w:rFonts w:ascii="Times New Roman"/>
                <w:w w:val="99"/>
                <w:sz w:val="21"/>
              </w:rPr>
              <w:t>/</w:t>
            </w:r>
          </w:p>
        </w:tc>
        <w:tc>
          <w:tcPr>
            <w:tcW w:w="1083" w:type="dxa"/>
          </w:tcPr>
          <w:p>
            <w:pPr>
              <w:pStyle w:val="14"/>
              <w:spacing w:before="64"/>
              <w:ind w:left="200" w:right="196"/>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2"/>
              <w:ind w:left="9"/>
              <w:rPr>
                <w:sz w:val="21"/>
              </w:rPr>
            </w:pPr>
            <w:r>
              <w:rPr>
                <w:w w:val="99"/>
                <w:sz w:val="21"/>
              </w:rPr>
              <w:t>萘</w:t>
            </w:r>
          </w:p>
        </w:tc>
        <w:tc>
          <w:tcPr>
            <w:tcW w:w="1367" w:type="dxa"/>
          </w:tcPr>
          <w:p>
            <w:pPr>
              <w:pStyle w:val="14"/>
              <w:spacing w:line="241" w:lineRule="exact"/>
              <w:ind w:right="405"/>
              <w:jc w:val="right"/>
              <w:rPr>
                <w:rFonts w:ascii="Times New Roman"/>
                <w:sz w:val="21"/>
              </w:rPr>
            </w:pPr>
            <w:r>
              <w:rPr>
                <w:rFonts w:ascii="Times New Roman"/>
                <w:sz w:val="21"/>
              </w:rPr>
              <w:t>mg/kg</w:t>
            </w:r>
          </w:p>
        </w:tc>
        <w:tc>
          <w:tcPr>
            <w:tcW w:w="1579" w:type="dxa"/>
          </w:tcPr>
          <w:p>
            <w:pPr>
              <w:pStyle w:val="14"/>
              <w:spacing w:before="65"/>
              <w:ind w:left="136" w:right="128"/>
              <w:rPr>
                <w:sz w:val="21"/>
              </w:rPr>
            </w:pPr>
            <w:bookmarkStart w:id="1180" w:name="未检出"/>
            <w:bookmarkEnd w:id="1180"/>
            <w:r>
              <w:rPr>
                <w:sz w:val="21"/>
              </w:rPr>
              <w:t>未检出</w:t>
            </w:r>
          </w:p>
        </w:tc>
        <w:tc>
          <w:tcPr>
            <w:tcW w:w="1579" w:type="dxa"/>
          </w:tcPr>
          <w:p>
            <w:pPr>
              <w:pStyle w:val="14"/>
              <w:spacing w:before="76"/>
              <w:ind w:left="9"/>
              <w:rPr>
                <w:rFonts w:ascii="Times New Roman"/>
                <w:sz w:val="21"/>
              </w:rPr>
            </w:pPr>
            <w:r>
              <w:rPr>
                <w:rFonts w:ascii="Times New Roman"/>
                <w:w w:val="99"/>
                <w:sz w:val="21"/>
              </w:rPr>
              <w:t>/</w:t>
            </w:r>
          </w:p>
        </w:tc>
        <w:tc>
          <w:tcPr>
            <w:tcW w:w="1580" w:type="dxa"/>
          </w:tcPr>
          <w:p>
            <w:pPr>
              <w:pStyle w:val="14"/>
              <w:spacing w:before="76"/>
              <w:ind w:left="760"/>
              <w:jc w:val="left"/>
              <w:rPr>
                <w:rFonts w:ascii="Times New Roman"/>
                <w:sz w:val="21"/>
              </w:rPr>
            </w:pPr>
            <w:r>
              <w:rPr>
                <w:rFonts w:ascii="Times New Roman"/>
                <w:w w:val="99"/>
                <w:sz w:val="21"/>
              </w:rPr>
              <w:t>/</w:t>
            </w:r>
          </w:p>
        </w:tc>
        <w:tc>
          <w:tcPr>
            <w:tcW w:w="1083" w:type="dxa"/>
          </w:tcPr>
          <w:p>
            <w:pPr>
              <w:pStyle w:val="14"/>
              <w:spacing w:before="62"/>
              <w:ind w:left="200" w:right="196"/>
              <w:rPr>
                <w:sz w:val="21"/>
              </w:rPr>
            </w:pPr>
            <w:r>
              <w:rPr>
                <w:sz w:val="21"/>
              </w:rPr>
              <w:t>达标</w:t>
            </w:r>
          </w:p>
        </w:tc>
      </w:tr>
    </w:tbl>
    <w:p>
      <w:pPr>
        <w:pStyle w:val="6"/>
        <w:spacing w:before="6" w:line="364" w:lineRule="auto"/>
        <w:ind w:left="215" w:right="577" w:firstLine="480"/>
        <w:jc w:val="both"/>
      </w:pPr>
      <w:r>
        <w:rPr>
          <w:spacing w:val="-11"/>
        </w:rPr>
        <w:t>监测结果表明，工业场地内各监测点各项指标均能达到《土壤环境质量 建设用地土</w:t>
      </w:r>
      <w:r>
        <w:rPr>
          <w:spacing w:val="-1"/>
        </w:rPr>
        <w:t>壤污染风险管控标准</w:t>
      </w:r>
      <w:r>
        <w:rPr>
          <w:spacing w:val="-3"/>
        </w:rPr>
        <w:t>（</w:t>
      </w:r>
      <w:r>
        <w:t>试行</w:t>
      </w:r>
      <w:r>
        <w:rPr>
          <w:spacing w:val="-5"/>
        </w:rPr>
        <w:t>）</w:t>
      </w:r>
      <w:r>
        <w:rPr>
          <w:spacing w:val="-15"/>
        </w:rPr>
        <w:t>》</w:t>
      </w:r>
      <w:r>
        <w:t>（</w:t>
      </w:r>
      <w:r>
        <w:rPr>
          <w:rFonts w:ascii="Times New Roman" w:eastAsia="Times New Roman"/>
        </w:rPr>
        <w:t>GB36600-2018</w:t>
      </w:r>
      <w:r>
        <w:t>）</w:t>
      </w:r>
      <w:r>
        <w:rPr>
          <w:spacing w:val="-2"/>
        </w:rPr>
        <w:t>第二类用地筛选值标准。土壤环境质</w:t>
      </w:r>
      <w:r>
        <w:t>量良好。</w:t>
      </w:r>
    </w:p>
    <w:p>
      <w:pPr>
        <w:pStyle w:val="3"/>
        <w:numPr>
          <w:ilvl w:val="1"/>
          <w:numId w:val="73"/>
        </w:numPr>
        <w:tabs>
          <w:tab w:val="left" w:pos="893"/>
        </w:tabs>
        <w:spacing w:before="0" w:after="0" w:line="384" w:lineRule="exact"/>
        <w:ind w:left="892" w:right="0" w:hanging="678"/>
        <w:jc w:val="left"/>
      </w:pPr>
      <w:bookmarkStart w:id="1181" w:name="_TOC_250000"/>
      <w:bookmarkEnd w:id="1181"/>
      <w:r>
        <w:t>项目施工期土壤环境影响分析</w:t>
      </w:r>
    </w:p>
    <w:p>
      <w:pPr>
        <w:pStyle w:val="6"/>
        <w:spacing w:before="199" w:line="364" w:lineRule="auto"/>
        <w:ind w:left="215" w:right="580" w:firstLine="480"/>
        <w:jc w:val="both"/>
      </w:pPr>
      <w:r>
        <w:t>施工期对土壤的影响主要是表土扰动，施工期间的污废水排放，固体废物堆存，及施工设备漏油等，造成污染物进入土壤环境。项目施工期间采取的措施主要是对表土进行了剥离和单独堆存，用于工业场地内的植被恢复。施工人员生活污水排入防渗旱厕定期清掏。固体废物应分类安全处置；施工期机械要勤加保养，防止漏油。采取上述措施后，建设期生产、生活污水基本不会对土壤环境造成影响。</w:t>
      </w:r>
    </w:p>
    <w:p>
      <w:pPr>
        <w:pStyle w:val="3"/>
        <w:numPr>
          <w:ilvl w:val="1"/>
          <w:numId w:val="73"/>
        </w:numPr>
        <w:tabs>
          <w:tab w:val="left" w:pos="816"/>
        </w:tabs>
        <w:spacing w:before="0" w:after="0" w:line="380" w:lineRule="exact"/>
        <w:ind w:left="816" w:right="0" w:hanging="601"/>
        <w:jc w:val="left"/>
      </w:pPr>
      <w:bookmarkStart w:id="1182" w:name="11.5运营期土壤环境影响分析"/>
      <w:bookmarkEnd w:id="1182"/>
      <w:bookmarkStart w:id="1183" w:name="_bookmark65"/>
      <w:bookmarkEnd w:id="1183"/>
      <w:bookmarkStart w:id="1184" w:name="_bookmark65"/>
      <w:bookmarkEnd w:id="1184"/>
      <w:r>
        <w:t>运营期土壤环境影响分析</w:t>
      </w:r>
    </w:p>
    <w:p>
      <w:pPr>
        <w:pStyle w:val="6"/>
        <w:spacing w:before="199" w:line="364" w:lineRule="auto"/>
        <w:ind w:left="215" w:right="580" w:firstLine="480"/>
        <w:jc w:val="both"/>
      </w:pPr>
      <w:r>
        <w:t>土壤是复杂的三相共存体系，其污染物质主要通过被污染大气的沉降、工业废水的漫流和入渗、以及固体废物通过大气迁移、扩散、沉降或降水淋溶、地表径流等而进入土壤环境。本次土壤环境评价工作等级为三级，不进行进一步预测分析，仅采用定向描述进行简单分析。</w:t>
      </w:r>
    </w:p>
    <w:p>
      <w:pPr>
        <w:pStyle w:val="13"/>
        <w:numPr>
          <w:ilvl w:val="0"/>
          <w:numId w:val="74"/>
        </w:numPr>
        <w:tabs>
          <w:tab w:val="left" w:pos="1297"/>
        </w:tabs>
        <w:spacing w:before="0" w:after="0" w:line="305" w:lineRule="exact"/>
        <w:ind w:left="1297" w:right="0" w:hanging="601"/>
        <w:jc w:val="left"/>
        <w:rPr>
          <w:sz w:val="24"/>
        </w:rPr>
      </w:pPr>
      <w:r>
        <w:rPr>
          <w:sz w:val="24"/>
        </w:rPr>
        <w:t>污染源分析</w:t>
      </w:r>
    </w:p>
    <w:p>
      <w:pPr>
        <w:pStyle w:val="6"/>
        <w:spacing w:before="160" w:line="364" w:lineRule="auto"/>
        <w:ind w:left="215" w:right="578" w:firstLine="480"/>
        <w:jc w:val="both"/>
      </w:pPr>
      <w:r>
        <w:rPr>
          <w:spacing w:val="-1"/>
        </w:rPr>
        <w:t>本项目运营期时期主要污染源来自于煤开采、储运等生产过程中产生的废水、废气</w:t>
      </w:r>
      <w:r>
        <w:rPr>
          <w:spacing w:val="-10"/>
        </w:rPr>
        <w:t>和固体废物等污染物，会对土壤环境产生负面影响。 废水主要来自于生产过程中的井下</w:t>
      </w:r>
      <w:r>
        <w:rPr>
          <w:spacing w:val="-1"/>
        </w:rPr>
        <w:t>涌水、生活过程中的污水排放；废气主要来源于采暖洗浴锅炉及热风炉废气、煤炭场内</w:t>
      </w:r>
      <w:r>
        <w:rPr>
          <w:spacing w:val="-2"/>
        </w:rPr>
        <w:t>储存和输送及煤矸石临时堆存产生的粉尘；固体废物主要来源锅炉灰渣、污泥、生活垃</w:t>
      </w:r>
      <w:r>
        <w:t>圾及矸石。</w:t>
      </w:r>
    </w:p>
    <w:p>
      <w:pPr>
        <w:spacing w:after="0" w:line="364" w:lineRule="auto"/>
        <w:jc w:val="both"/>
        <w:sectPr>
          <w:pgSz w:w="11910" w:h="16840"/>
          <w:pgMar w:top="1580" w:right="780" w:bottom="1240" w:left="1200" w:header="0" w:footer="1058" w:gutter="0"/>
        </w:sectPr>
      </w:pPr>
    </w:p>
    <w:p>
      <w:pPr>
        <w:pStyle w:val="13"/>
        <w:numPr>
          <w:ilvl w:val="0"/>
          <w:numId w:val="74"/>
        </w:numPr>
        <w:tabs>
          <w:tab w:val="left" w:pos="1297"/>
        </w:tabs>
        <w:spacing w:before="66" w:after="0" w:line="240" w:lineRule="auto"/>
        <w:ind w:left="1297" w:right="0" w:hanging="601"/>
        <w:jc w:val="left"/>
        <w:rPr>
          <w:sz w:val="24"/>
        </w:rPr>
      </w:pPr>
      <w:r>
        <w:rPr>
          <w:sz w:val="24"/>
        </w:rPr>
        <w:t>影响分析</w:t>
      </w:r>
    </w:p>
    <w:p>
      <w:pPr>
        <w:pStyle w:val="6"/>
        <w:spacing w:before="158" w:line="364" w:lineRule="auto"/>
        <w:ind w:left="215" w:right="577" w:firstLine="480"/>
        <w:jc w:val="both"/>
      </w:pPr>
      <w:r>
        <w:t>本项目各功能区均采取</w:t>
      </w:r>
      <w:r>
        <w:rPr>
          <w:rFonts w:ascii="Times New Roman" w:hAnsi="Times New Roman" w:eastAsia="Times New Roman"/>
        </w:rPr>
        <w:t>“</w:t>
      </w:r>
      <w:r>
        <w:t>源头控制</w:t>
      </w:r>
      <w:r>
        <w:rPr>
          <w:rFonts w:ascii="Times New Roman" w:hAnsi="Times New Roman" w:eastAsia="Times New Roman"/>
        </w:rPr>
        <w:t>”</w:t>
      </w:r>
      <w:r>
        <w:t>、</w:t>
      </w:r>
      <w:r>
        <w:rPr>
          <w:rFonts w:ascii="Times New Roman" w:hAnsi="Times New Roman" w:eastAsia="Times New Roman"/>
        </w:rPr>
        <w:t>“</w:t>
      </w:r>
      <w:r>
        <w:t>分区防控</w:t>
      </w:r>
      <w:r>
        <w:rPr>
          <w:rFonts w:ascii="Times New Roman" w:hAnsi="Times New Roman" w:eastAsia="Times New Roman"/>
        </w:rPr>
        <w:t>”</w:t>
      </w:r>
      <w:r>
        <w:t>的防渗措施，可以有效保证污染物</w:t>
      </w:r>
      <w:r>
        <w:rPr>
          <w:spacing w:val="-6"/>
        </w:rPr>
        <w:t>不会进入土壤环境，防止污染土壤。项目产生的固体废物均在室内堆放，满足</w:t>
      </w:r>
      <w:r>
        <w:rPr>
          <w:rFonts w:ascii="Times New Roman" w:hAnsi="Times New Roman" w:eastAsia="Times New Roman"/>
        </w:rPr>
        <w:t>“</w:t>
      </w:r>
      <w:r>
        <w:rPr>
          <w:spacing w:val="-11"/>
        </w:rPr>
        <w:t>防风、防</w:t>
      </w:r>
      <w:r>
        <w:rPr>
          <w:spacing w:val="-6"/>
        </w:rPr>
        <w:t>雨、防晒</w:t>
      </w:r>
      <w:r>
        <w:rPr>
          <w:rFonts w:ascii="Times New Roman" w:hAnsi="Times New Roman" w:eastAsia="Times New Roman"/>
        </w:rPr>
        <w:t>”</w:t>
      </w:r>
      <w:r>
        <w:rPr>
          <w:spacing w:val="-9"/>
        </w:rPr>
        <w:t>的要求，经收集后均进行妥善处理，不直接排入土壤环境。整个过程基本上可</w:t>
      </w:r>
      <w:r>
        <w:rPr>
          <w:spacing w:val="-1"/>
        </w:rPr>
        <w:t>以杜绝固体废物接触土壤，且建设项目场地地面会做硬化处理，对土壤环境不会造成影响。运营期产生的废气、废水、固体废物等污染物均有妥善的处理、处置措施严格执行</w:t>
      </w:r>
      <w:r>
        <w:t>各项环保措施，则各种污染物对土壤环境的影响均处于可接受范围内。</w:t>
      </w:r>
    </w:p>
    <w:p>
      <w:pPr>
        <w:spacing w:after="0" w:line="364" w:lineRule="auto"/>
        <w:jc w:val="both"/>
        <w:sectPr>
          <w:pgSz w:w="11910" w:h="16840"/>
          <w:pgMar w:top="1520" w:right="780" w:bottom="1320" w:left="1200" w:header="0" w:footer="1058" w:gutter="0"/>
        </w:sectPr>
      </w:pPr>
    </w:p>
    <w:p>
      <w:pPr>
        <w:pStyle w:val="2"/>
        <w:numPr>
          <w:ilvl w:val="0"/>
          <w:numId w:val="62"/>
        </w:numPr>
        <w:tabs>
          <w:tab w:val="left" w:pos="3022"/>
        </w:tabs>
        <w:spacing w:before="46" w:after="0" w:line="240" w:lineRule="auto"/>
        <w:ind w:left="3021" w:right="360" w:hanging="3022"/>
        <w:jc w:val="left"/>
      </w:pPr>
      <w:bookmarkStart w:id="1185" w:name="12.清洁生产与循环经济分析"/>
      <w:bookmarkEnd w:id="1185"/>
      <w:bookmarkStart w:id="1186" w:name="_bookmark66"/>
      <w:bookmarkEnd w:id="1186"/>
      <w:bookmarkStart w:id="1187" w:name="_bookmark66"/>
      <w:bookmarkEnd w:id="1187"/>
      <w:r>
        <w:t>清洁生产与循环经济分析</w:t>
      </w:r>
    </w:p>
    <w:p>
      <w:pPr>
        <w:pStyle w:val="6"/>
        <w:rPr>
          <w:b/>
          <w:sz w:val="32"/>
        </w:rPr>
      </w:pPr>
    </w:p>
    <w:p>
      <w:pPr>
        <w:pStyle w:val="3"/>
        <w:numPr>
          <w:ilvl w:val="1"/>
          <w:numId w:val="75"/>
        </w:numPr>
        <w:tabs>
          <w:tab w:val="left" w:pos="816"/>
        </w:tabs>
        <w:spacing w:before="0" w:after="0" w:line="240" w:lineRule="auto"/>
        <w:ind w:left="816" w:right="0" w:hanging="601"/>
        <w:jc w:val="left"/>
      </w:pPr>
      <w:bookmarkStart w:id="1188" w:name="_bookmark67"/>
      <w:bookmarkEnd w:id="1188"/>
      <w:bookmarkStart w:id="1189" w:name="_bookmark67"/>
      <w:bookmarkEnd w:id="1189"/>
      <w:bookmarkStart w:id="1190" w:name="12.1循环经济分析"/>
      <w:bookmarkEnd w:id="1190"/>
      <w:r>
        <w:t>循环经济分析</w:t>
      </w:r>
    </w:p>
    <w:p>
      <w:pPr>
        <w:pStyle w:val="6"/>
        <w:spacing w:before="196"/>
        <w:ind w:left="696"/>
      </w:pPr>
      <w:r>
        <w:rPr>
          <w:rFonts w:ascii="Times New Roman" w:eastAsia="Times New Roman"/>
        </w:rPr>
        <w:t xml:space="preserve">2008 </w:t>
      </w:r>
      <w:r>
        <w:t xml:space="preserve">年 </w:t>
      </w:r>
      <w:r>
        <w:rPr>
          <w:rFonts w:ascii="Times New Roman" w:eastAsia="Times New Roman"/>
        </w:rPr>
        <w:t xml:space="preserve">8 </w:t>
      </w:r>
      <w:r>
        <w:t xml:space="preserve">月 </w:t>
      </w:r>
      <w:r>
        <w:rPr>
          <w:rFonts w:ascii="Times New Roman" w:eastAsia="Times New Roman"/>
        </w:rPr>
        <w:t xml:space="preserve">29 </w:t>
      </w:r>
      <w:r>
        <w:t>日，第十一届全国人民代表大会常务委员会第四次会议通过了《中</w:t>
      </w:r>
    </w:p>
    <w:p>
      <w:pPr>
        <w:pStyle w:val="6"/>
        <w:spacing w:before="161" w:line="364" w:lineRule="auto"/>
        <w:ind w:left="215" w:right="457"/>
      </w:pPr>
      <w:r>
        <w:rPr>
          <w:spacing w:val="-8"/>
        </w:rPr>
        <w:t xml:space="preserve">华人民共和国循环经济促进法》，自 </w:t>
      </w:r>
      <w:r>
        <w:rPr>
          <w:rFonts w:ascii="Times New Roman" w:hAnsi="Times New Roman" w:eastAsia="Times New Roman"/>
        </w:rPr>
        <w:t xml:space="preserve">2009 </w:t>
      </w:r>
      <w:r>
        <w:rPr>
          <w:spacing w:val="-30"/>
        </w:rPr>
        <w:t xml:space="preserve">年 </w:t>
      </w:r>
      <w:r>
        <w:rPr>
          <w:rFonts w:ascii="Times New Roman" w:hAnsi="Times New Roman" w:eastAsia="Times New Roman"/>
        </w:rPr>
        <w:t xml:space="preserve">1 </w:t>
      </w:r>
      <w:r>
        <w:rPr>
          <w:spacing w:val="-30"/>
        </w:rPr>
        <w:t xml:space="preserve">月 </w:t>
      </w:r>
      <w:r>
        <w:rPr>
          <w:rFonts w:ascii="Times New Roman" w:hAnsi="Times New Roman" w:eastAsia="Times New Roman"/>
        </w:rPr>
        <w:t xml:space="preserve">1 </w:t>
      </w:r>
      <w:r>
        <w:rPr>
          <w:spacing w:val="-7"/>
        </w:rPr>
        <w:t>日起实施。其中第九条规定：企业事</w:t>
      </w:r>
      <w:r>
        <w:rPr>
          <w:spacing w:val="-15"/>
        </w:rPr>
        <w:t xml:space="preserve">业单位应当建立健全管理制度，采取措施，降低资源消耗，减少废物的产生量和排放量， </w:t>
      </w:r>
      <w:r>
        <w:rPr>
          <w:spacing w:val="-5"/>
        </w:rPr>
        <w:t>提高废物的再利用和资源化水平。煤炭企业作为煤炭生产单位，长期受到</w:t>
      </w:r>
      <w:r>
        <w:rPr>
          <w:rFonts w:ascii="Times New Roman" w:hAnsi="Times New Roman" w:eastAsia="Times New Roman"/>
        </w:rPr>
        <w:t>“</w:t>
      </w:r>
      <w:r>
        <w:rPr>
          <w:spacing w:val="-6"/>
        </w:rPr>
        <w:t>高度开采、高</w:t>
      </w:r>
      <w:r>
        <w:rPr>
          <w:spacing w:val="-7"/>
        </w:rPr>
        <w:t>度排放、低度利用</w:t>
      </w:r>
      <w:r>
        <w:rPr>
          <w:rFonts w:ascii="Times New Roman" w:hAnsi="Times New Roman" w:eastAsia="Times New Roman"/>
        </w:rPr>
        <w:t>”</w:t>
      </w:r>
      <w:r>
        <w:t>的</w:t>
      </w:r>
      <w:r>
        <w:rPr>
          <w:rFonts w:ascii="Times New Roman" w:hAnsi="Times New Roman" w:eastAsia="Times New Roman"/>
        </w:rPr>
        <w:t>“</w:t>
      </w:r>
      <w:r>
        <w:t>两高一低</w:t>
      </w:r>
      <w:r>
        <w:rPr>
          <w:rFonts w:ascii="Times New Roman" w:hAnsi="Times New Roman" w:eastAsia="Times New Roman"/>
        </w:rPr>
        <w:t>”</w:t>
      </w:r>
      <w:r>
        <w:rPr>
          <w:spacing w:val="-5"/>
        </w:rPr>
        <w:t>生产模式的影响，资源浪费严重，生态环境遭到极大破坏，严重阻碍了资源的可持续利用和企业的可持续发展。大力发展循环经济，推进煤炭企业生产方式转变，走资源利用率高、安全有保障、经济效益好、环境污染少的可持续发展之路，符合科学发展观和可持续发展理念的经济增长模式，成为新时期煤炭企业的必然选择。</w:t>
      </w:r>
    </w:p>
    <w:p>
      <w:pPr>
        <w:pStyle w:val="4"/>
        <w:numPr>
          <w:ilvl w:val="2"/>
          <w:numId w:val="75"/>
        </w:numPr>
        <w:tabs>
          <w:tab w:val="left" w:pos="987"/>
        </w:tabs>
        <w:spacing w:before="0" w:after="0" w:line="355" w:lineRule="exact"/>
        <w:ind w:left="986" w:right="0" w:hanging="772"/>
        <w:jc w:val="left"/>
      </w:pPr>
      <w:bookmarkStart w:id="1191" w:name="12.1.1煤炭企业实现循环经济生产模式的基本思路"/>
      <w:bookmarkEnd w:id="1191"/>
      <w:bookmarkStart w:id="1192" w:name="12.1.1煤炭企业实现循环经济生产模式的基本思路"/>
      <w:bookmarkEnd w:id="1192"/>
      <w:r>
        <w:t>煤炭企业实现循环经济生产模式的基本思路</w:t>
      </w:r>
    </w:p>
    <w:p>
      <w:pPr>
        <w:pStyle w:val="6"/>
        <w:spacing w:before="185" w:line="364" w:lineRule="auto"/>
        <w:ind w:left="215" w:right="580" w:firstLine="480"/>
        <w:jc w:val="right"/>
      </w:pPr>
      <w:r>
        <w:t>煤炭企业是煤炭生产的主体，其活动包括从煤炭资源开采到产品加工，从组织生产到产品销售，以及废弃物产生的全过程。因此，煤炭企业内部循环经济的实施，要根据煤炭产品的生命周期，煤炭开采、煤产品加工、煤炭利用及废弃的各个阶段，推行清洁生产，节能降耗，减少产品和服务中物料和能源的使用量，实现污染物排放的最小化。在煤炭开采过程中，采用合理的开采顺序、方法和选矿工艺。在开采主要矿种的同</w:t>
      </w:r>
    </w:p>
    <w:p>
      <w:pPr>
        <w:pStyle w:val="6"/>
        <w:spacing w:line="364" w:lineRule="auto"/>
        <w:ind w:left="215" w:right="580"/>
        <w:jc w:val="both"/>
      </w:pPr>
      <w:r>
        <w:t>时：应当对具有工业价值的共生和伴生矿实行综合开采、合理利用；对必须同时采出而暂时不能利用的矿产，以及含有有用组分的尾矿，应当采取保护措施，防止资源损失和生态破坏。</w:t>
      </w:r>
    </w:p>
    <w:p>
      <w:pPr>
        <w:pStyle w:val="6"/>
        <w:spacing w:line="364" w:lineRule="auto"/>
        <w:ind w:left="215" w:right="580" w:firstLine="480"/>
        <w:jc w:val="both"/>
      </w:pPr>
      <w:r>
        <w:t>在煤炭生产加工和利用方面，煤炭企业应积极实施洁净煤战略，加强选煤厂配套建设，提高原煤洗选率，有效控制煤炭在利用之前可能排放的污染物，提高煤质，减少煤炭运输过程中的能源消耗。</w:t>
      </w:r>
    </w:p>
    <w:p>
      <w:pPr>
        <w:pStyle w:val="6"/>
        <w:spacing w:line="364" w:lineRule="auto"/>
        <w:ind w:left="215" w:right="580" w:firstLine="480"/>
        <w:jc w:val="both"/>
      </w:pPr>
      <w:r>
        <w:t>在废弃物处理再利用方面，对产生的粉煤灰、煤矸石、尾矿、废石、废料、废气等工业废物进行综合利用，最大限度地循环使用煤炭开采加工过程中的一切物质资源，实现废弃物资源化，保护和改善生态环境。</w:t>
      </w:r>
    </w:p>
    <w:p>
      <w:pPr>
        <w:spacing w:after="0" w:line="364" w:lineRule="auto"/>
        <w:jc w:val="both"/>
        <w:sectPr>
          <w:pgSz w:w="11910" w:h="16840"/>
          <w:pgMar w:top="1540" w:right="780" w:bottom="1320" w:left="1200" w:header="0" w:footer="1058" w:gutter="0"/>
        </w:sectPr>
      </w:pPr>
    </w:p>
    <w:p>
      <w:pPr>
        <w:pStyle w:val="6"/>
        <w:spacing w:before="7"/>
        <w:rPr>
          <w:sz w:val="8"/>
        </w:rPr>
      </w:pPr>
    </w:p>
    <w:p>
      <w:pPr>
        <w:pStyle w:val="6"/>
        <w:ind w:left="490"/>
        <w:rPr>
          <w:sz w:val="20"/>
        </w:rPr>
      </w:pPr>
      <w:r>
        <w:rPr>
          <w:sz w:val="20"/>
        </w:rPr>
        <w:drawing>
          <wp:inline distT="0" distB="0" distL="0" distR="0">
            <wp:extent cx="5484495" cy="2783840"/>
            <wp:effectExtent l="0" t="0" r="0" b="0"/>
            <wp:docPr id="7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43.jpeg"/>
                    <pic:cNvPicPr>
                      <a:picLocks noChangeAspect="1"/>
                    </pic:cNvPicPr>
                  </pic:nvPicPr>
                  <pic:blipFill>
                    <a:blip r:embed="rId78" cstate="print"/>
                    <a:stretch>
                      <a:fillRect/>
                    </a:stretch>
                  </pic:blipFill>
                  <pic:spPr>
                    <a:xfrm>
                      <a:off x="0" y="0"/>
                      <a:ext cx="5484850" cy="2784348"/>
                    </a:xfrm>
                    <a:prstGeom prst="rect">
                      <a:avLst/>
                    </a:prstGeom>
                  </pic:spPr>
                </pic:pic>
              </a:graphicData>
            </a:graphic>
          </wp:inline>
        </w:drawing>
      </w:r>
    </w:p>
    <w:p>
      <w:pPr>
        <w:spacing w:before="26"/>
        <w:ind w:left="0" w:right="352" w:firstLine="0"/>
        <w:jc w:val="center"/>
        <w:rPr>
          <w:b/>
          <w:sz w:val="21"/>
        </w:rPr>
      </w:pPr>
      <w:r>
        <w:rPr>
          <w:b/>
          <w:sz w:val="21"/>
        </w:rPr>
        <w:t xml:space="preserve">图 </w:t>
      </w:r>
      <w:r>
        <w:rPr>
          <w:rFonts w:ascii="Calibri" w:eastAsia="Calibri"/>
          <w:b/>
          <w:sz w:val="21"/>
        </w:rPr>
        <w:t xml:space="preserve">12.1-1 </w:t>
      </w:r>
      <w:r>
        <w:rPr>
          <w:b/>
          <w:sz w:val="21"/>
        </w:rPr>
        <w:t>煤炭企业循环经济生产模式图</w:t>
      </w:r>
    </w:p>
    <w:p>
      <w:pPr>
        <w:pStyle w:val="4"/>
        <w:numPr>
          <w:ilvl w:val="2"/>
          <w:numId w:val="75"/>
        </w:numPr>
        <w:tabs>
          <w:tab w:val="left" w:pos="1056"/>
        </w:tabs>
        <w:spacing w:before="4" w:after="0" w:line="240" w:lineRule="auto"/>
        <w:ind w:left="1056" w:right="0" w:hanging="841"/>
        <w:jc w:val="left"/>
      </w:pPr>
      <w:bookmarkStart w:id="1193" w:name="12.1.2 本项目可实施的循环经济生产项目"/>
      <w:bookmarkEnd w:id="1193"/>
      <w:bookmarkStart w:id="1194" w:name="12.1.2 本项目可实施的循环经济生产项目"/>
      <w:bookmarkEnd w:id="1194"/>
      <w:r>
        <w:t>本项目可实施的循环经济生产项目</w:t>
      </w:r>
    </w:p>
    <w:p>
      <w:pPr>
        <w:pStyle w:val="6"/>
        <w:spacing w:before="186"/>
        <w:ind w:left="696"/>
      </w:pPr>
      <w:r>
        <w:rPr>
          <w:rFonts w:ascii="Times New Roman" w:eastAsia="Times New Roman"/>
        </w:rPr>
        <w:t>1</w:t>
      </w:r>
      <w:r>
        <w:t>、污废水的综合利用</w:t>
      </w:r>
    </w:p>
    <w:p>
      <w:pPr>
        <w:pStyle w:val="13"/>
        <w:numPr>
          <w:ilvl w:val="3"/>
          <w:numId w:val="75"/>
        </w:numPr>
        <w:tabs>
          <w:tab w:val="left" w:pos="1297"/>
        </w:tabs>
        <w:spacing w:before="158" w:after="0" w:line="240" w:lineRule="auto"/>
        <w:ind w:left="1297" w:right="0" w:hanging="601"/>
        <w:jc w:val="left"/>
        <w:rPr>
          <w:sz w:val="24"/>
        </w:rPr>
      </w:pPr>
      <w:r>
        <w:rPr>
          <w:sz w:val="24"/>
        </w:rPr>
        <w:t>矿井涌水综合利用</w:t>
      </w:r>
    </w:p>
    <w:p>
      <w:pPr>
        <w:pStyle w:val="6"/>
        <w:spacing w:before="158" w:line="364" w:lineRule="auto"/>
        <w:ind w:left="215" w:right="578" w:firstLine="480"/>
      </w:pPr>
      <w:r>
        <w:rPr>
          <w:spacing w:val="-6"/>
        </w:rPr>
        <w:t xml:space="preserve">矿井水正常涌水量 </w:t>
      </w:r>
      <w:r>
        <w:rPr>
          <w:rFonts w:ascii="Times New Roman" w:eastAsia="Times New Roman"/>
          <w:spacing w:val="-4"/>
        </w:rPr>
        <w:t>1824m</w:t>
      </w:r>
      <w:r>
        <w:rPr>
          <w:rFonts w:ascii="Times New Roman" w:eastAsia="Times New Roman"/>
          <w:spacing w:val="-4"/>
          <w:position w:val="8"/>
          <w:sz w:val="15"/>
        </w:rPr>
        <w:t>3</w:t>
      </w:r>
      <w:r>
        <w:rPr>
          <w:rFonts w:ascii="Times New Roman" w:eastAsia="Times New Roman"/>
          <w:spacing w:val="-4"/>
        </w:rPr>
        <w:t>/d</w:t>
      </w:r>
      <w:r>
        <w:rPr>
          <w:spacing w:val="-6"/>
        </w:rPr>
        <w:t xml:space="preserve">，矿井水处理站处理能力为 </w:t>
      </w:r>
      <w:r>
        <w:rPr>
          <w:rFonts w:ascii="Times New Roman" w:eastAsia="Times New Roman"/>
          <w:spacing w:val="-4"/>
        </w:rPr>
        <w:t>3720m</w:t>
      </w:r>
      <w:r>
        <w:rPr>
          <w:rFonts w:ascii="Times New Roman" w:eastAsia="Times New Roman"/>
          <w:spacing w:val="-4"/>
          <w:position w:val="8"/>
          <w:sz w:val="15"/>
        </w:rPr>
        <w:t>3</w:t>
      </w:r>
      <w:r>
        <w:rPr>
          <w:rFonts w:ascii="Times New Roman" w:eastAsia="Times New Roman"/>
          <w:spacing w:val="-4"/>
        </w:rPr>
        <w:t>/d</w:t>
      </w:r>
      <w:r>
        <w:rPr>
          <w:spacing w:val="-4"/>
        </w:rPr>
        <w:t>，部分回用于工业</w:t>
      </w:r>
      <w:r>
        <w:t>广场和井下用水等，剩余部分达标排入矿区附近排水水渠，最终汇入扁石河。</w:t>
      </w:r>
    </w:p>
    <w:p>
      <w:pPr>
        <w:pStyle w:val="13"/>
        <w:numPr>
          <w:ilvl w:val="3"/>
          <w:numId w:val="75"/>
        </w:numPr>
        <w:tabs>
          <w:tab w:val="left" w:pos="1297"/>
        </w:tabs>
        <w:spacing w:before="0" w:after="0" w:line="306" w:lineRule="exact"/>
        <w:ind w:left="1297" w:right="0" w:hanging="601"/>
        <w:jc w:val="left"/>
        <w:rPr>
          <w:sz w:val="24"/>
        </w:rPr>
      </w:pPr>
      <w:r>
        <w:rPr>
          <w:sz w:val="24"/>
        </w:rPr>
        <w:t>生活污水处理综合利用</w:t>
      </w:r>
    </w:p>
    <w:p>
      <w:pPr>
        <w:pStyle w:val="6"/>
        <w:spacing w:before="160"/>
        <w:ind w:left="696"/>
      </w:pPr>
      <w:r>
        <w:t xml:space="preserve">生活污水经污水处理装置处理，处理规模为 </w:t>
      </w:r>
      <w:r>
        <w:rPr>
          <w:rFonts w:ascii="Times New Roman" w:eastAsia="Times New Roman"/>
        </w:rPr>
        <w:t>360m</w:t>
      </w:r>
      <w:r>
        <w:rPr>
          <w:rFonts w:ascii="Times New Roman" w:eastAsia="Times New Roman"/>
          <w:position w:val="8"/>
          <w:sz w:val="15"/>
        </w:rPr>
        <w:t>3</w:t>
      </w:r>
      <w:r>
        <w:rPr>
          <w:rFonts w:ascii="Times New Roman" w:eastAsia="Times New Roman"/>
        </w:rPr>
        <w:t>/d</w:t>
      </w:r>
      <w:r>
        <w:t>，处理后全部回用不外排。</w:t>
      </w:r>
    </w:p>
    <w:p>
      <w:pPr>
        <w:pStyle w:val="6"/>
        <w:spacing w:before="161" w:line="364" w:lineRule="auto"/>
        <w:ind w:left="215" w:right="501" w:firstLine="566"/>
      </w:pPr>
      <w:r>
        <w:t>设计中认真贯彻国家有关节水技术政策和技术标准，在给水排水设计上进行优化。矿井生产供水水源采用处理后的井下涌水，井下涌水经提升后进入地面井下水处理站调节水池，经混凝沉淀</w:t>
      </w:r>
      <w:r>
        <w:rPr>
          <w:rFonts w:ascii="Times New Roman" w:eastAsia="Times New Roman"/>
        </w:rPr>
        <w:t>+</w:t>
      </w:r>
      <w:r>
        <w:t>过虑处理后的井下水作为井下消防洒水，后期考虑在混凝沉淀</w:t>
      </w:r>
      <w:r>
        <w:rPr>
          <w:rFonts w:ascii="Times New Roman" w:eastAsia="Times New Roman"/>
        </w:rPr>
        <w:t>+</w:t>
      </w:r>
      <w:r>
        <w:t>过虑处理的基础上进行深度处理后（活性炭过虑</w:t>
      </w:r>
      <w:r>
        <w:rPr>
          <w:rFonts w:ascii="Times New Roman" w:eastAsia="Times New Roman"/>
        </w:rPr>
        <w:t>+</w:t>
      </w:r>
      <w:r>
        <w:t>保安过虑</w:t>
      </w:r>
      <w:r>
        <w:rPr>
          <w:rFonts w:ascii="Times New Roman" w:eastAsia="Times New Roman"/>
        </w:rPr>
        <w:t>+</w:t>
      </w:r>
      <w:r>
        <w:t>超滤）的井下涌水用作矿井工业场地生活用水。采用高效节水型新工艺、新技术，设备及器材的选型上尽量采用技术先进、性能优越、高效、节能、新型的产品。</w:t>
      </w:r>
    </w:p>
    <w:p>
      <w:pPr>
        <w:pStyle w:val="6"/>
        <w:spacing w:line="304" w:lineRule="exact"/>
        <w:ind w:left="696"/>
      </w:pPr>
      <w:r>
        <w:rPr>
          <w:rFonts w:ascii="Times New Roman" w:eastAsia="Times New Roman"/>
        </w:rPr>
        <w:t>2</w:t>
      </w:r>
      <w:r>
        <w:t>、固体废物的综合利用</w:t>
      </w:r>
    </w:p>
    <w:p>
      <w:pPr>
        <w:pStyle w:val="6"/>
        <w:spacing w:before="158" w:line="364" w:lineRule="auto"/>
        <w:ind w:left="215" w:right="580" w:firstLine="480"/>
        <w:jc w:val="both"/>
      </w:pPr>
      <w:r>
        <w:t>前期产生的矸石主要用于修路和工业场地的平整，后期矸石主要用于填充采空区及塌陷区、修路和制砖。固体废物的资源化利用缓解了矸石大量堆放压站土地现象，在综合利用不畅时，则运往矸石场地临时堆存，在条件允许情况下，周转场矸石及时清运， 避免长期堆存，产生扬尘。</w:t>
      </w:r>
    </w:p>
    <w:p>
      <w:pPr>
        <w:spacing w:after="0" w:line="364" w:lineRule="auto"/>
        <w:jc w:val="both"/>
        <w:sectPr>
          <w:pgSz w:w="11910" w:h="16840"/>
          <w:pgMar w:top="1580" w:right="780" w:bottom="1320" w:left="1200" w:header="0" w:footer="1058" w:gutter="0"/>
        </w:sectPr>
      </w:pPr>
    </w:p>
    <w:p>
      <w:pPr>
        <w:pStyle w:val="3"/>
        <w:numPr>
          <w:ilvl w:val="1"/>
          <w:numId w:val="75"/>
        </w:numPr>
        <w:tabs>
          <w:tab w:val="left" w:pos="893"/>
        </w:tabs>
        <w:spacing w:before="46" w:after="0" w:line="240" w:lineRule="auto"/>
        <w:ind w:left="892" w:right="0" w:hanging="678"/>
        <w:jc w:val="left"/>
      </w:pPr>
      <w:bookmarkStart w:id="1195" w:name="_bookmark68"/>
      <w:bookmarkEnd w:id="1195"/>
      <w:bookmarkStart w:id="1196" w:name="12.2 清洁生产水平分析"/>
      <w:bookmarkEnd w:id="1196"/>
      <w:bookmarkStart w:id="1197" w:name="_bookmark68"/>
      <w:bookmarkEnd w:id="1197"/>
      <w:r>
        <w:t>清洁生产水平分析</w:t>
      </w:r>
    </w:p>
    <w:p>
      <w:pPr>
        <w:pStyle w:val="6"/>
        <w:spacing w:before="199" w:line="364" w:lineRule="auto"/>
        <w:ind w:left="215" w:right="457" w:firstLine="480"/>
      </w:pPr>
      <w:r>
        <w:t>清洁生产是一个系统工程，是对生产全过程以及产品的整个生命周期采取污染预防的综合措施。清洁生产技术的实施；首先必须技术上可行；其次要达到节能、降耗、减</w:t>
      </w:r>
      <w:r>
        <w:rPr>
          <w:spacing w:val="-11"/>
        </w:rPr>
        <w:t xml:space="preserve">污的目标，满足环境保护法规的要求；第三是在经济上能够获利，做到经济效益最大化， </w:t>
      </w:r>
      <w:r>
        <w:t>充分体现经济效益、环境效益和社会效益的高度统一。</w:t>
      </w:r>
    </w:p>
    <w:p>
      <w:pPr>
        <w:pStyle w:val="6"/>
        <w:spacing w:line="305" w:lineRule="exact"/>
        <w:ind w:left="696"/>
      </w:pPr>
      <w:r>
        <w:t>清洁生产的内容包括：</w:t>
      </w:r>
    </w:p>
    <w:p>
      <w:pPr>
        <w:pStyle w:val="13"/>
        <w:numPr>
          <w:ilvl w:val="0"/>
          <w:numId w:val="76"/>
        </w:numPr>
        <w:tabs>
          <w:tab w:val="left" w:pos="1297"/>
        </w:tabs>
        <w:spacing w:before="158" w:after="0" w:line="364" w:lineRule="auto"/>
        <w:ind w:left="215" w:right="469" w:firstLine="480"/>
        <w:jc w:val="left"/>
        <w:rPr>
          <w:sz w:val="24"/>
        </w:rPr>
      </w:pPr>
      <w:r>
        <w:rPr>
          <w:spacing w:val="-1"/>
          <w:sz w:val="24"/>
        </w:rPr>
        <w:t>清洁的能源，包括常规能源的清洁利用、可再生能源的利用、新能源的利用、</w:t>
      </w:r>
      <w:r>
        <w:rPr>
          <w:sz w:val="24"/>
        </w:rPr>
        <w:t>节能技术；</w:t>
      </w:r>
    </w:p>
    <w:p>
      <w:pPr>
        <w:pStyle w:val="13"/>
        <w:numPr>
          <w:ilvl w:val="0"/>
          <w:numId w:val="76"/>
        </w:numPr>
        <w:tabs>
          <w:tab w:val="left" w:pos="1297"/>
        </w:tabs>
        <w:spacing w:before="0" w:after="0" w:line="364" w:lineRule="auto"/>
        <w:ind w:left="215" w:right="578" w:firstLine="480"/>
        <w:jc w:val="both"/>
        <w:rPr>
          <w:sz w:val="24"/>
        </w:rPr>
      </w:pPr>
      <w:r>
        <w:rPr>
          <w:spacing w:val="-7"/>
          <w:sz w:val="24"/>
        </w:rPr>
        <w:t>清洁的生产过程，尽量少用或不用有毒有害的原料、有毒有害的中间产品、</w:t>
      </w:r>
      <w:r>
        <w:rPr>
          <w:spacing w:val="-4"/>
          <w:sz w:val="24"/>
        </w:rPr>
        <w:t>减少生产过程中的各种危险因素、少废或无废的工艺和高效的设备、物料的再循环</w:t>
      </w:r>
      <w:r>
        <w:rPr>
          <w:sz w:val="24"/>
        </w:rPr>
        <w:t>（厂</w:t>
      </w:r>
      <w:r>
        <w:rPr>
          <w:spacing w:val="-7"/>
          <w:sz w:val="24"/>
        </w:rPr>
        <w:t>内外</w:t>
      </w:r>
      <w:r>
        <w:rPr>
          <w:sz w:val="24"/>
        </w:rPr>
        <w:t>）、简便可靠的操作和控制、完善的管理；</w:t>
      </w:r>
    </w:p>
    <w:p>
      <w:pPr>
        <w:pStyle w:val="13"/>
        <w:numPr>
          <w:ilvl w:val="0"/>
          <w:numId w:val="76"/>
        </w:numPr>
        <w:tabs>
          <w:tab w:val="left" w:pos="1297"/>
        </w:tabs>
        <w:spacing w:before="0" w:after="0" w:line="364" w:lineRule="auto"/>
        <w:ind w:left="215" w:right="458" w:firstLine="480"/>
        <w:jc w:val="left"/>
        <w:rPr>
          <w:sz w:val="24"/>
        </w:rPr>
      </w:pPr>
      <w:r>
        <w:rPr>
          <w:spacing w:val="-12"/>
          <w:sz w:val="24"/>
        </w:rPr>
        <w:t>清洁的产品，节约原料和能源并少用昂贵和稀缺的原料、利用二次资源作原料</w:t>
      </w:r>
      <w:r>
        <w:rPr>
          <w:spacing w:val="-4"/>
          <w:sz w:val="24"/>
        </w:rPr>
        <w:t>、产品在使用过程中以及使用后不会危害人体健康和生态环境、易于回收复用和再生、合理包装、合理的使用功能和使用寿命、易处置和易降解；</w:t>
      </w:r>
    </w:p>
    <w:p>
      <w:pPr>
        <w:pStyle w:val="6"/>
        <w:spacing w:line="364" w:lineRule="auto"/>
        <w:ind w:left="215" w:right="458" w:firstLine="480"/>
      </w:pPr>
      <w:r>
        <w:t>清洁生产的基本要求是：符合国家环保、产业政策要求，采用国内外先进的煤炭洗</w:t>
      </w:r>
      <w:r>
        <w:rPr>
          <w:spacing w:val="-12"/>
        </w:rPr>
        <w:t>选、煤泥水闭路循环、煤炭贮运生产工艺和技术设备。符合国家、地方和行业有关法律、</w:t>
      </w:r>
      <w:r>
        <w:t>法规、规范、产业政策、技术标准要求，污染物排放达到国家和地方排放标准、满足污染物总量控制和排污许可证管理要求。</w:t>
      </w:r>
    </w:p>
    <w:p>
      <w:pPr>
        <w:pStyle w:val="6"/>
        <w:spacing w:line="364" w:lineRule="auto"/>
        <w:ind w:left="215" w:right="578" w:firstLine="480"/>
        <w:jc w:val="both"/>
      </w:pPr>
      <w:r>
        <w:rPr>
          <w:rFonts w:ascii="Times New Roman" w:hAnsi="Times New Roman" w:eastAsia="Times New Roman"/>
        </w:rPr>
        <w:t xml:space="preserve">2019 </w:t>
      </w:r>
      <w:r>
        <w:rPr>
          <w:spacing w:val="-30"/>
        </w:rPr>
        <w:t xml:space="preserve">年 </w:t>
      </w:r>
      <w:r>
        <w:rPr>
          <w:rFonts w:ascii="Times New Roman" w:hAnsi="Times New Roman" w:eastAsia="Times New Roman"/>
        </w:rPr>
        <w:t xml:space="preserve">9 </w:t>
      </w:r>
      <w:r>
        <w:rPr>
          <w:spacing w:val="-20"/>
        </w:rPr>
        <w:t>月，国家发展和改革委员会、生态环境部、工业和信息化部联合发布了《煤</w:t>
      </w:r>
      <w:r>
        <w:rPr>
          <w:spacing w:val="-1"/>
        </w:rPr>
        <w:t>炭采选业清洁生产评价指标体系》，该指标体系将清洁生产指标分为五类，即生产工艺及装备指标、资源能源消耗指标、资源综合利用指标、生态环境指标和清洁生产管理指标。该指标体系依据综合评价所得分值将清洁生产等级划分为三级，Ⅰ级为国际清洁生</w:t>
      </w:r>
      <w:r>
        <w:t>产领先水平，Ⅱ级为国内清洁生产先进水平，Ⅲ级为国内清洁生产一般水平。</w:t>
      </w:r>
    </w:p>
    <w:p>
      <w:pPr>
        <w:pStyle w:val="6"/>
        <w:spacing w:line="303" w:lineRule="exact"/>
        <w:ind w:left="696"/>
      </w:pPr>
      <w:r>
        <w:t>对比情况见下表。</w:t>
      </w:r>
    </w:p>
    <w:p>
      <w:pPr>
        <w:pStyle w:val="6"/>
        <w:spacing w:before="156"/>
        <w:ind w:left="696"/>
      </w:pPr>
      <w:r>
        <w:t xml:space="preserve">对比情况见表 </w:t>
      </w:r>
      <w:r>
        <w:rPr>
          <w:rFonts w:ascii="Times New Roman" w:eastAsia="Times New Roman"/>
        </w:rPr>
        <w:t>12.2-1</w:t>
      </w:r>
      <w:r>
        <w:t>。</w:t>
      </w:r>
    </w:p>
    <w:p>
      <w:pPr>
        <w:spacing w:after="0"/>
        <w:sectPr>
          <w:pgSz w:w="11910" w:h="16840"/>
          <w:pgMar w:top="1540" w:right="780" w:bottom="1320" w:left="1200" w:header="0" w:footer="1058" w:gutter="0"/>
        </w:sectPr>
      </w:pPr>
    </w:p>
    <w:p>
      <w:pPr>
        <w:pStyle w:val="6"/>
        <w:spacing w:before="8"/>
        <w:rPr>
          <w:sz w:val="18"/>
        </w:rPr>
      </w:pPr>
    </w:p>
    <w:p>
      <w:pPr>
        <w:pStyle w:val="5"/>
        <w:spacing w:before="74"/>
        <w:ind w:left="5038" w:right="4546"/>
        <w:jc w:val="center"/>
      </w:pPr>
      <w:r>
        <w:t xml:space="preserve">表 </w:t>
      </w:r>
      <w:r>
        <w:rPr>
          <w:rFonts w:ascii="Times New Roman" w:eastAsia="Times New Roman"/>
        </w:rPr>
        <w:t xml:space="preserve">12.2-1 </w:t>
      </w:r>
      <w:r>
        <w:t>煤炭采选业清洁生产评价指标体系</w:t>
      </w:r>
    </w:p>
    <w:p>
      <w:pPr>
        <w:pStyle w:val="6"/>
        <w:spacing w:before="5"/>
        <w:rPr>
          <w:b/>
          <w:sz w:val="12"/>
        </w:rPr>
      </w:pPr>
    </w:p>
    <w:tbl>
      <w:tblPr>
        <w:tblStyle w:val="10"/>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72"/>
        <w:gridCol w:w="1090"/>
        <w:gridCol w:w="1068"/>
        <w:gridCol w:w="1818"/>
        <w:gridCol w:w="835"/>
        <w:gridCol w:w="933"/>
        <w:gridCol w:w="2641"/>
        <w:gridCol w:w="1879"/>
        <w:gridCol w:w="2021"/>
        <w:gridCol w:w="11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572" w:type="dxa"/>
            <w:tcBorders>
              <w:bottom w:val="single" w:color="000000" w:sz="4" w:space="0"/>
              <w:right w:val="single" w:color="000000" w:sz="4" w:space="0"/>
            </w:tcBorders>
          </w:tcPr>
          <w:p>
            <w:pPr>
              <w:pStyle w:val="14"/>
              <w:spacing w:before="164"/>
              <w:ind w:left="56" w:right="41"/>
              <w:rPr>
                <w:sz w:val="21"/>
              </w:rPr>
            </w:pPr>
            <w:r>
              <w:rPr>
                <w:sz w:val="21"/>
              </w:rPr>
              <w:t>序号</w:t>
            </w:r>
          </w:p>
        </w:tc>
        <w:tc>
          <w:tcPr>
            <w:tcW w:w="1090" w:type="dxa"/>
            <w:tcBorders>
              <w:left w:val="single" w:color="000000" w:sz="4" w:space="0"/>
              <w:bottom w:val="single" w:color="000000" w:sz="4" w:space="0"/>
              <w:right w:val="single" w:color="000000" w:sz="4" w:space="0"/>
            </w:tcBorders>
          </w:tcPr>
          <w:p>
            <w:pPr>
              <w:pStyle w:val="14"/>
              <w:spacing w:before="1"/>
              <w:ind w:left="16"/>
              <w:rPr>
                <w:sz w:val="21"/>
              </w:rPr>
            </w:pPr>
            <w:r>
              <w:rPr>
                <w:sz w:val="21"/>
              </w:rPr>
              <w:t>一级指标指</w:t>
            </w:r>
          </w:p>
          <w:p>
            <w:pPr>
              <w:pStyle w:val="14"/>
              <w:spacing w:before="57"/>
              <w:ind w:left="18"/>
              <w:rPr>
                <w:sz w:val="21"/>
              </w:rPr>
            </w:pPr>
            <w:r>
              <w:rPr>
                <w:sz w:val="21"/>
              </w:rPr>
              <w:t>标项</w:t>
            </w:r>
          </w:p>
        </w:tc>
        <w:tc>
          <w:tcPr>
            <w:tcW w:w="1068" w:type="dxa"/>
            <w:tcBorders>
              <w:left w:val="single" w:color="000000" w:sz="4" w:space="0"/>
              <w:bottom w:val="single" w:color="000000" w:sz="4" w:space="0"/>
              <w:right w:val="single" w:color="000000" w:sz="4" w:space="0"/>
            </w:tcBorders>
          </w:tcPr>
          <w:p>
            <w:pPr>
              <w:pStyle w:val="14"/>
              <w:spacing w:before="1"/>
              <w:ind w:left="13" w:right="-15"/>
              <w:rPr>
                <w:sz w:val="21"/>
              </w:rPr>
            </w:pPr>
            <w:r>
              <w:rPr>
                <w:sz w:val="21"/>
              </w:rPr>
              <w:t>一级指标权</w:t>
            </w:r>
          </w:p>
          <w:p>
            <w:pPr>
              <w:pStyle w:val="14"/>
              <w:spacing w:before="57"/>
              <w:ind w:left="306" w:right="290"/>
              <w:rPr>
                <w:sz w:val="21"/>
              </w:rPr>
            </w:pPr>
            <w:r>
              <w:rPr>
                <w:sz w:val="21"/>
              </w:rPr>
              <w:t>重值</w:t>
            </w:r>
          </w:p>
        </w:tc>
        <w:tc>
          <w:tcPr>
            <w:tcW w:w="1818" w:type="dxa"/>
            <w:tcBorders>
              <w:left w:val="single" w:color="000000" w:sz="4" w:space="0"/>
              <w:bottom w:val="single" w:color="000000" w:sz="4" w:space="0"/>
              <w:right w:val="single" w:color="000000" w:sz="4" w:space="0"/>
            </w:tcBorders>
          </w:tcPr>
          <w:p>
            <w:pPr>
              <w:pStyle w:val="14"/>
              <w:spacing w:before="164"/>
              <w:ind w:left="43" w:right="24"/>
              <w:rPr>
                <w:sz w:val="21"/>
              </w:rPr>
            </w:pPr>
            <w:r>
              <w:rPr>
                <w:sz w:val="21"/>
              </w:rPr>
              <w:t>二级指标指标项</w:t>
            </w:r>
          </w:p>
        </w:tc>
        <w:tc>
          <w:tcPr>
            <w:tcW w:w="835" w:type="dxa"/>
            <w:tcBorders>
              <w:left w:val="single" w:color="000000" w:sz="4" w:space="0"/>
              <w:bottom w:val="single" w:color="000000" w:sz="4" w:space="0"/>
              <w:right w:val="single" w:color="000000" w:sz="4" w:space="0"/>
            </w:tcBorders>
          </w:tcPr>
          <w:p>
            <w:pPr>
              <w:pStyle w:val="14"/>
              <w:spacing w:before="164"/>
              <w:ind w:left="190" w:right="174"/>
              <w:rPr>
                <w:sz w:val="21"/>
              </w:rPr>
            </w:pPr>
            <w:r>
              <w:rPr>
                <w:sz w:val="21"/>
              </w:rPr>
              <w:t>单位</w:t>
            </w:r>
          </w:p>
        </w:tc>
        <w:tc>
          <w:tcPr>
            <w:tcW w:w="933" w:type="dxa"/>
            <w:tcBorders>
              <w:left w:val="single" w:color="000000" w:sz="4" w:space="0"/>
              <w:bottom w:val="single" w:color="000000" w:sz="4" w:space="0"/>
              <w:right w:val="single" w:color="000000" w:sz="4" w:space="0"/>
            </w:tcBorders>
          </w:tcPr>
          <w:p>
            <w:pPr>
              <w:pStyle w:val="14"/>
              <w:spacing w:before="1"/>
              <w:ind w:left="51"/>
              <w:jc w:val="left"/>
              <w:rPr>
                <w:sz w:val="21"/>
              </w:rPr>
            </w:pPr>
            <w:r>
              <w:rPr>
                <w:w w:val="95"/>
                <w:sz w:val="21"/>
              </w:rPr>
              <w:t>二级指标</w:t>
            </w:r>
          </w:p>
          <w:p>
            <w:pPr>
              <w:pStyle w:val="14"/>
              <w:spacing w:before="57"/>
              <w:ind w:left="51"/>
              <w:jc w:val="left"/>
              <w:rPr>
                <w:sz w:val="21"/>
              </w:rPr>
            </w:pPr>
            <w:r>
              <w:rPr>
                <w:w w:val="95"/>
                <w:sz w:val="21"/>
              </w:rPr>
              <w:t>分权重值</w:t>
            </w:r>
          </w:p>
        </w:tc>
        <w:tc>
          <w:tcPr>
            <w:tcW w:w="2641" w:type="dxa"/>
            <w:tcBorders>
              <w:left w:val="single" w:color="000000" w:sz="4" w:space="0"/>
              <w:bottom w:val="single" w:color="000000" w:sz="4" w:space="0"/>
              <w:right w:val="single" w:color="000000" w:sz="4" w:space="0"/>
            </w:tcBorders>
          </w:tcPr>
          <w:p>
            <w:pPr>
              <w:pStyle w:val="14"/>
              <w:spacing w:before="164"/>
              <w:ind w:left="778" w:right="762"/>
              <w:rPr>
                <w:sz w:val="21"/>
              </w:rPr>
            </w:pPr>
            <w:r>
              <w:rPr>
                <w:sz w:val="21"/>
              </w:rPr>
              <w:t>Ⅰ级基准值</w:t>
            </w:r>
          </w:p>
        </w:tc>
        <w:tc>
          <w:tcPr>
            <w:tcW w:w="1879" w:type="dxa"/>
            <w:tcBorders>
              <w:left w:val="single" w:color="000000" w:sz="4" w:space="0"/>
              <w:bottom w:val="single" w:color="000000" w:sz="4" w:space="0"/>
              <w:right w:val="single" w:color="000000" w:sz="4" w:space="0"/>
            </w:tcBorders>
          </w:tcPr>
          <w:p>
            <w:pPr>
              <w:pStyle w:val="14"/>
              <w:spacing w:before="164"/>
              <w:ind w:left="397" w:right="382"/>
              <w:rPr>
                <w:sz w:val="21"/>
              </w:rPr>
            </w:pPr>
            <w:r>
              <w:rPr>
                <w:sz w:val="21"/>
              </w:rPr>
              <w:t>Ⅱ级基准值</w:t>
            </w:r>
          </w:p>
        </w:tc>
        <w:tc>
          <w:tcPr>
            <w:tcW w:w="2021" w:type="dxa"/>
            <w:tcBorders>
              <w:left w:val="single" w:color="000000" w:sz="4" w:space="0"/>
              <w:bottom w:val="single" w:color="000000" w:sz="4" w:space="0"/>
              <w:right w:val="single" w:color="000000" w:sz="4" w:space="0"/>
            </w:tcBorders>
          </w:tcPr>
          <w:p>
            <w:pPr>
              <w:pStyle w:val="14"/>
              <w:spacing w:before="164"/>
              <w:ind w:left="468" w:right="453"/>
              <w:rPr>
                <w:sz w:val="21"/>
              </w:rPr>
            </w:pPr>
            <w:r>
              <w:rPr>
                <w:sz w:val="21"/>
              </w:rPr>
              <w:t>Ⅲ级基准值</w:t>
            </w:r>
          </w:p>
        </w:tc>
        <w:tc>
          <w:tcPr>
            <w:tcW w:w="1165" w:type="dxa"/>
            <w:tcBorders>
              <w:left w:val="single" w:color="000000" w:sz="4" w:space="0"/>
              <w:bottom w:val="single" w:color="000000" w:sz="4" w:space="0"/>
            </w:tcBorders>
          </w:tcPr>
          <w:p>
            <w:pPr>
              <w:pStyle w:val="14"/>
              <w:spacing w:before="1"/>
              <w:ind w:left="22" w:right="5"/>
              <w:rPr>
                <w:sz w:val="21"/>
              </w:rPr>
            </w:pPr>
            <w:r>
              <w:rPr>
                <w:sz w:val="21"/>
              </w:rPr>
              <w:t>本煤矿扩建</w:t>
            </w:r>
          </w:p>
          <w:p>
            <w:pPr>
              <w:pStyle w:val="14"/>
              <w:spacing w:before="57"/>
              <w:ind w:left="19"/>
              <w:rPr>
                <w:sz w:val="21"/>
              </w:rPr>
            </w:pPr>
            <w:r>
              <w:rPr>
                <w:w w:val="99"/>
                <w:sz w:val="21"/>
              </w:rPr>
              <w:t>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572" w:type="dxa"/>
            <w:tcBorders>
              <w:top w:val="single" w:color="000000" w:sz="4" w:space="0"/>
              <w:bottom w:val="single" w:color="000000" w:sz="4" w:space="0"/>
              <w:right w:val="single" w:color="000000" w:sz="4" w:space="0"/>
            </w:tcBorders>
          </w:tcPr>
          <w:p>
            <w:pPr>
              <w:pStyle w:val="14"/>
              <w:spacing w:before="181"/>
              <w:ind w:left="18"/>
              <w:rPr>
                <w:rFonts w:ascii="Times New Roman"/>
                <w:sz w:val="21"/>
              </w:rPr>
            </w:pPr>
            <w:r>
              <w:rPr>
                <w:rFonts w:ascii="Times New Roman"/>
                <w:w w:val="99"/>
                <w:sz w:val="21"/>
              </w:rPr>
              <w:t>1</w:t>
            </w:r>
          </w:p>
        </w:tc>
        <w:tc>
          <w:tcPr>
            <w:tcW w:w="1090" w:type="dxa"/>
            <w:vMerge w:val="restart"/>
            <w:tcBorders>
              <w:top w:val="single" w:color="000000" w:sz="4" w:space="0"/>
              <w:left w:val="single" w:color="000000" w:sz="4" w:space="0"/>
              <w:right w:val="single" w:color="000000" w:sz="4" w:space="0"/>
            </w:tcBorders>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11"/>
              <w:jc w:val="left"/>
              <w:rPr>
                <w:b/>
                <w:sz w:val="28"/>
              </w:rPr>
            </w:pPr>
          </w:p>
          <w:p>
            <w:pPr>
              <w:pStyle w:val="14"/>
              <w:spacing w:line="290" w:lineRule="auto"/>
              <w:ind w:left="23" w:right="5"/>
              <w:rPr>
                <w:sz w:val="21"/>
              </w:rPr>
            </w:pPr>
            <w:r>
              <w:rPr>
                <w:sz w:val="21"/>
              </w:rPr>
              <w:t>（一）生产工艺及装备指标</w:t>
            </w:r>
          </w:p>
        </w:tc>
        <w:tc>
          <w:tcPr>
            <w:tcW w:w="1068" w:type="dxa"/>
            <w:vMerge w:val="restart"/>
            <w:tcBorders>
              <w:top w:val="single" w:color="000000" w:sz="4" w:space="0"/>
              <w:left w:val="single" w:color="000000" w:sz="4" w:space="0"/>
              <w:right w:val="single" w:color="000000" w:sz="4" w:space="0"/>
            </w:tcBorders>
          </w:tcPr>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spacing w:before="10"/>
              <w:jc w:val="left"/>
              <w:rPr>
                <w:b/>
                <w:sz w:val="31"/>
              </w:rPr>
            </w:pPr>
          </w:p>
          <w:p>
            <w:pPr>
              <w:pStyle w:val="14"/>
              <w:spacing w:before="1"/>
              <w:ind w:left="354"/>
              <w:jc w:val="left"/>
              <w:rPr>
                <w:rFonts w:ascii="Times New Roman"/>
                <w:sz w:val="21"/>
              </w:rPr>
            </w:pPr>
            <w:r>
              <w:rPr>
                <w:rFonts w:ascii="Times New Roman"/>
                <w:sz w:val="21"/>
              </w:rPr>
              <w:t>0.25</w:t>
            </w:r>
          </w:p>
        </w:tc>
        <w:tc>
          <w:tcPr>
            <w:tcW w:w="1818" w:type="dxa"/>
            <w:tcBorders>
              <w:top w:val="single" w:color="000000" w:sz="4" w:space="0"/>
              <w:left w:val="single" w:color="000000" w:sz="4" w:space="0"/>
              <w:bottom w:val="single" w:color="000000" w:sz="4" w:space="0"/>
              <w:right w:val="single" w:color="000000" w:sz="4" w:space="0"/>
            </w:tcBorders>
          </w:tcPr>
          <w:p>
            <w:pPr>
              <w:pStyle w:val="14"/>
              <w:spacing w:line="268" w:lineRule="exact"/>
              <w:ind w:left="41" w:right="24"/>
              <w:rPr>
                <w:sz w:val="21"/>
              </w:rPr>
            </w:pPr>
            <w:r>
              <w:rPr>
                <w:rFonts w:ascii="Times New Roman" w:eastAsia="Times New Roman"/>
                <w:w w:val="95"/>
                <w:sz w:val="21"/>
              </w:rPr>
              <w:t>*</w:t>
            </w:r>
            <w:r>
              <w:rPr>
                <w:w w:val="95"/>
                <w:sz w:val="21"/>
              </w:rPr>
              <w:t>煤矿机械化掘进比</w:t>
            </w:r>
          </w:p>
          <w:p>
            <w:pPr>
              <w:pStyle w:val="14"/>
              <w:spacing w:before="57"/>
              <w:ind w:left="17"/>
              <w:rPr>
                <w:sz w:val="21"/>
              </w:rPr>
            </w:pPr>
            <w:r>
              <w:rPr>
                <w:w w:val="99"/>
                <w:sz w:val="21"/>
              </w:rPr>
              <w:t>例</w:t>
            </w:r>
          </w:p>
        </w:tc>
        <w:tc>
          <w:tcPr>
            <w:tcW w:w="835" w:type="dxa"/>
            <w:tcBorders>
              <w:top w:val="single" w:color="000000" w:sz="4" w:space="0"/>
              <w:left w:val="single" w:color="000000" w:sz="4" w:space="0"/>
              <w:bottom w:val="single" w:color="000000" w:sz="4" w:space="0"/>
              <w:right w:val="single" w:color="000000" w:sz="4" w:space="0"/>
            </w:tcBorders>
          </w:tcPr>
          <w:p>
            <w:pPr>
              <w:pStyle w:val="14"/>
              <w:spacing w:before="181"/>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4"/>
              <w:spacing w:before="181"/>
              <w:ind w:left="286"/>
              <w:jc w:val="left"/>
              <w:rPr>
                <w:rFonts w:ascii="Times New Roman"/>
                <w:sz w:val="21"/>
              </w:rPr>
            </w:pPr>
            <w:r>
              <w:rPr>
                <w:rFonts w:ascii="Times New Roman"/>
                <w:sz w:val="21"/>
              </w:rPr>
              <w:t>0.08</w:t>
            </w:r>
          </w:p>
        </w:tc>
        <w:tc>
          <w:tcPr>
            <w:tcW w:w="2641" w:type="dxa"/>
            <w:tcBorders>
              <w:top w:val="single" w:color="000000" w:sz="4" w:space="0"/>
              <w:left w:val="single" w:color="000000" w:sz="4" w:space="0"/>
              <w:bottom w:val="single" w:color="000000" w:sz="4" w:space="0"/>
              <w:right w:val="single" w:color="000000" w:sz="4" w:space="0"/>
            </w:tcBorders>
          </w:tcPr>
          <w:p>
            <w:pPr>
              <w:pStyle w:val="14"/>
              <w:spacing w:before="181"/>
              <w:ind w:left="778" w:right="758"/>
              <w:rPr>
                <w:rFonts w:ascii="Times New Roman" w:hAnsi="Times New Roman"/>
                <w:sz w:val="21"/>
              </w:rPr>
            </w:pPr>
            <w:r>
              <w:rPr>
                <w:rFonts w:ascii="Times New Roman" w:hAnsi="Times New Roman"/>
                <w:sz w:val="21"/>
              </w:rPr>
              <w:t>≥90</w:t>
            </w:r>
          </w:p>
        </w:tc>
        <w:tc>
          <w:tcPr>
            <w:tcW w:w="1879" w:type="dxa"/>
            <w:tcBorders>
              <w:top w:val="single" w:color="000000" w:sz="4" w:space="0"/>
              <w:left w:val="single" w:color="000000" w:sz="4" w:space="0"/>
              <w:bottom w:val="single" w:color="000000" w:sz="4" w:space="0"/>
              <w:right w:val="single" w:color="000000" w:sz="4" w:space="0"/>
            </w:tcBorders>
          </w:tcPr>
          <w:p>
            <w:pPr>
              <w:pStyle w:val="14"/>
              <w:spacing w:before="181"/>
              <w:ind w:left="397" w:right="380"/>
              <w:rPr>
                <w:rFonts w:ascii="Times New Roman" w:hAnsi="Times New Roman"/>
                <w:sz w:val="21"/>
              </w:rPr>
            </w:pPr>
            <w:r>
              <w:rPr>
                <w:rFonts w:ascii="Times New Roman" w:hAnsi="Times New Roman"/>
                <w:sz w:val="21"/>
              </w:rPr>
              <w:t>≥85</w:t>
            </w:r>
          </w:p>
        </w:tc>
        <w:tc>
          <w:tcPr>
            <w:tcW w:w="2021" w:type="dxa"/>
            <w:tcBorders>
              <w:top w:val="single" w:color="000000" w:sz="4" w:space="0"/>
              <w:left w:val="single" w:color="000000" w:sz="4" w:space="0"/>
              <w:bottom w:val="single" w:color="000000" w:sz="4" w:space="0"/>
              <w:right w:val="single" w:color="000000" w:sz="4" w:space="0"/>
            </w:tcBorders>
          </w:tcPr>
          <w:p>
            <w:pPr>
              <w:pStyle w:val="14"/>
              <w:spacing w:before="181"/>
              <w:ind w:left="468" w:right="449"/>
              <w:rPr>
                <w:rFonts w:ascii="Times New Roman" w:hAnsi="Times New Roman"/>
                <w:sz w:val="21"/>
              </w:rPr>
            </w:pPr>
            <w:r>
              <w:rPr>
                <w:rFonts w:ascii="Times New Roman" w:hAnsi="Times New Roman"/>
                <w:sz w:val="21"/>
              </w:rPr>
              <w:t>≥80</w:t>
            </w:r>
          </w:p>
        </w:tc>
        <w:tc>
          <w:tcPr>
            <w:tcW w:w="1165" w:type="dxa"/>
            <w:tcBorders>
              <w:top w:val="single" w:color="000000" w:sz="4" w:space="0"/>
              <w:left w:val="single" w:color="000000" w:sz="4" w:space="0"/>
              <w:bottom w:val="single" w:color="000000" w:sz="4" w:space="0"/>
            </w:tcBorders>
          </w:tcPr>
          <w:p>
            <w:pPr>
              <w:pStyle w:val="14"/>
              <w:spacing w:before="181"/>
              <w:ind w:right="402"/>
              <w:jc w:val="right"/>
              <w:rPr>
                <w:rFonts w:ascii="Times New Roman" w:hAnsi="Times New Roman"/>
                <w:sz w:val="21"/>
              </w:rPr>
            </w:pPr>
            <w:r>
              <w:rPr>
                <w:rFonts w:ascii="Times New Roman" w:hAnsi="Times New Roman"/>
                <w:w w:val="95"/>
                <w:sz w:val="21"/>
              </w:rPr>
              <w:t>≥85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3" w:hRule="atLeast"/>
        </w:trPr>
        <w:tc>
          <w:tcPr>
            <w:tcW w:w="572" w:type="dxa"/>
            <w:tcBorders>
              <w:top w:val="single" w:color="000000" w:sz="4" w:space="0"/>
              <w:bottom w:val="single" w:color="000000" w:sz="4" w:space="0"/>
              <w:right w:val="single" w:color="000000" w:sz="4" w:space="0"/>
            </w:tcBorders>
          </w:tcPr>
          <w:p>
            <w:pPr>
              <w:pStyle w:val="14"/>
              <w:spacing w:before="175"/>
              <w:ind w:left="18"/>
              <w:rPr>
                <w:rFonts w:ascii="Times New Roman"/>
                <w:sz w:val="21"/>
              </w:rPr>
            </w:pPr>
            <w:r>
              <w:rPr>
                <w:rFonts w:ascii="Times New Roman"/>
                <w:w w:val="99"/>
                <w:sz w:val="21"/>
              </w:rPr>
              <w:t>2</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bottom w:val="single" w:color="000000" w:sz="4" w:space="0"/>
              <w:right w:val="single" w:color="000000" w:sz="4" w:space="0"/>
            </w:tcBorders>
          </w:tcPr>
          <w:p>
            <w:pPr>
              <w:pStyle w:val="14"/>
              <w:spacing w:line="265" w:lineRule="exact"/>
              <w:ind w:left="41" w:right="24"/>
              <w:rPr>
                <w:sz w:val="21"/>
              </w:rPr>
            </w:pPr>
            <w:r>
              <w:rPr>
                <w:rFonts w:ascii="Times New Roman" w:eastAsia="Times New Roman"/>
                <w:w w:val="95"/>
                <w:sz w:val="21"/>
              </w:rPr>
              <w:t>*</w:t>
            </w:r>
            <w:r>
              <w:rPr>
                <w:w w:val="95"/>
                <w:sz w:val="21"/>
              </w:rPr>
              <w:t>煤矿机械化采煤比</w:t>
            </w:r>
          </w:p>
          <w:p>
            <w:pPr>
              <w:pStyle w:val="14"/>
              <w:spacing w:before="57"/>
              <w:ind w:left="17"/>
              <w:rPr>
                <w:sz w:val="21"/>
              </w:rPr>
            </w:pPr>
            <w:r>
              <w:rPr>
                <w:w w:val="99"/>
                <w:sz w:val="21"/>
              </w:rPr>
              <w:t>例</w:t>
            </w:r>
          </w:p>
        </w:tc>
        <w:tc>
          <w:tcPr>
            <w:tcW w:w="835" w:type="dxa"/>
            <w:tcBorders>
              <w:top w:val="single" w:color="000000" w:sz="4" w:space="0"/>
              <w:left w:val="single" w:color="000000" w:sz="4" w:space="0"/>
              <w:bottom w:val="single" w:color="000000" w:sz="4" w:space="0"/>
              <w:right w:val="single" w:color="000000" w:sz="4" w:space="0"/>
            </w:tcBorders>
          </w:tcPr>
          <w:p>
            <w:pPr>
              <w:pStyle w:val="14"/>
              <w:spacing w:before="175"/>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4"/>
              <w:spacing w:before="175"/>
              <w:ind w:left="286"/>
              <w:jc w:val="left"/>
              <w:rPr>
                <w:rFonts w:ascii="Times New Roman"/>
                <w:sz w:val="21"/>
              </w:rPr>
            </w:pPr>
            <w:r>
              <w:rPr>
                <w:rFonts w:ascii="Times New Roman"/>
                <w:sz w:val="21"/>
              </w:rPr>
              <w:t>0.08</w:t>
            </w:r>
          </w:p>
        </w:tc>
        <w:tc>
          <w:tcPr>
            <w:tcW w:w="2641" w:type="dxa"/>
            <w:tcBorders>
              <w:top w:val="single" w:color="000000" w:sz="4" w:space="0"/>
              <w:left w:val="single" w:color="000000" w:sz="4" w:space="0"/>
              <w:bottom w:val="single" w:color="000000" w:sz="4" w:space="0"/>
              <w:right w:val="single" w:color="000000" w:sz="4" w:space="0"/>
            </w:tcBorders>
          </w:tcPr>
          <w:p>
            <w:pPr>
              <w:pStyle w:val="14"/>
              <w:spacing w:before="175"/>
              <w:ind w:left="778" w:right="758"/>
              <w:rPr>
                <w:rFonts w:ascii="Times New Roman" w:hAnsi="Times New Roman"/>
                <w:sz w:val="21"/>
              </w:rPr>
            </w:pPr>
            <w:r>
              <w:rPr>
                <w:rFonts w:ascii="Times New Roman" w:hAnsi="Times New Roman"/>
                <w:sz w:val="21"/>
              </w:rPr>
              <w:t>≥95</w:t>
            </w:r>
          </w:p>
        </w:tc>
        <w:tc>
          <w:tcPr>
            <w:tcW w:w="1879" w:type="dxa"/>
            <w:tcBorders>
              <w:top w:val="single" w:color="000000" w:sz="4" w:space="0"/>
              <w:left w:val="single" w:color="000000" w:sz="4" w:space="0"/>
              <w:bottom w:val="single" w:color="000000" w:sz="4" w:space="0"/>
              <w:right w:val="single" w:color="000000" w:sz="4" w:space="0"/>
            </w:tcBorders>
          </w:tcPr>
          <w:p>
            <w:pPr>
              <w:pStyle w:val="14"/>
              <w:spacing w:before="175"/>
              <w:ind w:left="397" w:right="380"/>
              <w:rPr>
                <w:rFonts w:ascii="Times New Roman" w:hAnsi="Times New Roman"/>
                <w:sz w:val="21"/>
              </w:rPr>
            </w:pPr>
            <w:r>
              <w:rPr>
                <w:rFonts w:ascii="Times New Roman" w:hAnsi="Times New Roman"/>
                <w:sz w:val="21"/>
              </w:rPr>
              <w:t>≥90</w:t>
            </w:r>
          </w:p>
        </w:tc>
        <w:tc>
          <w:tcPr>
            <w:tcW w:w="2021" w:type="dxa"/>
            <w:tcBorders>
              <w:top w:val="single" w:color="000000" w:sz="4" w:space="0"/>
              <w:left w:val="single" w:color="000000" w:sz="4" w:space="0"/>
              <w:bottom w:val="single" w:color="000000" w:sz="4" w:space="0"/>
              <w:right w:val="single" w:color="000000" w:sz="4" w:space="0"/>
            </w:tcBorders>
          </w:tcPr>
          <w:p>
            <w:pPr>
              <w:pStyle w:val="14"/>
              <w:spacing w:before="175"/>
              <w:ind w:left="468" w:right="449"/>
              <w:rPr>
                <w:rFonts w:ascii="Times New Roman" w:hAnsi="Times New Roman"/>
                <w:sz w:val="21"/>
              </w:rPr>
            </w:pPr>
            <w:r>
              <w:rPr>
                <w:rFonts w:ascii="Times New Roman" w:hAnsi="Times New Roman"/>
                <w:sz w:val="21"/>
              </w:rPr>
              <w:t>≥85</w:t>
            </w:r>
          </w:p>
        </w:tc>
        <w:tc>
          <w:tcPr>
            <w:tcW w:w="1165" w:type="dxa"/>
            <w:tcBorders>
              <w:top w:val="single" w:color="000000" w:sz="4" w:space="0"/>
              <w:left w:val="single" w:color="000000" w:sz="4" w:space="0"/>
              <w:bottom w:val="single" w:color="000000" w:sz="4" w:space="0"/>
            </w:tcBorders>
          </w:tcPr>
          <w:p>
            <w:pPr>
              <w:pStyle w:val="14"/>
              <w:spacing w:before="175"/>
              <w:ind w:right="402"/>
              <w:jc w:val="right"/>
              <w:rPr>
                <w:rFonts w:ascii="Times New Roman" w:hAnsi="Times New Roman"/>
                <w:sz w:val="21"/>
              </w:rPr>
            </w:pPr>
            <w:r>
              <w:rPr>
                <w:rFonts w:ascii="Times New Roman" w:hAnsi="Times New Roman"/>
                <w:w w:val="95"/>
                <w:sz w:val="21"/>
              </w:rPr>
              <w:t>≥90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77" w:hRule="atLeast"/>
        </w:trPr>
        <w:tc>
          <w:tcPr>
            <w:tcW w:w="572" w:type="dxa"/>
            <w:tcBorders>
              <w:top w:val="single" w:color="000000" w:sz="4" w:space="0"/>
              <w:bottom w:val="single" w:color="000000" w:sz="4" w:space="0"/>
              <w:right w:val="single" w:color="000000" w:sz="4" w:space="0"/>
            </w:tcBorders>
          </w:tcPr>
          <w:p>
            <w:pPr>
              <w:pStyle w:val="14"/>
              <w:jc w:val="left"/>
              <w:rPr>
                <w:b/>
                <w:sz w:val="22"/>
              </w:rPr>
            </w:pPr>
          </w:p>
          <w:p>
            <w:pPr>
              <w:pStyle w:val="14"/>
              <w:jc w:val="left"/>
              <w:rPr>
                <w:b/>
                <w:sz w:val="22"/>
              </w:rPr>
            </w:pPr>
          </w:p>
          <w:p>
            <w:pPr>
              <w:pStyle w:val="14"/>
              <w:jc w:val="left"/>
              <w:rPr>
                <w:b/>
                <w:sz w:val="22"/>
              </w:rPr>
            </w:pPr>
          </w:p>
          <w:p>
            <w:pPr>
              <w:pStyle w:val="14"/>
              <w:spacing w:before="146"/>
              <w:ind w:left="18"/>
              <w:rPr>
                <w:rFonts w:ascii="Times New Roman"/>
                <w:sz w:val="21"/>
              </w:rPr>
            </w:pPr>
            <w:r>
              <w:rPr>
                <w:rFonts w:ascii="Times New Roman"/>
                <w:w w:val="99"/>
                <w:sz w:val="21"/>
              </w:rPr>
              <w:t>3</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bottom w:val="single" w:color="000000" w:sz="4" w:space="0"/>
              <w:right w:val="single" w:color="000000" w:sz="4" w:space="0"/>
            </w:tcBorders>
          </w:tcPr>
          <w:p>
            <w:pPr>
              <w:pStyle w:val="14"/>
              <w:jc w:val="left"/>
              <w:rPr>
                <w:b/>
                <w:sz w:val="20"/>
              </w:rPr>
            </w:pPr>
          </w:p>
          <w:p>
            <w:pPr>
              <w:pStyle w:val="14"/>
              <w:jc w:val="left"/>
              <w:rPr>
                <w:b/>
                <w:sz w:val="20"/>
              </w:rPr>
            </w:pPr>
          </w:p>
          <w:p>
            <w:pPr>
              <w:pStyle w:val="14"/>
              <w:spacing w:before="3"/>
              <w:jc w:val="left"/>
              <w:rPr>
                <w:b/>
                <w:sz w:val="23"/>
              </w:rPr>
            </w:pPr>
          </w:p>
          <w:p>
            <w:pPr>
              <w:pStyle w:val="14"/>
              <w:spacing w:line="290" w:lineRule="auto"/>
              <w:ind w:left="599" w:right="54" w:hanging="526"/>
              <w:jc w:val="left"/>
              <w:rPr>
                <w:sz w:val="21"/>
              </w:rPr>
            </w:pPr>
            <w:r>
              <w:rPr>
                <w:sz w:val="21"/>
              </w:rPr>
              <w:t>井下煤炭输送工艺及装备</w:t>
            </w:r>
          </w:p>
        </w:tc>
        <w:tc>
          <w:tcPr>
            <w:tcW w:w="835" w:type="dxa"/>
            <w:tcBorders>
              <w:top w:val="single" w:color="000000" w:sz="4" w:space="0"/>
              <w:left w:val="single" w:color="000000" w:sz="4" w:space="0"/>
              <w:bottom w:val="single" w:color="000000" w:sz="4" w:space="0"/>
              <w:right w:val="single" w:color="000000" w:sz="4" w:space="0"/>
            </w:tcBorders>
          </w:tcPr>
          <w:p>
            <w:pPr>
              <w:pStyle w:val="14"/>
              <w:jc w:val="left"/>
              <w:rPr>
                <w:b/>
                <w:sz w:val="20"/>
              </w:rPr>
            </w:pPr>
          </w:p>
          <w:p>
            <w:pPr>
              <w:pStyle w:val="14"/>
              <w:jc w:val="left"/>
              <w:rPr>
                <w:b/>
                <w:sz w:val="20"/>
              </w:rPr>
            </w:pPr>
          </w:p>
          <w:p>
            <w:pPr>
              <w:pStyle w:val="14"/>
              <w:jc w:val="left"/>
              <w:rPr>
                <w:b/>
                <w:sz w:val="20"/>
              </w:rPr>
            </w:pPr>
          </w:p>
          <w:p>
            <w:pPr>
              <w:pStyle w:val="14"/>
              <w:spacing w:before="2"/>
              <w:jc w:val="left"/>
              <w:rPr>
                <w:b/>
                <w:sz w:val="16"/>
              </w:rPr>
            </w:pPr>
          </w:p>
          <w:p>
            <w:pPr>
              <w:pStyle w:val="14"/>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4"/>
              <w:jc w:val="left"/>
              <w:rPr>
                <w:b/>
                <w:sz w:val="22"/>
              </w:rPr>
            </w:pPr>
          </w:p>
          <w:p>
            <w:pPr>
              <w:pStyle w:val="14"/>
              <w:jc w:val="left"/>
              <w:rPr>
                <w:b/>
                <w:sz w:val="22"/>
              </w:rPr>
            </w:pPr>
          </w:p>
          <w:p>
            <w:pPr>
              <w:pStyle w:val="14"/>
              <w:jc w:val="left"/>
              <w:rPr>
                <w:b/>
                <w:sz w:val="22"/>
              </w:rPr>
            </w:pPr>
          </w:p>
          <w:p>
            <w:pPr>
              <w:pStyle w:val="14"/>
              <w:spacing w:before="146"/>
              <w:ind w:left="286"/>
              <w:jc w:val="left"/>
              <w:rPr>
                <w:rFonts w:ascii="Times New Roman"/>
                <w:sz w:val="21"/>
              </w:rPr>
            </w:pPr>
            <w:r>
              <w:rPr>
                <w:rFonts w:ascii="Times New Roman"/>
                <w:sz w:val="21"/>
              </w:rPr>
              <w:t>0.04</w:t>
            </w:r>
          </w:p>
        </w:tc>
        <w:tc>
          <w:tcPr>
            <w:tcW w:w="2641" w:type="dxa"/>
            <w:tcBorders>
              <w:top w:val="single" w:color="000000" w:sz="4" w:space="0"/>
              <w:left w:val="single" w:color="000000" w:sz="4" w:space="0"/>
              <w:bottom w:val="single" w:color="000000" w:sz="4" w:space="0"/>
              <w:right w:val="single" w:color="000000" w:sz="4" w:space="0"/>
            </w:tcBorders>
          </w:tcPr>
          <w:p>
            <w:pPr>
              <w:pStyle w:val="14"/>
              <w:jc w:val="left"/>
              <w:rPr>
                <w:b/>
                <w:sz w:val="20"/>
              </w:rPr>
            </w:pPr>
          </w:p>
          <w:p>
            <w:pPr>
              <w:pStyle w:val="14"/>
              <w:jc w:val="left"/>
              <w:rPr>
                <w:b/>
                <w:sz w:val="20"/>
              </w:rPr>
            </w:pPr>
          </w:p>
          <w:p>
            <w:pPr>
              <w:pStyle w:val="14"/>
              <w:spacing w:before="134" w:line="292" w:lineRule="auto"/>
              <w:ind w:left="8" w:right="-15"/>
              <w:jc w:val="both"/>
              <w:rPr>
                <w:sz w:val="21"/>
              </w:rPr>
            </w:pPr>
            <w:r>
              <w:rPr>
                <w:w w:val="95"/>
                <w:sz w:val="21"/>
              </w:rPr>
              <w:t>长距离井下至井口带式输送</w:t>
            </w:r>
            <w:r>
              <w:rPr>
                <w:sz w:val="21"/>
              </w:rPr>
              <w:t>机连续运输（实现集控）立井采用机车牵引矿车运输</w:t>
            </w:r>
          </w:p>
        </w:tc>
        <w:tc>
          <w:tcPr>
            <w:tcW w:w="1879" w:type="dxa"/>
            <w:tcBorders>
              <w:top w:val="single" w:color="000000" w:sz="4" w:space="0"/>
              <w:left w:val="single" w:color="000000" w:sz="4" w:space="0"/>
              <w:bottom w:val="single" w:color="000000" w:sz="4" w:space="0"/>
              <w:right w:val="single" w:color="000000" w:sz="4" w:space="0"/>
            </w:tcBorders>
          </w:tcPr>
          <w:p>
            <w:pPr>
              <w:pStyle w:val="14"/>
              <w:jc w:val="left"/>
              <w:rPr>
                <w:b/>
                <w:sz w:val="20"/>
              </w:rPr>
            </w:pPr>
          </w:p>
          <w:p>
            <w:pPr>
              <w:pStyle w:val="14"/>
              <w:jc w:val="left"/>
              <w:rPr>
                <w:b/>
                <w:sz w:val="20"/>
              </w:rPr>
            </w:pPr>
          </w:p>
          <w:p>
            <w:pPr>
              <w:pStyle w:val="14"/>
              <w:spacing w:before="134" w:line="292" w:lineRule="auto"/>
              <w:ind w:left="9" w:right="-15"/>
              <w:jc w:val="both"/>
              <w:rPr>
                <w:sz w:val="21"/>
              </w:rPr>
            </w:pPr>
            <w:r>
              <w:rPr>
                <w:w w:val="95"/>
                <w:sz w:val="21"/>
              </w:rPr>
              <w:t>采区采用带式输送</w:t>
            </w:r>
            <w:r>
              <w:rPr>
                <w:sz w:val="21"/>
              </w:rPr>
              <w:t>机，井下大巷采用机车牵引矿车运输</w:t>
            </w:r>
          </w:p>
        </w:tc>
        <w:tc>
          <w:tcPr>
            <w:tcW w:w="2021" w:type="dxa"/>
            <w:tcBorders>
              <w:top w:val="single" w:color="000000" w:sz="4" w:space="0"/>
              <w:left w:val="single" w:color="000000" w:sz="4" w:space="0"/>
              <w:bottom w:val="single" w:color="000000" w:sz="4" w:space="0"/>
              <w:right w:val="single" w:color="000000" w:sz="4" w:space="0"/>
            </w:tcBorders>
          </w:tcPr>
          <w:p>
            <w:pPr>
              <w:pStyle w:val="14"/>
              <w:jc w:val="left"/>
              <w:rPr>
                <w:b/>
                <w:sz w:val="20"/>
              </w:rPr>
            </w:pPr>
          </w:p>
          <w:p>
            <w:pPr>
              <w:pStyle w:val="14"/>
              <w:jc w:val="left"/>
              <w:rPr>
                <w:b/>
                <w:sz w:val="20"/>
              </w:rPr>
            </w:pPr>
          </w:p>
          <w:p>
            <w:pPr>
              <w:pStyle w:val="14"/>
              <w:spacing w:before="3"/>
              <w:jc w:val="left"/>
              <w:rPr>
                <w:b/>
                <w:sz w:val="23"/>
              </w:rPr>
            </w:pPr>
          </w:p>
          <w:p>
            <w:pPr>
              <w:pStyle w:val="14"/>
              <w:spacing w:line="290" w:lineRule="auto"/>
              <w:ind w:left="10" w:right="-15"/>
              <w:jc w:val="left"/>
              <w:rPr>
                <w:sz w:val="21"/>
              </w:rPr>
            </w:pPr>
            <w:r>
              <w:rPr>
                <w:spacing w:val="12"/>
                <w:w w:val="95"/>
                <w:sz w:val="21"/>
              </w:rPr>
              <w:t>采用以矿车为主的运</w:t>
            </w:r>
            <w:r>
              <w:rPr>
                <w:spacing w:val="12"/>
                <w:sz w:val="21"/>
              </w:rPr>
              <w:t>输方式</w:t>
            </w:r>
          </w:p>
        </w:tc>
        <w:tc>
          <w:tcPr>
            <w:tcW w:w="1165" w:type="dxa"/>
            <w:tcBorders>
              <w:top w:val="single" w:color="000000" w:sz="4" w:space="0"/>
              <w:left w:val="single" w:color="000000" w:sz="4" w:space="0"/>
              <w:bottom w:val="single" w:color="000000" w:sz="4" w:space="0"/>
            </w:tcBorders>
          </w:tcPr>
          <w:p>
            <w:pPr>
              <w:pStyle w:val="14"/>
              <w:spacing w:line="290" w:lineRule="auto"/>
              <w:ind w:left="60" w:right="38"/>
              <w:rPr>
                <w:sz w:val="21"/>
              </w:rPr>
            </w:pPr>
            <w:r>
              <w:rPr>
                <w:spacing w:val="-3"/>
                <w:sz w:val="21"/>
              </w:rPr>
              <w:t>井下煤炭采用皮带连续</w:t>
            </w:r>
            <w:r>
              <w:rPr>
                <w:sz w:val="21"/>
              </w:rPr>
              <w:t xml:space="preserve">化运输方 </w:t>
            </w:r>
            <w:r>
              <w:rPr>
                <w:spacing w:val="-3"/>
                <w:sz w:val="21"/>
              </w:rPr>
              <w:t>式，辅助采用电机车牵</w:t>
            </w:r>
            <w:r>
              <w:rPr>
                <w:sz w:val="21"/>
              </w:rPr>
              <w:t>引矿车运</w:t>
            </w:r>
          </w:p>
          <w:p>
            <w:pPr>
              <w:pStyle w:val="14"/>
              <w:spacing w:before="1"/>
              <w:ind w:left="22" w:right="5"/>
              <w:rPr>
                <w:sz w:val="21"/>
              </w:rPr>
            </w:pPr>
            <w:r>
              <w:rPr>
                <w:sz w:val="21"/>
              </w:rPr>
              <w:t>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1" w:hRule="atLeast"/>
        </w:trPr>
        <w:tc>
          <w:tcPr>
            <w:tcW w:w="572" w:type="dxa"/>
            <w:tcBorders>
              <w:top w:val="single" w:color="000000" w:sz="4" w:space="0"/>
              <w:right w:val="single" w:color="000000" w:sz="4" w:space="0"/>
            </w:tcBorders>
          </w:tcPr>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ind w:left="18"/>
              <w:rPr>
                <w:rFonts w:ascii="Times New Roman"/>
                <w:sz w:val="21"/>
              </w:rPr>
            </w:pPr>
            <w:r>
              <w:rPr>
                <w:rFonts w:ascii="Times New Roman"/>
                <w:w w:val="99"/>
                <w:sz w:val="21"/>
              </w:rPr>
              <w:t>4</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right w:val="single" w:color="000000" w:sz="4" w:space="0"/>
            </w:tcBorders>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163"/>
              <w:ind w:left="38" w:right="24"/>
              <w:rPr>
                <w:sz w:val="21"/>
              </w:rPr>
            </w:pPr>
            <w:r>
              <w:rPr>
                <w:sz w:val="21"/>
              </w:rPr>
              <w:t>井巷支护工艺</w:t>
            </w:r>
          </w:p>
        </w:tc>
        <w:tc>
          <w:tcPr>
            <w:tcW w:w="835" w:type="dxa"/>
            <w:tcBorders>
              <w:top w:val="single" w:color="000000" w:sz="4" w:space="0"/>
              <w:left w:val="single" w:color="000000" w:sz="4" w:space="0"/>
              <w:right w:val="single" w:color="000000" w:sz="4" w:space="0"/>
            </w:tcBorders>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163"/>
              <w:ind w:left="18"/>
              <w:rPr>
                <w:sz w:val="21"/>
              </w:rPr>
            </w:pPr>
            <w:r>
              <w:rPr>
                <w:w w:val="99"/>
                <w:sz w:val="21"/>
              </w:rPr>
              <w:t>━</w:t>
            </w:r>
          </w:p>
        </w:tc>
        <w:tc>
          <w:tcPr>
            <w:tcW w:w="933" w:type="dxa"/>
            <w:tcBorders>
              <w:top w:val="single" w:color="000000" w:sz="4" w:space="0"/>
              <w:left w:val="single" w:color="000000" w:sz="4" w:space="0"/>
              <w:right w:val="single" w:color="000000" w:sz="4" w:space="0"/>
            </w:tcBorders>
          </w:tcPr>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ind w:left="286"/>
              <w:jc w:val="left"/>
              <w:rPr>
                <w:rFonts w:ascii="Times New Roman"/>
                <w:sz w:val="21"/>
              </w:rPr>
            </w:pPr>
            <w:r>
              <w:rPr>
                <w:rFonts w:ascii="Times New Roman"/>
                <w:sz w:val="21"/>
              </w:rPr>
              <w:t>0.04</w:t>
            </w:r>
          </w:p>
        </w:tc>
        <w:tc>
          <w:tcPr>
            <w:tcW w:w="2641" w:type="dxa"/>
            <w:tcBorders>
              <w:top w:val="single" w:color="000000" w:sz="4" w:space="0"/>
              <w:left w:val="single" w:color="000000" w:sz="4" w:space="0"/>
              <w:right w:val="single" w:color="000000" w:sz="4" w:space="0"/>
            </w:tcBorders>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7"/>
              <w:jc w:val="left"/>
              <w:rPr>
                <w:b/>
                <w:sz w:val="21"/>
              </w:rPr>
            </w:pPr>
          </w:p>
          <w:p>
            <w:pPr>
              <w:pStyle w:val="14"/>
              <w:spacing w:before="1" w:line="292" w:lineRule="auto"/>
              <w:ind w:left="8" w:right="-15"/>
              <w:jc w:val="both"/>
              <w:rPr>
                <w:sz w:val="21"/>
              </w:rPr>
            </w:pPr>
            <w:r>
              <w:rPr>
                <w:spacing w:val="-10"/>
                <w:sz w:val="21"/>
              </w:rPr>
              <w:t>井筒岩巷光爆锚喷、锚杆、锚</w:t>
            </w:r>
            <w:r>
              <w:rPr>
                <w:spacing w:val="-15"/>
                <w:sz w:val="21"/>
              </w:rPr>
              <w:t>索等支护技术，煤巷采用锚网喷或锚网、锚索支护；斜井明</w:t>
            </w:r>
            <w:r>
              <w:rPr>
                <w:spacing w:val="8"/>
                <w:w w:val="95"/>
                <w:sz w:val="21"/>
              </w:rPr>
              <w:t>槽开挖段及立井井筒采用砌</w:t>
            </w:r>
            <w:r>
              <w:rPr>
                <w:spacing w:val="8"/>
                <w:sz w:val="21"/>
              </w:rPr>
              <w:t>壁支护</w:t>
            </w:r>
          </w:p>
        </w:tc>
        <w:tc>
          <w:tcPr>
            <w:tcW w:w="3900" w:type="dxa"/>
            <w:gridSpan w:val="2"/>
            <w:tcBorders>
              <w:top w:val="single" w:color="000000" w:sz="4" w:space="0"/>
              <w:left w:val="single" w:color="000000" w:sz="4" w:space="0"/>
              <w:right w:val="single" w:color="000000" w:sz="4" w:space="0"/>
            </w:tcBorders>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4"/>
              <w:jc w:val="left"/>
              <w:rPr>
                <w:b/>
                <w:sz w:val="14"/>
              </w:rPr>
            </w:pPr>
          </w:p>
          <w:p>
            <w:pPr>
              <w:pStyle w:val="14"/>
              <w:spacing w:line="292" w:lineRule="auto"/>
              <w:ind w:left="9" w:right="-15"/>
              <w:jc w:val="both"/>
              <w:rPr>
                <w:sz w:val="21"/>
              </w:rPr>
            </w:pPr>
            <w:r>
              <w:rPr>
                <w:spacing w:val="6"/>
                <w:w w:val="95"/>
                <w:sz w:val="21"/>
              </w:rPr>
              <w:t>大部分井筒岩巷和大巷采用光爆锚喷、锚</w:t>
            </w:r>
            <w:r>
              <w:rPr>
                <w:spacing w:val="-11"/>
                <w:w w:val="95"/>
                <w:sz w:val="21"/>
              </w:rPr>
              <w:t>杆、锚索等支护技术，部分井筒及大巷采用</w:t>
            </w:r>
            <w:r>
              <w:rPr>
                <w:spacing w:val="-13"/>
                <w:sz w:val="21"/>
              </w:rPr>
              <w:t>砌壁支护。采区巷道采用锚杆、锚索、网喷支护或金属棚支护。</w:t>
            </w:r>
          </w:p>
        </w:tc>
        <w:tc>
          <w:tcPr>
            <w:tcW w:w="1165" w:type="dxa"/>
            <w:tcBorders>
              <w:top w:val="single" w:color="000000" w:sz="4" w:space="0"/>
              <w:left w:val="single" w:color="000000" w:sz="4" w:space="0"/>
            </w:tcBorders>
          </w:tcPr>
          <w:p>
            <w:pPr>
              <w:pStyle w:val="14"/>
              <w:spacing w:line="290" w:lineRule="auto"/>
              <w:ind w:left="9" w:right="-15" w:firstLine="2"/>
              <w:rPr>
                <w:sz w:val="21"/>
              </w:rPr>
            </w:pPr>
            <w:r>
              <w:rPr>
                <w:sz w:val="21"/>
              </w:rPr>
              <w:t xml:space="preserve">岩巷支护以锚网喷加锚索支护为  </w:t>
            </w:r>
            <w:r>
              <w:rPr>
                <w:spacing w:val="-27"/>
                <w:w w:val="95"/>
                <w:sz w:val="21"/>
              </w:rPr>
              <w:t>主，煤巷</w:t>
            </w:r>
            <w:r>
              <w:rPr>
                <w:w w:val="95"/>
                <w:sz w:val="21"/>
              </w:rPr>
              <w:t>（顺</w:t>
            </w:r>
            <w:r>
              <w:rPr>
                <w:sz w:val="21"/>
              </w:rPr>
              <w:t>槽）以锚杆支护为主， 对地质构造复杂、围岩破碎段采用</w:t>
            </w:r>
            <w:r>
              <w:rPr>
                <w:rFonts w:ascii="Times New Roman" w:eastAsia="Times New Roman"/>
                <w:sz w:val="21"/>
              </w:rPr>
              <w:t>U</w:t>
            </w:r>
            <w:r>
              <w:rPr>
                <w:rFonts w:ascii="Times New Roman" w:eastAsia="Times New Roman"/>
                <w:spacing w:val="-6"/>
                <w:sz w:val="21"/>
              </w:rPr>
              <w:t xml:space="preserve"> </w:t>
            </w:r>
            <w:r>
              <w:rPr>
                <w:spacing w:val="-22"/>
                <w:sz w:val="21"/>
              </w:rPr>
              <w:t>型钢、锚注等加强支  护；大硐室</w:t>
            </w:r>
          </w:p>
          <w:p>
            <w:pPr>
              <w:pStyle w:val="14"/>
              <w:spacing w:before="11"/>
              <w:ind w:left="24" w:right="5"/>
              <w:rPr>
                <w:sz w:val="21"/>
              </w:rPr>
            </w:pPr>
            <w:r>
              <w:rPr>
                <w:w w:val="95"/>
                <w:sz w:val="21"/>
              </w:rPr>
              <w:t>采用锚网喷</w:t>
            </w:r>
          </w:p>
        </w:tc>
      </w:tr>
    </w:tbl>
    <w:p>
      <w:pPr>
        <w:spacing w:after="0"/>
        <w:rPr>
          <w:sz w:val="21"/>
        </w:rPr>
        <w:sectPr>
          <w:footerReference r:id="rId27" w:type="default"/>
          <w:pgSz w:w="16840" w:h="11910" w:orient="landscape"/>
          <w:pgMar w:top="1100" w:right="1280" w:bottom="800" w:left="1280" w:header="0" w:footer="605" w:gutter="0"/>
          <w:pgNumType w:start="170"/>
        </w:sectPr>
      </w:pPr>
    </w:p>
    <w:p>
      <w:pPr>
        <w:pStyle w:val="6"/>
        <w:spacing w:before="7"/>
        <w:rPr>
          <w:b/>
          <w:sz w:val="20"/>
        </w:rPr>
      </w:pPr>
    </w:p>
    <w:p>
      <w:pPr>
        <w:spacing w:after="0"/>
        <w:rPr>
          <w:sz w:val="20"/>
        </w:rPr>
        <w:sectPr>
          <w:pgSz w:w="16840" w:h="11910" w:orient="landscape"/>
          <w:pgMar w:top="1100" w:right="1280" w:bottom="880" w:left="1280" w:header="0" w:footer="605" w:gutter="0"/>
        </w:sectPr>
      </w:pPr>
    </w:p>
    <w:p>
      <w:pPr>
        <w:spacing w:before="70" w:line="216" w:lineRule="exact"/>
        <w:ind w:left="719" w:right="0" w:firstLine="0"/>
        <w:jc w:val="left"/>
        <w:rPr>
          <w:sz w:val="21"/>
        </w:rPr>
      </w:pPr>
      <w:r>
        <w:rPr>
          <w:sz w:val="21"/>
        </w:rPr>
        <w:t>一级指标指一级指标权</w:t>
      </w:r>
    </w:p>
    <w:p>
      <w:pPr>
        <w:spacing w:before="0" w:line="138" w:lineRule="exact"/>
        <w:ind w:left="205" w:right="0" w:firstLine="0"/>
        <w:jc w:val="left"/>
        <w:rPr>
          <w:sz w:val="21"/>
        </w:rPr>
      </w:pPr>
      <w:r>
        <w:rPr>
          <w:sz w:val="21"/>
        </w:rPr>
        <w:t>序号</w:t>
      </w:r>
    </w:p>
    <w:p>
      <w:pPr>
        <w:pStyle w:val="6"/>
        <w:spacing w:before="3"/>
        <w:rPr>
          <w:sz w:val="18"/>
        </w:rPr>
      </w:pPr>
      <w:r>
        <w:br w:type="column"/>
      </w:r>
    </w:p>
    <w:p>
      <w:pPr>
        <w:spacing w:before="0" w:line="191" w:lineRule="exact"/>
        <w:ind w:left="144" w:right="0" w:firstLine="0"/>
        <w:jc w:val="left"/>
        <w:rPr>
          <w:sz w:val="21"/>
        </w:rPr>
      </w:pPr>
      <w:r>
        <w:rPr>
          <w:sz w:val="21"/>
        </w:rPr>
        <w:t>二级指标指标项</w:t>
      </w:r>
    </w:p>
    <w:p>
      <w:pPr>
        <w:spacing w:before="70" w:line="216" w:lineRule="exact"/>
        <w:ind w:left="880" w:right="0" w:firstLine="0"/>
        <w:jc w:val="left"/>
        <w:rPr>
          <w:sz w:val="21"/>
        </w:rPr>
      </w:pPr>
      <w:r>
        <w:br w:type="column"/>
      </w:r>
      <w:r>
        <w:rPr>
          <w:sz w:val="21"/>
        </w:rPr>
        <w:t>二级指标</w:t>
      </w:r>
    </w:p>
    <w:p>
      <w:pPr>
        <w:spacing w:before="0" w:line="138" w:lineRule="exact"/>
        <w:ind w:left="205" w:right="0" w:firstLine="0"/>
        <w:jc w:val="left"/>
        <w:rPr>
          <w:sz w:val="21"/>
        </w:rPr>
      </w:pPr>
      <w:r>
        <w:rPr>
          <w:sz w:val="21"/>
        </w:rPr>
        <w:t>单位</w:t>
      </w:r>
    </w:p>
    <w:p>
      <w:pPr>
        <w:pStyle w:val="6"/>
        <w:spacing w:before="3"/>
        <w:rPr>
          <w:sz w:val="18"/>
        </w:rPr>
      </w:pPr>
      <w:r>
        <w:br w:type="column"/>
      </w:r>
    </w:p>
    <w:p>
      <w:pPr>
        <w:spacing w:before="0" w:line="191" w:lineRule="exact"/>
        <w:ind w:left="205" w:right="0" w:firstLine="0"/>
        <w:jc w:val="left"/>
        <w:rPr>
          <w:sz w:val="21"/>
        </w:rPr>
      </w:pPr>
      <w:r>
        <w:rPr>
          <w:sz w:val="21"/>
        </w:rPr>
        <w:t>Ⅰ级基准值</w:t>
      </w:r>
    </w:p>
    <w:p>
      <w:pPr>
        <w:pStyle w:val="6"/>
        <w:spacing w:before="3"/>
        <w:rPr>
          <w:sz w:val="18"/>
        </w:rPr>
      </w:pPr>
      <w:r>
        <w:br w:type="column"/>
      </w:r>
    </w:p>
    <w:p>
      <w:pPr>
        <w:spacing w:before="0" w:line="191" w:lineRule="exact"/>
        <w:ind w:left="205" w:right="0" w:firstLine="0"/>
        <w:jc w:val="left"/>
        <w:rPr>
          <w:sz w:val="21"/>
        </w:rPr>
      </w:pPr>
      <w:r>
        <w:rPr>
          <w:sz w:val="21"/>
        </w:rPr>
        <w:t>Ⅱ级基准值</w:t>
      </w:r>
    </w:p>
    <w:p>
      <w:pPr>
        <w:pStyle w:val="6"/>
        <w:spacing w:before="3"/>
        <w:rPr>
          <w:sz w:val="18"/>
        </w:rPr>
      </w:pPr>
      <w:r>
        <w:br w:type="column"/>
      </w:r>
    </w:p>
    <w:p>
      <w:pPr>
        <w:spacing w:before="0" w:line="191" w:lineRule="exact"/>
        <w:ind w:left="205" w:right="0" w:firstLine="0"/>
        <w:jc w:val="left"/>
        <w:rPr>
          <w:sz w:val="21"/>
        </w:rPr>
      </w:pPr>
      <w:r>
        <w:rPr>
          <w:sz w:val="21"/>
        </w:rPr>
        <w:t>Ⅲ级基准值</w:t>
      </w:r>
    </w:p>
    <w:p>
      <w:pPr>
        <w:spacing w:before="70"/>
        <w:ind w:left="205" w:right="0" w:firstLine="0"/>
        <w:jc w:val="left"/>
        <w:rPr>
          <w:sz w:val="21"/>
        </w:rPr>
      </w:pPr>
      <w:r>
        <w:br w:type="column"/>
      </w:r>
      <w:r>
        <w:rPr>
          <w:sz w:val="21"/>
        </w:rPr>
        <w:t>本煤矿扩建</w:t>
      </w:r>
    </w:p>
    <w:p>
      <w:pPr>
        <w:spacing w:after="0"/>
        <w:jc w:val="left"/>
        <w:rPr>
          <w:sz w:val="21"/>
        </w:rPr>
        <w:sectPr>
          <w:type w:val="continuous"/>
          <w:pgSz w:w="16840" w:h="11910" w:orient="landscape"/>
          <w:pgMar w:top="1580" w:right="1280" w:bottom="280" w:left="1280" w:header="720" w:footer="720" w:gutter="0"/>
          <w:cols w:equalWidth="0" w:num="7">
            <w:col w:w="2849" w:space="40"/>
            <w:col w:w="1654" w:space="134"/>
            <w:col w:w="1758" w:space="599"/>
            <w:col w:w="1293" w:space="966"/>
            <w:col w:w="1295" w:space="656"/>
            <w:col w:w="1293" w:space="299"/>
            <w:col w:w="1444"/>
          </w:cols>
        </w:sectPr>
      </w:pPr>
    </w:p>
    <w:p>
      <w:pPr>
        <w:tabs>
          <w:tab w:val="left" w:pos="2113"/>
        </w:tabs>
        <w:spacing w:before="0" w:line="239" w:lineRule="exact"/>
        <w:ind w:left="1036" w:right="0" w:firstLine="0"/>
        <w:jc w:val="left"/>
        <w:rPr>
          <w:sz w:val="21"/>
        </w:rPr>
      </w:pPr>
      <w:r>
        <w:rPr>
          <w:sz w:val="21"/>
        </w:rPr>
        <w:t>标项</w:t>
      </w:r>
      <w:r>
        <w:rPr>
          <w:sz w:val="21"/>
        </w:rPr>
        <w:tab/>
      </w:r>
      <w:r>
        <w:rPr>
          <w:sz w:val="21"/>
        </w:rPr>
        <w:t>重值</w:t>
      </w:r>
    </w:p>
    <w:p>
      <w:pPr>
        <w:spacing w:before="0" w:line="239" w:lineRule="exact"/>
        <w:ind w:left="1036" w:right="0" w:firstLine="0"/>
        <w:jc w:val="left"/>
        <w:rPr>
          <w:sz w:val="21"/>
        </w:rPr>
      </w:pPr>
      <w:r>
        <w:br w:type="column"/>
      </w:r>
      <w:r>
        <w:rPr>
          <w:spacing w:val="-5"/>
          <w:sz w:val="21"/>
        </w:rPr>
        <w:t>分权重值</w:t>
      </w:r>
    </w:p>
    <w:p>
      <w:pPr>
        <w:pStyle w:val="6"/>
        <w:rPr>
          <w:sz w:val="20"/>
        </w:rPr>
      </w:pPr>
      <w:r>
        <w:br w:type="column"/>
      </w:r>
    </w:p>
    <w:p>
      <w:pPr>
        <w:pStyle w:val="6"/>
        <w:rPr>
          <w:sz w:val="20"/>
        </w:rPr>
      </w:pPr>
    </w:p>
    <w:p>
      <w:pPr>
        <w:pStyle w:val="6"/>
        <w:rPr>
          <w:sz w:val="20"/>
        </w:rPr>
      </w:pPr>
    </w:p>
    <w:p>
      <w:pPr>
        <w:spacing w:before="153" w:line="320" w:lineRule="atLeast"/>
        <w:ind w:left="12" w:right="0" w:firstLine="0"/>
        <w:jc w:val="left"/>
        <w:rPr>
          <w:sz w:val="21"/>
        </w:rPr>
      </w:pPr>
      <w:r>
        <w:rPr>
          <w:sz w:val="21"/>
        </w:rPr>
        <w:t>对于重要的含水层通过充填开采或离层注浆等措施进行</w:t>
      </w:r>
    </w:p>
    <w:p>
      <w:pPr>
        <w:pStyle w:val="6"/>
        <w:rPr>
          <w:sz w:val="20"/>
        </w:rPr>
      </w:pPr>
      <w:r>
        <w:br w:type="column"/>
      </w:r>
    </w:p>
    <w:p>
      <w:pPr>
        <w:pStyle w:val="6"/>
        <w:rPr>
          <w:sz w:val="20"/>
        </w:rPr>
      </w:pPr>
    </w:p>
    <w:p>
      <w:pPr>
        <w:pStyle w:val="6"/>
        <w:rPr>
          <w:sz w:val="20"/>
        </w:rPr>
      </w:pPr>
    </w:p>
    <w:p>
      <w:pPr>
        <w:pStyle w:val="6"/>
        <w:spacing w:before="6"/>
        <w:rPr>
          <w:sz w:val="28"/>
        </w:rPr>
      </w:pPr>
    </w:p>
    <w:p>
      <w:pPr>
        <w:spacing w:before="0"/>
        <w:ind w:left="-29" w:right="0" w:firstLine="0"/>
        <w:jc w:val="left"/>
        <w:rPr>
          <w:sz w:val="21"/>
        </w:rPr>
      </w:pPr>
      <w:r>
        <w:rPr>
          <w:spacing w:val="-10"/>
          <w:sz w:val="21"/>
        </w:rPr>
        <w:t>顶板垮落法管理采空区，对于重要的含水层</w:t>
      </w:r>
    </w:p>
    <w:p>
      <w:pPr>
        <w:spacing w:before="0" w:line="239" w:lineRule="exact"/>
        <w:ind w:left="22" w:right="185" w:firstLine="0"/>
        <w:jc w:val="center"/>
        <w:rPr>
          <w:sz w:val="21"/>
        </w:rPr>
      </w:pPr>
      <w:r>
        <w:br w:type="column"/>
      </w:r>
      <w:r>
        <w:rPr>
          <w:sz w:val="21"/>
        </w:rPr>
        <w:t>后</w:t>
      </w:r>
    </w:p>
    <w:p>
      <w:pPr>
        <w:spacing w:before="69" w:line="290" w:lineRule="auto"/>
        <w:ind w:left="22" w:right="186" w:firstLine="0"/>
        <w:jc w:val="center"/>
        <w:rPr>
          <w:sz w:val="21"/>
        </w:rPr>
      </w:pPr>
      <w:r>
        <w:rPr>
          <w:sz w:val="21"/>
        </w:rPr>
        <w:t>加钢筋混凝土支护。</w:t>
      </w:r>
    </w:p>
    <w:p>
      <w:pPr>
        <w:pStyle w:val="6"/>
        <w:spacing w:before="4"/>
        <w:rPr>
          <w:sz w:val="26"/>
        </w:rPr>
      </w:pPr>
    </w:p>
    <w:p>
      <w:pPr>
        <w:spacing w:before="1" w:line="192" w:lineRule="exact"/>
        <w:ind w:left="4" w:right="167" w:firstLine="0"/>
        <w:jc w:val="center"/>
        <w:rPr>
          <w:sz w:val="21"/>
        </w:rPr>
      </w:pPr>
      <w:r>
        <w:rPr>
          <w:sz w:val="21"/>
        </w:rPr>
        <w:t>顶板垮落法</w:t>
      </w:r>
    </w:p>
    <w:p>
      <w:pPr>
        <w:spacing w:after="0" w:line="192" w:lineRule="exact"/>
        <w:jc w:val="center"/>
        <w:rPr>
          <w:sz w:val="21"/>
        </w:rPr>
        <w:sectPr>
          <w:type w:val="continuous"/>
          <w:pgSz w:w="16840" w:h="11910" w:orient="landscape"/>
          <w:pgMar w:top="1580" w:right="1280" w:bottom="280" w:left="1280" w:header="720" w:footer="720" w:gutter="0"/>
          <w:cols w:equalWidth="0" w:num="5">
            <w:col w:w="2572" w:space="1950"/>
            <w:col w:w="1874" w:space="39"/>
            <w:col w:w="2644" w:space="40"/>
            <w:col w:w="3861" w:space="39"/>
            <w:col w:w="1261"/>
          </w:cols>
        </w:sectPr>
      </w:pPr>
    </w:p>
    <w:p>
      <w:pPr>
        <w:tabs>
          <w:tab w:val="left" w:pos="2862"/>
          <w:tab w:val="left" w:pos="4988"/>
        </w:tabs>
        <w:spacing w:before="0" w:line="172" w:lineRule="exact"/>
        <w:ind w:left="364" w:right="0" w:firstLine="0"/>
        <w:jc w:val="left"/>
        <w:rPr>
          <w:sz w:val="21"/>
        </w:rPr>
      </w:pPr>
      <w:r>
        <w:rPr>
          <w:rFonts w:ascii="Times New Roman" w:hAnsi="Times New Roman" w:eastAsia="Times New Roman"/>
          <w:sz w:val="21"/>
        </w:rPr>
        <w:t>5</w:t>
      </w:r>
      <w:r>
        <w:rPr>
          <w:rFonts w:ascii="Times New Roman" w:hAnsi="Times New Roman" w:eastAsia="Times New Roman"/>
          <w:sz w:val="21"/>
        </w:rPr>
        <w:tab/>
      </w:r>
      <w:r>
        <w:rPr>
          <w:sz w:val="21"/>
        </w:rPr>
        <w:t>采空区处理（防灾）</w:t>
      </w:r>
      <w:r>
        <w:rPr>
          <w:sz w:val="21"/>
        </w:rPr>
        <w:tab/>
      </w:r>
      <w:r>
        <w:rPr>
          <w:sz w:val="21"/>
        </w:rPr>
        <w:t>━</w:t>
      </w:r>
    </w:p>
    <w:p>
      <w:pPr>
        <w:spacing w:before="0" w:line="159" w:lineRule="exact"/>
        <w:ind w:left="363" w:right="0" w:firstLine="0"/>
        <w:jc w:val="left"/>
        <w:rPr>
          <w:rFonts w:ascii="Times New Roman"/>
          <w:sz w:val="21"/>
        </w:rPr>
      </w:pPr>
      <w:r>
        <w:br w:type="column"/>
      </w:r>
      <w:r>
        <w:rPr>
          <w:rFonts w:ascii="Times New Roman"/>
          <w:sz w:val="21"/>
        </w:rPr>
        <w:t>0.08</w:t>
      </w:r>
    </w:p>
    <w:p>
      <w:pPr>
        <w:spacing w:before="64" w:line="290" w:lineRule="auto"/>
        <w:ind w:left="246" w:right="0" w:firstLine="0"/>
        <w:jc w:val="left"/>
        <w:rPr>
          <w:rFonts w:ascii="Times New Roman" w:eastAsia="Times New Roman"/>
          <w:sz w:val="21"/>
        </w:rPr>
      </w:pPr>
      <w:r>
        <w:br w:type="column"/>
      </w:r>
      <w:r>
        <w:rPr>
          <w:spacing w:val="-17"/>
          <w:sz w:val="21"/>
        </w:rPr>
        <w:t>保护，并取得较好效果的。</w:t>
      </w:r>
      <w:r>
        <w:rPr>
          <w:rFonts w:ascii="Times New Roman" w:eastAsia="Times New Roman"/>
          <w:sz w:val="21"/>
        </w:rPr>
        <w:t>(</w:t>
      </w:r>
      <w:r>
        <w:rPr>
          <w:spacing w:val="-13"/>
          <w:sz w:val="21"/>
        </w:rPr>
        <w:t>防</w:t>
      </w:r>
      <w:r>
        <w:rPr>
          <w:sz w:val="21"/>
        </w:rPr>
        <w:t>火、冲击地压</w:t>
      </w:r>
      <w:r>
        <w:rPr>
          <w:rFonts w:ascii="Times New Roman" w:eastAsia="Times New Roman"/>
          <w:sz w:val="21"/>
        </w:rPr>
        <w:t>)</w:t>
      </w:r>
    </w:p>
    <w:p>
      <w:pPr>
        <w:spacing w:before="0" w:line="115" w:lineRule="exact"/>
        <w:ind w:left="-31" w:right="0" w:firstLine="0"/>
        <w:jc w:val="left"/>
        <w:rPr>
          <w:sz w:val="21"/>
        </w:rPr>
      </w:pPr>
      <w:r>
        <w:br w:type="column"/>
      </w:r>
      <w:r>
        <w:rPr>
          <w:sz w:val="21"/>
        </w:rPr>
        <w:t>通过充填开采或离层注浆等措施进行保护，</w:t>
      </w:r>
    </w:p>
    <w:p>
      <w:pPr>
        <w:spacing w:before="0" w:line="164" w:lineRule="exact"/>
        <w:ind w:left="3919" w:right="0" w:firstLine="0"/>
        <w:jc w:val="left"/>
        <w:rPr>
          <w:sz w:val="21"/>
        </w:rPr>
      </w:pPr>
      <w:r>
        <w:rPr>
          <w:sz w:val="21"/>
        </w:rPr>
        <w:t>管理采空区</w:t>
      </w:r>
    </w:p>
    <w:p>
      <w:pPr>
        <w:spacing w:before="0" w:line="217" w:lineRule="exact"/>
        <w:ind w:left="-31" w:right="0" w:firstLine="0"/>
        <w:jc w:val="left"/>
        <w:rPr>
          <w:sz w:val="21"/>
        </w:rPr>
      </w:pPr>
      <w:r>
        <w:rPr>
          <w:sz w:val="21"/>
        </w:rPr>
        <w:t>并取得一般效果的。</w:t>
      </w:r>
    </w:p>
    <w:p>
      <w:pPr>
        <w:spacing w:after="0" w:line="217" w:lineRule="exact"/>
        <w:jc w:val="left"/>
        <w:rPr>
          <w:sz w:val="21"/>
        </w:rPr>
        <w:sectPr>
          <w:type w:val="continuous"/>
          <w:pgSz w:w="16840" w:h="11910" w:orient="landscape"/>
          <w:pgMar w:top="1580" w:right="1280" w:bottom="280" w:left="1280" w:header="720" w:footer="720" w:gutter="0"/>
          <w:cols w:equalWidth="0" w:num="4">
            <w:col w:w="5238" w:space="190"/>
            <w:col w:w="733" w:space="40"/>
            <w:col w:w="2880" w:space="40"/>
            <w:col w:w="5159"/>
          </w:cols>
        </w:sectPr>
      </w:pPr>
    </w:p>
    <w:p>
      <w:pPr>
        <w:spacing w:before="11" w:line="217" w:lineRule="exact"/>
        <w:ind w:left="2927" w:right="0" w:firstLine="0"/>
        <w:jc w:val="left"/>
        <w:rPr>
          <w:sz w:val="21"/>
        </w:rPr>
      </w:pPr>
      <w:r>
        <w:rPr>
          <w:sz w:val="21"/>
        </w:rPr>
        <w:t>贮煤设施工艺及装</w:t>
      </w:r>
    </w:p>
    <w:p>
      <w:pPr>
        <w:tabs>
          <w:tab w:val="left" w:pos="4988"/>
        </w:tabs>
        <w:spacing w:before="0" w:line="139" w:lineRule="exact"/>
        <w:ind w:left="364" w:right="0" w:firstLine="0"/>
        <w:jc w:val="left"/>
        <w:rPr>
          <w:sz w:val="21"/>
        </w:rPr>
      </w:pPr>
      <w:r>
        <w:rPr>
          <w:rFonts w:ascii="Times New Roman" w:hAnsi="Times New Roman"/>
          <w:sz w:val="21"/>
        </w:rPr>
        <w:t>6</w:t>
      </w:r>
      <w:r>
        <w:rPr>
          <w:rFonts w:ascii="Times New Roman" w:hAnsi="Times New Roman"/>
          <w:sz w:val="21"/>
        </w:rPr>
        <w:tab/>
      </w:r>
      <w:r>
        <w:rPr>
          <w:sz w:val="21"/>
        </w:rPr>
        <w:t>━</w:t>
      </w:r>
    </w:p>
    <w:p>
      <w:pPr>
        <w:spacing w:before="190" w:line="177" w:lineRule="exact"/>
        <w:ind w:left="363" w:right="0" w:firstLine="0"/>
        <w:jc w:val="left"/>
        <w:rPr>
          <w:rFonts w:ascii="Times New Roman"/>
          <w:sz w:val="21"/>
        </w:rPr>
      </w:pPr>
      <w:r>
        <w:br w:type="column"/>
      </w:r>
      <w:r>
        <w:rPr>
          <w:rFonts w:ascii="Times New Roman"/>
          <w:sz w:val="21"/>
        </w:rPr>
        <w:t>0.08</w:t>
      </w:r>
    </w:p>
    <w:p>
      <w:pPr>
        <w:spacing w:before="11" w:line="216" w:lineRule="exact"/>
        <w:ind w:left="246" w:right="0" w:firstLine="0"/>
        <w:jc w:val="left"/>
        <w:rPr>
          <w:sz w:val="21"/>
        </w:rPr>
      </w:pPr>
      <w:r>
        <w:br w:type="column"/>
      </w:r>
      <w:r>
        <w:rPr>
          <w:sz w:val="21"/>
        </w:rPr>
        <w:t>原煤进筒仓或全封闭的贮煤储煤场设有挡风抑尘措施和洒水喷淋装置，</w:t>
      </w:r>
    </w:p>
    <w:p>
      <w:pPr>
        <w:spacing w:before="0" w:line="141" w:lineRule="exact"/>
        <w:ind w:left="6839" w:right="0" w:firstLine="0"/>
        <w:jc w:val="left"/>
        <w:rPr>
          <w:sz w:val="21"/>
        </w:rPr>
      </w:pPr>
      <w:r>
        <w:rPr>
          <w:sz w:val="21"/>
        </w:rPr>
        <w:t>全封闭煤仓</w:t>
      </w:r>
    </w:p>
    <w:p>
      <w:pPr>
        <w:spacing w:after="0" w:line="141" w:lineRule="exact"/>
        <w:jc w:val="left"/>
        <w:rPr>
          <w:sz w:val="21"/>
        </w:rPr>
        <w:sectPr>
          <w:type w:val="continuous"/>
          <w:pgSz w:w="16840" w:h="11910" w:orient="landscape"/>
          <w:pgMar w:top="1580" w:right="1280" w:bottom="280" w:left="1280" w:header="720" w:footer="720" w:gutter="0"/>
          <w:cols w:equalWidth="0" w:num="3">
            <w:col w:w="5238" w:space="190"/>
            <w:col w:w="733" w:space="40"/>
            <w:col w:w="8079"/>
          </w:cols>
        </w:sectPr>
      </w:pPr>
    </w:p>
    <w:p>
      <w:pPr>
        <w:spacing w:before="0" w:line="239" w:lineRule="exact"/>
        <w:ind w:left="3661" w:right="0" w:firstLine="0"/>
        <w:jc w:val="left"/>
        <w:rPr>
          <w:sz w:val="21"/>
        </w:rPr>
      </w:pPr>
      <w:r>
        <w:rPr>
          <w:w w:val="99"/>
          <w:sz w:val="21"/>
        </w:rPr>
        <w:t>备</w:t>
      </w:r>
    </w:p>
    <w:p>
      <w:pPr>
        <w:tabs>
          <w:tab w:val="left" w:pos="3241"/>
        </w:tabs>
        <w:spacing w:before="79"/>
        <w:ind w:left="364" w:right="0" w:firstLine="0"/>
        <w:jc w:val="left"/>
        <w:rPr>
          <w:sz w:val="21"/>
        </w:rPr>
      </w:pPr>
      <w:r>
        <w:rPr>
          <w:rFonts w:ascii="Times New Roman" w:eastAsia="Times New Roman"/>
          <w:sz w:val="21"/>
        </w:rPr>
        <w:t>7</w:t>
      </w:r>
      <w:r>
        <w:rPr>
          <w:rFonts w:ascii="Times New Roman" w:eastAsia="Times New Roman"/>
          <w:sz w:val="21"/>
        </w:rPr>
        <w:tab/>
      </w:r>
      <w:r>
        <w:rPr>
          <w:sz w:val="21"/>
        </w:rPr>
        <w:t>原煤入选率</w:t>
      </w:r>
    </w:p>
    <w:p>
      <w:pPr>
        <w:spacing w:before="0" w:line="239" w:lineRule="exact"/>
        <w:ind w:left="0" w:right="38" w:firstLine="0"/>
        <w:jc w:val="right"/>
        <w:rPr>
          <w:sz w:val="21"/>
        </w:rPr>
      </w:pPr>
      <w:r>
        <w:br w:type="column"/>
      </w:r>
      <w:r>
        <w:rPr>
          <w:w w:val="95"/>
          <w:sz w:val="21"/>
        </w:rPr>
        <w:t>场</w:t>
      </w:r>
    </w:p>
    <w:p>
      <w:pPr>
        <w:tabs>
          <w:tab w:val="left" w:pos="1203"/>
        </w:tabs>
        <w:spacing w:before="93"/>
        <w:ind w:left="363" w:right="0" w:firstLine="0"/>
        <w:jc w:val="left"/>
        <w:rPr>
          <w:rFonts w:ascii="Times New Roman"/>
          <w:sz w:val="21"/>
        </w:rPr>
      </w:pPr>
      <w:r>
        <w:rPr>
          <w:rFonts w:ascii="Times New Roman"/>
          <w:sz w:val="21"/>
        </w:rPr>
        <w:t>%</w:t>
      </w:r>
      <w:r>
        <w:rPr>
          <w:rFonts w:ascii="Times New Roman"/>
          <w:sz w:val="21"/>
        </w:rPr>
        <w:tab/>
      </w:r>
      <w:r>
        <w:rPr>
          <w:rFonts w:ascii="Times New Roman"/>
          <w:sz w:val="21"/>
        </w:rPr>
        <w:t>0.1</w:t>
      </w:r>
    </w:p>
    <w:p>
      <w:pPr>
        <w:pStyle w:val="6"/>
        <w:spacing w:before="9"/>
        <w:rPr>
          <w:rFonts w:ascii="Times New Roman"/>
          <w:sz w:val="28"/>
        </w:rPr>
      </w:pPr>
      <w:r>
        <w:br w:type="column"/>
      </w:r>
    </w:p>
    <w:p>
      <w:pPr>
        <w:spacing w:before="1"/>
        <w:ind w:left="363" w:right="0" w:firstLine="0"/>
        <w:jc w:val="left"/>
        <w:rPr>
          <w:rFonts w:ascii="Times New Roman"/>
          <w:sz w:val="21"/>
        </w:rPr>
      </w:pPr>
      <w:r>
        <w:rPr>
          <w:rFonts w:ascii="Times New Roman"/>
          <w:sz w:val="21"/>
        </w:rPr>
        <w:t>100</w:t>
      </w:r>
    </w:p>
    <w:p>
      <w:pPr>
        <w:spacing w:before="0" w:line="239" w:lineRule="exact"/>
        <w:ind w:left="363" w:right="0" w:firstLine="0"/>
        <w:jc w:val="left"/>
        <w:rPr>
          <w:sz w:val="21"/>
        </w:rPr>
      </w:pPr>
      <w:r>
        <w:br w:type="column"/>
      </w:r>
      <w:r>
        <w:rPr>
          <w:sz w:val="21"/>
        </w:rPr>
        <w:t>上层有棚顶或苫盖</w:t>
      </w:r>
    </w:p>
    <w:p>
      <w:pPr>
        <w:tabs>
          <w:tab w:val="left" w:pos="3085"/>
        </w:tabs>
        <w:spacing w:before="93"/>
        <w:ind w:left="1134" w:right="0" w:firstLine="0"/>
        <w:jc w:val="left"/>
        <w:rPr>
          <w:rFonts w:ascii="Times New Roman" w:hAnsi="Times New Roman"/>
          <w:sz w:val="21"/>
        </w:rPr>
      </w:pPr>
      <w:r>
        <w:rPr>
          <w:rFonts w:ascii="Times New Roman" w:hAnsi="Times New Roman"/>
          <w:sz w:val="21"/>
        </w:rPr>
        <w:t>≥90</w:t>
      </w:r>
      <w:r>
        <w:rPr>
          <w:rFonts w:ascii="Times New Roman" w:hAnsi="Times New Roman"/>
          <w:sz w:val="21"/>
        </w:rPr>
        <w:tab/>
      </w:r>
      <w:r>
        <w:rPr>
          <w:rFonts w:ascii="Times New Roman" w:hAnsi="Times New Roman"/>
          <w:sz w:val="21"/>
        </w:rPr>
        <w:t>≥80</w:t>
      </w:r>
    </w:p>
    <w:p>
      <w:pPr>
        <w:spacing w:before="86"/>
        <w:ind w:left="2243" w:right="0" w:firstLine="0"/>
        <w:jc w:val="left"/>
        <w:rPr>
          <w:sz w:val="21"/>
        </w:rPr>
      </w:pPr>
      <w:r>
        <w:rPr>
          <w:sz w:val="24"/>
        </w:rPr>
        <w:t>由</w:t>
      </w:r>
      <w:r>
        <w:rPr>
          <w:sz w:val="21"/>
        </w:rPr>
        <w:t>箱车或矿车将原煤</w:t>
      </w:r>
    </w:p>
    <w:p>
      <w:pPr>
        <w:pStyle w:val="6"/>
        <w:spacing w:before="11"/>
        <w:rPr>
          <w:sz w:val="25"/>
        </w:rPr>
      </w:pPr>
      <w:r>
        <w:br w:type="column"/>
      </w:r>
    </w:p>
    <w:p>
      <w:pPr>
        <w:spacing w:before="0"/>
        <w:ind w:left="364" w:right="0" w:firstLine="0"/>
        <w:jc w:val="left"/>
        <w:rPr>
          <w:rFonts w:ascii="Times New Roman"/>
          <w:sz w:val="21"/>
        </w:rPr>
      </w:pPr>
      <w:r>
        <w:rPr>
          <w:rFonts w:ascii="Times New Roman"/>
          <w:sz w:val="21"/>
        </w:rPr>
        <w:t>100</w:t>
      </w:r>
    </w:p>
    <w:p>
      <w:pPr>
        <w:spacing w:after="0"/>
        <w:jc w:val="left"/>
        <w:rPr>
          <w:rFonts w:ascii="Times New Roman"/>
          <w:sz w:val="21"/>
        </w:rPr>
        <w:sectPr>
          <w:type w:val="continuous"/>
          <w:pgSz w:w="16840" w:h="11910" w:orient="landscape"/>
          <w:pgMar w:top="1580" w:right="1280" w:bottom="280" w:left="1280" w:header="720" w:footer="720" w:gutter="0"/>
          <w:cols w:equalWidth="0" w:num="5">
            <w:col w:w="4331" w:space="311"/>
            <w:col w:w="2056" w:space="545"/>
            <w:col w:w="720" w:space="763"/>
            <w:col w:w="4253" w:space="65"/>
            <w:col w:w="1236"/>
          </w:cols>
        </w:sectPr>
      </w:pPr>
    </w:p>
    <w:p>
      <w:pPr>
        <w:spacing w:before="85" w:line="217" w:lineRule="exact"/>
        <w:ind w:left="2917" w:right="0" w:firstLine="0"/>
        <w:jc w:val="left"/>
        <w:rPr>
          <w:sz w:val="21"/>
        </w:rPr>
      </w:pPr>
      <w:r>
        <w:rPr>
          <w:sz w:val="21"/>
        </w:rPr>
        <w:t>原煤运 矿井型选煤</w:t>
      </w:r>
    </w:p>
    <w:p>
      <w:pPr>
        <w:tabs>
          <w:tab w:val="left" w:pos="4988"/>
        </w:tabs>
        <w:spacing w:before="0" w:line="118" w:lineRule="exact"/>
        <w:ind w:left="364" w:right="0" w:firstLine="0"/>
        <w:jc w:val="left"/>
        <w:rPr>
          <w:sz w:val="21"/>
        </w:rPr>
      </w:pPr>
      <w:r>
        <w:rPr>
          <w:rFonts w:ascii="Times New Roman" w:hAnsi="Times New Roman"/>
          <w:sz w:val="21"/>
        </w:rPr>
        <w:t>8</w:t>
      </w:r>
      <w:r>
        <w:rPr>
          <w:rFonts w:ascii="Times New Roman" w:hAnsi="Times New Roman"/>
          <w:sz w:val="21"/>
        </w:rPr>
        <w:tab/>
      </w:r>
      <w:r>
        <w:rPr>
          <w:sz w:val="21"/>
        </w:rPr>
        <w:t>━</w:t>
      </w:r>
    </w:p>
    <w:p>
      <w:pPr>
        <w:pStyle w:val="6"/>
        <w:spacing w:before="8"/>
        <w:rPr>
          <w:sz w:val="20"/>
        </w:rPr>
      </w:pPr>
      <w:r>
        <w:br w:type="column"/>
      </w:r>
    </w:p>
    <w:p>
      <w:pPr>
        <w:spacing w:before="0" w:line="156" w:lineRule="exact"/>
        <w:ind w:left="363" w:right="0" w:firstLine="0"/>
        <w:jc w:val="left"/>
        <w:rPr>
          <w:rFonts w:ascii="Times New Roman"/>
          <w:sz w:val="21"/>
        </w:rPr>
      </w:pPr>
      <w:r>
        <w:rPr>
          <w:rFonts w:ascii="Times New Roman"/>
          <w:sz w:val="21"/>
        </w:rPr>
        <w:t>0.08</w:t>
      </w:r>
    </w:p>
    <w:p>
      <w:pPr>
        <w:spacing w:before="65" w:line="244" w:lineRule="exact"/>
        <w:ind w:left="246" w:right="0" w:firstLine="0"/>
        <w:jc w:val="left"/>
        <w:rPr>
          <w:sz w:val="21"/>
        </w:rPr>
      </w:pPr>
      <w:r>
        <w:br w:type="column"/>
      </w:r>
      <w:r>
        <w:rPr>
          <w:sz w:val="21"/>
        </w:rPr>
        <w:t>由封闭皮带运输机将原煤直接运进矿井选煤厂全</w:t>
      </w:r>
      <w:r>
        <w:rPr>
          <w:position w:val="2"/>
          <w:sz w:val="21"/>
        </w:rPr>
        <w:t>运进矿井选煤厂全面</w:t>
      </w:r>
    </w:p>
    <w:p>
      <w:pPr>
        <w:spacing w:before="0" w:line="111" w:lineRule="exact"/>
        <w:ind w:left="0" w:right="682" w:firstLine="0"/>
        <w:jc w:val="right"/>
        <w:rPr>
          <w:rFonts w:ascii="Times New Roman"/>
          <w:sz w:val="21"/>
        </w:rPr>
      </w:pPr>
      <w:r>
        <w:rPr>
          <w:rFonts w:ascii="Times New Roman"/>
          <w:w w:val="99"/>
          <w:sz w:val="21"/>
        </w:rPr>
        <w:t>/</w:t>
      </w:r>
    </w:p>
    <w:p>
      <w:pPr>
        <w:spacing w:after="0" w:line="111" w:lineRule="exact"/>
        <w:jc w:val="right"/>
        <w:rPr>
          <w:rFonts w:ascii="Times New Roman"/>
          <w:sz w:val="21"/>
        </w:rPr>
        <w:sectPr>
          <w:type w:val="continuous"/>
          <w:pgSz w:w="16840" w:h="11910" w:orient="landscape"/>
          <w:pgMar w:top="1580" w:right="1280" w:bottom="280" w:left="1280" w:header="720" w:footer="720" w:gutter="0"/>
          <w:cols w:equalWidth="0" w:num="3">
            <w:col w:w="5238" w:space="190"/>
            <w:col w:w="733" w:space="40"/>
            <w:col w:w="8079"/>
          </w:cols>
        </w:sectPr>
      </w:pPr>
    </w:p>
    <w:p>
      <w:pPr>
        <w:tabs>
          <w:tab w:val="left" w:pos="4035"/>
          <w:tab w:val="left" w:pos="6447"/>
          <w:tab w:val="left" w:pos="10969"/>
        </w:tabs>
        <w:spacing w:before="0" w:line="258" w:lineRule="exact"/>
        <w:ind w:left="3128" w:right="0" w:firstLine="0"/>
        <w:jc w:val="left"/>
        <w:rPr>
          <w:sz w:val="21"/>
        </w:rPr>
      </w:pPr>
      <w:r>
        <w:rPr>
          <w:sz w:val="21"/>
        </w:rPr>
        <w:t>输</w:t>
      </w:r>
      <w:r>
        <w:rPr>
          <w:sz w:val="21"/>
        </w:rPr>
        <w:tab/>
      </w:r>
      <w:r>
        <w:rPr>
          <w:sz w:val="21"/>
        </w:rPr>
        <w:t>厂</w:t>
      </w:r>
      <w:r>
        <w:rPr>
          <w:sz w:val="21"/>
        </w:rPr>
        <w:tab/>
      </w:r>
      <w:r>
        <w:rPr>
          <w:sz w:val="21"/>
        </w:rPr>
        <w:t>封闭的贮煤设施</w:t>
      </w:r>
      <w:r>
        <w:rPr>
          <w:sz w:val="21"/>
        </w:rPr>
        <w:tab/>
      </w:r>
      <w:r>
        <w:rPr>
          <w:position w:val="2"/>
          <w:sz w:val="21"/>
        </w:rPr>
        <w:t>防尘的贮煤设施</w:t>
      </w:r>
    </w:p>
    <w:p>
      <w:pPr>
        <w:pStyle w:val="6"/>
        <w:rPr>
          <w:sz w:val="20"/>
        </w:rPr>
      </w:pPr>
    </w:p>
    <w:p>
      <w:pPr>
        <w:spacing w:after="0"/>
        <w:rPr>
          <w:sz w:val="20"/>
        </w:rPr>
        <w:sectPr>
          <w:type w:val="continuous"/>
          <w:pgSz w:w="16840" w:h="11910" w:orient="landscape"/>
          <w:pgMar w:top="1580" w:right="1280" w:bottom="280" w:left="1280" w:header="720" w:footer="720" w:gutter="0"/>
        </w:sectPr>
      </w:pPr>
    </w:p>
    <w:p>
      <w:pPr>
        <w:pStyle w:val="6"/>
        <w:rPr>
          <w:sz w:val="22"/>
        </w:rPr>
      </w:pPr>
    </w:p>
    <w:p>
      <w:pPr>
        <w:pStyle w:val="6"/>
        <w:spacing w:before="9"/>
        <w:rPr>
          <w:sz w:val="32"/>
        </w:rPr>
      </w:pPr>
    </w:p>
    <w:p>
      <w:pPr>
        <w:pStyle w:val="13"/>
        <w:numPr>
          <w:ilvl w:val="0"/>
          <w:numId w:val="77"/>
        </w:numPr>
        <w:tabs>
          <w:tab w:val="left" w:pos="3347"/>
          <w:tab w:val="left" w:pos="3348"/>
        </w:tabs>
        <w:spacing w:before="0" w:after="0" w:line="240" w:lineRule="auto"/>
        <w:ind w:left="3347" w:right="0" w:hanging="2984"/>
        <w:jc w:val="left"/>
        <w:rPr>
          <w:sz w:val="21"/>
        </w:rPr>
      </w:pPr>
      <w:r>
        <w:rPr>
          <w:sz w:val="21"/>
        </w:rPr>
        <w:t>粉尘控制</w:t>
      </w:r>
    </w:p>
    <w:p>
      <w:pPr>
        <w:pStyle w:val="6"/>
        <w:rPr>
          <w:sz w:val="22"/>
        </w:rPr>
      </w:pPr>
      <w:r>
        <w:br w:type="column"/>
      </w:r>
    </w:p>
    <w:p>
      <w:pPr>
        <w:pStyle w:val="6"/>
        <w:spacing w:before="9"/>
        <w:rPr>
          <w:sz w:val="32"/>
        </w:rPr>
      </w:pPr>
    </w:p>
    <w:p>
      <w:pPr>
        <w:tabs>
          <w:tab w:val="left" w:pos="1220"/>
        </w:tabs>
        <w:spacing w:before="0"/>
        <w:ind w:left="363" w:right="0" w:firstLine="0"/>
        <w:jc w:val="left"/>
        <w:rPr>
          <w:rFonts w:ascii="Times New Roman" w:hAnsi="Times New Roman"/>
          <w:sz w:val="21"/>
        </w:rPr>
      </w:pPr>
      <w:r>
        <w:rPr>
          <w:sz w:val="21"/>
        </w:rPr>
        <w:t>━</w:t>
      </w:r>
      <w:r>
        <w:rPr>
          <w:sz w:val="21"/>
        </w:rPr>
        <w:tab/>
      </w:r>
      <w:r>
        <w:rPr>
          <w:rFonts w:ascii="Times New Roman" w:hAnsi="Times New Roman"/>
          <w:spacing w:val="-7"/>
          <w:sz w:val="21"/>
        </w:rPr>
        <w:t>0.1</w:t>
      </w:r>
    </w:p>
    <w:p>
      <w:pPr>
        <w:pStyle w:val="6"/>
        <w:spacing w:before="11"/>
        <w:rPr>
          <w:rFonts w:ascii="Times New Roman"/>
          <w:sz w:val="17"/>
        </w:rPr>
      </w:pPr>
      <w:r>
        <w:br w:type="column"/>
      </w:r>
    </w:p>
    <w:p>
      <w:pPr>
        <w:spacing w:before="0" w:line="290" w:lineRule="auto"/>
        <w:ind w:left="299" w:right="0" w:firstLine="0"/>
        <w:jc w:val="both"/>
        <w:rPr>
          <w:sz w:val="21"/>
        </w:rPr>
      </w:pPr>
      <w:r>
        <w:rPr>
          <w:w w:val="95"/>
          <w:sz w:val="21"/>
        </w:rPr>
        <w:t>原煤分级筛、破碎机等干法作分级筛及相关转载 业及相关转载环节全部封闭环节设集尘罩，带式 作业，并设有集尘系统，车间输送机设喷雾除尘</w:t>
      </w:r>
    </w:p>
    <w:p>
      <w:pPr>
        <w:pStyle w:val="6"/>
        <w:spacing w:before="6"/>
        <w:rPr>
          <w:sz w:val="22"/>
        </w:rPr>
      </w:pPr>
      <w:r>
        <w:br w:type="column"/>
      </w:r>
    </w:p>
    <w:p>
      <w:pPr>
        <w:spacing w:before="0" w:line="146" w:lineRule="auto"/>
        <w:ind w:left="-29" w:right="186" w:firstLine="2071"/>
        <w:jc w:val="left"/>
        <w:rPr>
          <w:sz w:val="21"/>
        </w:rPr>
      </w:pPr>
      <w:r>
        <w:rPr>
          <w:sz w:val="21"/>
        </w:rPr>
        <w:t>本项目无破破碎机、带式输送机、</w:t>
      </w:r>
    </w:p>
    <w:p>
      <w:pPr>
        <w:spacing w:before="0" w:line="132" w:lineRule="exact"/>
        <w:ind w:left="2043" w:right="0" w:firstLine="0"/>
        <w:jc w:val="left"/>
        <w:rPr>
          <w:sz w:val="21"/>
        </w:rPr>
      </w:pPr>
      <w:r>
        <w:rPr>
          <w:sz w:val="21"/>
        </w:rPr>
        <w:t>碎工序，原</w:t>
      </w:r>
    </w:p>
    <w:p>
      <w:pPr>
        <w:spacing w:before="0" w:line="163" w:lineRule="exact"/>
        <w:ind w:left="-29" w:right="0" w:firstLine="0"/>
        <w:jc w:val="left"/>
        <w:rPr>
          <w:sz w:val="21"/>
        </w:rPr>
      </w:pPr>
      <w:r>
        <w:rPr>
          <w:sz w:val="21"/>
        </w:rPr>
        <w:t>转载点等设喷雾降尘</w:t>
      </w:r>
    </w:p>
    <w:p>
      <w:pPr>
        <w:spacing w:before="0" w:line="163" w:lineRule="exact"/>
        <w:ind w:left="2043" w:right="0" w:firstLine="0"/>
        <w:jc w:val="left"/>
        <w:rPr>
          <w:sz w:val="21"/>
        </w:rPr>
      </w:pPr>
      <w:r>
        <w:rPr>
          <w:sz w:val="21"/>
        </w:rPr>
        <w:t>煤分级筛封</w:t>
      </w:r>
    </w:p>
    <w:p>
      <w:pPr>
        <w:spacing w:before="0" w:line="143" w:lineRule="exact"/>
        <w:ind w:left="-29" w:right="0" w:firstLine="0"/>
        <w:jc w:val="left"/>
        <w:rPr>
          <w:sz w:val="21"/>
        </w:rPr>
      </w:pPr>
      <w:r>
        <w:rPr>
          <w:sz w:val="21"/>
        </w:rPr>
        <w:t>系统</w:t>
      </w:r>
    </w:p>
    <w:p>
      <w:pPr>
        <w:spacing w:after="0" w:line="143" w:lineRule="exact"/>
        <w:jc w:val="left"/>
        <w:rPr>
          <w:sz w:val="21"/>
        </w:rPr>
        <w:sectPr>
          <w:type w:val="continuous"/>
          <w:pgSz w:w="16840" w:h="11910" w:orient="landscape"/>
          <w:pgMar w:top="1580" w:right="1280" w:bottom="280" w:left="1280" w:header="720" w:footer="720" w:gutter="0"/>
          <w:cols w:equalWidth="0" w:num="4">
            <w:col w:w="4225" w:space="399"/>
            <w:col w:w="1484" w:space="40"/>
            <w:col w:w="4810" w:space="40"/>
            <w:col w:w="3282"/>
          </w:cols>
        </w:sectPr>
      </w:pPr>
    </w:p>
    <w:p>
      <w:pPr>
        <w:tabs>
          <w:tab w:val="left" w:pos="2642"/>
        </w:tabs>
        <w:spacing w:before="0" w:line="239" w:lineRule="exact"/>
        <w:ind w:left="0" w:right="0" w:firstLine="0"/>
        <w:jc w:val="right"/>
        <w:rPr>
          <w:sz w:val="21"/>
        </w:rPr>
      </w:pPr>
      <w:r>
        <w:rPr>
          <w:sz w:val="21"/>
        </w:rPr>
        <w:t>有机械通风措施</w:t>
      </w:r>
      <w:r>
        <w:rPr>
          <w:sz w:val="21"/>
        </w:rPr>
        <w:tab/>
      </w:r>
      <w:r>
        <w:rPr>
          <w:spacing w:val="-1"/>
          <w:w w:val="95"/>
          <w:sz w:val="21"/>
        </w:rPr>
        <w:t>系</w:t>
      </w:r>
      <w:r>
        <w:rPr>
          <w:w w:val="95"/>
          <w:sz w:val="21"/>
        </w:rPr>
        <w:t>统</w:t>
      </w:r>
    </w:p>
    <w:p>
      <w:pPr>
        <w:spacing w:before="0" w:line="239" w:lineRule="exact"/>
        <w:ind w:left="3575" w:right="273" w:firstLine="0"/>
        <w:jc w:val="center"/>
        <w:rPr>
          <w:sz w:val="21"/>
        </w:rPr>
      </w:pPr>
      <w:r>
        <w:br w:type="column"/>
      </w:r>
      <w:r>
        <w:rPr>
          <w:sz w:val="21"/>
        </w:rPr>
        <w:t>闭作业</w:t>
      </w:r>
    </w:p>
    <w:p>
      <w:pPr>
        <w:spacing w:before="67" w:line="194" w:lineRule="exact"/>
        <w:ind w:left="3575" w:right="276" w:firstLine="0"/>
        <w:jc w:val="center"/>
        <w:rPr>
          <w:sz w:val="21"/>
        </w:rPr>
      </w:pPr>
      <w:r>
        <w:rPr>
          <w:sz w:val="21"/>
        </w:rPr>
        <w:t>全封闭煤</w:t>
      </w:r>
    </w:p>
    <w:p>
      <w:pPr>
        <w:spacing w:after="0" w:line="194" w:lineRule="exact"/>
        <w:jc w:val="center"/>
        <w:rPr>
          <w:sz w:val="21"/>
        </w:rPr>
        <w:sectPr>
          <w:type w:val="continuous"/>
          <w:pgSz w:w="16840" w:h="11910" w:orient="landscape"/>
          <w:pgMar w:top="1580" w:right="1280" w:bottom="280" w:left="1280" w:header="720" w:footer="720" w:gutter="0"/>
          <w:cols w:equalWidth="0" w:num="2">
            <w:col w:w="9509" w:space="40"/>
            <w:col w:w="4731"/>
          </w:cols>
        </w:sectPr>
      </w:pPr>
    </w:p>
    <w:p>
      <w:pPr>
        <w:spacing w:before="0" w:line="186" w:lineRule="exact"/>
        <w:ind w:left="6448" w:right="0" w:firstLine="0"/>
        <w:jc w:val="left"/>
        <w:rPr>
          <w:sz w:val="21"/>
        </w:rPr>
      </w:pPr>
      <w:r>
        <w:rPr>
          <w:sz w:val="21"/>
        </w:rPr>
        <w:t>存于封闭的储存设施。运输有存于半封闭且配有洒水喷淋装置的储存场。</w:t>
      </w:r>
    </w:p>
    <w:p>
      <w:pPr>
        <w:spacing w:before="0" w:line="139" w:lineRule="exact"/>
        <w:ind w:left="13040" w:right="0" w:firstLine="0"/>
        <w:jc w:val="left"/>
        <w:rPr>
          <w:sz w:val="21"/>
        </w:rPr>
      </w:pPr>
      <w:r>
        <w:rPr>
          <w:sz w:val="21"/>
        </w:rPr>
        <w:t>仓，汽车公</w:t>
      </w:r>
    </w:p>
    <w:p>
      <w:pPr>
        <w:spacing w:after="0" w:line="139" w:lineRule="exact"/>
        <w:jc w:val="left"/>
        <w:rPr>
          <w:sz w:val="21"/>
        </w:rPr>
        <w:sectPr>
          <w:type w:val="continuous"/>
          <w:pgSz w:w="16840" w:h="11910" w:orient="landscape"/>
          <w:pgMar w:top="1580" w:right="1280" w:bottom="280" w:left="1280" w:header="720" w:footer="720" w:gutter="0"/>
        </w:sectPr>
      </w:pPr>
    </w:p>
    <w:p>
      <w:pPr>
        <w:spacing w:before="139"/>
        <w:ind w:left="0" w:right="0" w:firstLine="0"/>
        <w:jc w:val="right"/>
        <w:rPr>
          <w:sz w:val="21"/>
        </w:rPr>
      </w:pPr>
      <w:r>
        <mc:AlternateContent>
          <mc:Choice Requires="wpg">
            <w:drawing>
              <wp:anchor distT="0" distB="0" distL="114300" distR="114300" simplePos="0" relativeHeight="214400000" behindDoc="1" locked="0" layoutInCell="1" allowOverlap="1">
                <wp:simplePos x="0" y="0"/>
                <wp:positionH relativeFrom="page">
                  <wp:posOffset>887730</wp:posOffset>
                </wp:positionH>
                <wp:positionV relativeFrom="page">
                  <wp:posOffset>899795</wp:posOffset>
                </wp:positionV>
                <wp:extent cx="8916670" cy="5563870"/>
                <wp:effectExtent l="0" t="0" r="17780" b="17780"/>
                <wp:wrapNone/>
                <wp:docPr id="95" name="组合 210"/>
                <wp:cNvGraphicFramePr/>
                <a:graphic xmlns:a="http://schemas.openxmlformats.org/drawingml/2006/main">
                  <a:graphicData uri="http://schemas.microsoft.com/office/word/2010/wordprocessingGroup">
                    <wpg:wgp>
                      <wpg:cNvGrpSpPr/>
                      <wpg:grpSpPr>
                        <a:xfrm>
                          <a:off x="0" y="0"/>
                          <a:ext cx="8916670" cy="5563870"/>
                          <a:chOff x="1398" y="1418"/>
                          <a:chExt cx="14042" cy="8762"/>
                        </a:xfrm>
                      </wpg:grpSpPr>
                      <wps:wsp>
                        <wps:cNvPr id="89" name="任意多边形 211"/>
                        <wps:cNvSpPr/>
                        <wps:spPr>
                          <a:xfrm>
                            <a:off x="1398" y="1736"/>
                            <a:ext cx="14042" cy="8742"/>
                          </a:xfrm>
                          <a:custGeom>
                            <a:avLst/>
                            <a:gdLst/>
                            <a:ahLst/>
                            <a:cxnLst/>
                            <a:pathLst>
                              <a:path w="14042" h="8742">
                                <a:moveTo>
                                  <a:pt x="0" y="-308"/>
                                </a:moveTo>
                                <a:lnTo>
                                  <a:pt x="14042" y="-308"/>
                                </a:lnTo>
                                <a:moveTo>
                                  <a:pt x="0" y="8434"/>
                                </a:moveTo>
                                <a:lnTo>
                                  <a:pt x="14042" y="8434"/>
                                </a:lnTo>
                              </a:path>
                            </a:pathLst>
                          </a:custGeom>
                          <a:noFill/>
                          <a:ln w="12192" cap="flat" cmpd="sng">
                            <a:solidFill>
                              <a:srgbClr val="000000"/>
                            </a:solidFill>
                            <a:prstDash val="solid"/>
                            <a:headEnd type="none" w="med" len="med"/>
                            <a:tailEnd type="none" w="med" len="med"/>
                          </a:ln>
                        </wps:spPr>
                        <wps:bodyPr upright="1"/>
                      </wps:wsp>
                      <wps:wsp>
                        <wps:cNvPr id="90" name="任意多边形 212"/>
                        <wps:cNvSpPr/>
                        <wps:spPr>
                          <a:xfrm>
                            <a:off x="1417" y="4047"/>
                            <a:ext cx="14003" cy="5762"/>
                          </a:xfrm>
                          <a:custGeom>
                            <a:avLst/>
                            <a:gdLst/>
                            <a:ahLst/>
                            <a:cxnLst/>
                            <a:pathLst>
                              <a:path w="14003" h="5762">
                                <a:moveTo>
                                  <a:pt x="0" y="-1950"/>
                                </a:moveTo>
                                <a:lnTo>
                                  <a:pt x="14002" y="-1950"/>
                                </a:lnTo>
                                <a:moveTo>
                                  <a:pt x="0" y="-1287"/>
                                </a:moveTo>
                                <a:lnTo>
                                  <a:pt x="567" y="-1287"/>
                                </a:lnTo>
                                <a:moveTo>
                                  <a:pt x="0" y="31"/>
                                </a:moveTo>
                                <a:lnTo>
                                  <a:pt x="567" y="31"/>
                                </a:lnTo>
                                <a:moveTo>
                                  <a:pt x="0" y="694"/>
                                </a:moveTo>
                                <a:lnTo>
                                  <a:pt x="567" y="694"/>
                                </a:lnTo>
                                <a:moveTo>
                                  <a:pt x="0" y="1044"/>
                                </a:moveTo>
                                <a:lnTo>
                                  <a:pt x="567" y="1044"/>
                                </a:lnTo>
                                <a:moveTo>
                                  <a:pt x="0" y="2495"/>
                                </a:moveTo>
                                <a:lnTo>
                                  <a:pt x="567" y="2495"/>
                                </a:lnTo>
                                <a:moveTo>
                                  <a:pt x="0" y="3812"/>
                                </a:moveTo>
                                <a:lnTo>
                                  <a:pt x="567" y="3812"/>
                                </a:lnTo>
                              </a:path>
                            </a:pathLst>
                          </a:custGeom>
                          <a:noFill/>
                          <a:ln w="6096" cap="flat" cmpd="sng">
                            <a:solidFill>
                              <a:srgbClr val="000000"/>
                            </a:solidFill>
                            <a:prstDash val="solid"/>
                            <a:headEnd type="none" w="med" len="med"/>
                            <a:tailEnd type="none" w="med" len="med"/>
                          </a:ln>
                        </wps:spPr>
                        <wps:bodyPr upright="1"/>
                      </wps:wsp>
                      <wps:wsp>
                        <wps:cNvPr id="91" name="直线 213"/>
                        <wps:cNvSpPr/>
                        <wps:spPr>
                          <a:xfrm>
                            <a:off x="1408" y="1418"/>
                            <a:ext cx="0" cy="8761"/>
                          </a:xfrm>
                          <a:prstGeom prst="line">
                            <a:avLst/>
                          </a:prstGeom>
                          <a:ln w="12192" cap="flat" cmpd="sng">
                            <a:solidFill>
                              <a:srgbClr val="000000"/>
                            </a:solidFill>
                            <a:prstDash val="solid"/>
                            <a:headEnd type="none" w="med" len="med"/>
                            <a:tailEnd type="none" w="med" len="med"/>
                          </a:ln>
                        </wps:spPr>
                        <wps:bodyPr upright="1"/>
                      </wps:wsp>
                      <wps:wsp>
                        <wps:cNvPr id="92" name="任意多边形 214"/>
                        <wps:cNvSpPr/>
                        <wps:spPr>
                          <a:xfrm>
                            <a:off x="4133" y="2729"/>
                            <a:ext cx="11288" cy="6417"/>
                          </a:xfrm>
                          <a:custGeom>
                            <a:avLst/>
                            <a:gdLst/>
                            <a:ahLst/>
                            <a:cxnLst/>
                            <a:pathLst>
                              <a:path w="11288" h="6417">
                                <a:moveTo>
                                  <a:pt x="0" y="31"/>
                                </a:moveTo>
                                <a:lnTo>
                                  <a:pt x="11287" y="31"/>
                                </a:lnTo>
                                <a:moveTo>
                                  <a:pt x="0" y="1349"/>
                                </a:moveTo>
                                <a:lnTo>
                                  <a:pt x="11287" y="1349"/>
                                </a:lnTo>
                                <a:moveTo>
                                  <a:pt x="0" y="2012"/>
                                </a:moveTo>
                                <a:lnTo>
                                  <a:pt x="11287" y="2012"/>
                                </a:lnTo>
                                <a:moveTo>
                                  <a:pt x="0" y="2362"/>
                                </a:moveTo>
                                <a:lnTo>
                                  <a:pt x="11287" y="2362"/>
                                </a:lnTo>
                                <a:moveTo>
                                  <a:pt x="0" y="3813"/>
                                </a:moveTo>
                                <a:lnTo>
                                  <a:pt x="11287" y="3813"/>
                                </a:lnTo>
                                <a:moveTo>
                                  <a:pt x="0" y="5130"/>
                                </a:moveTo>
                                <a:lnTo>
                                  <a:pt x="11287" y="5130"/>
                                </a:lnTo>
                                <a:moveTo>
                                  <a:pt x="750" y="6448"/>
                                </a:moveTo>
                                <a:lnTo>
                                  <a:pt x="11287" y="6448"/>
                                </a:lnTo>
                              </a:path>
                            </a:pathLst>
                          </a:custGeom>
                          <a:noFill/>
                          <a:ln w="6096" cap="flat" cmpd="sng">
                            <a:solidFill>
                              <a:srgbClr val="000000"/>
                            </a:solidFill>
                            <a:prstDash val="solid"/>
                            <a:headEnd type="none" w="med" len="med"/>
                            <a:tailEnd type="none" w="med" len="med"/>
                          </a:ln>
                        </wps:spPr>
                        <wps:bodyPr upright="1"/>
                      </wps:wsp>
                      <wps:wsp>
                        <wps:cNvPr id="93" name="直线 215"/>
                        <wps:cNvSpPr/>
                        <wps:spPr>
                          <a:xfrm>
                            <a:off x="15430" y="1437"/>
                            <a:ext cx="0" cy="8742"/>
                          </a:xfrm>
                          <a:prstGeom prst="line">
                            <a:avLst/>
                          </a:prstGeom>
                          <a:ln w="12192" cap="flat" cmpd="sng">
                            <a:solidFill>
                              <a:srgbClr val="000000"/>
                            </a:solidFill>
                            <a:prstDash val="solid"/>
                            <a:headEnd type="none" w="med" len="med"/>
                            <a:tailEnd type="none" w="med" len="med"/>
                          </a:ln>
                        </wps:spPr>
                        <wps:bodyPr upright="1"/>
                      </wps:wsp>
                      <wps:wsp>
                        <wps:cNvPr id="94" name="任意多边形 216"/>
                        <wps:cNvSpPr/>
                        <wps:spPr>
                          <a:xfrm>
                            <a:off x="1980" y="1746"/>
                            <a:ext cx="12285" cy="8723"/>
                          </a:xfrm>
                          <a:custGeom>
                            <a:avLst/>
                            <a:gdLst/>
                            <a:ahLst/>
                            <a:cxnLst/>
                            <a:pathLst>
                              <a:path w="12285" h="8723">
                                <a:moveTo>
                                  <a:pt x="0" y="-309"/>
                                </a:moveTo>
                                <a:lnTo>
                                  <a:pt x="0" y="8414"/>
                                </a:lnTo>
                                <a:moveTo>
                                  <a:pt x="1090" y="-309"/>
                                </a:moveTo>
                                <a:lnTo>
                                  <a:pt x="1090" y="8414"/>
                                </a:lnTo>
                                <a:moveTo>
                                  <a:pt x="2158" y="-309"/>
                                </a:moveTo>
                                <a:lnTo>
                                  <a:pt x="2158" y="8414"/>
                                </a:lnTo>
                                <a:moveTo>
                                  <a:pt x="2908" y="3340"/>
                                </a:moveTo>
                                <a:lnTo>
                                  <a:pt x="2908" y="4791"/>
                                </a:lnTo>
                                <a:moveTo>
                                  <a:pt x="2908" y="6108"/>
                                </a:moveTo>
                                <a:lnTo>
                                  <a:pt x="2908" y="8414"/>
                                </a:lnTo>
                                <a:moveTo>
                                  <a:pt x="3976" y="-309"/>
                                </a:moveTo>
                                <a:lnTo>
                                  <a:pt x="3976" y="8414"/>
                                </a:lnTo>
                                <a:moveTo>
                                  <a:pt x="4811" y="-309"/>
                                </a:moveTo>
                                <a:lnTo>
                                  <a:pt x="4811" y="8414"/>
                                </a:lnTo>
                                <a:moveTo>
                                  <a:pt x="5744" y="-309"/>
                                </a:moveTo>
                                <a:lnTo>
                                  <a:pt x="5744" y="8414"/>
                                </a:lnTo>
                                <a:moveTo>
                                  <a:pt x="8385" y="-309"/>
                                </a:moveTo>
                                <a:lnTo>
                                  <a:pt x="8385" y="3340"/>
                                </a:lnTo>
                                <a:moveTo>
                                  <a:pt x="8385" y="4791"/>
                                </a:moveTo>
                                <a:lnTo>
                                  <a:pt x="8385" y="7426"/>
                                </a:lnTo>
                                <a:moveTo>
                                  <a:pt x="10264" y="-309"/>
                                </a:moveTo>
                                <a:lnTo>
                                  <a:pt x="10264" y="346"/>
                                </a:lnTo>
                                <a:moveTo>
                                  <a:pt x="10264" y="2990"/>
                                </a:moveTo>
                                <a:lnTo>
                                  <a:pt x="10264" y="6108"/>
                                </a:lnTo>
                                <a:moveTo>
                                  <a:pt x="12285" y="-309"/>
                                </a:moveTo>
                                <a:lnTo>
                                  <a:pt x="12285" y="8414"/>
                                </a:lnTo>
                              </a:path>
                            </a:pathLst>
                          </a:custGeom>
                          <a:noFill/>
                          <a:ln w="6096" cap="flat" cmpd="sng">
                            <a:solidFill>
                              <a:srgbClr val="000000"/>
                            </a:solidFill>
                            <a:prstDash val="solid"/>
                            <a:headEnd type="none" w="med" len="med"/>
                            <a:tailEnd type="none" w="med" len="med"/>
                          </a:ln>
                        </wps:spPr>
                        <wps:bodyPr upright="1"/>
                      </wps:wsp>
                    </wpg:wgp>
                  </a:graphicData>
                </a:graphic>
              </wp:anchor>
            </w:drawing>
          </mc:Choice>
          <mc:Fallback>
            <w:pict>
              <v:group id="组合 210" o:spid="_x0000_s1026" o:spt="203" style="position:absolute;left:0pt;margin-left:69.9pt;margin-top:70.85pt;height:438.1pt;width:702.1pt;mso-position-horizontal-relative:page;mso-position-vertical-relative:page;z-index:-288916480;mso-width-relative:page;mso-height-relative:page;" coordorigin="1398,1418" coordsize="14042,8762" o:gfxdata="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">
                <o:lock v:ext="edit" aspectratio="f"/>
                <v:shape id="任意多边形 211" o:spid="_x0000_s1026" o:spt="100" style="position:absolute;left:1398;top:1736;height:8742;width:14042;" filled="f" stroked="t" coordsize="14042,8742" o:gfxdata="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FXr4A&#10;AADbAAAADwAAAAAAAAABACAAAAAiAAAAZHJzL2Rvd25yZXYueG1sUEsBAhQAFAAAAAgAh07iQDMv&#10;BZ47AAAAOQAAABAAAAAAAAAAAQAgAAAADQEAAGRycy9zaGFwZXhtbC54bWxQSwUGAAAAAAYABgBb&#10;AQAAtwMAAAAA&#10;" path="m0,-308l14042,-308m0,8434l14042,8434e">
                  <v:fill on="f" focussize="0,0"/>
                  <v:stroke weight="0.96pt" color="#000000" joinstyle="round"/>
                  <v:imagedata o:title=""/>
                  <o:lock v:ext="edit" aspectratio="f"/>
                </v:shape>
                <v:shape id="任意多边形 212" o:spid="_x0000_s1026" o:spt="100" style="position:absolute;left:1417;top:4047;height:5762;width:14003;" filled="f" stroked="t" coordsize="14003,5762" o:gfxdata="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P6+tbsAAADb&#10;AAAADwAAAAAAAAABACAAAAAiAAAAZHJzL2Rvd25yZXYueG1sUEsBAhQAFAAAAAgAh07iQDMvBZ47&#10;AAAAOQAAABAAAAAAAAAAAQAgAAAACgEAAGRycy9zaGFwZXhtbC54bWxQSwUGAAAAAAYABgBbAQAA&#10;tAMAAAAA&#10;" path="m0,-1950l14002,-1950m0,-1287l567,-1287m0,31l567,31m0,694l567,694m0,1044l567,1044m0,2495l567,2495m0,3812l567,3812e">
                  <v:fill on="f" focussize="0,0"/>
                  <v:stroke weight="0.48pt" color="#000000" joinstyle="round"/>
                  <v:imagedata o:title=""/>
                  <o:lock v:ext="edit" aspectratio="f"/>
                </v:shape>
                <v:line id="直线 213" o:spid="_x0000_s1026" o:spt="20" style="position:absolute;left:1408;top:1418;height:8761;width:0;" filled="f" stroked="t" coordsize="21600,21600" o:gfxdata="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JDNIvQAA&#10;ANs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shape id="任意多边形 214" o:spid="_x0000_s1026" o:spt="100" style="position:absolute;left:4133;top:2729;height:6417;width:11288;" filled="f" stroked="t" coordsize="11288,6417" o:gfxdata="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Rh74A&#10;AADbAAAADwAAAAAAAAABACAAAAAiAAAAZHJzL2Rvd25yZXYueG1sUEsBAhQAFAAAAAgAh07iQDMv&#10;BZ47AAAAOQAAABAAAAAAAAAAAQAgAAAADQEAAGRycy9zaGFwZXhtbC54bWxQSwUGAAAAAAYABgBb&#10;AQAAtwMAAAAA&#10;" path="m0,31l11287,31m0,1349l11287,1349m0,2012l11287,2012m0,2362l11287,2362m0,3813l11287,3813m0,5130l11287,5130m750,6448l11287,6448e">
                  <v:fill on="f" focussize="0,0"/>
                  <v:stroke weight="0.48pt" color="#000000" joinstyle="round"/>
                  <v:imagedata o:title=""/>
                  <o:lock v:ext="edit" aspectratio="f"/>
                </v:shape>
                <v:line id="直线 215" o:spid="_x0000_s1026" o:spt="20" style="position:absolute;left:15430;top:1437;height:8742;width:0;" filled="f" stroked="t" coordsize="21600,21600" o:gfxdata="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oIpL4A&#10;AADb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shape id="任意多边形 216" o:spid="_x0000_s1026" o:spt="100" style="position:absolute;left:1980;top:1746;height:8723;width:12285;" filled="f" stroked="t" coordsize="12285,8723" o:gfxdata="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SmGXvQAA&#10;ANsAAAAPAAAAAAAAAAEAIAAAACIAAABkcnMvZG93bnJldi54bWxQSwECFAAUAAAACACHTuJAMy8F&#10;njsAAAA5AAAAEAAAAAAAAAABACAAAAAMAQAAZHJzL3NoYXBleG1sLnhtbFBLBQYAAAAABgAGAFsB&#10;AAC2AwAAAAA=&#10;" path="m0,-309l0,8414m1090,-309l1090,8414m2158,-309l2158,8414m2908,3340l2908,4791m2908,6108l2908,8414m3976,-309l3976,8414m4811,-309l4811,8414m5744,-309l5744,8414m8385,-309l8385,3340m8385,4791l8385,7426m10264,-309l10264,346m10264,2990l10264,6108m12285,-309l12285,8414e">
                  <v:fill on="f" focussize="0,0"/>
                  <v:stroke weight="0.48pt" color="#000000" joinstyle="round"/>
                  <v:imagedata o:title=""/>
                  <o:lock v:ext="edit" aspectratio="f"/>
                </v:shape>
              </v:group>
            </w:pict>
          </mc:Fallback>
        </mc:AlternateContent>
      </w:r>
      <w:r>
        <w:rPr>
          <w:w w:val="95"/>
          <w:sz w:val="21"/>
        </w:rPr>
        <w:t>产品的</w:t>
      </w:r>
    </w:p>
    <w:p>
      <w:pPr>
        <w:pStyle w:val="13"/>
        <w:numPr>
          <w:ilvl w:val="0"/>
          <w:numId w:val="77"/>
        </w:numPr>
        <w:tabs>
          <w:tab w:val="left" w:pos="2606"/>
          <w:tab w:val="left" w:pos="2607"/>
        </w:tabs>
        <w:spacing w:before="62" w:after="0" w:line="240" w:lineRule="auto"/>
        <w:ind w:left="2917" w:right="0" w:hanging="2918"/>
        <w:jc w:val="right"/>
        <w:rPr>
          <w:sz w:val="21"/>
        </w:rPr>
      </w:pPr>
      <w:r>
        <w:rPr>
          <w:w w:val="95"/>
          <w:sz w:val="21"/>
        </w:rPr>
        <w:t>储运方</w:t>
      </w:r>
    </w:p>
    <w:p>
      <w:pPr>
        <w:spacing w:before="53"/>
        <w:ind w:left="0" w:right="206" w:firstLine="0"/>
        <w:jc w:val="right"/>
        <w:rPr>
          <w:sz w:val="21"/>
        </w:rPr>
      </w:pPr>
      <w:r>
        <w:rPr>
          <w:w w:val="99"/>
          <w:sz w:val="21"/>
        </w:rPr>
        <w:t>式</w:t>
      </w:r>
    </w:p>
    <w:p>
      <w:pPr>
        <w:tabs>
          <w:tab w:val="left" w:pos="1402"/>
        </w:tabs>
        <w:spacing w:before="0" w:line="240" w:lineRule="exact"/>
        <w:ind w:left="27" w:right="0" w:firstLine="0"/>
        <w:jc w:val="left"/>
        <w:rPr>
          <w:sz w:val="21"/>
        </w:rPr>
      </w:pPr>
      <w:r>
        <w:br w:type="column"/>
      </w:r>
      <w:r>
        <w:rPr>
          <w:sz w:val="21"/>
        </w:rPr>
        <w:t>精煤、中煤</w:t>
      </w:r>
      <w:r>
        <w:rPr>
          <w:sz w:val="21"/>
        </w:rPr>
        <w:tab/>
      </w:r>
      <w:r>
        <w:rPr>
          <w:sz w:val="21"/>
        </w:rPr>
        <w:t>━</w:t>
      </w:r>
    </w:p>
    <w:p>
      <w:pPr>
        <w:pStyle w:val="6"/>
        <w:rPr>
          <w:sz w:val="20"/>
        </w:rPr>
      </w:pPr>
    </w:p>
    <w:p>
      <w:pPr>
        <w:pStyle w:val="6"/>
        <w:rPr>
          <w:sz w:val="20"/>
        </w:rPr>
      </w:pPr>
    </w:p>
    <w:p>
      <w:pPr>
        <w:pStyle w:val="6"/>
        <w:spacing w:before="4"/>
        <w:rPr>
          <w:sz w:val="16"/>
        </w:rPr>
      </w:pPr>
    </w:p>
    <w:p>
      <w:pPr>
        <w:spacing w:before="0" w:line="216" w:lineRule="exact"/>
        <w:ind w:left="27" w:right="0" w:firstLine="0"/>
        <w:jc w:val="left"/>
        <w:rPr>
          <w:sz w:val="21"/>
        </w:rPr>
      </w:pPr>
      <w:r>
        <w:rPr>
          <w:sz w:val="21"/>
        </w:rPr>
        <w:t>煤矸石、煤</w:t>
      </w:r>
    </w:p>
    <w:p>
      <w:pPr>
        <w:spacing w:before="0" w:line="163" w:lineRule="exact"/>
        <w:ind w:left="1402" w:right="0" w:firstLine="0"/>
        <w:jc w:val="left"/>
        <w:rPr>
          <w:sz w:val="21"/>
        </w:rPr>
      </w:pPr>
      <w:r>
        <w:rPr>
          <w:w w:val="99"/>
          <w:sz w:val="21"/>
        </w:rPr>
        <w:t>━</w:t>
      </w:r>
    </w:p>
    <w:p>
      <w:pPr>
        <w:spacing w:before="0" w:line="216" w:lineRule="exact"/>
        <w:ind w:left="27" w:right="0" w:firstLine="0"/>
        <w:jc w:val="left"/>
        <w:rPr>
          <w:sz w:val="21"/>
        </w:rPr>
      </w:pPr>
      <w:r>
        <w:rPr>
          <w:w w:val="99"/>
          <w:sz w:val="21"/>
        </w:rPr>
        <w:t>泥</w:t>
      </w:r>
    </w:p>
    <w:p>
      <w:pPr>
        <w:spacing w:before="0" w:line="232" w:lineRule="exact"/>
        <w:ind w:left="311" w:right="0" w:firstLine="0"/>
        <w:jc w:val="left"/>
        <w:rPr>
          <w:rFonts w:ascii="Times New Roman"/>
          <w:sz w:val="21"/>
        </w:rPr>
      </w:pPr>
      <w:r>
        <w:br w:type="column"/>
      </w:r>
      <w:r>
        <w:rPr>
          <w:rFonts w:ascii="Times New Roman"/>
          <w:sz w:val="21"/>
        </w:rPr>
        <w:t>0.06</w:t>
      </w:r>
    </w:p>
    <w:p>
      <w:pPr>
        <w:pStyle w:val="6"/>
        <w:rPr>
          <w:rFonts w:ascii="Times New Roman"/>
          <w:sz w:val="22"/>
        </w:rPr>
      </w:pPr>
    </w:p>
    <w:p>
      <w:pPr>
        <w:pStyle w:val="6"/>
        <w:rPr>
          <w:rFonts w:ascii="Times New Roman"/>
          <w:sz w:val="22"/>
        </w:rPr>
      </w:pPr>
    </w:p>
    <w:p>
      <w:pPr>
        <w:pStyle w:val="6"/>
        <w:rPr>
          <w:rFonts w:ascii="Times New Roman"/>
          <w:sz w:val="22"/>
        </w:rPr>
      </w:pPr>
    </w:p>
    <w:p>
      <w:pPr>
        <w:spacing w:before="151"/>
        <w:ind w:left="311" w:right="0" w:firstLine="0"/>
        <w:jc w:val="left"/>
        <w:rPr>
          <w:rFonts w:ascii="Times New Roman"/>
          <w:sz w:val="21"/>
        </w:rPr>
      </w:pPr>
      <w:r>
        <w:rPr>
          <w:rFonts w:ascii="Times New Roman"/>
          <w:sz w:val="21"/>
        </w:rPr>
        <w:t>0.06</w:t>
      </w:r>
    </w:p>
    <w:p>
      <w:pPr>
        <w:spacing w:before="0" w:line="240" w:lineRule="exact"/>
        <w:ind w:left="246" w:right="0" w:firstLine="0"/>
        <w:jc w:val="left"/>
        <w:rPr>
          <w:sz w:val="21"/>
        </w:rPr>
      </w:pPr>
      <w:r>
        <w:br w:type="column"/>
      </w:r>
      <w:r>
        <w:rPr>
          <w:w w:val="95"/>
          <w:sz w:val="21"/>
        </w:rPr>
        <w:t>铁路专用线及铁路快速装车运输有铁路专用线、铁路快速装车系统，汽</w:t>
      </w:r>
    </w:p>
    <w:p>
      <w:pPr>
        <w:tabs>
          <w:tab w:val="left" w:pos="2889"/>
        </w:tabs>
        <w:spacing w:before="57"/>
        <w:ind w:left="246" w:right="0" w:firstLine="0"/>
        <w:jc w:val="left"/>
        <w:rPr>
          <w:sz w:val="21"/>
        </w:rPr>
      </w:pPr>
      <w:r>
        <w:rPr>
          <w:sz w:val="21"/>
        </w:rPr>
        <w:t>系统</w:t>
      </w:r>
      <w:r>
        <w:rPr>
          <w:sz w:val="21"/>
        </w:rPr>
        <w:tab/>
      </w:r>
      <w:r>
        <w:rPr>
          <w:sz w:val="21"/>
        </w:rPr>
        <w:t>车公路外运采用全封闭车厢</w:t>
      </w:r>
    </w:p>
    <w:p>
      <w:pPr>
        <w:pStyle w:val="6"/>
        <w:rPr>
          <w:sz w:val="20"/>
        </w:rPr>
      </w:pPr>
    </w:p>
    <w:p>
      <w:pPr>
        <w:spacing w:before="140" w:line="290" w:lineRule="auto"/>
        <w:ind w:left="246" w:right="0" w:firstLine="0"/>
        <w:jc w:val="left"/>
        <w:rPr>
          <w:sz w:val="21"/>
        </w:rPr>
      </w:pPr>
      <w:r>
        <w:rPr>
          <w:sz w:val="21"/>
        </w:rPr>
        <w:t>首先考虑综合利用，不能利用的暂时存于封闭或半封闭的储存设施，地面不设立永久矸石山，煤矸石、煤泥外运采用全封闭车厢</w:t>
      </w:r>
    </w:p>
    <w:p>
      <w:pPr>
        <w:spacing w:before="134" w:line="292" w:lineRule="auto"/>
        <w:ind w:left="22" w:right="186" w:firstLine="0"/>
        <w:jc w:val="both"/>
        <w:rPr>
          <w:sz w:val="21"/>
        </w:rPr>
      </w:pPr>
      <w:r>
        <w:br w:type="column"/>
      </w:r>
      <w:r>
        <w:rPr>
          <w:sz w:val="21"/>
        </w:rPr>
        <w:t>路外运采用全封闭车厢不设立永久矸石山，矸石暂存于煤</w:t>
      </w:r>
    </w:p>
    <w:p>
      <w:pPr>
        <w:spacing w:after="0" w:line="292" w:lineRule="auto"/>
        <w:jc w:val="both"/>
        <w:rPr>
          <w:sz w:val="21"/>
        </w:rPr>
        <w:sectPr>
          <w:type w:val="continuous"/>
          <w:pgSz w:w="16840" w:h="11910" w:orient="landscape"/>
          <w:pgMar w:top="1580" w:right="1280" w:bottom="280" w:left="1280" w:header="720" w:footer="720" w:gutter="0"/>
          <w:cols w:equalWidth="0" w:num="5">
            <w:col w:w="3547" w:space="40"/>
            <w:col w:w="1652" w:space="243"/>
            <w:col w:w="680" w:space="39"/>
            <w:col w:w="6778" w:space="40"/>
            <w:col w:w="1261"/>
          </w:cols>
        </w:sectPr>
      </w:pPr>
    </w:p>
    <w:p>
      <w:pPr>
        <w:pStyle w:val="6"/>
        <w:spacing w:before="1"/>
        <w:rPr>
          <w:rFonts w:ascii="Times New Roman"/>
          <w:sz w:val="27"/>
        </w:rPr>
      </w:pPr>
    </w:p>
    <w:tbl>
      <w:tblPr>
        <w:tblStyle w:val="10"/>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72"/>
        <w:gridCol w:w="1090"/>
        <w:gridCol w:w="1068"/>
        <w:gridCol w:w="750"/>
        <w:gridCol w:w="1068"/>
        <w:gridCol w:w="835"/>
        <w:gridCol w:w="933"/>
        <w:gridCol w:w="2641"/>
        <w:gridCol w:w="1879"/>
        <w:gridCol w:w="2021"/>
        <w:gridCol w:w="11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572" w:type="dxa"/>
            <w:tcBorders>
              <w:bottom w:val="single" w:color="000000" w:sz="4" w:space="0"/>
              <w:right w:val="single" w:color="000000" w:sz="4" w:space="0"/>
            </w:tcBorders>
          </w:tcPr>
          <w:p>
            <w:pPr>
              <w:pStyle w:val="14"/>
              <w:spacing w:before="165"/>
              <w:ind w:left="56" w:right="41"/>
              <w:rPr>
                <w:sz w:val="21"/>
              </w:rPr>
            </w:pPr>
            <w:r>
              <w:rPr>
                <w:sz w:val="21"/>
              </w:rPr>
              <w:t>序号</w:t>
            </w:r>
          </w:p>
        </w:tc>
        <w:tc>
          <w:tcPr>
            <w:tcW w:w="1090" w:type="dxa"/>
            <w:tcBorders>
              <w:left w:val="single" w:color="000000" w:sz="4" w:space="0"/>
              <w:bottom w:val="single" w:color="000000" w:sz="4" w:space="0"/>
              <w:right w:val="single" w:color="000000" w:sz="4" w:space="0"/>
            </w:tcBorders>
          </w:tcPr>
          <w:p>
            <w:pPr>
              <w:pStyle w:val="14"/>
              <w:spacing w:before="2"/>
              <w:ind w:left="16"/>
              <w:rPr>
                <w:sz w:val="21"/>
              </w:rPr>
            </w:pPr>
            <w:r>
              <w:rPr>
                <w:sz w:val="21"/>
              </w:rPr>
              <w:t>一级指标指</w:t>
            </w:r>
          </w:p>
          <w:p>
            <w:pPr>
              <w:pStyle w:val="14"/>
              <w:spacing w:before="55"/>
              <w:ind w:left="18"/>
              <w:rPr>
                <w:sz w:val="21"/>
              </w:rPr>
            </w:pPr>
            <w:r>
              <w:rPr>
                <w:sz w:val="21"/>
              </w:rPr>
              <w:t>标项</w:t>
            </w:r>
          </w:p>
        </w:tc>
        <w:tc>
          <w:tcPr>
            <w:tcW w:w="1068" w:type="dxa"/>
            <w:tcBorders>
              <w:left w:val="single" w:color="000000" w:sz="4" w:space="0"/>
              <w:bottom w:val="single" w:color="000000" w:sz="4" w:space="0"/>
              <w:right w:val="single" w:color="000000" w:sz="4" w:space="0"/>
            </w:tcBorders>
          </w:tcPr>
          <w:p>
            <w:pPr>
              <w:pStyle w:val="14"/>
              <w:spacing w:before="2"/>
              <w:ind w:left="13" w:right="-15"/>
              <w:rPr>
                <w:sz w:val="21"/>
              </w:rPr>
            </w:pPr>
            <w:r>
              <w:rPr>
                <w:sz w:val="21"/>
              </w:rPr>
              <w:t>一级指标权</w:t>
            </w:r>
          </w:p>
          <w:p>
            <w:pPr>
              <w:pStyle w:val="14"/>
              <w:spacing w:before="55"/>
              <w:ind w:left="306" w:right="290"/>
              <w:rPr>
                <w:sz w:val="21"/>
              </w:rPr>
            </w:pPr>
            <w:r>
              <w:rPr>
                <w:sz w:val="21"/>
              </w:rPr>
              <w:t>重值</w:t>
            </w:r>
          </w:p>
        </w:tc>
        <w:tc>
          <w:tcPr>
            <w:tcW w:w="1818" w:type="dxa"/>
            <w:gridSpan w:val="2"/>
            <w:tcBorders>
              <w:left w:val="single" w:color="000000" w:sz="4" w:space="0"/>
              <w:bottom w:val="single" w:color="000000" w:sz="4" w:space="0"/>
              <w:right w:val="single" w:color="000000" w:sz="4" w:space="0"/>
            </w:tcBorders>
          </w:tcPr>
          <w:p>
            <w:pPr>
              <w:pStyle w:val="14"/>
              <w:spacing w:before="165"/>
              <w:ind w:left="179"/>
              <w:jc w:val="left"/>
              <w:rPr>
                <w:sz w:val="21"/>
              </w:rPr>
            </w:pPr>
            <w:r>
              <w:rPr>
                <w:sz w:val="21"/>
              </w:rPr>
              <w:t>二级指标指标项</w:t>
            </w:r>
          </w:p>
        </w:tc>
        <w:tc>
          <w:tcPr>
            <w:tcW w:w="835" w:type="dxa"/>
            <w:tcBorders>
              <w:left w:val="single" w:color="000000" w:sz="4" w:space="0"/>
              <w:bottom w:val="single" w:color="000000" w:sz="4" w:space="0"/>
              <w:right w:val="single" w:color="000000" w:sz="4" w:space="0"/>
            </w:tcBorders>
          </w:tcPr>
          <w:p>
            <w:pPr>
              <w:pStyle w:val="14"/>
              <w:spacing w:before="165"/>
              <w:ind w:right="193"/>
              <w:jc w:val="right"/>
              <w:rPr>
                <w:sz w:val="21"/>
              </w:rPr>
            </w:pPr>
            <w:r>
              <w:rPr>
                <w:w w:val="95"/>
                <w:sz w:val="21"/>
              </w:rPr>
              <w:t>单位</w:t>
            </w:r>
          </w:p>
        </w:tc>
        <w:tc>
          <w:tcPr>
            <w:tcW w:w="933" w:type="dxa"/>
            <w:tcBorders>
              <w:left w:val="single" w:color="000000" w:sz="4" w:space="0"/>
              <w:bottom w:val="single" w:color="000000" w:sz="4" w:space="0"/>
              <w:right w:val="single" w:color="000000" w:sz="4" w:space="0"/>
            </w:tcBorders>
          </w:tcPr>
          <w:p>
            <w:pPr>
              <w:pStyle w:val="14"/>
              <w:spacing w:before="2"/>
              <w:ind w:left="51"/>
              <w:jc w:val="left"/>
              <w:rPr>
                <w:sz w:val="21"/>
              </w:rPr>
            </w:pPr>
            <w:r>
              <w:rPr>
                <w:w w:val="95"/>
                <w:sz w:val="21"/>
              </w:rPr>
              <w:t>二级指标</w:t>
            </w:r>
          </w:p>
          <w:p>
            <w:pPr>
              <w:pStyle w:val="14"/>
              <w:spacing w:before="55"/>
              <w:ind w:left="51"/>
              <w:jc w:val="left"/>
              <w:rPr>
                <w:sz w:val="21"/>
              </w:rPr>
            </w:pPr>
            <w:r>
              <w:rPr>
                <w:w w:val="95"/>
                <w:sz w:val="21"/>
              </w:rPr>
              <w:t>分权重值</w:t>
            </w:r>
          </w:p>
        </w:tc>
        <w:tc>
          <w:tcPr>
            <w:tcW w:w="2641" w:type="dxa"/>
            <w:tcBorders>
              <w:left w:val="single" w:color="000000" w:sz="4" w:space="0"/>
              <w:bottom w:val="single" w:color="000000" w:sz="4" w:space="0"/>
              <w:right w:val="single" w:color="000000" w:sz="4" w:space="0"/>
            </w:tcBorders>
          </w:tcPr>
          <w:p>
            <w:pPr>
              <w:pStyle w:val="14"/>
              <w:spacing w:before="165"/>
              <w:ind w:left="800"/>
              <w:jc w:val="left"/>
              <w:rPr>
                <w:sz w:val="21"/>
              </w:rPr>
            </w:pPr>
            <w:r>
              <w:rPr>
                <w:sz w:val="21"/>
              </w:rPr>
              <w:t>Ⅰ级基准值</w:t>
            </w:r>
          </w:p>
        </w:tc>
        <w:tc>
          <w:tcPr>
            <w:tcW w:w="1879" w:type="dxa"/>
            <w:tcBorders>
              <w:left w:val="single" w:color="000000" w:sz="4" w:space="0"/>
              <w:bottom w:val="single" w:color="000000" w:sz="4" w:space="0"/>
              <w:right w:val="single" w:color="000000" w:sz="4" w:space="0"/>
            </w:tcBorders>
          </w:tcPr>
          <w:p>
            <w:pPr>
              <w:pStyle w:val="14"/>
              <w:spacing w:before="165"/>
              <w:ind w:left="397" w:right="382"/>
              <w:rPr>
                <w:sz w:val="21"/>
              </w:rPr>
            </w:pPr>
            <w:r>
              <w:rPr>
                <w:sz w:val="21"/>
              </w:rPr>
              <w:t>Ⅱ级基准值</w:t>
            </w:r>
          </w:p>
        </w:tc>
        <w:tc>
          <w:tcPr>
            <w:tcW w:w="2021" w:type="dxa"/>
            <w:tcBorders>
              <w:left w:val="single" w:color="000000" w:sz="4" w:space="0"/>
              <w:bottom w:val="single" w:color="000000" w:sz="4" w:space="0"/>
              <w:right w:val="single" w:color="000000" w:sz="4" w:space="0"/>
            </w:tcBorders>
          </w:tcPr>
          <w:p>
            <w:pPr>
              <w:pStyle w:val="14"/>
              <w:spacing w:before="165"/>
              <w:ind w:left="468" w:right="453"/>
              <w:rPr>
                <w:sz w:val="21"/>
              </w:rPr>
            </w:pPr>
            <w:r>
              <w:rPr>
                <w:sz w:val="21"/>
              </w:rPr>
              <w:t>Ⅲ级基准值</w:t>
            </w:r>
          </w:p>
        </w:tc>
        <w:tc>
          <w:tcPr>
            <w:tcW w:w="1165" w:type="dxa"/>
            <w:tcBorders>
              <w:left w:val="single" w:color="000000" w:sz="4" w:space="0"/>
              <w:bottom w:val="single" w:color="000000" w:sz="4" w:space="0"/>
            </w:tcBorders>
          </w:tcPr>
          <w:p>
            <w:pPr>
              <w:pStyle w:val="14"/>
              <w:spacing w:before="2"/>
              <w:ind w:left="22" w:right="5"/>
              <w:rPr>
                <w:sz w:val="21"/>
              </w:rPr>
            </w:pPr>
            <w:r>
              <w:rPr>
                <w:sz w:val="21"/>
              </w:rPr>
              <w:t>本煤矿扩建</w:t>
            </w:r>
          </w:p>
          <w:p>
            <w:pPr>
              <w:pStyle w:val="14"/>
              <w:spacing w:before="55"/>
              <w:ind w:left="19"/>
              <w:rPr>
                <w:sz w:val="21"/>
              </w:rPr>
            </w:pPr>
            <w:r>
              <w:rPr>
                <w:w w:val="99"/>
                <w:sz w:val="21"/>
              </w:rPr>
              <w:t>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86" w:hRule="atLeast"/>
        </w:trPr>
        <w:tc>
          <w:tcPr>
            <w:tcW w:w="572" w:type="dxa"/>
            <w:tcBorders>
              <w:top w:val="single" w:color="000000" w:sz="4" w:space="0"/>
              <w:bottom w:val="single" w:color="000000" w:sz="4" w:space="0"/>
              <w:right w:val="single" w:color="000000" w:sz="4" w:space="0"/>
            </w:tcBorders>
          </w:tcPr>
          <w:p>
            <w:pPr>
              <w:pStyle w:val="14"/>
              <w:jc w:val="left"/>
              <w:rPr>
                <w:rFonts w:ascii="Times New Roman"/>
                <w:sz w:val="20"/>
              </w:rPr>
            </w:pPr>
          </w:p>
        </w:tc>
        <w:tc>
          <w:tcPr>
            <w:tcW w:w="1090" w:type="dxa"/>
            <w:vMerge w:val="restart"/>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068" w:type="dxa"/>
            <w:vMerge w:val="restart"/>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750"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068"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835"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933"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6541" w:type="dxa"/>
            <w:gridSpan w:val="3"/>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165" w:type="dxa"/>
            <w:tcBorders>
              <w:top w:val="single" w:color="000000" w:sz="4" w:space="0"/>
              <w:left w:val="single" w:color="000000" w:sz="4" w:space="0"/>
              <w:bottom w:val="single" w:color="000000" w:sz="4" w:space="0"/>
            </w:tcBorders>
          </w:tcPr>
          <w:p>
            <w:pPr>
              <w:pStyle w:val="14"/>
              <w:spacing w:line="290" w:lineRule="auto"/>
              <w:ind w:left="60" w:right="38" w:hanging="5"/>
              <w:rPr>
                <w:sz w:val="21"/>
              </w:rPr>
            </w:pPr>
            <w:r>
              <w:rPr>
                <w:sz w:val="21"/>
              </w:rPr>
              <w:t xml:space="preserve">矸石暂存 </w:t>
            </w:r>
            <w:r>
              <w:rPr>
                <w:spacing w:val="-3"/>
                <w:sz w:val="21"/>
              </w:rPr>
              <w:t>厂，用来平</w:t>
            </w:r>
            <w:r>
              <w:rPr>
                <w:sz w:val="21"/>
              </w:rPr>
              <w:t xml:space="preserve">整工业场 </w:t>
            </w:r>
            <w:r>
              <w:rPr>
                <w:spacing w:val="-3"/>
                <w:sz w:val="21"/>
              </w:rPr>
              <w:t>地；用作公路的路基石料；用于填</w:t>
            </w:r>
          </w:p>
          <w:p>
            <w:pPr>
              <w:pStyle w:val="14"/>
              <w:spacing w:before="8"/>
              <w:ind w:left="22" w:right="5"/>
              <w:rPr>
                <w:sz w:val="21"/>
              </w:rPr>
            </w:pPr>
            <w:r>
              <w:rPr>
                <w:sz w:val="21"/>
              </w:rPr>
              <w:t>沟造地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7" w:hRule="atLeast"/>
        </w:trPr>
        <w:tc>
          <w:tcPr>
            <w:tcW w:w="572" w:type="dxa"/>
            <w:tcBorders>
              <w:top w:val="single" w:color="000000" w:sz="4" w:space="0"/>
              <w:bottom w:val="single" w:color="000000" w:sz="4" w:space="0"/>
              <w:right w:val="single" w:color="000000" w:sz="4" w:space="0"/>
            </w:tcBorders>
          </w:tcPr>
          <w:p>
            <w:pPr>
              <w:pStyle w:val="14"/>
              <w:jc w:val="left"/>
              <w:rPr>
                <w:rFonts w:ascii="Times New Roman"/>
                <w:sz w:val="22"/>
              </w:rPr>
            </w:pPr>
          </w:p>
          <w:p>
            <w:pPr>
              <w:pStyle w:val="14"/>
              <w:spacing w:before="2"/>
              <w:jc w:val="left"/>
              <w:rPr>
                <w:rFonts w:ascii="Times New Roman"/>
                <w:sz w:val="22"/>
              </w:rPr>
            </w:pPr>
          </w:p>
          <w:p>
            <w:pPr>
              <w:pStyle w:val="14"/>
              <w:ind w:left="56" w:right="38"/>
              <w:rPr>
                <w:rFonts w:ascii="Times New Roman"/>
                <w:sz w:val="21"/>
              </w:rPr>
            </w:pPr>
            <w:r>
              <w:rPr>
                <w:rFonts w:ascii="Times New Roman"/>
                <w:sz w:val="21"/>
              </w:rPr>
              <w:t>11</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p>
            <w:pPr>
              <w:pStyle w:val="14"/>
              <w:spacing w:before="9"/>
              <w:jc w:val="left"/>
              <w:rPr>
                <w:rFonts w:ascii="Times New Roman"/>
                <w:sz w:val="22"/>
              </w:rPr>
            </w:pPr>
          </w:p>
          <w:p>
            <w:pPr>
              <w:pStyle w:val="14"/>
              <w:ind w:left="282"/>
              <w:jc w:val="left"/>
              <w:rPr>
                <w:sz w:val="21"/>
              </w:rPr>
            </w:pPr>
            <w:r>
              <w:rPr>
                <w:sz w:val="21"/>
              </w:rPr>
              <w:t>选煤工艺装备</w:t>
            </w:r>
          </w:p>
        </w:tc>
        <w:tc>
          <w:tcPr>
            <w:tcW w:w="835"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p>
            <w:pPr>
              <w:pStyle w:val="14"/>
              <w:spacing w:before="9"/>
              <w:jc w:val="left"/>
              <w:rPr>
                <w:rFonts w:ascii="Times New Roman"/>
                <w:sz w:val="22"/>
              </w:rPr>
            </w:pPr>
          </w:p>
          <w:p>
            <w:pPr>
              <w:pStyle w:val="14"/>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2"/>
              </w:rPr>
            </w:pPr>
          </w:p>
          <w:p>
            <w:pPr>
              <w:pStyle w:val="14"/>
              <w:spacing w:before="2"/>
              <w:jc w:val="left"/>
              <w:rPr>
                <w:rFonts w:ascii="Times New Roman"/>
                <w:sz w:val="22"/>
              </w:rPr>
            </w:pPr>
          </w:p>
          <w:p>
            <w:pPr>
              <w:pStyle w:val="14"/>
              <w:ind w:left="266" w:right="248"/>
              <w:rPr>
                <w:rFonts w:ascii="Times New Roman"/>
                <w:sz w:val="21"/>
              </w:rPr>
            </w:pPr>
            <w:r>
              <w:rPr>
                <w:rFonts w:ascii="Times New Roman"/>
                <w:sz w:val="21"/>
              </w:rPr>
              <w:t>0.08</w:t>
            </w:r>
          </w:p>
        </w:tc>
        <w:tc>
          <w:tcPr>
            <w:tcW w:w="4520" w:type="dxa"/>
            <w:gridSpan w:val="2"/>
            <w:tcBorders>
              <w:top w:val="single" w:color="000000" w:sz="4" w:space="0"/>
              <w:left w:val="single" w:color="000000" w:sz="4" w:space="0"/>
              <w:bottom w:val="single" w:color="000000" w:sz="4" w:space="0"/>
              <w:right w:val="single" w:color="000000" w:sz="4" w:space="0"/>
            </w:tcBorders>
          </w:tcPr>
          <w:p>
            <w:pPr>
              <w:pStyle w:val="14"/>
              <w:spacing w:before="4"/>
              <w:jc w:val="left"/>
              <w:rPr>
                <w:rFonts w:ascii="Times New Roman"/>
                <w:sz w:val="28"/>
              </w:rPr>
            </w:pPr>
          </w:p>
          <w:p>
            <w:pPr>
              <w:pStyle w:val="14"/>
              <w:spacing w:line="290" w:lineRule="auto"/>
              <w:ind w:left="8" w:right="-15"/>
              <w:jc w:val="left"/>
              <w:rPr>
                <w:sz w:val="21"/>
              </w:rPr>
            </w:pPr>
            <w:r>
              <w:rPr>
                <w:spacing w:val="3"/>
                <w:w w:val="95"/>
                <w:sz w:val="21"/>
              </w:rPr>
              <w:t xml:space="preserve">采用先进的选煤工艺和设备，实现数量、质量自 </w:t>
            </w:r>
            <w:r>
              <w:rPr>
                <w:spacing w:val="3"/>
                <w:sz w:val="21"/>
              </w:rPr>
              <w:t>动监测控制和信息化管理</w:t>
            </w:r>
          </w:p>
        </w:tc>
        <w:tc>
          <w:tcPr>
            <w:tcW w:w="2021" w:type="dxa"/>
            <w:tcBorders>
              <w:top w:val="single" w:color="000000" w:sz="4" w:space="0"/>
              <w:left w:val="single" w:color="000000" w:sz="4" w:space="0"/>
              <w:bottom w:val="single" w:color="000000" w:sz="4" w:space="0"/>
              <w:right w:val="single" w:color="000000" w:sz="4" w:space="0"/>
            </w:tcBorders>
          </w:tcPr>
          <w:p>
            <w:pPr>
              <w:pStyle w:val="14"/>
              <w:spacing w:line="290" w:lineRule="auto"/>
              <w:ind w:left="10" w:right="-15"/>
              <w:jc w:val="both"/>
              <w:rPr>
                <w:sz w:val="21"/>
              </w:rPr>
            </w:pPr>
            <w:r>
              <w:rPr>
                <w:w w:val="95"/>
                <w:sz w:val="21"/>
              </w:rPr>
              <w:t>采用成熟的选煤工艺和设备，实现单元作业操作程序自动化，设有</w:t>
            </w:r>
          </w:p>
          <w:p>
            <w:pPr>
              <w:pStyle w:val="14"/>
              <w:spacing w:before="5"/>
              <w:ind w:left="10"/>
              <w:jc w:val="left"/>
              <w:rPr>
                <w:sz w:val="21"/>
              </w:rPr>
            </w:pPr>
            <w:r>
              <w:rPr>
                <w:sz w:val="21"/>
              </w:rPr>
              <w:t>全过程自动控制手段</w:t>
            </w:r>
          </w:p>
        </w:tc>
        <w:tc>
          <w:tcPr>
            <w:tcW w:w="1165" w:type="dxa"/>
            <w:tcBorders>
              <w:top w:val="single" w:color="000000" w:sz="4" w:space="0"/>
              <w:left w:val="single" w:color="000000" w:sz="4" w:space="0"/>
              <w:bottom w:val="single" w:color="000000" w:sz="4" w:space="0"/>
            </w:tcBorders>
          </w:tcPr>
          <w:p>
            <w:pPr>
              <w:pStyle w:val="14"/>
              <w:jc w:val="left"/>
              <w:rPr>
                <w:rFonts w:ascii="Times New Roman"/>
                <w:sz w:val="22"/>
              </w:rPr>
            </w:pPr>
          </w:p>
          <w:p>
            <w:pPr>
              <w:pStyle w:val="14"/>
              <w:spacing w:before="2"/>
              <w:jc w:val="left"/>
              <w:rPr>
                <w:rFonts w:ascii="Times New Roman"/>
                <w:sz w:val="22"/>
              </w:rPr>
            </w:pPr>
          </w:p>
          <w:p>
            <w:pPr>
              <w:pStyle w:val="14"/>
              <w:ind w:left="17"/>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72" w:type="dxa"/>
            <w:tcBorders>
              <w:top w:val="single" w:color="000000" w:sz="4" w:space="0"/>
              <w:bottom w:val="single" w:color="000000" w:sz="4" w:space="0"/>
              <w:right w:val="single" w:color="000000" w:sz="4" w:space="0"/>
            </w:tcBorders>
          </w:tcPr>
          <w:p>
            <w:pPr>
              <w:pStyle w:val="14"/>
              <w:spacing w:before="23"/>
              <w:ind w:left="56" w:right="38"/>
              <w:rPr>
                <w:rFonts w:ascii="Times New Roman"/>
                <w:sz w:val="21"/>
              </w:rPr>
            </w:pPr>
            <w:r>
              <w:rPr>
                <w:rFonts w:ascii="Times New Roman"/>
                <w:sz w:val="21"/>
              </w:rPr>
              <w:t>12</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4"/>
              <w:spacing w:before="7"/>
              <w:ind w:left="388"/>
              <w:jc w:val="left"/>
              <w:rPr>
                <w:sz w:val="21"/>
              </w:rPr>
            </w:pPr>
            <w:r>
              <w:rPr>
                <w:sz w:val="21"/>
              </w:rPr>
              <w:t>煤泥水管理</w:t>
            </w:r>
          </w:p>
        </w:tc>
        <w:tc>
          <w:tcPr>
            <w:tcW w:w="835" w:type="dxa"/>
            <w:tcBorders>
              <w:top w:val="single" w:color="000000" w:sz="4" w:space="0"/>
              <w:left w:val="single" w:color="000000" w:sz="4" w:space="0"/>
              <w:bottom w:val="single" w:color="000000" w:sz="4" w:space="0"/>
              <w:right w:val="single" w:color="000000" w:sz="4" w:space="0"/>
            </w:tcBorders>
          </w:tcPr>
          <w:p>
            <w:pPr>
              <w:pStyle w:val="14"/>
              <w:spacing w:before="7"/>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4"/>
              <w:spacing w:before="23"/>
              <w:ind w:left="266" w:right="248"/>
              <w:rPr>
                <w:rFonts w:ascii="Times New Roman"/>
                <w:sz w:val="21"/>
              </w:rPr>
            </w:pPr>
            <w:r>
              <w:rPr>
                <w:rFonts w:ascii="Times New Roman"/>
                <w:sz w:val="21"/>
              </w:rPr>
              <w:t>0.06</w:t>
            </w:r>
          </w:p>
        </w:tc>
        <w:tc>
          <w:tcPr>
            <w:tcW w:w="6541" w:type="dxa"/>
            <w:gridSpan w:val="3"/>
            <w:tcBorders>
              <w:top w:val="single" w:color="000000" w:sz="4" w:space="0"/>
              <w:left w:val="single" w:color="000000" w:sz="4" w:space="0"/>
              <w:bottom w:val="single" w:color="000000" w:sz="4" w:space="0"/>
              <w:right w:val="single" w:color="000000" w:sz="4" w:space="0"/>
            </w:tcBorders>
          </w:tcPr>
          <w:p>
            <w:pPr>
              <w:pStyle w:val="14"/>
              <w:spacing w:before="7"/>
              <w:ind w:left="8"/>
              <w:jc w:val="left"/>
              <w:rPr>
                <w:sz w:val="21"/>
              </w:rPr>
            </w:pPr>
            <w:r>
              <w:rPr>
                <w:sz w:val="21"/>
              </w:rPr>
              <w:t>洗水一级闭路循环、煤泥全部利用或无害化处置</w:t>
            </w:r>
          </w:p>
        </w:tc>
        <w:tc>
          <w:tcPr>
            <w:tcW w:w="1165" w:type="dxa"/>
            <w:tcBorders>
              <w:top w:val="single" w:color="000000" w:sz="4" w:space="0"/>
              <w:left w:val="single" w:color="000000" w:sz="4" w:space="0"/>
              <w:bottom w:val="single" w:color="000000" w:sz="4" w:space="0"/>
            </w:tcBorders>
          </w:tcPr>
          <w:p>
            <w:pPr>
              <w:pStyle w:val="14"/>
              <w:spacing w:before="23"/>
              <w:ind w:left="17"/>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72" w:type="dxa"/>
            <w:tcBorders>
              <w:top w:val="single" w:color="000000" w:sz="4" w:space="0"/>
              <w:bottom w:val="single" w:color="000000" w:sz="4" w:space="0"/>
              <w:right w:val="single" w:color="000000" w:sz="4" w:space="0"/>
            </w:tcBorders>
          </w:tcPr>
          <w:p>
            <w:pPr>
              <w:pStyle w:val="14"/>
              <w:spacing w:before="23"/>
              <w:ind w:left="56" w:right="38"/>
              <w:rPr>
                <w:rFonts w:ascii="Times New Roman"/>
                <w:sz w:val="21"/>
              </w:rPr>
            </w:pPr>
            <w:r>
              <w:rPr>
                <w:rFonts w:ascii="Times New Roman"/>
                <w:sz w:val="21"/>
              </w:rPr>
              <w:t>13</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4"/>
              <w:spacing w:before="5"/>
              <w:ind w:left="73"/>
              <w:jc w:val="left"/>
              <w:rPr>
                <w:sz w:val="21"/>
              </w:rPr>
            </w:pPr>
            <w:r>
              <w:rPr>
                <w:sz w:val="21"/>
              </w:rPr>
              <w:t>矿井瓦斯抽采要求</w:t>
            </w:r>
          </w:p>
        </w:tc>
        <w:tc>
          <w:tcPr>
            <w:tcW w:w="835" w:type="dxa"/>
            <w:tcBorders>
              <w:top w:val="single" w:color="000000" w:sz="4" w:space="0"/>
              <w:left w:val="single" w:color="000000" w:sz="4" w:space="0"/>
              <w:bottom w:val="single" w:color="000000" w:sz="4" w:space="0"/>
              <w:right w:val="single" w:color="000000" w:sz="4" w:space="0"/>
            </w:tcBorders>
          </w:tcPr>
          <w:p>
            <w:pPr>
              <w:pStyle w:val="14"/>
              <w:spacing w:before="5"/>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4"/>
              <w:spacing w:before="23"/>
              <w:ind w:left="266" w:right="248"/>
              <w:rPr>
                <w:rFonts w:ascii="Times New Roman"/>
                <w:sz w:val="21"/>
              </w:rPr>
            </w:pPr>
            <w:r>
              <w:rPr>
                <w:rFonts w:ascii="Times New Roman"/>
                <w:sz w:val="21"/>
              </w:rPr>
              <w:t>0.06</w:t>
            </w:r>
          </w:p>
        </w:tc>
        <w:tc>
          <w:tcPr>
            <w:tcW w:w="6541" w:type="dxa"/>
            <w:gridSpan w:val="3"/>
            <w:tcBorders>
              <w:top w:val="single" w:color="000000" w:sz="4" w:space="0"/>
              <w:left w:val="single" w:color="000000" w:sz="4" w:space="0"/>
              <w:bottom w:val="single" w:color="000000" w:sz="4" w:space="0"/>
              <w:right w:val="single" w:color="000000" w:sz="4" w:space="0"/>
            </w:tcBorders>
          </w:tcPr>
          <w:p>
            <w:pPr>
              <w:pStyle w:val="14"/>
              <w:spacing w:before="5"/>
              <w:ind w:left="8"/>
              <w:jc w:val="left"/>
              <w:rPr>
                <w:sz w:val="21"/>
              </w:rPr>
            </w:pPr>
            <w:r>
              <w:rPr>
                <w:sz w:val="21"/>
              </w:rPr>
              <w:t>符合《煤矿瓦斯抽采达标暂行规定》等相关要求</w:t>
            </w:r>
          </w:p>
        </w:tc>
        <w:tc>
          <w:tcPr>
            <w:tcW w:w="1165" w:type="dxa"/>
            <w:tcBorders>
              <w:top w:val="single" w:color="000000" w:sz="4" w:space="0"/>
              <w:left w:val="single" w:color="000000" w:sz="4" w:space="0"/>
              <w:bottom w:val="single" w:color="000000" w:sz="4" w:space="0"/>
            </w:tcBorders>
          </w:tcPr>
          <w:p>
            <w:pPr>
              <w:pStyle w:val="14"/>
              <w:spacing w:before="23"/>
              <w:ind w:left="17"/>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2" w:hRule="atLeast"/>
        </w:trPr>
        <w:tc>
          <w:tcPr>
            <w:tcW w:w="572" w:type="dxa"/>
            <w:tcBorders>
              <w:top w:val="single" w:color="000000" w:sz="4" w:space="0"/>
              <w:bottom w:val="single" w:color="000000" w:sz="4" w:space="0"/>
              <w:right w:val="single" w:color="000000" w:sz="4" w:space="0"/>
            </w:tcBorders>
          </w:tcPr>
          <w:p>
            <w:pPr>
              <w:pStyle w:val="14"/>
              <w:jc w:val="left"/>
              <w:rPr>
                <w:rFonts w:ascii="Times New Roman"/>
                <w:sz w:val="22"/>
              </w:rPr>
            </w:pPr>
          </w:p>
          <w:p>
            <w:pPr>
              <w:pStyle w:val="14"/>
              <w:jc w:val="left"/>
              <w:rPr>
                <w:rFonts w:ascii="Times New Roman"/>
                <w:sz w:val="22"/>
              </w:rPr>
            </w:pPr>
          </w:p>
          <w:p>
            <w:pPr>
              <w:pStyle w:val="14"/>
              <w:ind w:left="56" w:right="38"/>
              <w:rPr>
                <w:rFonts w:ascii="Times New Roman"/>
                <w:sz w:val="21"/>
              </w:rPr>
            </w:pPr>
            <w:r>
              <w:rPr>
                <w:rFonts w:ascii="Times New Roman"/>
                <w:sz w:val="21"/>
              </w:rPr>
              <w:t>14</w:t>
            </w:r>
          </w:p>
        </w:tc>
        <w:tc>
          <w:tcPr>
            <w:tcW w:w="1090" w:type="dxa"/>
            <w:vMerge w:val="restart"/>
            <w:tcBorders>
              <w:top w:val="single" w:color="000000" w:sz="4" w:space="0"/>
              <w:left w:val="single" w:color="000000" w:sz="4" w:space="0"/>
              <w:right w:val="single" w:color="000000" w:sz="4" w:space="0"/>
            </w:tcBorders>
          </w:tcPr>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spacing w:before="135" w:line="290" w:lineRule="auto"/>
              <w:ind w:left="129" w:right="110"/>
              <w:jc w:val="both"/>
              <w:rPr>
                <w:sz w:val="21"/>
              </w:rPr>
            </w:pPr>
            <w:r>
              <w:rPr>
                <w:sz w:val="21"/>
              </w:rPr>
              <w:t>（二）资源能源消耗指标</w:t>
            </w:r>
          </w:p>
        </w:tc>
        <w:tc>
          <w:tcPr>
            <w:tcW w:w="1068" w:type="dxa"/>
            <w:vMerge w:val="restart"/>
            <w:tcBorders>
              <w:top w:val="single" w:color="000000" w:sz="4" w:space="0"/>
              <w:left w:val="single" w:color="000000" w:sz="4" w:space="0"/>
              <w:right w:val="single" w:color="000000" w:sz="4" w:space="0"/>
            </w:tcBorders>
          </w:tcPr>
          <w:p>
            <w:pPr>
              <w:pStyle w:val="14"/>
              <w:jc w:val="left"/>
              <w:rPr>
                <w:rFonts w:ascii="Times New Roman"/>
                <w:sz w:val="22"/>
              </w:rPr>
            </w:pPr>
          </w:p>
          <w:p>
            <w:pPr>
              <w:pStyle w:val="14"/>
              <w:jc w:val="left"/>
              <w:rPr>
                <w:rFonts w:ascii="Times New Roman"/>
                <w:sz w:val="22"/>
              </w:rPr>
            </w:pPr>
          </w:p>
          <w:p>
            <w:pPr>
              <w:pStyle w:val="14"/>
              <w:jc w:val="left"/>
              <w:rPr>
                <w:rFonts w:ascii="Times New Roman"/>
                <w:sz w:val="22"/>
              </w:rPr>
            </w:pPr>
          </w:p>
          <w:p>
            <w:pPr>
              <w:pStyle w:val="14"/>
              <w:jc w:val="left"/>
              <w:rPr>
                <w:rFonts w:ascii="Times New Roman"/>
                <w:sz w:val="22"/>
              </w:rPr>
            </w:pPr>
          </w:p>
          <w:p>
            <w:pPr>
              <w:pStyle w:val="14"/>
              <w:jc w:val="left"/>
              <w:rPr>
                <w:rFonts w:ascii="Times New Roman"/>
                <w:sz w:val="22"/>
              </w:rPr>
            </w:pPr>
          </w:p>
          <w:p>
            <w:pPr>
              <w:pStyle w:val="14"/>
              <w:jc w:val="left"/>
              <w:rPr>
                <w:rFonts w:ascii="Times New Roman"/>
                <w:sz w:val="22"/>
              </w:rPr>
            </w:pPr>
          </w:p>
          <w:p>
            <w:pPr>
              <w:pStyle w:val="14"/>
              <w:spacing w:before="8"/>
              <w:jc w:val="left"/>
              <w:rPr>
                <w:rFonts w:ascii="Times New Roman"/>
                <w:sz w:val="29"/>
              </w:rPr>
            </w:pPr>
          </w:p>
          <w:p>
            <w:pPr>
              <w:pStyle w:val="14"/>
              <w:spacing w:before="1"/>
              <w:ind w:left="307" w:right="288"/>
              <w:rPr>
                <w:rFonts w:ascii="Times New Roman"/>
                <w:sz w:val="21"/>
              </w:rPr>
            </w:pPr>
            <w:r>
              <w:rPr>
                <w:rFonts w:ascii="Times New Roman"/>
                <w:sz w:val="21"/>
              </w:rPr>
              <w:t>0.2</w:t>
            </w:r>
          </w:p>
        </w:tc>
        <w:tc>
          <w:tcPr>
            <w:tcW w:w="1818" w:type="dxa"/>
            <w:gridSpan w:val="2"/>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2"/>
              </w:rPr>
            </w:pPr>
          </w:p>
          <w:p>
            <w:pPr>
              <w:pStyle w:val="14"/>
              <w:spacing w:before="7"/>
              <w:jc w:val="left"/>
              <w:rPr>
                <w:rFonts w:ascii="Times New Roman"/>
                <w:sz w:val="20"/>
              </w:rPr>
            </w:pPr>
          </w:p>
          <w:p>
            <w:pPr>
              <w:pStyle w:val="14"/>
              <w:ind w:left="335"/>
              <w:jc w:val="left"/>
              <w:rPr>
                <w:sz w:val="21"/>
              </w:rPr>
            </w:pPr>
            <w:r>
              <w:rPr>
                <w:rFonts w:ascii="Times New Roman" w:eastAsia="Times New Roman"/>
                <w:sz w:val="21"/>
              </w:rPr>
              <w:t>*</w:t>
            </w:r>
            <w:r>
              <w:rPr>
                <w:sz w:val="21"/>
              </w:rPr>
              <w:t>采区回采率</w:t>
            </w:r>
          </w:p>
        </w:tc>
        <w:tc>
          <w:tcPr>
            <w:tcW w:w="835"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p>
            <w:pPr>
              <w:pStyle w:val="14"/>
              <w:spacing w:before="7"/>
              <w:jc w:val="left"/>
              <w:rPr>
                <w:rFonts w:ascii="Times New Roman"/>
                <w:sz w:val="22"/>
              </w:rPr>
            </w:pPr>
          </w:p>
          <w:p>
            <w:pPr>
              <w:pStyle w:val="14"/>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2"/>
              </w:rPr>
            </w:pPr>
          </w:p>
          <w:p>
            <w:pPr>
              <w:pStyle w:val="14"/>
              <w:jc w:val="left"/>
              <w:rPr>
                <w:rFonts w:ascii="Times New Roman"/>
                <w:sz w:val="22"/>
              </w:rPr>
            </w:pPr>
          </w:p>
          <w:p>
            <w:pPr>
              <w:pStyle w:val="14"/>
              <w:ind w:left="266" w:right="248"/>
              <w:rPr>
                <w:rFonts w:ascii="Times New Roman"/>
                <w:sz w:val="21"/>
              </w:rPr>
            </w:pPr>
            <w:r>
              <w:rPr>
                <w:rFonts w:ascii="Times New Roman"/>
                <w:sz w:val="21"/>
              </w:rPr>
              <w:t>0.3</w:t>
            </w:r>
          </w:p>
        </w:tc>
        <w:tc>
          <w:tcPr>
            <w:tcW w:w="6541" w:type="dxa"/>
            <w:gridSpan w:val="3"/>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p>
            <w:pPr>
              <w:pStyle w:val="14"/>
              <w:spacing w:before="7"/>
              <w:jc w:val="left"/>
              <w:rPr>
                <w:rFonts w:ascii="Times New Roman"/>
                <w:sz w:val="22"/>
              </w:rPr>
            </w:pPr>
          </w:p>
          <w:p>
            <w:pPr>
              <w:pStyle w:val="14"/>
              <w:ind w:left="8"/>
              <w:jc w:val="left"/>
              <w:rPr>
                <w:sz w:val="21"/>
              </w:rPr>
            </w:pPr>
            <w:r>
              <w:rPr>
                <w:sz w:val="21"/>
              </w:rPr>
              <w:t>满足《生产煤矿回采率管理暂行规定》的要求</w:t>
            </w:r>
          </w:p>
        </w:tc>
        <w:tc>
          <w:tcPr>
            <w:tcW w:w="1165" w:type="dxa"/>
            <w:tcBorders>
              <w:top w:val="single" w:color="000000" w:sz="4" w:space="0"/>
              <w:left w:val="single" w:color="000000" w:sz="4" w:space="0"/>
              <w:bottom w:val="single" w:color="000000" w:sz="4" w:space="0"/>
            </w:tcBorders>
          </w:tcPr>
          <w:p>
            <w:pPr>
              <w:pStyle w:val="14"/>
              <w:spacing w:line="290" w:lineRule="auto"/>
              <w:ind w:left="60" w:right="38"/>
              <w:jc w:val="both"/>
              <w:rPr>
                <w:sz w:val="21"/>
              </w:rPr>
            </w:pPr>
            <w:r>
              <w:rPr>
                <w:spacing w:val="-3"/>
                <w:sz w:val="21"/>
              </w:rPr>
              <w:t>满足《生产煤矿回采率</w:t>
            </w:r>
            <w:r>
              <w:rPr>
                <w:spacing w:val="-3"/>
                <w:w w:val="95"/>
                <w:sz w:val="21"/>
              </w:rPr>
              <w:t>管理暂行规</w:t>
            </w:r>
          </w:p>
          <w:p>
            <w:pPr>
              <w:pStyle w:val="14"/>
              <w:spacing w:before="3"/>
              <w:ind w:left="60"/>
              <w:jc w:val="left"/>
              <w:rPr>
                <w:sz w:val="21"/>
              </w:rPr>
            </w:pPr>
            <w:r>
              <w:rPr>
                <w:w w:val="95"/>
                <w:sz w:val="21"/>
              </w:rPr>
              <w:t>定》的要求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0" w:hRule="atLeast"/>
        </w:trPr>
        <w:tc>
          <w:tcPr>
            <w:tcW w:w="572" w:type="dxa"/>
            <w:tcBorders>
              <w:top w:val="single" w:color="000000" w:sz="4" w:space="0"/>
              <w:bottom w:val="single" w:color="000000" w:sz="4" w:space="0"/>
              <w:right w:val="single" w:color="000000" w:sz="4" w:space="0"/>
            </w:tcBorders>
          </w:tcPr>
          <w:p>
            <w:pPr>
              <w:pStyle w:val="14"/>
              <w:spacing w:before="5"/>
              <w:jc w:val="left"/>
              <w:rPr>
                <w:rFonts w:ascii="Times New Roman"/>
                <w:sz w:val="29"/>
              </w:rPr>
            </w:pPr>
          </w:p>
          <w:p>
            <w:pPr>
              <w:pStyle w:val="14"/>
              <w:ind w:left="56" w:right="38"/>
              <w:rPr>
                <w:rFonts w:ascii="Times New Roman"/>
                <w:sz w:val="21"/>
              </w:rPr>
            </w:pPr>
            <w:r>
              <w:rPr>
                <w:rFonts w:ascii="Times New Roman"/>
                <w:sz w:val="21"/>
              </w:rPr>
              <w:t>15</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4"/>
              <w:spacing w:before="9"/>
              <w:jc w:val="left"/>
              <w:rPr>
                <w:rFonts w:ascii="Times New Roman"/>
                <w:sz w:val="27"/>
              </w:rPr>
            </w:pPr>
          </w:p>
          <w:p>
            <w:pPr>
              <w:pStyle w:val="14"/>
              <w:ind w:left="20"/>
              <w:jc w:val="left"/>
              <w:rPr>
                <w:sz w:val="21"/>
              </w:rPr>
            </w:pPr>
            <w:r>
              <w:rPr>
                <w:rFonts w:ascii="Times New Roman" w:eastAsia="Times New Roman"/>
                <w:sz w:val="21"/>
              </w:rPr>
              <w:t>*</w:t>
            </w:r>
            <w:r>
              <w:rPr>
                <w:sz w:val="21"/>
              </w:rPr>
              <w:t>原煤生产综合能耗</w:t>
            </w:r>
          </w:p>
        </w:tc>
        <w:tc>
          <w:tcPr>
            <w:tcW w:w="835" w:type="dxa"/>
            <w:tcBorders>
              <w:top w:val="single" w:color="000000" w:sz="4" w:space="0"/>
              <w:left w:val="single" w:color="000000" w:sz="4" w:space="0"/>
              <w:bottom w:val="single" w:color="000000" w:sz="4" w:space="0"/>
              <w:right w:val="single" w:color="000000" w:sz="4" w:space="0"/>
            </w:tcBorders>
          </w:tcPr>
          <w:p>
            <w:pPr>
              <w:pStyle w:val="14"/>
              <w:spacing w:before="5"/>
              <w:jc w:val="left"/>
              <w:rPr>
                <w:rFonts w:ascii="Times New Roman"/>
                <w:sz w:val="29"/>
              </w:rPr>
            </w:pPr>
          </w:p>
          <w:p>
            <w:pPr>
              <w:pStyle w:val="14"/>
              <w:ind w:right="145"/>
              <w:jc w:val="right"/>
              <w:rPr>
                <w:rFonts w:ascii="Times New Roman"/>
                <w:sz w:val="21"/>
              </w:rPr>
            </w:pPr>
            <w:r>
              <w:rPr>
                <w:rFonts w:ascii="Times New Roman"/>
                <w:sz w:val="21"/>
              </w:rPr>
              <w:t>kgce/t</w:t>
            </w:r>
          </w:p>
        </w:tc>
        <w:tc>
          <w:tcPr>
            <w:tcW w:w="933" w:type="dxa"/>
            <w:tcBorders>
              <w:top w:val="single" w:color="000000" w:sz="4" w:space="0"/>
              <w:left w:val="single" w:color="000000" w:sz="4" w:space="0"/>
              <w:bottom w:val="single" w:color="000000" w:sz="4" w:space="0"/>
              <w:right w:val="single" w:color="000000" w:sz="4" w:space="0"/>
            </w:tcBorders>
          </w:tcPr>
          <w:p>
            <w:pPr>
              <w:pStyle w:val="14"/>
              <w:spacing w:before="5"/>
              <w:jc w:val="left"/>
              <w:rPr>
                <w:rFonts w:ascii="Times New Roman"/>
                <w:sz w:val="29"/>
              </w:rPr>
            </w:pPr>
          </w:p>
          <w:p>
            <w:pPr>
              <w:pStyle w:val="14"/>
              <w:ind w:left="266" w:right="248"/>
              <w:rPr>
                <w:rFonts w:ascii="Times New Roman"/>
                <w:sz w:val="21"/>
              </w:rPr>
            </w:pPr>
            <w:r>
              <w:rPr>
                <w:rFonts w:ascii="Times New Roman"/>
                <w:sz w:val="21"/>
              </w:rPr>
              <w:t>0.15</w:t>
            </w:r>
          </w:p>
        </w:tc>
        <w:tc>
          <w:tcPr>
            <w:tcW w:w="2641" w:type="dxa"/>
            <w:tcBorders>
              <w:top w:val="single" w:color="000000" w:sz="4" w:space="0"/>
              <w:left w:val="single" w:color="000000" w:sz="4" w:space="0"/>
              <w:bottom w:val="single" w:color="000000" w:sz="4" w:space="0"/>
              <w:right w:val="single" w:color="000000" w:sz="4" w:space="0"/>
            </w:tcBorders>
          </w:tcPr>
          <w:p>
            <w:pPr>
              <w:pStyle w:val="14"/>
              <w:spacing w:before="9"/>
              <w:jc w:val="left"/>
              <w:rPr>
                <w:rFonts w:ascii="Times New Roman"/>
                <w:sz w:val="27"/>
              </w:rPr>
            </w:pPr>
          </w:p>
          <w:p>
            <w:pPr>
              <w:pStyle w:val="14"/>
              <w:ind w:left="8"/>
              <w:jc w:val="left"/>
              <w:rPr>
                <w:sz w:val="21"/>
              </w:rPr>
            </w:pPr>
            <w:r>
              <w:rPr>
                <w:sz w:val="21"/>
              </w:rPr>
              <w:t xml:space="preserve">按 </w:t>
            </w:r>
            <w:r>
              <w:rPr>
                <w:rFonts w:ascii="Times New Roman" w:eastAsia="Times New Roman"/>
                <w:sz w:val="21"/>
              </w:rPr>
              <w:t xml:space="preserve">GB29444 </w:t>
            </w:r>
            <w:r>
              <w:rPr>
                <w:sz w:val="21"/>
              </w:rPr>
              <w:t>先进值要求</w:t>
            </w:r>
          </w:p>
        </w:tc>
        <w:tc>
          <w:tcPr>
            <w:tcW w:w="1879" w:type="dxa"/>
            <w:tcBorders>
              <w:top w:val="single" w:color="000000" w:sz="4" w:space="0"/>
              <w:left w:val="single" w:color="000000" w:sz="4" w:space="0"/>
              <w:bottom w:val="single" w:color="000000" w:sz="4" w:space="0"/>
              <w:right w:val="single" w:color="000000" w:sz="4" w:space="0"/>
            </w:tcBorders>
          </w:tcPr>
          <w:p>
            <w:pPr>
              <w:pStyle w:val="14"/>
              <w:spacing w:before="157" w:line="290" w:lineRule="auto"/>
              <w:ind w:left="9" w:right="-15"/>
              <w:jc w:val="left"/>
              <w:rPr>
                <w:sz w:val="21"/>
              </w:rPr>
            </w:pPr>
            <w:r>
              <w:rPr>
                <w:spacing w:val="-15"/>
                <w:sz w:val="21"/>
              </w:rPr>
              <w:t xml:space="preserve">按 </w:t>
            </w:r>
            <w:r>
              <w:rPr>
                <w:rFonts w:ascii="Times New Roman" w:eastAsia="Times New Roman"/>
                <w:sz w:val="21"/>
              </w:rPr>
              <w:t>GB29444</w:t>
            </w:r>
            <w:r>
              <w:rPr>
                <w:rFonts w:ascii="Times New Roman" w:eastAsia="Times New Roman"/>
                <w:spacing w:val="26"/>
                <w:sz w:val="21"/>
              </w:rPr>
              <w:t xml:space="preserve"> </w:t>
            </w:r>
            <w:r>
              <w:rPr>
                <w:spacing w:val="14"/>
                <w:sz w:val="21"/>
              </w:rPr>
              <w:t>准入值</w:t>
            </w:r>
            <w:r>
              <w:rPr>
                <w:sz w:val="21"/>
              </w:rPr>
              <w:t>要求</w:t>
            </w:r>
          </w:p>
        </w:tc>
        <w:tc>
          <w:tcPr>
            <w:tcW w:w="2021" w:type="dxa"/>
            <w:tcBorders>
              <w:top w:val="single" w:color="000000" w:sz="4" w:space="0"/>
              <w:left w:val="single" w:color="000000" w:sz="4" w:space="0"/>
              <w:bottom w:val="single" w:color="000000" w:sz="4" w:space="0"/>
              <w:right w:val="single" w:color="000000" w:sz="4" w:space="0"/>
            </w:tcBorders>
          </w:tcPr>
          <w:p>
            <w:pPr>
              <w:pStyle w:val="14"/>
              <w:spacing w:before="157" w:line="290" w:lineRule="auto"/>
              <w:ind w:left="10" w:right="-15"/>
              <w:jc w:val="left"/>
              <w:rPr>
                <w:sz w:val="21"/>
              </w:rPr>
            </w:pPr>
            <w:r>
              <w:rPr>
                <w:spacing w:val="-25"/>
                <w:sz w:val="21"/>
              </w:rPr>
              <w:t xml:space="preserve">按 </w:t>
            </w:r>
            <w:r>
              <w:rPr>
                <w:rFonts w:ascii="Times New Roman" w:eastAsia="Times New Roman"/>
                <w:sz w:val="21"/>
              </w:rPr>
              <w:t>GB29444</w:t>
            </w:r>
            <w:r>
              <w:rPr>
                <w:rFonts w:ascii="Times New Roman" w:eastAsia="Times New Roman"/>
                <w:spacing w:val="6"/>
                <w:sz w:val="21"/>
              </w:rPr>
              <w:t xml:space="preserve"> </w:t>
            </w:r>
            <w:r>
              <w:rPr>
                <w:spacing w:val="3"/>
                <w:sz w:val="21"/>
              </w:rPr>
              <w:t>限定值要</w:t>
            </w:r>
            <w:r>
              <w:rPr>
                <w:sz w:val="21"/>
              </w:rPr>
              <w:t>求</w:t>
            </w:r>
          </w:p>
        </w:tc>
        <w:tc>
          <w:tcPr>
            <w:tcW w:w="1165" w:type="dxa"/>
            <w:tcBorders>
              <w:top w:val="single" w:color="000000" w:sz="4" w:space="0"/>
              <w:left w:val="single" w:color="000000" w:sz="4" w:space="0"/>
              <w:bottom w:val="single" w:color="000000" w:sz="4" w:space="0"/>
            </w:tcBorders>
          </w:tcPr>
          <w:p>
            <w:pPr>
              <w:pStyle w:val="14"/>
              <w:spacing w:line="265" w:lineRule="exact"/>
              <w:ind w:left="22" w:right="5"/>
              <w:rPr>
                <w:sz w:val="21"/>
              </w:rPr>
            </w:pPr>
            <w:r>
              <w:rPr>
                <w:sz w:val="21"/>
              </w:rPr>
              <w:t>满足</w:t>
            </w:r>
          </w:p>
          <w:p>
            <w:pPr>
              <w:pStyle w:val="14"/>
              <w:spacing w:before="55"/>
              <w:ind w:left="24" w:right="5"/>
              <w:rPr>
                <w:sz w:val="21"/>
              </w:rPr>
            </w:pPr>
            <w:r>
              <w:rPr>
                <w:rFonts w:ascii="Times New Roman" w:eastAsia="Times New Roman"/>
                <w:sz w:val="21"/>
              </w:rPr>
              <w:t xml:space="preserve">GB29444 </w:t>
            </w:r>
            <w:r>
              <w:rPr>
                <w:sz w:val="21"/>
              </w:rPr>
              <w:t>先</w:t>
            </w:r>
          </w:p>
          <w:p>
            <w:pPr>
              <w:pStyle w:val="14"/>
              <w:spacing w:before="59"/>
              <w:ind w:left="19" w:right="5"/>
              <w:rPr>
                <w:sz w:val="21"/>
              </w:rPr>
            </w:pPr>
            <w:r>
              <w:rPr>
                <w:sz w:val="21"/>
              </w:rPr>
              <w:t>进值要求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572" w:type="dxa"/>
            <w:tcBorders>
              <w:top w:val="single" w:color="000000" w:sz="4" w:space="0"/>
              <w:bottom w:val="single" w:color="000000" w:sz="4" w:space="0"/>
              <w:right w:val="single" w:color="000000" w:sz="4" w:space="0"/>
            </w:tcBorders>
          </w:tcPr>
          <w:p>
            <w:pPr>
              <w:pStyle w:val="14"/>
              <w:spacing w:before="21"/>
              <w:ind w:left="56" w:right="38"/>
              <w:rPr>
                <w:rFonts w:ascii="Times New Roman"/>
                <w:sz w:val="21"/>
              </w:rPr>
            </w:pPr>
            <w:r>
              <w:rPr>
                <w:rFonts w:ascii="Times New Roman"/>
                <w:sz w:val="21"/>
              </w:rPr>
              <w:t>16</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4"/>
              <w:spacing w:before="2"/>
              <w:ind w:left="282"/>
              <w:jc w:val="left"/>
              <w:rPr>
                <w:sz w:val="21"/>
              </w:rPr>
            </w:pPr>
            <w:r>
              <w:rPr>
                <w:sz w:val="21"/>
              </w:rPr>
              <w:t>原煤生产电耗</w:t>
            </w:r>
          </w:p>
        </w:tc>
        <w:tc>
          <w:tcPr>
            <w:tcW w:w="835" w:type="dxa"/>
            <w:tcBorders>
              <w:top w:val="single" w:color="000000" w:sz="4" w:space="0"/>
              <w:left w:val="single" w:color="000000" w:sz="4" w:space="0"/>
              <w:bottom w:val="single" w:color="000000" w:sz="4" w:space="0"/>
              <w:right w:val="single" w:color="000000" w:sz="4" w:space="0"/>
            </w:tcBorders>
          </w:tcPr>
          <w:p>
            <w:pPr>
              <w:pStyle w:val="14"/>
              <w:spacing w:before="21"/>
              <w:ind w:right="140"/>
              <w:jc w:val="right"/>
              <w:rPr>
                <w:rFonts w:ascii="Times New Roman"/>
                <w:sz w:val="21"/>
              </w:rPr>
            </w:pPr>
            <w:r>
              <w:rPr>
                <w:rFonts w:ascii="Times New Roman"/>
                <w:sz w:val="21"/>
              </w:rPr>
              <w:t>kWh/t</w:t>
            </w:r>
          </w:p>
        </w:tc>
        <w:tc>
          <w:tcPr>
            <w:tcW w:w="933" w:type="dxa"/>
            <w:tcBorders>
              <w:top w:val="single" w:color="000000" w:sz="4" w:space="0"/>
              <w:left w:val="single" w:color="000000" w:sz="4" w:space="0"/>
              <w:bottom w:val="single" w:color="000000" w:sz="4" w:space="0"/>
              <w:right w:val="single" w:color="000000" w:sz="4" w:space="0"/>
            </w:tcBorders>
          </w:tcPr>
          <w:p>
            <w:pPr>
              <w:pStyle w:val="14"/>
              <w:spacing w:before="21"/>
              <w:ind w:left="266" w:right="248"/>
              <w:rPr>
                <w:rFonts w:ascii="Times New Roman"/>
                <w:sz w:val="21"/>
              </w:rPr>
            </w:pPr>
            <w:r>
              <w:rPr>
                <w:rFonts w:ascii="Times New Roman"/>
                <w:sz w:val="21"/>
              </w:rPr>
              <w:t>0.15</w:t>
            </w:r>
          </w:p>
        </w:tc>
        <w:tc>
          <w:tcPr>
            <w:tcW w:w="2641" w:type="dxa"/>
            <w:tcBorders>
              <w:top w:val="single" w:color="000000" w:sz="4" w:space="0"/>
              <w:left w:val="single" w:color="000000" w:sz="4" w:space="0"/>
              <w:bottom w:val="single" w:color="000000" w:sz="4" w:space="0"/>
              <w:right w:val="single" w:color="000000" w:sz="4" w:space="0"/>
            </w:tcBorders>
          </w:tcPr>
          <w:p>
            <w:pPr>
              <w:pStyle w:val="14"/>
              <w:spacing w:before="21"/>
              <w:ind w:left="778" w:right="758"/>
              <w:rPr>
                <w:rFonts w:ascii="Times New Roman" w:hAnsi="Times New Roman"/>
                <w:sz w:val="21"/>
              </w:rPr>
            </w:pPr>
            <w:r>
              <w:rPr>
                <w:rFonts w:ascii="Times New Roman" w:hAnsi="Times New Roman"/>
                <w:sz w:val="21"/>
              </w:rPr>
              <w:t>≤18</w:t>
            </w:r>
          </w:p>
        </w:tc>
        <w:tc>
          <w:tcPr>
            <w:tcW w:w="1879" w:type="dxa"/>
            <w:tcBorders>
              <w:top w:val="single" w:color="000000" w:sz="4" w:space="0"/>
              <w:left w:val="single" w:color="000000" w:sz="4" w:space="0"/>
              <w:bottom w:val="single" w:color="000000" w:sz="4" w:space="0"/>
              <w:right w:val="single" w:color="000000" w:sz="4" w:space="0"/>
            </w:tcBorders>
          </w:tcPr>
          <w:p>
            <w:pPr>
              <w:pStyle w:val="14"/>
              <w:spacing w:before="21"/>
              <w:ind w:left="397" w:right="380"/>
              <w:rPr>
                <w:rFonts w:ascii="Times New Roman" w:hAnsi="Times New Roman"/>
                <w:sz w:val="21"/>
              </w:rPr>
            </w:pPr>
            <w:r>
              <w:rPr>
                <w:rFonts w:ascii="Times New Roman" w:hAnsi="Times New Roman"/>
                <w:sz w:val="21"/>
              </w:rPr>
              <w:t>≤22</w:t>
            </w:r>
          </w:p>
        </w:tc>
        <w:tc>
          <w:tcPr>
            <w:tcW w:w="2021" w:type="dxa"/>
            <w:tcBorders>
              <w:top w:val="single" w:color="000000" w:sz="4" w:space="0"/>
              <w:left w:val="single" w:color="000000" w:sz="4" w:space="0"/>
              <w:bottom w:val="single" w:color="000000" w:sz="4" w:space="0"/>
              <w:right w:val="single" w:color="000000" w:sz="4" w:space="0"/>
            </w:tcBorders>
          </w:tcPr>
          <w:p>
            <w:pPr>
              <w:pStyle w:val="14"/>
              <w:spacing w:before="21"/>
              <w:ind w:left="468" w:right="449"/>
              <w:rPr>
                <w:rFonts w:ascii="Times New Roman" w:hAnsi="Times New Roman"/>
                <w:sz w:val="21"/>
              </w:rPr>
            </w:pPr>
            <w:r>
              <w:rPr>
                <w:rFonts w:ascii="Times New Roman" w:hAnsi="Times New Roman"/>
                <w:sz w:val="21"/>
              </w:rPr>
              <w:t>≤25</w:t>
            </w:r>
          </w:p>
        </w:tc>
        <w:tc>
          <w:tcPr>
            <w:tcW w:w="1165" w:type="dxa"/>
            <w:tcBorders>
              <w:top w:val="single" w:color="000000" w:sz="4" w:space="0"/>
              <w:left w:val="single" w:color="000000" w:sz="4" w:space="0"/>
              <w:bottom w:val="single" w:color="000000" w:sz="4" w:space="0"/>
            </w:tcBorders>
          </w:tcPr>
          <w:p>
            <w:pPr>
              <w:pStyle w:val="14"/>
              <w:spacing w:before="21"/>
              <w:ind w:left="24" w:right="4"/>
              <w:rPr>
                <w:rFonts w:ascii="Times New Roman"/>
                <w:sz w:val="21"/>
              </w:rPr>
            </w:pPr>
            <w:r>
              <w:rPr>
                <w:rFonts w:ascii="Times New Roman"/>
                <w:sz w:val="21"/>
              </w:rPr>
              <w:t>37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572" w:type="dxa"/>
            <w:tcBorders>
              <w:top w:val="single" w:color="000000" w:sz="4" w:space="0"/>
              <w:bottom w:val="single" w:color="000000" w:sz="4" w:space="0"/>
              <w:right w:val="single" w:color="000000" w:sz="4" w:space="0"/>
            </w:tcBorders>
          </w:tcPr>
          <w:p>
            <w:pPr>
              <w:pStyle w:val="14"/>
              <w:spacing w:before="19"/>
              <w:ind w:left="56" w:right="38"/>
              <w:rPr>
                <w:rFonts w:ascii="Times New Roman"/>
                <w:sz w:val="21"/>
              </w:rPr>
            </w:pPr>
            <w:r>
              <w:rPr>
                <w:rFonts w:ascii="Times New Roman"/>
                <w:sz w:val="21"/>
              </w:rPr>
              <w:t>17</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4"/>
              <w:spacing w:before="2"/>
              <w:ind w:left="282"/>
              <w:jc w:val="left"/>
              <w:rPr>
                <w:sz w:val="21"/>
              </w:rPr>
            </w:pPr>
            <w:r>
              <w:rPr>
                <w:sz w:val="21"/>
              </w:rPr>
              <w:t>原煤生产水耗</w:t>
            </w:r>
          </w:p>
        </w:tc>
        <w:tc>
          <w:tcPr>
            <w:tcW w:w="835" w:type="dxa"/>
            <w:tcBorders>
              <w:top w:val="single" w:color="000000" w:sz="4" w:space="0"/>
              <w:left w:val="single" w:color="000000" w:sz="4" w:space="0"/>
              <w:bottom w:val="single" w:color="000000" w:sz="4" w:space="0"/>
              <w:right w:val="single" w:color="000000" w:sz="4" w:space="0"/>
            </w:tcBorders>
          </w:tcPr>
          <w:p>
            <w:pPr>
              <w:pStyle w:val="14"/>
              <w:spacing w:before="19"/>
              <w:ind w:right="226"/>
              <w:jc w:val="right"/>
              <w:rPr>
                <w:rFonts w:ascii="Times New Roman"/>
                <w:sz w:val="21"/>
              </w:rPr>
            </w:pPr>
            <w:r>
              <w:rPr>
                <w:rFonts w:ascii="Times New Roman"/>
                <w:sz w:val="21"/>
              </w:rPr>
              <w:t>m</w:t>
            </w:r>
            <w:r>
              <w:rPr>
                <w:rFonts w:ascii="Times New Roman"/>
                <w:position w:val="7"/>
                <w:sz w:val="13"/>
              </w:rPr>
              <w:t>3</w:t>
            </w:r>
            <w:r>
              <w:rPr>
                <w:rFonts w:ascii="Times New Roman"/>
                <w:sz w:val="21"/>
              </w:rPr>
              <w:t>/t</w:t>
            </w:r>
          </w:p>
        </w:tc>
        <w:tc>
          <w:tcPr>
            <w:tcW w:w="933" w:type="dxa"/>
            <w:tcBorders>
              <w:top w:val="single" w:color="000000" w:sz="4" w:space="0"/>
              <w:left w:val="single" w:color="000000" w:sz="4" w:space="0"/>
              <w:bottom w:val="single" w:color="000000" w:sz="4" w:space="0"/>
              <w:right w:val="single" w:color="000000" w:sz="4" w:space="0"/>
            </w:tcBorders>
          </w:tcPr>
          <w:p>
            <w:pPr>
              <w:pStyle w:val="14"/>
              <w:spacing w:before="19"/>
              <w:ind w:left="266" w:right="248"/>
              <w:rPr>
                <w:rFonts w:ascii="Times New Roman"/>
                <w:sz w:val="21"/>
              </w:rPr>
            </w:pPr>
            <w:r>
              <w:rPr>
                <w:rFonts w:ascii="Times New Roman"/>
                <w:sz w:val="21"/>
              </w:rPr>
              <w:t>0.15</w:t>
            </w:r>
          </w:p>
        </w:tc>
        <w:tc>
          <w:tcPr>
            <w:tcW w:w="2641" w:type="dxa"/>
            <w:tcBorders>
              <w:top w:val="single" w:color="000000" w:sz="4" w:space="0"/>
              <w:left w:val="single" w:color="000000" w:sz="4" w:space="0"/>
              <w:bottom w:val="single" w:color="000000" w:sz="4" w:space="0"/>
              <w:right w:val="single" w:color="000000" w:sz="4" w:space="0"/>
            </w:tcBorders>
          </w:tcPr>
          <w:p>
            <w:pPr>
              <w:pStyle w:val="14"/>
              <w:spacing w:before="19"/>
              <w:ind w:left="778" w:right="758"/>
              <w:rPr>
                <w:rFonts w:ascii="Times New Roman" w:hAnsi="Times New Roman"/>
                <w:sz w:val="21"/>
              </w:rPr>
            </w:pPr>
            <w:r>
              <w:rPr>
                <w:rFonts w:ascii="Times New Roman" w:hAnsi="Times New Roman"/>
                <w:sz w:val="21"/>
              </w:rPr>
              <w:t>≤0.1</w:t>
            </w:r>
          </w:p>
        </w:tc>
        <w:tc>
          <w:tcPr>
            <w:tcW w:w="1879" w:type="dxa"/>
            <w:tcBorders>
              <w:top w:val="single" w:color="000000" w:sz="4" w:space="0"/>
              <w:left w:val="single" w:color="000000" w:sz="4" w:space="0"/>
              <w:bottom w:val="single" w:color="000000" w:sz="4" w:space="0"/>
              <w:right w:val="single" w:color="000000" w:sz="4" w:space="0"/>
            </w:tcBorders>
          </w:tcPr>
          <w:p>
            <w:pPr>
              <w:pStyle w:val="14"/>
              <w:spacing w:before="19"/>
              <w:ind w:left="397" w:right="376"/>
              <w:rPr>
                <w:rFonts w:ascii="Times New Roman" w:hAnsi="Times New Roman"/>
                <w:sz w:val="21"/>
              </w:rPr>
            </w:pPr>
            <w:r>
              <w:rPr>
                <w:rFonts w:ascii="Times New Roman" w:hAnsi="Times New Roman"/>
                <w:sz w:val="21"/>
              </w:rPr>
              <w:t>≤0.2</w:t>
            </w:r>
          </w:p>
        </w:tc>
        <w:tc>
          <w:tcPr>
            <w:tcW w:w="2021" w:type="dxa"/>
            <w:tcBorders>
              <w:top w:val="single" w:color="000000" w:sz="4" w:space="0"/>
              <w:left w:val="single" w:color="000000" w:sz="4" w:space="0"/>
              <w:bottom w:val="single" w:color="000000" w:sz="4" w:space="0"/>
              <w:right w:val="single" w:color="000000" w:sz="4" w:space="0"/>
            </w:tcBorders>
          </w:tcPr>
          <w:p>
            <w:pPr>
              <w:pStyle w:val="14"/>
              <w:spacing w:before="19"/>
              <w:ind w:left="468" w:right="449"/>
              <w:rPr>
                <w:rFonts w:ascii="Times New Roman" w:hAnsi="Times New Roman"/>
                <w:sz w:val="21"/>
              </w:rPr>
            </w:pPr>
            <w:r>
              <w:rPr>
                <w:rFonts w:ascii="Times New Roman" w:hAnsi="Times New Roman"/>
                <w:sz w:val="21"/>
              </w:rPr>
              <w:t>≤0.3</w:t>
            </w:r>
          </w:p>
        </w:tc>
        <w:tc>
          <w:tcPr>
            <w:tcW w:w="1165" w:type="dxa"/>
            <w:tcBorders>
              <w:top w:val="single" w:color="000000" w:sz="4" w:space="0"/>
              <w:left w:val="single" w:color="000000" w:sz="4" w:space="0"/>
              <w:bottom w:val="single" w:color="000000" w:sz="4" w:space="0"/>
            </w:tcBorders>
          </w:tcPr>
          <w:p>
            <w:pPr>
              <w:pStyle w:val="14"/>
              <w:spacing w:before="19"/>
              <w:ind w:left="24" w:right="4"/>
              <w:rPr>
                <w:rFonts w:ascii="Times New Roman"/>
                <w:sz w:val="21"/>
              </w:rPr>
            </w:pPr>
            <w:r>
              <w:rPr>
                <w:rFonts w:ascii="Times New Roman"/>
                <w:sz w:val="21"/>
              </w:rPr>
              <w:t>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3" w:hRule="atLeast"/>
        </w:trPr>
        <w:tc>
          <w:tcPr>
            <w:tcW w:w="572" w:type="dxa"/>
            <w:tcBorders>
              <w:top w:val="single" w:color="000000" w:sz="4" w:space="0"/>
              <w:bottom w:val="single" w:color="000000" w:sz="4" w:space="0"/>
              <w:right w:val="single" w:color="000000" w:sz="4" w:space="0"/>
            </w:tcBorders>
          </w:tcPr>
          <w:p>
            <w:pPr>
              <w:pStyle w:val="14"/>
              <w:spacing w:before="175"/>
              <w:ind w:left="56" w:right="38"/>
              <w:rPr>
                <w:rFonts w:ascii="Times New Roman"/>
                <w:sz w:val="21"/>
              </w:rPr>
            </w:pPr>
            <w:r>
              <w:rPr>
                <w:rFonts w:ascii="Times New Roman"/>
                <w:sz w:val="21"/>
              </w:rPr>
              <w:t>18</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750" w:type="dxa"/>
            <w:tcBorders>
              <w:top w:val="single" w:color="000000" w:sz="4" w:space="0"/>
              <w:left w:val="single" w:color="000000" w:sz="4" w:space="0"/>
              <w:bottom w:val="single" w:color="000000" w:sz="4" w:space="0"/>
              <w:right w:val="single" w:color="000000" w:sz="4" w:space="0"/>
            </w:tcBorders>
          </w:tcPr>
          <w:p>
            <w:pPr>
              <w:pStyle w:val="14"/>
              <w:spacing w:line="265" w:lineRule="exact"/>
              <w:ind w:left="64"/>
              <w:jc w:val="left"/>
              <w:rPr>
                <w:sz w:val="21"/>
              </w:rPr>
            </w:pPr>
            <w:r>
              <w:rPr>
                <w:w w:val="95"/>
                <w:sz w:val="21"/>
              </w:rPr>
              <w:t>选煤吨</w:t>
            </w:r>
          </w:p>
          <w:p>
            <w:pPr>
              <w:pStyle w:val="14"/>
              <w:spacing w:before="57"/>
              <w:ind w:left="64"/>
              <w:jc w:val="left"/>
              <w:rPr>
                <w:sz w:val="21"/>
              </w:rPr>
            </w:pPr>
            <w:r>
              <w:rPr>
                <w:w w:val="95"/>
                <w:sz w:val="21"/>
              </w:rPr>
              <w:t>煤电耗</w:t>
            </w:r>
          </w:p>
        </w:tc>
        <w:tc>
          <w:tcPr>
            <w:tcW w:w="1068" w:type="dxa"/>
            <w:tcBorders>
              <w:top w:val="single" w:color="000000" w:sz="4" w:space="0"/>
              <w:left w:val="single" w:color="000000" w:sz="4" w:space="0"/>
              <w:bottom w:val="single" w:color="000000" w:sz="4" w:space="0"/>
              <w:right w:val="single" w:color="000000" w:sz="4" w:space="0"/>
            </w:tcBorders>
          </w:tcPr>
          <w:p>
            <w:pPr>
              <w:pStyle w:val="14"/>
              <w:spacing w:before="159"/>
              <w:ind w:left="223"/>
              <w:jc w:val="left"/>
              <w:rPr>
                <w:sz w:val="21"/>
              </w:rPr>
            </w:pPr>
            <w:r>
              <w:rPr>
                <w:sz w:val="21"/>
              </w:rPr>
              <w:t>动力煤</w:t>
            </w:r>
          </w:p>
        </w:tc>
        <w:tc>
          <w:tcPr>
            <w:tcW w:w="835" w:type="dxa"/>
            <w:tcBorders>
              <w:top w:val="single" w:color="000000" w:sz="4" w:space="0"/>
              <w:left w:val="single" w:color="000000" w:sz="4" w:space="0"/>
              <w:bottom w:val="single" w:color="000000" w:sz="4" w:space="0"/>
              <w:right w:val="single" w:color="000000" w:sz="4" w:space="0"/>
            </w:tcBorders>
          </w:tcPr>
          <w:p>
            <w:pPr>
              <w:pStyle w:val="14"/>
              <w:spacing w:before="175"/>
              <w:ind w:right="140"/>
              <w:jc w:val="right"/>
              <w:rPr>
                <w:rFonts w:ascii="Times New Roman"/>
                <w:sz w:val="21"/>
              </w:rPr>
            </w:pPr>
            <w:r>
              <w:rPr>
                <w:rFonts w:ascii="Times New Roman"/>
                <w:sz w:val="21"/>
              </w:rPr>
              <w:t>kWh/t</w:t>
            </w:r>
          </w:p>
        </w:tc>
        <w:tc>
          <w:tcPr>
            <w:tcW w:w="933" w:type="dxa"/>
            <w:tcBorders>
              <w:top w:val="single" w:color="000000" w:sz="4" w:space="0"/>
              <w:left w:val="single" w:color="000000" w:sz="4" w:space="0"/>
              <w:bottom w:val="single" w:color="000000" w:sz="4" w:space="0"/>
              <w:right w:val="single" w:color="000000" w:sz="4" w:space="0"/>
            </w:tcBorders>
          </w:tcPr>
          <w:p>
            <w:pPr>
              <w:pStyle w:val="14"/>
              <w:spacing w:before="175"/>
              <w:ind w:left="266" w:right="248"/>
              <w:rPr>
                <w:rFonts w:ascii="Times New Roman"/>
                <w:sz w:val="21"/>
              </w:rPr>
            </w:pPr>
            <w:r>
              <w:rPr>
                <w:rFonts w:ascii="Times New Roman"/>
                <w:sz w:val="21"/>
              </w:rPr>
              <w:t>0.15</w:t>
            </w:r>
          </w:p>
        </w:tc>
        <w:tc>
          <w:tcPr>
            <w:tcW w:w="2641" w:type="dxa"/>
            <w:tcBorders>
              <w:top w:val="single" w:color="000000" w:sz="4" w:space="0"/>
              <w:left w:val="single" w:color="000000" w:sz="4" w:space="0"/>
              <w:bottom w:val="single" w:color="000000" w:sz="4" w:space="0"/>
              <w:right w:val="single" w:color="000000" w:sz="4" w:space="0"/>
            </w:tcBorders>
          </w:tcPr>
          <w:p>
            <w:pPr>
              <w:pStyle w:val="14"/>
              <w:spacing w:before="159"/>
              <w:ind w:left="8"/>
              <w:jc w:val="left"/>
              <w:rPr>
                <w:sz w:val="21"/>
              </w:rPr>
            </w:pPr>
            <w:r>
              <w:rPr>
                <w:sz w:val="21"/>
              </w:rPr>
              <w:t xml:space="preserve">按 </w:t>
            </w:r>
            <w:r>
              <w:rPr>
                <w:rFonts w:ascii="Times New Roman" w:eastAsia="Times New Roman"/>
                <w:sz w:val="21"/>
              </w:rPr>
              <w:t xml:space="preserve">GB29446 </w:t>
            </w:r>
            <w:r>
              <w:rPr>
                <w:sz w:val="21"/>
              </w:rPr>
              <w:t>先进值要求</w:t>
            </w:r>
          </w:p>
        </w:tc>
        <w:tc>
          <w:tcPr>
            <w:tcW w:w="1879" w:type="dxa"/>
            <w:tcBorders>
              <w:top w:val="single" w:color="000000" w:sz="4" w:space="0"/>
              <w:left w:val="single" w:color="000000" w:sz="4" w:space="0"/>
              <w:bottom w:val="single" w:color="000000" w:sz="4" w:space="0"/>
              <w:right w:val="single" w:color="000000" w:sz="4" w:space="0"/>
            </w:tcBorders>
          </w:tcPr>
          <w:p>
            <w:pPr>
              <w:pStyle w:val="14"/>
              <w:spacing w:line="265" w:lineRule="exact"/>
              <w:ind w:left="9" w:right="-15"/>
              <w:jc w:val="left"/>
              <w:rPr>
                <w:sz w:val="21"/>
              </w:rPr>
            </w:pPr>
            <w:r>
              <w:rPr>
                <w:spacing w:val="-15"/>
                <w:sz w:val="21"/>
              </w:rPr>
              <w:t xml:space="preserve">按 </w:t>
            </w:r>
            <w:r>
              <w:rPr>
                <w:rFonts w:ascii="Times New Roman" w:eastAsia="Times New Roman"/>
                <w:sz w:val="21"/>
              </w:rPr>
              <w:t>GB29446</w:t>
            </w:r>
            <w:r>
              <w:rPr>
                <w:rFonts w:ascii="Times New Roman" w:eastAsia="Times New Roman"/>
                <w:spacing w:val="26"/>
                <w:sz w:val="21"/>
              </w:rPr>
              <w:t xml:space="preserve"> </w:t>
            </w:r>
            <w:r>
              <w:rPr>
                <w:spacing w:val="14"/>
                <w:sz w:val="21"/>
              </w:rPr>
              <w:t>准入值</w:t>
            </w:r>
          </w:p>
          <w:p>
            <w:pPr>
              <w:pStyle w:val="14"/>
              <w:spacing w:before="57"/>
              <w:ind w:left="9"/>
              <w:jc w:val="left"/>
              <w:rPr>
                <w:sz w:val="21"/>
              </w:rPr>
            </w:pPr>
            <w:r>
              <w:rPr>
                <w:sz w:val="21"/>
              </w:rPr>
              <w:t>要求</w:t>
            </w:r>
          </w:p>
        </w:tc>
        <w:tc>
          <w:tcPr>
            <w:tcW w:w="2021" w:type="dxa"/>
            <w:tcBorders>
              <w:top w:val="single" w:color="000000" w:sz="4" w:space="0"/>
              <w:left w:val="single" w:color="000000" w:sz="4" w:space="0"/>
              <w:bottom w:val="single" w:color="000000" w:sz="4" w:space="0"/>
              <w:right w:val="single" w:color="000000" w:sz="4" w:space="0"/>
            </w:tcBorders>
          </w:tcPr>
          <w:p>
            <w:pPr>
              <w:pStyle w:val="14"/>
              <w:spacing w:line="265" w:lineRule="exact"/>
              <w:ind w:left="10" w:right="-15"/>
              <w:jc w:val="left"/>
              <w:rPr>
                <w:sz w:val="21"/>
              </w:rPr>
            </w:pPr>
            <w:r>
              <w:rPr>
                <w:spacing w:val="-25"/>
                <w:sz w:val="21"/>
              </w:rPr>
              <w:t xml:space="preserve">按 </w:t>
            </w:r>
            <w:r>
              <w:rPr>
                <w:rFonts w:ascii="Times New Roman" w:eastAsia="Times New Roman"/>
                <w:sz w:val="21"/>
              </w:rPr>
              <w:t>GB29446</w:t>
            </w:r>
            <w:r>
              <w:rPr>
                <w:rFonts w:ascii="Times New Roman" w:eastAsia="Times New Roman"/>
                <w:spacing w:val="6"/>
                <w:sz w:val="21"/>
              </w:rPr>
              <w:t xml:space="preserve"> </w:t>
            </w:r>
            <w:r>
              <w:rPr>
                <w:spacing w:val="3"/>
                <w:sz w:val="21"/>
              </w:rPr>
              <w:t>限定值要</w:t>
            </w:r>
          </w:p>
          <w:p>
            <w:pPr>
              <w:pStyle w:val="14"/>
              <w:spacing w:before="57"/>
              <w:ind w:left="10"/>
              <w:jc w:val="left"/>
              <w:rPr>
                <w:sz w:val="21"/>
              </w:rPr>
            </w:pPr>
            <w:r>
              <w:rPr>
                <w:w w:val="99"/>
                <w:sz w:val="21"/>
              </w:rPr>
              <w:t>求</w:t>
            </w:r>
          </w:p>
        </w:tc>
        <w:tc>
          <w:tcPr>
            <w:tcW w:w="1165" w:type="dxa"/>
            <w:tcBorders>
              <w:top w:val="single" w:color="000000" w:sz="4" w:space="0"/>
              <w:left w:val="single" w:color="000000" w:sz="4" w:space="0"/>
              <w:bottom w:val="single" w:color="000000" w:sz="4" w:space="0"/>
            </w:tcBorders>
          </w:tcPr>
          <w:p>
            <w:pPr>
              <w:pStyle w:val="14"/>
              <w:spacing w:before="175"/>
              <w:ind w:left="17"/>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2" w:hRule="atLeast"/>
        </w:trPr>
        <w:tc>
          <w:tcPr>
            <w:tcW w:w="572" w:type="dxa"/>
            <w:tcBorders>
              <w:top w:val="single" w:color="000000" w:sz="4" w:space="0"/>
              <w:right w:val="single" w:color="000000" w:sz="4" w:space="0"/>
            </w:tcBorders>
          </w:tcPr>
          <w:p>
            <w:pPr>
              <w:pStyle w:val="14"/>
              <w:spacing w:before="20"/>
              <w:ind w:left="56" w:right="38"/>
              <w:rPr>
                <w:rFonts w:ascii="Times New Roman"/>
                <w:sz w:val="21"/>
              </w:rPr>
            </w:pPr>
            <w:r>
              <w:rPr>
                <w:rFonts w:ascii="Times New Roman"/>
                <w:sz w:val="21"/>
              </w:rPr>
              <w:t>19</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right w:val="single" w:color="000000" w:sz="4" w:space="0"/>
            </w:tcBorders>
          </w:tcPr>
          <w:p>
            <w:pPr>
              <w:pStyle w:val="14"/>
              <w:spacing w:before="1"/>
              <w:ind w:left="73"/>
              <w:jc w:val="left"/>
              <w:rPr>
                <w:sz w:val="21"/>
              </w:rPr>
            </w:pPr>
            <w:r>
              <w:rPr>
                <w:sz w:val="21"/>
              </w:rPr>
              <w:t>单位入选原煤取水</w:t>
            </w:r>
          </w:p>
        </w:tc>
        <w:tc>
          <w:tcPr>
            <w:tcW w:w="835" w:type="dxa"/>
            <w:tcBorders>
              <w:top w:val="single" w:color="000000" w:sz="4" w:space="0"/>
              <w:left w:val="single" w:color="000000" w:sz="4" w:space="0"/>
              <w:right w:val="single" w:color="000000" w:sz="4" w:space="0"/>
            </w:tcBorders>
          </w:tcPr>
          <w:p>
            <w:pPr>
              <w:pStyle w:val="14"/>
              <w:spacing w:before="20"/>
              <w:ind w:right="226"/>
              <w:jc w:val="right"/>
              <w:rPr>
                <w:rFonts w:ascii="Times New Roman"/>
                <w:sz w:val="21"/>
              </w:rPr>
            </w:pPr>
            <w:r>
              <w:rPr>
                <w:rFonts w:ascii="Times New Roman"/>
                <w:sz w:val="21"/>
              </w:rPr>
              <w:t>m</w:t>
            </w:r>
            <w:r>
              <w:rPr>
                <w:rFonts w:ascii="Times New Roman"/>
                <w:position w:val="7"/>
                <w:sz w:val="13"/>
              </w:rPr>
              <w:t>3</w:t>
            </w:r>
            <w:r>
              <w:rPr>
                <w:rFonts w:ascii="Times New Roman"/>
                <w:sz w:val="21"/>
              </w:rPr>
              <w:t>/t</w:t>
            </w:r>
          </w:p>
        </w:tc>
        <w:tc>
          <w:tcPr>
            <w:tcW w:w="933" w:type="dxa"/>
            <w:tcBorders>
              <w:top w:val="single" w:color="000000" w:sz="4" w:space="0"/>
              <w:left w:val="single" w:color="000000" w:sz="4" w:space="0"/>
              <w:right w:val="single" w:color="000000" w:sz="4" w:space="0"/>
            </w:tcBorders>
          </w:tcPr>
          <w:p>
            <w:pPr>
              <w:pStyle w:val="14"/>
              <w:spacing w:before="20"/>
              <w:ind w:left="266" w:right="248"/>
              <w:rPr>
                <w:rFonts w:ascii="Times New Roman"/>
                <w:sz w:val="21"/>
              </w:rPr>
            </w:pPr>
            <w:r>
              <w:rPr>
                <w:rFonts w:ascii="Times New Roman"/>
                <w:sz w:val="21"/>
              </w:rPr>
              <w:t>0.1</w:t>
            </w:r>
          </w:p>
        </w:tc>
        <w:tc>
          <w:tcPr>
            <w:tcW w:w="6541" w:type="dxa"/>
            <w:gridSpan w:val="3"/>
            <w:tcBorders>
              <w:top w:val="single" w:color="000000" w:sz="4" w:space="0"/>
              <w:left w:val="single" w:color="000000" w:sz="4" w:space="0"/>
              <w:right w:val="single" w:color="000000" w:sz="4" w:space="0"/>
            </w:tcBorders>
          </w:tcPr>
          <w:p>
            <w:pPr>
              <w:pStyle w:val="14"/>
              <w:spacing w:before="1"/>
              <w:ind w:left="8"/>
              <w:jc w:val="left"/>
              <w:rPr>
                <w:sz w:val="21"/>
              </w:rPr>
            </w:pPr>
            <w:r>
              <w:rPr>
                <w:sz w:val="21"/>
              </w:rPr>
              <w:t>符合《</w:t>
            </w:r>
            <w:r>
              <w:rPr>
                <w:rFonts w:ascii="Times New Roman" w:eastAsia="Times New Roman"/>
                <w:sz w:val="21"/>
              </w:rPr>
              <w:t xml:space="preserve">GB/T18916.11 </w:t>
            </w:r>
            <w:r>
              <w:rPr>
                <w:sz w:val="21"/>
              </w:rPr>
              <w:t xml:space="preserve">取水定额第 </w:t>
            </w:r>
            <w:r>
              <w:rPr>
                <w:rFonts w:ascii="Times New Roman" w:eastAsia="Times New Roman"/>
                <w:sz w:val="21"/>
              </w:rPr>
              <w:t xml:space="preserve">11 </w:t>
            </w:r>
            <w:r>
              <w:rPr>
                <w:sz w:val="21"/>
              </w:rPr>
              <w:t>部分：选煤》要求</w:t>
            </w:r>
          </w:p>
        </w:tc>
        <w:tc>
          <w:tcPr>
            <w:tcW w:w="1165" w:type="dxa"/>
            <w:tcBorders>
              <w:top w:val="single" w:color="000000" w:sz="4" w:space="0"/>
              <w:left w:val="single" w:color="000000" w:sz="4" w:space="0"/>
            </w:tcBorders>
          </w:tcPr>
          <w:p>
            <w:pPr>
              <w:pStyle w:val="14"/>
              <w:spacing w:before="20"/>
              <w:ind w:left="17"/>
              <w:rPr>
                <w:rFonts w:ascii="Times New Roman"/>
                <w:sz w:val="21"/>
              </w:rPr>
            </w:pPr>
            <w:r>
              <w:rPr>
                <w:rFonts w:ascii="Times New Roman"/>
                <w:w w:val="99"/>
                <w:sz w:val="21"/>
              </w:rPr>
              <w:t>/</w:t>
            </w:r>
          </w:p>
        </w:tc>
      </w:tr>
    </w:tbl>
    <w:p>
      <w:pPr>
        <w:spacing w:after="0"/>
        <w:rPr>
          <w:rFonts w:ascii="Times New Roman"/>
          <w:sz w:val="21"/>
        </w:rPr>
        <w:sectPr>
          <w:pgSz w:w="16840" w:h="11910" w:orient="landscape"/>
          <w:pgMar w:top="1100" w:right="1280" w:bottom="800" w:left="1280" w:header="0" w:footer="605" w:gutter="0"/>
        </w:sectPr>
      </w:pPr>
    </w:p>
    <w:p>
      <w:pPr>
        <w:pStyle w:val="6"/>
        <w:spacing w:before="1"/>
        <w:rPr>
          <w:rFonts w:ascii="Times New Roman"/>
          <w:sz w:val="27"/>
        </w:rPr>
      </w:pPr>
    </w:p>
    <w:tbl>
      <w:tblPr>
        <w:tblStyle w:val="10"/>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72"/>
        <w:gridCol w:w="1090"/>
        <w:gridCol w:w="1068"/>
        <w:gridCol w:w="750"/>
        <w:gridCol w:w="1068"/>
        <w:gridCol w:w="835"/>
        <w:gridCol w:w="933"/>
        <w:gridCol w:w="2641"/>
        <w:gridCol w:w="1879"/>
        <w:gridCol w:w="2021"/>
        <w:gridCol w:w="11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572" w:type="dxa"/>
            <w:tcBorders>
              <w:bottom w:val="single" w:color="000000" w:sz="4" w:space="0"/>
              <w:right w:val="single" w:color="000000" w:sz="4" w:space="0"/>
            </w:tcBorders>
          </w:tcPr>
          <w:p>
            <w:pPr>
              <w:pStyle w:val="14"/>
              <w:spacing w:before="165"/>
              <w:ind w:left="56" w:right="41"/>
              <w:rPr>
                <w:sz w:val="21"/>
              </w:rPr>
            </w:pPr>
            <w:r>
              <w:rPr>
                <w:sz w:val="21"/>
              </w:rPr>
              <w:t>序号</w:t>
            </w:r>
          </w:p>
        </w:tc>
        <w:tc>
          <w:tcPr>
            <w:tcW w:w="1090" w:type="dxa"/>
            <w:tcBorders>
              <w:left w:val="single" w:color="000000" w:sz="4" w:space="0"/>
              <w:bottom w:val="single" w:color="000000" w:sz="4" w:space="0"/>
              <w:right w:val="single" w:color="000000" w:sz="4" w:space="0"/>
            </w:tcBorders>
          </w:tcPr>
          <w:p>
            <w:pPr>
              <w:pStyle w:val="14"/>
              <w:spacing w:before="2"/>
              <w:ind w:left="16"/>
              <w:rPr>
                <w:sz w:val="21"/>
              </w:rPr>
            </w:pPr>
            <w:r>
              <w:rPr>
                <w:sz w:val="21"/>
              </w:rPr>
              <w:t>一级指标指</w:t>
            </w:r>
          </w:p>
          <w:p>
            <w:pPr>
              <w:pStyle w:val="14"/>
              <w:spacing w:before="55"/>
              <w:ind w:left="18"/>
              <w:rPr>
                <w:sz w:val="21"/>
              </w:rPr>
            </w:pPr>
            <w:r>
              <w:rPr>
                <w:sz w:val="21"/>
              </w:rPr>
              <w:t>标项</w:t>
            </w:r>
          </w:p>
        </w:tc>
        <w:tc>
          <w:tcPr>
            <w:tcW w:w="1068" w:type="dxa"/>
            <w:tcBorders>
              <w:left w:val="single" w:color="000000" w:sz="4" w:space="0"/>
              <w:bottom w:val="single" w:color="000000" w:sz="4" w:space="0"/>
              <w:right w:val="single" w:color="000000" w:sz="4" w:space="0"/>
            </w:tcBorders>
          </w:tcPr>
          <w:p>
            <w:pPr>
              <w:pStyle w:val="14"/>
              <w:spacing w:before="2"/>
              <w:ind w:left="13" w:right="-15"/>
              <w:rPr>
                <w:sz w:val="21"/>
              </w:rPr>
            </w:pPr>
            <w:r>
              <w:rPr>
                <w:sz w:val="21"/>
              </w:rPr>
              <w:t>一级指标权</w:t>
            </w:r>
          </w:p>
          <w:p>
            <w:pPr>
              <w:pStyle w:val="14"/>
              <w:spacing w:before="55"/>
              <w:ind w:left="306" w:right="290"/>
              <w:rPr>
                <w:sz w:val="21"/>
              </w:rPr>
            </w:pPr>
            <w:r>
              <w:rPr>
                <w:sz w:val="21"/>
              </w:rPr>
              <w:t>重值</w:t>
            </w:r>
          </w:p>
        </w:tc>
        <w:tc>
          <w:tcPr>
            <w:tcW w:w="1818" w:type="dxa"/>
            <w:gridSpan w:val="2"/>
            <w:tcBorders>
              <w:left w:val="single" w:color="000000" w:sz="4" w:space="0"/>
              <w:bottom w:val="single" w:color="000000" w:sz="4" w:space="0"/>
              <w:right w:val="single" w:color="000000" w:sz="4" w:space="0"/>
            </w:tcBorders>
          </w:tcPr>
          <w:p>
            <w:pPr>
              <w:pStyle w:val="14"/>
              <w:spacing w:before="165"/>
              <w:ind w:left="179"/>
              <w:jc w:val="left"/>
              <w:rPr>
                <w:sz w:val="21"/>
              </w:rPr>
            </w:pPr>
            <w:r>
              <w:rPr>
                <w:sz w:val="21"/>
              </w:rPr>
              <w:t>二级指标指标项</w:t>
            </w:r>
          </w:p>
        </w:tc>
        <w:tc>
          <w:tcPr>
            <w:tcW w:w="835" w:type="dxa"/>
            <w:tcBorders>
              <w:left w:val="single" w:color="000000" w:sz="4" w:space="0"/>
              <w:bottom w:val="single" w:color="000000" w:sz="4" w:space="0"/>
              <w:right w:val="single" w:color="000000" w:sz="4" w:space="0"/>
            </w:tcBorders>
          </w:tcPr>
          <w:p>
            <w:pPr>
              <w:pStyle w:val="14"/>
              <w:spacing w:before="165"/>
              <w:ind w:left="190" w:right="174"/>
              <w:rPr>
                <w:sz w:val="21"/>
              </w:rPr>
            </w:pPr>
            <w:r>
              <w:rPr>
                <w:sz w:val="21"/>
              </w:rPr>
              <w:t>单位</w:t>
            </w:r>
          </w:p>
        </w:tc>
        <w:tc>
          <w:tcPr>
            <w:tcW w:w="933" w:type="dxa"/>
            <w:tcBorders>
              <w:left w:val="single" w:color="000000" w:sz="4" w:space="0"/>
              <w:bottom w:val="single" w:color="000000" w:sz="4" w:space="0"/>
              <w:right w:val="single" w:color="000000" w:sz="4" w:space="0"/>
            </w:tcBorders>
          </w:tcPr>
          <w:p>
            <w:pPr>
              <w:pStyle w:val="14"/>
              <w:spacing w:before="2"/>
              <w:ind w:left="51"/>
              <w:jc w:val="left"/>
              <w:rPr>
                <w:sz w:val="21"/>
              </w:rPr>
            </w:pPr>
            <w:r>
              <w:rPr>
                <w:w w:val="95"/>
                <w:sz w:val="21"/>
              </w:rPr>
              <w:t>二级指标</w:t>
            </w:r>
          </w:p>
          <w:p>
            <w:pPr>
              <w:pStyle w:val="14"/>
              <w:spacing w:before="55"/>
              <w:ind w:left="51"/>
              <w:jc w:val="left"/>
              <w:rPr>
                <w:sz w:val="21"/>
              </w:rPr>
            </w:pPr>
            <w:r>
              <w:rPr>
                <w:w w:val="95"/>
                <w:sz w:val="21"/>
              </w:rPr>
              <w:t>分权重值</w:t>
            </w:r>
          </w:p>
        </w:tc>
        <w:tc>
          <w:tcPr>
            <w:tcW w:w="2641" w:type="dxa"/>
            <w:tcBorders>
              <w:left w:val="single" w:color="000000" w:sz="4" w:space="0"/>
              <w:bottom w:val="single" w:color="000000" w:sz="4" w:space="0"/>
              <w:right w:val="single" w:color="000000" w:sz="4" w:space="0"/>
            </w:tcBorders>
          </w:tcPr>
          <w:p>
            <w:pPr>
              <w:pStyle w:val="14"/>
              <w:spacing w:before="165"/>
              <w:ind w:left="778" w:right="762"/>
              <w:rPr>
                <w:sz w:val="21"/>
              </w:rPr>
            </w:pPr>
            <w:r>
              <w:rPr>
                <w:sz w:val="21"/>
              </w:rPr>
              <w:t>Ⅰ级基准值</w:t>
            </w:r>
          </w:p>
        </w:tc>
        <w:tc>
          <w:tcPr>
            <w:tcW w:w="1879" w:type="dxa"/>
            <w:tcBorders>
              <w:left w:val="single" w:color="000000" w:sz="4" w:space="0"/>
              <w:bottom w:val="single" w:color="000000" w:sz="4" w:space="0"/>
              <w:right w:val="single" w:color="000000" w:sz="4" w:space="0"/>
            </w:tcBorders>
          </w:tcPr>
          <w:p>
            <w:pPr>
              <w:pStyle w:val="14"/>
              <w:spacing w:before="165"/>
              <w:ind w:left="397" w:right="382"/>
              <w:rPr>
                <w:sz w:val="21"/>
              </w:rPr>
            </w:pPr>
            <w:r>
              <w:rPr>
                <w:sz w:val="21"/>
              </w:rPr>
              <w:t>Ⅱ级基准值</w:t>
            </w:r>
          </w:p>
        </w:tc>
        <w:tc>
          <w:tcPr>
            <w:tcW w:w="2021" w:type="dxa"/>
            <w:tcBorders>
              <w:left w:val="single" w:color="000000" w:sz="4" w:space="0"/>
              <w:bottom w:val="single" w:color="000000" w:sz="4" w:space="0"/>
              <w:right w:val="single" w:color="000000" w:sz="4" w:space="0"/>
            </w:tcBorders>
          </w:tcPr>
          <w:p>
            <w:pPr>
              <w:pStyle w:val="14"/>
              <w:spacing w:before="165"/>
              <w:ind w:left="468" w:right="453"/>
              <w:rPr>
                <w:sz w:val="21"/>
              </w:rPr>
            </w:pPr>
            <w:r>
              <w:rPr>
                <w:sz w:val="21"/>
              </w:rPr>
              <w:t>Ⅲ级基准值</w:t>
            </w:r>
          </w:p>
        </w:tc>
        <w:tc>
          <w:tcPr>
            <w:tcW w:w="1165" w:type="dxa"/>
            <w:tcBorders>
              <w:left w:val="single" w:color="000000" w:sz="4" w:space="0"/>
              <w:bottom w:val="single" w:color="000000" w:sz="4" w:space="0"/>
            </w:tcBorders>
          </w:tcPr>
          <w:p>
            <w:pPr>
              <w:pStyle w:val="14"/>
              <w:spacing w:before="2"/>
              <w:ind w:left="22" w:right="5"/>
              <w:rPr>
                <w:sz w:val="21"/>
              </w:rPr>
            </w:pPr>
            <w:r>
              <w:rPr>
                <w:sz w:val="21"/>
              </w:rPr>
              <w:t>本煤矿扩建</w:t>
            </w:r>
          </w:p>
          <w:p>
            <w:pPr>
              <w:pStyle w:val="14"/>
              <w:spacing w:before="55"/>
              <w:ind w:left="19"/>
              <w:rPr>
                <w:sz w:val="21"/>
              </w:rPr>
            </w:pPr>
            <w:r>
              <w:rPr>
                <w:w w:val="99"/>
                <w:sz w:val="21"/>
              </w:rPr>
              <w:t>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72" w:type="dxa"/>
            <w:tcBorders>
              <w:top w:val="single" w:color="000000" w:sz="4" w:space="0"/>
              <w:bottom w:val="single" w:color="000000" w:sz="4" w:space="0"/>
              <w:right w:val="single" w:color="000000" w:sz="4" w:space="0"/>
            </w:tcBorders>
          </w:tcPr>
          <w:p>
            <w:pPr>
              <w:pStyle w:val="14"/>
              <w:jc w:val="left"/>
              <w:rPr>
                <w:rFonts w:ascii="Times New Roman"/>
                <w:sz w:val="20"/>
              </w:rPr>
            </w:pPr>
          </w:p>
        </w:tc>
        <w:tc>
          <w:tcPr>
            <w:tcW w:w="1090"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068"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4"/>
              <w:ind w:left="17"/>
              <w:rPr>
                <w:sz w:val="21"/>
              </w:rPr>
            </w:pPr>
            <w:r>
              <w:rPr>
                <w:w w:val="99"/>
                <w:sz w:val="21"/>
              </w:rPr>
              <w:t>量</w:t>
            </w:r>
          </w:p>
        </w:tc>
        <w:tc>
          <w:tcPr>
            <w:tcW w:w="835"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933"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6541" w:type="dxa"/>
            <w:gridSpan w:val="3"/>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165"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trPr>
        <w:tc>
          <w:tcPr>
            <w:tcW w:w="572" w:type="dxa"/>
            <w:tcBorders>
              <w:top w:val="single" w:color="000000" w:sz="4" w:space="0"/>
              <w:bottom w:val="single" w:color="000000" w:sz="4" w:space="0"/>
              <w:right w:val="single" w:color="000000" w:sz="4" w:space="0"/>
            </w:tcBorders>
          </w:tcPr>
          <w:p>
            <w:pPr>
              <w:pStyle w:val="14"/>
              <w:spacing w:before="180"/>
              <w:ind w:left="56" w:right="38"/>
              <w:rPr>
                <w:rFonts w:ascii="Times New Roman"/>
                <w:sz w:val="21"/>
              </w:rPr>
            </w:pPr>
            <w:r>
              <w:rPr>
                <w:rFonts w:ascii="Times New Roman"/>
                <w:sz w:val="21"/>
              </w:rPr>
              <w:t>20</w:t>
            </w:r>
          </w:p>
        </w:tc>
        <w:tc>
          <w:tcPr>
            <w:tcW w:w="1090" w:type="dxa"/>
            <w:vMerge w:val="restart"/>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spacing w:before="141" w:line="290" w:lineRule="auto"/>
              <w:ind w:left="23" w:right="5"/>
              <w:rPr>
                <w:sz w:val="21"/>
              </w:rPr>
            </w:pPr>
            <w:r>
              <w:rPr>
                <w:sz w:val="21"/>
              </w:rPr>
              <w:t>（三）资源综合利用指标</w:t>
            </w:r>
          </w:p>
        </w:tc>
        <w:tc>
          <w:tcPr>
            <w:tcW w:w="1068" w:type="dxa"/>
            <w:vMerge w:val="restart"/>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2"/>
              </w:rPr>
            </w:pPr>
          </w:p>
          <w:p>
            <w:pPr>
              <w:pStyle w:val="14"/>
              <w:jc w:val="left"/>
              <w:rPr>
                <w:rFonts w:ascii="Times New Roman"/>
                <w:sz w:val="22"/>
              </w:rPr>
            </w:pPr>
          </w:p>
          <w:p>
            <w:pPr>
              <w:pStyle w:val="14"/>
              <w:jc w:val="left"/>
              <w:rPr>
                <w:rFonts w:ascii="Times New Roman"/>
                <w:sz w:val="22"/>
              </w:rPr>
            </w:pPr>
          </w:p>
          <w:p>
            <w:pPr>
              <w:pStyle w:val="14"/>
              <w:jc w:val="left"/>
              <w:rPr>
                <w:rFonts w:ascii="Times New Roman"/>
                <w:sz w:val="22"/>
              </w:rPr>
            </w:pPr>
          </w:p>
          <w:p>
            <w:pPr>
              <w:pStyle w:val="14"/>
              <w:spacing w:before="164"/>
              <w:ind w:left="354"/>
              <w:jc w:val="left"/>
              <w:rPr>
                <w:rFonts w:ascii="Times New Roman"/>
                <w:sz w:val="21"/>
              </w:rPr>
            </w:pPr>
            <w:r>
              <w:rPr>
                <w:rFonts w:ascii="Times New Roman"/>
                <w:sz w:val="21"/>
              </w:rPr>
              <w:t>0.15</w:t>
            </w:r>
          </w:p>
        </w:tc>
        <w:tc>
          <w:tcPr>
            <w:tcW w:w="1818" w:type="dxa"/>
            <w:gridSpan w:val="2"/>
            <w:tcBorders>
              <w:top w:val="single" w:color="000000" w:sz="4" w:space="0"/>
              <w:left w:val="single" w:color="000000" w:sz="4" w:space="0"/>
              <w:bottom w:val="single" w:color="000000" w:sz="4" w:space="0"/>
              <w:right w:val="single" w:color="000000" w:sz="4" w:space="0"/>
            </w:tcBorders>
          </w:tcPr>
          <w:p>
            <w:pPr>
              <w:pStyle w:val="14"/>
              <w:ind w:left="41" w:right="24"/>
              <w:rPr>
                <w:sz w:val="21"/>
              </w:rPr>
            </w:pPr>
            <w:r>
              <w:rPr>
                <w:rFonts w:ascii="Times New Roman" w:eastAsia="Times New Roman"/>
                <w:w w:val="95"/>
                <w:sz w:val="21"/>
              </w:rPr>
              <w:t>*</w:t>
            </w:r>
            <w:r>
              <w:rPr>
                <w:w w:val="95"/>
                <w:sz w:val="21"/>
              </w:rPr>
              <w:t>当年产生煤矸石综</w:t>
            </w:r>
          </w:p>
          <w:p>
            <w:pPr>
              <w:pStyle w:val="14"/>
              <w:spacing w:before="58"/>
              <w:ind w:left="41" w:right="24"/>
              <w:rPr>
                <w:sz w:val="21"/>
              </w:rPr>
            </w:pPr>
            <w:r>
              <w:rPr>
                <w:sz w:val="21"/>
              </w:rPr>
              <w:t>合利用率</w:t>
            </w:r>
          </w:p>
        </w:tc>
        <w:tc>
          <w:tcPr>
            <w:tcW w:w="835" w:type="dxa"/>
            <w:tcBorders>
              <w:top w:val="single" w:color="000000" w:sz="4" w:space="0"/>
              <w:left w:val="single" w:color="000000" w:sz="4" w:space="0"/>
              <w:bottom w:val="single" w:color="000000" w:sz="4" w:space="0"/>
              <w:right w:val="single" w:color="000000" w:sz="4" w:space="0"/>
            </w:tcBorders>
          </w:tcPr>
          <w:p>
            <w:pPr>
              <w:pStyle w:val="14"/>
              <w:spacing w:before="180"/>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4"/>
              <w:spacing w:before="180"/>
              <w:ind w:left="266" w:right="248"/>
              <w:rPr>
                <w:rFonts w:ascii="Times New Roman"/>
                <w:sz w:val="21"/>
              </w:rPr>
            </w:pPr>
            <w:r>
              <w:rPr>
                <w:rFonts w:ascii="Times New Roman"/>
                <w:sz w:val="21"/>
              </w:rPr>
              <w:t>0.3</w:t>
            </w:r>
          </w:p>
        </w:tc>
        <w:tc>
          <w:tcPr>
            <w:tcW w:w="2641" w:type="dxa"/>
            <w:tcBorders>
              <w:top w:val="single" w:color="000000" w:sz="4" w:space="0"/>
              <w:left w:val="single" w:color="000000" w:sz="4" w:space="0"/>
              <w:bottom w:val="single" w:color="000000" w:sz="4" w:space="0"/>
              <w:right w:val="single" w:color="000000" w:sz="4" w:space="0"/>
            </w:tcBorders>
          </w:tcPr>
          <w:p>
            <w:pPr>
              <w:pStyle w:val="14"/>
              <w:spacing w:before="180"/>
              <w:ind w:left="778" w:right="758"/>
              <w:rPr>
                <w:rFonts w:ascii="Times New Roman" w:hAnsi="Times New Roman"/>
                <w:sz w:val="21"/>
              </w:rPr>
            </w:pPr>
            <w:r>
              <w:rPr>
                <w:rFonts w:ascii="Times New Roman" w:hAnsi="Times New Roman"/>
                <w:sz w:val="21"/>
              </w:rPr>
              <w:t>≥85</w:t>
            </w:r>
          </w:p>
        </w:tc>
        <w:tc>
          <w:tcPr>
            <w:tcW w:w="1879" w:type="dxa"/>
            <w:tcBorders>
              <w:top w:val="single" w:color="000000" w:sz="4" w:space="0"/>
              <w:left w:val="single" w:color="000000" w:sz="4" w:space="0"/>
              <w:bottom w:val="single" w:color="000000" w:sz="4" w:space="0"/>
              <w:right w:val="single" w:color="000000" w:sz="4" w:space="0"/>
            </w:tcBorders>
          </w:tcPr>
          <w:p>
            <w:pPr>
              <w:pStyle w:val="14"/>
              <w:spacing w:before="180"/>
              <w:ind w:left="397" w:right="380"/>
              <w:rPr>
                <w:rFonts w:ascii="Times New Roman" w:hAnsi="Times New Roman"/>
                <w:sz w:val="21"/>
              </w:rPr>
            </w:pPr>
            <w:r>
              <w:rPr>
                <w:rFonts w:ascii="Times New Roman" w:hAnsi="Times New Roman"/>
                <w:sz w:val="21"/>
              </w:rPr>
              <w:t>≥80</w:t>
            </w:r>
          </w:p>
        </w:tc>
        <w:tc>
          <w:tcPr>
            <w:tcW w:w="2021" w:type="dxa"/>
            <w:tcBorders>
              <w:top w:val="single" w:color="000000" w:sz="4" w:space="0"/>
              <w:left w:val="single" w:color="000000" w:sz="4" w:space="0"/>
              <w:bottom w:val="single" w:color="000000" w:sz="4" w:space="0"/>
              <w:right w:val="single" w:color="000000" w:sz="4" w:space="0"/>
            </w:tcBorders>
          </w:tcPr>
          <w:p>
            <w:pPr>
              <w:pStyle w:val="14"/>
              <w:spacing w:before="180"/>
              <w:ind w:left="468" w:right="449"/>
              <w:rPr>
                <w:rFonts w:ascii="Times New Roman" w:hAnsi="Times New Roman"/>
                <w:sz w:val="21"/>
              </w:rPr>
            </w:pPr>
            <w:r>
              <w:rPr>
                <w:rFonts w:ascii="Times New Roman" w:hAnsi="Times New Roman"/>
                <w:sz w:val="21"/>
              </w:rPr>
              <w:t>≥75</w:t>
            </w:r>
          </w:p>
        </w:tc>
        <w:tc>
          <w:tcPr>
            <w:tcW w:w="1165" w:type="dxa"/>
            <w:tcBorders>
              <w:top w:val="single" w:color="000000" w:sz="4" w:space="0"/>
              <w:left w:val="single" w:color="000000" w:sz="4" w:space="0"/>
              <w:bottom w:val="single" w:color="000000" w:sz="4" w:space="0"/>
            </w:tcBorders>
          </w:tcPr>
          <w:p>
            <w:pPr>
              <w:pStyle w:val="14"/>
              <w:spacing w:before="180"/>
              <w:ind w:left="21" w:right="5"/>
              <w:rPr>
                <w:rFonts w:ascii="Times New Roman" w:hAnsi="Times New Roman"/>
                <w:sz w:val="21"/>
              </w:rPr>
            </w:pPr>
            <w:r>
              <w:rPr>
                <w:rFonts w:ascii="Times New Roman" w:hAnsi="Times New Roman"/>
                <w:sz w:val="21"/>
              </w:rPr>
              <w:t>≥85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572" w:type="dxa"/>
            <w:tcBorders>
              <w:top w:val="single" w:color="000000" w:sz="4" w:space="0"/>
              <w:bottom w:val="single" w:color="000000" w:sz="4" w:space="0"/>
              <w:right w:val="single" w:color="000000" w:sz="4" w:space="0"/>
            </w:tcBorders>
          </w:tcPr>
          <w:p>
            <w:pPr>
              <w:pStyle w:val="14"/>
              <w:spacing w:before="182"/>
              <w:ind w:left="56" w:right="38"/>
              <w:rPr>
                <w:rFonts w:ascii="Times New Roman"/>
                <w:sz w:val="21"/>
              </w:rPr>
            </w:pPr>
            <w:r>
              <w:rPr>
                <w:rFonts w:ascii="Times New Roman"/>
                <w:sz w:val="21"/>
              </w:rPr>
              <w:t>21</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750" w:type="dxa"/>
            <w:tcBorders>
              <w:top w:val="single" w:color="000000" w:sz="4" w:space="0"/>
              <w:left w:val="single" w:color="000000" w:sz="4" w:space="0"/>
              <w:bottom w:val="single" w:color="000000" w:sz="4" w:space="0"/>
              <w:right w:val="single" w:color="000000" w:sz="4" w:space="0"/>
            </w:tcBorders>
          </w:tcPr>
          <w:p>
            <w:pPr>
              <w:pStyle w:val="14"/>
              <w:ind w:left="11" w:right="-15"/>
              <w:jc w:val="left"/>
              <w:rPr>
                <w:sz w:val="21"/>
              </w:rPr>
            </w:pPr>
            <w:r>
              <w:rPr>
                <w:rFonts w:ascii="Times New Roman" w:eastAsia="Times New Roman"/>
                <w:sz w:val="21"/>
              </w:rPr>
              <w:t>*</w:t>
            </w:r>
            <w:r>
              <w:rPr>
                <w:sz w:val="21"/>
              </w:rPr>
              <w:t>矿井水</w:t>
            </w:r>
          </w:p>
          <w:p>
            <w:pPr>
              <w:pStyle w:val="14"/>
              <w:spacing w:before="57"/>
              <w:ind w:left="64"/>
              <w:jc w:val="left"/>
              <w:rPr>
                <w:sz w:val="21"/>
              </w:rPr>
            </w:pPr>
            <w:r>
              <w:rPr>
                <w:sz w:val="21"/>
              </w:rPr>
              <w:t>利用率</w:t>
            </w:r>
          </w:p>
        </w:tc>
        <w:tc>
          <w:tcPr>
            <w:tcW w:w="1068" w:type="dxa"/>
            <w:tcBorders>
              <w:top w:val="single" w:color="000000" w:sz="4" w:space="0"/>
              <w:left w:val="single" w:color="000000" w:sz="4" w:space="0"/>
              <w:bottom w:val="single" w:color="000000" w:sz="4" w:space="0"/>
              <w:right w:val="single" w:color="000000" w:sz="4" w:space="0"/>
            </w:tcBorders>
          </w:tcPr>
          <w:p>
            <w:pPr>
              <w:pStyle w:val="14"/>
              <w:ind w:left="12" w:right="-15"/>
              <w:rPr>
                <w:sz w:val="21"/>
              </w:rPr>
            </w:pPr>
            <w:r>
              <w:rPr>
                <w:sz w:val="21"/>
              </w:rPr>
              <w:t>水资源短缺</w:t>
            </w:r>
          </w:p>
          <w:p>
            <w:pPr>
              <w:pStyle w:val="14"/>
              <w:spacing w:before="57"/>
              <w:ind w:left="307" w:right="289"/>
              <w:rPr>
                <w:sz w:val="21"/>
              </w:rPr>
            </w:pPr>
            <w:r>
              <w:rPr>
                <w:sz w:val="21"/>
              </w:rPr>
              <w:t>矿区</w:t>
            </w:r>
          </w:p>
        </w:tc>
        <w:tc>
          <w:tcPr>
            <w:tcW w:w="835" w:type="dxa"/>
            <w:tcBorders>
              <w:top w:val="single" w:color="000000" w:sz="4" w:space="0"/>
              <w:left w:val="single" w:color="000000" w:sz="4" w:space="0"/>
              <w:bottom w:val="single" w:color="000000" w:sz="4" w:space="0"/>
              <w:right w:val="single" w:color="000000" w:sz="4" w:space="0"/>
            </w:tcBorders>
          </w:tcPr>
          <w:p>
            <w:pPr>
              <w:pStyle w:val="14"/>
              <w:spacing w:before="182"/>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4"/>
              <w:spacing w:before="182"/>
              <w:ind w:left="266" w:right="248"/>
              <w:rPr>
                <w:rFonts w:ascii="Times New Roman"/>
                <w:sz w:val="21"/>
              </w:rPr>
            </w:pPr>
            <w:r>
              <w:rPr>
                <w:rFonts w:ascii="Times New Roman"/>
                <w:sz w:val="21"/>
              </w:rPr>
              <w:t>0.3</w:t>
            </w:r>
          </w:p>
        </w:tc>
        <w:tc>
          <w:tcPr>
            <w:tcW w:w="2641" w:type="dxa"/>
            <w:tcBorders>
              <w:top w:val="single" w:color="000000" w:sz="4" w:space="0"/>
              <w:left w:val="single" w:color="000000" w:sz="4" w:space="0"/>
              <w:bottom w:val="single" w:color="000000" w:sz="4" w:space="0"/>
              <w:right w:val="single" w:color="000000" w:sz="4" w:space="0"/>
            </w:tcBorders>
          </w:tcPr>
          <w:p>
            <w:pPr>
              <w:pStyle w:val="14"/>
              <w:spacing w:before="182"/>
              <w:ind w:left="778" w:right="758"/>
              <w:rPr>
                <w:rFonts w:ascii="Times New Roman" w:hAnsi="Times New Roman"/>
                <w:sz w:val="21"/>
              </w:rPr>
            </w:pPr>
            <w:r>
              <w:rPr>
                <w:rFonts w:ascii="Times New Roman" w:hAnsi="Times New Roman"/>
                <w:sz w:val="21"/>
              </w:rPr>
              <w:t>≥95</w:t>
            </w:r>
          </w:p>
        </w:tc>
        <w:tc>
          <w:tcPr>
            <w:tcW w:w="1879" w:type="dxa"/>
            <w:tcBorders>
              <w:top w:val="single" w:color="000000" w:sz="4" w:space="0"/>
              <w:left w:val="single" w:color="000000" w:sz="4" w:space="0"/>
              <w:bottom w:val="single" w:color="000000" w:sz="4" w:space="0"/>
              <w:right w:val="single" w:color="000000" w:sz="4" w:space="0"/>
            </w:tcBorders>
          </w:tcPr>
          <w:p>
            <w:pPr>
              <w:pStyle w:val="14"/>
              <w:spacing w:before="182"/>
              <w:ind w:left="397" w:right="380"/>
              <w:rPr>
                <w:rFonts w:ascii="Times New Roman" w:hAnsi="Times New Roman"/>
                <w:sz w:val="21"/>
              </w:rPr>
            </w:pPr>
            <w:r>
              <w:rPr>
                <w:rFonts w:ascii="Times New Roman" w:hAnsi="Times New Roman"/>
                <w:sz w:val="21"/>
              </w:rPr>
              <w:t>≥90</w:t>
            </w:r>
          </w:p>
        </w:tc>
        <w:tc>
          <w:tcPr>
            <w:tcW w:w="2021" w:type="dxa"/>
            <w:tcBorders>
              <w:top w:val="single" w:color="000000" w:sz="4" w:space="0"/>
              <w:left w:val="single" w:color="000000" w:sz="4" w:space="0"/>
              <w:bottom w:val="single" w:color="000000" w:sz="4" w:space="0"/>
              <w:right w:val="single" w:color="000000" w:sz="4" w:space="0"/>
            </w:tcBorders>
          </w:tcPr>
          <w:p>
            <w:pPr>
              <w:pStyle w:val="14"/>
              <w:spacing w:before="182"/>
              <w:ind w:left="468" w:right="449"/>
              <w:rPr>
                <w:rFonts w:ascii="Times New Roman" w:hAnsi="Times New Roman"/>
                <w:sz w:val="21"/>
              </w:rPr>
            </w:pPr>
            <w:r>
              <w:rPr>
                <w:rFonts w:ascii="Times New Roman" w:hAnsi="Times New Roman"/>
                <w:sz w:val="21"/>
              </w:rPr>
              <w:t>≥85</w:t>
            </w:r>
          </w:p>
        </w:tc>
        <w:tc>
          <w:tcPr>
            <w:tcW w:w="1165" w:type="dxa"/>
            <w:tcBorders>
              <w:top w:val="single" w:color="000000" w:sz="4" w:space="0"/>
              <w:left w:val="single" w:color="000000" w:sz="4" w:space="0"/>
              <w:bottom w:val="single" w:color="000000" w:sz="4" w:space="0"/>
            </w:tcBorders>
          </w:tcPr>
          <w:p>
            <w:pPr>
              <w:pStyle w:val="14"/>
              <w:spacing w:before="182"/>
              <w:ind w:left="21" w:right="5"/>
              <w:rPr>
                <w:rFonts w:ascii="Times New Roman" w:hAnsi="Times New Roman"/>
                <w:sz w:val="21"/>
              </w:rPr>
            </w:pPr>
            <w:r>
              <w:rPr>
                <w:rFonts w:ascii="Times New Roman" w:hAnsi="Times New Roman"/>
                <w:sz w:val="21"/>
              </w:rPr>
              <w:t>≥95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572" w:type="dxa"/>
            <w:tcBorders>
              <w:top w:val="single" w:color="000000" w:sz="4" w:space="0"/>
              <w:bottom w:val="single" w:color="000000" w:sz="4" w:space="0"/>
              <w:right w:val="single" w:color="000000" w:sz="4" w:space="0"/>
            </w:tcBorders>
          </w:tcPr>
          <w:p>
            <w:pPr>
              <w:pStyle w:val="14"/>
              <w:spacing w:before="180"/>
              <w:ind w:left="56" w:right="38"/>
              <w:rPr>
                <w:rFonts w:ascii="Times New Roman"/>
                <w:sz w:val="21"/>
              </w:rPr>
            </w:pPr>
            <w:r>
              <w:rPr>
                <w:rFonts w:ascii="Times New Roman"/>
                <w:sz w:val="21"/>
              </w:rPr>
              <w:t>22</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4"/>
              <w:spacing w:before="1"/>
              <w:ind w:left="41" w:right="24"/>
              <w:rPr>
                <w:sz w:val="21"/>
              </w:rPr>
            </w:pPr>
            <w:r>
              <w:rPr>
                <w:sz w:val="21"/>
              </w:rPr>
              <w:t>矿区生活污水综合</w:t>
            </w:r>
          </w:p>
          <w:p>
            <w:pPr>
              <w:pStyle w:val="14"/>
              <w:spacing w:before="55"/>
              <w:ind w:left="43" w:right="24"/>
              <w:rPr>
                <w:sz w:val="21"/>
              </w:rPr>
            </w:pPr>
            <w:r>
              <w:rPr>
                <w:sz w:val="21"/>
              </w:rPr>
              <w:t>利用率</w:t>
            </w:r>
          </w:p>
        </w:tc>
        <w:tc>
          <w:tcPr>
            <w:tcW w:w="835" w:type="dxa"/>
            <w:tcBorders>
              <w:top w:val="single" w:color="000000" w:sz="4" w:space="0"/>
              <w:left w:val="single" w:color="000000" w:sz="4" w:space="0"/>
              <w:bottom w:val="single" w:color="000000" w:sz="4" w:space="0"/>
              <w:right w:val="single" w:color="000000" w:sz="4" w:space="0"/>
            </w:tcBorders>
          </w:tcPr>
          <w:p>
            <w:pPr>
              <w:pStyle w:val="14"/>
              <w:spacing w:before="180"/>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4"/>
              <w:spacing w:before="180"/>
              <w:ind w:left="266" w:right="248"/>
              <w:rPr>
                <w:rFonts w:ascii="Times New Roman"/>
                <w:sz w:val="21"/>
              </w:rPr>
            </w:pPr>
            <w:r>
              <w:rPr>
                <w:rFonts w:ascii="Times New Roman"/>
                <w:sz w:val="21"/>
              </w:rPr>
              <w:t>0.2</w:t>
            </w:r>
          </w:p>
        </w:tc>
        <w:tc>
          <w:tcPr>
            <w:tcW w:w="2641" w:type="dxa"/>
            <w:tcBorders>
              <w:top w:val="single" w:color="000000" w:sz="4" w:space="0"/>
              <w:left w:val="single" w:color="000000" w:sz="4" w:space="0"/>
              <w:bottom w:val="single" w:color="000000" w:sz="4" w:space="0"/>
              <w:right w:val="single" w:color="000000" w:sz="4" w:space="0"/>
            </w:tcBorders>
          </w:tcPr>
          <w:p>
            <w:pPr>
              <w:pStyle w:val="14"/>
              <w:spacing w:before="180"/>
              <w:ind w:left="778" w:right="758"/>
              <w:rPr>
                <w:rFonts w:ascii="Times New Roman"/>
                <w:sz w:val="21"/>
              </w:rPr>
            </w:pPr>
            <w:r>
              <w:rPr>
                <w:rFonts w:ascii="Times New Roman"/>
                <w:sz w:val="21"/>
              </w:rPr>
              <w:t>100</w:t>
            </w:r>
          </w:p>
        </w:tc>
        <w:tc>
          <w:tcPr>
            <w:tcW w:w="1879" w:type="dxa"/>
            <w:tcBorders>
              <w:top w:val="single" w:color="000000" w:sz="4" w:space="0"/>
              <w:left w:val="single" w:color="000000" w:sz="4" w:space="0"/>
              <w:bottom w:val="single" w:color="000000" w:sz="4" w:space="0"/>
              <w:right w:val="single" w:color="000000" w:sz="4" w:space="0"/>
            </w:tcBorders>
          </w:tcPr>
          <w:p>
            <w:pPr>
              <w:pStyle w:val="14"/>
              <w:spacing w:before="180"/>
              <w:ind w:left="397" w:right="380"/>
              <w:rPr>
                <w:rFonts w:ascii="Times New Roman" w:hAnsi="Times New Roman"/>
                <w:sz w:val="21"/>
              </w:rPr>
            </w:pPr>
            <w:r>
              <w:rPr>
                <w:rFonts w:ascii="Times New Roman" w:hAnsi="Times New Roman"/>
                <w:sz w:val="21"/>
              </w:rPr>
              <w:t>≥95</w:t>
            </w:r>
          </w:p>
        </w:tc>
        <w:tc>
          <w:tcPr>
            <w:tcW w:w="2021" w:type="dxa"/>
            <w:tcBorders>
              <w:top w:val="single" w:color="000000" w:sz="4" w:space="0"/>
              <w:left w:val="single" w:color="000000" w:sz="4" w:space="0"/>
              <w:bottom w:val="single" w:color="000000" w:sz="4" w:space="0"/>
              <w:right w:val="single" w:color="000000" w:sz="4" w:space="0"/>
            </w:tcBorders>
          </w:tcPr>
          <w:p>
            <w:pPr>
              <w:pStyle w:val="14"/>
              <w:spacing w:before="180"/>
              <w:ind w:left="468" w:right="449"/>
              <w:rPr>
                <w:rFonts w:ascii="Times New Roman" w:hAnsi="Times New Roman"/>
                <w:sz w:val="21"/>
              </w:rPr>
            </w:pPr>
            <w:r>
              <w:rPr>
                <w:rFonts w:ascii="Times New Roman" w:hAnsi="Times New Roman"/>
                <w:sz w:val="21"/>
              </w:rPr>
              <w:t>≥90</w:t>
            </w:r>
          </w:p>
        </w:tc>
        <w:tc>
          <w:tcPr>
            <w:tcW w:w="1165" w:type="dxa"/>
            <w:tcBorders>
              <w:top w:val="single" w:color="000000" w:sz="4" w:space="0"/>
              <w:left w:val="single" w:color="000000" w:sz="4" w:space="0"/>
              <w:bottom w:val="single" w:color="000000" w:sz="4" w:space="0"/>
            </w:tcBorders>
          </w:tcPr>
          <w:p>
            <w:pPr>
              <w:pStyle w:val="14"/>
              <w:spacing w:before="180"/>
              <w:ind w:left="24" w:right="4"/>
              <w:rPr>
                <w:rFonts w:ascii="Times New Roman"/>
                <w:sz w:val="21"/>
              </w:rPr>
            </w:pPr>
            <w:r>
              <w:rPr>
                <w:rFonts w:ascii="Times New Roman"/>
                <w:sz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trPr>
        <w:tc>
          <w:tcPr>
            <w:tcW w:w="572" w:type="dxa"/>
            <w:tcBorders>
              <w:top w:val="single" w:color="000000" w:sz="4" w:space="0"/>
              <w:bottom w:val="single" w:color="000000" w:sz="4" w:space="0"/>
              <w:right w:val="single" w:color="000000" w:sz="4" w:space="0"/>
            </w:tcBorders>
          </w:tcPr>
          <w:p>
            <w:pPr>
              <w:pStyle w:val="14"/>
              <w:spacing w:before="179"/>
              <w:ind w:left="56" w:right="38"/>
              <w:rPr>
                <w:rFonts w:ascii="Times New Roman"/>
                <w:sz w:val="21"/>
              </w:rPr>
            </w:pPr>
            <w:r>
              <w:rPr>
                <w:rFonts w:ascii="Times New Roman"/>
                <w:sz w:val="21"/>
              </w:rPr>
              <w:t>23</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4"/>
              <w:spacing w:line="268" w:lineRule="exact"/>
              <w:ind w:left="41" w:right="24"/>
              <w:rPr>
                <w:sz w:val="21"/>
              </w:rPr>
            </w:pPr>
            <w:r>
              <w:rPr>
                <w:sz w:val="21"/>
              </w:rPr>
              <w:t>高瓦斯矿井当年抽</w:t>
            </w:r>
          </w:p>
          <w:p>
            <w:pPr>
              <w:pStyle w:val="14"/>
              <w:spacing w:before="57"/>
              <w:ind w:left="38" w:right="24"/>
              <w:rPr>
                <w:sz w:val="21"/>
              </w:rPr>
            </w:pPr>
            <w:r>
              <w:rPr>
                <w:sz w:val="21"/>
              </w:rPr>
              <w:t>采瓦斯利用率</w:t>
            </w:r>
          </w:p>
        </w:tc>
        <w:tc>
          <w:tcPr>
            <w:tcW w:w="835" w:type="dxa"/>
            <w:tcBorders>
              <w:top w:val="single" w:color="000000" w:sz="4" w:space="0"/>
              <w:left w:val="single" w:color="000000" w:sz="4" w:space="0"/>
              <w:bottom w:val="single" w:color="000000" w:sz="4" w:space="0"/>
              <w:right w:val="single" w:color="000000" w:sz="4" w:space="0"/>
            </w:tcBorders>
          </w:tcPr>
          <w:p>
            <w:pPr>
              <w:pStyle w:val="14"/>
              <w:spacing w:before="179"/>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4"/>
              <w:spacing w:before="179"/>
              <w:ind w:left="266" w:right="248"/>
              <w:rPr>
                <w:rFonts w:ascii="Times New Roman"/>
                <w:sz w:val="21"/>
              </w:rPr>
            </w:pPr>
            <w:r>
              <w:rPr>
                <w:rFonts w:ascii="Times New Roman"/>
                <w:sz w:val="21"/>
              </w:rPr>
              <w:t>0.2</w:t>
            </w:r>
          </w:p>
        </w:tc>
        <w:tc>
          <w:tcPr>
            <w:tcW w:w="2641" w:type="dxa"/>
            <w:tcBorders>
              <w:top w:val="single" w:color="000000" w:sz="4" w:space="0"/>
              <w:left w:val="single" w:color="000000" w:sz="4" w:space="0"/>
              <w:bottom w:val="single" w:color="000000" w:sz="4" w:space="0"/>
              <w:right w:val="single" w:color="000000" w:sz="4" w:space="0"/>
            </w:tcBorders>
          </w:tcPr>
          <w:p>
            <w:pPr>
              <w:pStyle w:val="14"/>
              <w:spacing w:before="179"/>
              <w:ind w:left="778" w:right="758"/>
              <w:rPr>
                <w:rFonts w:ascii="Times New Roman" w:hAnsi="Times New Roman"/>
                <w:sz w:val="21"/>
              </w:rPr>
            </w:pPr>
            <w:r>
              <w:rPr>
                <w:rFonts w:ascii="Times New Roman" w:hAnsi="Times New Roman"/>
                <w:sz w:val="21"/>
              </w:rPr>
              <w:t>≥85</w:t>
            </w:r>
          </w:p>
        </w:tc>
        <w:tc>
          <w:tcPr>
            <w:tcW w:w="1879" w:type="dxa"/>
            <w:tcBorders>
              <w:top w:val="single" w:color="000000" w:sz="4" w:space="0"/>
              <w:left w:val="single" w:color="000000" w:sz="4" w:space="0"/>
              <w:bottom w:val="single" w:color="000000" w:sz="4" w:space="0"/>
              <w:right w:val="single" w:color="000000" w:sz="4" w:space="0"/>
            </w:tcBorders>
          </w:tcPr>
          <w:p>
            <w:pPr>
              <w:pStyle w:val="14"/>
              <w:spacing w:before="179"/>
              <w:ind w:left="397" w:right="380"/>
              <w:rPr>
                <w:rFonts w:ascii="Times New Roman" w:hAnsi="Times New Roman"/>
                <w:sz w:val="21"/>
              </w:rPr>
            </w:pPr>
            <w:r>
              <w:rPr>
                <w:rFonts w:ascii="Times New Roman" w:hAnsi="Times New Roman"/>
                <w:sz w:val="21"/>
              </w:rPr>
              <w:t>≥70</w:t>
            </w:r>
          </w:p>
        </w:tc>
        <w:tc>
          <w:tcPr>
            <w:tcW w:w="2021" w:type="dxa"/>
            <w:tcBorders>
              <w:top w:val="single" w:color="000000" w:sz="4" w:space="0"/>
              <w:left w:val="single" w:color="000000" w:sz="4" w:space="0"/>
              <w:bottom w:val="single" w:color="000000" w:sz="4" w:space="0"/>
              <w:right w:val="single" w:color="000000" w:sz="4" w:space="0"/>
            </w:tcBorders>
          </w:tcPr>
          <w:p>
            <w:pPr>
              <w:pStyle w:val="14"/>
              <w:spacing w:before="179"/>
              <w:ind w:left="468" w:right="449"/>
              <w:rPr>
                <w:rFonts w:ascii="Times New Roman" w:hAnsi="Times New Roman"/>
                <w:sz w:val="21"/>
              </w:rPr>
            </w:pPr>
            <w:r>
              <w:rPr>
                <w:rFonts w:ascii="Times New Roman" w:hAnsi="Times New Roman"/>
                <w:sz w:val="21"/>
              </w:rPr>
              <w:t>≥60</w:t>
            </w:r>
          </w:p>
        </w:tc>
        <w:tc>
          <w:tcPr>
            <w:tcW w:w="1165" w:type="dxa"/>
            <w:tcBorders>
              <w:top w:val="single" w:color="000000" w:sz="4" w:space="0"/>
              <w:left w:val="single" w:color="000000" w:sz="4" w:space="0"/>
              <w:bottom w:val="single" w:color="000000" w:sz="4" w:space="0"/>
            </w:tcBorders>
          </w:tcPr>
          <w:p>
            <w:pPr>
              <w:pStyle w:val="14"/>
              <w:spacing w:line="268" w:lineRule="exact"/>
              <w:ind w:left="60"/>
              <w:jc w:val="left"/>
              <w:rPr>
                <w:sz w:val="21"/>
              </w:rPr>
            </w:pPr>
            <w:r>
              <w:rPr>
                <w:sz w:val="21"/>
              </w:rPr>
              <w:t>本煤矿为低</w:t>
            </w:r>
          </w:p>
          <w:p>
            <w:pPr>
              <w:pStyle w:val="14"/>
              <w:spacing w:before="57"/>
              <w:ind w:left="163"/>
              <w:jc w:val="left"/>
              <w:rPr>
                <w:sz w:val="21"/>
              </w:rPr>
            </w:pPr>
            <w:r>
              <w:rPr>
                <w:sz w:val="21"/>
              </w:rPr>
              <w:t>瓦斯矿井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572" w:type="dxa"/>
            <w:tcBorders>
              <w:top w:val="single" w:color="000000" w:sz="4" w:space="0"/>
              <w:bottom w:val="single" w:color="000000" w:sz="4" w:space="0"/>
              <w:right w:val="single" w:color="000000" w:sz="4" w:space="0"/>
            </w:tcBorders>
          </w:tcPr>
          <w:p>
            <w:pPr>
              <w:pStyle w:val="14"/>
              <w:spacing w:before="180"/>
              <w:ind w:left="56" w:right="38"/>
              <w:rPr>
                <w:rFonts w:ascii="Times New Roman"/>
                <w:sz w:val="21"/>
              </w:rPr>
            </w:pPr>
            <w:r>
              <w:rPr>
                <w:rFonts w:ascii="Times New Roman"/>
                <w:sz w:val="21"/>
              </w:rPr>
              <w:t>24</w:t>
            </w:r>
          </w:p>
        </w:tc>
        <w:tc>
          <w:tcPr>
            <w:tcW w:w="1090" w:type="dxa"/>
            <w:vMerge w:val="restart"/>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p>
            <w:pPr>
              <w:pStyle w:val="14"/>
              <w:jc w:val="left"/>
              <w:rPr>
                <w:rFonts w:ascii="Times New Roman"/>
                <w:sz w:val="20"/>
              </w:rPr>
            </w:pPr>
          </w:p>
          <w:p>
            <w:pPr>
              <w:pStyle w:val="14"/>
              <w:spacing w:before="4"/>
              <w:jc w:val="left"/>
              <w:rPr>
                <w:rFonts w:ascii="Times New Roman"/>
                <w:sz w:val="19"/>
              </w:rPr>
            </w:pPr>
          </w:p>
          <w:p>
            <w:pPr>
              <w:pStyle w:val="14"/>
              <w:spacing w:line="290" w:lineRule="auto"/>
              <w:ind w:left="129" w:right="5" w:hanging="106"/>
              <w:jc w:val="left"/>
              <w:rPr>
                <w:sz w:val="21"/>
              </w:rPr>
            </w:pPr>
            <w:r>
              <w:rPr>
                <w:sz w:val="21"/>
              </w:rPr>
              <w:t>（四）生态环境指标</w:t>
            </w:r>
          </w:p>
        </w:tc>
        <w:tc>
          <w:tcPr>
            <w:tcW w:w="1068" w:type="dxa"/>
            <w:vMerge w:val="restart"/>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2"/>
              </w:rPr>
            </w:pPr>
          </w:p>
          <w:p>
            <w:pPr>
              <w:pStyle w:val="14"/>
              <w:jc w:val="left"/>
              <w:rPr>
                <w:rFonts w:ascii="Times New Roman"/>
                <w:sz w:val="22"/>
              </w:rPr>
            </w:pPr>
          </w:p>
          <w:p>
            <w:pPr>
              <w:pStyle w:val="14"/>
              <w:spacing w:before="2"/>
              <w:jc w:val="left"/>
              <w:rPr>
                <w:rFonts w:ascii="Times New Roman"/>
                <w:sz w:val="31"/>
              </w:rPr>
            </w:pPr>
          </w:p>
          <w:p>
            <w:pPr>
              <w:pStyle w:val="14"/>
              <w:ind w:left="354"/>
              <w:jc w:val="left"/>
              <w:rPr>
                <w:rFonts w:ascii="Times New Roman"/>
                <w:sz w:val="21"/>
              </w:rPr>
            </w:pPr>
            <w:r>
              <w:rPr>
                <w:rFonts w:ascii="Times New Roman"/>
                <w:sz w:val="21"/>
              </w:rPr>
              <w:t>0.15</w:t>
            </w:r>
          </w:p>
        </w:tc>
        <w:tc>
          <w:tcPr>
            <w:tcW w:w="1818" w:type="dxa"/>
            <w:gridSpan w:val="2"/>
            <w:tcBorders>
              <w:top w:val="single" w:color="000000" w:sz="4" w:space="0"/>
              <w:left w:val="single" w:color="000000" w:sz="4" w:space="0"/>
              <w:bottom w:val="single" w:color="000000" w:sz="4" w:space="0"/>
              <w:right w:val="single" w:color="000000" w:sz="4" w:space="0"/>
            </w:tcBorders>
          </w:tcPr>
          <w:p>
            <w:pPr>
              <w:pStyle w:val="14"/>
              <w:spacing w:before="1"/>
              <w:ind w:left="44" w:right="21"/>
              <w:rPr>
                <w:sz w:val="21"/>
              </w:rPr>
            </w:pPr>
            <w:r>
              <w:rPr>
                <w:spacing w:val="-11"/>
                <w:w w:val="95"/>
                <w:sz w:val="21"/>
              </w:rPr>
              <w:t>煤矸石、煤泥、粉煤</w:t>
            </w:r>
          </w:p>
          <w:p>
            <w:pPr>
              <w:pStyle w:val="14"/>
              <w:spacing w:before="57"/>
              <w:ind w:left="38" w:right="24"/>
              <w:rPr>
                <w:sz w:val="21"/>
              </w:rPr>
            </w:pPr>
            <w:r>
              <w:rPr>
                <w:sz w:val="21"/>
              </w:rPr>
              <w:t>灰安全处置率</w:t>
            </w:r>
          </w:p>
        </w:tc>
        <w:tc>
          <w:tcPr>
            <w:tcW w:w="835" w:type="dxa"/>
            <w:tcBorders>
              <w:top w:val="single" w:color="000000" w:sz="4" w:space="0"/>
              <w:left w:val="single" w:color="000000" w:sz="4" w:space="0"/>
              <w:bottom w:val="single" w:color="000000" w:sz="4" w:space="0"/>
              <w:right w:val="single" w:color="000000" w:sz="4" w:space="0"/>
            </w:tcBorders>
          </w:tcPr>
          <w:p>
            <w:pPr>
              <w:pStyle w:val="14"/>
              <w:spacing w:before="180"/>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4"/>
              <w:spacing w:before="180"/>
              <w:ind w:left="266" w:right="248"/>
              <w:rPr>
                <w:rFonts w:ascii="Times New Roman"/>
                <w:sz w:val="21"/>
              </w:rPr>
            </w:pPr>
            <w:r>
              <w:rPr>
                <w:rFonts w:ascii="Times New Roman"/>
                <w:sz w:val="21"/>
              </w:rPr>
              <w:t>0.15</w:t>
            </w:r>
          </w:p>
        </w:tc>
        <w:tc>
          <w:tcPr>
            <w:tcW w:w="2641" w:type="dxa"/>
            <w:tcBorders>
              <w:top w:val="single" w:color="000000" w:sz="4" w:space="0"/>
              <w:left w:val="single" w:color="000000" w:sz="4" w:space="0"/>
              <w:bottom w:val="single" w:color="000000" w:sz="4" w:space="0"/>
              <w:right w:val="single" w:color="000000" w:sz="4" w:space="0"/>
            </w:tcBorders>
          </w:tcPr>
          <w:p>
            <w:pPr>
              <w:pStyle w:val="14"/>
              <w:spacing w:before="180"/>
              <w:ind w:left="778" w:right="758"/>
              <w:rPr>
                <w:rFonts w:ascii="Times New Roman"/>
                <w:sz w:val="21"/>
              </w:rPr>
            </w:pPr>
            <w:r>
              <w:rPr>
                <w:rFonts w:ascii="Times New Roman"/>
                <w:sz w:val="21"/>
              </w:rPr>
              <w:t>100</w:t>
            </w:r>
          </w:p>
        </w:tc>
        <w:tc>
          <w:tcPr>
            <w:tcW w:w="1879" w:type="dxa"/>
            <w:tcBorders>
              <w:top w:val="single" w:color="000000" w:sz="4" w:space="0"/>
              <w:left w:val="single" w:color="000000" w:sz="4" w:space="0"/>
              <w:bottom w:val="single" w:color="000000" w:sz="4" w:space="0"/>
              <w:right w:val="single" w:color="000000" w:sz="4" w:space="0"/>
            </w:tcBorders>
          </w:tcPr>
          <w:p>
            <w:pPr>
              <w:pStyle w:val="14"/>
              <w:spacing w:before="180"/>
              <w:ind w:left="397" w:right="376"/>
              <w:rPr>
                <w:rFonts w:ascii="Times New Roman"/>
                <w:sz w:val="21"/>
              </w:rPr>
            </w:pPr>
            <w:r>
              <w:rPr>
                <w:rFonts w:ascii="Times New Roman"/>
                <w:sz w:val="21"/>
              </w:rPr>
              <w:t>100</w:t>
            </w:r>
          </w:p>
        </w:tc>
        <w:tc>
          <w:tcPr>
            <w:tcW w:w="2021" w:type="dxa"/>
            <w:tcBorders>
              <w:top w:val="single" w:color="000000" w:sz="4" w:space="0"/>
              <w:left w:val="single" w:color="000000" w:sz="4" w:space="0"/>
              <w:bottom w:val="single" w:color="000000" w:sz="4" w:space="0"/>
              <w:right w:val="single" w:color="000000" w:sz="4" w:space="0"/>
            </w:tcBorders>
          </w:tcPr>
          <w:p>
            <w:pPr>
              <w:pStyle w:val="14"/>
              <w:spacing w:before="180"/>
              <w:ind w:left="468" w:right="449"/>
              <w:rPr>
                <w:rFonts w:ascii="Times New Roman"/>
                <w:sz w:val="21"/>
              </w:rPr>
            </w:pPr>
            <w:r>
              <w:rPr>
                <w:rFonts w:ascii="Times New Roman"/>
                <w:sz w:val="21"/>
              </w:rPr>
              <w:t>100</w:t>
            </w:r>
          </w:p>
        </w:tc>
        <w:tc>
          <w:tcPr>
            <w:tcW w:w="1165" w:type="dxa"/>
            <w:tcBorders>
              <w:top w:val="single" w:color="000000" w:sz="4" w:space="0"/>
              <w:left w:val="single" w:color="000000" w:sz="4" w:space="0"/>
              <w:bottom w:val="single" w:color="000000" w:sz="4" w:space="0"/>
            </w:tcBorders>
          </w:tcPr>
          <w:p>
            <w:pPr>
              <w:pStyle w:val="14"/>
              <w:spacing w:before="180"/>
              <w:ind w:left="24" w:right="4"/>
              <w:rPr>
                <w:rFonts w:ascii="Times New Roman"/>
                <w:sz w:val="21"/>
              </w:rPr>
            </w:pPr>
            <w:r>
              <w:rPr>
                <w:rFonts w:ascii="Times New Roman"/>
                <w:sz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1" w:hRule="atLeast"/>
        </w:trPr>
        <w:tc>
          <w:tcPr>
            <w:tcW w:w="572" w:type="dxa"/>
            <w:tcBorders>
              <w:top w:val="single" w:color="000000" w:sz="4" w:space="0"/>
              <w:bottom w:val="single" w:color="000000" w:sz="4" w:space="0"/>
              <w:right w:val="single" w:color="000000" w:sz="4" w:space="0"/>
            </w:tcBorders>
          </w:tcPr>
          <w:p>
            <w:pPr>
              <w:pStyle w:val="14"/>
              <w:spacing w:before="23"/>
              <w:ind w:left="56" w:right="38"/>
              <w:rPr>
                <w:rFonts w:ascii="Times New Roman"/>
                <w:sz w:val="21"/>
              </w:rPr>
            </w:pPr>
            <w:r>
              <w:rPr>
                <w:rFonts w:ascii="Times New Roman"/>
                <w:sz w:val="21"/>
              </w:rPr>
              <w:t>25</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4"/>
              <w:spacing w:before="6"/>
              <w:ind w:left="282"/>
              <w:jc w:val="left"/>
              <w:rPr>
                <w:sz w:val="21"/>
              </w:rPr>
            </w:pPr>
            <w:r>
              <w:rPr>
                <w:sz w:val="21"/>
              </w:rPr>
              <w:t>沉陷区治理率</w:t>
            </w:r>
          </w:p>
        </w:tc>
        <w:tc>
          <w:tcPr>
            <w:tcW w:w="835" w:type="dxa"/>
            <w:tcBorders>
              <w:top w:val="single" w:color="000000" w:sz="4" w:space="0"/>
              <w:left w:val="single" w:color="000000" w:sz="4" w:space="0"/>
              <w:bottom w:val="single" w:color="000000" w:sz="4" w:space="0"/>
              <w:right w:val="single" w:color="000000" w:sz="4" w:space="0"/>
            </w:tcBorders>
          </w:tcPr>
          <w:p>
            <w:pPr>
              <w:pStyle w:val="14"/>
              <w:spacing w:before="23"/>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4"/>
              <w:spacing w:before="23"/>
              <w:ind w:left="266" w:right="248"/>
              <w:rPr>
                <w:rFonts w:ascii="Times New Roman"/>
                <w:sz w:val="21"/>
              </w:rPr>
            </w:pPr>
            <w:r>
              <w:rPr>
                <w:rFonts w:ascii="Times New Roman"/>
                <w:sz w:val="21"/>
              </w:rPr>
              <w:t>0.15</w:t>
            </w:r>
          </w:p>
        </w:tc>
        <w:tc>
          <w:tcPr>
            <w:tcW w:w="2641" w:type="dxa"/>
            <w:tcBorders>
              <w:top w:val="single" w:color="000000" w:sz="4" w:space="0"/>
              <w:left w:val="single" w:color="000000" w:sz="4" w:space="0"/>
              <w:bottom w:val="single" w:color="000000" w:sz="4" w:space="0"/>
              <w:right w:val="single" w:color="000000" w:sz="4" w:space="0"/>
            </w:tcBorders>
          </w:tcPr>
          <w:p>
            <w:pPr>
              <w:pStyle w:val="14"/>
              <w:spacing w:before="23"/>
              <w:ind w:left="778" w:right="758"/>
              <w:rPr>
                <w:rFonts w:ascii="Times New Roman"/>
                <w:sz w:val="21"/>
              </w:rPr>
            </w:pPr>
            <w:r>
              <w:rPr>
                <w:rFonts w:ascii="Times New Roman"/>
                <w:sz w:val="21"/>
              </w:rPr>
              <w:t>90</w:t>
            </w:r>
          </w:p>
        </w:tc>
        <w:tc>
          <w:tcPr>
            <w:tcW w:w="1879" w:type="dxa"/>
            <w:tcBorders>
              <w:top w:val="single" w:color="000000" w:sz="4" w:space="0"/>
              <w:left w:val="single" w:color="000000" w:sz="4" w:space="0"/>
              <w:bottom w:val="single" w:color="000000" w:sz="4" w:space="0"/>
              <w:right w:val="single" w:color="000000" w:sz="4" w:space="0"/>
            </w:tcBorders>
          </w:tcPr>
          <w:p>
            <w:pPr>
              <w:pStyle w:val="14"/>
              <w:spacing w:before="23"/>
              <w:ind w:left="397" w:right="380"/>
              <w:rPr>
                <w:rFonts w:ascii="Times New Roman"/>
                <w:sz w:val="21"/>
              </w:rPr>
            </w:pPr>
            <w:r>
              <w:rPr>
                <w:rFonts w:ascii="Times New Roman"/>
                <w:sz w:val="21"/>
              </w:rPr>
              <w:t>80</w:t>
            </w:r>
          </w:p>
        </w:tc>
        <w:tc>
          <w:tcPr>
            <w:tcW w:w="2021" w:type="dxa"/>
            <w:tcBorders>
              <w:top w:val="single" w:color="000000" w:sz="4" w:space="0"/>
              <w:left w:val="single" w:color="000000" w:sz="4" w:space="0"/>
              <w:bottom w:val="single" w:color="000000" w:sz="4" w:space="0"/>
              <w:right w:val="single" w:color="000000" w:sz="4" w:space="0"/>
            </w:tcBorders>
          </w:tcPr>
          <w:p>
            <w:pPr>
              <w:pStyle w:val="14"/>
              <w:spacing w:before="23"/>
              <w:ind w:left="468" w:right="449"/>
              <w:rPr>
                <w:rFonts w:ascii="Times New Roman"/>
                <w:sz w:val="21"/>
              </w:rPr>
            </w:pPr>
            <w:r>
              <w:rPr>
                <w:rFonts w:ascii="Times New Roman"/>
                <w:sz w:val="21"/>
              </w:rPr>
              <w:t>70</w:t>
            </w:r>
          </w:p>
        </w:tc>
        <w:tc>
          <w:tcPr>
            <w:tcW w:w="1165" w:type="dxa"/>
            <w:tcBorders>
              <w:top w:val="single" w:color="000000" w:sz="4" w:space="0"/>
              <w:left w:val="single" w:color="000000" w:sz="4" w:space="0"/>
              <w:bottom w:val="single" w:color="000000" w:sz="4" w:space="0"/>
            </w:tcBorders>
          </w:tcPr>
          <w:p>
            <w:pPr>
              <w:pStyle w:val="14"/>
              <w:spacing w:before="23"/>
              <w:ind w:left="24" w:right="4"/>
              <w:rPr>
                <w:rFonts w:ascii="Times New Roman"/>
                <w:sz w:val="21"/>
              </w:rPr>
            </w:pPr>
            <w:r>
              <w:rPr>
                <w:rFonts w:ascii="Times New Roman"/>
                <w:sz w:val="21"/>
              </w:rPr>
              <w:t>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trPr>
        <w:tc>
          <w:tcPr>
            <w:tcW w:w="572" w:type="dxa"/>
            <w:tcBorders>
              <w:top w:val="single" w:color="000000" w:sz="4" w:space="0"/>
              <w:bottom w:val="single" w:color="000000" w:sz="4" w:space="0"/>
              <w:right w:val="single" w:color="000000" w:sz="4" w:space="0"/>
            </w:tcBorders>
          </w:tcPr>
          <w:p>
            <w:pPr>
              <w:pStyle w:val="14"/>
              <w:spacing w:before="181"/>
              <w:ind w:left="56" w:right="38"/>
              <w:rPr>
                <w:rFonts w:ascii="Times New Roman"/>
                <w:sz w:val="21"/>
              </w:rPr>
            </w:pPr>
            <w:r>
              <w:rPr>
                <w:rFonts w:ascii="Times New Roman"/>
                <w:sz w:val="21"/>
              </w:rPr>
              <w:t>26</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4"/>
              <w:spacing w:line="268" w:lineRule="exact"/>
              <w:ind w:left="41" w:right="24"/>
              <w:rPr>
                <w:sz w:val="21"/>
              </w:rPr>
            </w:pPr>
            <w:r>
              <w:rPr>
                <w:rFonts w:ascii="Times New Roman" w:eastAsia="Times New Roman"/>
                <w:w w:val="95"/>
                <w:sz w:val="21"/>
              </w:rPr>
              <w:t>*</w:t>
            </w:r>
            <w:r>
              <w:rPr>
                <w:w w:val="95"/>
                <w:sz w:val="21"/>
              </w:rPr>
              <w:t>塌陷稳定后土地复</w:t>
            </w:r>
          </w:p>
          <w:p>
            <w:pPr>
              <w:pStyle w:val="14"/>
              <w:spacing w:before="57"/>
              <w:ind w:left="38" w:right="24"/>
              <w:rPr>
                <w:sz w:val="21"/>
              </w:rPr>
            </w:pPr>
            <w:r>
              <w:rPr>
                <w:sz w:val="21"/>
              </w:rPr>
              <w:t>垦率</w:t>
            </w:r>
          </w:p>
        </w:tc>
        <w:tc>
          <w:tcPr>
            <w:tcW w:w="835" w:type="dxa"/>
            <w:tcBorders>
              <w:top w:val="single" w:color="000000" w:sz="4" w:space="0"/>
              <w:left w:val="single" w:color="000000" w:sz="4" w:space="0"/>
              <w:bottom w:val="single" w:color="000000" w:sz="4" w:space="0"/>
              <w:right w:val="single" w:color="000000" w:sz="4" w:space="0"/>
            </w:tcBorders>
          </w:tcPr>
          <w:p>
            <w:pPr>
              <w:pStyle w:val="14"/>
              <w:spacing w:before="181"/>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4"/>
              <w:spacing w:before="181"/>
              <w:ind w:left="266" w:right="248"/>
              <w:rPr>
                <w:rFonts w:ascii="Times New Roman"/>
                <w:sz w:val="21"/>
              </w:rPr>
            </w:pPr>
            <w:r>
              <w:rPr>
                <w:rFonts w:ascii="Times New Roman"/>
                <w:sz w:val="21"/>
              </w:rPr>
              <w:t>0.2</w:t>
            </w:r>
          </w:p>
        </w:tc>
        <w:tc>
          <w:tcPr>
            <w:tcW w:w="2641" w:type="dxa"/>
            <w:tcBorders>
              <w:top w:val="single" w:color="000000" w:sz="4" w:space="0"/>
              <w:left w:val="single" w:color="000000" w:sz="4" w:space="0"/>
              <w:bottom w:val="single" w:color="000000" w:sz="4" w:space="0"/>
              <w:right w:val="single" w:color="000000" w:sz="4" w:space="0"/>
            </w:tcBorders>
          </w:tcPr>
          <w:p>
            <w:pPr>
              <w:pStyle w:val="14"/>
              <w:spacing w:before="181"/>
              <w:ind w:left="778" w:right="758"/>
              <w:rPr>
                <w:rFonts w:ascii="Times New Roman" w:hAnsi="Times New Roman"/>
                <w:sz w:val="21"/>
              </w:rPr>
            </w:pPr>
            <w:r>
              <w:rPr>
                <w:rFonts w:ascii="Times New Roman" w:hAnsi="Times New Roman"/>
                <w:sz w:val="21"/>
              </w:rPr>
              <w:t>≥80</w:t>
            </w:r>
          </w:p>
        </w:tc>
        <w:tc>
          <w:tcPr>
            <w:tcW w:w="1879" w:type="dxa"/>
            <w:tcBorders>
              <w:top w:val="single" w:color="000000" w:sz="4" w:space="0"/>
              <w:left w:val="single" w:color="000000" w:sz="4" w:space="0"/>
              <w:bottom w:val="single" w:color="000000" w:sz="4" w:space="0"/>
              <w:right w:val="single" w:color="000000" w:sz="4" w:space="0"/>
            </w:tcBorders>
          </w:tcPr>
          <w:p>
            <w:pPr>
              <w:pStyle w:val="14"/>
              <w:spacing w:before="181"/>
              <w:ind w:left="397" w:right="380"/>
              <w:rPr>
                <w:rFonts w:ascii="Times New Roman" w:hAnsi="Times New Roman"/>
                <w:sz w:val="21"/>
              </w:rPr>
            </w:pPr>
            <w:r>
              <w:rPr>
                <w:rFonts w:ascii="Times New Roman" w:hAnsi="Times New Roman"/>
                <w:sz w:val="21"/>
              </w:rPr>
              <w:t>≥75</w:t>
            </w:r>
          </w:p>
        </w:tc>
        <w:tc>
          <w:tcPr>
            <w:tcW w:w="2021" w:type="dxa"/>
            <w:tcBorders>
              <w:top w:val="single" w:color="000000" w:sz="4" w:space="0"/>
              <w:left w:val="single" w:color="000000" w:sz="4" w:space="0"/>
              <w:bottom w:val="single" w:color="000000" w:sz="4" w:space="0"/>
              <w:right w:val="single" w:color="000000" w:sz="4" w:space="0"/>
            </w:tcBorders>
          </w:tcPr>
          <w:p>
            <w:pPr>
              <w:pStyle w:val="14"/>
              <w:spacing w:before="181"/>
              <w:ind w:left="468" w:right="449"/>
              <w:rPr>
                <w:rFonts w:ascii="Times New Roman" w:hAnsi="Times New Roman"/>
                <w:sz w:val="21"/>
              </w:rPr>
            </w:pPr>
            <w:r>
              <w:rPr>
                <w:rFonts w:ascii="Times New Roman" w:hAnsi="Times New Roman"/>
                <w:sz w:val="21"/>
              </w:rPr>
              <w:t>≥70</w:t>
            </w:r>
          </w:p>
        </w:tc>
        <w:tc>
          <w:tcPr>
            <w:tcW w:w="1165" w:type="dxa"/>
            <w:tcBorders>
              <w:top w:val="single" w:color="000000" w:sz="4" w:space="0"/>
              <w:left w:val="single" w:color="000000" w:sz="4" w:space="0"/>
              <w:bottom w:val="single" w:color="000000" w:sz="4" w:space="0"/>
            </w:tcBorders>
          </w:tcPr>
          <w:p>
            <w:pPr>
              <w:pStyle w:val="14"/>
              <w:spacing w:before="181"/>
              <w:ind w:left="21" w:right="5"/>
              <w:rPr>
                <w:rFonts w:ascii="Times New Roman" w:hAnsi="Times New Roman"/>
                <w:sz w:val="21"/>
              </w:rPr>
            </w:pPr>
            <w:r>
              <w:rPr>
                <w:rFonts w:ascii="Times New Roman" w:hAnsi="Times New Roman"/>
                <w:sz w:val="21"/>
              </w:rPr>
              <w:t>≥80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72" w:type="dxa"/>
            <w:tcBorders>
              <w:top w:val="single" w:color="000000" w:sz="4" w:space="0"/>
              <w:bottom w:val="single" w:color="000000" w:sz="4" w:space="0"/>
              <w:right w:val="single" w:color="000000" w:sz="4" w:space="0"/>
            </w:tcBorders>
          </w:tcPr>
          <w:p>
            <w:pPr>
              <w:pStyle w:val="14"/>
              <w:spacing w:before="24"/>
              <w:ind w:left="56" w:right="38"/>
              <w:rPr>
                <w:rFonts w:ascii="Times New Roman"/>
                <w:sz w:val="21"/>
              </w:rPr>
            </w:pPr>
            <w:r>
              <w:rPr>
                <w:rFonts w:ascii="Times New Roman"/>
                <w:sz w:val="21"/>
              </w:rPr>
              <w:t>27</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4"/>
              <w:spacing w:before="8"/>
              <w:ind w:left="179"/>
              <w:jc w:val="left"/>
              <w:rPr>
                <w:sz w:val="21"/>
              </w:rPr>
            </w:pPr>
            <w:r>
              <w:rPr>
                <w:sz w:val="21"/>
              </w:rPr>
              <w:t>工业广场绿化率</w:t>
            </w:r>
          </w:p>
        </w:tc>
        <w:tc>
          <w:tcPr>
            <w:tcW w:w="835" w:type="dxa"/>
            <w:tcBorders>
              <w:top w:val="single" w:color="000000" w:sz="4" w:space="0"/>
              <w:left w:val="single" w:color="000000" w:sz="4" w:space="0"/>
              <w:bottom w:val="single" w:color="000000" w:sz="4" w:space="0"/>
              <w:right w:val="single" w:color="000000" w:sz="4" w:space="0"/>
            </w:tcBorders>
          </w:tcPr>
          <w:p>
            <w:pPr>
              <w:pStyle w:val="14"/>
              <w:spacing w:before="24"/>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4"/>
              <w:spacing w:before="24"/>
              <w:ind w:left="266" w:right="248"/>
              <w:rPr>
                <w:rFonts w:ascii="Times New Roman"/>
                <w:sz w:val="21"/>
              </w:rPr>
            </w:pPr>
            <w:r>
              <w:rPr>
                <w:rFonts w:ascii="Times New Roman"/>
                <w:sz w:val="21"/>
              </w:rPr>
              <w:t>0.15</w:t>
            </w:r>
          </w:p>
        </w:tc>
        <w:tc>
          <w:tcPr>
            <w:tcW w:w="2641" w:type="dxa"/>
            <w:tcBorders>
              <w:top w:val="single" w:color="000000" w:sz="4" w:space="0"/>
              <w:left w:val="single" w:color="000000" w:sz="4" w:space="0"/>
              <w:bottom w:val="single" w:color="000000" w:sz="4" w:space="0"/>
              <w:right w:val="single" w:color="000000" w:sz="4" w:space="0"/>
            </w:tcBorders>
          </w:tcPr>
          <w:p>
            <w:pPr>
              <w:pStyle w:val="14"/>
              <w:spacing w:before="24"/>
              <w:ind w:left="778" w:right="758"/>
              <w:rPr>
                <w:rFonts w:ascii="Times New Roman" w:hAnsi="Times New Roman"/>
                <w:sz w:val="21"/>
              </w:rPr>
            </w:pPr>
            <w:r>
              <w:rPr>
                <w:rFonts w:ascii="Times New Roman" w:hAnsi="Times New Roman"/>
                <w:sz w:val="21"/>
              </w:rPr>
              <w:t>≥30</w:t>
            </w:r>
          </w:p>
        </w:tc>
        <w:tc>
          <w:tcPr>
            <w:tcW w:w="1879" w:type="dxa"/>
            <w:tcBorders>
              <w:top w:val="single" w:color="000000" w:sz="4" w:space="0"/>
              <w:left w:val="single" w:color="000000" w:sz="4" w:space="0"/>
              <w:bottom w:val="single" w:color="000000" w:sz="4" w:space="0"/>
              <w:right w:val="single" w:color="000000" w:sz="4" w:space="0"/>
            </w:tcBorders>
          </w:tcPr>
          <w:p>
            <w:pPr>
              <w:pStyle w:val="14"/>
              <w:spacing w:before="24"/>
              <w:ind w:left="397" w:right="380"/>
              <w:rPr>
                <w:rFonts w:ascii="Times New Roman" w:hAnsi="Times New Roman"/>
                <w:sz w:val="21"/>
              </w:rPr>
            </w:pPr>
            <w:r>
              <w:rPr>
                <w:rFonts w:ascii="Times New Roman" w:hAnsi="Times New Roman"/>
                <w:sz w:val="21"/>
              </w:rPr>
              <w:t>≥25</w:t>
            </w:r>
          </w:p>
        </w:tc>
        <w:tc>
          <w:tcPr>
            <w:tcW w:w="2021" w:type="dxa"/>
            <w:tcBorders>
              <w:top w:val="single" w:color="000000" w:sz="4" w:space="0"/>
              <w:left w:val="single" w:color="000000" w:sz="4" w:space="0"/>
              <w:bottom w:val="single" w:color="000000" w:sz="4" w:space="0"/>
              <w:right w:val="single" w:color="000000" w:sz="4" w:space="0"/>
            </w:tcBorders>
          </w:tcPr>
          <w:p>
            <w:pPr>
              <w:pStyle w:val="14"/>
              <w:spacing w:before="24"/>
              <w:ind w:left="468" w:right="449"/>
              <w:rPr>
                <w:rFonts w:ascii="Times New Roman" w:hAnsi="Times New Roman"/>
                <w:sz w:val="21"/>
              </w:rPr>
            </w:pPr>
            <w:r>
              <w:rPr>
                <w:rFonts w:ascii="Times New Roman" w:hAnsi="Times New Roman"/>
                <w:sz w:val="21"/>
              </w:rPr>
              <w:t>≥20</w:t>
            </w:r>
          </w:p>
        </w:tc>
        <w:tc>
          <w:tcPr>
            <w:tcW w:w="1165" w:type="dxa"/>
            <w:tcBorders>
              <w:top w:val="single" w:color="000000" w:sz="4" w:space="0"/>
              <w:left w:val="single" w:color="000000" w:sz="4" w:space="0"/>
              <w:bottom w:val="single" w:color="000000" w:sz="4" w:space="0"/>
            </w:tcBorders>
          </w:tcPr>
          <w:p>
            <w:pPr>
              <w:pStyle w:val="14"/>
              <w:spacing w:before="24"/>
              <w:ind w:left="21" w:right="5"/>
              <w:rPr>
                <w:rFonts w:ascii="Times New Roman" w:hAnsi="Times New Roman"/>
                <w:sz w:val="21"/>
              </w:rPr>
            </w:pPr>
            <w:r>
              <w:rPr>
                <w:rFonts w:ascii="Times New Roman" w:hAnsi="Times New Roman"/>
                <w:sz w:val="21"/>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2" w:hRule="atLeast"/>
        </w:trPr>
        <w:tc>
          <w:tcPr>
            <w:tcW w:w="572" w:type="dxa"/>
            <w:tcBorders>
              <w:top w:val="single" w:color="000000" w:sz="4" w:space="0"/>
              <w:bottom w:val="single" w:color="000000" w:sz="4" w:space="0"/>
              <w:right w:val="single" w:color="000000" w:sz="4" w:space="0"/>
            </w:tcBorders>
          </w:tcPr>
          <w:p>
            <w:pPr>
              <w:pStyle w:val="14"/>
              <w:jc w:val="left"/>
              <w:rPr>
                <w:rFonts w:ascii="Times New Roman"/>
                <w:sz w:val="22"/>
              </w:rPr>
            </w:pPr>
          </w:p>
          <w:p>
            <w:pPr>
              <w:pStyle w:val="14"/>
              <w:spacing w:before="1"/>
              <w:jc w:val="left"/>
              <w:rPr>
                <w:rFonts w:ascii="Times New Roman"/>
                <w:sz w:val="22"/>
              </w:rPr>
            </w:pPr>
          </w:p>
          <w:p>
            <w:pPr>
              <w:pStyle w:val="14"/>
              <w:ind w:left="56" w:right="38"/>
              <w:rPr>
                <w:rFonts w:ascii="Times New Roman"/>
                <w:sz w:val="21"/>
              </w:rPr>
            </w:pPr>
            <w:r>
              <w:rPr>
                <w:rFonts w:ascii="Times New Roman"/>
                <w:sz w:val="21"/>
              </w:rPr>
              <w:t>28</w:t>
            </w:r>
          </w:p>
        </w:tc>
        <w:tc>
          <w:tcPr>
            <w:tcW w:w="1090" w:type="dxa"/>
            <w:vMerge w:val="restart"/>
            <w:tcBorders>
              <w:top w:val="single" w:color="000000" w:sz="4" w:space="0"/>
              <w:left w:val="single" w:color="000000" w:sz="4" w:space="0"/>
              <w:right w:val="single" w:color="000000" w:sz="4" w:space="0"/>
            </w:tcBorders>
          </w:tcPr>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spacing w:before="9"/>
              <w:jc w:val="left"/>
              <w:rPr>
                <w:rFonts w:ascii="Times New Roman"/>
                <w:sz w:val="19"/>
              </w:rPr>
            </w:pPr>
          </w:p>
          <w:p>
            <w:pPr>
              <w:pStyle w:val="14"/>
              <w:spacing w:before="1" w:line="290" w:lineRule="auto"/>
              <w:ind w:left="23" w:right="5"/>
              <w:rPr>
                <w:sz w:val="21"/>
              </w:rPr>
            </w:pPr>
            <w:r>
              <w:rPr>
                <w:sz w:val="21"/>
              </w:rPr>
              <w:t>（五）清洁生产管理指标</w:t>
            </w:r>
          </w:p>
        </w:tc>
        <w:tc>
          <w:tcPr>
            <w:tcW w:w="1068" w:type="dxa"/>
            <w:vMerge w:val="restart"/>
            <w:tcBorders>
              <w:top w:val="single" w:color="000000" w:sz="4" w:space="0"/>
              <w:left w:val="single" w:color="000000" w:sz="4" w:space="0"/>
              <w:right w:val="single" w:color="000000" w:sz="4" w:space="0"/>
            </w:tcBorders>
          </w:tcPr>
          <w:p>
            <w:pPr>
              <w:pStyle w:val="14"/>
              <w:jc w:val="left"/>
              <w:rPr>
                <w:rFonts w:ascii="Times New Roman"/>
                <w:sz w:val="22"/>
              </w:rPr>
            </w:pPr>
          </w:p>
          <w:p>
            <w:pPr>
              <w:pStyle w:val="14"/>
              <w:jc w:val="left"/>
              <w:rPr>
                <w:rFonts w:ascii="Times New Roman"/>
                <w:sz w:val="22"/>
              </w:rPr>
            </w:pPr>
          </w:p>
          <w:p>
            <w:pPr>
              <w:pStyle w:val="14"/>
              <w:jc w:val="left"/>
              <w:rPr>
                <w:rFonts w:ascii="Times New Roman"/>
                <w:sz w:val="22"/>
              </w:rPr>
            </w:pPr>
          </w:p>
          <w:p>
            <w:pPr>
              <w:pStyle w:val="14"/>
              <w:jc w:val="left"/>
              <w:rPr>
                <w:rFonts w:ascii="Times New Roman"/>
                <w:sz w:val="22"/>
              </w:rPr>
            </w:pPr>
          </w:p>
          <w:p>
            <w:pPr>
              <w:pStyle w:val="14"/>
              <w:jc w:val="left"/>
              <w:rPr>
                <w:rFonts w:ascii="Times New Roman"/>
                <w:sz w:val="22"/>
              </w:rPr>
            </w:pPr>
          </w:p>
          <w:p>
            <w:pPr>
              <w:pStyle w:val="14"/>
              <w:spacing w:before="10"/>
              <w:jc w:val="left"/>
              <w:rPr>
                <w:rFonts w:ascii="Times New Roman"/>
                <w:sz w:val="19"/>
              </w:rPr>
            </w:pPr>
          </w:p>
          <w:p>
            <w:pPr>
              <w:pStyle w:val="14"/>
              <w:ind w:left="354"/>
              <w:jc w:val="left"/>
              <w:rPr>
                <w:rFonts w:ascii="Times New Roman"/>
                <w:sz w:val="21"/>
              </w:rPr>
            </w:pPr>
            <w:r>
              <w:rPr>
                <w:rFonts w:ascii="Times New Roman"/>
                <w:sz w:val="21"/>
              </w:rPr>
              <w:t>0.25</w:t>
            </w:r>
          </w:p>
        </w:tc>
        <w:tc>
          <w:tcPr>
            <w:tcW w:w="1818" w:type="dxa"/>
            <w:gridSpan w:val="2"/>
            <w:tcBorders>
              <w:top w:val="single" w:color="000000" w:sz="4" w:space="0"/>
              <w:left w:val="single" w:color="000000" w:sz="4" w:space="0"/>
              <w:bottom w:val="single" w:color="000000" w:sz="4" w:space="0"/>
              <w:right w:val="single" w:color="000000" w:sz="4" w:space="0"/>
            </w:tcBorders>
          </w:tcPr>
          <w:p>
            <w:pPr>
              <w:pStyle w:val="14"/>
              <w:spacing w:before="5"/>
              <w:jc w:val="left"/>
              <w:rPr>
                <w:rFonts w:ascii="Times New Roman"/>
                <w:sz w:val="28"/>
              </w:rPr>
            </w:pPr>
          </w:p>
          <w:p>
            <w:pPr>
              <w:pStyle w:val="14"/>
              <w:spacing w:line="290" w:lineRule="auto"/>
              <w:ind w:left="388" w:right="1" w:hanging="368"/>
              <w:jc w:val="left"/>
              <w:rPr>
                <w:sz w:val="21"/>
              </w:rPr>
            </w:pPr>
            <w:r>
              <w:rPr>
                <w:rFonts w:ascii="Times New Roman" w:eastAsia="Times New Roman"/>
                <w:sz w:val="21"/>
              </w:rPr>
              <w:t>*</w:t>
            </w:r>
            <w:r>
              <w:rPr>
                <w:sz w:val="21"/>
              </w:rPr>
              <w:t>环境法律法规标准政策符合性</w:t>
            </w:r>
          </w:p>
        </w:tc>
        <w:tc>
          <w:tcPr>
            <w:tcW w:w="835"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p>
            <w:pPr>
              <w:pStyle w:val="14"/>
              <w:spacing w:before="7"/>
              <w:jc w:val="left"/>
              <w:rPr>
                <w:rFonts w:ascii="Times New Roman"/>
                <w:sz w:val="22"/>
              </w:rPr>
            </w:pPr>
          </w:p>
          <w:p>
            <w:pPr>
              <w:pStyle w:val="14"/>
              <w:spacing w:before="1"/>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2"/>
              </w:rPr>
            </w:pPr>
          </w:p>
          <w:p>
            <w:pPr>
              <w:pStyle w:val="14"/>
              <w:spacing w:before="1"/>
              <w:jc w:val="left"/>
              <w:rPr>
                <w:rFonts w:ascii="Times New Roman"/>
                <w:sz w:val="22"/>
              </w:rPr>
            </w:pPr>
          </w:p>
          <w:p>
            <w:pPr>
              <w:pStyle w:val="14"/>
              <w:ind w:left="266" w:right="248"/>
              <w:rPr>
                <w:rFonts w:ascii="Times New Roman"/>
                <w:sz w:val="21"/>
              </w:rPr>
            </w:pPr>
            <w:r>
              <w:rPr>
                <w:rFonts w:ascii="Times New Roman"/>
                <w:sz w:val="21"/>
              </w:rPr>
              <w:t>0.15</w:t>
            </w:r>
          </w:p>
        </w:tc>
        <w:tc>
          <w:tcPr>
            <w:tcW w:w="6541" w:type="dxa"/>
            <w:gridSpan w:val="3"/>
            <w:tcBorders>
              <w:top w:val="single" w:color="000000" w:sz="4" w:space="0"/>
              <w:left w:val="single" w:color="000000" w:sz="4" w:space="0"/>
              <w:bottom w:val="single" w:color="000000" w:sz="4" w:space="0"/>
              <w:right w:val="single" w:color="000000" w:sz="4" w:space="0"/>
            </w:tcBorders>
          </w:tcPr>
          <w:p>
            <w:pPr>
              <w:pStyle w:val="14"/>
              <w:spacing w:before="1" w:line="290" w:lineRule="auto"/>
              <w:ind w:left="8" w:right="-15"/>
              <w:jc w:val="both"/>
              <w:rPr>
                <w:sz w:val="21"/>
              </w:rPr>
            </w:pPr>
            <w:r>
              <w:rPr>
                <w:sz w:val="21"/>
              </w:rPr>
              <w:t>符合国家、地方和行业有关法律、法规、规范、产业政策、技术标准要求，污染物排放达到国家、地方和行业排放标准、满足污染物总量控制和排污许可证管理要求。建设项目环保手续齐全，严格执行国家关于煤</w:t>
            </w:r>
          </w:p>
          <w:p>
            <w:pPr>
              <w:pStyle w:val="14"/>
              <w:spacing w:before="2"/>
              <w:ind w:left="8"/>
              <w:jc w:val="left"/>
              <w:rPr>
                <w:sz w:val="21"/>
              </w:rPr>
            </w:pPr>
            <w:r>
              <w:rPr>
                <w:sz w:val="21"/>
              </w:rPr>
              <w:t>矿生产能力管理、淘汰落后产能的相关政策措施</w:t>
            </w:r>
          </w:p>
        </w:tc>
        <w:tc>
          <w:tcPr>
            <w:tcW w:w="1165" w:type="dxa"/>
            <w:tcBorders>
              <w:top w:val="single" w:color="000000" w:sz="4" w:space="0"/>
              <w:left w:val="single" w:color="000000" w:sz="4" w:space="0"/>
              <w:bottom w:val="single" w:color="000000" w:sz="4" w:space="0"/>
            </w:tcBorders>
          </w:tcPr>
          <w:p>
            <w:pPr>
              <w:pStyle w:val="14"/>
              <w:jc w:val="left"/>
              <w:rPr>
                <w:rFonts w:ascii="Times New Roman"/>
                <w:sz w:val="20"/>
              </w:rPr>
            </w:pPr>
          </w:p>
          <w:p>
            <w:pPr>
              <w:pStyle w:val="14"/>
              <w:spacing w:before="7"/>
              <w:jc w:val="left"/>
              <w:rPr>
                <w:rFonts w:ascii="Times New Roman"/>
                <w:sz w:val="22"/>
              </w:rPr>
            </w:pPr>
          </w:p>
          <w:p>
            <w:pPr>
              <w:pStyle w:val="14"/>
              <w:spacing w:before="1"/>
              <w:ind w:left="19" w:right="5"/>
              <w:rPr>
                <w:sz w:val="21"/>
              </w:rPr>
            </w:pPr>
            <w:r>
              <w:rPr>
                <w:sz w:val="21"/>
              </w:rPr>
              <w:t>符合要求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53" w:hRule="atLeast"/>
        </w:trPr>
        <w:tc>
          <w:tcPr>
            <w:tcW w:w="572" w:type="dxa"/>
            <w:tcBorders>
              <w:top w:val="single" w:color="000000" w:sz="4" w:space="0"/>
              <w:right w:val="single" w:color="000000" w:sz="4" w:space="0"/>
            </w:tcBorders>
          </w:tcPr>
          <w:p>
            <w:pPr>
              <w:pStyle w:val="14"/>
              <w:jc w:val="left"/>
              <w:rPr>
                <w:rFonts w:ascii="Times New Roman"/>
                <w:sz w:val="22"/>
              </w:rPr>
            </w:pPr>
          </w:p>
          <w:p>
            <w:pPr>
              <w:pStyle w:val="14"/>
              <w:jc w:val="left"/>
              <w:rPr>
                <w:rFonts w:ascii="Times New Roman"/>
                <w:sz w:val="22"/>
              </w:rPr>
            </w:pPr>
          </w:p>
          <w:p>
            <w:pPr>
              <w:pStyle w:val="14"/>
              <w:jc w:val="left"/>
              <w:rPr>
                <w:rFonts w:ascii="Times New Roman"/>
                <w:sz w:val="28"/>
              </w:rPr>
            </w:pPr>
          </w:p>
          <w:p>
            <w:pPr>
              <w:pStyle w:val="14"/>
              <w:ind w:left="56" w:right="38"/>
              <w:rPr>
                <w:rFonts w:ascii="Times New Roman"/>
                <w:sz w:val="21"/>
              </w:rPr>
            </w:pPr>
            <w:r>
              <w:rPr>
                <w:rFonts w:ascii="Times New Roman"/>
                <w:sz w:val="21"/>
              </w:rPr>
              <w:t>29</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right w:val="single" w:color="000000" w:sz="4" w:space="0"/>
            </w:tcBorders>
          </w:tcPr>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spacing w:before="122"/>
              <w:ind w:left="282"/>
              <w:jc w:val="left"/>
              <w:rPr>
                <w:sz w:val="21"/>
              </w:rPr>
            </w:pPr>
            <w:r>
              <w:rPr>
                <w:sz w:val="21"/>
              </w:rPr>
              <w:t>清洁生产管理</w:t>
            </w:r>
          </w:p>
        </w:tc>
        <w:tc>
          <w:tcPr>
            <w:tcW w:w="835" w:type="dxa"/>
            <w:tcBorders>
              <w:top w:val="single" w:color="000000" w:sz="4" w:space="0"/>
              <w:left w:val="single" w:color="000000" w:sz="4" w:space="0"/>
              <w:right w:val="single" w:color="000000" w:sz="4" w:space="0"/>
            </w:tcBorders>
          </w:tcPr>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spacing w:before="122"/>
              <w:ind w:left="18"/>
              <w:rPr>
                <w:sz w:val="21"/>
              </w:rPr>
            </w:pPr>
            <w:r>
              <w:rPr>
                <w:w w:val="99"/>
                <w:sz w:val="21"/>
              </w:rPr>
              <w:t>━</w:t>
            </w:r>
          </w:p>
        </w:tc>
        <w:tc>
          <w:tcPr>
            <w:tcW w:w="933" w:type="dxa"/>
            <w:tcBorders>
              <w:top w:val="single" w:color="000000" w:sz="4" w:space="0"/>
              <w:left w:val="single" w:color="000000" w:sz="4" w:space="0"/>
              <w:right w:val="single" w:color="000000" w:sz="4" w:space="0"/>
            </w:tcBorders>
          </w:tcPr>
          <w:p>
            <w:pPr>
              <w:pStyle w:val="14"/>
              <w:jc w:val="left"/>
              <w:rPr>
                <w:rFonts w:ascii="Times New Roman"/>
                <w:sz w:val="22"/>
              </w:rPr>
            </w:pPr>
          </w:p>
          <w:p>
            <w:pPr>
              <w:pStyle w:val="14"/>
              <w:jc w:val="left"/>
              <w:rPr>
                <w:rFonts w:ascii="Times New Roman"/>
                <w:sz w:val="22"/>
              </w:rPr>
            </w:pPr>
          </w:p>
          <w:p>
            <w:pPr>
              <w:pStyle w:val="14"/>
              <w:jc w:val="left"/>
              <w:rPr>
                <w:rFonts w:ascii="Times New Roman"/>
                <w:sz w:val="28"/>
              </w:rPr>
            </w:pPr>
          </w:p>
          <w:p>
            <w:pPr>
              <w:pStyle w:val="14"/>
              <w:ind w:left="266" w:right="248"/>
              <w:rPr>
                <w:rFonts w:ascii="Times New Roman"/>
                <w:sz w:val="21"/>
              </w:rPr>
            </w:pPr>
            <w:r>
              <w:rPr>
                <w:rFonts w:ascii="Times New Roman"/>
                <w:sz w:val="21"/>
              </w:rPr>
              <w:t>0.15</w:t>
            </w:r>
          </w:p>
        </w:tc>
        <w:tc>
          <w:tcPr>
            <w:tcW w:w="6541" w:type="dxa"/>
            <w:gridSpan w:val="3"/>
            <w:tcBorders>
              <w:top w:val="single" w:color="000000" w:sz="4" w:space="0"/>
              <w:left w:val="single" w:color="000000" w:sz="4" w:space="0"/>
              <w:right w:val="single" w:color="000000" w:sz="4" w:space="0"/>
            </w:tcBorders>
          </w:tcPr>
          <w:p>
            <w:pPr>
              <w:pStyle w:val="14"/>
              <w:spacing w:line="290" w:lineRule="auto"/>
              <w:ind w:left="8" w:right="-15"/>
              <w:jc w:val="both"/>
              <w:rPr>
                <w:sz w:val="21"/>
              </w:rPr>
            </w:pPr>
            <w:r>
              <w:rPr>
                <w:sz w:val="21"/>
              </w:rPr>
              <w:t>建有负责清洁生产的领导机构，各成员单位及主管人员职责分工明确； 有健全的清洁生产管理制度和奖励管理办法，有执行情况检查记录；制定有清洁生产工作规划及年度工作计划，对规划、计划提出的目标、指标、清洁生产方案，认真组织落实；资源、能源、环保设施运行统计台账齐全；建立、制定环境突发性事件应急预案（预案要通过相应环保部</w:t>
            </w:r>
          </w:p>
          <w:p>
            <w:pPr>
              <w:pStyle w:val="14"/>
              <w:spacing w:before="2"/>
              <w:ind w:left="8" w:right="-15"/>
              <w:jc w:val="left"/>
              <w:rPr>
                <w:sz w:val="21"/>
              </w:rPr>
            </w:pPr>
            <w:r>
              <w:rPr>
                <w:sz w:val="21"/>
              </w:rPr>
              <w:t>门备案）并定期演练。按行业无组织排放监管的相关政策要求，加强对</w:t>
            </w:r>
          </w:p>
        </w:tc>
        <w:tc>
          <w:tcPr>
            <w:tcW w:w="1165" w:type="dxa"/>
            <w:tcBorders>
              <w:top w:val="single" w:color="000000" w:sz="4" w:space="0"/>
              <w:left w:val="single" w:color="000000" w:sz="4" w:space="0"/>
            </w:tcBorders>
          </w:tcPr>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spacing w:before="122"/>
              <w:ind w:left="19" w:right="5"/>
              <w:rPr>
                <w:sz w:val="21"/>
              </w:rPr>
            </w:pPr>
            <w:r>
              <w:rPr>
                <w:sz w:val="21"/>
              </w:rPr>
              <w:t>符合要求</w:t>
            </w:r>
          </w:p>
        </w:tc>
      </w:tr>
    </w:tbl>
    <w:p>
      <w:pPr>
        <w:spacing w:after="0"/>
        <w:rPr>
          <w:sz w:val="21"/>
        </w:rPr>
        <w:sectPr>
          <w:pgSz w:w="16840" w:h="11910" w:orient="landscape"/>
          <w:pgMar w:top="1100" w:right="1280" w:bottom="800" w:left="1280" w:header="0" w:footer="605" w:gutter="0"/>
        </w:sectPr>
      </w:pPr>
    </w:p>
    <w:p>
      <w:pPr>
        <w:pStyle w:val="6"/>
        <w:spacing w:before="1"/>
        <w:rPr>
          <w:rFonts w:ascii="Times New Roman"/>
          <w:sz w:val="27"/>
        </w:rPr>
      </w:pPr>
    </w:p>
    <w:tbl>
      <w:tblPr>
        <w:tblStyle w:val="10"/>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72"/>
        <w:gridCol w:w="1090"/>
        <w:gridCol w:w="1068"/>
        <w:gridCol w:w="1818"/>
        <w:gridCol w:w="835"/>
        <w:gridCol w:w="933"/>
        <w:gridCol w:w="2641"/>
        <w:gridCol w:w="1879"/>
        <w:gridCol w:w="2021"/>
        <w:gridCol w:w="11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572" w:type="dxa"/>
            <w:tcBorders>
              <w:bottom w:val="single" w:color="000000" w:sz="4" w:space="0"/>
              <w:right w:val="single" w:color="000000" w:sz="4" w:space="0"/>
            </w:tcBorders>
          </w:tcPr>
          <w:p>
            <w:pPr>
              <w:pStyle w:val="14"/>
              <w:spacing w:before="165"/>
              <w:ind w:left="56" w:right="41"/>
              <w:rPr>
                <w:sz w:val="21"/>
              </w:rPr>
            </w:pPr>
            <w:r>
              <w:rPr>
                <w:sz w:val="21"/>
              </w:rPr>
              <w:t>序号</w:t>
            </w:r>
          </w:p>
        </w:tc>
        <w:tc>
          <w:tcPr>
            <w:tcW w:w="1090" w:type="dxa"/>
            <w:tcBorders>
              <w:left w:val="single" w:color="000000" w:sz="4" w:space="0"/>
              <w:bottom w:val="single" w:color="000000" w:sz="4" w:space="0"/>
              <w:right w:val="single" w:color="000000" w:sz="4" w:space="0"/>
            </w:tcBorders>
          </w:tcPr>
          <w:p>
            <w:pPr>
              <w:pStyle w:val="14"/>
              <w:spacing w:before="2"/>
              <w:ind w:left="16"/>
              <w:rPr>
                <w:sz w:val="21"/>
              </w:rPr>
            </w:pPr>
            <w:r>
              <w:rPr>
                <w:sz w:val="21"/>
              </w:rPr>
              <w:t>一级指标指</w:t>
            </w:r>
          </w:p>
          <w:p>
            <w:pPr>
              <w:pStyle w:val="14"/>
              <w:spacing w:before="55"/>
              <w:ind w:left="18"/>
              <w:rPr>
                <w:sz w:val="21"/>
              </w:rPr>
            </w:pPr>
            <w:r>
              <w:rPr>
                <w:sz w:val="21"/>
              </w:rPr>
              <w:t>标项</w:t>
            </w:r>
          </w:p>
        </w:tc>
        <w:tc>
          <w:tcPr>
            <w:tcW w:w="1068" w:type="dxa"/>
            <w:tcBorders>
              <w:left w:val="single" w:color="000000" w:sz="4" w:space="0"/>
              <w:bottom w:val="single" w:color="000000" w:sz="4" w:space="0"/>
              <w:right w:val="single" w:color="000000" w:sz="4" w:space="0"/>
            </w:tcBorders>
          </w:tcPr>
          <w:p>
            <w:pPr>
              <w:pStyle w:val="14"/>
              <w:spacing w:before="2"/>
              <w:ind w:left="13" w:right="-15"/>
              <w:rPr>
                <w:sz w:val="21"/>
              </w:rPr>
            </w:pPr>
            <w:r>
              <w:rPr>
                <w:sz w:val="21"/>
              </w:rPr>
              <w:t>一级指标权</w:t>
            </w:r>
          </w:p>
          <w:p>
            <w:pPr>
              <w:pStyle w:val="14"/>
              <w:spacing w:before="55"/>
              <w:ind w:left="306" w:right="290"/>
              <w:rPr>
                <w:sz w:val="21"/>
              </w:rPr>
            </w:pPr>
            <w:r>
              <w:rPr>
                <w:sz w:val="21"/>
              </w:rPr>
              <w:t>重值</w:t>
            </w:r>
          </w:p>
        </w:tc>
        <w:tc>
          <w:tcPr>
            <w:tcW w:w="1818" w:type="dxa"/>
            <w:tcBorders>
              <w:left w:val="single" w:color="000000" w:sz="4" w:space="0"/>
              <w:bottom w:val="single" w:color="000000" w:sz="4" w:space="0"/>
              <w:right w:val="single" w:color="000000" w:sz="4" w:space="0"/>
            </w:tcBorders>
          </w:tcPr>
          <w:p>
            <w:pPr>
              <w:pStyle w:val="14"/>
              <w:spacing w:before="165"/>
              <w:ind w:left="43" w:right="24"/>
              <w:rPr>
                <w:sz w:val="21"/>
              </w:rPr>
            </w:pPr>
            <w:r>
              <w:rPr>
                <w:sz w:val="21"/>
              </w:rPr>
              <w:t>二级指标指标项</w:t>
            </w:r>
          </w:p>
        </w:tc>
        <w:tc>
          <w:tcPr>
            <w:tcW w:w="835" w:type="dxa"/>
            <w:tcBorders>
              <w:left w:val="single" w:color="000000" w:sz="4" w:space="0"/>
              <w:bottom w:val="single" w:color="000000" w:sz="4" w:space="0"/>
              <w:right w:val="single" w:color="000000" w:sz="4" w:space="0"/>
            </w:tcBorders>
          </w:tcPr>
          <w:p>
            <w:pPr>
              <w:pStyle w:val="14"/>
              <w:spacing w:before="165"/>
              <w:ind w:left="190" w:right="174"/>
              <w:rPr>
                <w:sz w:val="21"/>
              </w:rPr>
            </w:pPr>
            <w:r>
              <w:rPr>
                <w:sz w:val="21"/>
              </w:rPr>
              <w:t>单位</w:t>
            </w:r>
          </w:p>
        </w:tc>
        <w:tc>
          <w:tcPr>
            <w:tcW w:w="933" w:type="dxa"/>
            <w:tcBorders>
              <w:left w:val="single" w:color="000000" w:sz="4" w:space="0"/>
              <w:bottom w:val="single" w:color="000000" w:sz="4" w:space="0"/>
              <w:right w:val="single" w:color="000000" w:sz="4" w:space="0"/>
            </w:tcBorders>
          </w:tcPr>
          <w:p>
            <w:pPr>
              <w:pStyle w:val="14"/>
              <w:spacing w:before="2"/>
              <w:ind w:left="51"/>
              <w:jc w:val="left"/>
              <w:rPr>
                <w:sz w:val="21"/>
              </w:rPr>
            </w:pPr>
            <w:r>
              <w:rPr>
                <w:w w:val="95"/>
                <w:sz w:val="21"/>
              </w:rPr>
              <w:t>二级指标</w:t>
            </w:r>
          </w:p>
          <w:p>
            <w:pPr>
              <w:pStyle w:val="14"/>
              <w:spacing w:before="55"/>
              <w:ind w:left="51"/>
              <w:jc w:val="left"/>
              <w:rPr>
                <w:sz w:val="21"/>
              </w:rPr>
            </w:pPr>
            <w:r>
              <w:rPr>
                <w:w w:val="95"/>
                <w:sz w:val="21"/>
              </w:rPr>
              <w:t>分权重值</w:t>
            </w:r>
          </w:p>
        </w:tc>
        <w:tc>
          <w:tcPr>
            <w:tcW w:w="2641" w:type="dxa"/>
            <w:tcBorders>
              <w:left w:val="single" w:color="000000" w:sz="4" w:space="0"/>
              <w:bottom w:val="single" w:color="000000" w:sz="4" w:space="0"/>
              <w:right w:val="single" w:color="000000" w:sz="4" w:space="0"/>
            </w:tcBorders>
          </w:tcPr>
          <w:p>
            <w:pPr>
              <w:pStyle w:val="14"/>
              <w:spacing w:before="165"/>
              <w:ind w:left="800"/>
              <w:jc w:val="left"/>
              <w:rPr>
                <w:sz w:val="21"/>
              </w:rPr>
            </w:pPr>
            <w:r>
              <w:rPr>
                <w:sz w:val="21"/>
              </w:rPr>
              <w:t>Ⅰ级基准值</w:t>
            </w:r>
          </w:p>
        </w:tc>
        <w:tc>
          <w:tcPr>
            <w:tcW w:w="1879" w:type="dxa"/>
            <w:tcBorders>
              <w:left w:val="single" w:color="000000" w:sz="4" w:space="0"/>
              <w:bottom w:val="single" w:color="000000" w:sz="4" w:space="0"/>
              <w:right w:val="single" w:color="000000" w:sz="4" w:space="0"/>
            </w:tcBorders>
          </w:tcPr>
          <w:p>
            <w:pPr>
              <w:pStyle w:val="14"/>
              <w:spacing w:before="165"/>
              <w:ind w:left="417"/>
              <w:jc w:val="left"/>
              <w:rPr>
                <w:sz w:val="21"/>
              </w:rPr>
            </w:pPr>
            <w:r>
              <w:rPr>
                <w:sz w:val="21"/>
              </w:rPr>
              <w:t>Ⅱ级基准值</w:t>
            </w:r>
          </w:p>
        </w:tc>
        <w:tc>
          <w:tcPr>
            <w:tcW w:w="2021" w:type="dxa"/>
            <w:tcBorders>
              <w:left w:val="single" w:color="000000" w:sz="4" w:space="0"/>
              <w:bottom w:val="single" w:color="000000" w:sz="4" w:space="0"/>
              <w:right w:val="single" w:color="000000" w:sz="4" w:space="0"/>
            </w:tcBorders>
          </w:tcPr>
          <w:p>
            <w:pPr>
              <w:pStyle w:val="14"/>
              <w:spacing w:before="165"/>
              <w:ind w:left="490"/>
              <w:jc w:val="left"/>
              <w:rPr>
                <w:sz w:val="21"/>
              </w:rPr>
            </w:pPr>
            <w:r>
              <w:rPr>
                <w:sz w:val="21"/>
              </w:rPr>
              <w:t>Ⅲ级基准值</w:t>
            </w:r>
          </w:p>
        </w:tc>
        <w:tc>
          <w:tcPr>
            <w:tcW w:w="1165" w:type="dxa"/>
            <w:tcBorders>
              <w:left w:val="single" w:color="000000" w:sz="4" w:space="0"/>
              <w:bottom w:val="single" w:color="000000" w:sz="4" w:space="0"/>
            </w:tcBorders>
          </w:tcPr>
          <w:p>
            <w:pPr>
              <w:pStyle w:val="14"/>
              <w:spacing w:before="2"/>
              <w:ind w:left="22" w:right="5"/>
              <w:rPr>
                <w:sz w:val="21"/>
              </w:rPr>
            </w:pPr>
            <w:r>
              <w:rPr>
                <w:sz w:val="21"/>
              </w:rPr>
              <w:t>本煤矿扩建</w:t>
            </w:r>
          </w:p>
          <w:p>
            <w:pPr>
              <w:pStyle w:val="14"/>
              <w:spacing w:before="55"/>
              <w:ind w:left="19"/>
              <w:rPr>
                <w:sz w:val="21"/>
              </w:rPr>
            </w:pPr>
            <w:r>
              <w:rPr>
                <w:w w:val="99"/>
                <w:sz w:val="21"/>
              </w:rPr>
              <w:t>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5" w:hRule="atLeast"/>
        </w:trPr>
        <w:tc>
          <w:tcPr>
            <w:tcW w:w="572" w:type="dxa"/>
            <w:tcBorders>
              <w:top w:val="single" w:color="000000" w:sz="4" w:space="0"/>
              <w:bottom w:val="single" w:color="000000" w:sz="4" w:space="0"/>
              <w:right w:val="single" w:color="000000" w:sz="4" w:space="0"/>
            </w:tcBorders>
          </w:tcPr>
          <w:p>
            <w:pPr>
              <w:pStyle w:val="14"/>
              <w:jc w:val="left"/>
              <w:rPr>
                <w:rFonts w:ascii="Times New Roman"/>
                <w:sz w:val="20"/>
              </w:rPr>
            </w:pPr>
          </w:p>
        </w:tc>
        <w:tc>
          <w:tcPr>
            <w:tcW w:w="1090" w:type="dxa"/>
            <w:vMerge w:val="restart"/>
            <w:tcBorders>
              <w:top w:val="single" w:color="000000" w:sz="4" w:space="0"/>
              <w:left w:val="single" w:color="000000" w:sz="4" w:space="0"/>
              <w:right w:val="single" w:color="000000" w:sz="4" w:space="0"/>
            </w:tcBorders>
          </w:tcPr>
          <w:p>
            <w:pPr>
              <w:pStyle w:val="14"/>
              <w:jc w:val="left"/>
              <w:rPr>
                <w:rFonts w:ascii="Times New Roman"/>
                <w:sz w:val="20"/>
              </w:rPr>
            </w:pPr>
          </w:p>
        </w:tc>
        <w:tc>
          <w:tcPr>
            <w:tcW w:w="1068" w:type="dxa"/>
            <w:vMerge w:val="restart"/>
            <w:tcBorders>
              <w:top w:val="single" w:color="000000" w:sz="4" w:space="0"/>
              <w:left w:val="single" w:color="000000" w:sz="4" w:space="0"/>
              <w:right w:val="single" w:color="000000" w:sz="4" w:space="0"/>
            </w:tcBorders>
          </w:tcPr>
          <w:p>
            <w:pPr>
              <w:pStyle w:val="14"/>
              <w:jc w:val="left"/>
              <w:rPr>
                <w:rFonts w:ascii="Times New Roman"/>
                <w:sz w:val="20"/>
              </w:rPr>
            </w:pPr>
          </w:p>
        </w:tc>
        <w:tc>
          <w:tcPr>
            <w:tcW w:w="1818"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835"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933"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6541" w:type="dxa"/>
            <w:gridSpan w:val="3"/>
            <w:tcBorders>
              <w:top w:val="single" w:color="000000" w:sz="4" w:space="0"/>
              <w:left w:val="single" w:color="000000" w:sz="4" w:space="0"/>
              <w:bottom w:val="single" w:color="000000" w:sz="4" w:space="0"/>
              <w:right w:val="single" w:color="000000" w:sz="4" w:space="0"/>
            </w:tcBorders>
          </w:tcPr>
          <w:p>
            <w:pPr>
              <w:pStyle w:val="14"/>
              <w:ind w:left="8"/>
              <w:jc w:val="left"/>
              <w:rPr>
                <w:sz w:val="21"/>
              </w:rPr>
            </w:pPr>
            <w:r>
              <w:rPr>
                <w:sz w:val="21"/>
              </w:rPr>
              <w:t>无组织排放的防控措施，减少生产过程无组织排放。</w:t>
            </w:r>
          </w:p>
        </w:tc>
        <w:tc>
          <w:tcPr>
            <w:tcW w:w="1165"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96" w:hRule="atLeast"/>
        </w:trPr>
        <w:tc>
          <w:tcPr>
            <w:tcW w:w="572" w:type="dxa"/>
            <w:tcBorders>
              <w:top w:val="single" w:color="000000" w:sz="4" w:space="0"/>
              <w:bottom w:val="single" w:color="000000" w:sz="4" w:space="0"/>
              <w:right w:val="single" w:color="000000" w:sz="4" w:space="0"/>
            </w:tcBorders>
          </w:tcPr>
          <w:p>
            <w:pPr>
              <w:pStyle w:val="14"/>
              <w:jc w:val="left"/>
              <w:rPr>
                <w:rFonts w:ascii="Times New Roman"/>
                <w:sz w:val="22"/>
              </w:rPr>
            </w:pPr>
          </w:p>
          <w:p>
            <w:pPr>
              <w:pStyle w:val="14"/>
              <w:spacing w:before="7"/>
              <w:jc w:val="left"/>
              <w:rPr>
                <w:rFonts w:ascii="Times New Roman"/>
                <w:sz w:val="21"/>
              </w:rPr>
            </w:pPr>
          </w:p>
          <w:p>
            <w:pPr>
              <w:pStyle w:val="14"/>
              <w:ind w:left="56" w:right="38"/>
              <w:rPr>
                <w:rFonts w:ascii="Times New Roman"/>
                <w:sz w:val="21"/>
              </w:rPr>
            </w:pPr>
            <w:r>
              <w:rPr>
                <w:rFonts w:ascii="Times New Roman"/>
                <w:sz w:val="21"/>
              </w:rPr>
              <w:t>30</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p>
            <w:pPr>
              <w:pStyle w:val="14"/>
              <w:spacing w:before="2"/>
              <w:jc w:val="left"/>
              <w:rPr>
                <w:rFonts w:ascii="Times New Roman"/>
                <w:sz w:val="22"/>
              </w:rPr>
            </w:pPr>
          </w:p>
          <w:p>
            <w:pPr>
              <w:pStyle w:val="14"/>
              <w:ind w:left="38" w:right="24"/>
              <w:rPr>
                <w:sz w:val="21"/>
              </w:rPr>
            </w:pPr>
            <w:r>
              <w:rPr>
                <w:sz w:val="21"/>
              </w:rPr>
              <w:t>清洁生产审核</w:t>
            </w:r>
          </w:p>
        </w:tc>
        <w:tc>
          <w:tcPr>
            <w:tcW w:w="835"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p>
            <w:pPr>
              <w:pStyle w:val="14"/>
              <w:spacing w:before="2"/>
              <w:jc w:val="left"/>
              <w:rPr>
                <w:rFonts w:ascii="Times New Roman"/>
                <w:sz w:val="22"/>
              </w:rPr>
            </w:pPr>
          </w:p>
          <w:p>
            <w:pPr>
              <w:pStyle w:val="14"/>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2"/>
              </w:rPr>
            </w:pPr>
          </w:p>
          <w:p>
            <w:pPr>
              <w:pStyle w:val="14"/>
              <w:spacing w:before="7"/>
              <w:jc w:val="left"/>
              <w:rPr>
                <w:rFonts w:ascii="Times New Roman"/>
                <w:sz w:val="21"/>
              </w:rPr>
            </w:pPr>
          </w:p>
          <w:p>
            <w:pPr>
              <w:pStyle w:val="14"/>
              <w:ind w:left="266" w:right="248"/>
              <w:rPr>
                <w:rFonts w:ascii="Times New Roman"/>
                <w:sz w:val="21"/>
              </w:rPr>
            </w:pPr>
            <w:r>
              <w:rPr>
                <w:rFonts w:ascii="Times New Roman"/>
                <w:sz w:val="21"/>
              </w:rPr>
              <w:t>0.05</w:t>
            </w:r>
          </w:p>
        </w:tc>
        <w:tc>
          <w:tcPr>
            <w:tcW w:w="6541" w:type="dxa"/>
            <w:gridSpan w:val="3"/>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p>
            <w:pPr>
              <w:pStyle w:val="14"/>
              <w:spacing w:before="2"/>
              <w:jc w:val="left"/>
              <w:rPr>
                <w:rFonts w:ascii="Times New Roman"/>
                <w:sz w:val="22"/>
              </w:rPr>
            </w:pPr>
          </w:p>
          <w:p>
            <w:pPr>
              <w:pStyle w:val="14"/>
              <w:ind w:left="8"/>
              <w:jc w:val="left"/>
              <w:rPr>
                <w:sz w:val="21"/>
              </w:rPr>
            </w:pPr>
            <w:r>
              <w:rPr>
                <w:sz w:val="21"/>
              </w:rPr>
              <w:t>按照国家和地方要求，定期开展清洁生产审核</w:t>
            </w:r>
          </w:p>
        </w:tc>
        <w:tc>
          <w:tcPr>
            <w:tcW w:w="1165" w:type="dxa"/>
            <w:tcBorders>
              <w:top w:val="single" w:color="000000" w:sz="4" w:space="0"/>
              <w:left w:val="single" w:color="000000" w:sz="4" w:space="0"/>
              <w:bottom w:val="single" w:color="000000" w:sz="4" w:space="0"/>
            </w:tcBorders>
          </w:tcPr>
          <w:p>
            <w:pPr>
              <w:pStyle w:val="14"/>
              <w:spacing w:line="290" w:lineRule="auto"/>
              <w:ind w:left="60" w:right="38"/>
              <w:jc w:val="both"/>
              <w:rPr>
                <w:sz w:val="21"/>
              </w:rPr>
            </w:pPr>
            <w:r>
              <w:rPr>
                <w:spacing w:val="-3"/>
                <w:sz w:val="21"/>
              </w:rPr>
              <w:t xml:space="preserve">按照国家和地方要求， </w:t>
            </w:r>
            <w:r>
              <w:rPr>
                <w:spacing w:val="-3"/>
                <w:w w:val="95"/>
                <w:sz w:val="21"/>
              </w:rPr>
              <w:t>定期开展清</w:t>
            </w:r>
          </w:p>
          <w:p>
            <w:pPr>
              <w:pStyle w:val="14"/>
              <w:ind w:left="60"/>
              <w:jc w:val="left"/>
              <w:rPr>
                <w:sz w:val="21"/>
              </w:rPr>
            </w:pPr>
            <w:r>
              <w:rPr>
                <w:w w:val="95"/>
                <w:sz w:val="21"/>
              </w:rPr>
              <w:t>洁生产审核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0" w:hRule="atLeast"/>
        </w:trPr>
        <w:tc>
          <w:tcPr>
            <w:tcW w:w="572" w:type="dxa"/>
            <w:tcBorders>
              <w:top w:val="single" w:color="000000" w:sz="4" w:space="0"/>
              <w:bottom w:val="single" w:color="000000" w:sz="4" w:space="0"/>
              <w:right w:val="single" w:color="000000" w:sz="4" w:space="0"/>
            </w:tcBorders>
          </w:tcPr>
          <w:p>
            <w:pPr>
              <w:pStyle w:val="14"/>
              <w:spacing w:before="5"/>
              <w:jc w:val="left"/>
              <w:rPr>
                <w:rFonts w:ascii="Times New Roman"/>
                <w:sz w:val="29"/>
              </w:rPr>
            </w:pPr>
          </w:p>
          <w:p>
            <w:pPr>
              <w:pStyle w:val="14"/>
              <w:ind w:left="56" w:right="38"/>
              <w:rPr>
                <w:rFonts w:ascii="Times New Roman"/>
                <w:sz w:val="21"/>
              </w:rPr>
            </w:pPr>
            <w:r>
              <w:rPr>
                <w:rFonts w:ascii="Times New Roman"/>
                <w:sz w:val="21"/>
              </w:rPr>
              <w:t>31</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bottom w:val="single" w:color="000000" w:sz="4" w:space="0"/>
              <w:right w:val="single" w:color="000000" w:sz="4" w:space="0"/>
            </w:tcBorders>
          </w:tcPr>
          <w:p>
            <w:pPr>
              <w:pStyle w:val="14"/>
              <w:spacing w:before="9"/>
              <w:jc w:val="left"/>
              <w:rPr>
                <w:rFonts w:ascii="Times New Roman"/>
                <w:sz w:val="27"/>
              </w:rPr>
            </w:pPr>
          </w:p>
          <w:p>
            <w:pPr>
              <w:pStyle w:val="14"/>
              <w:spacing w:before="1"/>
              <w:ind w:left="38" w:right="24"/>
              <w:rPr>
                <w:sz w:val="21"/>
              </w:rPr>
            </w:pPr>
            <w:r>
              <w:rPr>
                <w:sz w:val="21"/>
              </w:rPr>
              <w:t>固体废物处置</w:t>
            </w:r>
          </w:p>
        </w:tc>
        <w:tc>
          <w:tcPr>
            <w:tcW w:w="835" w:type="dxa"/>
            <w:tcBorders>
              <w:top w:val="single" w:color="000000" w:sz="4" w:space="0"/>
              <w:left w:val="single" w:color="000000" w:sz="4" w:space="0"/>
              <w:bottom w:val="single" w:color="000000" w:sz="4" w:space="0"/>
              <w:right w:val="single" w:color="000000" w:sz="4" w:space="0"/>
            </w:tcBorders>
          </w:tcPr>
          <w:p>
            <w:pPr>
              <w:pStyle w:val="14"/>
              <w:spacing w:before="9"/>
              <w:jc w:val="left"/>
              <w:rPr>
                <w:rFonts w:ascii="Times New Roman"/>
                <w:sz w:val="27"/>
              </w:rPr>
            </w:pPr>
          </w:p>
          <w:p>
            <w:pPr>
              <w:pStyle w:val="14"/>
              <w:spacing w:before="1"/>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4"/>
              <w:spacing w:before="5"/>
              <w:jc w:val="left"/>
              <w:rPr>
                <w:rFonts w:ascii="Times New Roman"/>
                <w:sz w:val="29"/>
              </w:rPr>
            </w:pPr>
          </w:p>
          <w:p>
            <w:pPr>
              <w:pStyle w:val="14"/>
              <w:ind w:left="266" w:right="248"/>
              <w:rPr>
                <w:rFonts w:ascii="Times New Roman"/>
                <w:sz w:val="21"/>
              </w:rPr>
            </w:pPr>
            <w:r>
              <w:rPr>
                <w:rFonts w:ascii="Times New Roman"/>
                <w:sz w:val="21"/>
              </w:rPr>
              <w:t>0.05</w:t>
            </w:r>
          </w:p>
        </w:tc>
        <w:tc>
          <w:tcPr>
            <w:tcW w:w="6541" w:type="dxa"/>
            <w:gridSpan w:val="3"/>
            <w:tcBorders>
              <w:top w:val="single" w:color="000000" w:sz="4" w:space="0"/>
              <w:left w:val="single" w:color="000000" w:sz="4" w:space="0"/>
              <w:bottom w:val="single" w:color="000000" w:sz="4" w:space="0"/>
              <w:right w:val="single" w:color="000000" w:sz="4" w:space="0"/>
            </w:tcBorders>
          </w:tcPr>
          <w:p>
            <w:pPr>
              <w:pStyle w:val="14"/>
              <w:spacing w:line="290" w:lineRule="auto"/>
              <w:ind w:left="8" w:right="-15"/>
              <w:jc w:val="left"/>
              <w:rPr>
                <w:sz w:val="21"/>
              </w:rPr>
            </w:pPr>
            <w:r>
              <w:rPr>
                <w:sz w:val="21"/>
              </w:rPr>
              <w:t>按照《中华人民共和国固体废物污染环境防治法》、《煤矸石综合利用管理办法》的有关要求，建立完善的标识、申报登记、源头分类、应急</w:t>
            </w:r>
          </w:p>
          <w:p>
            <w:pPr>
              <w:pStyle w:val="14"/>
              <w:ind w:left="8"/>
              <w:jc w:val="left"/>
              <w:rPr>
                <w:sz w:val="21"/>
              </w:rPr>
            </w:pPr>
            <w:r>
              <w:rPr>
                <w:sz w:val="21"/>
              </w:rPr>
              <w:t>预案等管理制度，制定合理的煤矸石综合利用方案及安全处置措施</w:t>
            </w:r>
          </w:p>
        </w:tc>
        <w:tc>
          <w:tcPr>
            <w:tcW w:w="1165" w:type="dxa"/>
            <w:tcBorders>
              <w:top w:val="single" w:color="000000" w:sz="4" w:space="0"/>
              <w:left w:val="single" w:color="000000" w:sz="4" w:space="0"/>
              <w:bottom w:val="single" w:color="000000" w:sz="4" w:space="0"/>
            </w:tcBorders>
          </w:tcPr>
          <w:p>
            <w:pPr>
              <w:pStyle w:val="14"/>
              <w:spacing w:before="9"/>
              <w:jc w:val="left"/>
              <w:rPr>
                <w:rFonts w:ascii="Times New Roman"/>
                <w:sz w:val="27"/>
              </w:rPr>
            </w:pPr>
          </w:p>
          <w:p>
            <w:pPr>
              <w:pStyle w:val="14"/>
              <w:spacing w:before="1"/>
              <w:ind w:left="163"/>
              <w:jc w:val="left"/>
              <w:rPr>
                <w:sz w:val="21"/>
              </w:rPr>
            </w:pPr>
            <w:r>
              <w:rPr>
                <w:sz w:val="21"/>
              </w:rPr>
              <w:t>符合要求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32" w:hRule="atLeast"/>
        </w:trPr>
        <w:tc>
          <w:tcPr>
            <w:tcW w:w="572" w:type="dxa"/>
            <w:tcBorders>
              <w:top w:val="single" w:color="000000" w:sz="4" w:space="0"/>
              <w:bottom w:val="single" w:color="000000" w:sz="4" w:space="0"/>
              <w:right w:val="single" w:color="000000" w:sz="4" w:space="0"/>
            </w:tcBorders>
          </w:tcPr>
          <w:p>
            <w:pPr>
              <w:pStyle w:val="14"/>
              <w:jc w:val="left"/>
              <w:rPr>
                <w:rFonts w:ascii="Times New Roman"/>
                <w:sz w:val="22"/>
              </w:rPr>
            </w:pPr>
          </w:p>
          <w:p>
            <w:pPr>
              <w:pStyle w:val="14"/>
              <w:jc w:val="left"/>
              <w:rPr>
                <w:rFonts w:ascii="Times New Roman"/>
                <w:sz w:val="22"/>
              </w:rPr>
            </w:pPr>
          </w:p>
          <w:p>
            <w:pPr>
              <w:pStyle w:val="14"/>
              <w:jc w:val="left"/>
              <w:rPr>
                <w:rFonts w:ascii="Times New Roman"/>
                <w:sz w:val="22"/>
              </w:rPr>
            </w:pPr>
          </w:p>
          <w:p>
            <w:pPr>
              <w:pStyle w:val="14"/>
              <w:jc w:val="left"/>
              <w:rPr>
                <w:rFonts w:ascii="Times New Roman"/>
                <w:sz w:val="22"/>
              </w:rPr>
            </w:pPr>
          </w:p>
          <w:p>
            <w:pPr>
              <w:pStyle w:val="14"/>
              <w:spacing w:before="8"/>
              <w:jc w:val="left"/>
              <w:rPr>
                <w:rFonts w:ascii="Times New Roman"/>
                <w:sz w:val="26"/>
              </w:rPr>
            </w:pPr>
          </w:p>
          <w:p>
            <w:pPr>
              <w:pStyle w:val="14"/>
              <w:ind w:left="56" w:right="38"/>
              <w:rPr>
                <w:rFonts w:ascii="Times New Roman"/>
                <w:sz w:val="21"/>
              </w:rPr>
            </w:pPr>
            <w:r>
              <w:rPr>
                <w:rFonts w:ascii="Times New Roman"/>
                <w:sz w:val="21"/>
              </w:rPr>
              <w:t>32</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spacing w:before="153"/>
              <w:ind w:left="41" w:right="24"/>
              <w:rPr>
                <w:sz w:val="21"/>
              </w:rPr>
            </w:pPr>
            <w:r>
              <w:rPr>
                <w:sz w:val="21"/>
              </w:rPr>
              <w:t>宣传培训</w:t>
            </w:r>
          </w:p>
        </w:tc>
        <w:tc>
          <w:tcPr>
            <w:tcW w:w="835"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spacing w:before="153"/>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2"/>
              </w:rPr>
            </w:pPr>
          </w:p>
          <w:p>
            <w:pPr>
              <w:pStyle w:val="14"/>
              <w:jc w:val="left"/>
              <w:rPr>
                <w:rFonts w:ascii="Times New Roman"/>
                <w:sz w:val="22"/>
              </w:rPr>
            </w:pPr>
          </w:p>
          <w:p>
            <w:pPr>
              <w:pStyle w:val="14"/>
              <w:jc w:val="left"/>
              <w:rPr>
                <w:rFonts w:ascii="Times New Roman"/>
                <w:sz w:val="22"/>
              </w:rPr>
            </w:pPr>
          </w:p>
          <w:p>
            <w:pPr>
              <w:pStyle w:val="14"/>
              <w:jc w:val="left"/>
              <w:rPr>
                <w:rFonts w:ascii="Times New Roman"/>
                <w:sz w:val="22"/>
              </w:rPr>
            </w:pPr>
          </w:p>
          <w:p>
            <w:pPr>
              <w:pStyle w:val="14"/>
              <w:spacing w:before="8"/>
              <w:jc w:val="left"/>
              <w:rPr>
                <w:rFonts w:ascii="Times New Roman"/>
                <w:sz w:val="26"/>
              </w:rPr>
            </w:pPr>
          </w:p>
          <w:p>
            <w:pPr>
              <w:pStyle w:val="14"/>
              <w:ind w:left="266" w:right="248"/>
              <w:rPr>
                <w:rFonts w:ascii="Times New Roman"/>
                <w:sz w:val="21"/>
              </w:rPr>
            </w:pPr>
            <w:r>
              <w:rPr>
                <w:rFonts w:ascii="Times New Roman"/>
                <w:sz w:val="21"/>
              </w:rPr>
              <w:t>0.1</w:t>
            </w:r>
          </w:p>
        </w:tc>
        <w:tc>
          <w:tcPr>
            <w:tcW w:w="2641" w:type="dxa"/>
            <w:tcBorders>
              <w:top w:val="single" w:color="000000" w:sz="4" w:space="0"/>
              <w:left w:val="single" w:color="000000" w:sz="4" w:space="0"/>
              <w:bottom w:val="single" w:color="000000" w:sz="4" w:space="0"/>
              <w:right w:val="single" w:color="000000" w:sz="4" w:space="0"/>
            </w:tcBorders>
          </w:tcPr>
          <w:p>
            <w:pPr>
              <w:pStyle w:val="14"/>
              <w:spacing w:before="11"/>
              <w:jc w:val="left"/>
              <w:rPr>
                <w:rFonts w:ascii="Times New Roman"/>
                <w:sz w:val="27"/>
              </w:rPr>
            </w:pPr>
          </w:p>
          <w:p>
            <w:pPr>
              <w:pStyle w:val="14"/>
              <w:spacing w:line="290" w:lineRule="auto"/>
              <w:ind w:left="8" w:right="-15"/>
              <w:jc w:val="both"/>
              <w:rPr>
                <w:sz w:val="21"/>
              </w:rPr>
            </w:pPr>
            <w:r>
              <w:rPr>
                <w:spacing w:val="8"/>
                <w:w w:val="95"/>
                <w:sz w:val="21"/>
              </w:rPr>
              <w:t>制定有绿色低碳宣传和节能</w:t>
            </w:r>
            <w:r>
              <w:rPr>
                <w:spacing w:val="-4"/>
                <w:sz w:val="21"/>
              </w:rPr>
              <w:t>环保培训年度计划，并付诸实</w:t>
            </w:r>
            <w:r>
              <w:rPr>
                <w:spacing w:val="-11"/>
                <w:sz w:val="21"/>
              </w:rPr>
              <w:t>施；在国家规定的重要节能环</w:t>
            </w:r>
            <w:r>
              <w:rPr>
                <w:spacing w:val="-20"/>
                <w:w w:val="95"/>
                <w:sz w:val="21"/>
              </w:rPr>
              <w:t>保日</w:t>
            </w:r>
            <w:r>
              <w:rPr>
                <w:w w:val="95"/>
                <w:sz w:val="21"/>
              </w:rPr>
              <w:t>（周</w:t>
            </w:r>
            <w:r>
              <w:rPr>
                <w:spacing w:val="-34"/>
                <w:w w:val="95"/>
                <w:sz w:val="21"/>
              </w:rPr>
              <w:t>）</w:t>
            </w:r>
            <w:r>
              <w:rPr>
                <w:spacing w:val="-5"/>
                <w:w w:val="95"/>
                <w:sz w:val="21"/>
              </w:rPr>
              <w:t>开展宣传活动；每</w:t>
            </w:r>
            <w:r>
              <w:rPr>
                <w:spacing w:val="8"/>
                <w:w w:val="95"/>
                <w:sz w:val="21"/>
              </w:rPr>
              <w:t>年开展节能环保专业培训不</w:t>
            </w:r>
            <w:r>
              <w:rPr>
                <w:spacing w:val="-14"/>
                <w:sz w:val="21"/>
              </w:rPr>
              <w:t xml:space="preserve">少于 </w:t>
            </w:r>
            <w:r>
              <w:rPr>
                <w:rFonts w:ascii="Times New Roman" w:eastAsia="Times New Roman"/>
                <w:sz w:val="21"/>
              </w:rPr>
              <w:t xml:space="preserve">2 </w:t>
            </w:r>
            <w:r>
              <w:rPr>
                <w:spacing w:val="-12"/>
                <w:sz w:val="21"/>
              </w:rPr>
              <w:t>次，所有在岗人员进行</w:t>
            </w:r>
            <w:r>
              <w:rPr>
                <w:spacing w:val="-15"/>
                <w:sz w:val="21"/>
              </w:rPr>
              <w:t>过岗前培训，有岗位培训记录</w:t>
            </w:r>
          </w:p>
        </w:tc>
        <w:tc>
          <w:tcPr>
            <w:tcW w:w="1879" w:type="dxa"/>
            <w:tcBorders>
              <w:top w:val="single" w:color="000000" w:sz="4" w:space="0"/>
              <w:left w:val="single" w:color="000000" w:sz="4" w:space="0"/>
              <w:bottom w:val="single" w:color="000000" w:sz="4" w:space="0"/>
              <w:right w:val="single" w:color="000000" w:sz="4" w:space="0"/>
            </w:tcBorders>
          </w:tcPr>
          <w:p>
            <w:pPr>
              <w:pStyle w:val="14"/>
              <w:spacing w:line="290" w:lineRule="auto"/>
              <w:ind w:left="9" w:right="-15"/>
              <w:jc w:val="both"/>
              <w:rPr>
                <w:sz w:val="21"/>
              </w:rPr>
            </w:pPr>
            <w:r>
              <w:rPr>
                <w:spacing w:val="22"/>
                <w:w w:val="95"/>
                <w:sz w:val="21"/>
              </w:rPr>
              <w:t>定期开展绿色低碳</w:t>
            </w:r>
            <w:r>
              <w:rPr>
                <w:sz w:val="21"/>
              </w:rPr>
              <w:t>宣传，在国家规定的</w:t>
            </w:r>
            <w:r>
              <w:rPr>
                <w:spacing w:val="-22"/>
                <w:sz w:val="21"/>
              </w:rPr>
              <w:t>重 要 节 能 环 保 日</w:t>
            </w:r>
          </w:p>
          <w:p>
            <w:pPr>
              <w:pStyle w:val="14"/>
              <w:spacing w:line="290" w:lineRule="auto"/>
              <w:ind w:left="9" w:right="-15"/>
              <w:jc w:val="both"/>
              <w:rPr>
                <w:sz w:val="21"/>
              </w:rPr>
            </w:pPr>
            <w:r>
              <w:rPr>
                <w:sz w:val="21"/>
              </w:rPr>
              <w:t>（</w:t>
            </w:r>
            <w:r>
              <w:rPr>
                <w:spacing w:val="-28"/>
                <w:sz w:val="21"/>
              </w:rPr>
              <w:t xml:space="preserve"> 周</w:t>
            </w:r>
            <w:r>
              <w:rPr>
                <w:sz w:val="21"/>
              </w:rPr>
              <w:t>）</w:t>
            </w:r>
            <w:r>
              <w:rPr>
                <w:spacing w:val="4"/>
                <w:sz w:val="21"/>
              </w:rPr>
              <w:t xml:space="preserve"> 开展宣传活</w:t>
            </w:r>
            <w:r>
              <w:rPr>
                <w:spacing w:val="-4"/>
                <w:sz w:val="21"/>
              </w:rPr>
              <w:t>动；每年开展节能环</w:t>
            </w:r>
            <w:r>
              <w:rPr>
                <w:spacing w:val="-10"/>
                <w:sz w:val="21"/>
              </w:rPr>
              <w:t xml:space="preserve">保专业培训不少于 </w:t>
            </w:r>
            <w:r>
              <w:rPr>
                <w:rFonts w:ascii="Times New Roman" w:eastAsia="Times New Roman"/>
                <w:sz w:val="21"/>
              </w:rPr>
              <w:t xml:space="preserve">1 </w:t>
            </w:r>
            <w:r>
              <w:rPr>
                <w:spacing w:val="-5"/>
                <w:sz w:val="21"/>
              </w:rPr>
              <w:t>次，主要岗位人员进</w:t>
            </w:r>
            <w:r>
              <w:rPr>
                <w:spacing w:val="-7"/>
                <w:w w:val="95"/>
                <w:sz w:val="21"/>
              </w:rPr>
              <w:t>行过岗前培训，有岗</w:t>
            </w:r>
          </w:p>
          <w:p>
            <w:pPr>
              <w:pStyle w:val="14"/>
              <w:spacing w:before="6"/>
              <w:ind w:left="9"/>
              <w:jc w:val="left"/>
              <w:rPr>
                <w:sz w:val="21"/>
              </w:rPr>
            </w:pPr>
            <w:r>
              <w:rPr>
                <w:sz w:val="21"/>
              </w:rPr>
              <w:t>位培训记录</w:t>
            </w:r>
          </w:p>
        </w:tc>
        <w:tc>
          <w:tcPr>
            <w:tcW w:w="202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2"/>
              </w:rPr>
            </w:pPr>
          </w:p>
          <w:p>
            <w:pPr>
              <w:pStyle w:val="14"/>
              <w:spacing w:before="4"/>
              <w:jc w:val="left"/>
              <w:rPr>
                <w:rFonts w:ascii="Times New Roman"/>
                <w:sz w:val="20"/>
              </w:rPr>
            </w:pPr>
          </w:p>
          <w:p>
            <w:pPr>
              <w:pStyle w:val="14"/>
              <w:spacing w:line="290" w:lineRule="auto"/>
              <w:ind w:left="10" w:right="-15"/>
              <w:jc w:val="both"/>
              <w:rPr>
                <w:sz w:val="21"/>
              </w:rPr>
            </w:pPr>
            <w:r>
              <w:rPr>
                <w:spacing w:val="12"/>
                <w:w w:val="95"/>
                <w:sz w:val="21"/>
              </w:rPr>
              <w:t>定期开展绿色低碳宣</w:t>
            </w:r>
            <w:r>
              <w:rPr>
                <w:spacing w:val="-9"/>
                <w:w w:val="95"/>
                <w:sz w:val="21"/>
              </w:rPr>
              <w:t>传，在国家规定的重要</w:t>
            </w:r>
            <w:r>
              <w:rPr>
                <w:spacing w:val="-16"/>
                <w:sz w:val="21"/>
              </w:rPr>
              <w:t>节能环保日</w:t>
            </w:r>
            <w:r>
              <w:rPr>
                <w:sz w:val="21"/>
              </w:rPr>
              <w:t>（周</w:t>
            </w:r>
            <w:r>
              <w:rPr>
                <w:spacing w:val="-44"/>
                <w:sz w:val="21"/>
              </w:rPr>
              <w:t>）</w:t>
            </w:r>
            <w:r>
              <w:rPr>
                <w:spacing w:val="-6"/>
                <w:sz w:val="21"/>
              </w:rPr>
              <w:t>开展</w:t>
            </w:r>
            <w:r>
              <w:rPr>
                <w:spacing w:val="-10"/>
                <w:sz w:val="21"/>
              </w:rPr>
              <w:t>宣传活动，每年开展节</w:t>
            </w:r>
            <w:r>
              <w:rPr>
                <w:spacing w:val="12"/>
                <w:w w:val="95"/>
                <w:sz w:val="21"/>
              </w:rPr>
              <w:t>能环保专业培训不少</w:t>
            </w:r>
            <w:r>
              <w:rPr>
                <w:spacing w:val="-21"/>
                <w:sz w:val="21"/>
              </w:rPr>
              <w:t xml:space="preserve">于 </w:t>
            </w:r>
            <w:r>
              <w:rPr>
                <w:rFonts w:ascii="Times New Roman" w:eastAsia="Times New Roman"/>
                <w:sz w:val="21"/>
              </w:rPr>
              <w:t xml:space="preserve">1 </w:t>
            </w:r>
            <w:r>
              <w:rPr>
                <w:sz w:val="21"/>
              </w:rPr>
              <w:t>次</w:t>
            </w:r>
          </w:p>
        </w:tc>
        <w:tc>
          <w:tcPr>
            <w:tcW w:w="1165" w:type="dxa"/>
            <w:tcBorders>
              <w:top w:val="single" w:color="000000" w:sz="4" w:space="0"/>
              <w:left w:val="single" w:color="000000" w:sz="4" w:space="0"/>
              <w:bottom w:val="single" w:color="000000" w:sz="4" w:space="0"/>
            </w:tcBorders>
          </w:tcPr>
          <w:p>
            <w:pPr>
              <w:pStyle w:val="14"/>
              <w:spacing w:before="158" w:line="290" w:lineRule="auto"/>
              <w:ind w:left="60" w:right="38"/>
              <w:rPr>
                <w:sz w:val="21"/>
              </w:rPr>
            </w:pPr>
            <w:r>
              <w:rPr>
                <w:spacing w:val="-3"/>
                <w:sz w:val="21"/>
              </w:rPr>
              <w:t>制定有绿色低碳宣传和节能环保培</w:t>
            </w:r>
            <w:r>
              <w:rPr>
                <w:sz w:val="21"/>
              </w:rPr>
              <w:t xml:space="preserve">训年度计 </w:t>
            </w:r>
            <w:r>
              <w:rPr>
                <w:spacing w:val="-3"/>
                <w:sz w:val="21"/>
              </w:rPr>
              <w:t>划，并付诸实施；在国家规定的重</w:t>
            </w:r>
            <w:r>
              <w:rPr>
                <w:sz w:val="21"/>
              </w:rPr>
              <w:t>要节能环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06" w:hRule="atLeast"/>
        </w:trPr>
        <w:tc>
          <w:tcPr>
            <w:tcW w:w="572" w:type="dxa"/>
            <w:tcBorders>
              <w:top w:val="single" w:color="000000" w:sz="4" w:space="0"/>
              <w:right w:val="single" w:color="000000" w:sz="4" w:space="0"/>
            </w:tcBorders>
          </w:tcPr>
          <w:p>
            <w:pPr>
              <w:pStyle w:val="14"/>
              <w:jc w:val="left"/>
              <w:rPr>
                <w:rFonts w:ascii="Times New Roman"/>
                <w:sz w:val="22"/>
              </w:rPr>
            </w:pPr>
          </w:p>
          <w:p>
            <w:pPr>
              <w:pStyle w:val="14"/>
              <w:jc w:val="left"/>
              <w:rPr>
                <w:rFonts w:ascii="Times New Roman"/>
                <w:sz w:val="22"/>
              </w:rPr>
            </w:pPr>
          </w:p>
          <w:p>
            <w:pPr>
              <w:pStyle w:val="14"/>
              <w:jc w:val="left"/>
              <w:rPr>
                <w:rFonts w:ascii="Times New Roman"/>
                <w:sz w:val="22"/>
              </w:rPr>
            </w:pPr>
          </w:p>
          <w:p>
            <w:pPr>
              <w:pStyle w:val="14"/>
              <w:jc w:val="left"/>
              <w:rPr>
                <w:rFonts w:ascii="Times New Roman"/>
                <w:sz w:val="22"/>
              </w:rPr>
            </w:pPr>
          </w:p>
          <w:p>
            <w:pPr>
              <w:pStyle w:val="14"/>
              <w:spacing w:before="144"/>
              <w:ind w:left="56" w:right="38"/>
              <w:rPr>
                <w:rFonts w:ascii="Times New Roman"/>
                <w:sz w:val="21"/>
              </w:rPr>
            </w:pPr>
            <w:r>
              <w:rPr>
                <w:rFonts w:ascii="Times New Roman"/>
                <w:sz w:val="21"/>
              </w:rPr>
              <w:t>33</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right w:val="single" w:color="000000" w:sz="4" w:space="0"/>
            </w:tcBorders>
          </w:tcPr>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spacing w:before="8"/>
              <w:jc w:val="left"/>
              <w:rPr>
                <w:rFonts w:ascii="Times New Roman"/>
                <w:sz w:val="24"/>
              </w:rPr>
            </w:pPr>
          </w:p>
          <w:p>
            <w:pPr>
              <w:pStyle w:val="14"/>
              <w:spacing w:line="290" w:lineRule="auto"/>
              <w:ind w:left="702" w:right="54" w:hanging="629"/>
              <w:jc w:val="left"/>
              <w:rPr>
                <w:sz w:val="21"/>
              </w:rPr>
            </w:pPr>
            <w:r>
              <w:rPr>
                <w:sz w:val="21"/>
              </w:rPr>
              <w:t>建立健全环境管理体系</w:t>
            </w:r>
          </w:p>
        </w:tc>
        <w:tc>
          <w:tcPr>
            <w:tcW w:w="835" w:type="dxa"/>
            <w:tcBorders>
              <w:top w:val="single" w:color="000000" w:sz="4" w:space="0"/>
              <w:left w:val="single" w:color="000000" w:sz="4" w:space="0"/>
              <w:right w:val="single" w:color="000000" w:sz="4" w:space="0"/>
            </w:tcBorders>
          </w:tcPr>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spacing w:before="10"/>
              <w:jc w:val="left"/>
              <w:rPr>
                <w:rFonts w:ascii="Times New Roman"/>
                <w:sz w:val="18"/>
              </w:rPr>
            </w:pPr>
          </w:p>
          <w:p>
            <w:pPr>
              <w:pStyle w:val="14"/>
              <w:ind w:left="18"/>
              <w:rPr>
                <w:sz w:val="21"/>
              </w:rPr>
            </w:pPr>
            <w:r>
              <w:rPr>
                <w:w w:val="99"/>
                <w:sz w:val="21"/>
              </w:rPr>
              <w:t>━</w:t>
            </w:r>
          </w:p>
        </w:tc>
        <w:tc>
          <w:tcPr>
            <w:tcW w:w="933" w:type="dxa"/>
            <w:tcBorders>
              <w:top w:val="single" w:color="000000" w:sz="4" w:space="0"/>
              <w:left w:val="single" w:color="000000" w:sz="4" w:space="0"/>
              <w:right w:val="single" w:color="000000" w:sz="4" w:space="0"/>
            </w:tcBorders>
          </w:tcPr>
          <w:p>
            <w:pPr>
              <w:pStyle w:val="14"/>
              <w:jc w:val="left"/>
              <w:rPr>
                <w:rFonts w:ascii="Times New Roman"/>
                <w:sz w:val="22"/>
              </w:rPr>
            </w:pPr>
          </w:p>
          <w:p>
            <w:pPr>
              <w:pStyle w:val="14"/>
              <w:jc w:val="left"/>
              <w:rPr>
                <w:rFonts w:ascii="Times New Roman"/>
                <w:sz w:val="22"/>
              </w:rPr>
            </w:pPr>
          </w:p>
          <w:p>
            <w:pPr>
              <w:pStyle w:val="14"/>
              <w:jc w:val="left"/>
              <w:rPr>
                <w:rFonts w:ascii="Times New Roman"/>
                <w:sz w:val="22"/>
              </w:rPr>
            </w:pPr>
          </w:p>
          <w:p>
            <w:pPr>
              <w:pStyle w:val="14"/>
              <w:jc w:val="left"/>
              <w:rPr>
                <w:rFonts w:ascii="Times New Roman"/>
                <w:sz w:val="22"/>
              </w:rPr>
            </w:pPr>
          </w:p>
          <w:p>
            <w:pPr>
              <w:pStyle w:val="14"/>
              <w:spacing w:before="144"/>
              <w:ind w:left="266" w:right="248"/>
              <w:rPr>
                <w:rFonts w:ascii="Times New Roman"/>
                <w:sz w:val="21"/>
              </w:rPr>
            </w:pPr>
            <w:r>
              <w:rPr>
                <w:rFonts w:ascii="Times New Roman"/>
                <w:sz w:val="21"/>
              </w:rPr>
              <w:t>0.05</w:t>
            </w:r>
          </w:p>
        </w:tc>
        <w:tc>
          <w:tcPr>
            <w:tcW w:w="2641" w:type="dxa"/>
            <w:tcBorders>
              <w:top w:val="single" w:color="000000" w:sz="4" w:space="0"/>
              <w:left w:val="single" w:color="000000" w:sz="4" w:space="0"/>
              <w:right w:val="single" w:color="000000" w:sz="4" w:space="0"/>
            </w:tcBorders>
          </w:tcPr>
          <w:p>
            <w:pPr>
              <w:pStyle w:val="14"/>
              <w:spacing w:before="158" w:line="290" w:lineRule="auto"/>
              <w:ind w:left="8" w:right="-15"/>
              <w:jc w:val="left"/>
              <w:rPr>
                <w:sz w:val="21"/>
              </w:rPr>
            </w:pPr>
            <w:r>
              <w:rPr>
                <w:spacing w:val="-8"/>
                <w:sz w:val="21"/>
              </w:rPr>
              <w:t xml:space="preserve">建立有 </w:t>
            </w:r>
            <w:r>
              <w:rPr>
                <w:rFonts w:ascii="Times New Roman" w:eastAsia="Times New Roman"/>
                <w:sz w:val="21"/>
              </w:rPr>
              <w:t>GB/T24001</w:t>
            </w:r>
            <w:r>
              <w:rPr>
                <w:rFonts w:ascii="Times New Roman" w:eastAsia="Times New Roman"/>
                <w:spacing w:val="2"/>
                <w:sz w:val="21"/>
              </w:rPr>
              <w:t xml:space="preserve"> </w:t>
            </w:r>
            <w:r>
              <w:rPr>
                <w:spacing w:val="6"/>
                <w:sz w:val="21"/>
              </w:rPr>
              <w:t>环境管理</w:t>
            </w:r>
            <w:r>
              <w:rPr>
                <w:spacing w:val="-10"/>
                <w:sz w:val="21"/>
              </w:rPr>
              <w:t>体系，并取得认证，能有效运行；全部完成年度环境目标</w:t>
            </w:r>
            <w:r>
              <w:rPr>
                <w:spacing w:val="-16"/>
                <w:sz w:val="21"/>
              </w:rPr>
              <w:t>指标和环境管理方案，并达到</w:t>
            </w:r>
            <w:r>
              <w:rPr>
                <w:spacing w:val="-21"/>
                <w:sz w:val="21"/>
              </w:rPr>
              <w:t>环境持续改进的要求；环境管</w:t>
            </w:r>
            <w:r>
              <w:rPr>
                <w:spacing w:val="-15"/>
                <w:sz w:val="21"/>
              </w:rPr>
              <w:t>理手册、程序文件及作业文件齐备、有效。</w:t>
            </w:r>
          </w:p>
        </w:tc>
        <w:tc>
          <w:tcPr>
            <w:tcW w:w="1879" w:type="dxa"/>
            <w:tcBorders>
              <w:top w:val="single" w:color="000000" w:sz="4" w:space="0"/>
              <w:left w:val="single" w:color="000000" w:sz="4" w:space="0"/>
              <w:right w:val="single" w:color="000000" w:sz="4" w:space="0"/>
            </w:tcBorders>
          </w:tcPr>
          <w:p>
            <w:pPr>
              <w:pStyle w:val="14"/>
              <w:spacing w:line="264" w:lineRule="exact"/>
              <w:ind w:left="9" w:right="-15"/>
              <w:jc w:val="left"/>
              <w:rPr>
                <w:rFonts w:ascii="Times New Roman" w:eastAsia="Times New Roman"/>
                <w:sz w:val="21"/>
              </w:rPr>
            </w:pPr>
            <w:r>
              <w:rPr>
                <w:spacing w:val="-15"/>
                <w:sz w:val="21"/>
              </w:rPr>
              <w:t xml:space="preserve">建 立 有 </w:t>
            </w:r>
            <w:r>
              <w:rPr>
                <w:rFonts w:ascii="Times New Roman" w:eastAsia="Times New Roman"/>
                <w:sz w:val="21"/>
              </w:rPr>
              <w:t>GB/T24001</w:t>
            </w:r>
          </w:p>
          <w:p>
            <w:pPr>
              <w:pStyle w:val="14"/>
              <w:spacing w:before="6" w:line="320" w:lineRule="atLeast"/>
              <w:ind w:left="9" w:right="-15"/>
              <w:jc w:val="left"/>
              <w:rPr>
                <w:sz w:val="21"/>
              </w:rPr>
            </w:pPr>
            <w:r>
              <w:rPr>
                <w:spacing w:val="-3"/>
                <w:sz w:val="21"/>
              </w:rPr>
              <w:t>环境管理体系，并能</w:t>
            </w:r>
            <w:r>
              <w:rPr>
                <w:spacing w:val="-6"/>
                <w:w w:val="95"/>
                <w:sz w:val="21"/>
              </w:rPr>
              <w:t>有效运行；完成年度</w:t>
            </w:r>
          </w:p>
          <w:p>
            <w:pPr>
              <w:pStyle w:val="14"/>
              <w:spacing w:line="117" w:lineRule="exact"/>
              <w:ind w:left="-113"/>
              <w:jc w:val="left"/>
              <w:rPr>
                <w:sz w:val="21"/>
              </w:rPr>
            </w:pPr>
            <w:r>
              <w:rPr>
                <w:w w:val="99"/>
                <w:sz w:val="21"/>
              </w:rPr>
              <w:t>、</w:t>
            </w:r>
          </w:p>
          <w:p>
            <w:pPr>
              <w:pStyle w:val="14"/>
              <w:spacing w:line="216" w:lineRule="exact"/>
              <w:ind w:left="9" w:right="-15"/>
              <w:jc w:val="left"/>
              <w:rPr>
                <w:sz w:val="21"/>
              </w:rPr>
            </w:pPr>
            <w:r>
              <w:rPr>
                <w:spacing w:val="-4"/>
                <w:w w:val="95"/>
                <w:sz w:val="21"/>
              </w:rPr>
              <w:t>环境目标、指标和环</w:t>
            </w:r>
          </w:p>
          <w:p>
            <w:pPr>
              <w:pStyle w:val="14"/>
              <w:spacing w:before="9" w:line="320" w:lineRule="atLeast"/>
              <w:ind w:left="9" w:right="-15"/>
              <w:jc w:val="both"/>
              <w:rPr>
                <w:sz w:val="21"/>
              </w:rPr>
            </w:pPr>
            <w:r>
              <w:rPr>
                <w:spacing w:val="-1"/>
                <w:w w:val="99"/>
                <w:sz w:val="21"/>
              </w:rPr>
              <w:t>境管理方案</w:t>
            </w:r>
            <w:r>
              <w:rPr>
                <w:rFonts w:ascii="Times New Roman" w:hAnsi="Times New Roman" w:eastAsia="Times New Roman"/>
                <w:w w:val="99"/>
                <w:sz w:val="21"/>
              </w:rPr>
              <w:t>≥</w:t>
            </w:r>
            <w:r>
              <w:rPr>
                <w:rFonts w:ascii="Times New Roman" w:hAnsi="Times New Roman" w:eastAsia="Times New Roman"/>
                <w:spacing w:val="1"/>
                <w:w w:val="99"/>
                <w:sz w:val="21"/>
              </w:rPr>
              <w:t>80</w:t>
            </w:r>
            <w:r>
              <w:rPr>
                <w:rFonts w:ascii="Times New Roman" w:hAnsi="Times New Roman" w:eastAsia="Times New Roman"/>
                <w:spacing w:val="-2"/>
                <w:w w:val="99"/>
                <w:sz w:val="21"/>
              </w:rPr>
              <w:t>%</w:t>
            </w:r>
            <w:r>
              <w:rPr>
                <w:spacing w:val="-55"/>
                <w:w w:val="99"/>
                <w:sz w:val="21"/>
              </w:rPr>
              <w:t>，达</w:t>
            </w:r>
            <w:r>
              <w:rPr>
                <w:spacing w:val="22"/>
                <w:w w:val="95"/>
                <w:sz w:val="21"/>
              </w:rPr>
              <w:t>到环境持续改进的</w:t>
            </w:r>
            <w:r>
              <w:rPr>
                <w:spacing w:val="7"/>
                <w:sz w:val="21"/>
              </w:rPr>
              <w:t>要求； 环境管理手</w:t>
            </w:r>
            <w:r>
              <w:rPr>
                <w:spacing w:val="-4"/>
                <w:w w:val="95"/>
                <w:sz w:val="21"/>
              </w:rPr>
              <w:t>册、程序文件及作业</w:t>
            </w:r>
          </w:p>
        </w:tc>
        <w:tc>
          <w:tcPr>
            <w:tcW w:w="2021" w:type="dxa"/>
            <w:tcBorders>
              <w:top w:val="single" w:color="000000" w:sz="4" w:space="0"/>
              <w:left w:val="single" w:color="000000" w:sz="4" w:space="0"/>
              <w:right w:val="single" w:color="000000" w:sz="4" w:space="0"/>
            </w:tcBorders>
          </w:tcPr>
          <w:p>
            <w:pPr>
              <w:pStyle w:val="14"/>
              <w:spacing w:line="290" w:lineRule="auto"/>
              <w:ind w:left="10" w:right="-15"/>
              <w:jc w:val="both"/>
              <w:rPr>
                <w:sz w:val="21"/>
              </w:rPr>
            </w:pPr>
            <w:r>
              <w:rPr>
                <w:spacing w:val="-3"/>
                <w:sz w:val="21"/>
              </w:rPr>
              <w:t xml:space="preserve">建立有 </w:t>
            </w:r>
            <w:r>
              <w:rPr>
                <w:rFonts w:ascii="Times New Roman" w:hAnsi="Times New Roman" w:eastAsia="Times New Roman"/>
                <w:sz w:val="21"/>
              </w:rPr>
              <w:t xml:space="preserve">GB/T24001 </w:t>
            </w:r>
            <w:r>
              <w:rPr>
                <w:spacing w:val="-11"/>
                <w:sz w:val="21"/>
              </w:rPr>
              <w:t>环</w:t>
            </w:r>
            <w:r>
              <w:rPr>
                <w:spacing w:val="-10"/>
                <w:w w:val="95"/>
                <w:sz w:val="21"/>
              </w:rPr>
              <w:t>境管理体系，并能有效</w:t>
            </w:r>
            <w:r>
              <w:rPr>
                <w:spacing w:val="-14"/>
                <w:sz w:val="21"/>
              </w:rPr>
              <w:t>运行；完成年度环境目</w:t>
            </w:r>
            <w:r>
              <w:rPr>
                <w:spacing w:val="-12"/>
                <w:w w:val="95"/>
                <w:sz w:val="21"/>
              </w:rPr>
              <w:t>标、指标和环境管理方</w:t>
            </w:r>
            <w:r>
              <w:rPr>
                <w:spacing w:val="7"/>
                <w:sz w:val="21"/>
              </w:rPr>
              <w:t>案</w:t>
            </w:r>
            <w:r>
              <w:rPr>
                <w:rFonts w:ascii="Times New Roman" w:hAnsi="Times New Roman" w:eastAsia="Times New Roman"/>
                <w:spacing w:val="2"/>
                <w:sz w:val="21"/>
              </w:rPr>
              <w:t>≥60%</w:t>
            </w:r>
            <w:r>
              <w:rPr>
                <w:spacing w:val="1"/>
                <w:sz w:val="21"/>
              </w:rPr>
              <w:t>，部分达到环</w:t>
            </w:r>
            <w:r>
              <w:rPr>
                <w:spacing w:val="-9"/>
                <w:sz w:val="21"/>
              </w:rPr>
              <w:t>境持续改进的要求；环</w:t>
            </w:r>
            <w:r>
              <w:rPr>
                <w:spacing w:val="-15"/>
                <w:w w:val="95"/>
                <w:sz w:val="21"/>
              </w:rPr>
              <w:t>境管理手册、程序文件</w:t>
            </w:r>
          </w:p>
          <w:p>
            <w:pPr>
              <w:pStyle w:val="14"/>
              <w:spacing w:before="3"/>
              <w:ind w:left="10"/>
              <w:jc w:val="left"/>
              <w:rPr>
                <w:sz w:val="21"/>
              </w:rPr>
            </w:pPr>
            <w:r>
              <w:rPr>
                <w:sz w:val="21"/>
              </w:rPr>
              <w:t>及作业文件齐备。</w:t>
            </w:r>
          </w:p>
        </w:tc>
        <w:tc>
          <w:tcPr>
            <w:tcW w:w="1165" w:type="dxa"/>
            <w:tcBorders>
              <w:top w:val="single" w:color="000000" w:sz="4" w:space="0"/>
              <w:left w:val="single" w:color="000000" w:sz="4" w:space="0"/>
            </w:tcBorders>
          </w:tcPr>
          <w:p>
            <w:pPr>
              <w:pStyle w:val="14"/>
              <w:spacing w:before="12"/>
              <w:ind w:left="22" w:right="5"/>
              <w:rPr>
                <w:sz w:val="21"/>
              </w:rPr>
            </w:pPr>
            <w:r>
              <w:rPr>
                <w:sz w:val="21"/>
              </w:rPr>
              <w:t>建立有</w:t>
            </w:r>
          </w:p>
          <w:p>
            <w:pPr>
              <w:pStyle w:val="14"/>
              <w:spacing w:before="57"/>
              <w:ind w:left="24" w:right="4"/>
              <w:rPr>
                <w:rFonts w:ascii="Times New Roman"/>
                <w:sz w:val="21"/>
              </w:rPr>
            </w:pPr>
            <w:r>
              <w:rPr>
                <w:rFonts w:ascii="Times New Roman"/>
                <w:sz w:val="21"/>
              </w:rPr>
              <w:t>GB/T24001</w:t>
            </w:r>
          </w:p>
          <w:p>
            <w:pPr>
              <w:pStyle w:val="14"/>
              <w:spacing w:before="49" w:line="290" w:lineRule="auto"/>
              <w:ind w:left="60" w:right="38"/>
              <w:jc w:val="both"/>
              <w:rPr>
                <w:sz w:val="21"/>
              </w:rPr>
            </w:pPr>
            <w:r>
              <w:rPr>
                <w:spacing w:val="-3"/>
                <w:sz w:val="21"/>
              </w:rPr>
              <w:t>环境管理体系，并能有效运行；完成年度环境目标、指标</w:t>
            </w:r>
            <w:r>
              <w:rPr>
                <w:spacing w:val="-3"/>
                <w:w w:val="95"/>
                <w:sz w:val="21"/>
              </w:rPr>
              <w:t>和环境管理</w:t>
            </w:r>
          </w:p>
        </w:tc>
      </w:tr>
    </w:tbl>
    <w:p>
      <w:pPr>
        <w:spacing w:after="0" w:line="290" w:lineRule="auto"/>
        <w:jc w:val="both"/>
        <w:rPr>
          <w:sz w:val="21"/>
        </w:rPr>
        <w:sectPr>
          <w:pgSz w:w="16840" w:h="11910" w:orient="landscape"/>
          <w:pgMar w:top="1100" w:right="1280" w:bottom="800" w:left="1280" w:header="0" w:footer="605" w:gutter="0"/>
        </w:sectPr>
      </w:pPr>
    </w:p>
    <w:p>
      <w:pPr>
        <w:pStyle w:val="6"/>
        <w:spacing w:before="1"/>
        <w:rPr>
          <w:rFonts w:ascii="Times New Roman"/>
          <w:sz w:val="27"/>
        </w:rPr>
      </w:pPr>
    </w:p>
    <w:tbl>
      <w:tblPr>
        <w:tblStyle w:val="10"/>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72"/>
        <w:gridCol w:w="1090"/>
        <w:gridCol w:w="1068"/>
        <w:gridCol w:w="1818"/>
        <w:gridCol w:w="835"/>
        <w:gridCol w:w="933"/>
        <w:gridCol w:w="2641"/>
        <w:gridCol w:w="1879"/>
        <w:gridCol w:w="2021"/>
        <w:gridCol w:w="11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572" w:type="dxa"/>
            <w:tcBorders>
              <w:bottom w:val="single" w:color="000000" w:sz="4" w:space="0"/>
              <w:right w:val="single" w:color="000000" w:sz="4" w:space="0"/>
            </w:tcBorders>
          </w:tcPr>
          <w:p>
            <w:pPr>
              <w:pStyle w:val="14"/>
              <w:spacing w:before="165"/>
              <w:ind w:left="56" w:right="41"/>
              <w:rPr>
                <w:sz w:val="21"/>
              </w:rPr>
            </w:pPr>
            <w:r>
              <w:rPr>
                <w:sz w:val="21"/>
              </w:rPr>
              <w:t>序号</w:t>
            </w:r>
          </w:p>
        </w:tc>
        <w:tc>
          <w:tcPr>
            <w:tcW w:w="1090" w:type="dxa"/>
            <w:tcBorders>
              <w:left w:val="single" w:color="000000" w:sz="4" w:space="0"/>
              <w:bottom w:val="single" w:color="000000" w:sz="4" w:space="0"/>
              <w:right w:val="single" w:color="000000" w:sz="4" w:space="0"/>
            </w:tcBorders>
          </w:tcPr>
          <w:p>
            <w:pPr>
              <w:pStyle w:val="14"/>
              <w:spacing w:before="2"/>
              <w:ind w:left="16"/>
              <w:rPr>
                <w:sz w:val="21"/>
              </w:rPr>
            </w:pPr>
            <w:r>
              <w:rPr>
                <w:sz w:val="21"/>
              </w:rPr>
              <w:t>一级指标指</w:t>
            </w:r>
          </w:p>
          <w:p>
            <w:pPr>
              <w:pStyle w:val="14"/>
              <w:spacing w:before="55"/>
              <w:ind w:left="18"/>
              <w:rPr>
                <w:sz w:val="21"/>
              </w:rPr>
            </w:pPr>
            <w:r>
              <w:rPr>
                <w:sz w:val="21"/>
              </w:rPr>
              <w:t>标项</w:t>
            </w:r>
          </w:p>
        </w:tc>
        <w:tc>
          <w:tcPr>
            <w:tcW w:w="1068" w:type="dxa"/>
            <w:tcBorders>
              <w:left w:val="single" w:color="000000" w:sz="4" w:space="0"/>
              <w:bottom w:val="single" w:color="000000" w:sz="4" w:space="0"/>
              <w:right w:val="single" w:color="000000" w:sz="4" w:space="0"/>
            </w:tcBorders>
          </w:tcPr>
          <w:p>
            <w:pPr>
              <w:pStyle w:val="14"/>
              <w:spacing w:before="2"/>
              <w:ind w:left="13" w:right="-15"/>
              <w:rPr>
                <w:sz w:val="21"/>
              </w:rPr>
            </w:pPr>
            <w:r>
              <w:rPr>
                <w:sz w:val="21"/>
              </w:rPr>
              <w:t>一级指标权</w:t>
            </w:r>
          </w:p>
          <w:p>
            <w:pPr>
              <w:pStyle w:val="14"/>
              <w:spacing w:before="55"/>
              <w:ind w:left="306" w:right="290"/>
              <w:rPr>
                <w:sz w:val="21"/>
              </w:rPr>
            </w:pPr>
            <w:r>
              <w:rPr>
                <w:sz w:val="21"/>
              </w:rPr>
              <w:t>重值</w:t>
            </w:r>
          </w:p>
        </w:tc>
        <w:tc>
          <w:tcPr>
            <w:tcW w:w="1818" w:type="dxa"/>
            <w:tcBorders>
              <w:left w:val="single" w:color="000000" w:sz="4" w:space="0"/>
              <w:bottom w:val="single" w:color="000000" w:sz="4" w:space="0"/>
              <w:right w:val="single" w:color="000000" w:sz="4" w:space="0"/>
            </w:tcBorders>
          </w:tcPr>
          <w:p>
            <w:pPr>
              <w:pStyle w:val="14"/>
              <w:spacing w:before="165"/>
              <w:ind w:left="43" w:right="24"/>
              <w:rPr>
                <w:sz w:val="21"/>
              </w:rPr>
            </w:pPr>
            <w:r>
              <w:rPr>
                <w:sz w:val="21"/>
              </w:rPr>
              <w:t>二级指标指标项</w:t>
            </w:r>
          </w:p>
        </w:tc>
        <w:tc>
          <w:tcPr>
            <w:tcW w:w="835" w:type="dxa"/>
            <w:tcBorders>
              <w:left w:val="single" w:color="000000" w:sz="4" w:space="0"/>
              <w:bottom w:val="single" w:color="000000" w:sz="4" w:space="0"/>
              <w:right w:val="single" w:color="000000" w:sz="4" w:space="0"/>
            </w:tcBorders>
          </w:tcPr>
          <w:p>
            <w:pPr>
              <w:pStyle w:val="14"/>
              <w:spacing w:before="165"/>
              <w:ind w:left="190" w:right="174"/>
              <w:rPr>
                <w:sz w:val="21"/>
              </w:rPr>
            </w:pPr>
            <w:r>
              <w:rPr>
                <w:sz w:val="21"/>
              </w:rPr>
              <w:t>单位</w:t>
            </w:r>
          </w:p>
        </w:tc>
        <w:tc>
          <w:tcPr>
            <w:tcW w:w="933" w:type="dxa"/>
            <w:tcBorders>
              <w:left w:val="single" w:color="000000" w:sz="4" w:space="0"/>
              <w:bottom w:val="single" w:color="000000" w:sz="4" w:space="0"/>
              <w:right w:val="single" w:color="000000" w:sz="4" w:space="0"/>
            </w:tcBorders>
          </w:tcPr>
          <w:p>
            <w:pPr>
              <w:pStyle w:val="14"/>
              <w:spacing w:before="2"/>
              <w:ind w:left="51"/>
              <w:jc w:val="left"/>
              <w:rPr>
                <w:sz w:val="21"/>
              </w:rPr>
            </w:pPr>
            <w:r>
              <w:rPr>
                <w:w w:val="95"/>
                <w:sz w:val="21"/>
              </w:rPr>
              <w:t>二级指标</w:t>
            </w:r>
          </w:p>
          <w:p>
            <w:pPr>
              <w:pStyle w:val="14"/>
              <w:spacing w:before="55"/>
              <w:ind w:left="51"/>
              <w:jc w:val="left"/>
              <w:rPr>
                <w:sz w:val="21"/>
              </w:rPr>
            </w:pPr>
            <w:r>
              <w:rPr>
                <w:w w:val="95"/>
                <w:sz w:val="21"/>
              </w:rPr>
              <w:t>分权重值</w:t>
            </w:r>
          </w:p>
        </w:tc>
        <w:tc>
          <w:tcPr>
            <w:tcW w:w="2641" w:type="dxa"/>
            <w:tcBorders>
              <w:left w:val="single" w:color="000000" w:sz="4" w:space="0"/>
              <w:bottom w:val="single" w:color="000000" w:sz="4" w:space="0"/>
              <w:right w:val="single" w:color="000000" w:sz="4" w:space="0"/>
            </w:tcBorders>
          </w:tcPr>
          <w:p>
            <w:pPr>
              <w:pStyle w:val="14"/>
              <w:spacing w:before="165"/>
              <w:ind w:left="800"/>
              <w:jc w:val="left"/>
              <w:rPr>
                <w:sz w:val="21"/>
              </w:rPr>
            </w:pPr>
            <w:r>
              <w:rPr>
                <w:sz w:val="21"/>
              </w:rPr>
              <w:t>Ⅰ级基准值</w:t>
            </w:r>
          </w:p>
        </w:tc>
        <w:tc>
          <w:tcPr>
            <w:tcW w:w="1879" w:type="dxa"/>
            <w:tcBorders>
              <w:left w:val="single" w:color="000000" w:sz="4" w:space="0"/>
              <w:bottom w:val="single" w:color="000000" w:sz="4" w:space="0"/>
              <w:right w:val="single" w:color="000000" w:sz="4" w:space="0"/>
            </w:tcBorders>
          </w:tcPr>
          <w:p>
            <w:pPr>
              <w:pStyle w:val="14"/>
              <w:spacing w:before="165"/>
              <w:ind w:left="417"/>
              <w:jc w:val="left"/>
              <w:rPr>
                <w:sz w:val="21"/>
              </w:rPr>
            </w:pPr>
            <w:r>
              <w:rPr>
                <w:sz w:val="21"/>
              </w:rPr>
              <w:t>Ⅱ级基准值</w:t>
            </w:r>
          </w:p>
        </w:tc>
        <w:tc>
          <w:tcPr>
            <w:tcW w:w="2021" w:type="dxa"/>
            <w:tcBorders>
              <w:left w:val="single" w:color="000000" w:sz="4" w:space="0"/>
              <w:bottom w:val="single" w:color="000000" w:sz="4" w:space="0"/>
              <w:right w:val="single" w:color="000000" w:sz="4" w:space="0"/>
            </w:tcBorders>
          </w:tcPr>
          <w:p>
            <w:pPr>
              <w:pStyle w:val="14"/>
              <w:spacing w:before="165"/>
              <w:ind w:left="490"/>
              <w:jc w:val="left"/>
              <w:rPr>
                <w:sz w:val="21"/>
              </w:rPr>
            </w:pPr>
            <w:r>
              <w:rPr>
                <w:sz w:val="21"/>
              </w:rPr>
              <w:t>Ⅲ级基准值</w:t>
            </w:r>
          </w:p>
        </w:tc>
        <w:tc>
          <w:tcPr>
            <w:tcW w:w="1165" w:type="dxa"/>
            <w:tcBorders>
              <w:left w:val="single" w:color="000000" w:sz="4" w:space="0"/>
              <w:bottom w:val="single" w:color="000000" w:sz="4" w:space="0"/>
            </w:tcBorders>
          </w:tcPr>
          <w:p>
            <w:pPr>
              <w:pStyle w:val="14"/>
              <w:spacing w:before="2"/>
              <w:ind w:left="22" w:right="5"/>
              <w:rPr>
                <w:sz w:val="21"/>
              </w:rPr>
            </w:pPr>
            <w:r>
              <w:rPr>
                <w:sz w:val="21"/>
              </w:rPr>
              <w:t>本煤矿扩建</w:t>
            </w:r>
          </w:p>
          <w:p>
            <w:pPr>
              <w:pStyle w:val="14"/>
              <w:spacing w:before="55"/>
              <w:ind w:left="19"/>
              <w:rPr>
                <w:sz w:val="21"/>
              </w:rPr>
            </w:pPr>
            <w:r>
              <w:rPr>
                <w:w w:val="99"/>
                <w:sz w:val="21"/>
              </w:rPr>
              <w:t>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08" w:hRule="atLeast"/>
        </w:trPr>
        <w:tc>
          <w:tcPr>
            <w:tcW w:w="572" w:type="dxa"/>
            <w:tcBorders>
              <w:top w:val="single" w:color="000000" w:sz="4" w:space="0"/>
              <w:bottom w:val="single" w:color="000000" w:sz="4" w:space="0"/>
              <w:right w:val="single" w:color="000000" w:sz="4" w:space="0"/>
            </w:tcBorders>
          </w:tcPr>
          <w:p>
            <w:pPr>
              <w:pStyle w:val="14"/>
              <w:jc w:val="left"/>
              <w:rPr>
                <w:rFonts w:ascii="Times New Roman"/>
                <w:sz w:val="20"/>
              </w:rPr>
            </w:pPr>
          </w:p>
        </w:tc>
        <w:tc>
          <w:tcPr>
            <w:tcW w:w="1090" w:type="dxa"/>
            <w:vMerge w:val="restart"/>
            <w:tcBorders>
              <w:top w:val="single" w:color="000000" w:sz="4" w:space="0"/>
              <w:left w:val="single" w:color="000000" w:sz="4" w:space="0"/>
              <w:right w:val="single" w:color="000000" w:sz="4" w:space="0"/>
            </w:tcBorders>
          </w:tcPr>
          <w:p>
            <w:pPr>
              <w:pStyle w:val="14"/>
              <w:jc w:val="left"/>
              <w:rPr>
                <w:rFonts w:ascii="Times New Roman"/>
                <w:sz w:val="20"/>
              </w:rPr>
            </w:pPr>
          </w:p>
        </w:tc>
        <w:tc>
          <w:tcPr>
            <w:tcW w:w="1068" w:type="dxa"/>
            <w:vMerge w:val="restart"/>
            <w:tcBorders>
              <w:top w:val="single" w:color="000000" w:sz="4" w:space="0"/>
              <w:left w:val="single" w:color="000000" w:sz="4" w:space="0"/>
              <w:right w:val="single" w:color="000000" w:sz="4" w:space="0"/>
            </w:tcBorders>
          </w:tcPr>
          <w:p>
            <w:pPr>
              <w:pStyle w:val="14"/>
              <w:jc w:val="left"/>
              <w:rPr>
                <w:rFonts w:ascii="Times New Roman"/>
                <w:sz w:val="20"/>
              </w:rPr>
            </w:pPr>
          </w:p>
        </w:tc>
        <w:tc>
          <w:tcPr>
            <w:tcW w:w="1818"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835"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933"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264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879" w:type="dxa"/>
            <w:tcBorders>
              <w:top w:val="single" w:color="000000" w:sz="4" w:space="0"/>
              <w:left w:val="single" w:color="000000" w:sz="4" w:space="0"/>
              <w:bottom w:val="single" w:color="000000" w:sz="4" w:space="0"/>
              <w:right w:val="single" w:color="000000" w:sz="4" w:space="0"/>
            </w:tcBorders>
          </w:tcPr>
          <w:p>
            <w:pPr>
              <w:pStyle w:val="14"/>
              <w:ind w:left="9"/>
              <w:jc w:val="left"/>
              <w:rPr>
                <w:sz w:val="21"/>
              </w:rPr>
            </w:pPr>
            <w:r>
              <w:rPr>
                <w:sz w:val="21"/>
              </w:rPr>
              <w:t>文件齐备、有效。</w:t>
            </w:r>
          </w:p>
        </w:tc>
        <w:tc>
          <w:tcPr>
            <w:tcW w:w="202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165" w:type="dxa"/>
            <w:tcBorders>
              <w:top w:val="single" w:color="000000" w:sz="4" w:space="0"/>
              <w:left w:val="single" w:color="000000" w:sz="4" w:space="0"/>
              <w:bottom w:val="single" w:color="000000" w:sz="4" w:space="0"/>
            </w:tcBorders>
          </w:tcPr>
          <w:p>
            <w:pPr>
              <w:pStyle w:val="14"/>
              <w:spacing w:line="290" w:lineRule="auto"/>
              <w:ind w:left="60" w:hanging="41"/>
              <w:jc w:val="both"/>
              <w:rPr>
                <w:sz w:val="21"/>
              </w:rPr>
            </w:pPr>
            <w:r>
              <w:rPr>
                <w:sz w:val="21"/>
              </w:rPr>
              <w:t>方案</w:t>
            </w:r>
            <w:r>
              <w:rPr>
                <w:rFonts w:ascii="Times New Roman" w:hAnsi="Times New Roman" w:eastAsia="Times New Roman"/>
                <w:sz w:val="21"/>
              </w:rPr>
              <w:t>≥80%</w:t>
            </w:r>
            <w:r>
              <w:rPr>
                <w:sz w:val="21"/>
              </w:rPr>
              <w:t>， 达到环境持续改进的要求；环境管理手册、程序文件及作业文件齐</w:t>
            </w:r>
          </w:p>
          <w:p>
            <w:pPr>
              <w:pStyle w:val="14"/>
              <w:spacing w:before="8"/>
              <w:ind w:left="60"/>
              <w:jc w:val="left"/>
              <w:rPr>
                <w:sz w:val="21"/>
              </w:rPr>
            </w:pPr>
            <w:r>
              <w:rPr>
                <w:sz w:val="21"/>
              </w:rPr>
              <w:t>备、有效。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8" w:hRule="atLeast"/>
        </w:trPr>
        <w:tc>
          <w:tcPr>
            <w:tcW w:w="572" w:type="dxa"/>
            <w:tcBorders>
              <w:top w:val="single" w:color="000000" w:sz="4" w:space="0"/>
              <w:bottom w:val="single" w:color="000000" w:sz="4" w:space="0"/>
              <w:right w:val="single" w:color="000000" w:sz="4" w:space="0"/>
            </w:tcBorders>
          </w:tcPr>
          <w:p>
            <w:pPr>
              <w:pStyle w:val="14"/>
              <w:jc w:val="left"/>
              <w:rPr>
                <w:rFonts w:ascii="Times New Roman"/>
                <w:sz w:val="22"/>
              </w:rPr>
            </w:pPr>
          </w:p>
          <w:p>
            <w:pPr>
              <w:pStyle w:val="14"/>
              <w:jc w:val="left"/>
              <w:rPr>
                <w:rFonts w:ascii="Times New Roman"/>
                <w:sz w:val="22"/>
              </w:rPr>
            </w:pPr>
          </w:p>
          <w:p>
            <w:pPr>
              <w:pStyle w:val="14"/>
              <w:jc w:val="left"/>
              <w:rPr>
                <w:rFonts w:ascii="Times New Roman"/>
                <w:sz w:val="22"/>
              </w:rPr>
            </w:pPr>
          </w:p>
          <w:p>
            <w:pPr>
              <w:pStyle w:val="14"/>
              <w:jc w:val="left"/>
              <w:rPr>
                <w:rFonts w:ascii="Times New Roman"/>
                <w:sz w:val="22"/>
              </w:rPr>
            </w:pPr>
          </w:p>
          <w:p>
            <w:pPr>
              <w:pStyle w:val="14"/>
              <w:jc w:val="left"/>
              <w:rPr>
                <w:rFonts w:ascii="Times New Roman"/>
                <w:sz w:val="22"/>
              </w:rPr>
            </w:pPr>
          </w:p>
          <w:p>
            <w:pPr>
              <w:pStyle w:val="14"/>
              <w:spacing w:before="1"/>
              <w:jc w:val="left"/>
              <w:rPr>
                <w:rFonts w:ascii="Times New Roman"/>
                <w:sz w:val="19"/>
              </w:rPr>
            </w:pPr>
          </w:p>
          <w:p>
            <w:pPr>
              <w:pStyle w:val="14"/>
              <w:ind w:left="56" w:right="38"/>
              <w:rPr>
                <w:rFonts w:ascii="Times New Roman"/>
                <w:sz w:val="21"/>
              </w:rPr>
            </w:pPr>
            <w:r>
              <w:rPr>
                <w:rFonts w:ascii="Times New Roman"/>
                <w:sz w:val="21"/>
              </w:rPr>
              <w:t>34</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spacing w:before="152" w:line="290" w:lineRule="auto"/>
              <w:ind w:left="599" w:right="54" w:hanging="526"/>
              <w:jc w:val="left"/>
              <w:rPr>
                <w:sz w:val="21"/>
              </w:rPr>
            </w:pPr>
            <w:r>
              <w:rPr>
                <w:sz w:val="21"/>
              </w:rPr>
              <w:t>管理机构及环境管理制度</w:t>
            </w:r>
          </w:p>
        </w:tc>
        <w:tc>
          <w:tcPr>
            <w:tcW w:w="835"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spacing w:before="5"/>
              <w:jc w:val="left"/>
              <w:rPr>
                <w:rFonts w:ascii="Times New Roman"/>
                <w:sz w:val="27"/>
              </w:rPr>
            </w:pPr>
          </w:p>
          <w:p>
            <w:pPr>
              <w:pStyle w:val="14"/>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2"/>
              </w:rPr>
            </w:pPr>
          </w:p>
          <w:p>
            <w:pPr>
              <w:pStyle w:val="14"/>
              <w:jc w:val="left"/>
              <w:rPr>
                <w:rFonts w:ascii="Times New Roman"/>
                <w:sz w:val="22"/>
              </w:rPr>
            </w:pPr>
          </w:p>
          <w:p>
            <w:pPr>
              <w:pStyle w:val="14"/>
              <w:jc w:val="left"/>
              <w:rPr>
                <w:rFonts w:ascii="Times New Roman"/>
                <w:sz w:val="22"/>
              </w:rPr>
            </w:pPr>
          </w:p>
          <w:p>
            <w:pPr>
              <w:pStyle w:val="14"/>
              <w:jc w:val="left"/>
              <w:rPr>
                <w:rFonts w:ascii="Times New Roman"/>
                <w:sz w:val="22"/>
              </w:rPr>
            </w:pPr>
          </w:p>
          <w:p>
            <w:pPr>
              <w:pStyle w:val="14"/>
              <w:jc w:val="left"/>
              <w:rPr>
                <w:rFonts w:ascii="Times New Roman"/>
                <w:sz w:val="22"/>
              </w:rPr>
            </w:pPr>
          </w:p>
          <w:p>
            <w:pPr>
              <w:pStyle w:val="14"/>
              <w:spacing w:before="1"/>
              <w:jc w:val="left"/>
              <w:rPr>
                <w:rFonts w:ascii="Times New Roman"/>
                <w:sz w:val="19"/>
              </w:rPr>
            </w:pPr>
          </w:p>
          <w:p>
            <w:pPr>
              <w:pStyle w:val="14"/>
              <w:ind w:left="339"/>
              <w:jc w:val="left"/>
              <w:rPr>
                <w:rFonts w:ascii="Times New Roman"/>
                <w:sz w:val="21"/>
              </w:rPr>
            </w:pPr>
            <w:r>
              <w:rPr>
                <w:rFonts w:ascii="Times New Roman"/>
                <w:sz w:val="21"/>
              </w:rPr>
              <w:t>0.1</w:t>
            </w:r>
          </w:p>
        </w:tc>
        <w:tc>
          <w:tcPr>
            <w:tcW w:w="4520" w:type="dxa"/>
            <w:gridSpan w:val="2"/>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jc w:val="left"/>
              <w:rPr>
                <w:rFonts w:ascii="Times New Roman"/>
                <w:sz w:val="19"/>
              </w:rPr>
            </w:pPr>
          </w:p>
          <w:p>
            <w:pPr>
              <w:pStyle w:val="14"/>
              <w:spacing w:before="1" w:line="290" w:lineRule="auto"/>
              <w:ind w:left="8" w:right="-15"/>
              <w:jc w:val="both"/>
              <w:rPr>
                <w:sz w:val="21"/>
              </w:rPr>
            </w:pPr>
            <w:r>
              <w:rPr>
                <w:spacing w:val="3"/>
                <w:w w:val="95"/>
                <w:sz w:val="21"/>
              </w:rPr>
              <w:t xml:space="preserve">设有独立的节能环保管理职能部门，配有专职管 理人员，环境管理制度健全、完善，并纳入日常 </w:t>
            </w:r>
            <w:r>
              <w:rPr>
                <w:spacing w:val="3"/>
                <w:sz w:val="21"/>
              </w:rPr>
              <w:t>管理</w:t>
            </w:r>
          </w:p>
        </w:tc>
        <w:tc>
          <w:tcPr>
            <w:tcW w:w="202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spacing w:before="10"/>
              <w:jc w:val="left"/>
              <w:rPr>
                <w:rFonts w:ascii="Times New Roman"/>
                <w:sz w:val="24"/>
              </w:rPr>
            </w:pPr>
          </w:p>
          <w:p>
            <w:pPr>
              <w:pStyle w:val="14"/>
              <w:spacing w:line="290" w:lineRule="auto"/>
              <w:ind w:left="10" w:right="-15"/>
              <w:jc w:val="both"/>
              <w:rPr>
                <w:sz w:val="21"/>
              </w:rPr>
            </w:pPr>
            <w:r>
              <w:rPr>
                <w:spacing w:val="12"/>
                <w:w w:val="95"/>
                <w:sz w:val="21"/>
              </w:rPr>
              <w:t>有明确的节能环保管</w:t>
            </w:r>
            <w:r>
              <w:rPr>
                <w:spacing w:val="-3"/>
                <w:sz w:val="21"/>
              </w:rPr>
              <w:t>理部门和人员，环境管</w:t>
            </w:r>
            <w:r>
              <w:rPr>
                <w:spacing w:val="-12"/>
                <w:sz w:val="21"/>
              </w:rPr>
              <w:t>理制度较完善，并纳入日常管理</w:t>
            </w:r>
          </w:p>
        </w:tc>
        <w:tc>
          <w:tcPr>
            <w:tcW w:w="1165" w:type="dxa"/>
            <w:tcBorders>
              <w:top w:val="single" w:color="000000" w:sz="4" w:space="0"/>
              <w:left w:val="single" w:color="000000" w:sz="4" w:space="0"/>
              <w:bottom w:val="single" w:color="000000" w:sz="4" w:space="0"/>
            </w:tcBorders>
          </w:tcPr>
          <w:p>
            <w:pPr>
              <w:pStyle w:val="14"/>
              <w:spacing w:line="290" w:lineRule="auto"/>
              <w:ind w:left="60" w:right="38"/>
              <w:rPr>
                <w:sz w:val="21"/>
              </w:rPr>
            </w:pPr>
            <w:r>
              <w:rPr>
                <w:spacing w:val="-3"/>
                <w:sz w:val="21"/>
              </w:rPr>
              <w:t>设有独立的节能环保管</w:t>
            </w:r>
            <w:r>
              <w:rPr>
                <w:sz w:val="21"/>
              </w:rPr>
              <w:t xml:space="preserve">理职能部 </w:t>
            </w:r>
            <w:r>
              <w:rPr>
                <w:spacing w:val="-3"/>
                <w:sz w:val="21"/>
              </w:rPr>
              <w:t>门，配有专</w:t>
            </w:r>
            <w:r>
              <w:rPr>
                <w:sz w:val="21"/>
              </w:rPr>
              <w:t xml:space="preserve">职管理人 </w:t>
            </w:r>
            <w:r>
              <w:rPr>
                <w:spacing w:val="-3"/>
                <w:sz w:val="21"/>
              </w:rPr>
              <w:t>员，环境管</w:t>
            </w:r>
            <w:r>
              <w:rPr>
                <w:sz w:val="21"/>
              </w:rPr>
              <w:t xml:space="preserve">理制度健 </w:t>
            </w:r>
            <w:r>
              <w:rPr>
                <w:spacing w:val="-3"/>
                <w:sz w:val="21"/>
              </w:rPr>
              <w:t>全、完善， 并纳入日常</w:t>
            </w:r>
          </w:p>
          <w:p>
            <w:pPr>
              <w:pStyle w:val="14"/>
              <w:spacing w:before="7"/>
              <w:ind w:left="22" w:right="5"/>
              <w:rPr>
                <w:sz w:val="21"/>
              </w:rPr>
            </w:pPr>
            <w:r>
              <w:rPr>
                <w:sz w:val="21"/>
              </w:rPr>
              <w:t>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572" w:type="dxa"/>
            <w:tcBorders>
              <w:top w:val="single" w:color="000000" w:sz="4" w:space="0"/>
              <w:bottom w:val="single" w:color="000000" w:sz="4" w:space="0"/>
              <w:right w:val="single" w:color="000000" w:sz="4" w:space="0"/>
            </w:tcBorders>
          </w:tcPr>
          <w:p>
            <w:pPr>
              <w:pStyle w:val="14"/>
              <w:spacing w:before="21"/>
              <w:ind w:left="56" w:right="38"/>
              <w:rPr>
                <w:rFonts w:ascii="Times New Roman"/>
                <w:sz w:val="21"/>
              </w:rPr>
            </w:pPr>
            <w:r>
              <w:rPr>
                <w:rFonts w:ascii="Times New Roman"/>
                <w:sz w:val="21"/>
              </w:rPr>
              <w:t>35</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bottom w:val="single" w:color="000000" w:sz="4" w:space="0"/>
              <w:right w:val="single" w:color="000000" w:sz="4" w:space="0"/>
            </w:tcBorders>
          </w:tcPr>
          <w:p>
            <w:pPr>
              <w:pStyle w:val="14"/>
              <w:spacing w:before="2"/>
              <w:ind w:left="41" w:right="24"/>
              <w:rPr>
                <w:sz w:val="21"/>
              </w:rPr>
            </w:pPr>
            <w:r>
              <w:rPr>
                <w:rFonts w:ascii="Times New Roman" w:eastAsia="Times New Roman"/>
                <w:w w:val="95"/>
                <w:sz w:val="21"/>
              </w:rPr>
              <w:t>*</w:t>
            </w:r>
            <w:r>
              <w:rPr>
                <w:w w:val="95"/>
                <w:sz w:val="21"/>
              </w:rPr>
              <w:t>排污口规范化管理</w:t>
            </w:r>
          </w:p>
        </w:tc>
        <w:tc>
          <w:tcPr>
            <w:tcW w:w="835" w:type="dxa"/>
            <w:tcBorders>
              <w:top w:val="single" w:color="000000" w:sz="4" w:space="0"/>
              <w:left w:val="single" w:color="000000" w:sz="4" w:space="0"/>
              <w:bottom w:val="single" w:color="000000" w:sz="4" w:space="0"/>
              <w:right w:val="single" w:color="000000" w:sz="4" w:space="0"/>
            </w:tcBorders>
          </w:tcPr>
          <w:p>
            <w:pPr>
              <w:pStyle w:val="14"/>
              <w:spacing w:before="2"/>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4"/>
              <w:spacing w:before="21"/>
              <w:ind w:left="339"/>
              <w:jc w:val="left"/>
              <w:rPr>
                <w:rFonts w:ascii="Times New Roman"/>
                <w:sz w:val="21"/>
              </w:rPr>
            </w:pPr>
            <w:r>
              <w:rPr>
                <w:rFonts w:ascii="Times New Roman"/>
                <w:sz w:val="21"/>
              </w:rPr>
              <w:t>0.1</w:t>
            </w:r>
          </w:p>
        </w:tc>
        <w:tc>
          <w:tcPr>
            <w:tcW w:w="6541" w:type="dxa"/>
            <w:gridSpan w:val="3"/>
            <w:tcBorders>
              <w:top w:val="single" w:color="000000" w:sz="4" w:space="0"/>
              <w:left w:val="single" w:color="000000" w:sz="4" w:space="0"/>
              <w:bottom w:val="single" w:color="000000" w:sz="4" w:space="0"/>
              <w:right w:val="single" w:color="000000" w:sz="4" w:space="0"/>
            </w:tcBorders>
          </w:tcPr>
          <w:p>
            <w:pPr>
              <w:pStyle w:val="14"/>
              <w:spacing w:before="2"/>
              <w:ind w:left="8"/>
              <w:jc w:val="left"/>
              <w:rPr>
                <w:sz w:val="21"/>
              </w:rPr>
            </w:pPr>
            <w:r>
              <w:rPr>
                <w:sz w:val="21"/>
              </w:rPr>
              <w:t>排污口设置符合《排污口规范化整治技术要求（试行）》相关要求</w:t>
            </w:r>
          </w:p>
        </w:tc>
        <w:tc>
          <w:tcPr>
            <w:tcW w:w="1165" w:type="dxa"/>
            <w:tcBorders>
              <w:top w:val="single" w:color="000000" w:sz="4" w:space="0"/>
              <w:left w:val="single" w:color="000000" w:sz="4" w:space="0"/>
              <w:bottom w:val="single" w:color="000000" w:sz="4" w:space="0"/>
            </w:tcBorders>
          </w:tcPr>
          <w:p>
            <w:pPr>
              <w:pStyle w:val="14"/>
              <w:spacing w:before="2"/>
              <w:ind w:left="163"/>
              <w:jc w:val="left"/>
              <w:rPr>
                <w:sz w:val="21"/>
              </w:rPr>
            </w:pPr>
            <w:r>
              <w:rPr>
                <w:sz w:val="21"/>
              </w:rPr>
              <w:t>符合要求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53" w:hRule="atLeast"/>
        </w:trPr>
        <w:tc>
          <w:tcPr>
            <w:tcW w:w="572" w:type="dxa"/>
            <w:tcBorders>
              <w:top w:val="single" w:color="000000" w:sz="4" w:space="0"/>
              <w:right w:val="single" w:color="000000" w:sz="4" w:space="0"/>
            </w:tcBorders>
          </w:tcPr>
          <w:p>
            <w:pPr>
              <w:pStyle w:val="14"/>
              <w:jc w:val="left"/>
              <w:rPr>
                <w:rFonts w:ascii="Times New Roman"/>
                <w:sz w:val="22"/>
              </w:rPr>
            </w:pPr>
          </w:p>
          <w:p>
            <w:pPr>
              <w:pStyle w:val="14"/>
              <w:jc w:val="left"/>
              <w:rPr>
                <w:rFonts w:ascii="Times New Roman"/>
                <w:sz w:val="22"/>
              </w:rPr>
            </w:pPr>
          </w:p>
          <w:p>
            <w:pPr>
              <w:pStyle w:val="14"/>
              <w:spacing w:before="2"/>
              <w:jc w:val="left"/>
              <w:rPr>
                <w:rFonts w:ascii="Times New Roman"/>
                <w:sz w:val="28"/>
              </w:rPr>
            </w:pPr>
          </w:p>
          <w:p>
            <w:pPr>
              <w:pStyle w:val="14"/>
              <w:ind w:left="56" w:right="38"/>
              <w:rPr>
                <w:rFonts w:ascii="Times New Roman"/>
                <w:sz w:val="21"/>
              </w:rPr>
            </w:pPr>
            <w:r>
              <w:rPr>
                <w:rFonts w:ascii="Times New Roman"/>
                <w:sz w:val="21"/>
              </w:rPr>
              <w:t>36</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right w:val="single" w:color="000000" w:sz="4" w:space="0"/>
            </w:tcBorders>
          </w:tcPr>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spacing w:before="121"/>
              <w:ind w:left="41" w:right="24"/>
              <w:rPr>
                <w:sz w:val="21"/>
              </w:rPr>
            </w:pPr>
            <w:r>
              <w:rPr>
                <w:sz w:val="21"/>
              </w:rPr>
              <w:t>生态环境管理规划</w:t>
            </w:r>
          </w:p>
        </w:tc>
        <w:tc>
          <w:tcPr>
            <w:tcW w:w="835" w:type="dxa"/>
            <w:tcBorders>
              <w:top w:val="single" w:color="000000" w:sz="4" w:space="0"/>
              <w:left w:val="single" w:color="000000" w:sz="4" w:space="0"/>
              <w:right w:val="single" w:color="000000" w:sz="4" w:space="0"/>
            </w:tcBorders>
          </w:tcPr>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spacing w:before="121"/>
              <w:ind w:left="18"/>
              <w:rPr>
                <w:sz w:val="21"/>
              </w:rPr>
            </w:pPr>
            <w:r>
              <w:rPr>
                <w:w w:val="99"/>
                <w:sz w:val="21"/>
              </w:rPr>
              <w:t>━</w:t>
            </w:r>
          </w:p>
        </w:tc>
        <w:tc>
          <w:tcPr>
            <w:tcW w:w="933" w:type="dxa"/>
            <w:tcBorders>
              <w:top w:val="single" w:color="000000" w:sz="4" w:space="0"/>
              <w:left w:val="single" w:color="000000" w:sz="4" w:space="0"/>
              <w:right w:val="single" w:color="000000" w:sz="4" w:space="0"/>
            </w:tcBorders>
          </w:tcPr>
          <w:p>
            <w:pPr>
              <w:pStyle w:val="14"/>
              <w:jc w:val="left"/>
              <w:rPr>
                <w:rFonts w:ascii="Times New Roman"/>
                <w:sz w:val="22"/>
              </w:rPr>
            </w:pPr>
          </w:p>
          <w:p>
            <w:pPr>
              <w:pStyle w:val="14"/>
              <w:jc w:val="left"/>
              <w:rPr>
                <w:rFonts w:ascii="Times New Roman"/>
                <w:sz w:val="22"/>
              </w:rPr>
            </w:pPr>
          </w:p>
          <w:p>
            <w:pPr>
              <w:pStyle w:val="14"/>
              <w:spacing w:before="2"/>
              <w:jc w:val="left"/>
              <w:rPr>
                <w:rFonts w:ascii="Times New Roman"/>
                <w:sz w:val="28"/>
              </w:rPr>
            </w:pPr>
          </w:p>
          <w:p>
            <w:pPr>
              <w:pStyle w:val="14"/>
              <w:ind w:left="339"/>
              <w:jc w:val="left"/>
              <w:rPr>
                <w:rFonts w:ascii="Times New Roman"/>
                <w:sz w:val="21"/>
              </w:rPr>
            </w:pPr>
            <w:r>
              <w:rPr>
                <w:rFonts w:ascii="Times New Roman"/>
                <w:sz w:val="21"/>
              </w:rPr>
              <w:t>0.1</w:t>
            </w:r>
          </w:p>
        </w:tc>
        <w:tc>
          <w:tcPr>
            <w:tcW w:w="2641" w:type="dxa"/>
            <w:tcBorders>
              <w:top w:val="single" w:color="000000" w:sz="4" w:space="0"/>
              <w:left w:val="single" w:color="000000" w:sz="4" w:space="0"/>
              <w:right w:val="single" w:color="000000" w:sz="4" w:space="0"/>
            </w:tcBorders>
          </w:tcPr>
          <w:p>
            <w:pPr>
              <w:pStyle w:val="14"/>
              <w:spacing w:line="292" w:lineRule="auto"/>
              <w:ind w:left="8" w:right="-29"/>
              <w:jc w:val="both"/>
              <w:rPr>
                <w:sz w:val="21"/>
              </w:rPr>
            </w:pPr>
            <w:r>
              <w:rPr>
                <w:spacing w:val="8"/>
                <w:sz w:val="21"/>
              </w:rPr>
              <w:t>制定有完整的矿区生产期和服务期满时的矿山生态环境</w:t>
            </w:r>
            <w:r>
              <w:rPr>
                <w:spacing w:val="-8"/>
                <w:sz w:val="21"/>
              </w:rPr>
              <w:t>修复计划、合理可行的节能环</w:t>
            </w:r>
            <w:r>
              <w:rPr>
                <w:spacing w:val="-26"/>
                <w:sz w:val="21"/>
              </w:rPr>
              <w:t>保近、远期规划，包括煤矸石、</w:t>
            </w:r>
            <w:r>
              <w:rPr>
                <w:spacing w:val="-11"/>
                <w:w w:val="95"/>
                <w:sz w:val="21"/>
              </w:rPr>
              <w:t>煤泥、矿井水、瓦斯气处置及</w:t>
            </w:r>
          </w:p>
          <w:p>
            <w:pPr>
              <w:pStyle w:val="14"/>
              <w:spacing w:line="262" w:lineRule="exact"/>
              <w:ind w:left="8" w:right="-15"/>
              <w:jc w:val="left"/>
              <w:rPr>
                <w:sz w:val="21"/>
              </w:rPr>
            </w:pPr>
            <w:r>
              <w:rPr>
                <w:spacing w:val="-11"/>
                <w:w w:val="95"/>
                <w:sz w:val="21"/>
              </w:rPr>
              <w:t>综合利用、矿山生态恢复及闭</w:t>
            </w:r>
          </w:p>
        </w:tc>
        <w:tc>
          <w:tcPr>
            <w:tcW w:w="1879" w:type="dxa"/>
            <w:tcBorders>
              <w:top w:val="single" w:color="000000" w:sz="4" w:space="0"/>
              <w:left w:val="single" w:color="000000" w:sz="4" w:space="0"/>
              <w:right w:val="single" w:color="000000" w:sz="4" w:space="0"/>
            </w:tcBorders>
          </w:tcPr>
          <w:p>
            <w:pPr>
              <w:pStyle w:val="14"/>
              <w:spacing w:line="292" w:lineRule="auto"/>
              <w:ind w:left="9" w:right="-15"/>
              <w:jc w:val="both"/>
              <w:rPr>
                <w:sz w:val="21"/>
              </w:rPr>
            </w:pPr>
            <w:r>
              <w:rPr>
                <w:spacing w:val="22"/>
                <w:w w:val="95"/>
                <w:sz w:val="21"/>
              </w:rPr>
              <w:t>制定有完整的矿区生产期和服务期满时的矿山生态环境</w:t>
            </w:r>
            <w:r>
              <w:rPr>
                <w:spacing w:val="6"/>
                <w:sz w:val="21"/>
              </w:rPr>
              <w:t>修复计划、节能环保</w:t>
            </w:r>
            <w:r>
              <w:rPr>
                <w:spacing w:val="-5"/>
                <w:w w:val="95"/>
                <w:sz w:val="21"/>
              </w:rPr>
              <w:t>近、远期规划，措施</w:t>
            </w:r>
          </w:p>
          <w:p>
            <w:pPr>
              <w:pStyle w:val="14"/>
              <w:spacing w:line="262" w:lineRule="exact"/>
              <w:ind w:left="9" w:right="-15"/>
              <w:jc w:val="left"/>
              <w:rPr>
                <w:sz w:val="21"/>
              </w:rPr>
            </w:pPr>
            <w:r>
              <w:rPr>
                <w:spacing w:val="-5"/>
                <w:w w:val="95"/>
                <w:sz w:val="21"/>
              </w:rPr>
              <w:t>可行，有一定的操作</w:t>
            </w:r>
          </w:p>
        </w:tc>
        <w:tc>
          <w:tcPr>
            <w:tcW w:w="2021" w:type="dxa"/>
            <w:tcBorders>
              <w:top w:val="single" w:color="000000" w:sz="4" w:space="0"/>
              <w:left w:val="single" w:color="000000" w:sz="4" w:space="0"/>
              <w:right w:val="single" w:color="000000" w:sz="4" w:space="0"/>
            </w:tcBorders>
          </w:tcPr>
          <w:p>
            <w:pPr>
              <w:pStyle w:val="14"/>
              <w:spacing w:line="292" w:lineRule="auto"/>
              <w:ind w:left="10" w:right="-15"/>
              <w:jc w:val="both"/>
              <w:rPr>
                <w:sz w:val="21"/>
              </w:rPr>
            </w:pPr>
            <w:r>
              <w:rPr>
                <w:spacing w:val="12"/>
                <w:w w:val="95"/>
                <w:sz w:val="21"/>
              </w:rPr>
              <w:t>制定有较完整的矿区生产期和服务期满时的矿山生态环境修复</w:t>
            </w:r>
            <w:r>
              <w:rPr>
                <w:spacing w:val="-9"/>
                <w:sz w:val="21"/>
              </w:rPr>
              <w:t>计划、节能环保近期规</w:t>
            </w:r>
            <w:r>
              <w:rPr>
                <w:spacing w:val="12"/>
                <w:w w:val="95"/>
                <w:sz w:val="21"/>
              </w:rPr>
              <w:t>划和远期规划或企业</w:t>
            </w:r>
          </w:p>
          <w:p>
            <w:pPr>
              <w:pStyle w:val="14"/>
              <w:spacing w:line="262" w:lineRule="exact"/>
              <w:ind w:left="10" w:right="-15"/>
              <w:jc w:val="left"/>
              <w:rPr>
                <w:sz w:val="21"/>
              </w:rPr>
            </w:pPr>
            <w:r>
              <w:rPr>
                <w:spacing w:val="12"/>
                <w:w w:val="95"/>
                <w:sz w:val="21"/>
              </w:rPr>
              <w:t>相关规划中节能环保</w:t>
            </w:r>
          </w:p>
        </w:tc>
        <w:tc>
          <w:tcPr>
            <w:tcW w:w="1165" w:type="dxa"/>
            <w:tcBorders>
              <w:top w:val="single" w:color="000000" w:sz="4" w:space="0"/>
              <w:left w:val="single" w:color="000000" w:sz="4" w:space="0"/>
            </w:tcBorders>
          </w:tcPr>
          <w:p>
            <w:pPr>
              <w:pStyle w:val="14"/>
              <w:spacing w:line="292" w:lineRule="auto"/>
              <w:ind w:left="60" w:right="38"/>
              <w:jc w:val="both"/>
              <w:rPr>
                <w:sz w:val="21"/>
              </w:rPr>
            </w:pPr>
            <w:r>
              <w:rPr>
                <w:spacing w:val="-3"/>
                <w:sz w:val="21"/>
              </w:rPr>
              <w:t>制定有完整的矿区生产期和服务期满时的矿山</w:t>
            </w:r>
            <w:r>
              <w:rPr>
                <w:spacing w:val="-3"/>
                <w:w w:val="95"/>
                <w:sz w:val="21"/>
              </w:rPr>
              <w:t>生态环境修</w:t>
            </w:r>
          </w:p>
          <w:p>
            <w:pPr>
              <w:pStyle w:val="14"/>
              <w:spacing w:line="262" w:lineRule="exact"/>
              <w:ind w:left="60"/>
              <w:jc w:val="left"/>
              <w:rPr>
                <w:sz w:val="21"/>
              </w:rPr>
            </w:pPr>
            <w:r>
              <w:rPr>
                <w:w w:val="95"/>
                <w:sz w:val="21"/>
              </w:rPr>
              <w:t>复计划、节</w:t>
            </w:r>
          </w:p>
        </w:tc>
      </w:tr>
    </w:tbl>
    <w:p>
      <w:pPr>
        <w:spacing w:after="0" w:line="262" w:lineRule="exact"/>
        <w:jc w:val="left"/>
        <w:rPr>
          <w:sz w:val="21"/>
        </w:rPr>
        <w:sectPr>
          <w:pgSz w:w="16840" w:h="11910" w:orient="landscape"/>
          <w:pgMar w:top="1100" w:right="1280" w:bottom="800" w:left="1280" w:header="0" w:footer="605" w:gutter="0"/>
        </w:sectPr>
      </w:pPr>
    </w:p>
    <w:p>
      <w:pPr>
        <w:pStyle w:val="6"/>
        <w:spacing w:before="1"/>
        <w:rPr>
          <w:rFonts w:ascii="Times New Roman"/>
          <w:sz w:val="27"/>
        </w:rPr>
      </w:pPr>
    </w:p>
    <w:tbl>
      <w:tblPr>
        <w:tblStyle w:val="10"/>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72"/>
        <w:gridCol w:w="1090"/>
        <w:gridCol w:w="1068"/>
        <w:gridCol w:w="1818"/>
        <w:gridCol w:w="835"/>
        <w:gridCol w:w="933"/>
        <w:gridCol w:w="2641"/>
        <w:gridCol w:w="1879"/>
        <w:gridCol w:w="2021"/>
        <w:gridCol w:w="11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572" w:type="dxa"/>
            <w:tcBorders>
              <w:bottom w:val="single" w:color="000000" w:sz="4" w:space="0"/>
              <w:right w:val="single" w:color="000000" w:sz="4" w:space="0"/>
            </w:tcBorders>
          </w:tcPr>
          <w:p>
            <w:pPr>
              <w:pStyle w:val="14"/>
              <w:spacing w:before="165"/>
              <w:ind w:left="56" w:right="41"/>
              <w:rPr>
                <w:sz w:val="21"/>
              </w:rPr>
            </w:pPr>
            <w:r>
              <w:rPr>
                <w:sz w:val="21"/>
              </w:rPr>
              <w:t>序号</w:t>
            </w:r>
          </w:p>
        </w:tc>
        <w:tc>
          <w:tcPr>
            <w:tcW w:w="1090" w:type="dxa"/>
            <w:tcBorders>
              <w:left w:val="single" w:color="000000" w:sz="4" w:space="0"/>
              <w:bottom w:val="single" w:color="000000" w:sz="4" w:space="0"/>
              <w:right w:val="single" w:color="000000" w:sz="4" w:space="0"/>
            </w:tcBorders>
          </w:tcPr>
          <w:p>
            <w:pPr>
              <w:pStyle w:val="14"/>
              <w:spacing w:before="2"/>
              <w:ind w:left="16"/>
              <w:rPr>
                <w:sz w:val="21"/>
              </w:rPr>
            </w:pPr>
            <w:r>
              <w:rPr>
                <w:sz w:val="21"/>
              </w:rPr>
              <w:t>一级指标指</w:t>
            </w:r>
          </w:p>
          <w:p>
            <w:pPr>
              <w:pStyle w:val="14"/>
              <w:spacing w:before="55"/>
              <w:ind w:left="18"/>
              <w:rPr>
                <w:sz w:val="21"/>
              </w:rPr>
            </w:pPr>
            <w:r>
              <w:rPr>
                <w:sz w:val="21"/>
              </w:rPr>
              <w:t>标项</w:t>
            </w:r>
          </w:p>
        </w:tc>
        <w:tc>
          <w:tcPr>
            <w:tcW w:w="1068" w:type="dxa"/>
            <w:tcBorders>
              <w:left w:val="single" w:color="000000" w:sz="4" w:space="0"/>
              <w:bottom w:val="single" w:color="000000" w:sz="4" w:space="0"/>
              <w:right w:val="single" w:color="000000" w:sz="4" w:space="0"/>
            </w:tcBorders>
          </w:tcPr>
          <w:p>
            <w:pPr>
              <w:pStyle w:val="14"/>
              <w:spacing w:before="2"/>
              <w:ind w:left="13" w:right="-15"/>
              <w:rPr>
                <w:sz w:val="21"/>
              </w:rPr>
            </w:pPr>
            <w:r>
              <w:rPr>
                <w:sz w:val="21"/>
              </w:rPr>
              <w:t>一级指标权</w:t>
            </w:r>
          </w:p>
          <w:p>
            <w:pPr>
              <w:pStyle w:val="14"/>
              <w:spacing w:before="55"/>
              <w:ind w:left="306" w:right="290"/>
              <w:rPr>
                <w:sz w:val="21"/>
              </w:rPr>
            </w:pPr>
            <w:r>
              <w:rPr>
                <w:sz w:val="21"/>
              </w:rPr>
              <w:t>重值</w:t>
            </w:r>
          </w:p>
        </w:tc>
        <w:tc>
          <w:tcPr>
            <w:tcW w:w="1818" w:type="dxa"/>
            <w:tcBorders>
              <w:left w:val="single" w:color="000000" w:sz="4" w:space="0"/>
              <w:bottom w:val="single" w:color="000000" w:sz="4" w:space="0"/>
              <w:right w:val="single" w:color="000000" w:sz="4" w:space="0"/>
            </w:tcBorders>
          </w:tcPr>
          <w:p>
            <w:pPr>
              <w:pStyle w:val="14"/>
              <w:spacing w:before="165"/>
              <w:ind w:left="43" w:right="24"/>
              <w:rPr>
                <w:sz w:val="21"/>
              </w:rPr>
            </w:pPr>
            <w:r>
              <w:rPr>
                <w:sz w:val="21"/>
              </w:rPr>
              <w:t>二级指标指标项</w:t>
            </w:r>
          </w:p>
        </w:tc>
        <w:tc>
          <w:tcPr>
            <w:tcW w:w="835" w:type="dxa"/>
            <w:tcBorders>
              <w:left w:val="single" w:color="000000" w:sz="4" w:space="0"/>
              <w:bottom w:val="single" w:color="000000" w:sz="4" w:space="0"/>
              <w:right w:val="single" w:color="000000" w:sz="4" w:space="0"/>
            </w:tcBorders>
          </w:tcPr>
          <w:p>
            <w:pPr>
              <w:pStyle w:val="14"/>
              <w:spacing w:before="165"/>
              <w:ind w:left="190" w:right="174"/>
              <w:rPr>
                <w:sz w:val="21"/>
              </w:rPr>
            </w:pPr>
            <w:r>
              <w:rPr>
                <w:sz w:val="21"/>
              </w:rPr>
              <w:t>单位</w:t>
            </w:r>
          </w:p>
        </w:tc>
        <w:tc>
          <w:tcPr>
            <w:tcW w:w="933" w:type="dxa"/>
            <w:tcBorders>
              <w:left w:val="single" w:color="000000" w:sz="4" w:space="0"/>
              <w:bottom w:val="single" w:color="000000" w:sz="4" w:space="0"/>
              <w:right w:val="single" w:color="000000" w:sz="4" w:space="0"/>
            </w:tcBorders>
          </w:tcPr>
          <w:p>
            <w:pPr>
              <w:pStyle w:val="14"/>
              <w:spacing w:before="2"/>
              <w:ind w:left="51"/>
              <w:jc w:val="left"/>
              <w:rPr>
                <w:sz w:val="21"/>
              </w:rPr>
            </w:pPr>
            <w:r>
              <w:rPr>
                <w:w w:val="95"/>
                <w:sz w:val="21"/>
              </w:rPr>
              <w:t>二级指标</w:t>
            </w:r>
          </w:p>
          <w:p>
            <w:pPr>
              <w:pStyle w:val="14"/>
              <w:spacing w:before="55"/>
              <w:ind w:left="51"/>
              <w:jc w:val="left"/>
              <w:rPr>
                <w:sz w:val="21"/>
              </w:rPr>
            </w:pPr>
            <w:r>
              <w:rPr>
                <w:w w:val="95"/>
                <w:sz w:val="21"/>
              </w:rPr>
              <w:t>分权重值</w:t>
            </w:r>
          </w:p>
        </w:tc>
        <w:tc>
          <w:tcPr>
            <w:tcW w:w="2641" w:type="dxa"/>
            <w:tcBorders>
              <w:left w:val="single" w:color="000000" w:sz="4" w:space="0"/>
              <w:bottom w:val="single" w:color="000000" w:sz="4" w:space="0"/>
              <w:right w:val="single" w:color="000000" w:sz="4" w:space="0"/>
            </w:tcBorders>
          </w:tcPr>
          <w:p>
            <w:pPr>
              <w:pStyle w:val="14"/>
              <w:spacing w:before="165"/>
              <w:ind w:right="781"/>
              <w:jc w:val="right"/>
              <w:rPr>
                <w:sz w:val="21"/>
              </w:rPr>
            </w:pPr>
            <w:r>
              <w:rPr>
                <w:w w:val="95"/>
                <w:sz w:val="21"/>
              </w:rPr>
              <w:t>Ⅰ级基准值</w:t>
            </w:r>
          </w:p>
        </w:tc>
        <w:tc>
          <w:tcPr>
            <w:tcW w:w="1879" w:type="dxa"/>
            <w:tcBorders>
              <w:left w:val="single" w:color="000000" w:sz="4" w:space="0"/>
              <w:bottom w:val="single" w:color="000000" w:sz="4" w:space="0"/>
              <w:right w:val="single" w:color="000000" w:sz="4" w:space="0"/>
            </w:tcBorders>
          </w:tcPr>
          <w:p>
            <w:pPr>
              <w:pStyle w:val="14"/>
              <w:spacing w:before="165"/>
              <w:ind w:left="417"/>
              <w:jc w:val="left"/>
              <w:rPr>
                <w:sz w:val="21"/>
              </w:rPr>
            </w:pPr>
            <w:r>
              <w:rPr>
                <w:sz w:val="21"/>
              </w:rPr>
              <w:t>Ⅱ级基准值</w:t>
            </w:r>
          </w:p>
        </w:tc>
        <w:tc>
          <w:tcPr>
            <w:tcW w:w="2021" w:type="dxa"/>
            <w:tcBorders>
              <w:left w:val="single" w:color="000000" w:sz="4" w:space="0"/>
              <w:bottom w:val="single" w:color="000000" w:sz="4" w:space="0"/>
              <w:right w:val="single" w:color="000000" w:sz="4" w:space="0"/>
            </w:tcBorders>
          </w:tcPr>
          <w:p>
            <w:pPr>
              <w:pStyle w:val="14"/>
              <w:spacing w:before="165"/>
              <w:ind w:left="490"/>
              <w:jc w:val="left"/>
              <w:rPr>
                <w:sz w:val="21"/>
              </w:rPr>
            </w:pPr>
            <w:r>
              <w:rPr>
                <w:sz w:val="21"/>
              </w:rPr>
              <w:t>Ⅲ级基准值</w:t>
            </w:r>
          </w:p>
        </w:tc>
        <w:tc>
          <w:tcPr>
            <w:tcW w:w="1165" w:type="dxa"/>
            <w:tcBorders>
              <w:left w:val="single" w:color="000000" w:sz="4" w:space="0"/>
              <w:bottom w:val="single" w:color="000000" w:sz="4" w:space="0"/>
            </w:tcBorders>
          </w:tcPr>
          <w:p>
            <w:pPr>
              <w:pStyle w:val="14"/>
              <w:spacing w:before="2"/>
              <w:ind w:left="22" w:right="5"/>
              <w:rPr>
                <w:sz w:val="21"/>
              </w:rPr>
            </w:pPr>
            <w:r>
              <w:rPr>
                <w:sz w:val="21"/>
              </w:rPr>
              <w:t>本煤矿扩建</w:t>
            </w:r>
          </w:p>
          <w:p>
            <w:pPr>
              <w:pStyle w:val="14"/>
              <w:spacing w:before="55"/>
              <w:ind w:left="19"/>
              <w:rPr>
                <w:sz w:val="21"/>
              </w:rPr>
            </w:pPr>
            <w:r>
              <w:rPr>
                <w:w w:val="99"/>
                <w:sz w:val="21"/>
              </w:rPr>
              <w:t>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8" w:hRule="atLeast"/>
        </w:trPr>
        <w:tc>
          <w:tcPr>
            <w:tcW w:w="572" w:type="dxa"/>
            <w:tcBorders>
              <w:top w:val="single" w:color="000000" w:sz="4" w:space="0"/>
              <w:bottom w:val="single" w:color="000000" w:sz="4" w:space="0"/>
              <w:right w:val="single" w:color="000000" w:sz="4" w:space="0"/>
            </w:tcBorders>
          </w:tcPr>
          <w:p>
            <w:pPr>
              <w:pStyle w:val="14"/>
              <w:jc w:val="left"/>
              <w:rPr>
                <w:rFonts w:ascii="Times New Roman"/>
                <w:sz w:val="20"/>
              </w:rPr>
            </w:pPr>
          </w:p>
        </w:tc>
        <w:tc>
          <w:tcPr>
            <w:tcW w:w="1090" w:type="dxa"/>
            <w:vMerge w:val="restart"/>
            <w:tcBorders>
              <w:top w:val="single" w:color="000000" w:sz="4" w:space="0"/>
              <w:left w:val="single" w:color="000000" w:sz="4" w:space="0"/>
              <w:right w:val="single" w:color="000000" w:sz="4" w:space="0"/>
            </w:tcBorders>
          </w:tcPr>
          <w:p>
            <w:pPr>
              <w:pStyle w:val="14"/>
              <w:jc w:val="left"/>
              <w:rPr>
                <w:rFonts w:ascii="Times New Roman"/>
                <w:sz w:val="20"/>
              </w:rPr>
            </w:pPr>
          </w:p>
        </w:tc>
        <w:tc>
          <w:tcPr>
            <w:tcW w:w="1068" w:type="dxa"/>
            <w:vMerge w:val="restart"/>
            <w:tcBorders>
              <w:top w:val="single" w:color="000000" w:sz="4" w:space="0"/>
              <w:left w:val="single" w:color="000000" w:sz="4" w:space="0"/>
              <w:right w:val="single" w:color="000000" w:sz="4" w:space="0"/>
            </w:tcBorders>
          </w:tcPr>
          <w:p>
            <w:pPr>
              <w:pStyle w:val="14"/>
              <w:jc w:val="left"/>
              <w:rPr>
                <w:rFonts w:ascii="Times New Roman"/>
                <w:sz w:val="20"/>
              </w:rPr>
            </w:pPr>
          </w:p>
        </w:tc>
        <w:tc>
          <w:tcPr>
            <w:tcW w:w="1818"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835"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933"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2641" w:type="dxa"/>
            <w:tcBorders>
              <w:top w:val="single" w:color="000000" w:sz="4" w:space="0"/>
              <w:left w:val="single" w:color="000000" w:sz="4" w:space="0"/>
              <w:bottom w:val="single" w:color="000000" w:sz="4" w:space="0"/>
              <w:right w:val="single" w:color="000000" w:sz="4" w:space="0"/>
            </w:tcBorders>
          </w:tcPr>
          <w:p>
            <w:pPr>
              <w:pStyle w:val="14"/>
              <w:ind w:right="731"/>
              <w:jc w:val="right"/>
              <w:rPr>
                <w:sz w:val="21"/>
              </w:rPr>
            </w:pPr>
            <w:r>
              <w:rPr>
                <w:w w:val="95"/>
                <w:sz w:val="21"/>
              </w:rPr>
              <w:t>矿后的恢复措施计划</w:t>
            </w:r>
          </w:p>
        </w:tc>
        <w:tc>
          <w:tcPr>
            <w:tcW w:w="1879" w:type="dxa"/>
            <w:tcBorders>
              <w:top w:val="single" w:color="000000" w:sz="4" w:space="0"/>
              <w:left w:val="single" w:color="000000" w:sz="4" w:space="0"/>
              <w:bottom w:val="single" w:color="000000" w:sz="4" w:space="0"/>
              <w:right w:val="single" w:color="000000" w:sz="4" w:space="0"/>
            </w:tcBorders>
          </w:tcPr>
          <w:p>
            <w:pPr>
              <w:pStyle w:val="14"/>
              <w:ind w:left="9"/>
              <w:jc w:val="left"/>
              <w:rPr>
                <w:sz w:val="21"/>
              </w:rPr>
            </w:pPr>
            <w:r>
              <w:rPr>
                <w:w w:val="99"/>
                <w:sz w:val="21"/>
              </w:rPr>
              <w:t>性</w:t>
            </w:r>
          </w:p>
        </w:tc>
        <w:tc>
          <w:tcPr>
            <w:tcW w:w="2021" w:type="dxa"/>
            <w:tcBorders>
              <w:top w:val="single" w:color="000000" w:sz="4" w:space="0"/>
              <w:left w:val="single" w:color="000000" w:sz="4" w:space="0"/>
              <w:bottom w:val="single" w:color="000000" w:sz="4" w:space="0"/>
              <w:right w:val="single" w:color="000000" w:sz="4" w:space="0"/>
            </w:tcBorders>
          </w:tcPr>
          <w:p>
            <w:pPr>
              <w:pStyle w:val="14"/>
              <w:ind w:left="10"/>
              <w:jc w:val="left"/>
              <w:rPr>
                <w:sz w:val="21"/>
              </w:rPr>
            </w:pPr>
            <w:r>
              <w:rPr>
                <w:sz w:val="21"/>
              </w:rPr>
              <w:t>篇章</w:t>
            </w:r>
          </w:p>
        </w:tc>
        <w:tc>
          <w:tcPr>
            <w:tcW w:w="1165" w:type="dxa"/>
            <w:tcBorders>
              <w:top w:val="single" w:color="000000" w:sz="4" w:space="0"/>
              <w:left w:val="single" w:color="000000" w:sz="4" w:space="0"/>
              <w:bottom w:val="single" w:color="000000" w:sz="4" w:space="0"/>
            </w:tcBorders>
          </w:tcPr>
          <w:p>
            <w:pPr>
              <w:pStyle w:val="14"/>
              <w:spacing w:line="290" w:lineRule="auto"/>
              <w:ind w:left="60" w:right="38"/>
              <w:jc w:val="both"/>
              <w:rPr>
                <w:sz w:val="21"/>
              </w:rPr>
            </w:pPr>
            <w:r>
              <w:rPr>
                <w:sz w:val="21"/>
              </w:rPr>
              <w:t>能环保近、远期规划， 措施可行， 有一定的操</w:t>
            </w:r>
          </w:p>
          <w:p>
            <w:pPr>
              <w:pStyle w:val="14"/>
              <w:spacing w:before="3"/>
              <w:ind w:left="374"/>
              <w:jc w:val="left"/>
              <w:rPr>
                <w:sz w:val="21"/>
              </w:rPr>
            </w:pPr>
            <w:r>
              <w:rPr>
                <w:sz w:val="21"/>
              </w:rPr>
              <w:t>作性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4" w:hRule="atLeast"/>
        </w:trPr>
        <w:tc>
          <w:tcPr>
            <w:tcW w:w="572" w:type="dxa"/>
            <w:tcBorders>
              <w:top w:val="single" w:color="000000" w:sz="4" w:space="0"/>
              <w:right w:val="single" w:color="000000" w:sz="4" w:space="0"/>
            </w:tcBorders>
          </w:tcPr>
          <w:p>
            <w:pPr>
              <w:pStyle w:val="14"/>
              <w:spacing w:before="19"/>
              <w:ind w:left="56" w:right="38"/>
              <w:rPr>
                <w:rFonts w:ascii="Times New Roman"/>
                <w:sz w:val="21"/>
              </w:rPr>
            </w:pPr>
            <w:r>
              <w:rPr>
                <w:rFonts w:ascii="Times New Roman"/>
                <w:sz w:val="21"/>
              </w:rPr>
              <w:t>37</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right w:val="single" w:color="000000" w:sz="4" w:space="0"/>
            </w:tcBorders>
          </w:tcPr>
          <w:p>
            <w:pPr>
              <w:pStyle w:val="14"/>
              <w:ind w:left="38" w:right="24"/>
              <w:rPr>
                <w:sz w:val="21"/>
              </w:rPr>
            </w:pPr>
            <w:r>
              <w:rPr>
                <w:sz w:val="21"/>
              </w:rPr>
              <w:t>环境信息公开</w:t>
            </w:r>
          </w:p>
        </w:tc>
        <w:tc>
          <w:tcPr>
            <w:tcW w:w="835" w:type="dxa"/>
            <w:tcBorders>
              <w:top w:val="single" w:color="000000" w:sz="4" w:space="0"/>
              <w:left w:val="single" w:color="000000" w:sz="4" w:space="0"/>
              <w:right w:val="single" w:color="000000" w:sz="4" w:space="0"/>
            </w:tcBorders>
          </w:tcPr>
          <w:p>
            <w:pPr>
              <w:pStyle w:val="14"/>
              <w:ind w:left="18"/>
              <w:rPr>
                <w:sz w:val="21"/>
              </w:rPr>
            </w:pPr>
            <w:r>
              <w:rPr>
                <w:w w:val="99"/>
                <w:sz w:val="21"/>
              </w:rPr>
              <w:t>━</w:t>
            </w:r>
          </w:p>
        </w:tc>
        <w:tc>
          <w:tcPr>
            <w:tcW w:w="933" w:type="dxa"/>
            <w:tcBorders>
              <w:top w:val="single" w:color="000000" w:sz="4" w:space="0"/>
              <w:left w:val="single" w:color="000000" w:sz="4" w:space="0"/>
              <w:right w:val="single" w:color="000000" w:sz="4" w:space="0"/>
            </w:tcBorders>
          </w:tcPr>
          <w:p>
            <w:pPr>
              <w:pStyle w:val="14"/>
              <w:spacing w:before="19"/>
              <w:ind w:left="286"/>
              <w:jc w:val="left"/>
              <w:rPr>
                <w:rFonts w:ascii="Times New Roman"/>
                <w:sz w:val="21"/>
              </w:rPr>
            </w:pPr>
            <w:r>
              <w:rPr>
                <w:rFonts w:ascii="Times New Roman"/>
                <w:sz w:val="21"/>
              </w:rPr>
              <w:t>0.15</w:t>
            </w:r>
          </w:p>
        </w:tc>
        <w:tc>
          <w:tcPr>
            <w:tcW w:w="6541" w:type="dxa"/>
            <w:gridSpan w:val="3"/>
            <w:tcBorders>
              <w:top w:val="single" w:color="000000" w:sz="4" w:space="0"/>
              <w:left w:val="single" w:color="000000" w:sz="4" w:space="0"/>
              <w:right w:val="single" w:color="000000" w:sz="4" w:space="0"/>
            </w:tcBorders>
          </w:tcPr>
          <w:p>
            <w:pPr>
              <w:pStyle w:val="14"/>
              <w:ind w:left="8" w:right="-15"/>
              <w:jc w:val="left"/>
              <w:rPr>
                <w:sz w:val="21"/>
              </w:rPr>
            </w:pPr>
            <w:r>
              <w:rPr>
                <w:spacing w:val="-3"/>
                <w:sz w:val="21"/>
              </w:rPr>
              <w:t xml:space="preserve">按照国家有关要求公开环境相关信息，按照 </w:t>
            </w:r>
            <w:r>
              <w:rPr>
                <w:rFonts w:ascii="Times New Roman" w:eastAsia="Times New Roman"/>
                <w:sz w:val="21"/>
              </w:rPr>
              <w:t>HJ617</w:t>
            </w:r>
            <w:r>
              <w:rPr>
                <w:rFonts w:ascii="Times New Roman" w:eastAsia="Times New Roman"/>
                <w:spacing w:val="-9"/>
                <w:sz w:val="21"/>
              </w:rPr>
              <w:t xml:space="preserve"> </w:t>
            </w:r>
            <w:r>
              <w:rPr>
                <w:sz w:val="21"/>
              </w:rPr>
              <w:t>编写企业环境报告书</w:t>
            </w:r>
          </w:p>
        </w:tc>
        <w:tc>
          <w:tcPr>
            <w:tcW w:w="1165" w:type="dxa"/>
            <w:tcBorders>
              <w:top w:val="single" w:color="000000" w:sz="4" w:space="0"/>
              <w:left w:val="single" w:color="000000" w:sz="4" w:space="0"/>
            </w:tcBorders>
          </w:tcPr>
          <w:p>
            <w:pPr>
              <w:pStyle w:val="14"/>
              <w:ind w:left="60"/>
              <w:jc w:val="left"/>
              <w:rPr>
                <w:sz w:val="21"/>
              </w:rPr>
            </w:pPr>
            <w:r>
              <w:rPr>
                <w:sz w:val="21"/>
              </w:rPr>
              <w:t>按要求编制</w:t>
            </w:r>
          </w:p>
        </w:tc>
      </w:tr>
    </w:tbl>
    <w:p>
      <w:pPr>
        <w:spacing w:before="1"/>
        <w:ind w:left="138" w:right="0" w:firstLine="0"/>
        <w:jc w:val="left"/>
        <w:rPr>
          <w:sz w:val="21"/>
        </w:rPr>
      </w:pPr>
      <w:r>
        <w:rPr>
          <w:sz w:val="21"/>
        </w:rPr>
        <w:t>注：</w:t>
      </w:r>
      <w:r>
        <w:rPr>
          <w:rFonts w:ascii="Times New Roman" w:eastAsia="Times New Roman"/>
          <w:sz w:val="21"/>
        </w:rPr>
        <w:t>1</w:t>
      </w:r>
      <w:r>
        <w:rPr>
          <w:sz w:val="21"/>
        </w:rPr>
        <w:t>、标注</w:t>
      </w:r>
      <w:r>
        <w:rPr>
          <w:rFonts w:ascii="Times New Roman" w:eastAsia="Times New Roman"/>
          <w:sz w:val="21"/>
        </w:rPr>
        <w:t>*</w:t>
      </w:r>
      <w:r>
        <w:rPr>
          <w:sz w:val="21"/>
        </w:rPr>
        <w:t>的指标项为限定性指标。</w:t>
      </w:r>
    </w:p>
    <w:p>
      <w:pPr>
        <w:spacing w:before="139" w:line="364" w:lineRule="auto"/>
        <w:ind w:left="138" w:right="134" w:firstLine="420"/>
        <w:jc w:val="left"/>
        <w:rPr>
          <w:sz w:val="21"/>
        </w:rPr>
      </w:pPr>
      <w:r>
        <w:rPr>
          <w:rFonts w:ascii="Times New Roman" w:hAnsi="Times New Roman" w:eastAsia="Times New Roman"/>
          <w:sz w:val="21"/>
        </w:rPr>
        <w:t>2</w:t>
      </w:r>
      <w:r>
        <w:rPr>
          <w:sz w:val="21"/>
        </w:rPr>
        <w:t>、水资源短缺矿区，指矿井涌水量</w:t>
      </w:r>
      <w:r>
        <w:rPr>
          <w:rFonts w:ascii="Times New Roman" w:hAnsi="Times New Roman" w:eastAsia="Times New Roman"/>
          <w:sz w:val="21"/>
        </w:rPr>
        <w:t xml:space="preserve">≤60 </w:t>
      </w:r>
      <w:r>
        <w:rPr>
          <w:sz w:val="21"/>
        </w:rPr>
        <w:t>立方米</w:t>
      </w:r>
      <w:r>
        <w:rPr>
          <w:rFonts w:ascii="Times New Roman" w:hAnsi="Times New Roman" w:eastAsia="Times New Roman"/>
          <w:sz w:val="21"/>
        </w:rPr>
        <w:t>/</w:t>
      </w:r>
      <w:r>
        <w:rPr>
          <w:sz w:val="21"/>
        </w:rPr>
        <w:t xml:space="preserve">小时；一般水资源矿区，指矿井涌水量 </w:t>
      </w:r>
      <w:r>
        <w:rPr>
          <w:rFonts w:ascii="Times New Roman" w:hAnsi="Times New Roman" w:eastAsia="Times New Roman"/>
          <w:sz w:val="21"/>
        </w:rPr>
        <w:t>60</w:t>
      </w:r>
      <w:r>
        <w:rPr>
          <w:sz w:val="21"/>
        </w:rPr>
        <w:t>～</w:t>
      </w:r>
      <w:r>
        <w:rPr>
          <w:rFonts w:ascii="Times New Roman" w:hAnsi="Times New Roman" w:eastAsia="Times New Roman"/>
          <w:sz w:val="21"/>
        </w:rPr>
        <w:t xml:space="preserve">300 </w:t>
      </w:r>
      <w:r>
        <w:rPr>
          <w:sz w:val="21"/>
        </w:rPr>
        <w:t>立方米</w:t>
      </w:r>
      <w:r>
        <w:rPr>
          <w:rFonts w:ascii="Times New Roman" w:hAnsi="Times New Roman" w:eastAsia="Times New Roman"/>
          <w:sz w:val="21"/>
        </w:rPr>
        <w:t>/</w:t>
      </w:r>
      <w:r>
        <w:rPr>
          <w:sz w:val="21"/>
        </w:rPr>
        <w:t>小时；水资源丰富矿区，指矿井涌水量</w:t>
      </w:r>
      <w:r>
        <w:rPr>
          <w:rFonts w:ascii="Times New Roman" w:hAnsi="Times New Roman" w:eastAsia="Times New Roman"/>
          <w:sz w:val="21"/>
        </w:rPr>
        <w:t xml:space="preserve">≥300 </w:t>
      </w:r>
      <w:r>
        <w:rPr>
          <w:sz w:val="21"/>
        </w:rPr>
        <w:t>立方米</w:t>
      </w:r>
      <w:r>
        <w:rPr>
          <w:rFonts w:ascii="Times New Roman" w:hAnsi="Times New Roman" w:eastAsia="Times New Roman"/>
          <w:sz w:val="21"/>
        </w:rPr>
        <w:t>/</w:t>
      </w:r>
      <w:r>
        <w:rPr>
          <w:sz w:val="21"/>
        </w:rPr>
        <w:t>小时（矿井涌水量一般指正常涌水量）。</w:t>
      </w:r>
    </w:p>
    <w:p>
      <w:pPr>
        <w:spacing w:after="0" w:line="364" w:lineRule="auto"/>
        <w:jc w:val="left"/>
        <w:rPr>
          <w:sz w:val="21"/>
        </w:rPr>
        <w:sectPr>
          <w:pgSz w:w="16840" w:h="11910" w:orient="landscape"/>
          <w:pgMar w:top="1100" w:right="1280" w:bottom="800" w:left="1280" w:header="0" w:footer="605" w:gutter="0"/>
        </w:sectPr>
      </w:pPr>
    </w:p>
    <w:p>
      <w:pPr>
        <w:pStyle w:val="6"/>
        <w:spacing w:before="3"/>
        <w:rPr>
          <w:sz w:val="15"/>
        </w:rPr>
      </w:pPr>
    </w:p>
    <w:p>
      <w:pPr>
        <w:pStyle w:val="3"/>
        <w:numPr>
          <w:ilvl w:val="1"/>
          <w:numId w:val="78"/>
        </w:numPr>
        <w:tabs>
          <w:tab w:val="left" w:pos="836"/>
        </w:tabs>
        <w:spacing w:before="68" w:after="0" w:line="240" w:lineRule="auto"/>
        <w:ind w:left="836" w:right="0" w:hanging="601"/>
        <w:jc w:val="left"/>
      </w:pPr>
      <w:bookmarkStart w:id="1198" w:name="_bookmark69"/>
      <w:bookmarkEnd w:id="1198"/>
      <w:bookmarkStart w:id="1199" w:name="_bookmark69"/>
      <w:bookmarkEnd w:id="1199"/>
      <w:bookmarkStart w:id="1200" w:name="12.3清洁生产管理体系建设"/>
      <w:bookmarkEnd w:id="1200"/>
      <w:r>
        <w:t>清洁生产管理体系建设</w:t>
      </w:r>
    </w:p>
    <w:p>
      <w:pPr>
        <w:pStyle w:val="6"/>
        <w:spacing w:before="196" w:line="364" w:lineRule="auto"/>
        <w:ind w:left="235" w:right="249" w:firstLine="480"/>
      </w:pPr>
      <w:r>
        <w:t>要实现生产过程的清洁生产，除了采取先进的生产技术与装备外，还要建立有效的环境管理与清洁生产管理制度，本评价对该项目实施提出相应的环境管理建议，见下表。</w:t>
      </w:r>
    </w:p>
    <w:p>
      <w:pPr>
        <w:pStyle w:val="5"/>
        <w:spacing w:line="307" w:lineRule="exact"/>
        <w:ind w:left="2698" w:right="2698"/>
        <w:jc w:val="center"/>
      </w:pPr>
      <w:r>
        <w:t xml:space="preserve">表 </w:t>
      </w:r>
      <w:r>
        <w:rPr>
          <w:rFonts w:ascii="Times New Roman" w:eastAsia="Times New Roman"/>
        </w:rPr>
        <w:t xml:space="preserve">12.3-1 </w:t>
      </w:r>
      <w:r>
        <w:t>矿井清洁生产中环境管理要求</w:t>
      </w:r>
    </w:p>
    <w:p>
      <w:pPr>
        <w:pStyle w:val="6"/>
        <w:spacing w:before="4"/>
        <w:rPr>
          <w:b/>
          <w:sz w:val="12"/>
        </w:rPr>
      </w:pPr>
    </w:p>
    <w:tbl>
      <w:tblPr>
        <w:tblStyle w:val="10"/>
        <w:tblW w:w="0" w:type="auto"/>
        <w:tblInd w:w="24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280"/>
        <w:gridCol w:w="578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280" w:type="dxa"/>
            <w:tcBorders>
              <w:bottom w:val="single" w:color="000000" w:sz="4" w:space="0"/>
              <w:right w:val="single" w:color="000000" w:sz="4" w:space="0"/>
            </w:tcBorders>
          </w:tcPr>
          <w:p>
            <w:pPr>
              <w:pStyle w:val="14"/>
              <w:spacing w:before="63"/>
              <w:ind w:left="47" w:right="27"/>
              <w:rPr>
                <w:sz w:val="21"/>
              </w:rPr>
            </w:pPr>
            <w:r>
              <w:rPr>
                <w:sz w:val="21"/>
              </w:rPr>
              <w:t>指标</w:t>
            </w:r>
          </w:p>
        </w:tc>
        <w:tc>
          <w:tcPr>
            <w:tcW w:w="5788" w:type="dxa"/>
            <w:tcBorders>
              <w:left w:val="single" w:color="000000" w:sz="4" w:space="0"/>
              <w:bottom w:val="single" w:color="000000" w:sz="4" w:space="0"/>
            </w:tcBorders>
          </w:tcPr>
          <w:p>
            <w:pPr>
              <w:pStyle w:val="14"/>
              <w:spacing w:before="63"/>
              <w:ind w:left="2666" w:right="2647"/>
              <w:rPr>
                <w:sz w:val="21"/>
              </w:rPr>
            </w:pPr>
            <w:r>
              <w:rPr>
                <w:sz w:val="21"/>
              </w:rPr>
              <w:t>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3280" w:type="dxa"/>
            <w:tcBorders>
              <w:top w:val="single" w:color="000000" w:sz="4" w:space="0"/>
              <w:bottom w:val="single" w:color="000000" w:sz="4" w:space="0"/>
              <w:right w:val="single" w:color="000000" w:sz="4" w:space="0"/>
            </w:tcBorders>
          </w:tcPr>
          <w:p>
            <w:pPr>
              <w:pStyle w:val="14"/>
              <w:spacing w:before="163"/>
              <w:ind w:left="47" w:right="27"/>
              <w:rPr>
                <w:sz w:val="21"/>
              </w:rPr>
            </w:pPr>
            <w:r>
              <w:rPr>
                <w:sz w:val="21"/>
              </w:rPr>
              <w:t>环境法律法规标准</w:t>
            </w:r>
          </w:p>
        </w:tc>
        <w:tc>
          <w:tcPr>
            <w:tcW w:w="5788" w:type="dxa"/>
            <w:tcBorders>
              <w:top w:val="single" w:color="000000" w:sz="4" w:space="0"/>
              <w:left w:val="single" w:color="000000" w:sz="4" w:space="0"/>
              <w:bottom w:val="single" w:color="000000" w:sz="4" w:space="0"/>
            </w:tcBorders>
          </w:tcPr>
          <w:p>
            <w:pPr>
              <w:pStyle w:val="14"/>
              <w:spacing w:before="2"/>
              <w:ind w:left="9" w:right="-15"/>
              <w:jc w:val="left"/>
              <w:rPr>
                <w:sz w:val="21"/>
              </w:rPr>
            </w:pPr>
            <w:r>
              <w:rPr>
                <w:spacing w:val="-7"/>
                <w:w w:val="95"/>
                <w:sz w:val="21"/>
              </w:rPr>
              <w:t>符合国家和地方有关环境法律、法规，污染物排放达到国家和地</w:t>
            </w:r>
          </w:p>
          <w:p>
            <w:pPr>
              <w:pStyle w:val="14"/>
              <w:spacing w:before="55"/>
              <w:ind w:left="9"/>
              <w:jc w:val="left"/>
              <w:rPr>
                <w:sz w:val="21"/>
              </w:rPr>
            </w:pPr>
            <w:r>
              <w:rPr>
                <w:sz w:val="21"/>
              </w:rPr>
              <w:t>方排放标准、总量控制和排污许可证管理要求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3280" w:type="dxa"/>
            <w:tcBorders>
              <w:top w:val="single" w:color="000000" w:sz="4" w:space="0"/>
              <w:bottom w:val="single" w:color="000000" w:sz="4" w:space="0"/>
              <w:right w:val="single" w:color="000000" w:sz="4" w:space="0"/>
            </w:tcBorders>
          </w:tcPr>
          <w:p>
            <w:pPr>
              <w:pStyle w:val="14"/>
              <w:spacing w:before="6"/>
              <w:jc w:val="left"/>
              <w:rPr>
                <w:b/>
                <w:sz w:val="25"/>
              </w:rPr>
            </w:pPr>
          </w:p>
          <w:p>
            <w:pPr>
              <w:pStyle w:val="14"/>
              <w:ind w:left="44" w:right="27"/>
              <w:rPr>
                <w:sz w:val="21"/>
              </w:rPr>
            </w:pPr>
            <w:r>
              <w:rPr>
                <w:sz w:val="21"/>
              </w:rPr>
              <w:t>环境审核</w:t>
            </w:r>
          </w:p>
        </w:tc>
        <w:tc>
          <w:tcPr>
            <w:tcW w:w="5788" w:type="dxa"/>
            <w:tcBorders>
              <w:top w:val="single" w:color="000000" w:sz="4" w:space="0"/>
              <w:left w:val="single" w:color="000000" w:sz="4" w:space="0"/>
              <w:bottom w:val="single" w:color="000000" w:sz="4" w:space="0"/>
            </w:tcBorders>
          </w:tcPr>
          <w:p>
            <w:pPr>
              <w:pStyle w:val="14"/>
              <w:ind w:left="9"/>
              <w:jc w:val="left"/>
              <w:rPr>
                <w:sz w:val="21"/>
              </w:rPr>
            </w:pPr>
            <w:r>
              <w:rPr>
                <w:sz w:val="21"/>
              </w:rPr>
              <w:t>按照煤炭行业的企业清洁生产审核指南的要求进行审核；按照</w:t>
            </w:r>
          </w:p>
          <w:p>
            <w:pPr>
              <w:pStyle w:val="14"/>
              <w:spacing w:before="7" w:line="320" w:lineRule="atLeast"/>
              <w:ind w:left="9" w:right="9"/>
              <w:jc w:val="left"/>
              <w:rPr>
                <w:sz w:val="21"/>
              </w:rPr>
            </w:pPr>
            <w:r>
              <w:rPr>
                <w:rFonts w:ascii="Times New Roman" w:eastAsia="Times New Roman"/>
                <w:sz w:val="21"/>
              </w:rPr>
              <w:t xml:space="preserve">ISO14001 </w:t>
            </w:r>
            <w:r>
              <w:rPr>
                <w:sz w:val="21"/>
              </w:rPr>
              <w:t>建立并运行环境管理体系，环境管理手册、程序文件及作业文件齐备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280" w:type="dxa"/>
            <w:tcBorders>
              <w:top w:val="single" w:color="000000" w:sz="4" w:space="0"/>
              <w:bottom w:val="single" w:color="000000" w:sz="4" w:space="0"/>
              <w:right w:val="single" w:color="000000" w:sz="4" w:space="0"/>
            </w:tcBorders>
          </w:tcPr>
          <w:p>
            <w:pPr>
              <w:pStyle w:val="14"/>
              <w:spacing w:before="63"/>
              <w:ind w:left="44" w:right="27"/>
              <w:rPr>
                <w:sz w:val="21"/>
              </w:rPr>
            </w:pPr>
            <w:r>
              <w:rPr>
                <w:sz w:val="21"/>
              </w:rPr>
              <w:t>原料用量及质量</w:t>
            </w:r>
          </w:p>
        </w:tc>
        <w:tc>
          <w:tcPr>
            <w:tcW w:w="5788" w:type="dxa"/>
            <w:tcBorders>
              <w:top w:val="single" w:color="000000" w:sz="4" w:space="0"/>
              <w:left w:val="single" w:color="000000" w:sz="4" w:space="0"/>
              <w:bottom w:val="single" w:color="000000" w:sz="4" w:space="0"/>
            </w:tcBorders>
          </w:tcPr>
          <w:p>
            <w:pPr>
              <w:pStyle w:val="14"/>
              <w:spacing w:before="63"/>
              <w:ind w:left="9"/>
              <w:jc w:val="left"/>
              <w:rPr>
                <w:sz w:val="21"/>
              </w:rPr>
            </w:pPr>
            <w:r>
              <w:rPr>
                <w:sz w:val="21"/>
              </w:rPr>
              <w:t>规定严格的检验、计量控制措施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3280" w:type="dxa"/>
            <w:tcBorders>
              <w:top w:val="single" w:color="000000" w:sz="4" w:space="0"/>
              <w:bottom w:val="single" w:color="000000" w:sz="4" w:space="0"/>
              <w:right w:val="single" w:color="000000" w:sz="4" w:space="0"/>
            </w:tcBorders>
          </w:tcPr>
          <w:p>
            <w:pPr>
              <w:pStyle w:val="14"/>
              <w:ind w:left="47" w:right="22"/>
              <w:rPr>
                <w:sz w:val="21"/>
              </w:rPr>
            </w:pPr>
            <w:r>
              <w:rPr>
                <w:spacing w:val="-10"/>
                <w:w w:val="95"/>
                <w:sz w:val="21"/>
              </w:rPr>
              <w:t>除尘、矿井水处理处理、生活污水处</w:t>
            </w:r>
          </w:p>
          <w:p>
            <w:pPr>
              <w:pStyle w:val="14"/>
              <w:spacing w:before="57"/>
              <w:ind w:left="47" w:right="27"/>
              <w:rPr>
                <w:sz w:val="21"/>
              </w:rPr>
            </w:pPr>
            <w:r>
              <w:rPr>
                <w:sz w:val="21"/>
              </w:rPr>
              <w:t>理、洒水降尘等环保设备与设施</w:t>
            </w:r>
          </w:p>
        </w:tc>
        <w:tc>
          <w:tcPr>
            <w:tcW w:w="5788" w:type="dxa"/>
            <w:tcBorders>
              <w:top w:val="single" w:color="000000" w:sz="4" w:space="0"/>
              <w:left w:val="single" w:color="000000" w:sz="4" w:space="0"/>
              <w:bottom w:val="single" w:color="000000" w:sz="4" w:space="0"/>
            </w:tcBorders>
          </w:tcPr>
          <w:p>
            <w:pPr>
              <w:pStyle w:val="14"/>
              <w:spacing w:before="163"/>
              <w:ind w:left="9"/>
              <w:jc w:val="left"/>
              <w:rPr>
                <w:rFonts w:ascii="Times New Roman" w:eastAsia="Times New Roman"/>
                <w:sz w:val="21"/>
              </w:rPr>
            </w:pPr>
            <w:r>
              <w:rPr>
                <w:sz w:val="21"/>
              </w:rPr>
              <w:t xml:space="preserve">运行无故障、设备完好率达 </w:t>
            </w:r>
            <w:r>
              <w:rPr>
                <w:rFonts w:ascii="Times New Roman" w:eastAsia="Times New Roman"/>
                <w:sz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280" w:type="dxa"/>
            <w:tcBorders>
              <w:top w:val="single" w:color="000000" w:sz="4" w:space="0"/>
              <w:bottom w:val="single" w:color="000000" w:sz="4" w:space="0"/>
              <w:right w:val="single" w:color="000000" w:sz="4" w:space="0"/>
            </w:tcBorders>
          </w:tcPr>
          <w:p>
            <w:pPr>
              <w:pStyle w:val="14"/>
              <w:spacing w:before="64"/>
              <w:ind w:left="44" w:right="27"/>
              <w:rPr>
                <w:sz w:val="21"/>
              </w:rPr>
            </w:pPr>
            <w:r>
              <w:rPr>
                <w:sz w:val="21"/>
              </w:rPr>
              <w:t>岗位培训</w:t>
            </w:r>
          </w:p>
        </w:tc>
        <w:tc>
          <w:tcPr>
            <w:tcW w:w="5788" w:type="dxa"/>
            <w:tcBorders>
              <w:top w:val="single" w:color="000000" w:sz="4" w:space="0"/>
              <w:left w:val="single" w:color="000000" w:sz="4" w:space="0"/>
              <w:bottom w:val="single" w:color="000000" w:sz="4" w:space="0"/>
            </w:tcBorders>
          </w:tcPr>
          <w:p>
            <w:pPr>
              <w:pStyle w:val="14"/>
              <w:spacing w:before="64"/>
              <w:ind w:left="9"/>
              <w:jc w:val="left"/>
              <w:rPr>
                <w:sz w:val="21"/>
              </w:rPr>
            </w:pPr>
            <w:r>
              <w:rPr>
                <w:sz w:val="21"/>
              </w:rPr>
              <w:t>所有岗位操作人员要进行严格培训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3280" w:type="dxa"/>
            <w:tcBorders>
              <w:top w:val="single" w:color="000000" w:sz="4" w:space="0"/>
              <w:bottom w:val="single" w:color="000000" w:sz="4" w:space="0"/>
              <w:right w:val="single" w:color="000000" w:sz="4" w:space="0"/>
            </w:tcBorders>
          </w:tcPr>
          <w:p>
            <w:pPr>
              <w:pStyle w:val="14"/>
              <w:spacing w:before="1"/>
              <w:ind w:left="47" w:right="22"/>
              <w:rPr>
                <w:sz w:val="21"/>
              </w:rPr>
            </w:pPr>
            <w:r>
              <w:rPr>
                <w:spacing w:val="-10"/>
                <w:w w:val="95"/>
                <w:sz w:val="21"/>
              </w:rPr>
              <w:t>生产设备的使用、维护、检修管理制</w:t>
            </w:r>
          </w:p>
          <w:p>
            <w:pPr>
              <w:pStyle w:val="14"/>
              <w:spacing w:before="57"/>
              <w:ind w:left="18"/>
              <w:rPr>
                <w:sz w:val="21"/>
              </w:rPr>
            </w:pPr>
            <w:r>
              <w:rPr>
                <w:w w:val="99"/>
                <w:sz w:val="21"/>
              </w:rPr>
              <w:t>度</w:t>
            </w:r>
          </w:p>
        </w:tc>
        <w:tc>
          <w:tcPr>
            <w:tcW w:w="5788" w:type="dxa"/>
            <w:tcBorders>
              <w:top w:val="single" w:color="000000" w:sz="4" w:space="0"/>
              <w:left w:val="single" w:color="000000" w:sz="4" w:space="0"/>
              <w:bottom w:val="single" w:color="000000" w:sz="4" w:space="0"/>
            </w:tcBorders>
          </w:tcPr>
          <w:p>
            <w:pPr>
              <w:pStyle w:val="14"/>
              <w:spacing w:before="164"/>
              <w:ind w:left="9"/>
              <w:jc w:val="left"/>
              <w:rPr>
                <w:sz w:val="21"/>
              </w:rPr>
            </w:pPr>
            <w:r>
              <w:rPr>
                <w:sz w:val="21"/>
              </w:rPr>
              <w:t>有完善的管理制度，并严格执行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280" w:type="dxa"/>
            <w:tcBorders>
              <w:top w:val="single" w:color="000000" w:sz="4" w:space="0"/>
              <w:bottom w:val="single" w:color="000000" w:sz="4" w:space="0"/>
              <w:right w:val="single" w:color="000000" w:sz="4" w:space="0"/>
            </w:tcBorders>
          </w:tcPr>
          <w:p>
            <w:pPr>
              <w:pStyle w:val="14"/>
              <w:spacing w:before="64"/>
              <w:ind w:left="47" w:right="27"/>
              <w:rPr>
                <w:sz w:val="21"/>
              </w:rPr>
            </w:pPr>
            <w:r>
              <w:rPr>
                <w:sz w:val="21"/>
              </w:rPr>
              <w:t>生产工艺用水、电、汽、煤气管理</w:t>
            </w:r>
          </w:p>
        </w:tc>
        <w:tc>
          <w:tcPr>
            <w:tcW w:w="5788" w:type="dxa"/>
            <w:tcBorders>
              <w:top w:val="single" w:color="000000" w:sz="4" w:space="0"/>
              <w:left w:val="single" w:color="000000" w:sz="4" w:space="0"/>
              <w:bottom w:val="single" w:color="000000" w:sz="4" w:space="0"/>
            </w:tcBorders>
          </w:tcPr>
          <w:p>
            <w:pPr>
              <w:pStyle w:val="14"/>
              <w:spacing w:before="64"/>
              <w:ind w:left="9"/>
              <w:jc w:val="left"/>
              <w:rPr>
                <w:sz w:val="21"/>
              </w:rPr>
            </w:pPr>
            <w:r>
              <w:rPr>
                <w:sz w:val="21"/>
              </w:rPr>
              <w:t>安装计量仪表，并制定严格定量考核制度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280" w:type="dxa"/>
            <w:tcBorders>
              <w:top w:val="single" w:color="000000" w:sz="4" w:space="0"/>
              <w:bottom w:val="single" w:color="000000" w:sz="4" w:space="0"/>
              <w:right w:val="single" w:color="000000" w:sz="4" w:space="0"/>
            </w:tcBorders>
          </w:tcPr>
          <w:p>
            <w:pPr>
              <w:pStyle w:val="14"/>
              <w:spacing w:before="63"/>
              <w:ind w:left="47" w:right="27"/>
              <w:rPr>
                <w:sz w:val="21"/>
              </w:rPr>
            </w:pPr>
            <w:r>
              <w:rPr>
                <w:sz w:val="21"/>
              </w:rPr>
              <w:t>事故、非正常生产状况应急</w:t>
            </w:r>
          </w:p>
        </w:tc>
        <w:tc>
          <w:tcPr>
            <w:tcW w:w="5788" w:type="dxa"/>
            <w:tcBorders>
              <w:top w:val="single" w:color="000000" w:sz="4" w:space="0"/>
              <w:left w:val="single" w:color="000000" w:sz="4" w:space="0"/>
              <w:bottom w:val="single" w:color="000000" w:sz="4" w:space="0"/>
            </w:tcBorders>
          </w:tcPr>
          <w:p>
            <w:pPr>
              <w:pStyle w:val="14"/>
              <w:spacing w:before="63"/>
              <w:ind w:left="9"/>
              <w:jc w:val="left"/>
              <w:rPr>
                <w:sz w:val="21"/>
              </w:rPr>
            </w:pPr>
            <w:r>
              <w:rPr>
                <w:sz w:val="21"/>
              </w:rPr>
              <w:t>有具体的应急预案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280" w:type="dxa"/>
            <w:tcBorders>
              <w:top w:val="single" w:color="000000" w:sz="4" w:space="0"/>
              <w:bottom w:val="single" w:color="000000" w:sz="4" w:space="0"/>
              <w:right w:val="single" w:color="000000" w:sz="4" w:space="0"/>
            </w:tcBorders>
          </w:tcPr>
          <w:p>
            <w:pPr>
              <w:pStyle w:val="14"/>
              <w:spacing w:before="62"/>
              <w:ind w:left="47" w:right="27"/>
              <w:rPr>
                <w:sz w:val="21"/>
              </w:rPr>
            </w:pPr>
            <w:r>
              <w:rPr>
                <w:sz w:val="21"/>
              </w:rPr>
              <w:t>环境管理机构</w:t>
            </w:r>
          </w:p>
        </w:tc>
        <w:tc>
          <w:tcPr>
            <w:tcW w:w="5788" w:type="dxa"/>
            <w:tcBorders>
              <w:top w:val="single" w:color="000000" w:sz="4" w:space="0"/>
              <w:left w:val="single" w:color="000000" w:sz="4" w:space="0"/>
              <w:bottom w:val="single" w:color="000000" w:sz="4" w:space="0"/>
            </w:tcBorders>
          </w:tcPr>
          <w:p>
            <w:pPr>
              <w:pStyle w:val="14"/>
              <w:spacing w:before="62"/>
              <w:ind w:left="9" w:right="-15"/>
              <w:jc w:val="left"/>
              <w:rPr>
                <w:sz w:val="21"/>
              </w:rPr>
            </w:pPr>
            <w:r>
              <w:rPr>
                <w:spacing w:val="-9"/>
                <w:w w:val="95"/>
                <w:sz w:val="21"/>
              </w:rPr>
              <w:t>有专人负责，特别应建立起有效的沉陷与生态综合整治专门机构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280" w:type="dxa"/>
            <w:tcBorders>
              <w:top w:val="single" w:color="000000" w:sz="4" w:space="0"/>
              <w:bottom w:val="single" w:color="000000" w:sz="4" w:space="0"/>
              <w:right w:val="single" w:color="000000" w:sz="4" w:space="0"/>
            </w:tcBorders>
          </w:tcPr>
          <w:p>
            <w:pPr>
              <w:pStyle w:val="14"/>
              <w:spacing w:before="64"/>
              <w:ind w:left="47" w:right="27"/>
              <w:rPr>
                <w:sz w:val="21"/>
              </w:rPr>
            </w:pPr>
            <w:r>
              <w:rPr>
                <w:sz w:val="21"/>
              </w:rPr>
              <w:t>环境管理制度</w:t>
            </w:r>
          </w:p>
        </w:tc>
        <w:tc>
          <w:tcPr>
            <w:tcW w:w="5788" w:type="dxa"/>
            <w:tcBorders>
              <w:top w:val="single" w:color="000000" w:sz="4" w:space="0"/>
              <w:left w:val="single" w:color="000000" w:sz="4" w:space="0"/>
              <w:bottom w:val="single" w:color="000000" w:sz="4" w:space="0"/>
            </w:tcBorders>
          </w:tcPr>
          <w:p>
            <w:pPr>
              <w:pStyle w:val="14"/>
              <w:spacing w:before="64"/>
              <w:ind w:left="9"/>
              <w:jc w:val="left"/>
              <w:rPr>
                <w:sz w:val="21"/>
              </w:rPr>
            </w:pPr>
            <w:r>
              <w:rPr>
                <w:sz w:val="21"/>
              </w:rPr>
              <w:t>环境管理组织机构与管理制度健全、完善并纳入日常管理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280" w:type="dxa"/>
            <w:tcBorders>
              <w:top w:val="single" w:color="000000" w:sz="4" w:space="0"/>
              <w:bottom w:val="single" w:color="000000" w:sz="4" w:space="0"/>
              <w:right w:val="single" w:color="000000" w:sz="4" w:space="0"/>
            </w:tcBorders>
          </w:tcPr>
          <w:p>
            <w:pPr>
              <w:pStyle w:val="14"/>
              <w:spacing w:before="63"/>
              <w:ind w:left="47" w:right="27"/>
              <w:rPr>
                <w:sz w:val="21"/>
              </w:rPr>
            </w:pPr>
            <w:r>
              <w:rPr>
                <w:sz w:val="21"/>
              </w:rPr>
              <w:t>环境管理计划</w:t>
            </w:r>
          </w:p>
        </w:tc>
        <w:tc>
          <w:tcPr>
            <w:tcW w:w="5788" w:type="dxa"/>
            <w:tcBorders>
              <w:top w:val="single" w:color="000000" w:sz="4" w:space="0"/>
              <w:left w:val="single" w:color="000000" w:sz="4" w:space="0"/>
              <w:bottom w:val="single" w:color="000000" w:sz="4" w:space="0"/>
            </w:tcBorders>
          </w:tcPr>
          <w:p>
            <w:pPr>
              <w:pStyle w:val="14"/>
              <w:spacing w:before="63"/>
              <w:ind w:left="9"/>
              <w:jc w:val="left"/>
              <w:rPr>
                <w:sz w:val="21"/>
              </w:rPr>
            </w:pPr>
            <w:r>
              <w:rPr>
                <w:sz w:val="21"/>
              </w:rPr>
              <w:t>制定近、远期环境保护计划并监督实施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280" w:type="dxa"/>
            <w:tcBorders>
              <w:top w:val="single" w:color="000000" w:sz="4" w:space="0"/>
              <w:bottom w:val="single" w:color="000000" w:sz="4" w:space="0"/>
              <w:right w:val="single" w:color="000000" w:sz="4" w:space="0"/>
            </w:tcBorders>
          </w:tcPr>
          <w:p>
            <w:pPr>
              <w:pStyle w:val="14"/>
              <w:spacing w:before="62"/>
              <w:ind w:left="47" w:right="27"/>
              <w:rPr>
                <w:sz w:val="21"/>
              </w:rPr>
            </w:pPr>
            <w:r>
              <w:rPr>
                <w:sz w:val="21"/>
              </w:rPr>
              <w:t>环保设施的运行管理</w:t>
            </w:r>
          </w:p>
        </w:tc>
        <w:tc>
          <w:tcPr>
            <w:tcW w:w="5788" w:type="dxa"/>
            <w:tcBorders>
              <w:top w:val="single" w:color="000000" w:sz="4" w:space="0"/>
              <w:left w:val="single" w:color="000000" w:sz="4" w:space="0"/>
              <w:bottom w:val="single" w:color="000000" w:sz="4" w:space="0"/>
            </w:tcBorders>
          </w:tcPr>
          <w:p>
            <w:pPr>
              <w:pStyle w:val="14"/>
              <w:spacing w:before="62"/>
              <w:ind w:left="9"/>
              <w:jc w:val="left"/>
              <w:rPr>
                <w:sz w:val="21"/>
              </w:rPr>
            </w:pPr>
            <w:r>
              <w:rPr>
                <w:sz w:val="21"/>
              </w:rPr>
              <w:t>记录运行数据并建立环保档案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280" w:type="dxa"/>
            <w:tcBorders>
              <w:top w:val="single" w:color="000000" w:sz="4" w:space="0"/>
              <w:bottom w:val="single" w:color="000000" w:sz="4" w:space="0"/>
              <w:right w:val="single" w:color="000000" w:sz="4" w:space="0"/>
            </w:tcBorders>
          </w:tcPr>
          <w:p>
            <w:pPr>
              <w:pStyle w:val="14"/>
              <w:spacing w:before="64"/>
              <w:ind w:left="44" w:right="27"/>
              <w:rPr>
                <w:sz w:val="21"/>
              </w:rPr>
            </w:pPr>
            <w:r>
              <w:rPr>
                <w:sz w:val="21"/>
              </w:rPr>
              <w:t>污染源监测系统</w:t>
            </w:r>
          </w:p>
        </w:tc>
        <w:tc>
          <w:tcPr>
            <w:tcW w:w="5788" w:type="dxa"/>
            <w:tcBorders>
              <w:top w:val="single" w:color="000000" w:sz="4" w:space="0"/>
              <w:left w:val="single" w:color="000000" w:sz="4" w:space="0"/>
              <w:bottom w:val="single" w:color="000000" w:sz="4" w:space="0"/>
            </w:tcBorders>
          </w:tcPr>
          <w:p>
            <w:pPr>
              <w:pStyle w:val="14"/>
              <w:spacing w:before="64"/>
              <w:ind w:left="9"/>
              <w:jc w:val="left"/>
              <w:rPr>
                <w:sz w:val="21"/>
              </w:rPr>
            </w:pPr>
            <w:r>
              <w:rPr>
                <w:sz w:val="21"/>
              </w:rPr>
              <w:t>水、气主要污染源、主要污染物均具备监测手段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280" w:type="dxa"/>
            <w:tcBorders>
              <w:top w:val="single" w:color="000000" w:sz="4" w:space="0"/>
              <w:bottom w:val="single" w:color="000000" w:sz="4" w:space="0"/>
              <w:right w:val="single" w:color="000000" w:sz="4" w:space="0"/>
            </w:tcBorders>
          </w:tcPr>
          <w:p>
            <w:pPr>
              <w:pStyle w:val="14"/>
              <w:spacing w:before="63"/>
              <w:ind w:left="44" w:right="27"/>
              <w:rPr>
                <w:sz w:val="21"/>
              </w:rPr>
            </w:pPr>
            <w:r>
              <w:rPr>
                <w:sz w:val="21"/>
              </w:rPr>
              <w:t>信息交流</w:t>
            </w:r>
          </w:p>
        </w:tc>
        <w:tc>
          <w:tcPr>
            <w:tcW w:w="5788" w:type="dxa"/>
            <w:tcBorders>
              <w:top w:val="single" w:color="000000" w:sz="4" w:space="0"/>
              <w:left w:val="single" w:color="000000" w:sz="4" w:space="0"/>
              <w:bottom w:val="single" w:color="000000" w:sz="4" w:space="0"/>
            </w:tcBorders>
          </w:tcPr>
          <w:p>
            <w:pPr>
              <w:pStyle w:val="14"/>
              <w:spacing w:before="63"/>
              <w:ind w:left="9"/>
              <w:jc w:val="left"/>
              <w:rPr>
                <w:sz w:val="21"/>
              </w:rPr>
            </w:pPr>
            <w:r>
              <w:rPr>
                <w:sz w:val="21"/>
              </w:rPr>
              <w:t>具备计算机网络化管理系统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trPr>
        <w:tc>
          <w:tcPr>
            <w:tcW w:w="3280" w:type="dxa"/>
            <w:tcBorders>
              <w:top w:val="single" w:color="000000" w:sz="4" w:space="0"/>
              <w:right w:val="single" w:color="000000" w:sz="4" w:space="0"/>
            </w:tcBorders>
          </w:tcPr>
          <w:p>
            <w:pPr>
              <w:pStyle w:val="14"/>
              <w:spacing w:before="163"/>
              <w:ind w:left="47" w:right="27"/>
              <w:rPr>
                <w:sz w:val="21"/>
              </w:rPr>
            </w:pPr>
            <w:r>
              <w:rPr>
                <w:sz w:val="21"/>
              </w:rPr>
              <w:t>原辅料供应方、协作方、服务方</w:t>
            </w:r>
          </w:p>
        </w:tc>
        <w:tc>
          <w:tcPr>
            <w:tcW w:w="5788" w:type="dxa"/>
            <w:tcBorders>
              <w:top w:val="single" w:color="000000" w:sz="4" w:space="0"/>
              <w:left w:val="single" w:color="000000" w:sz="4" w:space="0"/>
            </w:tcBorders>
          </w:tcPr>
          <w:p>
            <w:pPr>
              <w:pStyle w:val="14"/>
              <w:ind w:left="9" w:right="-15"/>
              <w:jc w:val="left"/>
              <w:rPr>
                <w:sz w:val="21"/>
              </w:rPr>
            </w:pPr>
            <w:r>
              <w:rPr>
                <w:spacing w:val="-7"/>
                <w:w w:val="95"/>
                <w:sz w:val="21"/>
              </w:rPr>
              <w:t>服协及供货协议中要明确原辅料的包装、运输、装卸等过程中的</w:t>
            </w:r>
          </w:p>
          <w:p>
            <w:pPr>
              <w:pStyle w:val="14"/>
              <w:spacing w:before="57"/>
              <w:ind w:left="9"/>
              <w:jc w:val="left"/>
              <w:rPr>
                <w:sz w:val="21"/>
              </w:rPr>
            </w:pPr>
            <w:r>
              <w:rPr>
                <w:sz w:val="21"/>
              </w:rPr>
              <w:t>安全要求及环保要求</w:t>
            </w:r>
          </w:p>
        </w:tc>
      </w:tr>
    </w:tbl>
    <w:p>
      <w:pPr>
        <w:pStyle w:val="3"/>
        <w:numPr>
          <w:ilvl w:val="1"/>
          <w:numId w:val="78"/>
        </w:numPr>
        <w:tabs>
          <w:tab w:val="left" w:pos="836"/>
        </w:tabs>
        <w:spacing w:before="173" w:after="0" w:line="240" w:lineRule="auto"/>
        <w:ind w:left="836" w:right="0" w:hanging="601"/>
        <w:jc w:val="left"/>
      </w:pPr>
      <w:bookmarkStart w:id="1201" w:name="_bookmark70"/>
      <w:bookmarkEnd w:id="1201"/>
      <w:bookmarkStart w:id="1202" w:name="12.4清洁生产总体评价"/>
      <w:bookmarkEnd w:id="1202"/>
      <w:bookmarkStart w:id="1203" w:name="_bookmark70"/>
      <w:bookmarkEnd w:id="1203"/>
      <w:r>
        <w:t>清洁生产总体评价</w:t>
      </w:r>
    </w:p>
    <w:p>
      <w:pPr>
        <w:pStyle w:val="6"/>
        <w:spacing w:before="197" w:line="364" w:lineRule="auto"/>
        <w:ind w:left="235" w:right="117" w:firstLine="480"/>
      </w:pPr>
      <w:r>
        <w:rPr>
          <w:spacing w:val="-7"/>
        </w:rPr>
        <w:t>根据《清洁生产标准煤炭采选行业》</w:t>
      </w:r>
      <w:r>
        <w:rPr>
          <w:spacing w:val="-3"/>
        </w:rPr>
        <w:t>（</w:t>
      </w:r>
      <w:r>
        <w:rPr>
          <w:rFonts w:ascii="Times New Roman" w:eastAsia="Times New Roman"/>
          <w:spacing w:val="-3"/>
        </w:rPr>
        <w:t>HJ446-2008</w:t>
      </w:r>
      <w:r>
        <w:rPr>
          <w:spacing w:val="-3"/>
        </w:rPr>
        <w:t>）</w:t>
      </w:r>
      <w:r>
        <w:rPr>
          <w:spacing w:val="-5"/>
        </w:rPr>
        <w:t xml:space="preserve">要求。由上表中统计结果可知， </w:t>
      </w:r>
      <w:r>
        <w:t xml:space="preserve">本项目在可研中提出的生产工艺及装备、资源能源利用、产品及废物回收利用指标中， </w:t>
      </w:r>
      <w:r>
        <w:rPr>
          <w:spacing w:val="-10"/>
        </w:rPr>
        <w:t>除矿井水利用率外，各指标均满足清洁生产三级以上清洁生产水平，符合清洁生产要求。</w:t>
      </w:r>
    </w:p>
    <w:p>
      <w:pPr>
        <w:spacing w:after="0" w:line="364" w:lineRule="auto"/>
        <w:sectPr>
          <w:footerReference r:id="rId28" w:type="default"/>
          <w:pgSz w:w="11910" w:h="16840"/>
          <w:pgMar w:top="1580" w:right="1120" w:bottom="1320" w:left="1180" w:header="0" w:footer="1138" w:gutter="0"/>
          <w:pgNumType w:start="177"/>
        </w:sectPr>
      </w:pPr>
    </w:p>
    <w:p>
      <w:pPr>
        <w:pStyle w:val="3"/>
        <w:numPr>
          <w:ilvl w:val="1"/>
          <w:numId w:val="78"/>
        </w:numPr>
        <w:tabs>
          <w:tab w:val="left" w:pos="836"/>
        </w:tabs>
        <w:spacing w:before="46" w:after="0" w:line="240" w:lineRule="auto"/>
        <w:ind w:left="836" w:right="0" w:hanging="601"/>
        <w:jc w:val="left"/>
      </w:pPr>
      <w:bookmarkStart w:id="1204" w:name="12.5清洁生产建议"/>
      <w:bookmarkEnd w:id="1204"/>
      <w:bookmarkStart w:id="1205" w:name="_bookmark71"/>
      <w:bookmarkEnd w:id="1205"/>
      <w:bookmarkStart w:id="1206" w:name="_bookmark71"/>
      <w:bookmarkEnd w:id="1206"/>
      <w:r>
        <w:t>清洁生产建议</w:t>
      </w:r>
    </w:p>
    <w:p>
      <w:pPr>
        <w:pStyle w:val="6"/>
        <w:spacing w:before="199" w:line="364" w:lineRule="auto"/>
        <w:ind w:left="235" w:right="240" w:firstLine="480"/>
        <w:jc w:val="both"/>
      </w:pPr>
      <w:r>
        <w:t>清洁生产是企业可持续发展的必然选择，同时，清洁生产又是一个相对的、动态的概念，推行清洁生产本身是一个不断完善的过程，建议企业要适时的提出更新目标，将清洁生产不断的、长期的进行下去，实现企业的可持续发展。</w:t>
      </w:r>
    </w:p>
    <w:p>
      <w:pPr>
        <w:pStyle w:val="13"/>
        <w:numPr>
          <w:ilvl w:val="2"/>
          <w:numId w:val="78"/>
        </w:numPr>
        <w:tabs>
          <w:tab w:val="left" w:pos="1317"/>
        </w:tabs>
        <w:spacing w:before="110" w:after="0" w:line="343" w:lineRule="auto"/>
        <w:ind w:left="235" w:right="129" w:firstLine="480"/>
        <w:jc w:val="left"/>
        <w:rPr>
          <w:sz w:val="24"/>
        </w:rPr>
      </w:pPr>
      <w:r>
        <w:rPr>
          <w:spacing w:val="-1"/>
          <w:sz w:val="24"/>
        </w:rPr>
        <w:t xml:space="preserve">建立企业清洁生产组织和审核制度，不断的对员工进行清洁生产知识的培训， </w:t>
      </w:r>
      <w:r>
        <w:rPr>
          <w:sz w:val="24"/>
        </w:rPr>
        <w:t>提高他们对清洁生产的认识和自觉推行清洁生产的意识，明确个人在清洁生产工作中的职责，对厂内进行清洁生产审核，动态地实施清洁生产方案，建立清洁生产激励机制。</w:t>
      </w:r>
    </w:p>
    <w:p>
      <w:pPr>
        <w:pStyle w:val="13"/>
        <w:numPr>
          <w:ilvl w:val="2"/>
          <w:numId w:val="78"/>
        </w:numPr>
        <w:tabs>
          <w:tab w:val="left" w:pos="1317"/>
        </w:tabs>
        <w:spacing w:before="0" w:after="0" w:line="343" w:lineRule="auto"/>
        <w:ind w:left="235" w:right="237" w:firstLine="480"/>
        <w:jc w:val="left"/>
        <w:rPr>
          <w:sz w:val="24"/>
        </w:rPr>
      </w:pPr>
      <w:r>
        <w:rPr>
          <w:spacing w:val="-11"/>
          <w:sz w:val="24"/>
        </w:rPr>
        <w:t xml:space="preserve">建立并通过 </w:t>
      </w:r>
      <w:r>
        <w:rPr>
          <w:rFonts w:ascii="Times New Roman" w:eastAsia="Times New Roman"/>
          <w:sz w:val="24"/>
        </w:rPr>
        <w:t xml:space="preserve">ISO14000 </w:t>
      </w:r>
      <w:r>
        <w:rPr>
          <w:spacing w:val="-3"/>
          <w:sz w:val="24"/>
        </w:rPr>
        <w:t>国际环境管理体系，健全程序文件，按其要求进行持续</w:t>
      </w:r>
      <w:r>
        <w:rPr>
          <w:sz w:val="24"/>
        </w:rPr>
        <w:t>的管理。</w:t>
      </w:r>
    </w:p>
    <w:p>
      <w:pPr>
        <w:pStyle w:val="13"/>
        <w:numPr>
          <w:ilvl w:val="2"/>
          <w:numId w:val="78"/>
        </w:numPr>
        <w:tabs>
          <w:tab w:val="left" w:pos="1317"/>
        </w:tabs>
        <w:spacing w:before="0" w:after="0" w:line="343" w:lineRule="auto"/>
        <w:ind w:left="235" w:right="118" w:firstLine="480"/>
        <w:jc w:val="left"/>
        <w:rPr>
          <w:sz w:val="24"/>
        </w:rPr>
      </w:pPr>
      <w:r>
        <w:rPr>
          <w:spacing w:val="-9"/>
          <w:sz w:val="24"/>
        </w:rPr>
        <w:t>应加强环保设施及相关设备的正常运行，更好地、持续地进行清洁生产；另外</w:t>
      </w:r>
      <w:r>
        <w:rPr>
          <w:spacing w:val="-4"/>
          <w:sz w:val="24"/>
        </w:rPr>
        <w:t>，重视人员的技能培训，对整个生产过程进行有效管理，根据有关环保法规和节能、节水以及污染物总量控制规定，明确定量产品的定量消耗指标，实现最低的物耗、能耗、水耗和最小污染物排放量，进一步提高企业清洁生产水平。</w:t>
      </w:r>
    </w:p>
    <w:p>
      <w:pPr>
        <w:pStyle w:val="13"/>
        <w:numPr>
          <w:ilvl w:val="2"/>
          <w:numId w:val="78"/>
        </w:numPr>
        <w:tabs>
          <w:tab w:val="left" w:pos="1317"/>
        </w:tabs>
        <w:spacing w:before="2" w:after="0" w:line="343" w:lineRule="auto"/>
        <w:ind w:left="235" w:right="238" w:firstLine="480"/>
        <w:jc w:val="left"/>
        <w:rPr>
          <w:sz w:val="24"/>
        </w:rPr>
      </w:pPr>
      <w:r>
        <w:rPr>
          <w:spacing w:val="-4"/>
          <w:sz w:val="24"/>
        </w:rPr>
        <w:t>继续在技术工艺和设备上跟踪国际先进生产，以实现清洁生产持续改进，达到节能、降耗、减污、增效的目的，缩短同国际清洁生产水平的差距。</w:t>
      </w:r>
    </w:p>
    <w:p>
      <w:pPr>
        <w:pStyle w:val="13"/>
        <w:numPr>
          <w:ilvl w:val="2"/>
          <w:numId w:val="78"/>
        </w:numPr>
        <w:tabs>
          <w:tab w:val="left" w:pos="1317"/>
        </w:tabs>
        <w:spacing w:before="0" w:after="0" w:line="306" w:lineRule="exact"/>
        <w:ind w:left="1317" w:right="0" w:hanging="601"/>
        <w:jc w:val="left"/>
        <w:rPr>
          <w:sz w:val="24"/>
        </w:rPr>
      </w:pPr>
      <w:r>
        <w:rPr>
          <w:sz w:val="24"/>
        </w:rPr>
        <w:t>建立健全环境管理制度、污染源监测系。</w:t>
      </w:r>
    </w:p>
    <w:p>
      <w:pPr>
        <w:spacing w:after="0" w:line="306" w:lineRule="exact"/>
        <w:jc w:val="left"/>
        <w:rPr>
          <w:sz w:val="24"/>
        </w:rPr>
        <w:sectPr>
          <w:pgSz w:w="11910" w:h="16840"/>
          <w:pgMar w:top="1540" w:right="1120" w:bottom="1320" w:left="1180" w:header="0" w:footer="1138" w:gutter="0"/>
        </w:sectPr>
      </w:pPr>
    </w:p>
    <w:p>
      <w:pPr>
        <w:pStyle w:val="2"/>
        <w:numPr>
          <w:ilvl w:val="0"/>
          <w:numId w:val="62"/>
        </w:numPr>
        <w:tabs>
          <w:tab w:val="left" w:pos="3131"/>
        </w:tabs>
        <w:spacing w:before="46" w:after="0" w:line="240" w:lineRule="auto"/>
        <w:ind w:left="3130" w:right="0" w:hanging="632"/>
        <w:jc w:val="left"/>
      </w:pPr>
      <w:bookmarkStart w:id="1207" w:name="_bookmark72"/>
      <w:bookmarkEnd w:id="1207"/>
      <w:bookmarkStart w:id="1208" w:name="_bookmark72"/>
      <w:bookmarkEnd w:id="1208"/>
      <w:bookmarkStart w:id="1209" w:name="13. 环境管理与环境监测计划"/>
      <w:bookmarkEnd w:id="1209"/>
      <w:r>
        <w:t>环境管理与环境监测计划</w:t>
      </w:r>
    </w:p>
    <w:p>
      <w:pPr>
        <w:pStyle w:val="4"/>
        <w:numPr>
          <w:ilvl w:val="1"/>
          <w:numId w:val="79"/>
        </w:numPr>
        <w:tabs>
          <w:tab w:val="left" w:pos="868"/>
        </w:tabs>
        <w:spacing w:before="240" w:after="0" w:line="240" w:lineRule="auto"/>
        <w:ind w:left="867" w:right="0" w:hanging="633"/>
        <w:jc w:val="left"/>
        <w:rPr>
          <w:rFonts w:ascii="Times New Roman" w:eastAsia="Times New Roman"/>
        </w:rPr>
      </w:pPr>
      <w:bookmarkStart w:id="1210" w:name="_bookmark73"/>
      <w:bookmarkEnd w:id="1210"/>
      <w:bookmarkStart w:id="1211" w:name="13.1 建设期环境管理和环境监理"/>
      <w:bookmarkEnd w:id="1211"/>
      <w:bookmarkStart w:id="1212" w:name="_bookmark73"/>
      <w:bookmarkEnd w:id="1212"/>
      <w:r>
        <w:t>建设期环境管理和环境监理</w:t>
      </w:r>
    </w:p>
    <w:p>
      <w:pPr>
        <w:pStyle w:val="6"/>
        <w:spacing w:before="186" w:line="362" w:lineRule="auto"/>
        <w:ind w:left="235" w:right="89" w:firstLine="420"/>
      </w:pPr>
      <w:r>
        <w:t xml:space="preserve">本项目的施工期是对生态环境影响较大的时期，为确保各项环保措施的落实，最大限度地减轻施工作业对环境的影响，建议项目施工期间建立施工期 </w:t>
      </w:r>
      <w:r>
        <w:rPr>
          <w:rFonts w:ascii="Times New Roman" w:eastAsia="Times New Roman"/>
        </w:rPr>
        <w:t xml:space="preserve">HSE </w:t>
      </w:r>
      <w:r>
        <w:t>环境管理体系、引入环境监理、监督机制尤为重要。</w:t>
      </w:r>
    </w:p>
    <w:p>
      <w:pPr>
        <w:pStyle w:val="6"/>
        <w:spacing w:before="6" w:line="364" w:lineRule="auto"/>
        <w:ind w:left="235" w:right="241" w:firstLine="420"/>
      </w:pPr>
      <w:r>
        <w:t>此外，施工承包方的管理水平好坏将直接关系到施工期环境管理的好坏，为此，在施工单位的选择与管理上应提出如下要求：</w:t>
      </w:r>
    </w:p>
    <w:p>
      <w:pPr>
        <w:pStyle w:val="13"/>
        <w:numPr>
          <w:ilvl w:val="2"/>
          <w:numId w:val="79"/>
        </w:numPr>
        <w:tabs>
          <w:tab w:val="left" w:pos="1257"/>
        </w:tabs>
        <w:spacing w:before="0" w:after="0" w:line="364" w:lineRule="auto"/>
        <w:ind w:left="235" w:right="238" w:firstLine="420"/>
        <w:jc w:val="both"/>
        <w:rPr>
          <w:sz w:val="24"/>
        </w:rPr>
      </w:pPr>
      <w:r>
        <w:rPr>
          <w:spacing w:val="-5"/>
          <w:sz w:val="24"/>
        </w:rPr>
        <w:t>在技术装备、人员素质等同的条件下，选择环境管理水平高、环保业绩好的承</w:t>
      </w:r>
      <w:r>
        <w:rPr>
          <w:spacing w:val="-1"/>
          <w:sz w:val="24"/>
        </w:rPr>
        <w:t>包方。施工期对环境的破坏程度与施工承包方的素质和管理水平有直接的关系，因此在工程招标过程中，对施工承包方的选择，除要考虑实力、人员素质和技术装备外，还要</w:t>
      </w:r>
      <w:r>
        <w:rPr>
          <w:spacing w:val="-16"/>
          <w:sz w:val="24"/>
        </w:rPr>
        <w:t xml:space="preserve">考虑其 </w:t>
      </w:r>
      <w:r>
        <w:rPr>
          <w:rFonts w:ascii="Times New Roman" w:eastAsia="Times New Roman"/>
          <w:sz w:val="24"/>
        </w:rPr>
        <w:t>HSE</w:t>
      </w:r>
      <w:r>
        <w:rPr>
          <w:rFonts w:ascii="Times New Roman" w:eastAsia="Times New Roman"/>
          <w:spacing w:val="-1"/>
          <w:sz w:val="24"/>
        </w:rPr>
        <w:t xml:space="preserve"> </w:t>
      </w:r>
      <w:r>
        <w:rPr>
          <w:spacing w:val="-6"/>
          <w:sz w:val="24"/>
        </w:rPr>
        <w:t xml:space="preserve">的业绩，优先选择那些 </w:t>
      </w:r>
      <w:r>
        <w:rPr>
          <w:rFonts w:ascii="Times New Roman" w:eastAsia="Times New Roman"/>
          <w:sz w:val="24"/>
        </w:rPr>
        <w:t>HSE</w:t>
      </w:r>
      <w:r>
        <w:rPr>
          <w:rFonts w:ascii="Times New Roman" w:eastAsia="Times New Roman"/>
          <w:spacing w:val="-1"/>
          <w:sz w:val="24"/>
        </w:rPr>
        <w:t xml:space="preserve"> </w:t>
      </w:r>
      <w:r>
        <w:rPr>
          <w:sz w:val="24"/>
        </w:rPr>
        <w:t>管理水平高、环保业绩好的队伍。</w:t>
      </w:r>
    </w:p>
    <w:p>
      <w:pPr>
        <w:pStyle w:val="13"/>
        <w:numPr>
          <w:ilvl w:val="2"/>
          <w:numId w:val="79"/>
        </w:numPr>
        <w:tabs>
          <w:tab w:val="left" w:pos="1257"/>
        </w:tabs>
        <w:spacing w:before="0" w:after="0" w:line="364" w:lineRule="auto"/>
        <w:ind w:left="235" w:right="238" w:firstLine="420"/>
        <w:jc w:val="both"/>
        <w:rPr>
          <w:sz w:val="24"/>
        </w:rPr>
      </w:pPr>
      <w:r>
        <w:rPr>
          <w:spacing w:val="-3"/>
          <w:sz w:val="24"/>
        </w:rPr>
        <w:t>在承包合同中应明确承包方的环保责任和义务，将有关环境保护条款，如环境</w:t>
      </w:r>
      <w:r>
        <w:rPr>
          <w:spacing w:val="-1"/>
          <w:sz w:val="24"/>
        </w:rPr>
        <w:t>保护目标、采取的水、气、声、生态保护及水土保持措施等，列入合同当中，并将环保</w:t>
      </w:r>
      <w:r>
        <w:rPr>
          <w:sz w:val="24"/>
        </w:rPr>
        <w:t>工作的好坏作为工程验收的标准之一。</w:t>
      </w:r>
    </w:p>
    <w:p>
      <w:pPr>
        <w:pStyle w:val="13"/>
        <w:numPr>
          <w:ilvl w:val="2"/>
          <w:numId w:val="79"/>
        </w:numPr>
        <w:tabs>
          <w:tab w:val="left" w:pos="1264"/>
        </w:tabs>
        <w:spacing w:before="0" w:after="0" w:line="364" w:lineRule="auto"/>
        <w:ind w:left="235" w:right="238" w:firstLine="420"/>
        <w:jc w:val="both"/>
        <w:rPr>
          <w:sz w:val="24"/>
        </w:rPr>
      </w:pPr>
      <w:r>
        <w:rPr>
          <w:spacing w:val="-2"/>
          <w:sz w:val="24"/>
        </w:rPr>
        <w:t xml:space="preserve">施工承包方应按公司的要求，建立相应的 </w:t>
      </w:r>
      <w:r>
        <w:rPr>
          <w:rFonts w:ascii="Times New Roman" w:eastAsia="Times New Roman"/>
          <w:sz w:val="24"/>
        </w:rPr>
        <w:t>HSE</w:t>
      </w:r>
      <w:r>
        <w:rPr>
          <w:rFonts w:ascii="Times New Roman" w:eastAsia="Times New Roman"/>
          <w:spacing w:val="21"/>
          <w:sz w:val="24"/>
        </w:rPr>
        <w:t xml:space="preserve"> </w:t>
      </w:r>
      <w:r>
        <w:rPr>
          <w:sz w:val="24"/>
        </w:rPr>
        <w:t>管理机构，明确管理人员及其</w:t>
      </w:r>
      <w:r>
        <w:rPr>
          <w:spacing w:val="-1"/>
          <w:sz w:val="24"/>
        </w:rPr>
        <w:t>相应的职责等。在施工作业前，应编制详细的环境管理方案，连同施工计划一起呈报公</w:t>
      </w:r>
      <w:r>
        <w:rPr>
          <w:spacing w:val="-21"/>
          <w:sz w:val="24"/>
        </w:rPr>
        <w:t xml:space="preserve">司的 </w:t>
      </w:r>
      <w:r>
        <w:rPr>
          <w:rFonts w:ascii="Times New Roman" w:eastAsia="Times New Roman"/>
          <w:sz w:val="24"/>
        </w:rPr>
        <w:t>HSE</w:t>
      </w:r>
      <w:r>
        <w:rPr>
          <w:rFonts w:ascii="Times New Roman" w:eastAsia="Times New Roman"/>
          <w:spacing w:val="-1"/>
          <w:sz w:val="24"/>
        </w:rPr>
        <w:t xml:space="preserve"> </w:t>
      </w:r>
      <w:r>
        <w:rPr>
          <w:sz w:val="24"/>
        </w:rPr>
        <w:t>部门及其他相关环保部门。环境管理方案应包括以下措施：</w:t>
      </w:r>
    </w:p>
    <w:p>
      <w:pPr>
        <w:pStyle w:val="6"/>
        <w:spacing w:line="307" w:lineRule="exact"/>
        <w:ind w:left="656"/>
      </w:pPr>
      <w:r>
        <w:t>①减少施工扬尘、粉尘、施工机械及车辆废气排放等大气污染防治措施；</w:t>
      </w:r>
    </w:p>
    <w:p>
      <w:pPr>
        <w:pStyle w:val="6"/>
        <w:spacing w:before="154" w:line="362" w:lineRule="auto"/>
        <w:ind w:left="235" w:right="238" w:firstLine="420"/>
      </w:pPr>
      <w:r>
        <w:t>②降低施工机械及车辆噪声、施工噪声，以及在噪声敏感区设置隔声设施等防治噪声污染的措施；</w:t>
      </w:r>
    </w:p>
    <w:p>
      <w:pPr>
        <w:pStyle w:val="6"/>
        <w:spacing w:before="5" w:line="362" w:lineRule="auto"/>
        <w:ind w:left="235" w:right="238" w:firstLine="420"/>
      </w:pPr>
      <w:r>
        <w:t>③减少施工废水、生活污水排放，并加以妥善处理，防止污染地表水环境的措施， 在地表水源保护区施工时必须采取有针对性地保护措施；</w:t>
      </w:r>
    </w:p>
    <w:p>
      <w:pPr>
        <w:pStyle w:val="6"/>
        <w:spacing w:before="5"/>
        <w:ind w:left="656"/>
      </w:pPr>
      <w:r>
        <w:t>④施工废渣、生活垃圾等处理处置措施；</w:t>
      </w:r>
    </w:p>
    <w:p>
      <w:pPr>
        <w:pStyle w:val="6"/>
        <w:spacing w:before="160" w:line="362" w:lineRule="auto"/>
        <w:ind w:left="235" w:right="238" w:firstLine="420"/>
      </w:pPr>
      <w:r>
        <w:t>⑤限定施工活动范围、减少施工作业对土壤和植被的扰动和破坏、保护动植物等生态保护措施。</w:t>
      </w:r>
    </w:p>
    <w:p>
      <w:pPr>
        <w:pStyle w:val="13"/>
        <w:numPr>
          <w:ilvl w:val="2"/>
          <w:numId w:val="79"/>
        </w:numPr>
        <w:tabs>
          <w:tab w:val="left" w:pos="1264"/>
        </w:tabs>
        <w:spacing w:before="5" w:after="0" w:line="364" w:lineRule="auto"/>
        <w:ind w:left="235" w:right="238" w:firstLine="420"/>
        <w:jc w:val="both"/>
        <w:rPr>
          <w:sz w:val="24"/>
        </w:rPr>
      </w:pPr>
      <w:r>
        <w:rPr>
          <w:spacing w:val="-3"/>
          <w:sz w:val="24"/>
        </w:rPr>
        <w:t xml:space="preserve">施工单位要严格执行施工前的 </w:t>
      </w:r>
      <w:r>
        <w:rPr>
          <w:rFonts w:ascii="Times New Roman" w:eastAsia="Times New Roman"/>
          <w:sz w:val="24"/>
        </w:rPr>
        <w:t>HSE</w:t>
      </w:r>
      <w:r>
        <w:rPr>
          <w:rFonts w:ascii="Times New Roman" w:eastAsia="Times New Roman"/>
          <w:spacing w:val="21"/>
          <w:sz w:val="24"/>
        </w:rPr>
        <w:t xml:space="preserve"> </w:t>
      </w:r>
      <w:r>
        <w:rPr>
          <w:sz w:val="24"/>
        </w:rPr>
        <w:t>培训考核制度，施工人员必须经过相关部</w:t>
      </w:r>
      <w:r>
        <w:rPr>
          <w:spacing w:val="-1"/>
          <w:sz w:val="24"/>
        </w:rPr>
        <w:t>门的环保知识的宣传、教育和培训考核之后，成绩合格者方能进行施工，施工时要做到</w:t>
      </w:r>
      <w:r>
        <w:rPr>
          <w:sz w:val="24"/>
        </w:rPr>
        <w:t>文明施工，环保施工。</w:t>
      </w:r>
    </w:p>
    <w:p>
      <w:pPr>
        <w:spacing w:after="0" w:line="364" w:lineRule="auto"/>
        <w:jc w:val="both"/>
        <w:rPr>
          <w:sz w:val="24"/>
        </w:rPr>
        <w:sectPr>
          <w:pgSz w:w="11910" w:h="16840"/>
          <w:pgMar w:top="1540" w:right="1120" w:bottom="1320" w:left="1180" w:header="0" w:footer="1138" w:gutter="0"/>
        </w:sectPr>
      </w:pPr>
    </w:p>
    <w:p>
      <w:pPr>
        <w:pStyle w:val="13"/>
        <w:numPr>
          <w:ilvl w:val="2"/>
          <w:numId w:val="79"/>
        </w:numPr>
        <w:tabs>
          <w:tab w:val="left" w:pos="1257"/>
        </w:tabs>
        <w:spacing w:before="66" w:after="0" w:line="364" w:lineRule="auto"/>
        <w:ind w:left="235" w:right="238" w:firstLine="420"/>
        <w:jc w:val="both"/>
        <w:rPr>
          <w:sz w:val="24"/>
        </w:rPr>
      </w:pPr>
      <w:r>
        <w:rPr>
          <w:spacing w:val="-3"/>
          <w:sz w:val="24"/>
        </w:rPr>
        <w:t>施工单位要严格执行施工期的各项环保规定，落实各项环保措施，按要求选择</w:t>
      </w:r>
      <w:r>
        <w:rPr>
          <w:spacing w:val="-1"/>
          <w:sz w:val="24"/>
        </w:rPr>
        <w:t>适宜的施工时间、尽量缩小施工范围、废渣和垃圾集中堆放、泥浆和废土等按规定进行</w:t>
      </w:r>
      <w:r>
        <w:rPr>
          <w:sz w:val="24"/>
        </w:rPr>
        <w:t>处置、施工结束后做到工完料净、按规定对土地进行恢复。</w:t>
      </w:r>
    </w:p>
    <w:p>
      <w:pPr>
        <w:pStyle w:val="13"/>
        <w:numPr>
          <w:ilvl w:val="2"/>
          <w:numId w:val="79"/>
        </w:numPr>
        <w:tabs>
          <w:tab w:val="left" w:pos="1257"/>
        </w:tabs>
        <w:spacing w:before="0" w:after="0" w:line="364" w:lineRule="auto"/>
        <w:ind w:left="235" w:right="238" w:firstLine="420"/>
        <w:jc w:val="left"/>
        <w:rPr>
          <w:sz w:val="24"/>
        </w:rPr>
      </w:pPr>
      <w:r>
        <w:rPr>
          <w:spacing w:val="-4"/>
          <w:sz w:val="24"/>
        </w:rPr>
        <w:t>为加强管理施工单位作业范围，明确施工人员作业区域，应在施工作业带两侧</w:t>
      </w:r>
      <w:r>
        <w:rPr>
          <w:sz w:val="24"/>
        </w:rPr>
        <w:t>树立明显标志，严禁跨区域施工。</w:t>
      </w:r>
    </w:p>
    <w:p>
      <w:pPr>
        <w:pStyle w:val="13"/>
        <w:numPr>
          <w:ilvl w:val="2"/>
          <w:numId w:val="79"/>
        </w:numPr>
        <w:tabs>
          <w:tab w:val="left" w:pos="1257"/>
        </w:tabs>
        <w:spacing w:before="0" w:after="0" w:line="364" w:lineRule="auto"/>
        <w:ind w:left="235" w:right="238" w:firstLine="420"/>
        <w:jc w:val="left"/>
        <w:rPr>
          <w:sz w:val="24"/>
        </w:rPr>
      </w:pPr>
      <w:r>
        <w:rPr>
          <w:spacing w:val="-3"/>
          <w:sz w:val="24"/>
        </w:rPr>
        <w:t>建设单位的环境监管人员应随时对施工现场的环保设施、作业环境，以及环保</w:t>
      </w:r>
      <w:r>
        <w:rPr>
          <w:sz w:val="24"/>
        </w:rPr>
        <w:t>措施的落实执行情况进行认真的检查，并做好记录。</w:t>
      </w:r>
    </w:p>
    <w:p>
      <w:pPr>
        <w:pStyle w:val="13"/>
        <w:numPr>
          <w:ilvl w:val="2"/>
          <w:numId w:val="79"/>
        </w:numPr>
        <w:tabs>
          <w:tab w:val="left" w:pos="1257"/>
        </w:tabs>
        <w:spacing w:before="0" w:after="0" w:line="240" w:lineRule="auto"/>
        <w:ind w:left="1257" w:right="0" w:hanging="601"/>
        <w:jc w:val="left"/>
        <w:rPr>
          <w:sz w:val="24"/>
        </w:rPr>
      </w:pPr>
      <w:r>
        <w:rPr>
          <w:sz w:val="24"/>
        </w:rPr>
        <w:t>对施工中出现的与环保有关的问题进行及时的协调和解决。</w:t>
      </w:r>
    </w:p>
    <w:p>
      <w:pPr>
        <w:pStyle w:val="13"/>
        <w:numPr>
          <w:ilvl w:val="2"/>
          <w:numId w:val="79"/>
        </w:numPr>
        <w:tabs>
          <w:tab w:val="left" w:pos="1257"/>
        </w:tabs>
        <w:spacing w:before="155" w:after="0" w:line="362" w:lineRule="auto"/>
        <w:ind w:left="235" w:right="237" w:firstLine="420"/>
        <w:jc w:val="left"/>
        <w:rPr>
          <w:sz w:val="24"/>
        </w:rPr>
      </w:pPr>
      <w:r>
        <w:rPr>
          <w:spacing w:val="-3"/>
          <w:sz w:val="24"/>
        </w:rPr>
        <w:t>施工单位应根据当地环境合理选择布设施工营地，制定施工营地管理条例，条</w:t>
      </w:r>
      <w:r>
        <w:rPr>
          <w:sz w:val="24"/>
        </w:rPr>
        <w:t>例中应包括对人员活动范围、生活垃圾及其他废物的管理。</w:t>
      </w:r>
    </w:p>
    <w:p>
      <w:pPr>
        <w:pStyle w:val="4"/>
        <w:numPr>
          <w:ilvl w:val="1"/>
          <w:numId w:val="79"/>
        </w:numPr>
        <w:tabs>
          <w:tab w:val="left" w:pos="798"/>
        </w:tabs>
        <w:spacing w:before="6" w:after="0" w:line="240" w:lineRule="auto"/>
        <w:ind w:left="797" w:right="0" w:hanging="563"/>
        <w:jc w:val="left"/>
        <w:rPr>
          <w:rFonts w:ascii="Times New Roman" w:eastAsia="Times New Roman"/>
        </w:rPr>
      </w:pPr>
      <w:bookmarkStart w:id="1213" w:name="_bookmark74"/>
      <w:bookmarkEnd w:id="1213"/>
      <w:bookmarkStart w:id="1214" w:name="_bookmark74"/>
      <w:bookmarkEnd w:id="1214"/>
      <w:bookmarkStart w:id="1215" w:name="13.2环境管理机构及职责"/>
      <w:bookmarkEnd w:id="1215"/>
      <w:r>
        <w:t>环境管理机构及职责</w:t>
      </w:r>
    </w:p>
    <w:p>
      <w:pPr>
        <w:pStyle w:val="5"/>
        <w:numPr>
          <w:ilvl w:val="2"/>
          <w:numId w:val="80"/>
        </w:numPr>
        <w:tabs>
          <w:tab w:val="left" w:pos="896"/>
        </w:tabs>
        <w:spacing w:before="185" w:after="0" w:line="240" w:lineRule="auto"/>
        <w:ind w:left="896" w:right="0" w:hanging="661"/>
        <w:jc w:val="left"/>
      </w:pPr>
      <w:bookmarkStart w:id="1216" w:name="13.2.1环境管理目的"/>
      <w:bookmarkEnd w:id="1216"/>
      <w:bookmarkStart w:id="1217" w:name="13.2.1环境管理目的"/>
      <w:bookmarkEnd w:id="1217"/>
      <w:r>
        <w:t>环境管理目的</w:t>
      </w:r>
    </w:p>
    <w:p>
      <w:pPr>
        <w:pStyle w:val="6"/>
        <w:spacing w:before="161" w:line="364" w:lineRule="auto"/>
        <w:ind w:left="235" w:right="238" w:firstLine="420"/>
        <w:jc w:val="both"/>
      </w:pPr>
      <w:r>
        <w:t>通过环境管理，使工程环保措施得以落实，及时发现和改进环保措施的不足之处， 以便有效地控制环境污染。使工程建设符合国家经济建设和环境保护的有关要求，使地方环保部门具有可监督的依据。监督检查</w:t>
      </w:r>
      <w:r>
        <w:rPr>
          <w:rFonts w:ascii="Times New Roman" w:hAnsi="Times New Roman" w:eastAsia="Times New Roman"/>
        </w:rPr>
        <w:t>“</w:t>
      </w:r>
      <w:r>
        <w:t>三同时</w:t>
      </w:r>
      <w:r>
        <w:rPr>
          <w:rFonts w:ascii="Times New Roman" w:hAnsi="Times New Roman" w:eastAsia="Times New Roman"/>
        </w:rPr>
        <w:t>”</w:t>
      </w:r>
      <w:r>
        <w:t>方针的执行情况。通过环保措施的实施及环境管理，把矿山建设对周围环境带来的不利影响，减轻到最低程度。</w:t>
      </w:r>
    </w:p>
    <w:p>
      <w:pPr>
        <w:pStyle w:val="5"/>
        <w:numPr>
          <w:ilvl w:val="2"/>
          <w:numId w:val="80"/>
        </w:numPr>
        <w:tabs>
          <w:tab w:val="left" w:pos="896"/>
        </w:tabs>
        <w:spacing w:before="0" w:after="0" w:line="303" w:lineRule="exact"/>
        <w:ind w:left="896" w:right="0" w:hanging="661"/>
        <w:jc w:val="left"/>
      </w:pPr>
      <w:bookmarkStart w:id="1218" w:name="13.2.2环境管理体系"/>
      <w:bookmarkEnd w:id="1218"/>
      <w:bookmarkStart w:id="1219" w:name="13.2.2环境管理体系"/>
      <w:bookmarkEnd w:id="1219"/>
      <w:r>
        <w:t>环境管理体系</w:t>
      </w:r>
    </w:p>
    <w:p>
      <w:pPr>
        <w:pStyle w:val="6"/>
        <w:spacing w:before="160" w:line="364" w:lineRule="auto"/>
        <w:ind w:left="235" w:right="113" w:firstLine="480"/>
      </w:pPr>
      <w:r>
        <w:t>企业环境管理体系作为企业管理体系中的一部分，应与之相协调统一。实行企业矿长领导下的</w:t>
      </w:r>
      <w:r>
        <w:rPr>
          <w:rFonts w:ascii="Times New Roman" w:hAnsi="Times New Roman" w:eastAsia="Times New Roman"/>
        </w:rPr>
        <w:t>“</w:t>
      </w:r>
      <w:r>
        <w:rPr>
          <w:spacing w:val="-9"/>
        </w:rPr>
        <w:t>一人主管，分工负责；职能部门，各负其责；落实基层，监督考核</w:t>
      </w:r>
      <w:r>
        <w:rPr>
          <w:rFonts w:ascii="Times New Roman" w:hAnsi="Times New Roman" w:eastAsia="Times New Roman"/>
        </w:rPr>
        <w:t>”</w:t>
      </w:r>
      <w:r>
        <w:rPr>
          <w:spacing w:val="-4"/>
        </w:rPr>
        <w:t xml:space="preserve">的原则， </w:t>
      </w:r>
      <w:r>
        <w:t>建立以企业领导为核心，环保人员为基础的全员责任制的环境管理体系。使环境管理贯穿于企业管理的整个过程，并落实到企业的各个层次，分解到生产的各个环节，把企业管理与环境管理紧密地结合起来，不但要建立完善的企业管理体系和各项规章制度，也要建立完善的环境管理体系和各项规章制度，使企业的环境管理工作真正落到实处。</w:t>
      </w:r>
    </w:p>
    <w:p>
      <w:pPr>
        <w:pStyle w:val="6"/>
        <w:spacing w:line="364" w:lineRule="auto"/>
        <w:ind w:left="235" w:right="118" w:firstLine="480"/>
      </w:pPr>
      <w:r>
        <w:t>本项目建设后，应设兼职环保监督人员，配备必要的现代化管理手段；建立严格的环保岗位责任制；另外应建立计算机辅助管理系统，使之更好地利用经济、技术、行政</w:t>
      </w:r>
      <w:r>
        <w:rPr>
          <w:spacing w:val="-12"/>
        </w:rPr>
        <w:t xml:space="preserve">和教育手段，对损害环境质量的生产活动加以限制，协调好发展经济与环境保护的关系， </w:t>
      </w:r>
      <w:r>
        <w:t>使经济效益与环境效益相协调统一。</w:t>
      </w:r>
    </w:p>
    <w:p>
      <w:pPr>
        <w:pStyle w:val="5"/>
        <w:numPr>
          <w:ilvl w:val="2"/>
          <w:numId w:val="80"/>
        </w:numPr>
        <w:tabs>
          <w:tab w:val="left" w:pos="956"/>
        </w:tabs>
        <w:spacing w:before="0" w:after="0" w:line="305" w:lineRule="exact"/>
        <w:ind w:left="956" w:right="0" w:hanging="721"/>
        <w:jc w:val="left"/>
      </w:pPr>
      <w:bookmarkStart w:id="1220" w:name="13.2.3 环保管理职责"/>
      <w:bookmarkEnd w:id="1220"/>
      <w:bookmarkStart w:id="1221" w:name="13.2.3 环保管理职责"/>
      <w:bookmarkEnd w:id="1221"/>
      <w:r>
        <w:t>环保管理职责</w:t>
      </w:r>
    </w:p>
    <w:p>
      <w:pPr>
        <w:pStyle w:val="13"/>
        <w:numPr>
          <w:ilvl w:val="3"/>
          <w:numId w:val="80"/>
        </w:numPr>
        <w:tabs>
          <w:tab w:val="left" w:pos="1317"/>
        </w:tabs>
        <w:spacing w:before="157" w:after="0" w:line="240" w:lineRule="auto"/>
        <w:ind w:left="1317" w:right="0" w:hanging="601"/>
        <w:jc w:val="left"/>
        <w:rPr>
          <w:sz w:val="24"/>
        </w:rPr>
      </w:pPr>
      <w:r>
        <w:rPr>
          <w:sz w:val="24"/>
        </w:rPr>
        <w:t>贯彻执行国家及地方环境保护的有关方针、政策、法规等。</w:t>
      </w:r>
    </w:p>
    <w:p>
      <w:pPr>
        <w:spacing w:after="0" w:line="240" w:lineRule="auto"/>
        <w:jc w:val="left"/>
        <w:rPr>
          <w:sz w:val="24"/>
        </w:rPr>
        <w:sectPr>
          <w:footerReference r:id="rId29" w:type="default"/>
          <w:pgSz w:w="11910" w:h="16840"/>
          <w:pgMar w:top="1520" w:right="1120" w:bottom="1240" w:left="1180" w:header="0" w:footer="1058" w:gutter="0"/>
          <w:pgNumType w:start="180"/>
        </w:sectPr>
      </w:pPr>
    </w:p>
    <w:p>
      <w:pPr>
        <w:pStyle w:val="13"/>
        <w:numPr>
          <w:ilvl w:val="3"/>
          <w:numId w:val="80"/>
        </w:numPr>
        <w:tabs>
          <w:tab w:val="left" w:pos="1317"/>
        </w:tabs>
        <w:spacing w:before="66" w:after="0" w:line="362" w:lineRule="auto"/>
        <w:ind w:left="235" w:right="238" w:firstLine="480"/>
        <w:jc w:val="left"/>
        <w:rPr>
          <w:sz w:val="24"/>
        </w:rPr>
      </w:pPr>
      <w:r>
        <w:rPr>
          <w:spacing w:val="-5"/>
          <w:sz w:val="24"/>
        </w:rPr>
        <w:t>结合本企业情况及排污特点，制定企业的环境管理计划和环境监测计划，并</w:t>
      </w:r>
      <w:r>
        <w:rPr>
          <w:spacing w:val="-4"/>
          <w:sz w:val="24"/>
        </w:rPr>
        <w:t>监督落实。</w:t>
      </w:r>
    </w:p>
    <w:p>
      <w:pPr>
        <w:pStyle w:val="13"/>
        <w:numPr>
          <w:ilvl w:val="3"/>
          <w:numId w:val="80"/>
        </w:numPr>
        <w:tabs>
          <w:tab w:val="left" w:pos="1317"/>
        </w:tabs>
        <w:spacing w:before="5" w:after="0" w:line="362" w:lineRule="auto"/>
        <w:ind w:left="235" w:right="238" w:firstLine="480"/>
        <w:jc w:val="left"/>
        <w:rPr>
          <w:sz w:val="24"/>
        </w:rPr>
      </w:pPr>
      <w:r>
        <w:rPr>
          <w:spacing w:val="-8"/>
          <w:sz w:val="24"/>
        </w:rPr>
        <w:t>审定，落实并督促实施污染治理方案，监督企业污染治理资金的落实和使用</w:t>
      </w:r>
      <w:r>
        <w:rPr>
          <w:spacing w:val="-4"/>
          <w:sz w:val="24"/>
        </w:rPr>
        <w:t>情况。负责全矿的环境管理、污染源监测及各项环保设施的正 常运行的监督管理工作。</w:t>
      </w:r>
    </w:p>
    <w:p>
      <w:pPr>
        <w:pStyle w:val="13"/>
        <w:numPr>
          <w:ilvl w:val="3"/>
          <w:numId w:val="80"/>
        </w:numPr>
        <w:tabs>
          <w:tab w:val="left" w:pos="1317"/>
        </w:tabs>
        <w:spacing w:before="5" w:after="0" w:line="362" w:lineRule="auto"/>
        <w:ind w:left="235" w:right="238" w:firstLine="480"/>
        <w:jc w:val="left"/>
        <w:rPr>
          <w:sz w:val="24"/>
        </w:rPr>
      </w:pPr>
      <w:r>
        <w:rPr>
          <w:spacing w:val="-2"/>
          <w:sz w:val="24"/>
        </w:rPr>
        <w:t>组织有关部门制定出本企业环境管理办法和企业的污染事故的应急措施，制</w:t>
      </w:r>
      <w:r>
        <w:rPr>
          <w:spacing w:val="-4"/>
          <w:sz w:val="24"/>
        </w:rPr>
        <w:t>止或减缓对周围环境的污染。</w:t>
      </w:r>
    </w:p>
    <w:p>
      <w:pPr>
        <w:pStyle w:val="13"/>
        <w:numPr>
          <w:ilvl w:val="3"/>
          <w:numId w:val="80"/>
        </w:numPr>
        <w:tabs>
          <w:tab w:val="left" w:pos="1317"/>
        </w:tabs>
        <w:spacing w:before="5" w:after="0" w:line="364" w:lineRule="auto"/>
        <w:ind w:left="235" w:right="118" w:firstLine="480"/>
        <w:jc w:val="left"/>
        <w:rPr>
          <w:sz w:val="24"/>
        </w:rPr>
      </w:pPr>
      <w:r>
        <w:rPr>
          <w:spacing w:val="-6"/>
          <w:sz w:val="24"/>
        </w:rPr>
        <w:t>协同上级环境管理部门检查本企业的环境保护工作、污染治理设施的运行情况</w:t>
      </w:r>
      <w:r>
        <w:rPr>
          <w:spacing w:val="-4"/>
          <w:sz w:val="24"/>
        </w:rPr>
        <w:t>。定期对厂内污染情况进行分析总结，为环保设施的更新改造提供可靠依据。</w:t>
      </w:r>
    </w:p>
    <w:p>
      <w:pPr>
        <w:pStyle w:val="13"/>
        <w:numPr>
          <w:ilvl w:val="3"/>
          <w:numId w:val="80"/>
        </w:numPr>
        <w:tabs>
          <w:tab w:val="left" w:pos="1317"/>
        </w:tabs>
        <w:spacing w:before="0" w:after="0" w:line="362" w:lineRule="auto"/>
        <w:ind w:left="235" w:right="238" w:firstLine="480"/>
        <w:jc w:val="left"/>
        <w:rPr>
          <w:sz w:val="24"/>
        </w:rPr>
      </w:pPr>
      <w:r>
        <w:rPr>
          <w:spacing w:val="-7"/>
          <w:sz w:val="24"/>
        </w:rPr>
        <w:t>组织宣传教育，与本单位的有关部门一起大力普及全矿职工的环境法规及环</w:t>
      </w:r>
      <w:r>
        <w:rPr>
          <w:spacing w:val="-4"/>
          <w:sz w:val="24"/>
        </w:rPr>
        <w:t>境科学知识，提高职工的环境保护意识。</w:t>
      </w:r>
    </w:p>
    <w:p>
      <w:pPr>
        <w:pStyle w:val="13"/>
        <w:numPr>
          <w:ilvl w:val="3"/>
          <w:numId w:val="80"/>
        </w:numPr>
        <w:tabs>
          <w:tab w:val="left" w:pos="1317"/>
        </w:tabs>
        <w:spacing w:before="3" w:after="0" w:line="362" w:lineRule="auto"/>
        <w:ind w:left="235" w:right="238" w:firstLine="480"/>
        <w:jc w:val="left"/>
        <w:rPr>
          <w:sz w:val="24"/>
        </w:rPr>
      </w:pPr>
      <w:r>
        <w:rPr>
          <w:spacing w:val="-6"/>
          <w:sz w:val="24"/>
        </w:rPr>
        <w:t>宣传清洁生产思想，协同生产技术部门对现有生产设施进行改扩建，尽可能</w:t>
      </w:r>
      <w:r>
        <w:rPr>
          <w:spacing w:val="-4"/>
          <w:sz w:val="24"/>
        </w:rPr>
        <w:t>将污染控制在生产过程中。</w:t>
      </w:r>
    </w:p>
    <w:p>
      <w:pPr>
        <w:pStyle w:val="13"/>
        <w:numPr>
          <w:ilvl w:val="3"/>
          <w:numId w:val="80"/>
        </w:numPr>
        <w:tabs>
          <w:tab w:val="left" w:pos="1317"/>
        </w:tabs>
        <w:spacing w:before="5" w:after="0" w:line="364" w:lineRule="auto"/>
        <w:ind w:left="235" w:right="238" w:firstLine="480"/>
        <w:jc w:val="left"/>
        <w:rPr>
          <w:sz w:val="24"/>
        </w:rPr>
      </w:pPr>
      <w:r>
        <w:rPr>
          <w:spacing w:val="-7"/>
          <w:sz w:val="24"/>
        </w:rPr>
        <w:t>建立全矿污染源、污染物治理、排放浓度及总量等数据库。编制企业污染源</w:t>
      </w:r>
      <w:r>
        <w:rPr>
          <w:spacing w:val="-4"/>
          <w:sz w:val="24"/>
        </w:rPr>
        <w:t>监测的月报表、年报表及环境管理质量报告。</w:t>
      </w:r>
    </w:p>
    <w:p>
      <w:pPr>
        <w:pStyle w:val="13"/>
        <w:numPr>
          <w:ilvl w:val="3"/>
          <w:numId w:val="80"/>
        </w:numPr>
        <w:tabs>
          <w:tab w:val="left" w:pos="1317"/>
        </w:tabs>
        <w:spacing w:before="0" w:after="0" w:line="306" w:lineRule="exact"/>
        <w:ind w:left="1317" w:right="0" w:hanging="601"/>
        <w:jc w:val="left"/>
        <w:rPr>
          <w:sz w:val="24"/>
        </w:rPr>
      </w:pPr>
      <w:r>
        <w:rPr>
          <w:sz w:val="24"/>
        </w:rPr>
        <w:t>加强沉陷区的监测管理，发现问题，及时处理。</w:t>
      </w:r>
    </w:p>
    <w:p>
      <w:pPr>
        <w:pStyle w:val="5"/>
        <w:numPr>
          <w:ilvl w:val="2"/>
          <w:numId w:val="80"/>
        </w:numPr>
        <w:tabs>
          <w:tab w:val="left" w:pos="956"/>
        </w:tabs>
        <w:spacing w:before="161" w:after="0" w:line="240" w:lineRule="auto"/>
        <w:ind w:left="956" w:right="0" w:hanging="721"/>
        <w:jc w:val="left"/>
      </w:pPr>
      <w:r>
        <w:t>管理手段</w:t>
      </w:r>
    </w:p>
    <w:p>
      <w:pPr>
        <w:pStyle w:val="13"/>
        <w:numPr>
          <w:ilvl w:val="0"/>
          <w:numId w:val="81"/>
        </w:numPr>
        <w:tabs>
          <w:tab w:val="left" w:pos="1317"/>
        </w:tabs>
        <w:spacing w:before="158" w:after="0" w:line="240" w:lineRule="auto"/>
        <w:ind w:left="1317" w:right="0" w:hanging="601"/>
        <w:jc w:val="left"/>
        <w:rPr>
          <w:sz w:val="24"/>
        </w:rPr>
      </w:pPr>
      <w:r>
        <w:rPr>
          <w:sz w:val="24"/>
        </w:rPr>
        <w:t>行政手段</w:t>
      </w:r>
    </w:p>
    <w:p>
      <w:pPr>
        <w:pStyle w:val="6"/>
        <w:spacing w:before="161" w:line="362" w:lineRule="auto"/>
        <w:ind w:left="235" w:right="240" w:firstLine="480"/>
      </w:pPr>
      <w:r>
        <w:t>将环境保护列入岗位责任制，以行政手段指导、督促和检查生产部门的环保工作， 促使生产单位按要求完成环保任务。</w:t>
      </w:r>
    </w:p>
    <w:p>
      <w:pPr>
        <w:pStyle w:val="13"/>
        <w:numPr>
          <w:ilvl w:val="0"/>
          <w:numId w:val="81"/>
        </w:numPr>
        <w:tabs>
          <w:tab w:val="left" w:pos="1317"/>
        </w:tabs>
        <w:spacing w:before="5" w:after="0" w:line="240" w:lineRule="auto"/>
        <w:ind w:left="1317" w:right="0" w:hanging="601"/>
        <w:jc w:val="left"/>
        <w:rPr>
          <w:sz w:val="24"/>
        </w:rPr>
      </w:pPr>
      <w:r>
        <w:rPr>
          <w:sz w:val="24"/>
        </w:rPr>
        <w:t>法律手段</w:t>
      </w:r>
    </w:p>
    <w:p>
      <w:pPr>
        <w:pStyle w:val="6"/>
        <w:spacing w:before="158" w:line="364" w:lineRule="auto"/>
        <w:ind w:left="235" w:right="240" w:firstLine="480"/>
      </w:pPr>
      <w:r>
        <w:t>环境管理部门在处理企业日常环境污染问题时，依据环境保护法律法规对违反环境法律法规的单位和个人给予批评、警告、罚款，并对违法者追究法律责任。</w:t>
      </w:r>
    </w:p>
    <w:p>
      <w:pPr>
        <w:pStyle w:val="13"/>
        <w:numPr>
          <w:ilvl w:val="0"/>
          <w:numId w:val="81"/>
        </w:numPr>
        <w:tabs>
          <w:tab w:val="left" w:pos="1317"/>
        </w:tabs>
        <w:spacing w:before="0" w:after="0" w:line="306" w:lineRule="exact"/>
        <w:ind w:left="1317" w:right="0" w:hanging="601"/>
        <w:jc w:val="left"/>
        <w:rPr>
          <w:sz w:val="24"/>
        </w:rPr>
      </w:pPr>
      <w:r>
        <w:rPr>
          <w:sz w:val="24"/>
        </w:rPr>
        <w:t>经济手段</w:t>
      </w:r>
    </w:p>
    <w:p>
      <w:pPr>
        <w:pStyle w:val="6"/>
        <w:spacing w:before="160" w:line="364" w:lineRule="auto"/>
        <w:ind w:left="235" w:right="240" w:firstLine="480"/>
      </w:pPr>
      <w:r>
        <w:rPr>
          <w:spacing w:val="-1"/>
        </w:rPr>
        <w:t>对企业内部违反规定造成严重污染的生产部门和个人处以罚款，对积极开展废物综</w:t>
      </w:r>
      <w:r>
        <w:t>合利用的单位和个人给予奖励。</w:t>
      </w:r>
    </w:p>
    <w:p>
      <w:pPr>
        <w:pStyle w:val="13"/>
        <w:numPr>
          <w:ilvl w:val="0"/>
          <w:numId w:val="81"/>
        </w:numPr>
        <w:tabs>
          <w:tab w:val="left" w:pos="1317"/>
        </w:tabs>
        <w:spacing w:before="0" w:after="0" w:line="306" w:lineRule="exact"/>
        <w:ind w:left="1317" w:right="0" w:hanging="601"/>
        <w:jc w:val="left"/>
        <w:rPr>
          <w:sz w:val="24"/>
        </w:rPr>
      </w:pPr>
      <w:r>
        <w:rPr>
          <w:sz w:val="24"/>
        </w:rPr>
        <w:t>技术手段</w:t>
      </w:r>
    </w:p>
    <w:p>
      <w:pPr>
        <w:pStyle w:val="6"/>
        <w:spacing w:before="158" w:line="364" w:lineRule="auto"/>
        <w:ind w:left="235" w:right="240" w:firstLine="480"/>
        <w:jc w:val="both"/>
      </w:pPr>
      <w:r>
        <w:t>通过环境监测对企业内部污染状况进行调查，组织开展环境影响评价工作，在企业内部优先选用污染物产生量少的先进生产工艺、设备和与主体工程相配套防治污染治理设施。</w:t>
      </w:r>
    </w:p>
    <w:p>
      <w:pPr>
        <w:spacing w:after="0" w:line="364" w:lineRule="auto"/>
        <w:jc w:val="both"/>
        <w:sectPr>
          <w:pgSz w:w="11910" w:h="16840"/>
          <w:pgMar w:top="1520" w:right="1120" w:bottom="1320" w:left="1180" w:header="0" w:footer="1058" w:gutter="0"/>
        </w:sectPr>
      </w:pPr>
    </w:p>
    <w:p>
      <w:pPr>
        <w:pStyle w:val="13"/>
        <w:numPr>
          <w:ilvl w:val="0"/>
          <w:numId w:val="81"/>
        </w:numPr>
        <w:tabs>
          <w:tab w:val="left" w:pos="1317"/>
        </w:tabs>
        <w:spacing w:before="66" w:after="0" w:line="240" w:lineRule="auto"/>
        <w:ind w:left="1317" w:right="0" w:hanging="601"/>
        <w:jc w:val="left"/>
        <w:rPr>
          <w:sz w:val="24"/>
        </w:rPr>
      </w:pPr>
      <w:r>
        <w:rPr>
          <w:sz w:val="24"/>
        </w:rPr>
        <w:t>教育手段</w:t>
      </w:r>
    </w:p>
    <w:p>
      <w:pPr>
        <w:pStyle w:val="6"/>
        <w:spacing w:before="158" w:line="364" w:lineRule="auto"/>
        <w:ind w:left="235" w:right="240" w:firstLine="480"/>
      </w:pPr>
      <w:r>
        <w:rPr>
          <w:spacing w:val="-1"/>
        </w:rPr>
        <w:t>定期组织环保专业业务培训，开展环境教育，提高职工的环境意识，使职工自觉地</w:t>
      </w:r>
      <w:r>
        <w:t>为保护环境进行不懈的努力。</w:t>
      </w:r>
    </w:p>
    <w:p>
      <w:pPr>
        <w:pStyle w:val="5"/>
        <w:numPr>
          <w:ilvl w:val="2"/>
          <w:numId w:val="80"/>
        </w:numPr>
        <w:tabs>
          <w:tab w:val="left" w:pos="956"/>
        </w:tabs>
        <w:spacing w:before="0" w:after="0" w:line="306" w:lineRule="exact"/>
        <w:ind w:left="956" w:right="0" w:hanging="721"/>
        <w:jc w:val="left"/>
      </w:pPr>
      <w:r>
        <w:rPr>
          <w:w w:val="95"/>
        </w:rPr>
        <w:t>环境管理目标</w:t>
      </w:r>
    </w:p>
    <w:p>
      <w:pPr>
        <w:pStyle w:val="6"/>
        <w:spacing w:before="160" w:line="364" w:lineRule="auto"/>
        <w:ind w:left="235" w:right="240" w:firstLine="480"/>
        <w:jc w:val="both"/>
      </w:pPr>
      <w:r>
        <w:t xml:space="preserve">本评价对该项目建设所带来的各种环境问题及所排污染物，分别提出了有效污染防治措施，建设单位应认真履行，落实并监督环保设施的运行情况并加强管理，定期监测各污染物排放浓度以达到预定的处理效果，具体管理目标见表 </w:t>
      </w:r>
      <w:r>
        <w:rPr>
          <w:rFonts w:ascii="Times New Roman" w:eastAsia="Times New Roman"/>
        </w:rPr>
        <w:t>13.2-1</w:t>
      </w:r>
      <w:r>
        <w:t>。</w:t>
      </w:r>
    </w:p>
    <w:p>
      <w:pPr>
        <w:pStyle w:val="5"/>
        <w:spacing w:line="307" w:lineRule="exact"/>
        <w:ind w:left="2660"/>
        <w:jc w:val="both"/>
      </w:pPr>
      <w:r>
        <w:t xml:space="preserve">表 </w:t>
      </w:r>
      <w:r>
        <w:rPr>
          <w:rFonts w:ascii="Times New Roman" w:eastAsia="Times New Roman"/>
        </w:rPr>
        <w:t xml:space="preserve">13.2-1 </w:t>
      </w:r>
      <w:r>
        <w:t>环保处理设施和管理目标清单</w:t>
      </w:r>
    </w:p>
    <w:tbl>
      <w:tblPr>
        <w:tblStyle w:val="10"/>
        <w:tblW w:w="0" w:type="auto"/>
        <w:tblInd w:w="3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1073"/>
        <w:gridCol w:w="1729"/>
        <w:gridCol w:w="3960"/>
        <w:gridCol w:w="14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0" w:type="dxa"/>
          </w:tcPr>
          <w:p>
            <w:pPr>
              <w:pStyle w:val="14"/>
              <w:spacing w:before="34"/>
              <w:ind w:left="137" w:right="137"/>
              <w:rPr>
                <w:sz w:val="21"/>
              </w:rPr>
            </w:pPr>
            <w:r>
              <w:rPr>
                <w:sz w:val="21"/>
              </w:rPr>
              <w:t>序号</w:t>
            </w:r>
          </w:p>
        </w:tc>
        <w:tc>
          <w:tcPr>
            <w:tcW w:w="1073" w:type="dxa"/>
          </w:tcPr>
          <w:p>
            <w:pPr>
              <w:pStyle w:val="14"/>
              <w:spacing w:before="34"/>
              <w:ind w:left="305" w:right="303"/>
              <w:rPr>
                <w:sz w:val="21"/>
              </w:rPr>
            </w:pPr>
            <w:r>
              <w:rPr>
                <w:sz w:val="21"/>
              </w:rPr>
              <w:t>种类</w:t>
            </w:r>
          </w:p>
        </w:tc>
        <w:tc>
          <w:tcPr>
            <w:tcW w:w="1729" w:type="dxa"/>
          </w:tcPr>
          <w:p>
            <w:pPr>
              <w:pStyle w:val="14"/>
              <w:spacing w:before="34"/>
              <w:ind w:left="1"/>
              <w:rPr>
                <w:sz w:val="21"/>
              </w:rPr>
            </w:pPr>
            <w:r>
              <w:rPr>
                <w:sz w:val="21"/>
              </w:rPr>
              <w:t>主要污染物</w:t>
            </w:r>
          </w:p>
        </w:tc>
        <w:tc>
          <w:tcPr>
            <w:tcW w:w="3960" w:type="dxa"/>
          </w:tcPr>
          <w:p>
            <w:pPr>
              <w:pStyle w:val="14"/>
              <w:spacing w:before="34"/>
              <w:ind w:left="22" w:right="22"/>
              <w:rPr>
                <w:sz w:val="21"/>
              </w:rPr>
            </w:pPr>
            <w:r>
              <w:rPr>
                <w:sz w:val="21"/>
              </w:rPr>
              <w:t>环保设施</w:t>
            </w:r>
          </w:p>
        </w:tc>
        <w:tc>
          <w:tcPr>
            <w:tcW w:w="1451" w:type="dxa"/>
          </w:tcPr>
          <w:p>
            <w:pPr>
              <w:pStyle w:val="14"/>
              <w:spacing w:before="34"/>
              <w:ind w:left="73" w:right="70"/>
              <w:rPr>
                <w:sz w:val="21"/>
              </w:rPr>
            </w:pPr>
            <w:r>
              <w:rPr>
                <w:sz w:val="21"/>
              </w:rPr>
              <w:t>管理目标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7" w:hRule="atLeast"/>
        </w:trPr>
        <w:tc>
          <w:tcPr>
            <w:tcW w:w="740" w:type="dxa"/>
            <w:vMerge w:val="restart"/>
          </w:tcPr>
          <w:p>
            <w:pPr>
              <w:pStyle w:val="14"/>
              <w:jc w:val="left"/>
              <w:rPr>
                <w:b/>
                <w:sz w:val="22"/>
              </w:rPr>
            </w:pPr>
          </w:p>
          <w:p>
            <w:pPr>
              <w:pStyle w:val="14"/>
              <w:spacing w:before="11"/>
              <w:jc w:val="left"/>
              <w:rPr>
                <w:b/>
                <w:sz w:val="21"/>
              </w:rPr>
            </w:pPr>
          </w:p>
          <w:p>
            <w:pPr>
              <w:pStyle w:val="14"/>
              <w:ind w:left="4"/>
              <w:rPr>
                <w:rFonts w:ascii="Times New Roman"/>
                <w:sz w:val="21"/>
              </w:rPr>
            </w:pPr>
            <w:r>
              <w:rPr>
                <w:rFonts w:ascii="Times New Roman"/>
                <w:w w:val="99"/>
                <w:sz w:val="21"/>
              </w:rPr>
              <w:t>1</w:t>
            </w:r>
          </w:p>
        </w:tc>
        <w:tc>
          <w:tcPr>
            <w:tcW w:w="1073" w:type="dxa"/>
            <w:vMerge w:val="restart"/>
          </w:tcPr>
          <w:p>
            <w:pPr>
              <w:pStyle w:val="14"/>
              <w:jc w:val="left"/>
              <w:rPr>
                <w:b/>
                <w:sz w:val="20"/>
              </w:rPr>
            </w:pPr>
          </w:p>
          <w:p>
            <w:pPr>
              <w:pStyle w:val="14"/>
              <w:spacing w:before="9"/>
              <w:jc w:val="left"/>
              <w:rPr>
                <w:b/>
                <w:sz w:val="22"/>
              </w:rPr>
            </w:pPr>
          </w:p>
          <w:p>
            <w:pPr>
              <w:pStyle w:val="14"/>
              <w:spacing w:before="1"/>
              <w:ind w:left="115"/>
              <w:jc w:val="left"/>
              <w:rPr>
                <w:sz w:val="21"/>
              </w:rPr>
            </w:pPr>
            <w:r>
              <w:rPr>
                <w:sz w:val="21"/>
              </w:rPr>
              <w:t>水污染物</w:t>
            </w:r>
          </w:p>
        </w:tc>
        <w:tc>
          <w:tcPr>
            <w:tcW w:w="1729" w:type="dxa"/>
          </w:tcPr>
          <w:p>
            <w:pPr>
              <w:pStyle w:val="14"/>
              <w:spacing w:before="3"/>
              <w:jc w:val="left"/>
              <w:rPr>
                <w:b/>
                <w:sz w:val="21"/>
              </w:rPr>
            </w:pPr>
          </w:p>
          <w:p>
            <w:pPr>
              <w:pStyle w:val="14"/>
              <w:ind w:left="1"/>
              <w:rPr>
                <w:sz w:val="21"/>
              </w:rPr>
            </w:pPr>
            <w:r>
              <w:rPr>
                <w:sz w:val="21"/>
              </w:rPr>
              <w:t>矿井涌水</w:t>
            </w:r>
          </w:p>
        </w:tc>
        <w:tc>
          <w:tcPr>
            <w:tcW w:w="3960" w:type="dxa"/>
          </w:tcPr>
          <w:p>
            <w:pPr>
              <w:pStyle w:val="14"/>
              <w:spacing w:before="1" w:line="242" w:lineRule="auto"/>
              <w:ind w:left="27" w:right="22"/>
              <w:rPr>
                <w:sz w:val="21"/>
              </w:rPr>
            </w:pPr>
            <w:r>
              <w:rPr>
                <w:spacing w:val="-10"/>
                <w:w w:val="95"/>
                <w:sz w:val="21"/>
              </w:rPr>
              <w:t>经过沉淀、过滤用于井下与地面生产、消防</w:t>
            </w:r>
            <w:r>
              <w:rPr>
                <w:spacing w:val="-11"/>
                <w:w w:val="95"/>
                <w:sz w:val="21"/>
              </w:rPr>
              <w:t>用水、非生活饮用水水源。矿井涌水日处理</w:t>
            </w:r>
          </w:p>
          <w:p>
            <w:pPr>
              <w:pStyle w:val="14"/>
              <w:spacing w:before="1" w:line="251" w:lineRule="exact"/>
              <w:ind w:left="27" w:right="22"/>
              <w:rPr>
                <w:sz w:val="21"/>
              </w:rPr>
            </w:pPr>
            <w:r>
              <w:rPr>
                <w:sz w:val="21"/>
              </w:rPr>
              <w:t xml:space="preserve">能力为 </w:t>
            </w:r>
            <w:r>
              <w:rPr>
                <w:rFonts w:ascii="Times New Roman" w:eastAsia="Times New Roman"/>
                <w:sz w:val="21"/>
              </w:rPr>
              <w:t>3720m</w:t>
            </w:r>
            <w:r>
              <w:rPr>
                <w:rFonts w:ascii="Times New Roman" w:eastAsia="Times New Roman"/>
                <w:position w:val="7"/>
                <w:sz w:val="13"/>
              </w:rPr>
              <w:t>3</w:t>
            </w:r>
            <w:r>
              <w:rPr>
                <w:rFonts w:ascii="Times New Roman" w:eastAsia="Times New Roman"/>
                <w:sz w:val="21"/>
              </w:rPr>
              <w:t>/d</w:t>
            </w:r>
            <w:r>
              <w:rPr>
                <w:sz w:val="21"/>
              </w:rPr>
              <w:t>。</w:t>
            </w:r>
          </w:p>
        </w:tc>
        <w:tc>
          <w:tcPr>
            <w:tcW w:w="1451" w:type="dxa"/>
          </w:tcPr>
          <w:p>
            <w:pPr>
              <w:pStyle w:val="14"/>
              <w:spacing w:before="137" w:line="242" w:lineRule="auto"/>
              <w:ind w:left="200" w:right="91" w:hanging="106"/>
              <w:jc w:val="left"/>
              <w:rPr>
                <w:sz w:val="21"/>
              </w:rPr>
            </w:pPr>
            <w:r>
              <w:rPr>
                <w:sz w:val="21"/>
              </w:rPr>
              <w:t>剩余矿井涌水达标排放。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740" w:type="dxa"/>
            <w:vMerge w:val="continue"/>
            <w:tcBorders>
              <w:top w:val="nil"/>
            </w:tcBorders>
          </w:tcPr>
          <w:p>
            <w:pPr>
              <w:rPr>
                <w:sz w:val="2"/>
                <w:szCs w:val="2"/>
              </w:rPr>
            </w:pPr>
          </w:p>
        </w:tc>
        <w:tc>
          <w:tcPr>
            <w:tcW w:w="1073" w:type="dxa"/>
            <w:vMerge w:val="continue"/>
            <w:tcBorders>
              <w:top w:val="nil"/>
            </w:tcBorders>
          </w:tcPr>
          <w:p>
            <w:pPr>
              <w:rPr>
                <w:sz w:val="2"/>
                <w:szCs w:val="2"/>
              </w:rPr>
            </w:pPr>
          </w:p>
        </w:tc>
        <w:tc>
          <w:tcPr>
            <w:tcW w:w="1729" w:type="dxa"/>
          </w:tcPr>
          <w:p>
            <w:pPr>
              <w:pStyle w:val="14"/>
              <w:spacing w:before="136"/>
              <w:ind w:left="1"/>
              <w:rPr>
                <w:sz w:val="21"/>
              </w:rPr>
            </w:pPr>
            <w:r>
              <w:rPr>
                <w:sz w:val="21"/>
              </w:rPr>
              <w:t>生活污水</w:t>
            </w:r>
          </w:p>
        </w:tc>
        <w:tc>
          <w:tcPr>
            <w:tcW w:w="3960" w:type="dxa"/>
          </w:tcPr>
          <w:p>
            <w:pPr>
              <w:pStyle w:val="14"/>
              <w:spacing w:before="2"/>
              <w:ind w:left="27" w:right="22"/>
              <w:rPr>
                <w:sz w:val="21"/>
              </w:rPr>
            </w:pPr>
            <w:r>
              <w:rPr>
                <w:sz w:val="21"/>
              </w:rPr>
              <w:t>采用综合污水处理装置，日处理能力为</w:t>
            </w:r>
          </w:p>
          <w:p>
            <w:pPr>
              <w:pStyle w:val="14"/>
              <w:spacing w:before="2" w:line="252" w:lineRule="exact"/>
              <w:ind w:left="24" w:right="22"/>
              <w:rPr>
                <w:sz w:val="21"/>
              </w:rPr>
            </w:pPr>
            <w:r>
              <w:rPr>
                <w:rFonts w:ascii="Times New Roman" w:eastAsia="Times New Roman"/>
                <w:sz w:val="21"/>
              </w:rPr>
              <w:t>360m</w:t>
            </w:r>
            <w:r>
              <w:rPr>
                <w:rFonts w:ascii="Times New Roman" w:eastAsia="Times New Roman"/>
                <w:position w:val="7"/>
                <w:sz w:val="13"/>
              </w:rPr>
              <w:t>3</w:t>
            </w:r>
            <w:r>
              <w:rPr>
                <w:rFonts w:ascii="Times New Roman" w:eastAsia="Times New Roman"/>
                <w:sz w:val="21"/>
              </w:rPr>
              <w:t>/d</w:t>
            </w:r>
            <w:r>
              <w:rPr>
                <w:sz w:val="21"/>
              </w:rPr>
              <w:t>。</w:t>
            </w:r>
          </w:p>
        </w:tc>
        <w:tc>
          <w:tcPr>
            <w:tcW w:w="1451" w:type="dxa"/>
          </w:tcPr>
          <w:p>
            <w:pPr>
              <w:pStyle w:val="14"/>
              <w:spacing w:before="1" w:line="270" w:lineRule="atLeast"/>
              <w:ind w:left="94" w:right="91"/>
              <w:jc w:val="left"/>
              <w:rPr>
                <w:sz w:val="21"/>
              </w:rPr>
            </w:pPr>
            <w:r>
              <w:rPr>
                <w:sz w:val="21"/>
              </w:rPr>
              <w:t>达标后回用于生产、绿化等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7" w:hRule="atLeast"/>
        </w:trPr>
        <w:tc>
          <w:tcPr>
            <w:tcW w:w="740" w:type="dxa"/>
            <w:vMerge w:val="restart"/>
          </w:tcPr>
          <w:p>
            <w:pPr>
              <w:pStyle w:val="14"/>
              <w:jc w:val="left"/>
              <w:rPr>
                <w:b/>
                <w:sz w:val="22"/>
              </w:rPr>
            </w:pPr>
          </w:p>
          <w:p>
            <w:pPr>
              <w:pStyle w:val="14"/>
              <w:jc w:val="left"/>
              <w:rPr>
                <w:b/>
                <w:sz w:val="22"/>
              </w:rPr>
            </w:pPr>
          </w:p>
          <w:p>
            <w:pPr>
              <w:pStyle w:val="14"/>
              <w:spacing w:before="10"/>
              <w:jc w:val="left"/>
              <w:rPr>
                <w:b/>
                <w:sz w:val="18"/>
              </w:rPr>
            </w:pPr>
          </w:p>
          <w:p>
            <w:pPr>
              <w:pStyle w:val="14"/>
              <w:spacing w:before="1"/>
              <w:ind w:left="4"/>
              <w:rPr>
                <w:rFonts w:ascii="Times New Roman"/>
                <w:sz w:val="21"/>
              </w:rPr>
            </w:pPr>
            <w:r>
              <w:rPr>
                <w:rFonts w:ascii="Times New Roman"/>
                <w:w w:val="99"/>
                <w:sz w:val="21"/>
              </w:rPr>
              <w:t>2</w:t>
            </w:r>
          </w:p>
        </w:tc>
        <w:tc>
          <w:tcPr>
            <w:tcW w:w="1073" w:type="dxa"/>
            <w:vMerge w:val="restart"/>
          </w:tcPr>
          <w:p>
            <w:pPr>
              <w:pStyle w:val="14"/>
              <w:jc w:val="left"/>
              <w:rPr>
                <w:b/>
                <w:sz w:val="20"/>
              </w:rPr>
            </w:pPr>
          </w:p>
          <w:p>
            <w:pPr>
              <w:pStyle w:val="14"/>
              <w:jc w:val="left"/>
              <w:rPr>
                <w:b/>
                <w:sz w:val="20"/>
              </w:rPr>
            </w:pPr>
          </w:p>
          <w:p>
            <w:pPr>
              <w:pStyle w:val="14"/>
              <w:spacing w:before="142" w:line="242" w:lineRule="auto"/>
              <w:ind w:left="326" w:right="216" w:hanging="106"/>
              <w:jc w:val="left"/>
              <w:rPr>
                <w:sz w:val="21"/>
              </w:rPr>
            </w:pPr>
            <w:r>
              <w:rPr>
                <w:sz w:val="21"/>
              </w:rPr>
              <w:t>大气污染物</w:t>
            </w:r>
          </w:p>
        </w:tc>
        <w:tc>
          <w:tcPr>
            <w:tcW w:w="1729" w:type="dxa"/>
          </w:tcPr>
          <w:p>
            <w:pPr>
              <w:pStyle w:val="14"/>
              <w:spacing w:before="3"/>
              <w:jc w:val="left"/>
              <w:rPr>
                <w:b/>
                <w:sz w:val="21"/>
              </w:rPr>
            </w:pPr>
          </w:p>
          <w:p>
            <w:pPr>
              <w:pStyle w:val="14"/>
              <w:spacing w:before="1"/>
              <w:ind w:left="3"/>
              <w:rPr>
                <w:sz w:val="21"/>
              </w:rPr>
            </w:pPr>
            <w:r>
              <w:rPr>
                <w:sz w:val="21"/>
              </w:rPr>
              <w:t>锅炉、热风炉烟气</w:t>
            </w:r>
          </w:p>
        </w:tc>
        <w:tc>
          <w:tcPr>
            <w:tcW w:w="3960" w:type="dxa"/>
          </w:tcPr>
          <w:p>
            <w:pPr>
              <w:pStyle w:val="14"/>
              <w:spacing w:before="3"/>
              <w:jc w:val="left"/>
              <w:rPr>
                <w:b/>
                <w:sz w:val="21"/>
              </w:rPr>
            </w:pPr>
          </w:p>
          <w:p>
            <w:pPr>
              <w:pStyle w:val="14"/>
              <w:spacing w:before="1"/>
              <w:ind w:left="24" w:right="22"/>
              <w:rPr>
                <w:sz w:val="21"/>
              </w:rPr>
            </w:pPr>
            <w:r>
              <w:rPr>
                <w:sz w:val="21"/>
              </w:rPr>
              <w:t>各安装布袋除尘器</w:t>
            </w:r>
          </w:p>
        </w:tc>
        <w:tc>
          <w:tcPr>
            <w:tcW w:w="1451" w:type="dxa"/>
          </w:tcPr>
          <w:p>
            <w:pPr>
              <w:pStyle w:val="14"/>
              <w:spacing w:before="1"/>
              <w:ind w:left="94" w:hanging="68"/>
              <w:jc w:val="left"/>
              <w:rPr>
                <w:sz w:val="21"/>
              </w:rPr>
            </w:pPr>
            <w:r>
              <w:rPr>
                <w:spacing w:val="-12"/>
                <w:sz w:val="21"/>
              </w:rPr>
              <w:t>达标排放，烟囱</w:t>
            </w:r>
          </w:p>
          <w:p>
            <w:pPr>
              <w:pStyle w:val="14"/>
              <w:spacing w:before="2" w:line="270" w:lineRule="atLeast"/>
              <w:ind w:left="514" w:right="91" w:hanging="420"/>
              <w:jc w:val="left"/>
              <w:rPr>
                <w:sz w:val="21"/>
              </w:rPr>
            </w:pPr>
            <w:r>
              <w:rPr>
                <w:sz w:val="21"/>
              </w:rPr>
              <w:t>高度符合环保要求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0" w:type="dxa"/>
            <w:vMerge w:val="continue"/>
            <w:tcBorders>
              <w:top w:val="nil"/>
            </w:tcBorders>
          </w:tcPr>
          <w:p>
            <w:pPr>
              <w:rPr>
                <w:sz w:val="2"/>
                <w:szCs w:val="2"/>
              </w:rPr>
            </w:pPr>
          </w:p>
        </w:tc>
        <w:tc>
          <w:tcPr>
            <w:tcW w:w="1073" w:type="dxa"/>
            <w:vMerge w:val="continue"/>
            <w:tcBorders>
              <w:top w:val="nil"/>
            </w:tcBorders>
          </w:tcPr>
          <w:p>
            <w:pPr>
              <w:rPr>
                <w:sz w:val="2"/>
                <w:szCs w:val="2"/>
              </w:rPr>
            </w:pPr>
          </w:p>
        </w:tc>
        <w:tc>
          <w:tcPr>
            <w:tcW w:w="1729" w:type="dxa"/>
          </w:tcPr>
          <w:p>
            <w:pPr>
              <w:pStyle w:val="14"/>
              <w:spacing w:before="34"/>
              <w:ind w:left="3"/>
              <w:rPr>
                <w:sz w:val="21"/>
              </w:rPr>
            </w:pPr>
            <w:r>
              <w:rPr>
                <w:sz w:val="21"/>
              </w:rPr>
              <w:t>筛分车间粉尘</w:t>
            </w:r>
          </w:p>
        </w:tc>
        <w:tc>
          <w:tcPr>
            <w:tcW w:w="3960" w:type="dxa"/>
          </w:tcPr>
          <w:p>
            <w:pPr>
              <w:pStyle w:val="14"/>
              <w:spacing w:before="34"/>
              <w:ind w:left="24" w:right="22"/>
              <w:rPr>
                <w:sz w:val="21"/>
              </w:rPr>
            </w:pPr>
            <w:r>
              <w:rPr>
                <w:sz w:val="21"/>
              </w:rPr>
              <w:t>各安装布袋除尘器</w:t>
            </w:r>
          </w:p>
        </w:tc>
        <w:tc>
          <w:tcPr>
            <w:tcW w:w="1451" w:type="dxa"/>
          </w:tcPr>
          <w:p>
            <w:pPr>
              <w:pStyle w:val="14"/>
              <w:spacing w:before="34"/>
              <w:ind w:left="73" w:right="70"/>
              <w:rPr>
                <w:sz w:val="21"/>
              </w:rPr>
            </w:pPr>
            <w:r>
              <w:rPr>
                <w:sz w:val="21"/>
              </w:rPr>
              <w:t>达标排放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0" w:type="dxa"/>
            <w:vMerge w:val="continue"/>
            <w:tcBorders>
              <w:top w:val="nil"/>
            </w:tcBorders>
          </w:tcPr>
          <w:p>
            <w:pPr>
              <w:rPr>
                <w:sz w:val="2"/>
                <w:szCs w:val="2"/>
              </w:rPr>
            </w:pPr>
          </w:p>
        </w:tc>
        <w:tc>
          <w:tcPr>
            <w:tcW w:w="1073" w:type="dxa"/>
            <w:vMerge w:val="continue"/>
            <w:tcBorders>
              <w:top w:val="nil"/>
            </w:tcBorders>
          </w:tcPr>
          <w:p>
            <w:pPr>
              <w:rPr>
                <w:sz w:val="2"/>
                <w:szCs w:val="2"/>
              </w:rPr>
            </w:pPr>
          </w:p>
        </w:tc>
        <w:tc>
          <w:tcPr>
            <w:tcW w:w="1729" w:type="dxa"/>
          </w:tcPr>
          <w:p>
            <w:pPr>
              <w:pStyle w:val="14"/>
              <w:spacing w:before="34"/>
              <w:ind w:left="3"/>
              <w:rPr>
                <w:sz w:val="21"/>
              </w:rPr>
            </w:pPr>
            <w:r>
              <w:rPr>
                <w:sz w:val="21"/>
              </w:rPr>
              <w:t>无组织排放粉尘</w:t>
            </w:r>
          </w:p>
        </w:tc>
        <w:tc>
          <w:tcPr>
            <w:tcW w:w="3960" w:type="dxa"/>
          </w:tcPr>
          <w:p>
            <w:pPr>
              <w:pStyle w:val="14"/>
              <w:spacing w:before="34"/>
              <w:ind w:left="26" w:right="22"/>
              <w:rPr>
                <w:sz w:val="21"/>
              </w:rPr>
            </w:pPr>
            <w:r>
              <w:rPr>
                <w:sz w:val="21"/>
              </w:rPr>
              <w:t>拟采用洒水降尘措施</w:t>
            </w:r>
          </w:p>
        </w:tc>
        <w:tc>
          <w:tcPr>
            <w:tcW w:w="1451" w:type="dxa"/>
          </w:tcPr>
          <w:p>
            <w:pPr>
              <w:pStyle w:val="14"/>
              <w:spacing w:before="34"/>
              <w:ind w:left="73" w:right="70"/>
              <w:rPr>
                <w:sz w:val="21"/>
              </w:rPr>
            </w:pPr>
            <w:r>
              <w:rPr>
                <w:sz w:val="21"/>
              </w:rPr>
              <w:t>达标排放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0" w:type="dxa"/>
            <w:vMerge w:val="continue"/>
            <w:tcBorders>
              <w:top w:val="nil"/>
            </w:tcBorders>
          </w:tcPr>
          <w:p>
            <w:pPr>
              <w:rPr>
                <w:sz w:val="2"/>
                <w:szCs w:val="2"/>
              </w:rPr>
            </w:pPr>
          </w:p>
        </w:tc>
        <w:tc>
          <w:tcPr>
            <w:tcW w:w="1073" w:type="dxa"/>
            <w:vMerge w:val="continue"/>
            <w:tcBorders>
              <w:top w:val="nil"/>
            </w:tcBorders>
          </w:tcPr>
          <w:p>
            <w:pPr>
              <w:rPr>
                <w:sz w:val="2"/>
                <w:szCs w:val="2"/>
              </w:rPr>
            </w:pPr>
          </w:p>
        </w:tc>
        <w:tc>
          <w:tcPr>
            <w:tcW w:w="1729" w:type="dxa"/>
          </w:tcPr>
          <w:p>
            <w:pPr>
              <w:pStyle w:val="14"/>
              <w:spacing w:before="33"/>
              <w:ind w:left="1"/>
              <w:rPr>
                <w:sz w:val="21"/>
              </w:rPr>
            </w:pPr>
            <w:r>
              <w:rPr>
                <w:sz w:val="21"/>
              </w:rPr>
              <w:t>食堂油烟</w:t>
            </w:r>
          </w:p>
        </w:tc>
        <w:tc>
          <w:tcPr>
            <w:tcW w:w="3960" w:type="dxa"/>
          </w:tcPr>
          <w:p>
            <w:pPr>
              <w:pStyle w:val="14"/>
              <w:spacing w:before="33"/>
              <w:ind w:left="22" w:right="22"/>
              <w:rPr>
                <w:sz w:val="21"/>
              </w:rPr>
            </w:pPr>
            <w:r>
              <w:rPr>
                <w:sz w:val="21"/>
              </w:rPr>
              <w:t>安装油烟净化设施</w:t>
            </w:r>
          </w:p>
        </w:tc>
        <w:tc>
          <w:tcPr>
            <w:tcW w:w="1451" w:type="dxa"/>
          </w:tcPr>
          <w:p>
            <w:pPr>
              <w:pStyle w:val="14"/>
              <w:spacing w:before="33"/>
              <w:ind w:left="73" w:right="70"/>
              <w:rPr>
                <w:sz w:val="21"/>
              </w:rPr>
            </w:pPr>
            <w:r>
              <w:rPr>
                <w:sz w:val="21"/>
              </w:rPr>
              <w:t>达标排放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0" w:type="dxa"/>
            <w:vMerge w:val="restart"/>
          </w:tcPr>
          <w:p>
            <w:pPr>
              <w:pStyle w:val="14"/>
              <w:jc w:val="left"/>
              <w:rPr>
                <w:b/>
                <w:sz w:val="22"/>
              </w:rPr>
            </w:pPr>
          </w:p>
          <w:p>
            <w:pPr>
              <w:pStyle w:val="14"/>
              <w:jc w:val="left"/>
              <w:rPr>
                <w:b/>
                <w:sz w:val="22"/>
              </w:rPr>
            </w:pPr>
          </w:p>
          <w:p>
            <w:pPr>
              <w:pStyle w:val="14"/>
              <w:spacing w:before="8"/>
              <w:jc w:val="left"/>
              <w:rPr>
                <w:b/>
                <w:sz w:val="30"/>
              </w:rPr>
            </w:pPr>
          </w:p>
          <w:p>
            <w:pPr>
              <w:pStyle w:val="14"/>
              <w:spacing w:before="1"/>
              <w:ind w:left="4"/>
              <w:rPr>
                <w:rFonts w:ascii="Times New Roman"/>
                <w:sz w:val="21"/>
              </w:rPr>
            </w:pPr>
            <w:r>
              <w:rPr>
                <w:rFonts w:ascii="Times New Roman"/>
                <w:w w:val="99"/>
                <w:sz w:val="21"/>
              </w:rPr>
              <w:t>3</w:t>
            </w:r>
          </w:p>
        </w:tc>
        <w:tc>
          <w:tcPr>
            <w:tcW w:w="1073" w:type="dxa"/>
            <w:vMerge w:val="restart"/>
          </w:tcPr>
          <w:p>
            <w:pPr>
              <w:pStyle w:val="14"/>
              <w:jc w:val="left"/>
              <w:rPr>
                <w:b/>
                <w:sz w:val="20"/>
              </w:rPr>
            </w:pPr>
          </w:p>
          <w:p>
            <w:pPr>
              <w:pStyle w:val="14"/>
              <w:jc w:val="left"/>
              <w:rPr>
                <w:b/>
                <w:sz w:val="20"/>
              </w:rPr>
            </w:pPr>
          </w:p>
          <w:p>
            <w:pPr>
              <w:pStyle w:val="14"/>
              <w:jc w:val="left"/>
              <w:rPr>
                <w:b/>
                <w:sz w:val="20"/>
              </w:rPr>
            </w:pPr>
          </w:p>
          <w:p>
            <w:pPr>
              <w:pStyle w:val="14"/>
              <w:spacing w:before="174"/>
              <w:ind w:left="115"/>
              <w:jc w:val="left"/>
              <w:rPr>
                <w:sz w:val="21"/>
              </w:rPr>
            </w:pPr>
            <w:r>
              <w:rPr>
                <w:sz w:val="21"/>
              </w:rPr>
              <w:t>固体废物</w:t>
            </w:r>
          </w:p>
        </w:tc>
        <w:tc>
          <w:tcPr>
            <w:tcW w:w="1729" w:type="dxa"/>
          </w:tcPr>
          <w:p>
            <w:pPr>
              <w:pStyle w:val="14"/>
              <w:spacing w:before="33"/>
              <w:ind w:left="3"/>
              <w:rPr>
                <w:sz w:val="21"/>
              </w:rPr>
            </w:pPr>
            <w:r>
              <w:rPr>
                <w:sz w:val="21"/>
              </w:rPr>
              <w:t>矸石</w:t>
            </w:r>
          </w:p>
        </w:tc>
        <w:tc>
          <w:tcPr>
            <w:tcW w:w="3960" w:type="dxa"/>
          </w:tcPr>
          <w:p>
            <w:pPr>
              <w:pStyle w:val="14"/>
              <w:spacing w:before="33"/>
              <w:ind w:left="24" w:right="22"/>
              <w:rPr>
                <w:sz w:val="21"/>
              </w:rPr>
            </w:pPr>
            <w:r>
              <w:rPr>
                <w:sz w:val="21"/>
              </w:rPr>
              <w:t>本项目矸石铺垫工业广场</w:t>
            </w:r>
          </w:p>
        </w:tc>
        <w:tc>
          <w:tcPr>
            <w:tcW w:w="1451" w:type="dxa"/>
          </w:tcPr>
          <w:p>
            <w:pPr>
              <w:pStyle w:val="14"/>
              <w:spacing w:before="33"/>
              <w:ind w:left="73" w:right="72"/>
              <w:rPr>
                <w:sz w:val="21"/>
              </w:rPr>
            </w:pPr>
            <w:r>
              <w:rPr>
                <w:sz w:val="21"/>
              </w:rPr>
              <w:t>全部综合利用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0" w:type="dxa"/>
            <w:vMerge w:val="continue"/>
            <w:tcBorders>
              <w:top w:val="nil"/>
            </w:tcBorders>
          </w:tcPr>
          <w:p>
            <w:pPr>
              <w:rPr>
                <w:sz w:val="2"/>
                <w:szCs w:val="2"/>
              </w:rPr>
            </w:pPr>
          </w:p>
        </w:tc>
        <w:tc>
          <w:tcPr>
            <w:tcW w:w="1073" w:type="dxa"/>
            <w:vMerge w:val="continue"/>
            <w:tcBorders>
              <w:top w:val="nil"/>
            </w:tcBorders>
          </w:tcPr>
          <w:p>
            <w:pPr>
              <w:rPr>
                <w:sz w:val="2"/>
                <w:szCs w:val="2"/>
              </w:rPr>
            </w:pPr>
          </w:p>
        </w:tc>
        <w:tc>
          <w:tcPr>
            <w:tcW w:w="1729" w:type="dxa"/>
          </w:tcPr>
          <w:p>
            <w:pPr>
              <w:pStyle w:val="14"/>
              <w:spacing w:before="34"/>
              <w:ind w:left="3"/>
              <w:rPr>
                <w:sz w:val="21"/>
              </w:rPr>
            </w:pPr>
            <w:r>
              <w:rPr>
                <w:sz w:val="21"/>
              </w:rPr>
              <w:t>灰渣</w:t>
            </w:r>
          </w:p>
        </w:tc>
        <w:tc>
          <w:tcPr>
            <w:tcW w:w="3960" w:type="dxa"/>
          </w:tcPr>
          <w:p>
            <w:pPr>
              <w:pStyle w:val="14"/>
              <w:spacing w:before="34"/>
              <w:ind w:left="24" w:right="22"/>
              <w:rPr>
                <w:sz w:val="21"/>
              </w:rPr>
            </w:pPr>
            <w:r>
              <w:rPr>
                <w:sz w:val="21"/>
              </w:rPr>
              <w:t>农肥原料外售</w:t>
            </w:r>
          </w:p>
        </w:tc>
        <w:tc>
          <w:tcPr>
            <w:tcW w:w="1451" w:type="dxa"/>
          </w:tcPr>
          <w:p>
            <w:pPr>
              <w:pStyle w:val="14"/>
              <w:spacing w:before="34"/>
              <w:ind w:left="73" w:right="72"/>
              <w:rPr>
                <w:sz w:val="21"/>
              </w:rPr>
            </w:pPr>
            <w:r>
              <w:rPr>
                <w:sz w:val="21"/>
              </w:rPr>
              <w:t>全部综合利用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0" w:type="dxa"/>
            <w:vMerge w:val="continue"/>
            <w:tcBorders>
              <w:top w:val="nil"/>
            </w:tcBorders>
          </w:tcPr>
          <w:p>
            <w:pPr>
              <w:rPr>
                <w:sz w:val="2"/>
                <w:szCs w:val="2"/>
              </w:rPr>
            </w:pPr>
          </w:p>
        </w:tc>
        <w:tc>
          <w:tcPr>
            <w:tcW w:w="1073" w:type="dxa"/>
            <w:vMerge w:val="continue"/>
            <w:tcBorders>
              <w:top w:val="nil"/>
            </w:tcBorders>
          </w:tcPr>
          <w:p>
            <w:pPr>
              <w:rPr>
                <w:sz w:val="2"/>
                <w:szCs w:val="2"/>
              </w:rPr>
            </w:pPr>
          </w:p>
        </w:tc>
        <w:tc>
          <w:tcPr>
            <w:tcW w:w="1729" w:type="dxa"/>
          </w:tcPr>
          <w:p>
            <w:pPr>
              <w:pStyle w:val="14"/>
              <w:spacing w:before="34"/>
              <w:ind w:left="1"/>
              <w:rPr>
                <w:sz w:val="21"/>
              </w:rPr>
            </w:pPr>
            <w:r>
              <w:rPr>
                <w:sz w:val="21"/>
              </w:rPr>
              <w:t>生活垃圾</w:t>
            </w:r>
          </w:p>
        </w:tc>
        <w:tc>
          <w:tcPr>
            <w:tcW w:w="3960" w:type="dxa"/>
          </w:tcPr>
          <w:p>
            <w:pPr>
              <w:pStyle w:val="14"/>
              <w:spacing w:before="34"/>
              <w:ind w:left="24" w:right="22"/>
              <w:rPr>
                <w:sz w:val="21"/>
              </w:rPr>
            </w:pPr>
            <w:r>
              <w:rPr>
                <w:sz w:val="21"/>
              </w:rPr>
              <w:t>定期委托环卫部门处理</w:t>
            </w:r>
          </w:p>
        </w:tc>
        <w:tc>
          <w:tcPr>
            <w:tcW w:w="1451" w:type="dxa"/>
          </w:tcPr>
          <w:p>
            <w:pPr>
              <w:pStyle w:val="14"/>
              <w:spacing w:before="34"/>
              <w:ind w:left="73" w:right="72"/>
              <w:rPr>
                <w:sz w:val="21"/>
              </w:rPr>
            </w:pPr>
            <w:r>
              <w:rPr>
                <w:sz w:val="21"/>
              </w:rPr>
              <w:t>全部委托处理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Merge w:val="continue"/>
            <w:tcBorders>
              <w:top w:val="nil"/>
            </w:tcBorders>
          </w:tcPr>
          <w:p>
            <w:pPr>
              <w:rPr>
                <w:sz w:val="2"/>
                <w:szCs w:val="2"/>
              </w:rPr>
            </w:pPr>
          </w:p>
        </w:tc>
        <w:tc>
          <w:tcPr>
            <w:tcW w:w="1073" w:type="dxa"/>
            <w:vMerge w:val="continue"/>
            <w:tcBorders>
              <w:top w:val="nil"/>
            </w:tcBorders>
          </w:tcPr>
          <w:p>
            <w:pPr>
              <w:rPr>
                <w:sz w:val="2"/>
                <w:szCs w:val="2"/>
              </w:rPr>
            </w:pPr>
          </w:p>
        </w:tc>
        <w:tc>
          <w:tcPr>
            <w:tcW w:w="1729" w:type="dxa"/>
          </w:tcPr>
          <w:p>
            <w:pPr>
              <w:pStyle w:val="14"/>
              <w:spacing w:before="12"/>
              <w:jc w:val="left"/>
              <w:rPr>
                <w:b/>
                <w:sz w:val="16"/>
              </w:rPr>
            </w:pPr>
          </w:p>
          <w:p>
            <w:pPr>
              <w:pStyle w:val="14"/>
              <w:ind w:left="3"/>
              <w:rPr>
                <w:sz w:val="21"/>
              </w:rPr>
            </w:pPr>
            <w:r>
              <w:rPr>
                <w:sz w:val="21"/>
              </w:rPr>
              <w:t>污水处理站污泥</w:t>
            </w:r>
          </w:p>
        </w:tc>
        <w:tc>
          <w:tcPr>
            <w:tcW w:w="3960" w:type="dxa"/>
          </w:tcPr>
          <w:p>
            <w:pPr>
              <w:pStyle w:val="14"/>
              <w:spacing w:before="81" w:line="242" w:lineRule="auto"/>
              <w:ind w:left="509" w:right="22" w:hanging="483"/>
              <w:jc w:val="left"/>
              <w:rPr>
                <w:sz w:val="21"/>
              </w:rPr>
            </w:pPr>
            <w:r>
              <w:rPr>
                <w:spacing w:val="-8"/>
                <w:w w:val="95"/>
                <w:sz w:val="21"/>
              </w:rPr>
              <w:t>矿井水处理站污泥外售；综合污水处理站污</w:t>
            </w:r>
            <w:r>
              <w:rPr>
                <w:spacing w:val="-8"/>
                <w:sz w:val="21"/>
              </w:rPr>
              <w:t>泥按市政环卫部门要求统一处理</w:t>
            </w:r>
          </w:p>
        </w:tc>
        <w:tc>
          <w:tcPr>
            <w:tcW w:w="1451" w:type="dxa"/>
          </w:tcPr>
          <w:p>
            <w:pPr>
              <w:pStyle w:val="14"/>
              <w:spacing w:before="12"/>
              <w:jc w:val="left"/>
              <w:rPr>
                <w:b/>
                <w:sz w:val="16"/>
              </w:rPr>
            </w:pPr>
          </w:p>
          <w:p>
            <w:pPr>
              <w:pStyle w:val="14"/>
              <w:ind w:left="73" w:right="72"/>
              <w:rPr>
                <w:sz w:val="21"/>
              </w:rPr>
            </w:pPr>
            <w:r>
              <w:rPr>
                <w:sz w:val="21"/>
              </w:rPr>
              <w:t>全部综合利用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740" w:type="dxa"/>
            <w:vMerge w:val="continue"/>
            <w:tcBorders>
              <w:top w:val="nil"/>
            </w:tcBorders>
          </w:tcPr>
          <w:p>
            <w:pPr>
              <w:rPr>
                <w:sz w:val="2"/>
                <w:szCs w:val="2"/>
              </w:rPr>
            </w:pPr>
          </w:p>
        </w:tc>
        <w:tc>
          <w:tcPr>
            <w:tcW w:w="1073" w:type="dxa"/>
            <w:vMerge w:val="continue"/>
            <w:tcBorders>
              <w:top w:val="nil"/>
            </w:tcBorders>
          </w:tcPr>
          <w:p>
            <w:pPr>
              <w:rPr>
                <w:sz w:val="2"/>
                <w:szCs w:val="2"/>
              </w:rPr>
            </w:pPr>
          </w:p>
        </w:tc>
        <w:tc>
          <w:tcPr>
            <w:tcW w:w="1729" w:type="dxa"/>
          </w:tcPr>
          <w:p>
            <w:pPr>
              <w:pStyle w:val="14"/>
              <w:spacing w:before="71"/>
              <w:ind w:left="3"/>
              <w:rPr>
                <w:sz w:val="21"/>
              </w:rPr>
            </w:pPr>
            <w:r>
              <w:rPr>
                <w:sz w:val="21"/>
              </w:rPr>
              <w:t>废机油</w:t>
            </w:r>
          </w:p>
        </w:tc>
        <w:tc>
          <w:tcPr>
            <w:tcW w:w="3960" w:type="dxa"/>
          </w:tcPr>
          <w:p>
            <w:pPr>
              <w:pStyle w:val="14"/>
              <w:spacing w:before="71"/>
              <w:ind w:left="24" w:right="22"/>
              <w:rPr>
                <w:sz w:val="21"/>
              </w:rPr>
            </w:pPr>
            <w:r>
              <w:rPr>
                <w:sz w:val="21"/>
              </w:rPr>
              <w:t>委托有资质的单位处理</w:t>
            </w:r>
          </w:p>
        </w:tc>
        <w:tc>
          <w:tcPr>
            <w:tcW w:w="1451" w:type="dxa"/>
          </w:tcPr>
          <w:p>
            <w:pPr>
              <w:pStyle w:val="14"/>
              <w:spacing w:before="71"/>
              <w:ind w:left="73" w:right="72"/>
              <w:rPr>
                <w:sz w:val="21"/>
              </w:rPr>
            </w:pPr>
            <w:r>
              <w:rPr>
                <w:sz w:val="21"/>
              </w:rPr>
              <w:t>全部委托处理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0" w:type="dxa"/>
          </w:tcPr>
          <w:p>
            <w:pPr>
              <w:pStyle w:val="14"/>
              <w:spacing w:before="49"/>
              <w:ind w:left="4"/>
              <w:rPr>
                <w:rFonts w:ascii="Times New Roman"/>
                <w:sz w:val="21"/>
              </w:rPr>
            </w:pPr>
            <w:r>
              <w:rPr>
                <w:rFonts w:ascii="Times New Roman"/>
                <w:w w:val="99"/>
                <w:sz w:val="21"/>
              </w:rPr>
              <w:t>4</w:t>
            </w:r>
          </w:p>
        </w:tc>
        <w:tc>
          <w:tcPr>
            <w:tcW w:w="1073" w:type="dxa"/>
          </w:tcPr>
          <w:p>
            <w:pPr>
              <w:pStyle w:val="14"/>
              <w:spacing w:before="33"/>
              <w:ind w:left="305" w:right="303"/>
              <w:rPr>
                <w:sz w:val="21"/>
              </w:rPr>
            </w:pPr>
            <w:r>
              <w:rPr>
                <w:sz w:val="21"/>
              </w:rPr>
              <w:t>噪声</w:t>
            </w:r>
          </w:p>
        </w:tc>
        <w:tc>
          <w:tcPr>
            <w:tcW w:w="1729" w:type="dxa"/>
          </w:tcPr>
          <w:p>
            <w:pPr>
              <w:pStyle w:val="14"/>
              <w:spacing w:before="33"/>
              <w:ind w:left="1"/>
              <w:rPr>
                <w:sz w:val="21"/>
              </w:rPr>
            </w:pPr>
            <w:r>
              <w:rPr>
                <w:sz w:val="21"/>
              </w:rPr>
              <w:t>设备噪声</w:t>
            </w:r>
          </w:p>
        </w:tc>
        <w:tc>
          <w:tcPr>
            <w:tcW w:w="3960" w:type="dxa"/>
          </w:tcPr>
          <w:p>
            <w:pPr>
              <w:pStyle w:val="14"/>
              <w:spacing w:before="33"/>
              <w:ind w:left="26" w:right="22"/>
              <w:rPr>
                <w:sz w:val="21"/>
              </w:rPr>
            </w:pPr>
            <w:r>
              <w:rPr>
                <w:sz w:val="21"/>
              </w:rPr>
              <w:t>减震、消声、隔声等</w:t>
            </w:r>
          </w:p>
        </w:tc>
        <w:tc>
          <w:tcPr>
            <w:tcW w:w="1451" w:type="dxa"/>
          </w:tcPr>
          <w:p>
            <w:pPr>
              <w:pStyle w:val="14"/>
              <w:spacing w:before="33"/>
              <w:ind w:left="73" w:right="70"/>
              <w:rPr>
                <w:sz w:val="21"/>
              </w:rPr>
            </w:pPr>
            <w:r>
              <w:rPr>
                <w:sz w:val="21"/>
              </w:rPr>
              <w:t>厂界达标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0" w:type="dxa"/>
          </w:tcPr>
          <w:p>
            <w:pPr>
              <w:pStyle w:val="14"/>
              <w:spacing w:before="50"/>
              <w:ind w:left="4"/>
              <w:rPr>
                <w:rFonts w:ascii="Times New Roman"/>
                <w:sz w:val="21"/>
              </w:rPr>
            </w:pPr>
            <w:r>
              <w:rPr>
                <w:rFonts w:ascii="Times New Roman"/>
                <w:w w:val="99"/>
                <w:sz w:val="21"/>
              </w:rPr>
              <w:t>5</w:t>
            </w:r>
          </w:p>
        </w:tc>
        <w:tc>
          <w:tcPr>
            <w:tcW w:w="2802" w:type="dxa"/>
            <w:gridSpan w:val="2"/>
          </w:tcPr>
          <w:p>
            <w:pPr>
              <w:pStyle w:val="14"/>
              <w:spacing w:before="33"/>
              <w:ind w:left="960" w:right="957"/>
              <w:rPr>
                <w:sz w:val="21"/>
              </w:rPr>
            </w:pPr>
            <w:r>
              <w:rPr>
                <w:sz w:val="21"/>
              </w:rPr>
              <w:t>污染事故</w:t>
            </w:r>
          </w:p>
        </w:tc>
        <w:tc>
          <w:tcPr>
            <w:tcW w:w="5411" w:type="dxa"/>
            <w:gridSpan w:val="2"/>
          </w:tcPr>
          <w:p>
            <w:pPr>
              <w:pStyle w:val="14"/>
              <w:spacing w:before="33"/>
              <w:ind w:left="1129"/>
              <w:jc w:val="left"/>
              <w:rPr>
                <w:sz w:val="21"/>
              </w:rPr>
            </w:pPr>
            <w:r>
              <w:rPr>
                <w:sz w:val="21"/>
              </w:rPr>
              <w:t>及时上报环保部门并立即进行处理</w:t>
            </w:r>
          </w:p>
        </w:tc>
      </w:tr>
    </w:tbl>
    <w:p>
      <w:pPr>
        <w:pStyle w:val="13"/>
        <w:numPr>
          <w:ilvl w:val="2"/>
          <w:numId w:val="80"/>
        </w:numPr>
        <w:tabs>
          <w:tab w:val="left" w:pos="956"/>
        </w:tabs>
        <w:spacing w:before="2" w:after="0" w:line="240" w:lineRule="auto"/>
        <w:ind w:left="956" w:right="0" w:hanging="721"/>
        <w:jc w:val="left"/>
        <w:rPr>
          <w:b/>
          <w:sz w:val="24"/>
        </w:rPr>
      </w:pPr>
      <w:r>
        <w:rPr>
          <w:b/>
          <w:sz w:val="24"/>
        </w:rPr>
        <w:t>环境监理计划</w:t>
      </w:r>
    </w:p>
    <w:p>
      <w:pPr>
        <w:pStyle w:val="6"/>
        <w:spacing w:before="160" w:line="364" w:lineRule="auto"/>
        <w:ind w:left="235" w:right="238" w:firstLine="480"/>
        <w:jc w:val="both"/>
      </w:pPr>
      <w:r>
        <w:rPr>
          <w:spacing w:val="-5"/>
        </w:rPr>
        <w:t xml:space="preserve">本项目应配备环境监理工程师 </w:t>
      </w:r>
      <w:r>
        <w:rPr>
          <w:rFonts w:ascii="Times New Roman" w:hAnsi="Times New Roman" w:eastAsia="Times New Roman"/>
        </w:rPr>
        <w:t xml:space="preserve">1 </w:t>
      </w:r>
      <w:r>
        <w:rPr>
          <w:spacing w:val="-1"/>
        </w:rPr>
        <w:t>名，负责编制工程施工期的环境保护计划，监督检</w:t>
      </w:r>
      <w:r>
        <w:t>查环境影响报告书中所提出的各项环保防治措施的落实情况及</w:t>
      </w:r>
      <w:r>
        <w:rPr>
          <w:rFonts w:ascii="Times New Roman" w:hAnsi="Times New Roman" w:eastAsia="Times New Roman"/>
        </w:rPr>
        <w:t>“</w:t>
      </w:r>
      <w:r>
        <w:t>三同时</w:t>
      </w:r>
      <w:r>
        <w:rPr>
          <w:rFonts w:ascii="Times New Roman" w:hAnsi="Times New Roman" w:eastAsia="Times New Roman"/>
        </w:rPr>
        <w:t>”</w:t>
      </w:r>
      <w:r>
        <w:rPr>
          <w:spacing w:val="-2"/>
        </w:rPr>
        <w:t>的执行情况，监</w:t>
      </w:r>
      <w:r>
        <w:rPr>
          <w:spacing w:val="-1"/>
        </w:rPr>
        <w:t>督检查环境监测计划的编制、实施情况及存在的问题，制定和实施事故应急计划。认真贯彻执行国家和省内各项环境保护法规，普及环境保护知识，增加工作人员的环境保护</w:t>
      </w:r>
      <w:r>
        <w:t>意识。</w:t>
      </w:r>
    </w:p>
    <w:p>
      <w:pPr>
        <w:spacing w:after="0" w:line="364" w:lineRule="auto"/>
        <w:jc w:val="both"/>
        <w:sectPr>
          <w:pgSz w:w="11910" w:h="16840"/>
          <w:pgMar w:top="1520" w:right="1120" w:bottom="1320" w:left="1180" w:header="0" w:footer="1058" w:gutter="0"/>
        </w:sectPr>
      </w:pPr>
    </w:p>
    <w:p>
      <w:pPr>
        <w:pStyle w:val="4"/>
        <w:numPr>
          <w:ilvl w:val="1"/>
          <w:numId w:val="79"/>
        </w:numPr>
        <w:tabs>
          <w:tab w:val="left" w:pos="868"/>
        </w:tabs>
        <w:spacing w:before="47" w:after="0" w:line="240" w:lineRule="auto"/>
        <w:ind w:left="867" w:right="0" w:hanging="633"/>
        <w:jc w:val="left"/>
        <w:rPr>
          <w:rFonts w:ascii="Times New Roman" w:eastAsia="Times New Roman"/>
        </w:rPr>
      </w:pPr>
      <w:bookmarkStart w:id="1222" w:name="13.3 环境监测计划"/>
      <w:bookmarkEnd w:id="1222"/>
      <w:bookmarkStart w:id="1223" w:name="_bookmark75"/>
      <w:bookmarkEnd w:id="1223"/>
      <w:bookmarkStart w:id="1224" w:name="_bookmark75"/>
      <w:bookmarkEnd w:id="1224"/>
      <w:r>
        <w:t>环境监测计划</w:t>
      </w:r>
    </w:p>
    <w:p>
      <w:pPr>
        <w:pStyle w:val="6"/>
        <w:spacing w:before="185" w:line="364" w:lineRule="auto"/>
        <w:ind w:left="235" w:right="240" w:firstLine="480"/>
        <w:jc w:val="both"/>
      </w:pPr>
      <w:r>
        <w:t>为了保证本项目各项环保设施的正常运行，并进行科学管理，由双鸭山市环境监测站定期监测各污染物的处理情况，以达到预期的处理效果。环境监测应采用国家规定的标准监测方法，监测本项目所排的各项污染物是否符合本报告书所提的排放标准，定期向上级主管部门上报本单位的环境污染情况报表。</w:t>
      </w:r>
    </w:p>
    <w:p>
      <w:pPr>
        <w:pStyle w:val="6"/>
        <w:spacing w:line="305" w:lineRule="exact"/>
        <w:ind w:left="716"/>
      </w:pPr>
      <w:r>
        <w:t>根据本企业的排污特点及《环境监测工作的实施细则》，确定服务期环境监测计划。</w:t>
      </w:r>
    </w:p>
    <w:p>
      <w:pPr>
        <w:pStyle w:val="6"/>
        <w:spacing w:before="158" w:line="364" w:lineRule="auto"/>
        <w:ind w:left="716" w:right="7449" w:hanging="480"/>
      </w:pPr>
      <w:r>
        <w:rPr>
          <w:rFonts w:ascii="Times New Roman" w:eastAsia="Times New Roman"/>
        </w:rPr>
        <w:t>1</w:t>
      </w:r>
      <w:r>
        <w:t>、生态环境监测详见第五章。</w:t>
      </w:r>
    </w:p>
    <w:p>
      <w:pPr>
        <w:pStyle w:val="6"/>
        <w:spacing w:line="306" w:lineRule="exact"/>
        <w:ind w:left="235"/>
      </w:pPr>
      <w:r>
        <w:rPr>
          <w:rFonts w:ascii="Times New Roman" w:eastAsia="Times New Roman"/>
        </w:rPr>
        <w:t>2</w:t>
      </w:r>
      <w:r>
        <w:t>、地下水环境监测</w:t>
      </w:r>
    </w:p>
    <w:p>
      <w:pPr>
        <w:pStyle w:val="6"/>
        <w:spacing w:before="161" w:line="362" w:lineRule="auto"/>
        <w:ind w:left="235" w:right="240" w:firstLine="480"/>
      </w:pPr>
      <w:r>
        <w:t>监测点位：水质监测对照井、污染监视监测井、污染扩散监测井及煤矿附近分散居民区水井</w:t>
      </w:r>
    </w:p>
    <w:p>
      <w:pPr>
        <w:pStyle w:val="6"/>
        <w:spacing w:before="5" w:line="364" w:lineRule="auto"/>
        <w:ind w:left="235" w:right="179" w:firstLine="480"/>
      </w:pPr>
      <w:r>
        <w:t>监测项目：水位、</w:t>
      </w:r>
      <w:r>
        <w:rPr>
          <w:rFonts w:ascii="Times New Roman" w:eastAsia="Times New Roman"/>
        </w:rPr>
        <w:t>pH</w:t>
      </w:r>
      <w:r>
        <w:t>、石油类、动植物油、氨氮、总铁、总锰、总汞、总镉、六价铬、总铅、总砷、总锌、氟化物、总大肠菌群等</w:t>
      </w:r>
    </w:p>
    <w:p>
      <w:pPr>
        <w:pStyle w:val="6"/>
        <w:spacing w:line="364" w:lineRule="auto"/>
        <w:ind w:left="716" w:right="701"/>
      </w:pPr>
      <w:r>
        <w:t>执行标准：执行《地下水质量标准》（</w:t>
      </w:r>
      <w:r>
        <w:rPr>
          <w:rFonts w:ascii="Times New Roman" w:hAnsi="Times New Roman" w:eastAsia="Times New Roman"/>
        </w:rPr>
        <w:t>GB/T14848-2017</w:t>
      </w:r>
      <w:r>
        <w:t xml:space="preserve">）中的Ⅲ类水质标准。监测时间：每年进行水质 </w:t>
      </w:r>
      <w:r>
        <w:rPr>
          <w:rFonts w:ascii="Times New Roman" w:hAnsi="Times New Roman" w:eastAsia="Times New Roman"/>
        </w:rPr>
        <w:t xml:space="preserve">2 </w:t>
      </w:r>
      <w:r>
        <w:t>次监测</w:t>
      </w:r>
    </w:p>
    <w:p>
      <w:pPr>
        <w:pStyle w:val="6"/>
        <w:spacing w:line="306" w:lineRule="exact"/>
        <w:ind w:left="235"/>
      </w:pPr>
      <w:r>
        <w:rPr>
          <w:rFonts w:ascii="Times New Roman" w:eastAsia="Times New Roman"/>
        </w:rPr>
        <w:t>3</w:t>
      </w:r>
      <w:r>
        <w:t>、大气环境监测</w:t>
      </w:r>
    </w:p>
    <w:p>
      <w:pPr>
        <w:pStyle w:val="6"/>
        <w:spacing w:before="156" w:line="362" w:lineRule="auto"/>
        <w:ind w:left="716" w:right="3849"/>
        <w:rPr>
          <w:rFonts w:ascii="Times New Roman" w:eastAsia="Times New Roman"/>
        </w:rPr>
      </w:pPr>
      <w:r>
        <w:t>监测点位：工业场地上、下风向各设一个监测点</w:t>
      </w:r>
      <w:r>
        <w:rPr>
          <w:position w:val="2"/>
        </w:rPr>
        <w:t>监测项目：</w:t>
      </w:r>
      <w:r>
        <w:rPr>
          <w:rFonts w:ascii="Times New Roman" w:eastAsia="Times New Roman"/>
          <w:position w:val="2"/>
        </w:rPr>
        <w:t>PM</w:t>
      </w:r>
      <w:r>
        <w:rPr>
          <w:rFonts w:ascii="Times New Roman" w:eastAsia="Times New Roman"/>
          <w:position w:val="2"/>
          <w:vertAlign w:val="subscript"/>
        </w:rPr>
        <w:t>10</w:t>
      </w:r>
      <w:r>
        <w:rPr>
          <w:position w:val="2"/>
          <w:vertAlign w:val="baseline"/>
        </w:rPr>
        <w:t>、</w:t>
      </w:r>
      <w:r>
        <w:rPr>
          <w:rFonts w:ascii="Times New Roman" w:eastAsia="Times New Roman"/>
          <w:position w:val="2"/>
          <w:vertAlign w:val="baseline"/>
        </w:rPr>
        <w:t>TSP</w:t>
      </w:r>
      <w:r>
        <w:rPr>
          <w:position w:val="2"/>
          <w:vertAlign w:val="baseline"/>
        </w:rPr>
        <w:t>、</w:t>
      </w:r>
      <w:r>
        <w:rPr>
          <w:rFonts w:ascii="Times New Roman" w:eastAsia="Times New Roman"/>
          <w:position w:val="2"/>
          <w:vertAlign w:val="baseline"/>
        </w:rPr>
        <w:t>SO</w:t>
      </w:r>
      <w:r>
        <w:rPr>
          <w:rFonts w:ascii="Times New Roman" w:eastAsia="Times New Roman"/>
          <w:position w:val="2"/>
          <w:vertAlign w:val="subscript"/>
        </w:rPr>
        <w:t>2</w:t>
      </w:r>
      <w:r>
        <w:rPr>
          <w:position w:val="2"/>
          <w:vertAlign w:val="baseline"/>
        </w:rPr>
        <w:t>、</w:t>
      </w:r>
      <w:r>
        <w:rPr>
          <w:rFonts w:ascii="Times New Roman" w:eastAsia="Times New Roman"/>
          <w:position w:val="2"/>
          <w:vertAlign w:val="baseline"/>
        </w:rPr>
        <w:t>NO</w:t>
      </w:r>
      <w:r>
        <w:rPr>
          <w:rFonts w:ascii="Times New Roman" w:eastAsia="Times New Roman"/>
          <w:position w:val="2"/>
          <w:vertAlign w:val="subscript"/>
        </w:rPr>
        <w:t>2</w:t>
      </w:r>
    </w:p>
    <w:p>
      <w:pPr>
        <w:pStyle w:val="6"/>
        <w:spacing w:before="3" w:line="362" w:lineRule="auto"/>
        <w:ind w:left="716" w:right="495"/>
      </w:pPr>
      <w:r>
        <w:t>执行标准：《煤炭工业污染物排放标准》（</w:t>
      </w:r>
      <w:r>
        <w:rPr>
          <w:rFonts w:ascii="Times New Roman" w:eastAsia="Times New Roman"/>
        </w:rPr>
        <w:t>GB20426-2006</w:t>
      </w:r>
      <w:r>
        <w:t>）</w:t>
      </w:r>
      <w:r>
        <w:rPr>
          <w:spacing w:val="-31"/>
        </w:rPr>
        <w:t xml:space="preserve">表 </w:t>
      </w:r>
      <w:r>
        <w:rPr>
          <w:rFonts w:ascii="Times New Roman" w:eastAsia="Times New Roman"/>
        </w:rPr>
        <w:t>4</w:t>
      </w:r>
      <w:r>
        <w:rPr>
          <w:spacing w:val="-20"/>
        </w:rPr>
        <w:t xml:space="preserve">、表 </w:t>
      </w:r>
      <w:r>
        <w:rPr>
          <w:rFonts w:ascii="Times New Roman" w:eastAsia="Times New Roman"/>
        </w:rPr>
        <w:t xml:space="preserve">5 </w:t>
      </w:r>
      <w:r>
        <w:rPr>
          <w:spacing w:val="-5"/>
        </w:rPr>
        <w:t>标准限值</w:t>
      </w:r>
      <w:r>
        <w:rPr>
          <w:spacing w:val="-6"/>
        </w:rPr>
        <w:t xml:space="preserve">监测时间：每年进行 </w:t>
      </w:r>
      <w:r>
        <w:rPr>
          <w:rFonts w:ascii="Times New Roman" w:eastAsia="Times New Roman"/>
        </w:rPr>
        <w:t xml:space="preserve">2 </w:t>
      </w:r>
      <w:r>
        <w:t>次监测</w:t>
      </w:r>
    </w:p>
    <w:p>
      <w:pPr>
        <w:pStyle w:val="6"/>
        <w:spacing w:before="5"/>
        <w:ind w:left="235"/>
      </w:pPr>
      <w:r>
        <w:rPr>
          <w:rFonts w:ascii="Times New Roman" w:eastAsia="Times New Roman"/>
        </w:rPr>
        <w:t>4</w:t>
      </w:r>
      <w:r>
        <w:t>、土壤环境监测</w:t>
      </w:r>
    </w:p>
    <w:p>
      <w:pPr>
        <w:pStyle w:val="6"/>
        <w:spacing w:before="158"/>
        <w:ind w:left="716"/>
      </w:pPr>
      <w:r>
        <w:t>监测点位：工业场地。</w:t>
      </w:r>
    </w:p>
    <w:p>
      <w:pPr>
        <w:pStyle w:val="6"/>
        <w:spacing w:before="161"/>
        <w:ind w:left="716"/>
      </w:pPr>
      <w:r>
        <w:t>监测项目：</w:t>
      </w:r>
      <w:r>
        <w:rPr>
          <w:rFonts w:ascii="Times New Roman" w:eastAsia="Times New Roman"/>
        </w:rPr>
        <w:t>pH</w:t>
      </w:r>
      <w:r>
        <w:t>、镉、汞、砷、铜、铅、铬、锌、镍</w:t>
      </w:r>
    </w:p>
    <w:p>
      <w:pPr>
        <w:pStyle w:val="6"/>
        <w:spacing w:before="158" w:line="364" w:lineRule="auto"/>
        <w:ind w:left="716" w:right="120"/>
      </w:pPr>
      <w:r>
        <w:rPr>
          <w:spacing w:val="-1"/>
        </w:rPr>
        <w:t>执行标准</w:t>
      </w:r>
      <w:r>
        <w:rPr>
          <w:spacing w:val="-18"/>
        </w:rPr>
        <w:t>：《土壤环境质量农用地土壤污染风险管控标准</w:t>
      </w:r>
      <w:r>
        <w:t>（试行</w:t>
      </w:r>
      <w:r>
        <w:rPr>
          <w:spacing w:val="-80"/>
        </w:rPr>
        <w:t>）</w:t>
      </w:r>
      <w:r>
        <w:rPr>
          <w:spacing w:val="-156"/>
        </w:rPr>
        <w:t>》</w:t>
      </w:r>
      <w:r>
        <w:t>（</w:t>
      </w:r>
      <w:r>
        <w:rPr>
          <w:rFonts w:ascii="Times New Roman" w:eastAsia="Times New Roman"/>
        </w:rPr>
        <w:t>GB/15618-2018</w:t>
      </w:r>
      <w:r>
        <w:t>） 监测时间：根据需要不定期监测</w:t>
      </w:r>
    </w:p>
    <w:p>
      <w:pPr>
        <w:pStyle w:val="6"/>
        <w:spacing w:line="306" w:lineRule="exact"/>
        <w:ind w:left="235"/>
      </w:pPr>
      <w:r>
        <w:rPr>
          <w:rFonts w:ascii="Times New Roman" w:eastAsia="Times New Roman"/>
        </w:rPr>
        <w:t>5</w:t>
      </w:r>
      <w:r>
        <w:t>、大气污染源监测</w:t>
      </w:r>
    </w:p>
    <w:p>
      <w:pPr>
        <w:pStyle w:val="6"/>
        <w:spacing w:before="161"/>
        <w:ind w:left="716"/>
      </w:pPr>
      <w:r>
        <w:t>监测点位：锅炉烟道、热风炉烟道、筛分车间排气筒</w:t>
      </w:r>
    </w:p>
    <w:p>
      <w:pPr>
        <w:pStyle w:val="6"/>
        <w:spacing w:before="157"/>
        <w:ind w:left="716"/>
      </w:pPr>
      <w:r>
        <w:rPr>
          <w:position w:val="2"/>
        </w:rPr>
        <w:t>监测项目：锅炉烟道、热风炉烟道：颗粒物、</w:t>
      </w:r>
      <w:r>
        <w:rPr>
          <w:rFonts w:ascii="Times New Roman" w:eastAsia="Times New Roman"/>
          <w:position w:val="2"/>
        </w:rPr>
        <w:t>SO</w:t>
      </w:r>
      <w:r>
        <w:rPr>
          <w:rFonts w:ascii="Times New Roman" w:eastAsia="Times New Roman"/>
          <w:position w:val="2"/>
          <w:vertAlign w:val="subscript"/>
        </w:rPr>
        <w:t>2</w:t>
      </w:r>
      <w:r>
        <w:rPr>
          <w:position w:val="2"/>
          <w:vertAlign w:val="baseline"/>
        </w:rPr>
        <w:t>、</w:t>
      </w:r>
      <w:r>
        <w:rPr>
          <w:rFonts w:ascii="Times New Roman" w:eastAsia="Times New Roman"/>
          <w:position w:val="2"/>
          <w:vertAlign w:val="baseline"/>
        </w:rPr>
        <w:t>NOx</w:t>
      </w:r>
      <w:r>
        <w:rPr>
          <w:position w:val="2"/>
          <w:vertAlign w:val="baseline"/>
        </w:rPr>
        <w:t>；筛分车间排气筒：颗粒</w:t>
      </w:r>
    </w:p>
    <w:p>
      <w:pPr>
        <w:pStyle w:val="6"/>
        <w:spacing w:before="157"/>
        <w:ind w:left="235"/>
      </w:pPr>
      <w:r>
        <w:t>物</w:t>
      </w:r>
    </w:p>
    <w:p>
      <w:pPr>
        <w:spacing w:after="0"/>
        <w:sectPr>
          <w:pgSz w:w="11910" w:h="16840"/>
          <w:pgMar w:top="1540" w:right="1120" w:bottom="1320" w:left="1180" w:header="0" w:footer="1058" w:gutter="0"/>
        </w:sectPr>
      </w:pPr>
    </w:p>
    <w:p>
      <w:pPr>
        <w:pStyle w:val="6"/>
        <w:spacing w:before="66" w:line="362" w:lineRule="auto"/>
        <w:ind w:left="235" w:right="195" w:firstLine="480"/>
      </w:pPr>
      <w:r>
        <w:t>执行标准：锅炉：《锅炉大气污染物排放标准》（</w:t>
      </w:r>
      <w:r>
        <w:rPr>
          <w:rFonts w:ascii="Times New Roman" w:eastAsia="Times New Roman"/>
        </w:rPr>
        <w:t>GB13271-2014</w:t>
      </w:r>
      <w:r>
        <w:t>）标准限值要求； 热风炉：《工业炉窑大气污染物排放标准》（</w:t>
      </w:r>
      <w:r>
        <w:rPr>
          <w:rFonts w:ascii="Times New Roman" w:eastAsia="Times New Roman"/>
        </w:rPr>
        <w:t>GB9078-1996</w:t>
      </w:r>
      <w:r>
        <w:t xml:space="preserve">）中表 </w:t>
      </w:r>
      <w:r>
        <w:rPr>
          <w:rFonts w:ascii="Times New Roman" w:eastAsia="Times New Roman"/>
        </w:rPr>
        <w:t xml:space="preserve">2 </w:t>
      </w:r>
      <w:r>
        <w:t xml:space="preserve">及表 </w:t>
      </w:r>
      <w:r>
        <w:rPr>
          <w:rFonts w:ascii="Times New Roman" w:eastAsia="Times New Roman"/>
        </w:rPr>
        <w:t xml:space="preserve">4 </w:t>
      </w:r>
      <w:r>
        <w:t>要求；筛分</w:t>
      </w:r>
    </w:p>
    <w:p>
      <w:pPr>
        <w:pStyle w:val="6"/>
        <w:spacing w:before="5"/>
        <w:ind w:left="235"/>
      </w:pPr>
      <w:r>
        <w:t>车间：《煤炭工业污染物排放标准》（</w:t>
      </w:r>
      <w:r>
        <w:rPr>
          <w:rFonts w:ascii="Times New Roman" w:eastAsia="Times New Roman"/>
        </w:rPr>
        <w:t>GB20426-2006</w:t>
      </w:r>
      <w:r>
        <w:t xml:space="preserve">）表 </w:t>
      </w:r>
      <w:r>
        <w:rPr>
          <w:rFonts w:ascii="Times New Roman" w:eastAsia="Times New Roman"/>
        </w:rPr>
        <w:t xml:space="preserve">4 </w:t>
      </w:r>
      <w:r>
        <w:t xml:space="preserve">及表 </w:t>
      </w:r>
      <w:r>
        <w:rPr>
          <w:rFonts w:ascii="Times New Roman" w:eastAsia="Times New Roman"/>
        </w:rPr>
        <w:t xml:space="preserve">5 </w:t>
      </w:r>
      <w:r>
        <w:t>标准限值</w:t>
      </w:r>
    </w:p>
    <w:p>
      <w:pPr>
        <w:pStyle w:val="6"/>
        <w:spacing w:before="158"/>
        <w:ind w:left="716"/>
      </w:pPr>
      <w:r>
        <w:t xml:space="preserve">监测时间：每年进行 </w:t>
      </w:r>
      <w:r>
        <w:rPr>
          <w:rFonts w:ascii="Times New Roman" w:eastAsia="Times New Roman"/>
        </w:rPr>
        <w:t xml:space="preserve">2 </w:t>
      </w:r>
      <w:r>
        <w:t>次监测</w:t>
      </w:r>
    </w:p>
    <w:p>
      <w:pPr>
        <w:pStyle w:val="6"/>
        <w:spacing w:before="160"/>
        <w:ind w:left="235"/>
      </w:pPr>
      <w:r>
        <w:rPr>
          <w:rFonts w:ascii="Times New Roman" w:eastAsia="Times New Roman"/>
        </w:rPr>
        <w:t>6</w:t>
      </w:r>
      <w:r>
        <w:t>、水污染源监测</w:t>
      </w:r>
    </w:p>
    <w:p>
      <w:pPr>
        <w:pStyle w:val="6"/>
        <w:spacing w:before="159" w:line="364" w:lineRule="auto"/>
        <w:ind w:left="716" w:right="2889"/>
      </w:pPr>
      <w:r>
        <w:t>监测点位：污水处理站和矿井水处理站进水口、出水口。监测项目：</w:t>
      </w:r>
    </w:p>
    <w:p>
      <w:pPr>
        <w:pStyle w:val="13"/>
        <w:numPr>
          <w:ilvl w:val="0"/>
          <w:numId w:val="82"/>
        </w:numPr>
        <w:tabs>
          <w:tab w:val="left" w:pos="1317"/>
        </w:tabs>
        <w:spacing w:before="0" w:after="0" w:line="310" w:lineRule="exact"/>
        <w:ind w:left="1317" w:right="0" w:hanging="601"/>
        <w:jc w:val="left"/>
        <w:rPr>
          <w:sz w:val="24"/>
        </w:rPr>
      </w:pPr>
      <w:r>
        <w:rPr>
          <w:position w:val="2"/>
          <w:sz w:val="24"/>
        </w:rPr>
        <w:t>生活污水：</w:t>
      </w:r>
      <w:r>
        <w:rPr>
          <w:rFonts w:ascii="Times New Roman" w:eastAsia="Times New Roman"/>
          <w:position w:val="2"/>
          <w:sz w:val="24"/>
        </w:rPr>
        <w:t>COD</w:t>
      </w:r>
      <w:r>
        <w:rPr>
          <w:position w:val="2"/>
          <w:sz w:val="24"/>
        </w:rPr>
        <w:t>、</w:t>
      </w:r>
      <w:r>
        <w:rPr>
          <w:rFonts w:ascii="Times New Roman" w:eastAsia="Times New Roman"/>
          <w:position w:val="2"/>
          <w:sz w:val="24"/>
        </w:rPr>
        <w:t>BOD</w:t>
      </w:r>
      <w:r>
        <w:rPr>
          <w:rFonts w:ascii="Times New Roman" w:eastAsia="Times New Roman"/>
          <w:position w:val="2"/>
          <w:sz w:val="24"/>
          <w:vertAlign w:val="subscript"/>
        </w:rPr>
        <w:t>5</w:t>
      </w:r>
      <w:r>
        <w:rPr>
          <w:position w:val="2"/>
          <w:sz w:val="24"/>
          <w:vertAlign w:val="baseline"/>
        </w:rPr>
        <w:t>、氨氮、动植物油、大肠菌群、阴离子表面活性剂</w:t>
      </w:r>
    </w:p>
    <w:p>
      <w:pPr>
        <w:pStyle w:val="13"/>
        <w:numPr>
          <w:ilvl w:val="0"/>
          <w:numId w:val="82"/>
        </w:numPr>
        <w:tabs>
          <w:tab w:val="left" w:pos="1317"/>
        </w:tabs>
        <w:spacing w:before="156" w:after="0" w:line="362" w:lineRule="auto"/>
        <w:ind w:left="235" w:right="236" w:firstLine="480"/>
        <w:jc w:val="left"/>
        <w:rPr>
          <w:sz w:val="24"/>
        </w:rPr>
      </w:pPr>
      <w:r>
        <w:rPr>
          <w:sz w:val="24"/>
        </w:rPr>
        <w:t>矿井涌水：</w:t>
      </w:r>
      <w:r>
        <w:rPr>
          <w:rFonts w:ascii="Times New Roman" w:eastAsia="Times New Roman"/>
          <w:sz w:val="24"/>
        </w:rPr>
        <w:t>PH</w:t>
      </w:r>
      <w:r>
        <w:rPr>
          <w:sz w:val="24"/>
        </w:rPr>
        <w:t>、悬浮物、</w:t>
      </w:r>
      <w:r>
        <w:rPr>
          <w:rFonts w:ascii="Times New Roman" w:eastAsia="Times New Roman"/>
          <w:sz w:val="24"/>
        </w:rPr>
        <w:t>BOD</w:t>
      </w:r>
      <w:r>
        <w:rPr>
          <w:sz w:val="24"/>
        </w:rPr>
        <w:t>、</w:t>
      </w:r>
      <w:r>
        <w:rPr>
          <w:rFonts w:ascii="Times New Roman" w:eastAsia="Times New Roman"/>
          <w:sz w:val="24"/>
        </w:rPr>
        <w:t>COD</w:t>
      </w:r>
      <w:r>
        <w:rPr>
          <w:sz w:val="24"/>
        </w:rPr>
        <w:t>、石油类、挥发性酚类、氟化物、硫化物、氨氮等</w:t>
      </w:r>
    </w:p>
    <w:p>
      <w:pPr>
        <w:pStyle w:val="6"/>
        <w:spacing w:before="5" w:line="362" w:lineRule="auto"/>
        <w:ind w:left="235" w:right="238" w:firstLine="480"/>
      </w:pPr>
      <w:r>
        <w:t>执行标准：《污水综合排放标准》（</w:t>
      </w:r>
      <w:r>
        <w:rPr>
          <w:rFonts w:ascii="Times New Roman" w:eastAsia="Times New Roman"/>
        </w:rPr>
        <w:t>GB8978-1996</w:t>
      </w:r>
      <w:r>
        <w:t>）二级标准和《煤炭工业污染物排放标准》（</w:t>
      </w:r>
      <w:r>
        <w:rPr>
          <w:rFonts w:ascii="Times New Roman" w:eastAsia="Times New Roman"/>
        </w:rPr>
        <w:t>GB20426-2006</w:t>
      </w:r>
      <w:r>
        <w:t xml:space="preserve">）表 </w:t>
      </w:r>
      <w:r>
        <w:rPr>
          <w:rFonts w:ascii="Times New Roman" w:eastAsia="Times New Roman"/>
        </w:rPr>
        <w:t>1</w:t>
      </w:r>
      <w:r>
        <w:t>、</w:t>
      </w:r>
      <w:r>
        <w:rPr>
          <w:rFonts w:ascii="Times New Roman" w:eastAsia="Times New Roman"/>
        </w:rPr>
        <w:t xml:space="preserve">2 </w:t>
      </w:r>
      <w:r>
        <w:t>标准限值</w:t>
      </w:r>
    </w:p>
    <w:p>
      <w:pPr>
        <w:pStyle w:val="6"/>
        <w:spacing w:before="5"/>
        <w:ind w:left="716"/>
      </w:pPr>
      <w:r>
        <w:t xml:space="preserve">监测时间：生活污水根据需要不定期监测，矿井涌水每年进行 </w:t>
      </w:r>
      <w:r>
        <w:rPr>
          <w:rFonts w:ascii="Times New Roman" w:eastAsia="Times New Roman"/>
        </w:rPr>
        <w:t xml:space="preserve">2 </w:t>
      </w:r>
      <w:r>
        <w:t>次监测</w:t>
      </w:r>
    </w:p>
    <w:p>
      <w:pPr>
        <w:pStyle w:val="6"/>
        <w:spacing w:before="161"/>
        <w:ind w:left="235"/>
      </w:pPr>
      <w:r>
        <w:rPr>
          <w:rFonts w:ascii="Times New Roman" w:eastAsia="Times New Roman"/>
        </w:rPr>
        <w:t>7</w:t>
      </w:r>
      <w:r>
        <w:t>、噪声源监测</w:t>
      </w:r>
    </w:p>
    <w:p>
      <w:pPr>
        <w:pStyle w:val="6"/>
        <w:spacing w:before="158"/>
        <w:ind w:left="716"/>
        <w:rPr>
          <w:rFonts w:ascii="Times New Roman" w:eastAsia="Times New Roman"/>
        </w:rPr>
      </w:pPr>
      <w:r>
        <w:t xml:space="preserve">监测点位：工业场地四周厂界外 </w:t>
      </w:r>
      <w:r>
        <w:rPr>
          <w:rFonts w:ascii="Times New Roman" w:eastAsia="Times New Roman"/>
        </w:rPr>
        <w:t>1m</w:t>
      </w:r>
    </w:p>
    <w:p>
      <w:pPr>
        <w:pStyle w:val="6"/>
        <w:spacing w:before="160"/>
        <w:ind w:left="716"/>
      </w:pPr>
      <w:r>
        <w:t xml:space="preserve">监测项目：噪声等效连续 </w:t>
      </w:r>
      <w:r>
        <w:rPr>
          <w:rFonts w:ascii="Times New Roman" w:eastAsia="Times New Roman"/>
        </w:rPr>
        <w:t xml:space="preserve">A </w:t>
      </w:r>
      <w:r>
        <w:t>声级</w:t>
      </w:r>
    </w:p>
    <w:p>
      <w:pPr>
        <w:pStyle w:val="6"/>
        <w:spacing w:before="159"/>
        <w:ind w:left="716"/>
      </w:pPr>
      <w:r>
        <w:t>执行标准：《工业企业厂界环境噪声排放标准》（</w:t>
      </w:r>
      <w:r>
        <w:rPr>
          <w:rFonts w:ascii="Times New Roman" w:eastAsia="Times New Roman"/>
        </w:rPr>
        <w:t>GB12348-2008</w:t>
      </w:r>
      <w:r>
        <w:t xml:space="preserve">）的 </w:t>
      </w:r>
      <w:r>
        <w:rPr>
          <w:rFonts w:ascii="Times New Roman" w:eastAsia="Times New Roman"/>
        </w:rPr>
        <w:t xml:space="preserve">2 </w:t>
      </w:r>
      <w:r>
        <w:t>类标准</w:t>
      </w:r>
    </w:p>
    <w:p>
      <w:pPr>
        <w:pStyle w:val="6"/>
        <w:spacing w:before="160"/>
        <w:ind w:left="716"/>
      </w:pPr>
      <w:r>
        <w:t xml:space="preserve">监测时间：每年进行 </w:t>
      </w:r>
      <w:r>
        <w:rPr>
          <w:rFonts w:ascii="Times New Roman" w:eastAsia="Times New Roman"/>
        </w:rPr>
        <w:t xml:space="preserve">2 </w:t>
      </w:r>
      <w:r>
        <w:t>次监测</w:t>
      </w:r>
    </w:p>
    <w:p>
      <w:pPr>
        <w:pStyle w:val="6"/>
        <w:spacing w:before="158" w:line="364" w:lineRule="auto"/>
        <w:ind w:left="235" w:right="238" w:firstLine="480"/>
      </w:pPr>
      <w:r>
        <w:t>综合以上各专题监测计划，运行期环境监测内容及计划详见下表。具体监测时间、频率、点位服从当地环保部门的规定和要求。</w:t>
      </w:r>
    </w:p>
    <w:p>
      <w:pPr>
        <w:pStyle w:val="5"/>
        <w:spacing w:line="306" w:lineRule="exact"/>
        <w:ind w:left="3560"/>
      </w:pPr>
      <w:r>
        <w:t xml:space="preserve">表 </w:t>
      </w:r>
      <w:r>
        <w:rPr>
          <w:rFonts w:ascii="Times New Roman" w:eastAsia="Times New Roman"/>
        </w:rPr>
        <w:t xml:space="preserve">13.4-1 </w:t>
      </w:r>
      <w:r>
        <w:t>环境监测计划</w:t>
      </w:r>
    </w:p>
    <w:p>
      <w:pPr>
        <w:pStyle w:val="6"/>
        <w:spacing w:before="5"/>
        <w:rPr>
          <w:b/>
          <w:sz w:val="12"/>
        </w:rPr>
      </w:pPr>
    </w:p>
    <w:tbl>
      <w:tblPr>
        <w:tblStyle w:val="10"/>
        <w:tblW w:w="0" w:type="auto"/>
        <w:tblInd w:w="13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44"/>
        <w:gridCol w:w="673"/>
        <w:gridCol w:w="1114"/>
        <w:gridCol w:w="5827"/>
        <w:gridCol w:w="108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09" w:hRule="atLeast"/>
        </w:trPr>
        <w:tc>
          <w:tcPr>
            <w:tcW w:w="644" w:type="dxa"/>
            <w:tcBorders>
              <w:bottom w:val="single" w:color="000000" w:sz="4" w:space="0"/>
              <w:right w:val="single" w:color="000000" w:sz="4" w:space="0"/>
            </w:tcBorders>
          </w:tcPr>
          <w:p>
            <w:pPr>
              <w:pStyle w:val="14"/>
              <w:ind w:left="90" w:right="79"/>
              <w:rPr>
                <w:sz w:val="21"/>
              </w:rPr>
            </w:pPr>
            <w:r>
              <w:rPr>
                <w:sz w:val="21"/>
              </w:rPr>
              <w:t>序号</w:t>
            </w:r>
          </w:p>
        </w:tc>
        <w:tc>
          <w:tcPr>
            <w:tcW w:w="1787" w:type="dxa"/>
            <w:gridSpan w:val="2"/>
            <w:tcBorders>
              <w:left w:val="single" w:color="000000" w:sz="4" w:space="0"/>
              <w:bottom w:val="single" w:color="000000" w:sz="4" w:space="0"/>
              <w:right w:val="single" w:color="000000" w:sz="4" w:space="0"/>
            </w:tcBorders>
          </w:tcPr>
          <w:p>
            <w:pPr>
              <w:pStyle w:val="14"/>
              <w:ind w:left="477"/>
              <w:jc w:val="left"/>
              <w:rPr>
                <w:sz w:val="21"/>
              </w:rPr>
            </w:pPr>
            <w:r>
              <w:rPr>
                <w:sz w:val="21"/>
              </w:rPr>
              <w:t>监测项目</w:t>
            </w:r>
          </w:p>
        </w:tc>
        <w:tc>
          <w:tcPr>
            <w:tcW w:w="5827" w:type="dxa"/>
            <w:tcBorders>
              <w:left w:val="single" w:color="000000" w:sz="4" w:space="0"/>
              <w:bottom w:val="single" w:color="000000" w:sz="4" w:space="0"/>
              <w:right w:val="single" w:color="000000" w:sz="4" w:space="0"/>
            </w:tcBorders>
          </w:tcPr>
          <w:p>
            <w:pPr>
              <w:pStyle w:val="14"/>
              <w:ind w:left="2267" w:right="2250"/>
              <w:rPr>
                <w:sz w:val="21"/>
              </w:rPr>
            </w:pPr>
            <w:r>
              <w:rPr>
                <w:sz w:val="21"/>
              </w:rPr>
              <w:t>主要技术要求</w:t>
            </w:r>
          </w:p>
        </w:tc>
        <w:tc>
          <w:tcPr>
            <w:tcW w:w="1082" w:type="dxa"/>
            <w:tcBorders>
              <w:left w:val="single" w:color="000000" w:sz="4" w:space="0"/>
              <w:bottom w:val="single" w:color="000000" w:sz="4" w:space="0"/>
            </w:tcBorders>
          </w:tcPr>
          <w:p>
            <w:pPr>
              <w:pStyle w:val="14"/>
              <w:ind w:left="126"/>
              <w:jc w:val="left"/>
              <w:rPr>
                <w:sz w:val="21"/>
              </w:rPr>
            </w:pPr>
            <w:r>
              <w:rPr>
                <w:sz w:val="21"/>
              </w:rPr>
              <w:t>监督机构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4" w:hRule="atLeast"/>
        </w:trPr>
        <w:tc>
          <w:tcPr>
            <w:tcW w:w="644" w:type="dxa"/>
            <w:tcBorders>
              <w:top w:val="single" w:color="000000" w:sz="4" w:space="0"/>
              <w:bottom w:val="single" w:color="000000" w:sz="4" w:space="0"/>
              <w:right w:val="single" w:color="000000" w:sz="4" w:space="0"/>
            </w:tcBorders>
          </w:tcPr>
          <w:p>
            <w:pPr>
              <w:pStyle w:val="14"/>
              <w:spacing w:before="10"/>
              <w:jc w:val="left"/>
              <w:rPr>
                <w:b/>
                <w:sz w:val="32"/>
              </w:rPr>
            </w:pPr>
          </w:p>
          <w:p>
            <w:pPr>
              <w:pStyle w:val="14"/>
              <w:spacing w:before="1"/>
              <w:ind w:left="10"/>
              <w:rPr>
                <w:rFonts w:ascii="Times New Roman"/>
                <w:sz w:val="21"/>
              </w:rPr>
            </w:pPr>
            <w:r>
              <w:rPr>
                <w:rFonts w:ascii="Times New Roman"/>
                <w:w w:val="99"/>
                <w:sz w:val="21"/>
              </w:rPr>
              <w:t>1</w:t>
            </w:r>
          </w:p>
        </w:tc>
        <w:tc>
          <w:tcPr>
            <w:tcW w:w="673" w:type="dxa"/>
            <w:vMerge w:val="restart"/>
            <w:tcBorders>
              <w:top w:val="single" w:color="000000" w:sz="4" w:space="0"/>
              <w:left w:val="single" w:color="000000" w:sz="4" w:space="0"/>
              <w:right w:val="single" w:color="000000" w:sz="4" w:space="0"/>
            </w:tcBorders>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7"/>
              </w:rPr>
            </w:pPr>
          </w:p>
          <w:p>
            <w:pPr>
              <w:pStyle w:val="14"/>
              <w:spacing w:before="1" w:line="242" w:lineRule="auto"/>
              <w:ind w:left="130" w:right="113"/>
              <w:jc w:val="left"/>
              <w:rPr>
                <w:sz w:val="21"/>
              </w:rPr>
            </w:pPr>
            <w:r>
              <w:rPr>
                <w:sz w:val="21"/>
              </w:rPr>
              <w:t>生态环境</w:t>
            </w:r>
          </w:p>
        </w:tc>
        <w:tc>
          <w:tcPr>
            <w:tcW w:w="1114" w:type="dxa"/>
            <w:tcBorders>
              <w:top w:val="single" w:color="000000" w:sz="4" w:space="0"/>
              <w:left w:val="single" w:color="000000" w:sz="4" w:space="0"/>
              <w:bottom w:val="single" w:color="000000" w:sz="4" w:space="0"/>
              <w:right w:val="single" w:color="000000" w:sz="4" w:space="0"/>
            </w:tcBorders>
          </w:tcPr>
          <w:p>
            <w:pPr>
              <w:pStyle w:val="14"/>
              <w:spacing w:before="3"/>
              <w:jc w:val="left"/>
              <w:rPr>
                <w:b/>
                <w:sz w:val="21"/>
              </w:rPr>
            </w:pPr>
          </w:p>
          <w:p>
            <w:pPr>
              <w:pStyle w:val="14"/>
              <w:spacing w:line="242" w:lineRule="auto"/>
              <w:ind w:left="352" w:right="123" w:hanging="212"/>
              <w:jc w:val="left"/>
              <w:rPr>
                <w:sz w:val="21"/>
              </w:rPr>
            </w:pPr>
            <w:r>
              <w:rPr>
                <w:sz w:val="21"/>
              </w:rPr>
              <w:t>施工现场清理</w:t>
            </w:r>
          </w:p>
        </w:tc>
        <w:tc>
          <w:tcPr>
            <w:tcW w:w="5827" w:type="dxa"/>
            <w:tcBorders>
              <w:top w:val="single" w:color="000000" w:sz="4" w:space="0"/>
              <w:left w:val="single" w:color="000000" w:sz="4" w:space="0"/>
              <w:bottom w:val="single" w:color="000000" w:sz="4" w:space="0"/>
              <w:right w:val="single" w:color="000000" w:sz="4" w:space="0"/>
            </w:tcBorders>
          </w:tcPr>
          <w:p>
            <w:pPr>
              <w:pStyle w:val="14"/>
              <w:numPr>
                <w:ilvl w:val="0"/>
                <w:numId w:val="83"/>
              </w:numPr>
              <w:tabs>
                <w:tab w:val="left" w:pos="271"/>
              </w:tabs>
              <w:spacing w:before="0" w:after="0" w:line="244" w:lineRule="auto"/>
              <w:ind w:left="111" w:right="91" w:firstLine="0"/>
              <w:jc w:val="left"/>
              <w:rPr>
                <w:sz w:val="21"/>
              </w:rPr>
            </w:pPr>
            <w:r>
              <w:rPr>
                <w:spacing w:val="-1"/>
                <w:w w:val="95"/>
                <w:sz w:val="21"/>
              </w:rPr>
              <w:t xml:space="preserve">监测项目：施工结束后，施工现场的弃土、石、渣等固废处 </w:t>
            </w:r>
            <w:r>
              <w:rPr>
                <w:spacing w:val="-1"/>
                <w:sz w:val="21"/>
              </w:rPr>
              <w:t>理和生态环境恢复情况。</w:t>
            </w:r>
          </w:p>
          <w:p>
            <w:pPr>
              <w:pStyle w:val="14"/>
              <w:numPr>
                <w:ilvl w:val="0"/>
                <w:numId w:val="83"/>
              </w:numPr>
              <w:tabs>
                <w:tab w:val="left" w:pos="271"/>
              </w:tabs>
              <w:spacing w:before="0" w:after="0" w:line="265" w:lineRule="exact"/>
              <w:ind w:left="270" w:right="0" w:hanging="160"/>
              <w:jc w:val="left"/>
              <w:rPr>
                <w:sz w:val="21"/>
              </w:rPr>
            </w:pPr>
            <w:r>
              <w:rPr>
                <w:spacing w:val="-5"/>
                <w:sz w:val="21"/>
              </w:rPr>
              <w:t xml:space="preserve">监测频率：施工结束后 </w:t>
            </w:r>
            <w:r>
              <w:rPr>
                <w:rFonts w:ascii="Times New Roman" w:eastAsia="Times New Roman"/>
                <w:sz w:val="21"/>
              </w:rPr>
              <w:t>1</w:t>
            </w:r>
            <w:r>
              <w:rPr>
                <w:rFonts w:ascii="Times New Roman" w:eastAsia="Times New Roman"/>
                <w:spacing w:val="-1"/>
                <w:sz w:val="21"/>
              </w:rPr>
              <w:t xml:space="preserve"> </w:t>
            </w:r>
            <w:r>
              <w:rPr>
                <w:sz w:val="21"/>
              </w:rPr>
              <w:t>次。</w:t>
            </w:r>
          </w:p>
          <w:p>
            <w:pPr>
              <w:pStyle w:val="14"/>
              <w:numPr>
                <w:ilvl w:val="0"/>
                <w:numId w:val="83"/>
              </w:numPr>
              <w:tabs>
                <w:tab w:val="left" w:pos="271"/>
              </w:tabs>
              <w:spacing w:before="3" w:after="0" w:line="247" w:lineRule="exact"/>
              <w:ind w:left="270" w:right="0" w:hanging="160"/>
              <w:jc w:val="left"/>
              <w:rPr>
                <w:sz w:val="21"/>
              </w:rPr>
            </w:pPr>
            <w:r>
              <w:rPr>
                <w:sz w:val="21"/>
              </w:rPr>
              <w:t>监测点：各施工区。</w:t>
            </w:r>
          </w:p>
        </w:tc>
        <w:tc>
          <w:tcPr>
            <w:tcW w:w="1082" w:type="dxa"/>
            <w:tcBorders>
              <w:top w:val="single" w:color="000000" w:sz="4" w:space="0"/>
              <w:left w:val="single" w:color="000000" w:sz="4" w:space="0"/>
              <w:bottom w:val="single" w:color="000000" w:sz="4" w:space="0"/>
            </w:tcBorders>
          </w:tcPr>
          <w:p>
            <w:pPr>
              <w:pStyle w:val="14"/>
              <w:spacing w:before="136" w:line="242" w:lineRule="auto"/>
              <w:ind w:left="126" w:right="100"/>
              <w:rPr>
                <w:sz w:val="21"/>
              </w:rPr>
            </w:pPr>
            <w:r>
              <w:rPr>
                <w:sz w:val="21"/>
              </w:rPr>
              <w:t>双鸭山市生态环境局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3" w:hRule="atLeast"/>
        </w:trPr>
        <w:tc>
          <w:tcPr>
            <w:tcW w:w="644" w:type="dxa"/>
            <w:tcBorders>
              <w:top w:val="single" w:color="000000" w:sz="4" w:space="0"/>
              <w:bottom w:val="single" w:color="000000" w:sz="4" w:space="0"/>
              <w:right w:val="single" w:color="000000" w:sz="4" w:space="0"/>
            </w:tcBorders>
          </w:tcPr>
          <w:p>
            <w:pPr>
              <w:pStyle w:val="14"/>
              <w:jc w:val="left"/>
              <w:rPr>
                <w:b/>
                <w:sz w:val="22"/>
              </w:rPr>
            </w:pPr>
          </w:p>
          <w:p>
            <w:pPr>
              <w:pStyle w:val="14"/>
              <w:jc w:val="left"/>
              <w:rPr>
                <w:b/>
                <w:sz w:val="32"/>
              </w:rPr>
            </w:pPr>
          </w:p>
          <w:p>
            <w:pPr>
              <w:pStyle w:val="14"/>
              <w:ind w:left="10"/>
              <w:rPr>
                <w:rFonts w:ascii="Times New Roman"/>
                <w:sz w:val="21"/>
              </w:rPr>
            </w:pPr>
            <w:r>
              <w:rPr>
                <w:rFonts w:ascii="Times New Roman"/>
                <w:w w:val="99"/>
                <w:sz w:val="21"/>
              </w:rPr>
              <w:t>2</w:t>
            </w:r>
          </w:p>
        </w:tc>
        <w:tc>
          <w:tcPr>
            <w:tcW w:w="673" w:type="dxa"/>
            <w:vMerge w:val="continue"/>
            <w:tcBorders>
              <w:top w:val="nil"/>
              <w:left w:val="single" w:color="000000" w:sz="4" w:space="0"/>
              <w:right w:val="single" w:color="000000" w:sz="4" w:space="0"/>
            </w:tcBorders>
          </w:tcPr>
          <w:p>
            <w:pPr>
              <w:rPr>
                <w:sz w:val="2"/>
                <w:szCs w:val="2"/>
              </w:rPr>
            </w:pPr>
          </w:p>
        </w:tc>
        <w:tc>
          <w:tcPr>
            <w:tcW w:w="1114" w:type="dxa"/>
            <w:tcBorders>
              <w:top w:val="single" w:color="000000" w:sz="4" w:space="0"/>
              <w:left w:val="single" w:color="000000" w:sz="4" w:space="0"/>
              <w:bottom w:val="single" w:color="000000" w:sz="4" w:space="0"/>
              <w:right w:val="single" w:color="000000" w:sz="4" w:space="0"/>
            </w:tcBorders>
          </w:tcPr>
          <w:p>
            <w:pPr>
              <w:pStyle w:val="14"/>
              <w:jc w:val="left"/>
              <w:rPr>
                <w:b/>
                <w:sz w:val="20"/>
              </w:rPr>
            </w:pPr>
          </w:p>
          <w:p>
            <w:pPr>
              <w:pStyle w:val="14"/>
              <w:jc w:val="left"/>
              <w:rPr>
                <w:b/>
                <w:sz w:val="20"/>
              </w:rPr>
            </w:pPr>
          </w:p>
          <w:p>
            <w:pPr>
              <w:pStyle w:val="14"/>
              <w:spacing w:before="163"/>
              <w:ind w:left="119" w:right="104"/>
              <w:rPr>
                <w:sz w:val="21"/>
              </w:rPr>
            </w:pPr>
            <w:r>
              <w:rPr>
                <w:sz w:val="21"/>
              </w:rPr>
              <w:t>土壤侵蚀</w:t>
            </w:r>
          </w:p>
        </w:tc>
        <w:tc>
          <w:tcPr>
            <w:tcW w:w="5827" w:type="dxa"/>
            <w:tcBorders>
              <w:top w:val="single" w:color="000000" w:sz="4" w:space="0"/>
              <w:left w:val="single" w:color="000000" w:sz="4" w:space="0"/>
              <w:bottom w:val="single" w:color="000000" w:sz="4" w:space="0"/>
              <w:right w:val="single" w:color="000000" w:sz="4" w:space="0"/>
            </w:tcBorders>
          </w:tcPr>
          <w:p>
            <w:pPr>
              <w:pStyle w:val="14"/>
              <w:numPr>
                <w:ilvl w:val="0"/>
                <w:numId w:val="84"/>
              </w:numPr>
              <w:tabs>
                <w:tab w:val="left" w:pos="271"/>
              </w:tabs>
              <w:spacing w:before="0" w:after="0" w:line="266" w:lineRule="exact"/>
              <w:ind w:left="270" w:right="0" w:hanging="160"/>
              <w:jc w:val="left"/>
              <w:rPr>
                <w:sz w:val="21"/>
              </w:rPr>
            </w:pPr>
            <w:r>
              <w:rPr>
                <w:sz w:val="21"/>
              </w:rPr>
              <w:t>监测项目：土壤侵蚀类型、侵蚀量。</w:t>
            </w:r>
          </w:p>
          <w:p>
            <w:pPr>
              <w:pStyle w:val="14"/>
              <w:numPr>
                <w:ilvl w:val="0"/>
                <w:numId w:val="84"/>
              </w:numPr>
              <w:tabs>
                <w:tab w:val="left" w:pos="271"/>
              </w:tabs>
              <w:spacing w:before="2" w:after="0" w:line="240" w:lineRule="auto"/>
              <w:ind w:left="270" w:right="0" w:hanging="160"/>
              <w:jc w:val="left"/>
              <w:rPr>
                <w:sz w:val="21"/>
              </w:rPr>
            </w:pPr>
            <w:r>
              <w:rPr>
                <w:spacing w:val="-7"/>
                <w:sz w:val="21"/>
              </w:rPr>
              <w:t xml:space="preserve">监测频率：每年 </w:t>
            </w:r>
            <w:r>
              <w:rPr>
                <w:rFonts w:ascii="Times New Roman" w:eastAsia="Times New Roman"/>
                <w:sz w:val="21"/>
              </w:rPr>
              <w:t>1</w:t>
            </w:r>
            <w:r>
              <w:rPr>
                <w:rFonts w:ascii="Times New Roman" w:eastAsia="Times New Roman"/>
                <w:spacing w:val="1"/>
                <w:sz w:val="21"/>
              </w:rPr>
              <w:t xml:space="preserve"> </w:t>
            </w:r>
            <w:r>
              <w:rPr>
                <w:sz w:val="21"/>
              </w:rPr>
              <w:t>次。</w:t>
            </w:r>
          </w:p>
          <w:p>
            <w:pPr>
              <w:pStyle w:val="14"/>
              <w:numPr>
                <w:ilvl w:val="0"/>
                <w:numId w:val="84"/>
              </w:numPr>
              <w:tabs>
                <w:tab w:val="left" w:pos="271"/>
              </w:tabs>
              <w:spacing w:before="2" w:after="0" w:line="240" w:lineRule="auto"/>
              <w:ind w:left="270" w:right="0" w:hanging="160"/>
              <w:jc w:val="left"/>
              <w:rPr>
                <w:sz w:val="21"/>
              </w:rPr>
            </w:pPr>
            <w:r>
              <w:rPr>
                <w:spacing w:val="-6"/>
                <w:sz w:val="21"/>
              </w:rPr>
              <w:t xml:space="preserve">监测点：施工区域 </w:t>
            </w:r>
            <w:r>
              <w:rPr>
                <w:rFonts w:ascii="Times New Roman" w:eastAsia="Times New Roman"/>
                <w:sz w:val="21"/>
              </w:rPr>
              <w:t>3</w:t>
            </w:r>
            <w:r>
              <w:rPr>
                <w:sz w:val="21"/>
              </w:rPr>
              <w:t>～</w:t>
            </w:r>
            <w:r>
              <w:rPr>
                <w:rFonts w:ascii="Times New Roman" w:eastAsia="Times New Roman"/>
                <w:sz w:val="21"/>
              </w:rPr>
              <w:t>5</w:t>
            </w:r>
            <w:r>
              <w:rPr>
                <w:rFonts w:ascii="Times New Roman" w:eastAsia="Times New Roman"/>
                <w:spacing w:val="-1"/>
                <w:sz w:val="21"/>
              </w:rPr>
              <w:t xml:space="preserve"> </w:t>
            </w:r>
            <w:r>
              <w:rPr>
                <w:sz w:val="21"/>
              </w:rPr>
              <w:t>个代表点。</w:t>
            </w:r>
          </w:p>
          <w:p>
            <w:pPr>
              <w:pStyle w:val="14"/>
              <w:numPr>
                <w:ilvl w:val="0"/>
                <w:numId w:val="84"/>
              </w:numPr>
              <w:tabs>
                <w:tab w:val="left" w:pos="271"/>
              </w:tabs>
              <w:spacing w:before="5" w:after="0" w:line="240" w:lineRule="auto"/>
              <w:ind w:left="270" w:right="0" w:hanging="160"/>
              <w:jc w:val="left"/>
              <w:rPr>
                <w:sz w:val="21"/>
              </w:rPr>
            </w:pPr>
            <w:r>
              <w:rPr>
                <w:sz w:val="21"/>
              </w:rPr>
              <w:t>监测方法：定期观察。</w:t>
            </w:r>
          </w:p>
          <w:p>
            <w:pPr>
              <w:pStyle w:val="14"/>
              <w:numPr>
                <w:ilvl w:val="0"/>
                <w:numId w:val="84"/>
              </w:numPr>
              <w:tabs>
                <w:tab w:val="left" w:pos="271"/>
              </w:tabs>
              <w:spacing w:before="3" w:after="0" w:line="270" w:lineRule="atLeast"/>
              <w:ind w:left="111" w:right="88" w:firstLine="0"/>
              <w:jc w:val="left"/>
              <w:rPr>
                <w:sz w:val="21"/>
              </w:rPr>
            </w:pPr>
            <w:r>
              <w:rPr>
                <w:w w:val="95"/>
                <w:sz w:val="21"/>
              </w:rPr>
              <w:t xml:space="preserve">技术要求：参照水土保持相关规范，采用记录、统计方法， </w:t>
            </w:r>
            <w:r>
              <w:rPr>
                <w:sz w:val="21"/>
              </w:rPr>
              <w:t>形成分析报告。</w:t>
            </w:r>
          </w:p>
        </w:tc>
        <w:tc>
          <w:tcPr>
            <w:tcW w:w="1082" w:type="dxa"/>
            <w:tcBorders>
              <w:top w:val="single" w:color="000000" w:sz="4" w:space="0"/>
              <w:left w:val="single" w:color="000000" w:sz="4" w:space="0"/>
              <w:bottom w:val="single" w:color="000000" w:sz="4" w:space="0"/>
            </w:tcBorders>
          </w:tcPr>
          <w:p>
            <w:pPr>
              <w:pStyle w:val="14"/>
              <w:jc w:val="left"/>
              <w:rPr>
                <w:b/>
                <w:sz w:val="20"/>
              </w:rPr>
            </w:pPr>
          </w:p>
          <w:p>
            <w:pPr>
              <w:pStyle w:val="14"/>
              <w:spacing w:before="148" w:line="242" w:lineRule="auto"/>
              <w:ind w:left="126" w:right="100"/>
              <w:rPr>
                <w:sz w:val="21"/>
              </w:rPr>
            </w:pPr>
            <w:r>
              <w:rPr>
                <w:sz w:val="21"/>
              </w:rPr>
              <w:t>双鸭山市生态环境局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6" w:hRule="atLeast"/>
        </w:trPr>
        <w:tc>
          <w:tcPr>
            <w:tcW w:w="644" w:type="dxa"/>
            <w:tcBorders>
              <w:top w:val="single" w:color="000000" w:sz="4" w:space="0"/>
              <w:right w:val="single" w:color="000000" w:sz="4" w:space="0"/>
            </w:tcBorders>
          </w:tcPr>
          <w:p>
            <w:pPr>
              <w:pStyle w:val="14"/>
              <w:spacing w:before="144"/>
              <w:ind w:left="10"/>
              <w:rPr>
                <w:rFonts w:ascii="Times New Roman"/>
                <w:sz w:val="21"/>
              </w:rPr>
            </w:pPr>
            <w:r>
              <w:rPr>
                <w:rFonts w:ascii="Times New Roman"/>
                <w:w w:val="99"/>
                <w:sz w:val="21"/>
              </w:rPr>
              <w:t>3</w:t>
            </w:r>
          </w:p>
        </w:tc>
        <w:tc>
          <w:tcPr>
            <w:tcW w:w="673" w:type="dxa"/>
            <w:vMerge w:val="continue"/>
            <w:tcBorders>
              <w:top w:val="nil"/>
              <w:left w:val="single" w:color="000000" w:sz="4" w:space="0"/>
              <w:right w:val="single" w:color="000000" w:sz="4" w:space="0"/>
            </w:tcBorders>
          </w:tcPr>
          <w:p>
            <w:pPr>
              <w:rPr>
                <w:sz w:val="2"/>
                <w:szCs w:val="2"/>
              </w:rPr>
            </w:pPr>
          </w:p>
        </w:tc>
        <w:tc>
          <w:tcPr>
            <w:tcW w:w="1114" w:type="dxa"/>
            <w:tcBorders>
              <w:top w:val="single" w:color="000000" w:sz="4" w:space="0"/>
              <w:left w:val="single" w:color="000000" w:sz="4" w:space="0"/>
              <w:right w:val="single" w:color="000000" w:sz="4" w:space="0"/>
            </w:tcBorders>
          </w:tcPr>
          <w:p>
            <w:pPr>
              <w:pStyle w:val="14"/>
              <w:spacing w:before="130"/>
              <w:ind w:left="119" w:right="101"/>
              <w:rPr>
                <w:sz w:val="21"/>
              </w:rPr>
            </w:pPr>
            <w:r>
              <w:rPr>
                <w:sz w:val="21"/>
              </w:rPr>
              <w:t>植被</w:t>
            </w:r>
          </w:p>
        </w:tc>
        <w:tc>
          <w:tcPr>
            <w:tcW w:w="5827" w:type="dxa"/>
            <w:tcBorders>
              <w:top w:val="single" w:color="000000" w:sz="4" w:space="0"/>
              <w:left w:val="single" w:color="000000" w:sz="4" w:space="0"/>
              <w:right w:val="single" w:color="000000" w:sz="4" w:space="0"/>
            </w:tcBorders>
          </w:tcPr>
          <w:p>
            <w:pPr>
              <w:pStyle w:val="14"/>
              <w:numPr>
                <w:ilvl w:val="0"/>
                <w:numId w:val="85"/>
              </w:numPr>
              <w:tabs>
                <w:tab w:val="left" w:pos="271"/>
              </w:tabs>
              <w:spacing w:before="0" w:after="0" w:line="265" w:lineRule="exact"/>
              <w:ind w:left="270" w:right="-15" w:hanging="160"/>
              <w:jc w:val="left"/>
              <w:rPr>
                <w:sz w:val="21"/>
              </w:rPr>
            </w:pPr>
            <w:r>
              <w:rPr>
                <w:spacing w:val="-10"/>
                <w:w w:val="95"/>
                <w:sz w:val="21"/>
              </w:rPr>
              <w:t>监测项目：植被类型，植物种类、草群高度、盖度、生物量。</w:t>
            </w:r>
          </w:p>
          <w:p>
            <w:pPr>
              <w:pStyle w:val="14"/>
              <w:numPr>
                <w:ilvl w:val="0"/>
                <w:numId w:val="85"/>
              </w:numPr>
              <w:tabs>
                <w:tab w:val="left" w:pos="271"/>
              </w:tabs>
              <w:spacing w:before="2" w:after="0" w:line="250" w:lineRule="exact"/>
              <w:ind w:left="270" w:right="0" w:hanging="160"/>
              <w:jc w:val="left"/>
              <w:rPr>
                <w:sz w:val="21"/>
              </w:rPr>
            </w:pPr>
            <w:r>
              <w:rPr>
                <w:spacing w:val="-7"/>
                <w:sz w:val="21"/>
              </w:rPr>
              <w:t xml:space="preserve">监测频率：每年 </w:t>
            </w:r>
            <w:r>
              <w:rPr>
                <w:rFonts w:ascii="Times New Roman" w:eastAsia="Times New Roman"/>
                <w:sz w:val="21"/>
              </w:rPr>
              <w:t>1</w:t>
            </w:r>
            <w:r>
              <w:rPr>
                <w:rFonts w:ascii="Times New Roman" w:eastAsia="Times New Roman"/>
                <w:spacing w:val="1"/>
                <w:sz w:val="21"/>
              </w:rPr>
              <w:t xml:space="preserve"> </w:t>
            </w:r>
            <w:r>
              <w:rPr>
                <w:sz w:val="21"/>
              </w:rPr>
              <w:t>次。</w:t>
            </w:r>
          </w:p>
        </w:tc>
        <w:tc>
          <w:tcPr>
            <w:tcW w:w="1082" w:type="dxa"/>
            <w:tcBorders>
              <w:top w:val="single" w:color="000000" w:sz="4" w:space="0"/>
              <w:left w:val="single" w:color="000000" w:sz="4" w:space="0"/>
            </w:tcBorders>
          </w:tcPr>
          <w:p>
            <w:pPr>
              <w:pStyle w:val="14"/>
              <w:spacing w:line="265" w:lineRule="exact"/>
              <w:ind w:left="126"/>
              <w:jc w:val="left"/>
              <w:rPr>
                <w:sz w:val="21"/>
              </w:rPr>
            </w:pPr>
            <w:r>
              <w:rPr>
                <w:w w:val="95"/>
                <w:sz w:val="21"/>
              </w:rPr>
              <w:t>双鸭山市</w:t>
            </w:r>
          </w:p>
          <w:p>
            <w:pPr>
              <w:pStyle w:val="14"/>
              <w:spacing w:before="2" w:line="250" w:lineRule="exact"/>
              <w:ind w:left="126"/>
              <w:jc w:val="left"/>
              <w:rPr>
                <w:sz w:val="21"/>
              </w:rPr>
            </w:pPr>
            <w:r>
              <w:rPr>
                <w:w w:val="95"/>
                <w:sz w:val="21"/>
              </w:rPr>
              <w:t>生态环境</w:t>
            </w:r>
          </w:p>
        </w:tc>
      </w:tr>
    </w:tbl>
    <w:p>
      <w:pPr>
        <w:spacing w:after="0" w:line="250" w:lineRule="exact"/>
        <w:jc w:val="left"/>
        <w:rPr>
          <w:sz w:val="21"/>
        </w:rPr>
        <w:sectPr>
          <w:pgSz w:w="11910" w:h="16840"/>
          <w:pgMar w:top="1520" w:right="1120" w:bottom="1320" w:left="1180" w:header="0" w:footer="1058" w:gutter="0"/>
        </w:sectPr>
      </w:pPr>
    </w:p>
    <w:tbl>
      <w:tblPr>
        <w:tblStyle w:val="10"/>
        <w:tblW w:w="0" w:type="auto"/>
        <w:tblInd w:w="13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44"/>
        <w:gridCol w:w="673"/>
        <w:gridCol w:w="1114"/>
        <w:gridCol w:w="5827"/>
        <w:gridCol w:w="108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9" w:hRule="atLeast"/>
        </w:trPr>
        <w:tc>
          <w:tcPr>
            <w:tcW w:w="644" w:type="dxa"/>
            <w:tcBorders>
              <w:bottom w:val="single" w:color="000000" w:sz="4" w:space="0"/>
              <w:right w:val="single" w:color="000000" w:sz="4" w:space="0"/>
            </w:tcBorders>
          </w:tcPr>
          <w:p>
            <w:pPr>
              <w:pStyle w:val="14"/>
              <w:jc w:val="left"/>
              <w:rPr>
                <w:rFonts w:ascii="Times New Roman"/>
                <w:sz w:val="20"/>
              </w:rPr>
            </w:pPr>
          </w:p>
        </w:tc>
        <w:tc>
          <w:tcPr>
            <w:tcW w:w="673" w:type="dxa"/>
            <w:vMerge w:val="restart"/>
            <w:tcBorders>
              <w:left w:val="single" w:color="000000" w:sz="4" w:space="0"/>
              <w:bottom w:val="single" w:color="000000" w:sz="4" w:space="0"/>
              <w:right w:val="single" w:color="000000" w:sz="4" w:space="0"/>
            </w:tcBorders>
          </w:tcPr>
          <w:p>
            <w:pPr>
              <w:pStyle w:val="14"/>
              <w:jc w:val="left"/>
              <w:rPr>
                <w:rFonts w:ascii="Times New Roman"/>
                <w:sz w:val="20"/>
              </w:rPr>
            </w:pPr>
          </w:p>
        </w:tc>
        <w:tc>
          <w:tcPr>
            <w:tcW w:w="1114" w:type="dxa"/>
            <w:tcBorders>
              <w:left w:val="single" w:color="000000" w:sz="4" w:space="0"/>
              <w:bottom w:val="single" w:color="000000" w:sz="4" w:space="0"/>
              <w:right w:val="single" w:color="000000" w:sz="4" w:space="0"/>
            </w:tcBorders>
          </w:tcPr>
          <w:p>
            <w:pPr>
              <w:pStyle w:val="14"/>
              <w:jc w:val="left"/>
              <w:rPr>
                <w:rFonts w:ascii="Times New Roman"/>
                <w:sz w:val="20"/>
              </w:rPr>
            </w:pPr>
          </w:p>
        </w:tc>
        <w:tc>
          <w:tcPr>
            <w:tcW w:w="5827" w:type="dxa"/>
            <w:tcBorders>
              <w:left w:val="single" w:color="000000" w:sz="4" w:space="0"/>
              <w:bottom w:val="single" w:color="000000" w:sz="4" w:space="0"/>
              <w:right w:val="single" w:color="000000" w:sz="4" w:space="0"/>
            </w:tcBorders>
          </w:tcPr>
          <w:p>
            <w:pPr>
              <w:pStyle w:val="14"/>
              <w:numPr>
                <w:ilvl w:val="0"/>
                <w:numId w:val="86"/>
              </w:numPr>
              <w:tabs>
                <w:tab w:val="left" w:pos="271"/>
              </w:tabs>
              <w:spacing w:before="0" w:after="0" w:line="260" w:lineRule="exact"/>
              <w:ind w:left="270" w:right="0" w:hanging="160"/>
              <w:jc w:val="left"/>
              <w:rPr>
                <w:sz w:val="21"/>
              </w:rPr>
            </w:pPr>
            <w:r>
              <w:rPr>
                <w:spacing w:val="-6"/>
                <w:sz w:val="21"/>
              </w:rPr>
              <w:t xml:space="preserve">监测点：项目实施区 </w:t>
            </w:r>
            <w:r>
              <w:rPr>
                <w:rFonts w:ascii="Times New Roman" w:eastAsia="Times New Roman"/>
                <w:sz w:val="21"/>
              </w:rPr>
              <w:t>3</w:t>
            </w:r>
            <w:r>
              <w:rPr>
                <w:sz w:val="21"/>
              </w:rPr>
              <w:t>～</w:t>
            </w:r>
            <w:r>
              <w:rPr>
                <w:rFonts w:ascii="Times New Roman" w:eastAsia="Times New Roman"/>
                <w:sz w:val="21"/>
              </w:rPr>
              <w:t>5</w:t>
            </w:r>
            <w:r>
              <w:rPr>
                <w:rFonts w:ascii="Times New Roman" w:eastAsia="Times New Roman"/>
                <w:spacing w:val="-1"/>
                <w:sz w:val="21"/>
              </w:rPr>
              <w:t xml:space="preserve"> </w:t>
            </w:r>
            <w:r>
              <w:rPr>
                <w:sz w:val="21"/>
              </w:rPr>
              <w:t>个点。</w:t>
            </w:r>
          </w:p>
          <w:p>
            <w:pPr>
              <w:pStyle w:val="14"/>
              <w:numPr>
                <w:ilvl w:val="0"/>
                <w:numId w:val="86"/>
              </w:numPr>
              <w:tabs>
                <w:tab w:val="left" w:pos="271"/>
              </w:tabs>
              <w:spacing w:before="2" w:after="0" w:line="240" w:lineRule="auto"/>
              <w:ind w:left="270" w:right="0" w:hanging="160"/>
              <w:jc w:val="left"/>
              <w:rPr>
                <w:sz w:val="21"/>
              </w:rPr>
            </w:pPr>
            <w:r>
              <w:rPr>
                <w:sz w:val="21"/>
              </w:rPr>
              <w:t>监测方法：定期观察。</w:t>
            </w:r>
          </w:p>
          <w:p>
            <w:pPr>
              <w:pStyle w:val="14"/>
              <w:numPr>
                <w:ilvl w:val="0"/>
                <w:numId w:val="86"/>
              </w:numPr>
              <w:tabs>
                <w:tab w:val="left" w:pos="271"/>
              </w:tabs>
              <w:spacing w:before="3" w:after="0" w:line="270" w:lineRule="atLeast"/>
              <w:ind w:left="111" w:right="94" w:firstLine="0"/>
              <w:jc w:val="left"/>
              <w:rPr>
                <w:sz w:val="21"/>
              </w:rPr>
            </w:pPr>
            <w:r>
              <w:rPr>
                <w:spacing w:val="-2"/>
                <w:w w:val="95"/>
                <w:sz w:val="21"/>
              </w:rPr>
              <w:t xml:space="preserve">技术要求：遥感监测和巡查相结合，对监测项目指标变化量 </w:t>
            </w:r>
            <w:r>
              <w:rPr>
                <w:spacing w:val="-2"/>
                <w:sz w:val="21"/>
              </w:rPr>
              <w:t>进行统计，并分析原因。</w:t>
            </w:r>
          </w:p>
        </w:tc>
        <w:tc>
          <w:tcPr>
            <w:tcW w:w="1082" w:type="dxa"/>
            <w:tcBorders>
              <w:left w:val="single" w:color="000000" w:sz="4" w:space="0"/>
              <w:bottom w:val="single" w:color="000000" w:sz="4" w:space="0"/>
            </w:tcBorders>
          </w:tcPr>
          <w:p>
            <w:pPr>
              <w:pStyle w:val="14"/>
              <w:spacing w:line="260" w:lineRule="exact"/>
              <w:ind w:left="23"/>
              <w:rPr>
                <w:sz w:val="21"/>
              </w:rPr>
            </w:pPr>
            <w:r>
              <w:rPr>
                <w:w w:val="99"/>
                <w:sz w:val="21"/>
              </w:rPr>
              <w:t>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2" w:hRule="atLeast"/>
        </w:trPr>
        <w:tc>
          <w:tcPr>
            <w:tcW w:w="644" w:type="dxa"/>
            <w:tcBorders>
              <w:top w:val="single" w:color="000000" w:sz="4" w:space="0"/>
              <w:bottom w:val="single" w:color="000000" w:sz="4" w:space="0"/>
              <w:right w:val="single" w:color="000000" w:sz="4" w:space="0"/>
            </w:tcBorders>
          </w:tcPr>
          <w:p>
            <w:pPr>
              <w:pStyle w:val="14"/>
              <w:jc w:val="left"/>
              <w:rPr>
                <w:b/>
                <w:sz w:val="22"/>
              </w:rPr>
            </w:pPr>
          </w:p>
          <w:p>
            <w:pPr>
              <w:pStyle w:val="14"/>
              <w:spacing w:before="8"/>
              <w:jc w:val="left"/>
              <w:rPr>
                <w:b/>
                <w:sz w:val="21"/>
              </w:rPr>
            </w:pPr>
          </w:p>
          <w:p>
            <w:pPr>
              <w:pStyle w:val="14"/>
              <w:spacing w:before="1"/>
              <w:ind w:left="10"/>
              <w:rPr>
                <w:rFonts w:ascii="Times New Roman"/>
                <w:sz w:val="21"/>
              </w:rPr>
            </w:pPr>
            <w:r>
              <w:rPr>
                <w:rFonts w:ascii="Times New Roman"/>
                <w:w w:val="99"/>
                <w:sz w:val="21"/>
              </w:rPr>
              <w:t>4</w:t>
            </w:r>
          </w:p>
        </w:tc>
        <w:tc>
          <w:tcPr>
            <w:tcW w:w="673" w:type="dxa"/>
            <w:vMerge w:val="continue"/>
            <w:tcBorders>
              <w:top w:val="nil"/>
              <w:left w:val="single" w:color="000000" w:sz="4" w:space="0"/>
              <w:bottom w:val="single" w:color="000000" w:sz="4" w:space="0"/>
              <w:right w:val="single" w:color="000000" w:sz="4" w:space="0"/>
            </w:tcBorders>
          </w:tcPr>
          <w:p>
            <w:pPr>
              <w:rPr>
                <w:sz w:val="2"/>
                <w:szCs w:val="2"/>
              </w:rPr>
            </w:pPr>
          </w:p>
        </w:tc>
        <w:tc>
          <w:tcPr>
            <w:tcW w:w="1114" w:type="dxa"/>
            <w:tcBorders>
              <w:top w:val="single" w:color="000000" w:sz="4" w:space="0"/>
              <w:left w:val="single" w:color="000000" w:sz="4" w:space="0"/>
              <w:bottom w:val="single" w:color="000000" w:sz="4" w:space="0"/>
              <w:right w:val="single" w:color="000000" w:sz="4" w:space="0"/>
            </w:tcBorders>
          </w:tcPr>
          <w:p>
            <w:pPr>
              <w:pStyle w:val="14"/>
              <w:jc w:val="left"/>
              <w:rPr>
                <w:b/>
                <w:sz w:val="20"/>
              </w:rPr>
            </w:pPr>
          </w:p>
          <w:p>
            <w:pPr>
              <w:pStyle w:val="14"/>
              <w:spacing w:before="7"/>
              <w:jc w:val="left"/>
              <w:rPr>
                <w:b/>
                <w:sz w:val="22"/>
              </w:rPr>
            </w:pPr>
          </w:p>
          <w:p>
            <w:pPr>
              <w:pStyle w:val="14"/>
              <w:ind w:left="119" w:right="104"/>
              <w:rPr>
                <w:sz w:val="21"/>
              </w:rPr>
            </w:pPr>
            <w:r>
              <w:rPr>
                <w:sz w:val="21"/>
              </w:rPr>
              <w:t>土壤环境</w:t>
            </w:r>
          </w:p>
        </w:tc>
        <w:tc>
          <w:tcPr>
            <w:tcW w:w="5827" w:type="dxa"/>
            <w:tcBorders>
              <w:top w:val="single" w:color="000000" w:sz="4" w:space="0"/>
              <w:left w:val="single" w:color="000000" w:sz="4" w:space="0"/>
              <w:bottom w:val="single" w:color="000000" w:sz="4" w:space="0"/>
              <w:right w:val="single" w:color="000000" w:sz="4" w:space="0"/>
            </w:tcBorders>
          </w:tcPr>
          <w:p>
            <w:pPr>
              <w:pStyle w:val="14"/>
              <w:numPr>
                <w:ilvl w:val="0"/>
                <w:numId w:val="87"/>
              </w:numPr>
              <w:tabs>
                <w:tab w:val="left" w:pos="271"/>
              </w:tabs>
              <w:spacing w:before="1" w:after="0" w:line="240" w:lineRule="auto"/>
              <w:ind w:left="270" w:right="0" w:hanging="160"/>
              <w:jc w:val="left"/>
              <w:rPr>
                <w:sz w:val="21"/>
              </w:rPr>
            </w:pPr>
            <w:r>
              <w:rPr>
                <w:sz w:val="21"/>
              </w:rPr>
              <w:t>监测项目：</w:t>
            </w:r>
            <w:r>
              <w:rPr>
                <w:rFonts w:ascii="Times New Roman" w:eastAsia="Times New Roman"/>
                <w:sz w:val="21"/>
              </w:rPr>
              <w:t>pH</w:t>
            </w:r>
            <w:r>
              <w:rPr>
                <w:spacing w:val="-8"/>
                <w:sz w:val="21"/>
              </w:rPr>
              <w:t xml:space="preserve">、有机质、全 </w:t>
            </w:r>
            <w:r>
              <w:rPr>
                <w:rFonts w:ascii="Times New Roman" w:eastAsia="Times New Roman"/>
                <w:sz w:val="21"/>
              </w:rPr>
              <w:t>N</w:t>
            </w:r>
            <w:r>
              <w:rPr>
                <w:spacing w:val="-14"/>
                <w:sz w:val="21"/>
              </w:rPr>
              <w:t xml:space="preserve">、有效 </w:t>
            </w:r>
            <w:r>
              <w:rPr>
                <w:rFonts w:ascii="Times New Roman" w:eastAsia="Times New Roman"/>
                <w:sz w:val="21"/>
              </w:rPr>
              <w:t>P</w:t>
            </w:r>
            <w:r>
              <w:rPr>
                <w:sz w:val="21"/>
              </w:rPr>
              <w:t>、</w:t>
            </w:r>
            <w:r>
              <w:rPr>
                <w:rFonts w:ascii="Times New Roman" w:eastAsia="Times New Roman"/>
                <w:sz w:val="21"/>
              </w:rPr>
              <w:t>K</w:t>
            </w:r>
            <w:r>
              <w:rPr>
                <w:sz w:val="21"/>
              </w:rPr>
              <w:t>。</w:t>
            </w:r>
          </w:p>
          <w:p>
            <w:pPr>
              <w:pStyle w:val="14"/>
              <w:numPr>
                <w:ilvl w:val="0"/>
                <w:numId w:val="87"/>
              </w:numPr>
              <w:tabs>
                <w:tab w:val="left" w:pos="271"/>
              </w:tabs>
              <w:spacing w:before="2" w:after="0" w:line="240" w:lineRule="auto"/>
              <w:ind w:left="270" w:right="0" w:hanging="160"/>
              <w:jc w:val="left"/>
              <w:rPr>
                <w:sz w:val="21"/>
              </w:rPr>
            </w:pPr>
            <w:r>
              <w:rPr>
                <w:spacing w:val="-7"/>
                <w:sz w:val="21"/>
              </w:rPr>
              <w:t xml:space="preserve">监测频率：每年 </w:t>
            </w:r>
            <w:r>
              <w:rPr>
                <w:rFonts w:ascii="Times New Roman" w:eastAsia="Times New Roman"/>
                <w:sz w:val="21"/>
              </w:rPr>
              <w:t>1</w:t>
            </w:r>
            <w:r>
              <w:rPr>
                <w:rFonts w:ascii="Times New Roman" w:eastAsia="Times New Roman"/>
                <w:spacing w:val="1"/>
                <w:sz w:val="21"/>
              </w:rPr>
              <w:t xml:space="preserve"> </w:t>
            </w:r>
            <w:r>
              <w:rPr>
                <w:sz w:val="21"/>
              </w:rPr>
              <w:t>次。</w:t>
            </w:r>
          </w:p>
          <w:p>
            <w:pPr>
              <w:pStyle w:val="14"/>
              <w:numPr>
                <w:ilvl w:val="0"/>
                <w:numId w:val="87"/>
              </w:numPr>
              <w:tabs>
                <w:tab w:val="left" w:pos="271"/>
              </w:tabs>
              <w:spacing w:before="4" w:after="0" w:line="240" w:lineRule="auto"/>
              <w:ind w:left="270" w:right="0" w:hanging="160"/>
              <w:jc w:val="left"/>
              <w:rPr>
                <w:sz w:val="21"/>
              </w:rPr>
            </w:pPr>
            <w:r>
              <w:rPr>
                <w:spacing w:val="-6"/>
                <w:sz w:val="21"/>
              </w:rPr>
              <w:t xml:space="preserve">监测点：项目实施区 </w:t>
            </w:r>
            <w:r>
              <w:rPr>
                <w:rFonts w:ascii="Times New Roman" w:eastAsia="Times New Roman"/>
                <w:sz w:val="21"/>
              </w:rPr>
              <w:t>3</w:t>
            </w:r>
            <w:r>
              <w:rPr>
                <w:sz w:val="21"/>
              </w:rPr>
              <w:t>～</w:t>
            </w:r>
            <w:r>
              <w:rPr>
                <w:rFonts w:ascii="Times New Roman" w:eastAsia="Times New Roman"/>
                <w:sz w:val="21"/>
              </w:rPr>
              <w:t>5</w:t>
            </w:r>
            <w:r>
              <w:rPr>
                <w:rFonts w:ascii="Times New Roman" w:eastAsia="Times New Roman"/>
                <w:spacing w:val="-1"/>
                <w:sz w:val="21"/>
              </w:rPr>
              <w:t xml:space="preserve"> </w:t>
            </w:r>
            <w:r>
              <w:rPr>
                <w:sz w:val="21"/>
              </w:rPr>
              <w:t>个点。</w:t>
            </w:r>
          </w:p>
          <w:p>
            <w:pPr>
              <w:pStyle w:val="14"/>
              <w:numPr>
                <w:ilvl w:val="0"/>
                <w:numId w:val="87"/>
              </w:numPr>
              <w:tabs>
                <w:tab w:val="left" w:pos="271"/>
              </w:tabs>
              <w:spacing w:before="3" w:after="0" w:line="240" w:lineRule="auto"/>
              <w:ind w:left="270" w:right="0" w:hanging="160"/>
              <w:jc w:val="left"/>
              <w:rPr>
                <w:sz w:val="21"/>
              </w:rPr>
            </w:pPr>
            <w:r>
              <w:rPr>
                <w:sz w:val="21"/>
              </w:rPr>
              <w:t>监测方法：定期观察。</w:t>
            </w:r>
          </w:p>
          <w:p>
            <w:pPr>
              <w:pStyle w:val="14"/>
              <w:numPr>
                <w:ilvl w:val="0"/>
                <w:numId w:val="87"/>
              </w:numPr>
              <w:tabs>
                <w:tab w:val="left" w:pos="271"/>
              </w:tabs>
              <w:spacing w:before="4" w:after="0" w:line="251" w:lineRule="exact"/>
              <w:ind w:left="270" w:right="-15" w:hanging="160"/>
              <w:jc w:val="left"/>
              <w:rPr>
                <w:sz w:val="21"/>
              </w:rPr>
            </w:pPr>
            <w:r>
              <w:rPr>
                <w:spacing w:val="-12"/>
                <w:w w:val="95"/>
                <w:sz w:val="21"/>
              </w:rPr>
              <w:t>技术要求：定期取样，实验室分析粒径组成，形成分析报告。</w:t>
            </w:r>
          </w:p>
        </w:tc>
        <w:tc>
          <w:tcPr>
            <w:tcW w:w="1082" w:type="dxa"/>
            <w:tcBorders>
              <w:top w:val="single" w:color="000000" w:sz="4" w:space="0"/>
              <w:left w:val="single" w:color="000000" w:sz="4" w:space="0"/>
              <w:bottom w:val="single" w:color="000000" w:sz="4" w:space="0"/>
            </w:tcBorders>
          </w:tcPr>
          <w:p>
            <w:pPr>
              <w:pStyle w:val="14"/>
              <w:spacing w:before="3"/>
              <w:jc w:val="left"/>
              <w:rPr>
                <w:b/>
                <w:sz w:val="21"/>
              </w:rPr>
            </w:pPr>
          </w:p>
          <w:p>
            <w:pPr>
              <w:pStyle w:val="14"/>
              <w:spacing w:line="242" w:lineRule="auto"/>
              <w:ind w:left="126" w:right="100"/>
              <w:rPr>
                <w:sz w:val="21"/>
              </w:rPr>
            </w:pPr>
            <w:r>
              <w:rPr>
                <w:sz w:val="21"/>
              </w:rPr>
              <w:t>双鸭山市生态环境局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4" w:hRule="atLeast"/>
        </w:trPr>
        <w:tc>
          <w:tcPr>
            <w:tcW w:w="644" w:type="dxa"/>
            <w:tcBorders>
              <w:top w:val="single" w:color="000000" w:sz="4" w:space="0"/>
              <w:bottom w:val="single" w:color="000000" w:sz="4" w:space="0"/>
              <w:right w:val="single" w:color="000000" w:sz="4" w:space="0"/>
            </w:tcBorders>
          </w:tcPr>
          <w:p>
            <w:pPr>
              <w:pStyle w:val="14"/>
              <w:jc w:val="left"/>
              <w:rPr>
                <w:b/>
                <w:sz w:val="22"/>
              </w:rPr>
            </w:pPr>
          </w:p>
          <w:p>
            <w:pPr>
              <w:pStyle w:val="14"/>
              <w:spacing w:before="3"/>
              <w:jc w:val="left"/>
              <w:rPr>
                <w:b/>
                <w:sz w:val="32"/>
              </w:rPr>
            </w:pPr>
          </w:p>
          <w:p>
            <w:pPr>
              <w:pStyle w:val="14"/>
              <w:ind w:left="10"/>
              <w:rPr>
                <w:rFonts w:ascii="Times New Roman"/>
                <w:sz w:val="21"/>
              </w:rPr>
            </w:pPr>
            <w:r>
              <w:rPr>
                <w:rFonts w:ascii="Times New Roman"/>
                <w:w w:val="99"/>
                <w:sz w:val="21"/>
              </w:rPr>
              <w:t>5</w:t>
            </w:r>
          </w:p>
        </w:tc>
        <w:tc>
          <w:tcPr>
            <w:tcW w:w="673" w:type="dxa"/>
            <w:vMerge w:val="continue"/>
            <w:tcBorders>
              <w:top w:val="nil"/>
              <w:left w:val="single" w:color="000000" w:sz="4" w:space="0"/>
              <w:bottom w:val="single" w:color="000000" w:sz="4" w:space="0"/>
              <w:right w:val="single" w:color="000000" w:sz="4" w:space="0"/>
            </w:tcBorders>
          </w:tcPr>
          <w:p>
            <w:pPr>
              <w:rPr>
                <w:sz w:val="2"/>
                <w:szCs w:val="2"/>
              </w:rPr>
            </w:pPr>
          </w:p>
        </w:tc>
        <w:tc>
          <w:tcPr>
            <w:tcW w:w="1114" w:type="dxa"/>
            <w:tcBorders>
              <w:top w:val="single" w:color="000000" w:sz="4" w:space="0"/>
              <w:left w:val="single" w:color="000000" w:sz="4" w:space="0"/>
              <w:bottom w:val="single" w:color="000000" w:sz="4" w:space="0"/>
              <w:right w:val="single" w:color="000000" w:sz="4" w:space="0"/>
            </w:tcBorders>
          </w:tcPr>
          <w:p>
            <w:pPr>
              <w:pStyle w:val="14"/>
              <w:jc w:val="left"/>
              <w:rPr>
                <w:b/>
                <w:sz w:val="20"/>
              </w:rPr>
            </w:pPr>
          </w:p>
          <w:p>
            <w:pPr>
              <w:pStyle w:val="14"/>
              <w:spacing w:before="6"/>
              <w:jc w:val="left"/>
              <w:rPr>
                <w:b/>
                <w:sz w:val="22"/>
              </w:rPr>
            </w:pPr>
          </w:p>
          <w:p>
            <w:pPr>
              <w:pStyle w:val="14"/>
              <w:spacing w:line="244" w:lineRule="auto"/>
              <w:ind w:left="246" w:right="123" w:hanging="106"/>
              <w:jc w:val="left"/>
              <w:rPr>
                <w:sz w:val="21"/>
              </w:rPr>
            </w:pPr>
            <w:r>
              <w:rPr>
                <w:sz w:val="21"/>
              </w:rPr>
              <w:t>建筑物变形情况</w:t>
            </w:r>
          </w:p>
        </w:tc>
        <w:tc>
          <w:tcPr>
            <w:tcW w:w="5827" w:type="dxa"/>
            <w:tcBorders>
              <w:top w:val="single" w:color="000000" w:sz="4" w:space="0"/>
              <w:left w:val="single" w:color="000000" w:sz="4" w:space="0"/>
              <w:bottom w:val="single" w:color="000000" w:sz="4" w:space="0"/>
              <w:right w:val="single" w:color="000000" w:sz="4" w:space="0"/>
            </w:tcBorders>
          </w:tcPr>
          <w:p>
            <w:pPr>
              <w:pStyle w:val="14"/>
              <w:numPr>
                <w:ilvl w:val="0"/>
                <w:numId w:val="88"/>
              </w:numPr>
              <w:tabs>
                <w:tab w:val="left" w:pos="271"/>
              </w:tabs>
              <w:spacing w:before="2" w:after="0" w:line="240" w:lineRule="auto"/>
              <w:ind w:left="270" w:right="0" w:hanging="160"/>
              <w:jc w:val="left"/>
              <w:rPr>
                <w:sz w:val="21"/>
              </w:rPr>
            </w:pPr>
            <w:r>
              <w:rPr>
                <w:w w:val="95"/>
                <w:sz w:val="21"/>
              </w:rPr>
              <w:t>监测项目：村民房屋。</w:t>
            </w:r>
          </w:p>
          <w:p>
            <w:pPr>
              <w:pStyle w:val="14"/>
              <w:numPr>
                <w:ilvl w:val="0"/>
                <w:numId w:val="88"/>
              </w:numPr>
              <w:tabs>
                <w:tab w:val="left" w:pos="271"/>
              </w:tabs>
              <w:spacing w:before="2" w:after="0" w:line="240" w:lineRule="auto"/>
              <w:ind w:left="270" w:right="0" w:hanging="160"/>
              <w:jc w:val="left"/>
              <w:rPr>
                <w:sz w:val="21"/>
              </w:rPr>
            </w:pPr>
            <w:r>
              <w:rPr>
                <w:spacing w:val="-8"/>
                <w:sz w:val="21"/>
              </w:rPr>
              <w:t xml:space="preserve">监测频率：每年 </w:t>
            </w:r>
            <w:r>
              <w:rPr>
                <w:rFonts w:ascii="Times New Roman" w:eastAsia="Times New Roman"/>
                <w:sz w:val="21"/>
              </w:rPr>
              <w:t>1</w:t>
            </w:r>
            <w:r>
              <w:rPr>
                <w:rFonts w:ascii="Times New Roman" w:eastAsia="Times New Roman"/>
                <w:spacing w:val="-3"/>
                <w:sz w:val="21"/>
              </w:rPr>
              <w:t xml:space="preserve"> </w:t>
            </w:r>
            <w:r>
              <w:rPr>
                <w:sz w:val="21"/>
              </w:rPr>
              <w:t>次。</w:t>
            </w:r>
          </w:p>
          <w:p>
            <w:pPr>
              <w:pStyle w:val="14"/>
              <w:numPr>
                <w:ilvl w:val="0"/>
                <w:numId w:val="88"/>
              </w:numPr>
              <w:tabs>
                <w:tab w:val="left" w:pos="271"/>
              </w:tabs>
              <w:spacing w:before="2" w:after="0" w:line="240" w:lineRule="auto"/>
              <w:ind w:left="270" w:right="0" w:hanging="160"/>
              <w:jc w:val="left"/>
              <w:rPr>
                <w:sz w:val="21"/>
              </w:rPr>
            </w:pPr>
            <w:r>
              <w:rPr>
                <w:sz w:val="21"/>
              </w:rPr>
              <w:t>监测点：周边村庄。</w:t>
            </w:r>
          </w:p>
          <w:p>
            <w:pPr>
              <w:pStyle w:val="14"/>
              <w:numPr>
                <w:ilvl w:val="0"/>
                <w:numId w:val="88"/>
              </w:numPr>
              <w:tabs>
                <w:tab w:val="left" w:pos="271"/>
              </w:tabs>
              <w:spacing w:before="4" w:after="0" w:line="240" w:lineRule="auto"/>
              <w:ind w:left="270" w:right="0" w:hanging="160"/>
              <w:jc w:val="left"/>
              <w:rPr>
                <w:sz w:val="21"/>
              </w:rPr>
            </w:pPr>
            <w:r>
              <w:rPr>
                <w:sz w:val="21"/>
              </w:rPr>
              <w:t>监测方法：定期观测。</w:t>
            </w:r>
          </w:p>
          <w:p>
            <w:pPr>
              <w:pStyle w:val="14"/>
              <w:numPr>
                <w:ilvl w:val="0"/>
                <w:numId w:val="88"/>
              </w:numPr>
              <w:tabs>
                <w:tab w:val="left" w:pos="271"/>
              </w:tabs>
              <w:spacing w:before="2" w:after="0" w:line="240" w:lineRule="auto"/>
              <w:ind w:left="270" w:right="0" w:hanging="160"/>
              <w:jc w:val="left"/>
              <w:rPr>
                <w:sz w:val="21"/>
              </w:rPr>
            </w:pPr>
            <w:r>
              <w:rPr>
                <w:spacing w:val="-2"/>
                <w:sz w:val="21"/>
              </w:rPr>
              <w:t>技术要求：遥感监测和巡查相结合，对监测项目指标变化量</w:t>
            </w:r>
          </w:p>
          <w:p>
            <w:pPr>
              <w:pStyle w:val="14"/>
              <w:spacing w:before="5" w:line="251" w:lineRule="exact"/>
              <w:ind w:left="111"/>
              <w:jc w:val="left"/>
              <w:rPr>
                <w:sz w:val="21"/>
              </w:rPr>
            </w:pPr>
            <w:r>
              <w:rPr>
                <w:sz w:val="21"/>
              </w:rPr>
              <w:t>进行统计，并分析原因。</w:t>
            </w:r>
          </w:p>
        </w:tc>
        <w:tc>
          <w:tcPr>
            <w:tcW w:w="1082" w:type="dxa"/>
            <w:tcBorders>
              <w:top w:val="single" w:color="000000" w:sz="4" w:space="0"/>
              <w:left w:val="single" w:color="000000" w:sz="4" w:space="0"/>
              <w:bottom w:val="single" w:color="000000" w:sz="4" w:space="0"/>
            </w:tcBorders>
          </w:tcPr>
          <w:p>
            <w:pPr>
              <w:pStyle w:val="14"/>
              <w:jc w:val="left"/>
              <w:rPr>
                <w:b/>
                <w:sz w:val="20"/>
              </w:rPr>
            </w:pPr>
          </w:p>
          <w:p>
            <w:pPr>
              <w:pStyle w:val="14"/>
              <w:spacing w:before="153" w:line="242" w:lineRule="auto"/>
              <w:ind w:left="126" w:right="100"/>
              <w:rPr>
                <w:sz w:val="21"/>
              </w:rPr>
            </w:pPr>
            <w:r>
              <w:rPr>
                <w:sz w:val="21"/>
              </w:rPr>
              <w:t>双鸭山市生态环境局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3" w:hRule="atLeast"/>
        </w:trPr>
        <w:tc>
          <w:tcPr>
            <w:tcW w:w="644" w:type="dxa"/>
            <w:tcBorders>
              <w:top w:val="single" w:color="000000" w:sz="4" w:space="0"/>
              <w:bottom w:val="single" w:color="000000" w:sz="4" w:space="0"/>
              <w:right w:val="single" w:color="000000" w:sz="4" w:space="0"/>
            </w:tcBorders>
          </w:tcPr>
          <w:p>
            <w:pPr>
              <w:pStyle w:val="14"/>
              <w:jc w:val="left"/>
              <w:rPr>
                <w:b/>
                <w:sz w:val="22"/>
              </w:rPr>
            </w:pPr>
          </w:p>
          <w:p>
            <w:pPr>
              <w:pStyle w:val="14"/>
              <w:spacing w:before="3"/>
              <w:jc w:val="left"/>
              <w:rPr>
                <w:b/>
                <w:sz w:val="32"/>
              </w:rPr>
            </w:pPr>
          </w:p>
          <w:p>
            <w:pPr>
              <w:pStyle w:val="14"/>
              <w:ind w:left="10"/>
              <w:rPr>
                <w:rFonts w:ascii="Times New Roman"/>
                <w:sz w:val="21"/>
              </w:rPr>
            </w:pPr>
            <w:r>
              <w:rPr>
                <w:rFonts w:ascii="Times New Roman"/>
                <w:w w:val="99"/>
                <w:sz w:val="21"/>
              </w:rPr>
              <w:t>6</w:t>
            </w:r>
          </w:p>
        </w:tc>
        <w:tc>
          <w:tcPr>
            <w:tcW w:w="673" w:type="dxa"/>
            <w:vMerge w:val="restart"/>
            <w:tcBorders>
              <w:top w:val="single" w:color="000000" w:sz="4" w:space="0"/>
              <w:left w:val="single" w:color="000000" w:sz="4" w:space="0"/>
              <w:bottom w:val="single" w:color="000000" w:sz="4" w:space="0"/>
              <w:right w:val="single" w:color="000000" w:sz="4" w:space="0"/>
            </w:tcBorders>
          </w:tcPr>
          <w:p>
            <w:pPr>
              <w:pStyle w:val="14"/>
              <w:jc w:val="left"/>
              <w:rPr>
                <w:b/>
                <w:sz w:val="20"/>
              </w:rPr>
            </w:pPr>
          </w:p>
          <w:p>
            <w:pPr>
              <w:pStyle w:val="14"/>
              <w:jc w:val="left"/>
              <w:rPr>
                <w:b/>
                <w:sz w:val="20"/>
              </w:rPr>
            </w:pPr>
          </w:p>
          <w:p>
            <w:pPr>
              <w:pStyle w:val="14"/>
              <w:jc w:val="left"/>
              <w:rPr>
                <w:b/>
                <w:sz w:val="20"/>
              </w:rPr>
            </w:pPr>
          </w:p>
          <w:p>
            <w:pPr>
              <w:pStyle w:val="14"/>
              <w:spacing w:before="8"/>
              <w:jc w:val="left"/>
              <w:rPr>
                <w:b/>
                <w:sz w:val="14"/>
              </w:rPr>
            </w:pPr>
          </w:p>
          <w:p>
            <w:pPr>
              <w:pStyle w:val="14"/>
              <w:spacing w:before="1" w:line="242" w:lineRule="auto"/>
              <w:ind w:left="130" w:right="113"/>
              <w:jc w:val="both"/>
              <w:rPr>
                <w:sz w:val="21"/>
              </w:rPr>
            </w:pPr>
            <w:r>
              <w:rPr>
                <w:sz w:val="21"/>
              </w:rPr>
              <w:t>地下水环境</w:t>
            </w:r>
          </w:p>
        </w:tc>
        <w:tc>
          <w:tcPr>
            <w:tcW w:w="1114" w:type="dxa"/>
            <w:tcBorders>
              <w:top w:val="single" w:color="000000" w:sz="4" w:space="0"/>
              <w:left w:val="single" w:color="000000" w:sz="4" w:space="0"/>
              <w:bottom w:val="single" w:color="000000" w:sz="4" w:space="0"/>
              <w:right w:val="single" w:color="000000" w:sz="4" w:space="0"/>
            </w:tcBorders>
          </w:tcPr>
          <w:p>
            <w:pPr>
              <w:pStyle w:val="14"/>
              <w:jc w:val="left"/>
              <w:rPr>
                <w:b/>
                <w:sz w:val="20"/>
              </w:rPr>
            </w:pPr>
          </w:p>
          <w:p>
            <w:pPr>
              <w:pStyle w:val="14"/>
              <w:jc w:val="left"/>
              <w:rPr>
                <w:b/>
                <w:sz w:val="20"/>
              </w:rPr>
            </w:pPr>
          </w:p>
          <w:p>
            <w:pPr>
              <w:pStyle w:val="14"/>
              <w:spacing w:before="168"/>
              <w:ind w:left="119" w:right="101"/>
              <w:rPr>
                <w:sz w:val="21"/>
              </w:rPr>
            </w:pPr>
            <w:r>
              <w:rPr>
                <w:sz w:val="21"/>
              </w:rPr>
              <w:t>水质</w:t>
            </w:r>
          </w:p>
        </w:tc>
        <w:tc>
          <w:tcPr>
            <w:tcW w:w="5827" w:type="dxa"/>
            <w:tcBorders>
              <w:top w:val="single" w:color="000000" w:sz="4" w:space="0"/>
              <w:left w:val="single" w:color="000000" w:sz="4" w:space="0"/>
              <w:bottom w:val="single" w:color="000000" w:sz="4" w:space="0"/>
              <w:right w:val="single" w:color="000000" w:sz="4" w:space="0"/>
            </w:tcBorders>
          </w:tcPr>
          <w:p>
            <w:pPr>
              <w:pStyle w:val="14"/>
              <w:spacing w:before="21" w:line="64" w:lineRule="exact"/>
              <w:ind w:right="214"/>
              <w:jc w:val="right"/>
              <w:rPr>
                <w:rFonts w:ascii="Times New Roman"/>
                <w:sz w:val="13"/>
              </w:rPr>
            </w:pPr>
            <w:r>
              <w:rPr>
                <w:rFonts w:ascii="Times New Roman"/>
                <w:w w:val="105"/>
                <w:sz w:val="13"/>
              </w:rPr>
              <w:t>2-</w:t>
            </w:r>
          </w:p>
          <w:p>
            <w:pPr>
              <w:pStyle w:val="14"/>
              <w:numPr>
                <w:ilvl w:val="0"/>
                <w:numId w:val="89"/>
              </w:numPr>
              <w:tabs>
                <w:tab w:val="left" w:pos="271"/>
              </w:tabs>
              <w:spacing w:before="0" w:after="0" w:line="187" w:lineRule="exact"/>
              <w:ind w:left="270" w:right="0" w:hanging="160"/>
              <w:jc w:val="left"/>
              <w:rPr>
                <w:sz w:val="21"/>
              </w:rPr>
            </w:pPr>
            <w:r>
              <w:rPr>
                <w:position w:val="2"/>
                <w:sz w:val="21"/>
              </w:rPr>
              <w:t>监测项目：</w:t>
            </w:r>
            <w:r>
              <w:rPr>
                <w:rFonts w:ascii="Times New Roman" w:eastAsia="Times New Roman"/>
                <w:position w:val="2"/>
                <w:sz w:val="21"/>
              </w:rPr>
              <w:t>pH</w:t>
            </w:r>
            <w:r>
              <w:rPr>
                <w:position w:val="2"/>
                <w:sz w:val="21"/>
              </w:rPr>
              <w:t>、总硬度、</w:t>
            </w:r>
            <w:r>
              <w:rPr>
                <w:rFonts w:ascii="Times New Roman" w:eastAsia="Times New Roman"/>
                <w:position w:val="2"/>
                <w:sz w:val="21"/>
              </w:rPr>
              <w:t>TDS</w:t>
            </w:r>
            <w:r>
              <w:rPr>
                <w:position w:val="2"/>
                <w:sz w:val="21"/>
              </w:rPr>
              <w:t>、</w:t>
            </w:r>
            <w:r>
              <w:rPr>
                <w:rFonts w:ascii="Times New Roman" w:eastAsia="Times New Roman"/>
                <w:position w:val="2"/>
                <w:sz w:val="21"/>
              </w:rPr>
              <w:t>COD</w:t>
            </w:r>
            <w:r>
              <w:rPr>
                <w:position w:val="2"/>
                <w:sz w:val="21"/>
              </w:rPr>
              <w:t>、</w:t>
            </w:r>
            <w:r>
              <w:rPr>
                <w:rFonts w:ascii="Times New Roman" w:eastAsia="Times New Roman"/>
                <w:position w:val="2"/>
                <w:sz w:val="21"/>
              </w:rPr>
              <w:t>NO</w:t>
            </w:r>
            <w:r>
              <w:rPr>
                <w:rFonts w:ascii="Times New Roman" w:eastAsia="Times New Roman"/>
                <w:position w:val="2"/>
                <w:sz w:val="21"/>
                <w:vertAlign w:val="superscript"/>
              </w:rPr>
              <w:t>3</w:t>
            </w:r>
            <w:r>
              <w:rPr>
                <w:rFonts w:ascii="Times New Roman" w:eastAsia="Times New Roman"/>
                <w:position w:val="2"/>
                <w:sz w:val="21"/>
                <w:vertAlign w:val="baseline"/>
              </w:rPr>
              <w:t>-</w:t>
            </w:r>
            <w:r>
              <w:rPr>
                <w:position w:val="2"/>
                <w:sz w:val="21"/>
                <w:vertAlign w:val="baseline"/>
              </w:rPr>
              <w:t>、</w:t>
            </w:r>
            <w:r>
              <w:rPr>
                <w:rFonts w:ascii="Times New Roman" w:eastAsia="Times New Roman"/>
                <w:position w:val="2"/>
                <w:sz w:val="21"/>
                <w:vertAlign w:val="baseline"/>
              </w:rPr>
              <w:t>NO</w:t>
            </w:r>
            <w:r>
              <w:rPr>
                <w:rFonts w:ascii="Times New Roman" w:eastAsia="Times New Roman"/>
                <w:position w:val="2"/>
                <w:sz w:val="21"/>
                <w:vertAlign w:val="superscript"/>
              </w:rPr>
              <w:t>2</w:t>
            </w:r>
            <w:r>
              <w:rPr>
                <w:rFonts w:ascii="Times New Roman" w:eastAsia="Times New Roman"/>
                <w:position w:val="2"/>
                <w:sz w:val="21"/>
                <w:vertAlign w:val="baseline"/>
              </w:rPr>
              <w:t>-</w:t>
            </w:r>
            <w:r>
              <w:rPr>
                <w:position w:val="2"/>
                <w:sz w:val="21"/>
                <w:vertAlign w:val="baseline"/>
              </w:rPr>
              <w:t>、</w:t>
            </w:r>
            <w:r>
              <w:rPr>
                <w:rFonts w:ascii="Times New Roman" w:eastAsia="Times New Roman"/>
                <w:position w:val="2"/>
                <w:sz w:val="21"/>
                <w:vertAlign w:val="baseline"/>
              </w:rPr>
              <w:t>SO</w:t>
            </w:r>
            <w:r>
              <w:rPr>
                <w:rFonts w:ascii="Times New Roman" w:eastAsia="Times New Roman"/>
                <w:position w:val="2"/>
                <w:sz w:val="21"/>
                <w:vertAlign w:val="subscript"/>
              </w:rPr>
              <w:t>4</w:t>
            </w:r>
            <w:r>
              <w:rPr>
                <w:rFonts w:ascii="Times New Roman" w:eastAsia="Times New Roman"/>
                <w:spacing w:val="13"/>
                <w:position w:val="2"/>
                <w:sz w:val="21"/>
                <w:vertAlign w:val="baseline"/>
              </w:rPr>
              <w:t xml:space="preserve"> </w:t>
            </w:r>
            <w:r>
              <w:rPr>
                <w:position w:val="2"/>
                <w:sz w:val="21"/>
                <w:vertAlign w:val="baseline"/>
              </w:rPr>
              <w:t>、</w:t>
            </w:r>
          </w:p>
          <w:p>
            <w:pPr>
              <w:pStyle w:val="14"/>
              <w:ind w:left="111" w:right="84"/>
              <w:jc w:val="left"/>
              <w:rPr>
                <w:sz w:val="21"/>
              </w:rPr>
            </w:pPr>
            <w:r>
              <w:rPr>
                <w:rFonts w:ascii="Times New Roman" w:eastAsia="Times New Roman"/>
                <w:position w:val="2"/>
                <w:sz w:val="21"/>
              </w:rPr>
              <w:t>F</w:t>
            </w:r>
            <w:r>
              <w:rPr>
                <w:rFonts w:ascii="Times New Roman" w:eastAsia="Times New Roman"/>
                <w:position w:val="2"/>
                <w:sz w:val="21"/>
                <w:vertAlign w:val="superscript"/>
              </w:rPr>
              <w:t>-</w:t>
            </w:r>
            <w:r>
              <w:rPr>
                <w:position w:val="2"/>
                <w:sz w:val="21"/>
                <w:vertAlign w:val="baseline"/>
              </w:rPr>
              <w:t>、</w:t>
            </w:r>
            <w:r>
              <w:rPr>
                <w:rFonts w:ascii="Times New Roman" w:eastAsia="Times New Roman"/>
                <w:position w:val="2"/>
                <w:sz w:val="21"/>
                <w:vertAlign w:val="baseline"/>
              </w:rPr>
              <w:t>Cl</w:t>
            </w:r>
            <w:r>
              <w:rPr>
                <w:rFonts w:ascii="Times New Roman" w:eastAsia="Times New Roman"/>
                <w:position w:val="2"/>
                <w:sz w:val="21"/>
                <w:vertAlign w:val="superscript"/>
              </w:rPr>
              <w:t>-</w:t>
            </w:r>
            <w:r>
              <w:rPr>
                <w:position w:val="2"/>
                <w:sz w:val="21"/>
                <w:vertAlign w:val="baseline"/>
              </w:rPr>
              <w:t>、</w:t>
            </w:r>
            <w:r>
              <w:rPr>
                <w:rFonts w:ascii="Times New Roman" w:eastAsia="Times New Roman"/>
                <w:position w:val="2"/>
                <w:sz w:val="21"/>
                <w:vertAlign w:val="baseline"/>
              </w:rPr>
              <w:t>NH</w:t>
            </w:r>
            <w:r>
              <w:rPr>
                <w:rFonts w:ascii="Times New Roman" w:eastAsia="Times New Roman"/>
                <w:position w:val="2"/>
                <w:sz w:val="21"/>
                <w:vertAlign w:val="subscript"/>
              </w:rPr>
              <w:t>4</w:t>
            </w:r>
            <w:r>
              <w:rPr>
                <w:rFonts w:ascii="Times New Roman" w:eastAsia="Times New Roman"/>
                <w:position w:val="2"/>
                <w:sz w:val="21"/>
                <w:vertAlign w:val="superscript"/>
              </w:rPr>
              <w:t>+</w:t>
            </w:r>
            <w:r>
              <w:rPr>
                <w:position w:val="2"/>
                <w:sz w:val="21"/>
                <w:vertAlign w:val="baseline"/>
              </w:rPr>
              <w:t>、挥发性酚类类、氰化物、</w:t>
            </w:r>
            <w:r>
              <w:rPr>
                <w:rFonts w:ascii="Times New Roman" w:eastAsia="Times New Roman"/>
                <w:position w:val="2"/>
                <w:sz w:val="21"/>
                <w:vertAlign w:val="baseline"/>
              </w:rPr>
              <w:t>Fe</w:t>
            </w:r>
            <w:r>
              <w:rPr>
                <w:position w:val="2"/>
                <w:sz w:val="21"/>
                <w:vertAlign w:val="baseline"/>
              </w:rPr>
              <w:t>、</w:t>
            </w:r>
            <w:r>
              <w:rPr>
                <w:rFonts w:ascii="Times New Roman" w:eastAsia="Times New Roman"/>
                <w:position w:val="2"/>
                <w:sz w:val="21"/>
                <w:vertAlign w:val="baseline"/>
              </w:rPr>
              <w:t>Mn</w:t>
            </w:r>
            <w:r>
              <w:rPr>
                <w:position w:val="2"/>
                <w:sz w:val="21"/>
                <w:vertAlign w:val="baseline"/>
              </w:rPr>
              <w:t>、</w:t>
            </w:r>
            <w:r>
              <w:rPr>
                <w:rFonts w:ascii="Times New Roman" w:eastAsia="Times New Roman"/>
                <w:position w:val="2"/>
                <w:sz w:val="21"/>
                <w:vertAlign w:val="baseline"/>
              </w:rPr>
              <w:t>Pb</w:t>
            </w:r>
            <w:r>
              <w:rPr>
                <w:position w:val="2"/>
                <w:sz w:val="21"/>
                <w:vertAlign w:val="baseline"/>
              </w:rPr>
              <w:t>、</w:t>
            </w:r>
            <w:r>
              <w:rPr>
                <w:rFonts w:ascii="Times New Roman" w:eastAsia="Times New Roman"/>
                <w:position w:val="2"/>
                <w:sz w:val="21"/>
                <w:vertAlign w:val="baseline"/>
              </w:rPr>
              <w:t>As</w:t>
            </w:r>
            <w:r>
              <w:rPr>
                <w:position w:val="2"/>
                <w:sz w:val="21"/>
                <w:vertAlign w:val="baseline"/>
              </w:rPr>
              <w:t>、</w:t>
            </w:r>
            <w:r>
              <w:rPr>
                <w:rFonts w:ascii="Times New Roman" w:eastAsia="Times New Roman"/>
                <w:sz w:val="21"/>
                <w:vertAlign w:val="baseline"/>
              </w:rPr>
              <w:t>Hg</w:t>
            </w:r>
            <w:r>
              <w:rPr>
                <w:sz w:val="21"/>
                <w:vertAlign w:val="baseline"/>
              </w:rPr>
              <w:t>、</w:t>
            </w:r>
            <w:r>
              <w:rPr>
                <w:rFonts w:ascii="Times New Roman" w:eastAsia="Times New Roman"/>
                <w:sz w:val="21"/>
                <w:vertAlign w:val="baseline"/>
              </w:rPr>
              <w:t>Cd</w:t>
            </w:r>
            <w:r>
              <w:rPr>
                <w:sz w:val="21"/>
                <w:vertAlign w:val="baseline"/>
              </w:rPr>
              <w:t>、</w:t>
            </w:r>
            <w:r>
              <w:rPr>
                <w:rFonts w:ascii="Times New Roman" w:eastAsia="Times New Roman"/>
                <w:sz w:val="21"/>
                <w:vertAlign w:val="baseline"/>
              </w:rPr>
              <w:t>Cr</w:t>
            </w:r>
            <w:r>
              <w:rPr>
                <w:rFonts w:ascii="Times New Roman" w:eastAsia="Times New Roman"/>
                <w:position w:val="7"/>
                <w:sz w:val="13"/>
                <w:vertAlign w:val="baseline"/>
              </w:rPr>
              <w:t>6+</w:t>
            </w:r>
            <w:r>
              <w:rPr>
                <w:sz w:val="21"/>
                <w:vertAlign w:val="baseline"/>
              </w:rPr>
              <w:t>、细菌总数、大肠菌群</w:t>
            </w:r>
          </w:p>
          <w:p>
            <w:pPr>
              <w:pStyle w:val="14"/>
              <w:numPr>
                <w:ilvl w:val="0"/>
                <w:numId w:val="89"/>
              </w:numPr>
              <w:tabs>
                <w:tab w:val="left" w:pos="271"/>
              </w:tabs>
              <w:spacing w:before="1" w:after="0" w:line="240" w:lineRule="auto"/>
              <w:ind w:left="270" w:right="0" w:hanging="160"/>
              <w:jc w:val="left"/>
              <w:rPr>
                <w:sz w:val="21"/>
              </w:rPr>
            </w:pPr>
            <w:r>
              <w:rPr>
                <w:sz w:val="21"/>
              </w:rPr>
              <w:t>监测频率：</w:t>
            </w:r>
            <w:r>
              <w:rPr>
                <w:rFonts w:ascii="Times New Roman" w:eastAsia="Times New Roman"/>
                <w:sz w:val="21"/>
              </w:rPr>
              <w:t>6</w:t>
            </w:r>
            <w:r>
              <w:rPr>
                <w:sz w:val="21"/>
              </w:rPr>
              <w:t>月、</w:t>
            </w:r>
            <w:r>
              <w:rPr>
                <w:rFonts w:ascii="Times New Roman" w:eastAsia="Times New Roman"/>
                <w:spacing w:val="-4"/>
                <w:sz w:val="21"/>
              </w:rPr>
              <w:t>11</w:t>
            </w:r>
            <w:r>
              <w:rPr>
                <w:sz w:val="21"/>
              </w:rPr>
              <w:t>月各监测一次</w:t>
            </w:r>
          </w:p>
          <w:p>
            <w:pPr>
              <w:pStyle w:val="14"/>
              <w:numPr>
                <w:ilvl w:val="0"/>
                <w:numId w:val="89"/>
              </w:numPr>
              <w:tabs>
                <w:tab w:val="left" w:pos="271"/>
              </w:tabs>
              <w:spacing w:before="2" w:after="0" w:line="240" w:lineRule="auto"/>
              <w:ind w:left="270" w:right="0" w:hanging="160"/>
              <w:jc w:val="left"/>
              <w:rPr>
                <w:sz w:val="21"/>
              </w:rPr>
            </w:pPr>
            <w:r>
              <w:rPr>
                <w:sz w:val="21"/>
              </w:rPr>
              <w:t>监测点位：水质监测对照井、污染监视监测井、污染扩散监</w:t>
            </w:r>
          </w:p>
          <w:p>
            <w:pPr>
              <w:pStyle w:val="14"/>
              <w:spacing w:before="5" w:line="251" w:lineRule="exact"/>
              <w:ind w:left="111"/>
              <w:jc w:val="left"/>
              <w:rPr>
                <w:sz w:val="21"/>
              </w:rPr>
            </w:pPr>
            <w:r>
              <w:rPr>
                <w:sz w:val="21"/>
              </w:rPr>
              <w:t>测井。</w:t>
            </w:r>
          </w:p>
        </w:tc>
        <w:tc>
          <w:tcPr>
            <w:tcW w:w="1082" w:type="dxa"/>
            <w:tcBorders>
              <w:top w:val="single" w:color="000000" w:sz="4" w:space="0"/>
              <w:left w:val="single" w:color="000000" w:sz="4" w:space="0"/>
              <w:bottom w:val="single" w:color="000000" w:sz="4" w:space="0"/>
            </w:tcBorders>
          </w:tcPr>
          <w:p>
            <w:pPr>
              <w:pStyle w:val="14"/>
              <w:jc w:val="left"/>
              <w:rPr>
                <w:b/>
                <w:sz w:val="20"/>
              </w:rPr>
            </w:pPr>
          </w:p>
          <w:p>
            <w:pPr>
              <w:pStyle w:val="14"/>
              <w:spacing w:before="153" w:line="242" w:lineRule="auto"/>
              <w:ind w:left="126" w:right="100"/>
              <w:rPr>
                <w:sz w:val="21"/>
              </w:rPr>
            </w:pPr>
            <w:r>
              <w:rPr>
                <w:sz w:val="21"/>
              </w:rPr>
              <w:t>双鸭山市生态环境局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0" w:hRule="atLeast"/>
        </w:trPr>
        <w:tc>
          <w:tcPr>
            <w:tcW w:w="644" w:type="dxa"/>
            <w:tcBorders>
              <w:top w:val="single" w:color="000000" w:sz="4" w:space="0"/>
              <w:bottom w:val="single" w:color="000000" w:sz="4" w:space="0"/>
              <w:right w:val="single" w:color="000000" w:sz="4" w:space="0"/>
            </w:tcBorders>
          </w:tcPr>
          <w:p>
            <w:pPr>
              <w:pStyle w:val="14"/>
              <w:jc w:val="left"/>
              <w:rPr>
                <w:b/>
                <w:sz w:val="22"/>
              </w:rPr>
            </w:pPr>
          </w:p>
          <w:p>
            <w:pPr>
              <w:pStyle w:val="14"/>
              <w:spacing w:before="142"/>
              <w:ind w:left="10"/>
              <w:rPr>
                <w:rFonts w:ascii="Times New Roman"/>
                <w:sz w:val="21"/>
              </w:rPr>
            </w:pPr>
            <w:r>
              <w:rPr>
                <w:rFonts w:ascii="Times New Roman"/>
                <w:w w:val="99"/>
                <w:sz w:val="21"/>
              </w:rPr>
              <w:t>7</w:t>
            </w:r>
          </w:p>
        </w:tc>
        <w:tc>
          <w:tcPr>
            <w:tcW w:w="673" w:type="dxa"/>
            <w:vMerge w:val="continue"/>
            <w:tcBorders>
              <w:top w:val="nil"/>
              <w:left w:val="single" w:color="000000" w:sz="4" w:space="0"/>
              <w:bottom w:val="single" w:color="000000" w:sz="4" w:space="0"/>
              <w:right w:val="single" w:color="000000" w:sz="4" w:space="0"/>
            </w:tcBorders>
          </w:tcPr>
          <w:p>
            <w:pPr>
              <w:rPr>
                <w:sz w:val="2"/>
                <w:szCs w:val="2"/>
              </w:rPr>
            </w:pPr>
          </w:p>
        </w:tc>
        <w:tc>
          <w:tcPr>
            <w:tcW w:w="1114" w:type="dxa"/>
            <w:tcBorders>
              <w:top w:val="single" w:color="000000" w:sz="4" w:space="0"/>
              <w:left w:val="single" w:color="000000" w:sz="4" w:space="0"/>
              <w:bottom w:val="single" w:color="000000" w:sz="4" w:space="0"/>
              <w:right w:val="single" w:color="000000" w:sz="4" w:space="0"/>
            </w:tcBorders>
          </w:tcPr>
          <w:p>
            <w:pPr>
              <w:pStyle w:val="14"/>
              <w:jc w:val="left"/>
              <w:rPr>
                <w:b/>
                <w:sz w:val="20"/>
              </w:rPr>
            </w:pPr>
          </w:p>
          <w:p>
            <w:pPr>
              <w:pStyle w:val="14"/>
              <w:spacing w:before="153"/>
              <w:ind w:left="119" w:right="101"/>
              <w:rPr>
                <w:sz w:val="21"/>
              </w:rPr>
            </w:pPr>
            <w:r>
              <w:rPr>
                <w:sz w:val="21"/>
              </w:rPr>
              <w:t>水位</w:t>
            </w:r>
          </w:p>
        </w:tc>
        <w:tc>
          <w:tcPr>
            <w:tcW w:w="5827" w:type="dxa"/>
            <w:tcBorders>
              <w:top w:val="single" w:color="000000" w:sz="4" w:space="0"/>
              <w:left w:val="single" w:color="000000" w:sz="4" w:space="0"/>
              <w:bottom w:val="single" w:color="000000" w:sz="4" w:space="0"/>
              <w:right w:val="single" w:color="000000" w:sz="4" w:space="0"/>
            </w:tcBorders>
          </w:tcPr>
          <w:p>
            <w:pPr>
              <w:pStyle w:val="14"/>
              <w:numPr>
                <w:ilvl w:val="0"/>
                <w:numId w:val="90"/>
              </w:numPr>
              <w:tabs>
                <w:tab w:val="left" w:pos="271"/>
              </w:tabs>
              <w:spacing w:before="2" w:after="0" w:line="240" w:lineRule="auto"/>
              <w:ind w:left="270" w:right="0" w:hanging="160"/>
              <w:jc w:val="left"/>
              <w:rPr>
                <w:sz w:val="21"/>
              </w:rPr>
            </w:pPr>
            <w:r>
              <w:rPr>
                <w:sz w:val="21"/>
              </w:rPr>
              <w:t>监测项目：水位标高</w:t>
            </w:r>
          </w:p>
          <w:p>
            <w:pPr>
              <w:pStyle w:val="14"/>
              <w:numPr>
                <w:ilvl w:val="0"/>
                <w:numId w:val="90"/>
              </w:numPr>
              <w:tabs>
                <w:tab w:val="left" w:pos="271"/>
              </w:tabs>
              <w:spacing w:before="2" w:after="0" w:line="240" w:lineRule="auto"/>
              <w:ind w:left="270" w:right="0" w:hanging="160"/>
              <w:jc w:val="left"/>
              <w:rPr>
                <w:sz w:val="21"/>
              </w:rPr>
            </w:pPr>
            <w:r>
              <w:rPr>
                <w:sz w:val="21"/>
              </w:rPr>
              <w:t>监测频率：</w:t>
            </w:r>
            <w:r>
              <w:rPr>
                <w:rFonts w:ascii="Times New Roman" w:eastAsia="Times New Roman"/>
                <w:sz w:val="21"/>
              </w:rPr>
              <w:t>6</w:t>
            </w:r>
            <w:r>
              <w:rPr>
                <w:sz w:val="21"/>
              </w:rPr>
              <w:t>月、</w:t>
            </w:r>
            <w:r>
              <w:rPr>
                <w:rFonts w:ascii="Times New Roman" w:eastAsia="Times New Roman"/>
                <w:spacing w:val="-4"/>
                <w:sz w:val="21"/>
              </w:rPr>
              <w:t>11</w:t>
            </w:r>
            <w:r>
              <w:rPr>
                <w:sz w:val="21"/>
              </w:rPr>
              <w:t>月各监测一次</w:t>
            </w:r>
          </w:p>
          <w:p>
            <w:pPr>
              <w:pStyle w:val="14"/>
              <w:numPr>
                <w:ilvl w:val="0"/>
                <w:numId w:val="90"/>
              </w:numPr>
              <w:tabs>
                <w:tab w:val="left" w:pos="271"/>
              </w:tabs>
              <w:spacing w:before="2" w:after="0" w:line="240" w:lineRule="auto"/>
              <w:ind w:left="270" w:right="0" w:hanging="160"/>
              <w:jc w:val="left"/>
              <w:rPr>
                <w:sz w:val="21"/>
              </w:rPr>
            </w:pPr>
            <w:r>
              <w:rPr>
                <w:sz w:val="21"/>
              </w:rPr>
              <w:t>监测点位：丰水期、平水期、枯水期各一次，并采取月报的</w:t>
            </w:r>
          </w:p>
          <w:p>
            <w:pPr>
              <w:pStyle w:val="14"/>
              <w:spacing w:before="4" w:line="252" w:lineRule="exact"/>
              <w:ind w:left="111"/>
              <w:jc w:val="left"/>
              <w:rPr>
                <w:sz w:val="21"/>
              </w:rPr>
            </w:pPr>
            <w:r>
              <w:rPr>
                <w:sz w:val="21"/>
              </w:rPr>
              <w:t>形式。</w:t>
            </w:r>
          </w:p>
        </w:tc>
        <w:tc>
          <w:tcPr>
            <w:tcW w:w="1082" w:type="dxa"/>
            <w:tcBorders>
              <w:top w:val="single" w:color="000000" w:sz="4" w:space="0"/>
              <w:left w:val="single" w:color="000000" w:sz="4" w:space="0"/>
              <w:bottom w:val="single" w:color="000000" w:sz="4" w:space="0"/>
            </w:tcBorders>
          </w:tcPr>
          <w:p>
            <w:pPr>
              <w:pStyle w:val="14"/>
              <w:spacing w:before="136" w:line="242" w:lineRule="auto"/>
              <w:ind w:left="126" w:right="100"/>
              <w:rPr>
                <w:sz w:val="21"/>
              </w:rPr>
            </w:pPr>
            <w:r>
              <w:rPr>
                <w:sz w:val="21"/>
              </w:rPr>
              <w:t>双鸭山市生态环境局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6" w:hRule="atLeast"/>
        </w:trPr>
        <w:tc>
          <w:tcPr>
            <w:tcW w:w="644" w:type="dxa"/>
            <w:tcBorders>
              <w:top w:val="single" w:color="000000" w:sz="4" w:space="0"/>
              <w:bottom w:val="single" w:color="000000" w:sz="4" w:space="0"/>
              <w:right w:val="single" w:color="000000" w:sz="4" w:space="0"/>
            </w:tcBorders>
          </w:tcPr>
          <w:p>
            <w:pPr>
              <w:pStyle w:val="14"/>
              <w:spacing w:before="4"/>
              <w:jc w:val="left"/>
              <w:rPr>
                <w:b/>
                <w:sz w:val="22"/>
              </w:rPr>
            </w:pPr>
          </w:p>
          <w:p>
            <w:pPr>
              <w:pStyle w:val="14"/>
              <w:ind w:left="10"/>
              <w:rPr>
                <w:rFonts w:ascii="Times New Roman"/>
                <w:sz w:val="21"/>
              </w:rPr>
            </w:pPr>
            <w:r>
              <w:rPr>
                <w:rFonts w:ascii="Times New Roman"/>
                <w:w w:val="99"/>
                <w:sz w:val="21"/>
              </w:rPr>
              <w:t>8</w:t>
            </w:r>
          </w:p>
        </w:tc>
        <w:tc>
          <w:tcPr>
            <w:tcW w:w="1787" w:type="dxa"/>
            <w:gridSpan w:val="2"/>
            <w:tcBorders>
              <w:top w:val="single" w:color="000000" w:sz="4" w:space="0"/>
              <w:left w:val="single" w:color="000000" w:sz="4" w:space="0"/>
              <w:bottom w:val="single" w:color="000000" w:sz="4" w:space="0"/>
              <w:right w:val="single" w:color="000000" w:sz="4" w:space="0"/>
            </w:tcBorders>
          </w:tcPr>
          <w:p>
            <w:pPr>
              <w:pStyle w:val="14"/>
              <w:spacing w:before="3"/>
              <w:jc w:val="left"/>
              <w:rPr>
                <w:b/>
                <w:sz w:val="21"/>
              </w:rPr>
            </w:pPr>
          </w:p>
          <w:p>
            <w:pPr>
              <w:pStyle w:val="14"/>
              <w:ind w:left="477"/>
              <w:jc w:val="left"/>
              <w:rPr>
                <w:sz w:val="21"/>
              </w:rPr>
            </w:pPr>
            <w:r>
              <w:rPr>
                <w:sz w:val="21"/>
              </w:rPr>
              <w:t>大气环境</w:t>
            </w:r>
          </w:p>
        </w:tc>
        <w:tc>
          <w:tcPr>
            <w:tcW w:w="5827" w:type="dxa"/>
            <w:tcBorders>
              <w:top w:val="single" w:color="000000" w:sz="4" w:space="0"/>
              <w:left w:val="single" w:color="000000" w:sz="4" w:space="0"/>
              <w:bottom w:val="single" w:color="000000" w:sz="4" w:space="0"/>
              <w:right w:val="single" w:color="000000" w:sz="4" w:space="0"/>
            </w:tcBorders>
          </w:tcPr>
          <w:p>
            <w:pPr>
              <w:pStyle w:val="14"/>
              <w:numPr>
                <w:ilvl w:val="0"/>
                <w:numId w:val="91"/>
              </w:numPr>
              <w:tabs>
                <w:tab w:val="left" w:pos="271"/>
              </w:tabs>
              <w:spacing w:before="0" w:after="0" w:line="273" w:lineRule="exact"/>
              <w:ind w:left="270" w:right="0" w:hanging="160"/>
              <w:jc w:val="left"/>
              <w:rPr>
                <w:sz w:val="21"/>
              </w:rPr>
            </w:pPr>
            <w:r>
              <w:rPr>
                <w:position w:val="2"/>
                <w:sz w:val="21"/>
              </w:rPr>
              <w:t>监测项目：</w:t>
            </w:r>
            <w:r>
              <w:rPr>
                <w:rFonts w:ascii="Times New Roman" w:eastAsia="Times New Roman"/>
                <w:position w:val="2"/>
                <w:sz w:val="21"/>
              </w:rPr>
              <w:t>PM</w:t>
            </w:r>
            <w:r>
              <w:rPr>
                <w:rFonts w:ascii="Times New Roman" w:eastAsia="Times New Roman"/>
                <w:position w:val="2"/>
                <w:sz w:val="21"/>
                <w:vertAlign w:val="subscript"/>
              </w:rPr>
              <w:t>10</w:t>
            </w:r>
            <w:r>
              <w:rPr>
                <w:position w:val="2"/>
                <w:sz w:val="21"/>
                <w:vertAlign w:val="baseline"/>
              </w:rPr>
              <w:t>、</w:t>
            </w:r>
            <w:r>
              <w:rPr>
                <w:rFonts w:ascii="Times New Roman" w:eastAsia="Times New Roman"/>
                <w:position w:val="2"/>
                <w:sz w:val="21"/>
                <w:vertAlign w:val="baseline"/>
              </w:rPr>
              <w:t>TSP</w:t>
            </w:r>
            <w:r>
              <w:rPr>
                <w:position w:val="2"/>
                <w:sz w:val="21"/>
                <w:vertAlign w:val="baseline"/>
              </w:rPr>
              <w:t>、</w:t>
            </w:r>
            <w:r>
              <w:rPr>
                <w:rFonts w:ascii="Times New Roman" w:eastAsia="Times New Roman"/>
                <w:position w:val="2"/>
                <w:sz w:val="21"/>
                <w:vertAlign w:val="baseline"/>
              </w:rPr>
              <w:t>SO</w:t>
            </w:r>
            <w:r>
              <w:rPr>
                <w:rFonts w:ascii="Times New Roman" w:eastAsia="Times New Roman"/>
                <w:position w:val="2"/>
                <w:sz w:val="21"/>
                <w:vertAlign w:val="subscript"/>
              </w:rPr>
              <w:t>2</w:t>
            </w:r>
            <w:r>
              <w:rPr>
                <w:position w:val="2"/>
                <w:sz w:val="21"/>
                <w:vertAlign w:val="baseline"/>
              </w:rPr>
              <w:t>、</w:t>
            </w:r>
            <w:r>
              <w:rPr>
                <w:rFonts w:ascii="Times New Roman" w:eastAsia="Times New Roman"/>
                <w:position w:val="2"/>
                <w:sz w:val="21"/>
                <w:vertAlign w:val="baseline"/>
              </w:rPr>
              <w:t>NO</w:t>
            </w:r>
            <w:r>
              <w:rPr>
                <w:rFonts w:ascii="Times New Roman" w:eastAsia="Times New Roman"/>
                <w:position w:val="2"/>
                <w:sz w:val="21"/>
                <w:vertAlign w:val="subscript"/>
              </w:rPr>
              <w:t>2</w:t>
            </w:r>
            <w:r>
              <w:rPr>
                <w:position w:val="2"/>
                <w:sz w:val="21"/>
                <w:vertAlign w:val="baseline"/>
              </w:rPr>
              <w:t>。</w:t>
            </w:r>
          </w:p>
          <w:p>
            <w:pPr>
              <w:pStyle w:val="14"/>
              <w:numPr>
                <w:ilvl w:val="0"/>
                <w:numId w:val="91"/>
              </w:numPr>
              <w:tabs>
                <w:tab w:val="left" w:pos="271"/>
              </w:tabs>
              <w:spacing w:before="0" w:after="0" w:line="269" w:lineRule="exact"/>
              <w:ind w:left="270" w:right="0" w:hanging="160"/>
              <w:jc w:val="left"/>
              <w:rPr>
                <w:sz w:val="21"/>
              </w:rPr>
            </w:pPr>
            <w:r>
              <w:rPr>
                <w:spacing w:val="-7"/>
                <w:sz w:val="21"/>
              </w:rPr>
              <w:t xml:space="preserve">监测频率：每年 </w:t>
            </w:r>
            <w:r>
              <w:rPr>
                <w:rFonts w:ascii="Times New Roman" w:eastAsia="Times New Roman"/>
                <w:sz w:val="21"/>
              </w:rPr>
              <w:t>2</w:t>
            </w:r>
            <w:r>
              <w:rPr>
                <w:rFonts w:ascii="Times New Roman" w:eastAsia="Times New Roman"/>
                <w:spacing w:val="1"/>
                <w:sz w:val="21"/>
              </w:rPr>
              <w:t xml:space="preserve"> </w:t>
            </w:r>
            <w:r>
              <w:rPr>
                <w:sz w:val="21"/>
              </w:rPr>
              <w:t>次。</w:t>
            </w:r>
          </w:p>
          <w:p>
            <w:pPr>
              <w:pStyle w:val="14"/>
              <w:numPr>
                <w:ilvl w:val="0"/>
                <w:numId w:val="91"/>
              </w:numPr>
              <w:tabs>
                <w:tab w:val="left" w:pos="271"/>
              </w:tabs>
              <w:spacing w:before="2" w:after="0" w:line="254" w:lineRule="exact"/>
              <w:ind w:left="270" w:right="0" w:hanging="160"/>
              <w:jc w:val="left"/>
              <w:rPr>
                <w:sz w:val="21"/>
              </w:rPr>
            </w:pPr>
            <w:r>
              <w:rPr>
                <w:sz w:val="21"/>
              </w:rPr>
              <w:t>监测点位：工业场地上、下风向各设一个监测点。</w:t>
            </w:r>
          </w:p>
        </w:tc>
        <w:tc>
          <w:tcPr>
            <w:tcW w:w="1082" w:type="dxa"/>
            <w:tcBorders>
              <w:top w:val="single" w:color="000000" w:sz="4" w:space="0"/>
              <w:left w:val="single" w:color="000000" w:sz="4" w:space="0"/>
              <w:bottom w:val="single" w:color="000000" w:sz="4" w:space="0"/>
            </w:tcBorders>
          </w:tcPr>
          <w:p>
            <w:pPr>
              <w:pStyle w:val="14"/>
              <w:spacing w:before="1"/>
              <w:ind w:left="126"/>
              <w:jc w:val="left"/>
              <w:rPr>
                <w:sz w:val="21"/>
              </w:rPr>
            </w:pPr>
            <w:r>
              <w:rPr>
                <w:sz w:val="21"/>
              </w:rPr>
              <w:t>双鸭山市</w:t>
            </w:r>
          </w:p>
          <w:p>
            <w:pPr>
              <w:pStyle w:val="14"/>
              <w:spacing w:before="1" w:line="270" w:lineRule="atLeast"/>
              <w:ind w:left="440" w:right="100" w:hanging="315"/>
              <w:jc w:val="left"/>
              <w:rPr>
                <w:sz w:val="21"/>
              </w:rPr>
            </w:pPr>
            <w:r>
              <w:rPr>
                <w:sz w:val="21"/>
              </w:rPr>
              <w:t>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7" w:hRule="atLeast"/>
        </w:trPr>
        <w:tc>
          <w:tcPr>
            <w:tcW w:w="644" w:type="dxa"/>
            <w:tcBorders>
              <w:top w:val="single" w:color="000000" w:sz="4" w:space="0"/>
              <w:bottom w:val="single" w:color="000000" w:sz="4" w:space="0"/>
              <w:right w:val="single" w:color="000000" w:sz="4" w:space="0"/>
            </w:tcBorders>
          </w:tcPr>
          <w:p>
            <w:pPr>
              <w:pStyle w:val="14"/>
              <w:spacing w:before="5"/>
              <w:jc w:val="left"/>
              <w:rPr>
                <w:b/>
                <w:sz w:val="22"/>
              </w:rPr>
            </w:pPr>
          </w:p>
          <w:p>
            <w:pPr>
              <w:pStyle w:val="14"/>
              <w:ind w:left="10"/>
              <w:rPr>
                <w:rFonts w:ascii="Times New Roman"/>
                <w:sz w:val="21"/>
              </w:rPr>
            </w:pPr>
            <w:r>
              <w:rPr>
                <w:rFonts w:ascii="Times New Roman"/>
                <w:w w:val="99"/>
                <w:sz w:val="21"/>
              </w:rPr>
              <w:t>9</w:t>
            </w:r>
          </w:p>
        </w:tc>
        <w:tc>
          <w:tcPr>
            <w:tcW w:w="1787" w:type="dxa"/>
            <w:gridSpan w:val="2"/>
            <w:tcBorders>
              <w:top w:val="single" w:color="000000" w:sz="4" w:space="0"/>
              <w:left w:val="single" w:color="000000" w:sz="4" w:space="0"/>
              <w:bottom w:val="single" w:color="000000" w:sz="4" w:space="0"/>
              <w:right w:val="single" w:color="000000" w:sz="4" w:space="0"/>
            </w:tcBorders>
          </w:tcPr>
          <w:p>
            <w:pPr>
              <w:pStyle w:val="14"/>
              <w:spacing w:before="4"/>
              <w:jc w:val="left"/>
              <w:rPr>
                <w:b/>
                <w:sz w:val="21"/>
              </w:rPr>
            </w:pPr>
          </w:p>
          <w:p>
            <w:pPr>
              <w:pStyle w:val="14"/>
              <w:ind w:left="477"/>
              <w:jc w:val="left"/>
              <w:rPr>
                <w:sz w:val="21"/>
              </w:rPr>
            </w:pPr>
            <w:r>
              <w:rPr>
                <w:sz w:val="21"/>
              </w:rPr>
              <w:t>土壤环境</w:t>
            </w:r>
          </w:p>
        </w:tc>
        <w:tc>
          <w:tcPr>
            <w:tcW w:w="5827" w:type="dxa"/>
            <w:tcBorders>
              <w:top w:val="single" w:color="000000" w:sz="4" w:space="0"/>
              <w:left w:val="single" w:color="000000" w:sz="4" w:space="0"/>
              <w:bottom w:val="single" w:color="000000" w:sz="4" w:space="0"/>
              <w:right w:val="single" w:color="000000" w:sz="4" w:space="0"/>
            </w:tcBorders>
          </w:tcPr>
          <w:p>
            <w:pPr>
              <w:pStyle w:val="14"/>
              <w:numPr>
                <w:ilvl w:val="0"/>
                <w:numId w:val="92"/>
              </w:numPr>
              <w:tabs>
                <w:tab w:val="left" w:pos="271"/>
              </w:tabs>
              <w:spacing w:before="0" w:after="0" w:line="269" w:lineRule="exact"/>
              <w:ind w:left="270" w:right="0" w:hanging="160"/>
              <w:jc w:val="left"/>
              <w:rPr>
                <w:sz w:val="21"/>
              </w:rPr>
            </w:pPr>
            <w:r>
              <w:rPr>
                <w:sz w:val="21"/>
              </w:rPr>
              <w:t>监测项目：</w:t>
            </w:r>
            <w:r>
              <w:rPr>
                <w:rFonts w:ascii="Times New Roman" w:eastAsia="Times New Roman"/>
                <w:sz w:val="21"/>
              </w:rPr>
              <w:t>pH</w:t>
            </w:r>
            <w:r>
              <w:rPr>
                <w:sz w:val="21"/>
              </w:rPr>
              <w:t>、镉、汞、砷、铜、铅、铬、锌、镍。</w:t>
            </w:r>
          </w:p>
          <w:p>
            <w:pPr>
              <w:pStyle w:val="14"/>
              <w:numPr>
                <w:ilvl w:val="0"/>
                <w:numId w:val="92"/>
              </w:numPr>
              <w:tabs>
                <w:tab w:val="left" w:pos="271"/>
              </w:tabs>
              <w:spacing w:before="4" w:after="0" w:line="240" w:lineRule="auto"/>
              <w:ind w:left="270" w:right="0" w:hanging="160"/>
              <w:jc w:val="left"/>
              <w:rPr>
                <w:sz w:val="21"/>
              </w:rPr>
            </w:pPr>
            <w:r>
              <w:rPr>
                <w:sz w:val="21"/>
              </w:rPr>
              <w:t>监测频率：根据需要不定期监测。</w:t>
            </w:r>
          </w:p>
          <w:p>
            <w:pPr>
              <w:pStyle w:val="14"/>
              <w:numPr>
                <w:ilvl w:val="0"/>
                <w:numId w:val="92"/>
              </w:numPr>
              <w:tabs>
                <w:tab w:val="left" w:pos="271"/>
              </w:tabs>
              <w:spacing w:before="2" w:after="0" w:line="253" w:lineRule="exact"/>
              <w:ind w:left="270" w:right="0" w:hanging="160"/>
              <w:jc w:val="left"/>
              <w:rPr>
                <w:sz w:val="21"/>
              </w:rPr>
            </w:pPr>
            <w:r>
              <w:rPr>
                <w:sz w:val="21"/>
              </w:rPr>
              <w:t>监测点位：工业场地</w:t>
            </w:r>
          </w:p>
        </w:tc>
        <w:tc>
          <w:tcPr>
            <w:tcW w:w="1082" w:type="dxa"/>
            <w:tcBorders>
              <w:top w:val="single" w:color="000000" w:sz="4" w:space="0"/>
              <w:left w:val="single" w:color="000000" w:sz="4" w:space="0"/>
              <w:bottom w:val="single" w:color="000000" w:sz="4" w:space="0"/>
            </w:tcBorders>
          </w:tcPr>
          <w:p>
            <w:pPr>
              <w:pStyle w:val="14"/>
              <w:spacing w:line="269" w:lineRule="exact"/>
              <w:ind w:left="126"/>
              <w:jc w:val="left"/>
              <w:rPr>
                <w:sz w:val="21"/>
              </w:rPr>
            </w:pPr>
            <w:r>
              <w:rPr>
                <w:sz w:val="21"/>
              </w:rPr>
              <w:t>双鸭山市</w:t>
            </w:r>
          </w:p>
          <w:p>
            <w:pPr>
              <w:pStyle w:val="14"/>
              <w:spacing w:before="3" w:line="270" w:lineRule="atLeast"/>
              <w:ind w:left="440" w:right="100" w:hanging="315"/>
              <w:jc w:val="left"/>
              <w:rPr>
                <w:sz w:val="21"/>
              </w:rPr>
            </w:pPr>
            <w:r>
              <w:rPr>
                <w:sz w:val="21"/>
              </w:rPr>
              <w:t>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00" w:hRule="atLeast"/>
        </w:trPr>
        <w:tc>
          <w:tcPr>
            <w:tcW w:w="644" w:type="dxa"/>
            <w:tcBorders>
              <w:top w:val="single" w:color="000000" w:sz="4" w:space="0"/>
              <w:bottom w:val="single" w:color="000000" w:sz="4" w:space="0"/>
              <w:right w:val="single" w:color="000000" w:sz="4" w:space="0"/>
            </w:tcBorders>
          </w:tcPr>
          <w:p>
            <w:pPr>
              <w:pStyle w:val="14"/>
              <w:jc w:val="left"/>
              <w:rPr>
                <w:b/>
                <w:sz w:val="22"/>
              </w:rPr>
            </w:pPr>
          </w:p>
          <w:p>
            <w:pPr>
              <w:pStyle w:val="14"/>
              <w:spacing w:before="1"/>
              <w:jc w:val="left"/>
              <w:rPr>
                <w:b/>
                <w:sz w:val="23"/>
              </w:rPr>
            </w:pPr>
          </w:p>
          <w:p>
            <w:pPr>
              <w:pStyle w:val="14"/>
              <w:spacing w:before="1"/>
              <w:ind w:left="90" w:right="75"/>
              <w:rPr>
                <w:rFonts w:ascii="Times New Roman"/>
                <w:sz w:val="21"/>
              </w:rPr>
            </w:pPr>
            <w:r>
              <w:rPr>
                <w:rFonts w:ascii="Times New Roman"/>
                <w:sz w:val="21"/>
              </w:rPr>
              <w:t>10</w:t>
            </w:r>
          </w:p>
        </w:tc>
        <w:tc>
          <w:tcPr>
            <w:tcW w:w="1787" w:type="dxa"/>
            <w:gridSpan w:val="2"/>
            <w:tcBorders>
              <w:top w:val="single" w:color="000000" w:sz="4" w:space="0"/>
              <w:left w:val="single" w:color="000000" w:sz="4" w:space="0"/>
              <w:bottom w:val="single" w:color="000000" w:sz="4" w:space="0"/>
              <w:right w:val="single" w:color="000000" w:sz="4" w:space="0"/>
            </w:tcBorders>
          </w:tcPr>
          <w:p>
            <w:pPr>
              <w:pStyle w:val="14"/>
              <w:jc w:val="left"/>
              <w:rPr>
                <w:b/>
                <w:sz w:val="20"/>
              </w:rPr>
            </w:pPr>
          </w:p>
          <w:p>
            <w:pPr>
              <w:pStyle w:val="14"/>
              <w:spacing w:before="11"/>
              <w:jc w:val="left"/>
              <w:rPr>
                <w:b/>
                <w:sz w:val="23"/>
              </w:rPr>
            </w:pPr>
          </w:p>
          <w:p>
            <w:pPr>
              <w:pStyle w:val="14"/>
              <w:ind w:left="372"/>
              <w:jc w:val="left"/>
              <w:rPr>
                <w:sz w:val="21"/>
              </w:rPr>
            </w:pPr>
            <w:r>
              <w:rPr>
                <w:sz w:val="21"/>
              </w:rPr>
              <w:t>大气污染源</w:t>
            </w:r>
          </w:p>
        </w:tc>
        <w:tc>
          <w:tcPr>
            <w:tcW w:w="5827" w:type="dxa"/>
            <w:tcBorders>
              <w:top w:val="single" w:color="000000" w:sz="4" w:space="0"/>
              <w:left w:val="single" w:color="000000" w:sz="4" w:space="0"/>
              <w:bottom w:val="single" w:color="000000" w:sz="4" w:space="0"/>
              <w:right w:val="single" w:color="000000" w:sz="4" w:space="0"/>
            </w:tcBorders>
          </w:tcPr>
          <w:p>
            <w:pPr>
              <w:pStyle w:val="14"/>
              <w:numPr>
                <w:ilvl w:val="0"/>
                <w:numId w:val="93"/>
              </w:numPr>
              <w:tabs>
                <w:tab w:val="left" w:pos="271"/>
              </w:tabs>
              <w:spacing w:before="0" w:after="0" w:line="240" w:lineRule="auto"/>
              <w:ind w:left="111" w:right="766" w:firstLine="0"/>
              <w:jc w:val="left"/>
              <w:rPr>
                <w:sz w:val="21"/>
              </w:rPr>
            </w:pPr>
            <w:r>
              <w:rPr>
                <w:w w:val="95"/>
                <w:position w:val="2"/>
                <w:sz w:val="21"/>
              </w:rPr>
              <w:t>监测项目：锅炉及热风炉：</w:t>
            </w:r>
            <w:r>
              <w:rPr>
                <w:w w:val="95"/>
                <w:position w:val="2"/>
                <w:sz w:val="24"/>
              </w:rPr>
              <w:t>颗粒物、</w:t>
            </w:r>
            <w:r>
              <w:rPr>
                <w:rFonts w:ascii="Times New Roman" w:eastAsia="Times New Roman"/>
                <w:w w:val="95"/>
                <w:position w:val="2"/>
                <w:sz w:val="24"/>
              </w:rPr>
              <w:t>SO</w:t>
            </w:r>
            <w:r>
              <w:rPr>
                <w:rFonts w:ascii="Times New Roman" w:eastAsia="Times New Roman"/>
                <w:w w:val="95"/>
                <w:position w:val="2"/>
                <w:sz w:val="24"/>
                <w:vertAlign w:val="subscript"/>
              </w:rPr>
              <w:t>2</w:t>
            </w:r>
            <w:r>
              <w:rPr>
                <w:w w:val="95"/>
                <w:position w:val="2"/>
                <w:sz w:val="24"/>
                <w:vertAlign w:val="baseline"/>
              </w:rPr>
              <w:t>、</w:t>
            </w:r>
            <w:r>
              <w:rPr>
                <w:rFonts w:ascii="Times New Roman" w:eastAsia="Times New Roman"/>
                <w:w w:val="95"/>
                <w:position w:val="2"/>
                <w:sz w:val="24"/>
                <w:vertAlign w:val="baseline"/>
              </w:rPr>
              <w:t>NOx</w:t>
            </w:r>
            <w:r>
              <w:rPr>
                <w:w w:val="95"/>
                <w:position w:val="2"/>
                <w:sz w:val="21"/>
                <w:vertAlign w:val="baseline"/>
              </w:rPr>
              <w:t xml:space="preserve">； </w:t>
            </w:r>
            <w:r>
              <w:rPr>
                <w:sz w:val="21"/>
                <w:vertAlign w:val="baseline"/>
              </w:rPr>
              <w:t>筛分车间：颗粒物</w:t>
            </w:r>
          </w:p>
          <w:p>
            <w:pPr>
              <w:pStyle w:val="14"/>
              <w:numPr>
                <w:ilvl w:val="0"/>
                <w:numId w:val="93"/>
              </w:numPr>
              <w:tabs>
                <w:tab w:val="left" w:pos="271"/>
              </w:tabs>
              <w:spacing w:before="3" w:after="0" w:line="240" w:lineRule="auto"/>
              <w:ind w:left="270" w:right="0" w:hanging="160"/>
              <w:jc w:val="left"/>
              <w:rPr>
                <w:sz w:val="21"/>
              </w:rPr>
            </w:pPr>
            <w:r>
              <w:rPr>
                <w:spacing w:val="-7"/>
                <w:sz w:val="21"/>
              </w:rPr>
              <w:t xml:space="preserve">监测频率：每年 </w:t>
            </w:r>
            <w:r>
              <w:rPr>
                <w:rFonts w:ascii="Times New Roman" w:eastAsia="Times New Roman"/>
                <w:sz w:val="21"/>
              </w:rPr>
              <w:t>2</w:t>
            </w:r>
            <w:r>
              <w:rPr>
                <w:rFonts w:ascii="Times New Roman" w:eastAsia="Times New Roman"/>
                <w:spacing w:val="1"/>
                <w:sz w:val="21"/>
              </w:rPr>
              <w:t xml:space="preserve"> </w:t>
            </w:r>
            <w:r>
              <w:rPr>
                <w:sz w:val="21"/>
              </w:rPr>
              <w:t>次。</w:t>
            </w:r>
          </w:p>
          <w:p>
            <w:pPr>
              <w:pStyle w:val="14"/>
              <w:numPr>
                <w:ilvl w:val="0"/>
                <w:numId w:val="93"/>
              </w:numPr>
              <w:tabs>
                <w:tab w:val="left" w:pos="271"/>
              </w:tabs>
              <w:spacing w:before="2" w:after="0" w:line="240" w:lineRule="auto"/>
              <w:ind w:left="270" w:right="0" w:hanging="160"/>
              <w:jc w:val="left"/>
              <w:rPr>
                <w:sz w:val="21"/>
              </w:rPr>
            </w:pPr>
            <w:r>
              <w:rPr>
                <w:spacing w:val="-2"/>
                <w:sz w:val="21"/>
              </w:rPr>
              <w:t>监测点位：锅炉及热风炉除尘器前后各设一个监测点；筛分</w:t>
            </w:r>
          </w:p>
          <w:p>
            <w:pPr>
              <w:pStyle w:val="14"/>
              <w:spacing w:before="4" w:line="251" w:lineRule="exact"/>
              <w:ind w:left="111"/>
              <w:jc w:val="left"/>
              <w:rPr>
                <w:sz w:val="21"/>
              </w:rPr>
            </w:pPr>
            <w:r>
              <w:rPr>
                <w:sz w:val="21"/>
              </w:rPr>
              <w:t>车间除尘器后</w:t>
            </w:r>
          </w:p>
        </w:tc>
        <w:tc>
          <w:tcPr>
            <w:tcW w:w="1082" w:type="dxa"/>
            <w:tcBorders>
              <w:top w:val="single" w:color="000000" w:sz="4" w:space="0"/>
              <w:left w:val="single" w:color="000000" w:sz="4" w:space="0"/>
              <w:bottom w:val="single" w:color="000000" w:sz="4" w:space="0"/>
            </w:tcBorders>
          </w:tcPr>
          <w:p>
            <w:pPr>
              <w:pStyle w:val="14"/>
              <w:spacing w:before="9"/>
              <w:jc w:val="left"/>
              <w:rPr>
                <w:b/>
                <w:sz w:val="22"/>
              </w:rPr>
            </w:pPr>
          </w:p>
          <w:p>
            <w:pPr>
              <w:pStyle w:val="14"/>
              <w:spacing w:line="242" w:lineRule="auto"/>
              <w:ind w:left="126" w:right="100"/>
              <w:rPr>
                <w:sz w:val="21"/>
              </w:rPr>
            </w:pPr>
            <w:r>
              <w:rPr>
                <w:sz w:val="21"/>
              </w:rPr>
              <w:t>双鸭山市生态环境局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0" w:hRule="atLeast"/>
        </w:trPr>
        <w:tc>
          <w:tcPr>
            <w:tcW w:w="644" w:type="dxa"/>
            <w:tcBorders>
              <w:top w:val="single" w:color="000000" w:sz="4" w:space="0"/>
              <w:bottom w:val="single" w:color="000000" w:sz="4" w:space="0"/>
              <w:right w:val="single" w:color="000000" w:sz="4" w:space="0"/>
            </w:tcBorders>
          </w:tcPr>
          <w:p>
            <w:pPr>
              <w:pStyle w:val="14"/>
              <w:jc w:val="left"/>
              <w:rPr>
                <w:b/>
                <w:sz w:val="22"/>
              </w:rPr>
            </w:pPr>
          </w:p>
          <w:p>
            <w:pPr>
              <w:pStyle w:val="14"/>
              <w:spacing w:before="142"/>
              <w:ind w:left="90" w:right="75"/>
              <w:rPr>
                <w:rFonts w:ascii="Times New Roman"/>
                <w:sz w:val="21"/>
              </w:rPr>
            </w:pPr>
            <w:r>
              <w:rPr>
                <w:rFonts w:ascii="Times New Roman"/>
                <w:sz w:val="21"/>
              </w:rPr>
              <w:t>11</w:t>
            </w:r>
          </w:p>
        </w:tc>
        <w:tc>
          <w:tcPr>
            <w:tcW w:w="1787" w:type="dxa"/>
            <w:gridSpan w:val="2"/>
            <w:vMerge w:val="restart"/>
            <w:tcBorders>
              <w:top w:val="single" w:color="000000" w:sz="4" w:space="0"/>
              <w:left w:val="single" w:color="000000" w:sz="4" w:space="0"/>
              <w:bottom w:val="single" w:color="000000" w:sz="4" w:space="0"/>
              <w:right w:val="single" w:color="000000" w:sz="4" w:space="0"/>
            </w:tcBorders>
          </w:tcPr>
          <w:p>
            <w:pPr>
              <w:pStyle w:val="14"/>
              <w:jc w:val="left"/>
              <w:rPr>
                <w:b/>
                <w:sz w:val="20"/>
              </w:rPr>
            </w:pPr>
          </w:p>
          <w:p>
            <w:pPr>
              <w:pStyle w:val="14"/>
              <w:jc w:val="left"/>
              <w:rPr>
                <w:b/>
                <w:sz w:val="20"/>
              </w:rPr>
            </w:pPr>
          </w:p>
          <w:p>
            <w:pPr>
              <w:pStyle w:val="14"/>
              <w:jc w:val="left"/>
              <w:rPr>
                <w:b/>
                <w:sz w:val="20"/>
              </w:rPr>
            </w:pPr>
          </w:p>
          <w:p>
            <w:pPr>
              <w:pStyle w:val="14"/>
              <w:spacing w:before="4"/>
              <w:jc w:val="left"/>
              <w:rPr>
                <w:b/>
                <w:sz w:val="16"/>
              </w:rPr>
            </w:pPr>
          </w:p>
          <w:p>
            <w:pPr>
              <w:pStyle w:val="14"/>
              <w:spacing w:before="1"/>
              <w:ind w:left="477"/>
              <w:jc w:val="left"/>
              <w:rPr>
                <w:sz w:val="21"/>
              </w:rPr>
            </w:pPr>
            <w:r>
              <w:rPr>
                <w:sz w:val="21"/>
              </w:rPr>
              <w:t>水污染源</w:t>
            </w:r>
          </w:p>
        </w:tc>
        <w:tc>
          <w:tcPr>
            <w:tcW w:w="5827" w:type="dxa"/>
            <w:tcBorders>
              <w:top w:val="single" w:color="000000" w:sz="4" w:space="0"/>
              <w:left w:val="single" w:color="000000" w:sz="4" w:space="0"/>
              <w:bottom w:val="single" w:color="000000" w:sz="4" w:space="0"/>
              <w:right w:val="single" w:color="000000" w:sz="4" w:space="0"/>
            </w:tcBorders>
          </w:tcPr>
          <w:p>
            <w:pPr>
              <w:pStyle w:val="14"/>
              <w:numPr>
                <w:ilvl w:val="0"/>
                <w:numId w:val="94"/>
              </w:numPr>
              <w:tabs>
                <w:tab w:val="left" w:pos="273"/>
              </w:tabs>
              <w:spacing w:before="0" w:after="0" w:line="240" w:lineRule="auto"/>
              <w:ind w:left="111" w:right="89" w:firstLine="0"/>
              <w:jc w:val="left"/>
              <w:rPr>
                <w:sz w:val="21"/>
              </w:rPr>
            </w:pPr>
            <w:r>
              <w:rPr>
                <w:spacing w:val="3"/>
                <w:w w:val="95"/>
                <w:position w:val="2"/>
                <w:sz w:val="21"/>
              </w:rPr>
              <w:t>监测项目：</w:t>
            </w:r>
            <w:r>
              <w:rPr>
                <w:rFonts w:ascii="Times New Roman" w:eastAsia="Times New Roman"/>
                <w:w w:val="95"/>
                <w:position w:val="2"/>
                <w:sz w:val="21"/>
              </w:rPr>
              <w:t>COD</w:t>
            </w:r>
            <w:r>
              <w:rPr>
                <w:spacing w:val="7"/>
                <w:w w:val="95"/>
                <w:position w:val="2"/>
                <w:sz w:val="21"/>
              </w:rPr>
              <w:t>、</w:t>
            </w:r>
            <w:r>
              <w:rPr>
                <w:rFonts w:ascii="Times New Roman" w:eastAsia="Times New Roman"/>
                <w:w w:val="95"/>
                <w:position w:val="2"/>
                <w:sz w:val="21"/>
              </w:rPr>
              <w:t>BOD</w:t>
            </w:r>
            <w:r>
              <w:rPr>
                <w:rFonts w:ascii="Times New Roman" w:eastAsia="Times New Roman"/>
                <w:w w:val="95"/>
                <w:position w:val="2"/>
                <w:sz w:val="21"/>
                <w:vertAlign w:val="subscript"/>
              </w:rPr>
              <w:t>5</w:t>
            </w:r>
            <w:r>
              <w:rPr>
                <w:spacing w:val="3"/>
                <w:w w:val="95"/>
                <w:position w:val="2"/>
                <w:sz w:val="21"/>
                <w:vertAlign w:val="baseline"/>
              </w:rPr>
              <w:t xml:space="preserve">、氨氮、动植物油、大肠菌群、阴 </w:t>
            </w:r>
            <w:r>
              <w:rPr>
                <w:spacing w:val="3"/>
                <w:sz w:val="21"/>
                <w:vertAlign w:val="baseline"/>
              </w:rPr>
              <w:t>离子表面活性剂。</w:t>
            </w:r>
          </w:p>
          <w:p>
            <w:pPr>
              <w:pStyle w:val="14"/>
              <w:numPr>
                <w:ilvl w:val="0"/>
                <w:numId w:val="94"/>
              </w:numPr>
              <w:tabs>
                <w:tab w:val="left" w:pos="271"/>
              </w:tabs>
              <w:spacing w:before="0" w:after="0" w:line="240" w:lineRule="auto"/>
              <w:ind w:left="270" w:right="0" w:hanging="160"/>
              <w:jc w:val="left"/>
              <w:rPr>
                <w:sz w:val="21"/>
              </w:rPr>
            </w:pPr>
            <w:r>
              <w:rPr>
                <w:sz w:val="21"/>
              </w:rPr>
              <w:t>监测频率：根据需要不定期监测。</w:t>
            </w:r>
          </w:p>
          <w:p>
            <w:pPr>
              <w:pStyle w:val="14"/>
              <w:numPr>
                <w:ilvl w:val="0"/>
                <w:numId w:val="94"/>
              </w:numPr>
              <w:tabs>
                <w:tab w:val="left" w:pos="271"/>
              </w:tabs>
              <w:spacing w:before="4" w:after="0" w:line="252" w:lineRule="exact"/>
              <w:ind w:left="270" w:right="0" w:hanging="160"/>
              <w:jc w:val="left"/>
              <w:rPr>
                <w:sz w:val="21"/>
              </w:rPr>
            </w:pPr>
            <w:r>
              <w:rPr>
                <w:sz w:val="21"/>
              </w:rPr>
              <w:t>监测点位：污水处理站进水口、出水口。</w:t>
            </w:r>
          </w:p>
        </w:tc>
        <w:tc>
          <w:tcPr>
            <w:tcW w:w="1082" w:type="dxa"/>
            <w:tcBorders>
              <w:top w:val="single" w:color="000000" w:sz="4" w:space="0"/>
              <w:left w:val="single" w:color="000000" w:sz="4" w:space="0"/>
              <w:bottom w:val="single" w:color="000000" w:sz="4" w:space="0"/>
            </w:tcBorders>
          </w:tcPr>
          <w:p>
            <w:pPr>
              <w:pStyle w:val="14"/>
              <w:spacing w:before="136" w:line="242" w:lineRule="auto"/>
              <w:ind w:left="126" w:right="100"/>
              <w:rPr>
                <w:sz w:val="21"/>
              </w:rPr>
            </w:pPr>
            <w:r>
              <w:rPr>
                <w:sz w:val="21"/>
              </w:rPr>
              <w:t>双鸭山市生态环境局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27" w:hRule="atLeast"/>
        </w:trPr>
        <w:tc>
          <w:tcPr>
            <w:tcW w:w="644" w:type="dxa"/>
            <w:tcBorders>
              <w:top w:val="single" w:color="000000" w:sz="4" w:space="0"/>
              <w:bottom w:val="single" w:color="000000" w:sz="4" w:space="0"/>
              <w:right w:val="single" w:color="000000" w:sz="4" w:space="0"/>
            </w:tcBorders>
          </w:tcPr>
          <w:p>
            <w:pPr>
              <w:pStyle w:val="14"/>
              <w:jc w:val="left"/>
              <w:rPr>
                <w:b/>
                <w:sz w:val="22"/>
              </w:rPr>
            </w:pPr>
          </w:p>
          <w:p>
            <w:pPr>
              <w:pStyle w:val="14"/>
              <w:spacing w:before="160"/>
              <w:ind w:left="90" w:right="75"/>
              <w:rPr>
                <w:rFonts w:ascii="Times New Roman"/>
                <w:sz w:val="21"/>
              </w:rPr>
            </w:pPr>
            <w:r>
              <w:rPr>
                <w:rFonts w:ascii="Times New Roman"/>
                <w:sz w:val="21"/>
              </w:rPr>
              <w:t>12</w:t>
            </w:r>
          </w:p>
        </w:tc>
        <w:tc>
          <w:tcPr>
            <w:tcW w:w="1787"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5827" w:type="dxa"/>
            <w:tcBorders>
              <w:top w:val="single" w:color="000000" w:sz="4" w:space="0"/>
              <w:left w:val="single" w:color="000000" w:sz="4" w:space="0"/>
              <w:bottom w:val="single" w:color="000000" w:sz="4" w:space="0"/>
              <w:right w:val="single" w:color="000000" w:sz="4" w:space="0"/>
            </w:tcBorders>
          </w:tcPr>
          <w:p>
            <w:pPr>
              <w:pStyle w:val="14"/>
              <w:numPr>
                <w:ilvl w:val="0"/>
                <w:numId w:val="95"/>
              </w:numPr>
              <w:tabs>
                <w:tab w:val="left" w:pos="273"/>
              </w:tabs>
              <w:spacing w:before="0" w:after="0" w:line="240" w:lineRule="auto"/>
              <w:ind w:left="111" w:right="89" w:firstLine="0"/>
              <w:jc w:val="left"/>
              <w:rPr>
                <w:sz w:val="21"/>
              </w:rPr>
            </w:pPr>
            <w:r>
              <w:rPr>
                <w:position w:val="2"/>
                <w:sz w:val="21"/>
              </w:rPr>
              <w:t>监测项目：</w:t>
            </w:r>
            <w:r>
              <w:rPr>
                <w:rFonts w:ascii="Times New Roman" w:eastAsia="Times New Roman"/>
                <w:position w:val="2"/>
                <w:sz w:val="21"/>
              </w:rPr>
              <w:t>PH</w:t>
            </w:r>
            <w:r>
              <w:rPr>
                <w:position w:val="2"/>
                <w:sz w:val="21"/>
              </w:rPr>
              <w:t>、悬浮物、</w:t>
            </w:r>
            <w:r>
              <w:rPr>
                <w:rFonts w:ascii="Times New Roman" w:eastAsia="Times New Roman"/>
                <w:position w:val="2"/>
                <w:sz w:val="21"/>
              </w:rPr>
              <w:t>BOD</w:t>
            </w:r>
            <w:r>
              <w:rPr>
                <w:rFonts w:ascii="Times New Roman" w:eastAsia="Times New Roman"/>
                <w:position w:val="2"/>
                <w:sz w:val="21"/>
                <w:vertAlign w:val="subscript"/>
              </w:rPr>
              <w:t>5</w:t>
            </w:r>
            <w:r>
              <w:rPr>
                <w:position w:val="2"/>
                <w:sz w:val="21"/>
                <w:vertAlign w:val="baseline"/>
              </w:rPr>
              <w:t>、</w:t>
            </w:r>
            <w:r>
              <w:rPr>
                <w:rFonts w:ascii="Times New Roman" w:eastAsia="Times New Roman"/>
                <w:position w:val="2"/>
                <w:sz w:val="21"/>
                <w:vertAlign w:val="baseline"/>
              </w:rPr>
              <w:t>COD</w:t>
            </w:r>
            <w:r>
              <w:rPr>
                <w:position w:val="2"/>
                <w:sz w:val="21"/>
                <w:vertAlign w:val="baseline"/>
              </w:rPr>
              <w:t>、石油类、挥发性酚</w:t>
            </w:r>
            <w:r>
              <w:rPr>
                <w:sz w:val="21"/>
                <w:vertAlign w:val="baseline"/>
              </w:rPr>
              <w:t>类、氟化物、硫化物、氨氮等。</w:t>
            </w:r>
          </w:p>
          <w:p>
            <w:pPr>
              <w:pStyle w:val="14"/>
              <w:numPr>
                <w:ilvl w:val="0"/>
                <w:numId w:val="95"/>
              </w:numPr>
              <w:tabs>
                <w:tab w:val="left" w:pos="271"/>
              </w:tabs>
              <w:spacing w:before="0" w:after="0" w:line="240" w:lineRule="auto"/>
              <w:ind w:left="270" w:right="0" w:hanging="160"/>
              <w:jc w:val="left"/>
              <w:rPr>
                <w:sz w:val="21"/>
              </w:rPr>
            </w:pPr>
            <w:r>
              <w:rPr>
                <w:sz w:val="21"/>
              </w:rPr>
              <w:t>监测频率：</w:t>
            </w:r>
            <w:r>
              <w:rPr>
                <w:spacing w:val="-13"/>
                <w:sz w:val="24"/>
              </w:rPr>
              <w:t xml:space="preserve">每年进行 </w:t>
            </w:r>
            <w:r>
              <w:rPr>
                <w:rFonts w:ascii="Times New Roman" w:eastAsia="Times New Roman"/>
                <w:sz w:val="24"/>
              </w:rPr>
              <w:t xml:space="preserve">2 </w:t>
            </w:r>
            <w:r>
              <w:rPr>
                <w:sz w:val="24"/>
              </w:rPr>
              <w:t>次监测</w:t>
            </w:r>
            <w:r>
              <w:rPr>
                <w:sz w:val="21"/>
              </w:rPr>
              <w:t>。</w:t>
            </w:r>
          </w:p>
          <w:p>
            <w:pPr>
              <w:pStyle w:val="14"/>
              <w:numPr>
                <w:ilvl w:val="0"/>
                <w:numId w:val="95"/>
              </w:numPr>
              <w:tabs>
                <w:tab w:val="left" w:pos="271"/>
              </w:tabs>
              <w:spacing w:before="3" w:after="0" w:line="253" w:lineRule="exact"/>
              <w:ind w:left="270" w:right="0" w:hanging="160"/>
              <w:jc w:val="left"/>
              <w:rPr>
                <w:sz w:val="21"/>
              </w:rPr>
            </w:pPr>
            <w:r>
              <w:rPr>
                <w:sz w:val="21"/>
              </w:rPr>
              <w:t>监测点位：矿井水处理站进水口、出水口。</w:t>
            </w:r>
          </w:p>
        </w:tc>
        <w:tc>
          <w:tcPr>
            <w:tcW w:w="1082" w:type="dxa"/>
            <w:tcBorders>
              <w:top w:val="single" w:color="000000" w:sz="4" w:space="0"/>
              <w:left w:val="single" w:color="000000" w:sz="4" w:space="0"/>
              <w:bottom w:val="single" w:color="000000" w:sz="4" w:space="0"/>
            </w:tcBorders>
          </w:tcPr>
          <w:p>
            <w:pPr>
              <w:pStyle w:val="14"/>
              <w:spacing w:before="154" w:line="242" w:lineRule="auto"/>
              <w:ind w:left="126" w:right="100"/>
              <w:rPr>
                <w:sz w:val="21"/>
              </w:rPr>
            </w:pPr>
            <w:r>
              <w:rPr>
                <w:sz w:val="21"/>
              </w:rPr>
              <w:t>双鸭山市生态环境局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6" w:hRule="atLeast"/>
        </w:trPr>
        <w:tc>
          <w:tcPr>
            <w:tcW w:w="644" w:type="dxa"/>
            <w:tcBorders>
              <w:top w:val="single" w:color="000000" w:sz="4" w:space="0"/>
              <w:bottom w:val="single" w:color="000000" w:sz="4" w:space="0"/>
              <w:right w:val="single" w:color="000000" w:sz="4" w:space="0"/>
            </w:tcBorders>
          </w:tcPr>
          <w:p>
            <w:pPr>
              <w:pStyle w:val="14"/>
              <w:spacing w:before="10"/>
              <w:jc w:val="left"/>
              <w:rPr>
                <w:b/>
                <w:sz w:val="23"/>
              </w:rPr>
            </w:pPr>
          </w:p>
          <w:p>
            <w:pPr>
              <w:pStyle w:val="14"/>
              <w:ind w:left="90" w:right="75"/>
              <w:rPr>
                <w:rFonts w:ascii="Times New Roman"/>
                <w:sz w:val="21"/>
              </w:rPr>
            </w:pPr>
            <w:r>
              <w:rPr>
                <w:rFonts w:ascii="Times New Roman"/>
                <w:sz w:val="21"/>
              </w:rPr>
              <w:t>13</w:t>
            </w:r>
          </w:p>
        </w:tc>
        <w:tc>
          <w:tcPr>
            <w:tcW w:w="1787" w:type="dxa"/>
            <w:gridSpan w:val="2"/>
            <w:tcBorders>
              <w:top w:val="single" w:color="000000" w:sz="4" w:space="0"/>
              <w:left w:val="single" w:color="000000" w:sz="4" w:space="0"/>
              <w:bottom w:val="single" w:color="000000" w:sz="4" w:space="0"/>
              <w:right w:val="single" w:color="000000" w:sz="4" w:space="0"/>
            </w:tcBorders>
          </w:tcPr>
          <w:p>
            <w:pPr>
              <w:pStyle w:val="14"/>
              <w:spacing w:before="9"/>
              <w:jc w:val="left"/>
              <w:rPr>
                <w:b/>
                <w:sz w:val="22"/>
              </w:rPr>
            </w:pPr>
          </w:p>
          <w:p>
            <w:pPr>
              <w:pStyle w:val="14"/>
              <w:ind w:left="454" w:right="440"/>
              <w:rPr>
                <w:sz w:val="21"/>
              </w:rPr>
            </w:pPr>
            <w:r>
              <w:rPr>
                <w:sz w:val="21"/>
              </w:rPr>
              <w:t>噪声</w:t>
            </w:r>
          </w:p>
        </w:tc>
        <w:tc>
          <w:tcPr>
            <w:tcW w:w="5827" w:type="dxa"/>
            <w:tcBorders>
              <w:top w:val="single" w:color="000000" w:sz="4" w:space="0"/>
              <w:left w:val="single" w:color="000000" w:sz="4" w:space="0"/>
              <w:bottom w:val="single" w:color="000000" w:sz="4" w:space="0"/>
              <w:right w:val="single" w:color="000000" w:sz="4" w:space="0"/>
            </w:tcBorders>
          </w:tcPr>
          <w:p>
            <w:pPr>
              <w:pStyle w:val="14"/>
              <w:numPr>
                <w:ilvl w:val="0"/>
                <w:numId w:val="96"/>
              </w:numPr>
              <w:tabs>
                <w:tab w:val="left" w:pos="271"/>
              </w:tabs>
              <w:spacing w:before="0" w:after="0" w:line="240" w:lineRule="auto"/>
              <w:ind w:left="270" w:right="0" w:hanging="160"/>
              <w:jc w:val="left"/>
              <w:rPr>
                <w:sz w:val="21"/>
              </w:rPr>
            </w:pPr>
            <w:r>
              <w:rPr>
                <w:spacing w:val="-5"/>
                <w:sz w:val="21"/>
              </w:rPr>
              <w:t xml:space="preserve">监测项目：噪声等效连续 </w:t>
            </w:r>
            <w:r>
              <w:rPr>
                <w:rFonts w:ascii="Times New Roman" w:eastAsia="Times New Roman"/>
                <w:sz w:val="21"/>
              </w:rPr>
              <w:t xml:space="preserve">A </w:t>
            </w:r>
            <w:r>
              <w:rPr>
                <w:sz w:val="21"/>
              </w:rPr>
              <w:t>声级。</w:t>
            </w:r>
          </w:p>
          <w:p>
            <w:pPr>
              <w:pStyle w:val="14"/>
              <w:numPr>
                <w:ilvl w:val="0"/>
                <w:numId w:val="96"/>
              </w:numPr>
              <w:tabs>
                <w:tab w:val="left" w:pos="271"/>
              </w:tabs>
              <w:spacing w:before="4" w:after="0" w:line="240" w:lineRule="auto"/>
              <w:ind w:left="270" w:right="0" w:hanging="160"/>
              <w:jc w:val="left"/>
              <w:rPr>
                <w:sz w:val="24"/>
              </w:rPr>
            </w:pPr>
            <w:r>
              <w:rPr>
                <w:sz w:val="21"/>
              </w:rPr>
              <w:t>监测频率：</w:t>
            </w:r>
            <w:r>
              <w:rPr>
                <w:spacing w:val="-13"/>
                <w:sz w:val="24"/>
              </w:rPr>
              <w:t xml:space="preserve">每年进行 </w:t>
            </w:r>
            <w:r>
              <w:rPr>
                <w:rFonts w:ascii="Times New Roman" w:eastAsia="Times New Roman"/>
                <w:sz w:val="24"/>
              </w:rPr>
              <w:t xml:space="preserve">2 </w:t>
            </w:r>
            <w:r>
              <w:rPr>
                <w:sz w:val="24"/>
              </w:rPr>
              <w:t>次监测</w:t>
            </w:r>
          </w:p>
          <w:p>
            <w:pPr>
              <w:pStyle w:val="14"/>
              <w:numPr>
                <w:ilvl w:val="0"/>
                <w:numId w:val="96"/>
              </w:numPr>
              <w:tabs>
                <w:tab w:val="left" w:pos="271"/>
              </w:tabs>
              <w:spacing w:before="3" w:after="0" w:line="252" w:lineRule="exact"/>
              <w:ind w:left="270" w:right="0" w:hanging="160"/>
              <w:jc w:val="left"/>
              <w:rPr>
                <w:sz w:val="21"/>
              </w:rPr>
            </w:pPr>
            <w:r>
              <w:rPr>
                <w:spacing w:val="-4"/>
                <w:sz w:val="21"/>
              </w:rPr>
              <w:t xml:space="preserve">监测点位：工业场地四周厂界外 </w:t>
            </w:r>
            <w:r>
              <w:rPr>
                <w:rFonts w:ascii="Times New Roman" w:eastAsia="Times New Roman"/>
                <w:sz w:val="21"/>
              </w:rPr>
              <w:t>1m</w:t>
            </w:r>
            <w:r>
              <w:rPr>
                <w:sz w:val="21"/>
              </w:rPr>
              <w:t>。</w:t>
            </w:r>
          </w:p>
        </w:tc>
        <w:tc>
          <w:tcPr>
            <w:tcW w:w="1082" w:type="dxa"/>
            <w:tcBorders>
              <w:top w:val="single" w:color="000000" w:sz="4" w:space="0"/>
              <w:left w:val="single" w:color="000000" w:sz="4" w:space="0"/>
              <w:bottom w:val="single" w:color="000000" w:sz="4" w:space="0"/>
            </w:tcBorders>
          </w:tcPr>
          <w:p>
            <w:pPr>
              <w:pStyle w:val="14"/>
              <w:spacing w:before="17" w:line="242" w:lineRule="auto"/>
              <w:ind w:left="126" w:right="100"/>
              <w:rPr>
                <w:sz w:val="21"/>
              </w:rPr>
            </w:pPr>
            <w:r>
              <w:rPr>
                <w:sz w:val="21"/>
              </w:rPr>
              <w:t>双鸭山市生态环境局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4" w:hRule="atLeast"/>
        </w:trPr>
        <w:tc>
          <w:tcPr>
            <w:tcW w:w="644" w:type="dxa"/>
            <w:tcBorders>
              <w:top w:val="single" w:color="000000" w:sz="4" w:space="0"/>
              <w:right w:val="single" w:color="000000" w:sz="4" w:space="0"/>
            </w:tcBorders>
          </w:tcPr>
          <w:p>
            <w:pPr>
              <w:pStyle w:val="14"/>
              <w:spacing w:before="161"/>
              <w:ind w:left="90" w:right="75"/>
              <w:rPr>
                <w:rFonts w:ascii="Times New Roman"/>
                <w:sz w:val="21"/>
              </w:rPr>
            </w:pPr>
            <w:r>
              <w:rPr>
                <w:rFonts w:ascii="Times New Roman"/>
                <w:sz w:val="21"/>
              </w:rPr>
              <w:t>14</w:t>
            </w:r>
          </w:p>
        </w:tc>
        <w:tc>
          <w:tcPr>
            <w:tcW w:w="1787" w:type="dxa"/>
            <w:gridSpan w:val="2"/>
            <w:tcBorders>
              <w:top w:val="single" w:color="000000" w:sz="4" w:space="0"/>
              <w:left w:val="single" w:color="000000" w:sz="4" w:space="0"/>
              <w:right w:val="single" w:color="000000" w:sz="4" w:space="0"/>
            </w:tcBorders>
          </w:tcPr>
          <w:p>
            <w:pPr>
              <w:pStyle w:val="14"/>
              <w:spacing w:before="147"/>
              <w:ind w:left="477"/>
              <w:jc w:val="left"/>
              <w:rPr>
                <w:sz w:val="21"/>
              </w:rPr>
            </w:pPr>
            <w:r>
              <w:rPr>
                <w:sz w:val="21"/>
              </w:rPr>
              <w:t>固体废物</w:t>
            </w:r>
          </w:p>
        </w:tc>
        <w:tc>
          <w:tcPr>
            <w:tcW w:w="5827" w:type="dxa"/>
            <w:tcBorders>
              <w:top w:val="single" w:color="000000" w:sz="4" w:space="0"/>
              <w:left w:val="single" w:color="000000" w:sz="4" w:space="0"/>
              <w:right w:val="single" w:color="000000" w:sz="4" w:space="0"/>
            </w:tcBorders>
          </w:tcPr>
          <w:p>
            <w:pPr>
              <w:pStyle w:val="14"/>
              <w:numPr>
                <w:ilvl w:val="0"/>
                <w:numId w:val="97"/>
              </w:numPr>
              <w:tabs>
                <w:tab w:val="left" w:pos="271"/>
              </w:tabs>
              <w:spacing w:before="10" w:after="0" w:line="240" w:lineRule="auto"/>
              <w:ind w:left="270" w:right="0" w:hanging="160"/>
              <w:jc w:val="left"/>
              <w:rPr>
                <w:sz w:val="21"/>
              </w:rPr>
            </w:pPr>
            <w:r>
              <w:rPr>
                <w:sz w:val="21"/>
              </w:rPr>
              <w:t>监测项目：固体废弃物排放量及处置方式。</w:t>
            </w:r>
          </w:p>
          <w:p>
            <w:pPr>
              <w:pStyle w:val="14"/>
              <w:numPr>
                <w:ilvl w:val="0"/>
                <w:numId w:val="97"/>
              </w:numPr>
              <w:tabs>
                <w:tab w:val="left" w:pos="271"/>
              </w:tabs>
              <w:spacing w:before="5" w:after="0" w:line="261" w:lineRule="exact"/>
              <w:ind w:left="270" w:right="0" w:hanging="160"/>
              <w:jc w:val="left"/>
              <w:rPr>
                <w:sz w:val="21"/>
              </w:rPr>
            </w:pPr>
            <w:r>
              <w:rPr>
                <w:sz w:val="21"/>
              </w:rPr>
              <w:t>监测频率：不定期。</w:t>
            </w:r>
          </w:p>
        </w:tc>
        <w:tc>
          <w:tcPr>
            <w:tcW w:w="1082" w:type="dxa"/>
            <w:tcBorders>
              <w:top w:val="single" w:color="000000" w:sz="4" w:space="0"/>
              <w:left w:val="single" w:color="000000" w:sz="4" w:space="0"/>
            </w:tcBorders>
          </w:tcPr>
          <w:p>
            <w:pPr>
              <w:pStyle w:val="14"/>
              <w:spacing w:before="9" w:line="270" w:lineRule="atLeast"/>
              <w:ind w:left="126" w:right="100"/>
              <w:jc w:val="left"/>
              <w:rPr>
                <w:sz w:val="21"/>
              </w:rPr>
            </w:pPr>
            <w:r>
              <w:rPr>
                <w:sz w:val="21"/>
              </w:rPr>
              <w:t>双鸭山市生态环境</w:t>
            </w:r>
          </w:p>
        </w:tc>
      </w:tr>
    </w:tbl>
    <w:p>
      <w:pPr>
        <w:spacing w:after="0" w:line="270" w:lineRule="atLeast"/>
        <w:jc w:val="left"/>
        <w:rPr>
          <w:sz w:val="21"/>
        </w:rPr>
        <w:sectPr>
          <w:pgSz w:w="11910" w:h="16840"/>
          <w:pgMar w:top="1580" w:right="1120" w:bottom="1240" w:left="1180" w:header="0" w:footer="1058" w:gutter="0"/>
        </w:sectPr>
      </w:pPr>
    </w:p>
    <w:tbl>
      <w:tblPr>
        <w:tblStyle w:val="10"/>
        <w:tblW w:w="0" w:type="auto"/>
        <w:tblInd w:w="13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44"/>
        <w:gridCol w:w="1787"/>
        <w:gridCol w:w="5827"/>
        <w:gridCol w:w="108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644" w:type="dxa"/>
            <w:tcBorders>
              <w:bottom w:val="single" w:color="000000" w:sz="4" w:space="0"/>
              <w:right w:val="single" w:color="000000" w:sz="4" w:space="0"/>
            </w:tcBorders>
          </w:tcPr>
          <w:p>
            <w:pPr>
              <w:pStyle w:val="14"/>
              <w:jc w:val="left"/>
              <w:rPr>
                <w:rFonts w:ascii="Times New Roman"/>
                <w:sz w:val="22"/>
              </w:rPr>
            </w:pPr>
          </w:p>
        </w:tc>
        <w:tc>
          <w:tcPr>
            <w:tcW w:w="1787" w:type="dxa"/>
            <w:tcBorders>
              <w:left w:val="single" w:color="000000" w:sz="4" w:space="0"/>
              <w:bottom w:val="single" w:color="000000" w:sz="4" w:space="0"/>
              <w:right w:val="single" w:color="000000" w:sz="4" w:space="0"/>
            </w:tcBorders>
          </w:tcPr>
          <w:p>
            <w:pPr>
              <w:pStyle w:val="14"/>
              <w:jc w:val="left"/>
              <w:rPr>
                <w:rFonts w:ascii="Times New Roman"/>
                <w:sz w:val="22"/>
              </w:rPr>
            </w:pPr>
          </w:p>
        </w:tc>
        <w:tc>
          <w:tcPr>
            <w:tcW w:w="5827" w:type="dxa"/>
            <w:tcBorders>
              <w:left w:val="single" w:color="000000" w:sz="4" w:space="0"/>
              <w:bottom w:val="single" w:color="000000" w:sz="4" w:space="0"/>
              <w:right w:val="single" w:color="000000" w:sz="4" w:space="0"/>
            </w:tcBorders>
          </w:tcPr>
          <w:p>
            <w:pPr>
              <w:pStyle w:val="14"/>
              <w:spacing w:line="260" w:lineRule="exact"/>
              <w:ind w:left="111"/>
              <w:jc w:val="left"/>
              <w:rPr>
                <w:sz w:val="21"/>
              </w:rPr>
            </w:pPr>
            <w:r>
              <w:rPr>
                <w:rFonts w:ascii="Times New Roman" w:eastAsia="Times New Roman"/>
                <w:sz w:val="21"/>
              </w:rPr>
              <w:t>3.</w:t>
            </w:r>
            <w:r>
              <w:rPr>
                <w:sz w:val="21"/>
              </w:rPr>
              <w:t>监测点位：厂区所有环保设施。</w:t>
            </w:r>
          </w:p>
        </w:tc>
        <w:tc>
          <w:tcPr>
            <w:tcW w:w="1082" w:type="dxa"/>
            <w:tcBorders>
              <w:left w:val="single" w:color="000000" w:sz="4" w:space="0"/>
              <w:bottom w:val="single" w:color="000000" w:sz="4" w:space="0"/>
            </w:tcBorders>
          </w:tcPr>
          <w:p>
            <w:pPr>
              <w:pStyle w:val="14"/>
              <w:spacing w:line="260" w:lineRule="exact"/>
              <w:ind w:left="23"/>
              <w:rPr>
                <w:sz w:val="21"/>
              </w:rPr>
            </w:pPr>
            <w:r>
              <w:rPr>
                <w:w w:val="99"/>
                <w:sz w:val="21"/>
              </w:rPr>
              <w:t>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7" w:hRule="atLeast"/>
        </w:trPr>
        <w:tc>
          <w:tcPr>
            <w:tcW w:w="644" w:type="dxa"/>
            <w:tcBorders>
              <w:top w:val="single" w:color="000000" w:sz="4" w:space="0"/>
              <w:bottom w:val="single" w:color="000000" w:sz="4" w:space="0"/>
              <w:right w:val="single" w:color="000000" w:sz="4" w:space="0"/>
            </w:tcBorders>
          </w:tcPr>
          <w:p>
            <w:pPr>
              <w:pStyle w:val="14"/>
              <w:spacing w:before="5"/>
              <w:jc w:val="left"/>
              <w:rPr>
                <w:b/>
                <w:sz w:val="22"/>
              </w:rPr>
            </w:pPr>
          </w:p>
          <w:p>
            <w:pPr>
              <w:pStyle w:val="14"/>
              <w:ind w:right="199"/>
              <w:jc w:val="right"/>
              <w:rPr>
                <w:rFonts w:ascii="Times New Roman"/>
                <w:sz w:val="21"/>
              </w:rPr>
            </w:pPr>
            <w:r>
              <w:rPr>
                <w:rFonts w:ascii="Times New Roman"/>
                <w:sz w:val="21"/>
              </w:rPr>
              <w:t>15</w:t>
            </w:r>
          </w:p>
        </w:tc>
        <w:tc>
          <w:tcPr>
            <w:tcW w:w="1787" w:type="dxa"/>
            <w:tcBorders>
              <w:top w:val="single" w:color="000000" w:sz="4" w:space="0"/>
              <w:left w:val="single" w:color="000000" w:sz="4" w:space="0"/>
              <w:bottom w:val="single" w:color="000000" w:sz="4" w:space="0"/>
              <w:right w:val="single" w:color="000000" w:sz="4" w:space="0"/>
            </w:tcBorders>
          </w:tcPr>
          <w:p>
            <w:pPr>
              <w:pStyle w:val="14"/>
              <w:spacing w:before="3"/>
              <w:jc w:val="left"/>
              <w:rPr>
                <w:b/>
                <w:sz w:val="21"/>
              </w:rPr>
            </w:pPr>
          </w:p>
          <w:p>
            <w:pPr>
              <w:pStyle w:val="14"/>
              <w:spacing w:before="1"/>
              <w:ind w:left="456" w:right="440"/>
              <w:rPr>
                <w:sz w:val="21"/>
              </w:rPr>
            </w:pPr>
            <w:r>
              <w:rPr>
                <w:sz w:val="21"/>
              </w:rPr>
              <w:t>环保设施</w:t>
            </w:r>
          </w:p>
        </w:tc>
        <w:tc>
          <w:tcPr>
            <w:tcW w:w="5827" w:type="dxa"/>
            <w:tcBorders>
              <w:top w:val="single" w:color="000000" w:sz="4" w:space="0"/>
              <w:left w:val="single" w:color="000000" w:sz="4" w:space="0"/>
              <w:bottom w:val="single" w:color="000000" w:sz="4" w:space="0"/>
              <w:right w:val="single" w:color="000000" w:sz="4" w:space="0"/>
            </w:tcBorders>
          </w:tcPr>
          <w:p>
            <w:pPr>
              <w:pStyle w:val="14"/>
              <w:numPr>
                <w:ilvl w:val="0"/>
                <w:numId w:val="98"/>
              </w:numPr>
              <w:tabs>
                <w:tab w:val="left" w:pos="271"/>
              </w:tabs>
              <w:spacing w:before="136" w:after="0" w:line="240" w:lineRule="auto"/>
              <w:ind w:left="270" w:right="0" w:hanging="160"/>
              <w:jc w:val="left"/>
              <w:rPr>
                <w:sz w:val="21"/>
              </w:rPr>
            </w:pPr>
            <w:r>
              <w:rPr>
                <w:sz w:val="21"/>
              </w:rPr>
              <w:t>监测项目：环保设施运行情况，绿化系数。</w:t>
            </w:r>
          </w:p>
          <w:p>
            <w:pPr>
              <w:pStyle w:val="14"/>
              <w:numPr>
                <w:ilvl w:val="0"/>
                <w:numId w:val="98"/>
              </w:numPr>
              <w:tabs>
                <w:tab w:val="left" w:pos="271"/>
              </w:tabs>
              <w:spacing w:before="4" w:after="0" w:line="240" w:lineRule="auto"/>
              <w:ind w:left="270" w:right="0" w:hanging="160"/>
              <w:jc w:val="left"/>
              <w:rPr>
                <w:sz w:val="21"/>
              </w:rPr>
            </w:pPr>
            <w:r>
              <w:rPr>
                <w:sz w:val="21"/>
              </w:rPr>
              <w:t>监测频率：不定期。</w:t>
            </w:r>
          </w:p>
        </w:tc>
        <w:tc>
          <w:tcPr>
            <w:tcW w:w="1082" w:type="dxa"/>
            <w:tcBorders>
              <w:top w:val="single" w:color="000000" w:sz="4" w:space="0"/>
              <w:left w:val="single" w:color="000000" w:sz="4" w:space="0"/>
              <w:bottom w:val="single" w:color="000000" w:sz="4" w:space="0"/>
            </w:tcBorders>
          </w:tcPr>
          <w:p>
            <w:pPr>
              <w:pStyle w:val="14"/>
              <w:spacing w:before="2" w:line="242" w:lineRule="auto"/>
              <w:ind w:left="126" w:right="100"/>
              <w:rPr>
                <w:sz w:val="21"/>
              </w:rPr>
            </w:pPr>
            <w:r>
              <w:rPr>
                <w:sz w:val="21"/>
              </w:rPr>
              <w:t>双鸭山市生态环境</w:t>
            </w:r>
          </w:p>
          <w:p>
            <w:pPr>
              <w:pStyle w:val="14"/>
              <w:spacing w:line="252" w:lineRule="exact"/>
              <w:ind w:left="23"/>
              <w:rPr>
                <w:sz w:val="21"/>
              </w:rPr>
            </w:pPr>
            <w:r>
              <w:rPr>
                <w:w w:val="99"/>
                <w:sz w:val="21"/>
              </w:rPr>
              <w:t>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6" w:hRule="atLeast"/>
        </w:trPr>
        <w:tc>
          <w:tcPr>
            <w:tcW w:w="644" w:type="dxa"/>
            <w:tcBorders>
              <w:top w:val="single" w:color="000000" w:sz="4" w:space="0"/>
              <w:right w:val="single" w:color="000000" w:sz="4" w:space="0"/>
            </w:tcBorders>
          </w:tcPr>
          <w:p>
            <w:pPr>
              <w:pStyle w:val="14"/>
              <w:spacing w:before="6"/>
              <w:jc w:val="left"/>
              <w:rPr>
                <w:b/>
                <w:sz w:val="22"/>
              </w:rPr>
            </w:pPr>
          </w:p>
          <w:p>
            <w:pPr>
              <w:pStyle w:val="14"/>
              <w:ind w:right="199"/>
              <w:jc w:val="right"/>
              <w:rPr>
                <w:rFonts w:ascii="Times New Roman"/>
                <w:sz w:val="21"/>
              </w:rPr>
            </w:pPr>
            <w:r>
              <w:rPr>
                <w:rFonts w:ascii="Times New Roman"/>
                <w:sz w:val="21"/>
              </w:rPr>
              <w:t>16</w:t>
            </w:r>
          </w:p>
        </w:tc>
        <w:tc>
          <w:tcPr>
            <w:tcW w:w="1787" w:type="dxa"/>
            <w:tcBorders>
              <w:top w:val="single" w:color="000000" w:sz="4" w:space="0"/>
              <w:left w:val="single" w:color="000000" w:sz="4" w:space="0"/>
              <w:right w:val="single" w:color="000000" w:sz="4" w:space="0"/>
            </w:tcBorders>
          </w:tcPr>
          <w:p>
            <w:pPr>
              <w:pStyle w:val="14"/>
              <w:spacing w:before="4"/>
              <w:jc w:val="left"/>
              <w:rPr>
                <w:b/>
                <w:sz w:val="21"/>
              </w:rPr>
            </w:pPr>
          </w:p>
          <w:p>
            <w:pPr>
              <w:pStyle w:val="14"/>
              <w:spacing w:before="1"/>
              <w:ind w:left="456" w:right="440"/>
              <w:rPr>
                <w:sz w:val="21"/>
              </w:rPr>
            </w:pPr>
            <w:r>
              <w:rPr>
                <w:sz w:val="21"/>
              </w:rPr>
              <w:t>事故监测</w:t>
            </w:r>
          </w:p>
        </w:tc>
        <w:tc>
          <w:tcPr>
            <w:tcW w:w="5827" w:type="dxa"/>
            <w:tcBorders>
              <w:top w:val="single" w:color="000000" w:sz="4" w:space="0"/>
              <w:left w:val="single" w:color="000000" w:sz="4" w:space="0"/>
              <w:right w:val="single" w:color="000000" w:sz="4" w:space="0"/>
            </w:tcBorders>
          </w:tcPr>
          <w:p>
            <w:pPr>
              <w:pStyle w:val="14"/>
              <w:numPr>
                <w:ilvl w:val="0"/>
                <w:numId w:val="99"/>
              </w:numPr>
              <w:tabs>
                <w:tab w:val="left" w:pos="271"/>
              </w:tabs>
              <w:spacing w:before="0" w:after="0" w:line="240" w:lineRule="auto"/>
              <w:ind w:left="270" w:right="-15" w:hanging="160"/>
              <w:jc w:val="left"/>
              <w:rPr>
                <w:sz w:val="21"/>
              </w:rPr>
            </w:pPr>
            <w:r>
              <w:rPr>
                <w:spacing w:val="-11"/>
                <w:w w:val="95"/>
                <w:sz w:val="21"/>
              </w:rPr>
              <w:t>监测项目：事故发生的类型、原因、污染程度及采取的措施。</w:t>
            </w:r>
          </w:p>
          <w:p>
            <w:pPr>
              <w:pStyle w:val="14"/>
              <w:numPr>
                <w:ilvl w:val="0"/>
                <w:numId w:val="99"/>
              </w:numPr>
              <w:tabs>
                <w:tab w:val="left" w:pos="271"/>
              </w:tabs>
              <w:spacing w:before="5" w:after="0" w:line="240" w:lineRule="auto"/>
              <w:ind w:left="270" w:right="0" w:hanging="160"/>
              <w:jc w:val="left"/>
              <w:rPr>
                <w:sz w:val="21"/>
              </w:rPr>
            </w:pPr>
            <w:r>
              <w:rPr>
                <w:sz w:val="21"/>
              </w:rPr>
              <w:t>监测频率：不定期。</w:t>
            </w:r>
          </w:p>
          <w:p>
            <w:pPr>
              <w:pStyle w:val="14"/>
              <w:numPr>
                <w:ilvl w:val="0"/>
                <w:numId w:val="99"/>
              </w:numPr>
              <w:tabs>
                <w:tab w:val="left" w:pos="271"/>
              </w:tabs>
              <w:spacing w:before="2" w:after="0" w:line="252" w:lineRule="exact"/>
              <w:ind w:left="270" w:right="0" w:hanging="160"/>
              <w:jc w:val="left"/>
              <w:rPr>
                <w:sz w:val="21"/>
              </w:rPr>
            </w:pPr>
            <w:r>
              <w:rPr>
                <w:sz w:val="21"/>
              </w:rPr>
              <w:t>监测点位：污水处理设施、矸石临时堆放场地等。</w:t>
            </w:r>
          </w:p>
        </w:tc>
        <w:tc>
          <w:tcPr>
            <w:tcW w:w="1082" w:type="dxa"/>
            <w:tcBorders>
              <w:top w:val="single" w:color="000000" w:sz="4" w:space="0"/>
              <w:left w:val="single" w:color="000000" w:sz="4" w:space="0"/>
            </w:tcBorders>
          </w:tcPr>
          <w:p>
            <w:pPr>
              <w:pStyle w:val="14"/>
              <w:ind w:left="126"/>
              <w:jc w:val="left"/>
              <w:rPr>
                <w:sz w:val="21"/>
              </w:rPr>
            </w:pPr>
            <w:r>
              <w:rPr>
                <w:sz w:val="21"/>
              </w:rPr>
              <w:t>双鸭山市</w:t>
            </w:r>
          </w:p>
          <w:p>
            <w:pPr>
              <w:pStyle w:val="14"/>
              <w:spacing w:before="4" w:line="270" w:lineRule="atLeast"/>
              <w:ind w:left="440" w:right="100" w:hanging="315"/>
              <w:jc w:val="left"/>
              <w:rPr>
                <w:sz w:val="21"/>
              </w:rPr>
            </w:pPr>
            <w:r>
              <w:rPr>
                <w:sz w:val="21"/>
              </w:rPr>
              <w:t>生态环境局</w:t>
            </w:r>
          </w:p>
        </w:tc>
      </w:tr>
    </w:tbl>
    <w:p>
      <w:pPr>
        <w:pStyle w:val="6"/>
        <w:spacing w:before="6" w:line="364" w:lineRule="auto"/>
        <w:ind w:left="235" w:right="238" w:firstLine="480"/>
        <w:jc w:val="both"/>
      </w:pPr>
      <w:r>
        <w:rPr>
          <w:spacing w:val="-5"/>
        </w:rPr>
        <w:t xml:space="preserve">本项目应配备环境监理工程师 </w:t>
      </w:r>
      <w:r>
        <w:rPr>
          <w:rFonts w:ascii="Times New Roman" w:hAnsi="Times New Roman" w:eastAsia="Times New Roman"/>
        </w:rPr>
        <w:t xml:space="preserve">1 </w:t>
      </w:r>
      <w:r>
        <w:rPr>
          <w:spacing w:val="-1"/>
        </w:rPr>
        <w:t>名，负责编制工程施工期的环境保护计划，监督检</w:t>
      </w:r>
      <w:r>
        <w:t>查环境影响报告书中所提出的各项环保防治措施的落实情况及</w:t>
      </w:r>
      <w:r>
        <w:rPr>
          <w:rFonts w:ascii="Times New Roman" w:hAnsi="Times New Roman" w:eastAsia="Times New Roman"/>
        </w:rPr>
        <w:t>“</w:t>
      </w:r>
      <w:r>
        <w:t>三同时</w:t>
      </w:r>
      <w:r>
        <w:rPr>
          <w:rFonts w:ascii="Times New Roman" w:hAnsi="Times New Roman" w:eastAsia="Times New Roman"/>
        </w:rPr>
        <w:t>”</w:t>
      </w:r>
      <w:r>
        <w:rPr>
          <w:spacing w:val="-2"/>
        </w:rPr>
        <w:t>的执行情况，监</w:t>
      </w:r>
      <w:r>
        <w:rPr>
          <w:spacing w:val="-1"/>
        </w:rPr>
        <w:t>督检查环境监测计划的编制、实施情况及存在的问题，制定和实施事故应急计划。认真贯彻执行国家和省内各项环境保护法规，普及环境保护知识，增加工作人员的环境保护</w:t>
      </w:r>
      <w:r>
        <w:t>意识。</w:t>
      </w:r>
    </w:p>
    <w:p>
      <w:pPr>
        <w:pStyle w:val="3"/>
        <w:numPr>
          <w:ilvl w:val="1"/>
          <w:numId w:val="79"/>
        </w:numPr>
        <w:tabs>
          <w:tab w:val="left" w:pos="836"/>
        </w:tabs>
        <w:spacing w:before="0" w:after="0" w:line="383" w:lineRule="exact"/>
        <w:ind w:left="836" w:right="0" w:hanging="601"/>
        <w:jc w:val="left"/>
        <w:rPr>
          <w:rFonts w:ascii="Times New Roman" w:eastAsia="Times New Roman"/>
        </w:rPr>
      </w:pPr>
      <w:bookmarkStart w:id="1225" w:name="13.4污染物排放清单"/>
      <w:bookmarkEnd w:id="1225"/>
      <w:bookmarkStart w:id="1226" w:name="_bookmark76"/>
      <w:bookmarkEnd w:id="1226"/>
      <w:bookmarkStart w:id="1227" w:name="_bookmark76"/>
      <w:bookmarkEnd w:id="1227"/>
      <w:r>
        <w:t>污染物排放清单</w:t>
      </w:r>
    </w:p>
    <w:p>
      <w:pPr>
        <w:pStyle w:val="6"/>
        <w:spacing w:before="199"/>
        <w:ind w:left="716"/>
      </w:pPr>
      <w:r>
        <w:t xml:space="preserve">本项目污染物排放清单见表 </w:t>
      </w:r>
      <w:r>
        <w:rPr>
          <w:rFonts w:ascii="Times New Roman" w:eastAsia="Times New Roman"/>
        </w:rPr>
        <w:t>13.4-2</w:t>
      </w:r>
      <w:r>
        <w:t>。</w:t>
      </w:r>
    </w:p>
    <w:p>
      <w:pPr>
        <w:spacing w:after="0"/>
        <w:sectPr>
          <w:pgSz w:w="11910" w:h="16840"/>
          <w:pgMar w:top="1580" w:right="1120" w:bottom="1240" w:left="1180" w:header="0" w:footer="1058" w:gutter="0"/>
        </w:sectPr>
      </w:pPr>
    </w:p>
    <w:p>
      <w:pPr>
        <w:pStyle w:val="6"/>
        <w:rPr>
          <w:sz w:val="20"/>
        </w:rPr>
      </w:pPr>
    </w:p>
    <w:p>
      <w:pPr>
        <w:pStyle w:val="6"/>
        <w:rPr>
          <w:sz w:val="20"/>
        </w:rPr>
      </w:pPr>
    </w:p>
    <w:p>
      <w:pPr>
        <w:pStyle w:val="6"/>
        <w:spacing w:before="1"/>
        <w:rPr>
          <w:sz w:val="14"/>
        </w:rPr>
      </w:pPr>
    </w:p>
    <w:p>
      <w:pPr>
        <w:pStyle w:val="5"/>
        <w:tabs>
          <w:tab w:val="left" w:pos="5959"/>
        </w:tabs>
        <w:spacing w:before="74"/>
        <w:ind w:left="4800"/>
      </w:pPr>
      <w:r>
        <w:t>表</w:t>
      </w:r>
      <w:r>
        <w:rPr>
          <w:spacing w:val="-62"/>
        </w:rPr>
        <w:t xml:space="preserve"> </w:t>
      </w:r>
      <w:r>
        <w:rPr>
          <w:rFonts w:ascii="Times New Roman" w:eastAsia="Times New Roman"/>
        </w:rPr>
        <w:t>13.4-2</w:t>
      </w:r>
      <w:r>
        <w:rPr>
          <w:rFonts w:ascii="Times New Roman" w:eastAsia="Times New Roman"/>
        </w:rPr>
        <w:tab/>
      </w:r>
      <w:r>
        <w:t>本项目污染物排放清单一览表</w:t>
      </w:r>
    </w:p>
    <w:tbl>
      <w:tblPr>
        <w:tblStyle w:val="10"/>
        <w:tblW w:w="0" w:type="auto"/>
        <w:tblInd w:w="1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5"/>
        <w:gridCol w:w="941"/>
        <w:gridCol w:w="619"/>
        <w:gridCol w:w="3788"/>
        <w:gridCol w:w="829"/>
        <w:gridCol w:w="930"/>
        <w:gridCol w:w="870"/>
        <w:gridCol w:w="948"/>
        <w:gridCol w:w="1360"/>
        <w:gridCol w:w="16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595" w:type="dxa"/>
          </w:tcPr>
          <w:p>
            <w:pPr>
              <w:pStyle w:val="14"/>
              <w:spacing w:before="1"/>
              <w:ind w:left="86"/>
              <w:jc w:val="left"/>
              <w:rPr>
                <w:sz w:val="21"/>
              </w:rPr>
            </w:pPr>
            <w:r>
              <w:rPr>
                <w:spacing w:val="-1"/>
                <w:w w:val="95"/>
                <w:sz w:val="21"/>
              </w:rPr>
              <w:t>环境</w:t>
            </w:r>
          </w:p>
          <w:p>
            <w:pPr>
              <w:pStyle w:val="14"/>
              <w:spacing w:before="2" w:line="252" w:lineRule="exact"/>
              <w:ind w:left="86"/>
              <w:jc w:val="left"/>
              <w:rPr>
                <w:sz w:val="21"/>
              </w:rPr>
            </w:pPr>
            <w:r>
              <w:rPr>
                <w:spacing w:val="-1"/>
                <w:w w:val="95"/>
                <w:sz w:val="21"/>
              </w:rPr>
              <w:t>要素</w:t>
            </w:r>
          </w:p>
        </w:tc>
        <w:tc>
          <w:tcPr>
            <w:tcW w:w="1560" w:type="dxa"/>
            <w:gridSpan w:val="2"/>
          </w:tcPr>
          <w:p>
            <w:pPr>
              <w:pStyle w:val="14"/>
              <w:spacing w:before="136"/>
              <w:ind w:left="360"/>
              <w:jc w:val="left"/>
              <w:rPr>
                <w:sz w:val="21"/>
              </w:rPr>
            </w:pPr>
            <w:r>
              <w:rPr>
                <w:sz w:val="21"/>
              </w:rPr>
              <w:t>管理项目</w:t>
            </w:r>
          </w:p>
        </w:tc>
        <w:tc>
          <w:tcPr>
            <w:tcW w:w="3788" w:type="dxa"/>
          </w:tcPr>
          <w:p>
            <w:pPr>
              <w:pStyle w:val="14"/>
              <w:spacing w:before="136"/>
              <w:ind w:left="11" w:right="7"/>
              <w:rPr>
                <w:sz w:val="21"/>
              </w:rPr>
            </w:pPr>
            <w:r>
              <w:rPr>
                <w:sz w:val="21"/>
              </w:rPr>
              <w:t>污染防治措施</w:t>
            </w:r>
          </w:p>
        </w:tc>
        <w:tc>
          <w:tcPr>
            <w:tcW w:w="1759" w:type="dxa"/>
            <w:gridSpan w:val="2"/>
          </w:tcPr>
          <w:p>
            <w:pPr>
              <w:pStyle w:val="14"/>
              <w:spacing w:before="1"/>
              <w:ind w:left="6"/>
              <w:rPr>
                <w:sz w:val="21"/>
              </w:rPr>
            </w:pPr>
            <w:r>
              <w:rPr>
                <w:sz w:val="21"/>
              </w:rPr>
              <w:t>排污口</w:t>
            </w:r>
          </w:p>
          <w:p>
            <w:pPr>
              <w:pStyle w:val="14"/>
              <w:spacing w:before="2" w:line="252" w:lineRule="exact"/>
              <w:ind w:left="6"/>
              <w:rPr>
                <w:sz w:val="21"/>
              </w:rPr>
            </w:pPr>
            <w:r>
              <w:rPr>
                <w:sz w:val="21"/>
              </w:rPr>
              <w:t>信息</w:t>
            </w:r>
          </w:p>
        </w:tc>
        <w:tc>
          <w:tcPr>
            <w:tcW w:w="870" w:type="dxa"/>
          </w:tcPr>
          <w:p>
            <w:pPr>
              <w:pStyle w:val="14"/>
              <w:spacing w:before="16"/>
              <w:ind w:left="99" w:right="91"/>
              <w:rPr>
                <w:sz w:val="21"/>
              </w:rPr>
            </w:pPr>
            <w:r>
              <w:rPr>
                <w:sz w:val="21"/>
              </w:rPr>
              <w:t>产生量</w:t>
            </w:r>
          </w:p>
          <w:p>
            <w:pPr>
              <w:pStyle w:val="14"/>
              <w:spacing w:before="1" w:line="238" w:lineRule="exact"/>
              <w:ind w:left="99" w:right="90"/>
              <w:rPr>
                <w:rFonts w:ascii="Times New Roman"/>
                <w:sz w:val="21"/>
              </w:rPr>
            </w:pPr>
            <w:r>
              <w:rPr>
                <w:rFonts w:ascii="Times New Roman"/>
                <w:sz w:val="21"/>
              </w:rPr>
              <w:t>t/a</w:t>
            </w:r>
          </w:p>
        </w:tc>
        <w:tc>
          <w:tcPr>
            <w:tcW w:w="948" w:type="dxa"/>
          </w:tcPr>
          <w:p>
            <w:pPr>
              <w:pStyle w:val="14"/>
              <w:spacing w:before="136"/>
              <w:ind w:left="9" w:right="4"/>
              <w:rPr>
                <w:rFonts w:ascii="Times New Roman" w:eastAsia="Times New Roman"/>
                <w:sz w:val="21"/>
              </w:rPr>
            </w:pPr>
            <w:r>
              <w:rPr>
                <w:spacing w:val="-15"/>
                <w:sz w:val="21"/>
              </w:rPr>
              <w:t xml:space="preserve">排放量 </w:t>
            </w:r>
            <w:r>
              <w:rPr>
                <w:rFonts w:ascii="Times New Roman" w:eastAsia="Times New Roman"/>
                <w:sz w:val="21"/>
              </w:rPr>
              <w:t>t/a</w:t>
            </w:r>
          </w:p>
        </w:tc>
        <w:tc>
          <w:tcPr>
            <w:tcW w:w="1360" w:type="dxa"/>
          </w:tcPr>
          <w:p>
            <w:pPr>
              <w:pStyle w:val="14"/>
              <w:spacing w:before="16"/>
              <w:ind w:left="238" w:right="231"/>
              <w:rPr>
                <w:sz w:val="21"/>
              </w:rPr>
            </w:pPr>
            <w:r>
              <w:rPr>
                <w:sz w:val="21"/>
              </w:rPr>
              <w:t>排放浓度</w:t>
            </w:r>
          </w:p>
          <w:p>
            <w:pPr>
              <w:pStyle w:val="14"/>
              <w:spacing w:before="1" w:line="238" w:lineRule="exact"/>
              <w:ind w:left="238" w:right="227"/>
              <w:rPr>
                <w:rFonts w:ascii="Times New Roman"/>
                <w:sz w:val="13"/>
              </w:rPr>
            </w:pPr>
            <w:r>
              <w:rPr>
                <w:rFonts w:ascii="Times New Roman"/>
                <w:sz w:val="21"/>
              </w:rPr>
              <w:t>mg/m</w:t>
            </w:r>
            <w:r>
              <w:rPr>
                <w:rFonts w:ascii="Times New Roman"/>
                <w:position w:val="7"/>
                <w:sz w:val="13"/>
              </w:rPr>
              <w:t>3</w:t>
            </w:r>
          </w:p>
        </w:tc>
        <w:tc>
          <w:tcPr>
            <w:tcW w:w="1629" w:type="dxa"/>
          </w:tcPr>
          <w:p>
            <w:pPr>
              <w:pStyle w:val="14"/>
              <w:spacing w:before="136"/>
              <w:ind w:left="8"/>
              <w:rPr>
                <w:rFonts w:ascii="Times New Roman" w:eastAsia="Times New Roman"/>
                <w:sz w:val="21"/>
              </w:rPr>
            </w:pPr>
            <w:r>
              <w:rPr>
                <w:sz w:val="21"/>
              </w:rPr>
              <w:t xml:space="preserve">总量控制指标 </w:t>
            </w:r>
            <w:r>
              <w:rPr>
                <w:rFonts w:ascii="Times New Roman" w:eastAsia="Times New Roman"/>
                <w:sz w:val="21"/>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595"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6"/>
              <w:jc w:val="left"/>
              <w:rPr>
                <w:b/>
                <w:sz w:val="14"/>
              </w:rPr>
            </w:pPr>
          </w:p>
          <w:p>
            <w:pPr>
              <w:pStyle w:val="14"/>
              <w:spacing w:line="244" w:lineRule="auto"/>
              <w:ind w:left="86" w:right="78"/>
              <w:jc w:val="left"/>
              <w:rPr>
                <w:sz w:val="21"/>
              </w:rPr>
            </w:pPr>
            <w:r>
              <w:rPr>
                <w:sz w:val="21"/>
              </w:rPr>
              <w:t>环境空气</w:t>
            </w:r>
          </w:p>
        </w:tc>
        <w:tc>
          <w:tcPr>
            <w:tcW w:w="941" w:type="dxa"/>
            <w:vMerge w:val="restart"/>
          </w:tcPr>
          <w:p>
            <w:pPr>
              <w:pStyle w:val="14"/>
              <w:jc w:val="left"/>
              <w:rPr>
                <w:b/>
                <w:sz w:val="20"/>
              </w:rPr>
            </w:pPr>
          </w:p>
          <w:p>
            <w:pPr>
              <w:pStyle w:val="14"/>
              <w:jc w:val="left"/>
              <w:rPr>
                <w:b/>
                <w:sz w:val="16"/>
              </w:rPr>
            </w:pPr>
          </w:p>
          <w:p>
            <w:pPr>
              <w:pStyle w:val="14"/>
              <w:ind w:left="153"/>
              <w:jc w:val="left"/>
              <w:rPr>
                <w:sz w:val="21"/>
              </w:rPr>
            </w:pPr>
            <w:r>
              <w:rPr>
                <w:sz w:val="21"/>
              </w:rPr>
              <w:t>热风炉</w:t>
            </w:r>
          </w:p>
        </w:tc>
        <w:tc>
          <w:tcPr>
            <w:tcW w:w="619" w:type="dxa"/>
          </w:tcPr>
          <w:p>
            <w:pPr>
              <w:pStyle w:val="14"/>
              <w:spacing w:before="111"/>
              <w:ind w:left="28"/>
              <w:jc w:val="left"/>
              <w:rPr>
                <w:sz w:val="21"/>
              </w:rPr>
            </w:pPr>
            <w:r>
              <w:rPr>
                <w:sz w:val="21"/>
              </w:rPr>
              <w:t>烟尘</w:t>
            </w:r>
          </w:p>
        </w:tc>
        <w:tc>
          <w:tcPr>
            <w:tcW w:w="3788" w:type="dxa"/>
            <w:vMerge w:val="restart"/>
          </w:tcPr>
          <w:p>
            <w:pPr>
              <w:pStyle w:val="14"/>
              <w:jc w:val="left"/>
              <w:rPr>
                <w:b/>
                <w:sz w:val="20"/>
              </w:rPr>
            </w:pPr>
          </w:p>
          <w:p>
            <w:pPr>
              <w:pStyle w:val="14"/>
              <w:jc w:val="left"/>
              <w:rPr>
                <w:b/>
                <w:sz w:val="16"/>
              </w:rPr>
            </w:pPr>
          </w:p>
          <w:p>
            <w:pPr>
              <w:pStyle w:val="14"/>
              <w:ind w:left="14" w:right="7"/>
              <w:rPr>
                <w:sz w:val="21"/>
              </w:rPr>
            </w:pPr>
            <w:r>
              <w:rPr>
                <w:sz w:val="21"/>
              </w:rPr>
              <w:t>布袋除尘器</w:t>
            </w:r>
          </w:p>
        </w:tc>
        <w:tc>
          <w:tcPr>
            <w:tcW w:w="1759" w:type="dxa"/>
            <w:gridSpan w:val="2"/>
            <w:vMerge w:val="restart"/>
          </w:tcPr>
          <w:p>
            <w:pPr>
              <w:pStyle w:val="14"/>
              <w:spacing w:before="4"/>
              <w:jc w:val="left"/>
              <w:rPr>
                <w:b/>
                <w:sz w:val="25"/>
              </w:rPr>
            </w:pPr>
          </w:p>
          <w:p>
            <w:pPr>
              <w:pStyle w:val="14"/>
              <w:spacing w:line="242" w:lineRule="auto"/>
              <w:ind w:left="325" w:right="26" w:hanging="288"/>
              <w:jc w:val="left"/>
              <w:rPr>
                <w:rFonts w:ascii="Times New Roman" w:eastAsia="Times New Roman"/>
                <w:sz w:val="21"/>
              </w:rPr>
            </w:pPr>
            <w:r>
              <w:rPr>
                <w:spacing w:val="-15"/>
                <w:sz w:val="21"/>
              </w:rPr>
              <w:t xml:space="preserve">烟囱高 </w:t>
            </w:r>
            <w:r>
              <w:rPr>
                <w:rFonts w:ascii="Times New Roman" w:eastAsia="Times New Roman"/>
                <w:sz w:val="21"/>
              </w:rPr>
              <w:t>35m</w:t>
            </w:r>
            <w:r>
              <w:rPr>
                <w:spacing w:val="-5"/>
                <w:sz w:val="21"/>
              </w:rPr>
              <w:t>，出口</w:t>
            </w:r>
            <w:r>
              <w:rPr>
                <w:spacing w:val="-14"/>
                <w:sz w:val="21"/>
              </w:rPr>
              <w:t xml:space="preserve">直径为 </w:t>
            </w:r>
            <w:r>
              <w:rPr>
                <w:rFonts w:ascii="Times New Roman" w:eastAsia="Times New Roman"/>
                <w:sz w:val="21"/>
              </w:rPr>
              <w:t>0.8m</w:t>
            </w:r>
          </w:p>
        </w:tc>
        <w:tc>
          <w:tcPr>
            <w:tcW w:w="870" w:type="dxa"/>
          </w:tcPr>
          <w:p>
            <w:pPr>
              <w:pStyle w:val="14"/>
              <w:spacing w:before="125"/>
              <w:ind w:left="97" w:right="91"/>
              <w:rPr>
                <w:rFonts w:ascii="Times New Roman"/>
                <w:sz w:val="21"/>
              </w:rPr>
            </w:pPr>
            <w:r>
              <w:rPr>
                <w:rFonts w:ascii="Times New Roman"/>
                <w:sz w:val="21"/>
              </w:rPr>
              <w:t>201</w:t>
            </w:r>
          </w:p>
        </w:tc>
        <w:tc>
          <w:tcPr>
            <w:tcW w:w="948" w:type="dxa"/>
          </w:tcPr>
          <w:p>
            <w:pPr>
              <w:pStyle w:val="14"/>
              <w:spacing w:before="125"/>
              <w:ind w:left="9" w:right="1"/>
              <w:rPr>
                <w:rFonts w:ascii="Times New Roman"/>
                <w:sz w:val="21"/>
              </w:rPr>
            </w:pPr>
            <w:r>
              <w:rPr>
                <w:rFonts w:ascii="Times New Roman"/>
                <w:sz w:val="21"/>
              </w:rPr>
              <w:t>0.20</w:t>
            </w:r>
          </w:p>
        </w:tc>
        <w:tc>
          <w:tcPr>
            <w:tcW w:w="1360" w:type="dxa"/>
          </w:tcPr>
          <w:p>
            <w:pPr>
              <w:pStyle w:val="14"/>
              <w:spacing w:before="125"/>
              <w:ind w:left="238" w:right="227"/>
              <w:rPr>
                <w:rFonts w:ascii="Times New Roman"/>
                <w:sz w:val="21"/>
              </w:rPr>
            </w:pPr>
            <w:r>
              <w:rPr>
                <w:rFonts w:ascii="Times New Roman"/>
                <w:sz w:val="21"/>
              </w:rPr>
              <w:t>14.23</w:t>
            </w:r>
          </w:p>
        </w:tc>
        <w:tc>
          <w:tcPr>
            <w:tcW w:w="1629" w:type="dxa"/>
          </w:tcPr>
          <w:p>
            <w:pPr>
              <w:pStyle w:val="14"/>
              <w:spacing w:before="125"/>
              <w:ind w:left="10"/>
              <w:rPr>
                <w:rFonts w:ascii="Times New Roman"/>
                <w:sz w:val="21"/>
              </w:rPr>
            </w:pPr>
            <w:r>
              <w:rPr>
                <w:rFonts w:ascii="Times New Roman"/>
                <w:sz w:val="21"/>
              </w:rPr>
              <w:t>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5" w:type="dxa"/>
            <w:vMerge w:val="continue"/>
            <w:tcBorders>
              <w:top w:val="nil"/>
            </w:tcBorders>
          </w:tcPr>
          <w:p>
            <w:pPr>
              <w:rPr>
                <w:sz w:val="2"/>
                <w:szCs w:val="2"/>
              </w:rPr>
            </w:pPr>
          </w:p>
        </w:tc>
        <w:tc>
          <w:tcPr>
            <w:tcW w:w="941" w:type="dxa"/>
            <w:vMerge w:val="continue"/>
            <w:tcBorders>
              <w:top w:val="nil"/>
            </w:tcBorders>
          </w:tcPr>
          <w:p>
            <w:pPr>
              <w:rPr>
                <w:sz w:val="2"/>
                <w:szCs w:val="2"/>
              </w:rPr>
            </w:pPr>
          </w:p>
        </w:tc>
        <w:tc>
          <w:tcPr>
            <w:tcW w:w="619" w:type="dxa"/>
          </w:tcPr>
          <w:p>
            <w:pPr>
              <w:pStyle w:val="14"/>
              <w:spacing w:before="44"/>
              <w:ind w:left="28"/>
              <w:jc w:val="left"/>
              <w:rPr>
                <w:rFonts w:ascii="Times New Roman"/>
                <w:sz w:val="21"/>
              </w:rPr>
            </w:pPr>
            <w:r>
              <w:rPr>
                <w:rFonts w:ascii="Times New Roman"/>
                <w:position w:val="2"/>
                <w:sz w:val="21"/>
              </w:rPr>
              <w:t>SO</w:t>
            </w:r>
            <w:r>
              <w:rPr>
                <w:rFonts w:ascii="Times New Roman"/>
                <w:position w:val="2"/>
                <w:sz w:val="21"/>
                <w:vertAlign w:val="subscript"/>
              </w:rPr>
              <w:t>2</w:t>
            </w:r>
          </w:p>
        </w:tc>
        <w:tc>
          <w:tcPr>
            <w:tcW w:w="3788" w:type="dxa"/>
            <w:vMerge w:val="continue"/>
            <w:tcBorders>
              <w:top w:val="nil"/>
            </w:tcBorders>
          </w:tcPr>
          <w:p>
            <w:pPr>
              <w:rPr>
                <w:sz w:val="2"/>
                <w:szCs w:val="2"/>
              </w:rPr>
            </w:pPr>
          </w:p>
        </w:tc>
        <w:tc>
          <w:tcPr>
            <w:tcW w:w="1759" w:type="dxa"/>
            <w:gridSpan w:val="2"/>
            <w:vMerge w:val="continue"/>
            <w:tcBorders>
              <w:top w:val="nil"/>
            </w:tcBorders>
          </w:tcPr>
          <w:p>
            <w:pPr>
              <w:rPr>
                <w:sz w:val="2"/>
                <w:szCs w:val="2"/>
              </w:rPr>
            </w:pPr>
          </w:p>
        </w:tc>
        <w:tc>
          <w:tcPr>
            <w:tcW w:w="870" w:type="dxa"/>
          </w:tcPr>
          <w:p>
            <w:pPr>
              <w:pStyle w:val="14"/>
              <w:spacing w:before="47"/>
              <w:ind w:left="99" w:right="88"/>
              <w:rPr>
                <w:rFonts w:ascii="Times New Roman"/>
                <w:sz w:val="21"/>
              </w:rPr>
            </w:pPr>
            <w:r>
              <w:rPr>
                <w:rFonts w:ascii="Times New Roman"/>
                <w:sz w:val="21"/>
              </w:rPr>
              <w:t>0.32</w:t>
            </w:r>
          </w:p>
        </w:tc>
        <w:tc>
          <w:tcPr>
            <w:tcW w:w="948" w:type="dxa"/>
          </w:tcPr>
          <w:p>
            <w:pPr>
              <w:pStyle w:val="14"/>
              <w:spacing w:before="47"/>
              <w:ind w:left="9" w:right="1"/>
              <w:rPr>
                <w:rFonts w:ascii="Times New Roman"/>
                <w:sz w:val="21"/>
              </w:rPr>
            </w:pPr>
            <w:r>
              <w:rPr>
                <w:rFonts w:ascii="Times New Roman"/>
                <w:sz w:val="21"/>
              </w:rPr>
              <w:t>0.32</w:t>
            </w:r>
          </w:p>
        </w:tc>
        <w:tc>
          <w:tcPr>
            <w:tcW w:w="1360" w:type="dxa"/>
          </w:tcPr>
          <w:p>
            <w:pPr>
              <w:pStyle w:val="14"/>
              <w:spacing w:before="47"/>
              <w:ind w:left="238" w:right="227"/>
              <w:rPr>
                <w:rFonts w:ascii="Times New Roman"/>
                <w:sz w:val="21"/>
              </w:rPr>
            </w:pPr>
            <w:r>
              <w:rPr>
                <w:rFonts w:ascii="Times New Roman"/>
                <w:sz w:val="21"/>
              </w:rPr>
              <w:t>22.65</w:t>
            </w:r>
          </w:p>
        </w:tc>
        <w:tc>
          <w:tcPr>
            <w:tcW w:w="1629" w:type="dxa"/>
          </w:tcPr>
          <w:p>
            <w:pPr>
              <w:pStyle w:val="14"/>
              <w:spacing w:before="47"/>
              <w:ind w:left="10"/>
              <w:rPr>
                <w:rFonts w:ascii="Times New Roman"/>
                <w:sz w:val="21"/>
              </w:rPr>
            </w:pPr>
            <w:r>
              <w:rPr>
                <w:rFonts w:ascii="Times New Roman"/>
                <w:sz w:val="21"/>
              </w:rPr>
              <w:t>0.32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5" w:type="dxa"/>
            <w:vMerge w:val="continue"/>
            <w:tcBorders>
              <w:top w:val="nil"/>
            </w:tcBorders>
          </w:tcPr>
          <w:p>
            <w:pPr>
              <w:rPr>
                <w:sz w:val="2"/>
                <w:szCs w:val="2"/>
              </w:rPr>
            </w:pPr>
          </w:p>
        </w:tc>
        <w:tc>
          <w:tcPr>
            <w:tcW w:w="941" w:type="dxa"/>
            <w:vMerge w:val="continue"/>
            <w:tcBorders>
              <w:top w:val="nil"/>
            </w:tcBorders>
          </w:tcPr>
          <w:p>
            <w:pPr>
              <w:rPr>
                <w:sz w:val="2"/>
                <w:szCs w:val="2"/>
              </w:rPr>
            </w:pPr>
          </w:p>
        </w:tc>
        <w:tc>
          <w:tcPr>
            <w:tcW w:w="619" w:type="dxa"/>
          </w:tcPr>
          <w:p>
            <w:pPr>
              <w:pStyle w:val="14"/>
              <w:spacing w:before="48"/>
              <w:ind w:left="28"/>
              <w:jc w:val="left"/>
              <w:rPr>
                <w:rFonts w:ascii="Times New Roman"/>
                <w:sz w:val="21"/>
              </w:rPr>
            </w:pPr>
            <w:r>
              <w:rPr>
                <w:rFonts w:ascii="Times New Roman"/>
                <w:sz w:val="21"/>
              </w:rPr>
              <w:t>NOx</w:t>
            </w:r>
          </w:p>
        </w:tc>
        <w:tc>
          <w:tcPr>
            <w:tcW w:w="3788" w:type="dxa"/>
            <w:vMerge w:val="continue"/>
            <w:tcBorders>
              <w:top w:val="nil"/>
            </w:tcBorders>
          </w:tcPr>
          <w:p>
            <w:pPr>
              <w:rPr>
                <w:sz w:val="2"/>
                <w:szCs w:val="2"/>
              </w:rPr>
            </w:pPr>
          </w:p>
        </w:tc>
        <w:tc>
          <w:tcPr>
            <w:tcW w:w="1759" w:type="dxa"/>
            <w:gridSpan w:val="2"/>
            <w:vMerge w:val="continue"/>
            <w:tcBorders>
              <w:top w:val="nil"/>
            </w:tcBorders>
          </w:tcPr>
          <w:p>
            <w:pPr>
              <w:rPr>
                <w:sz w:val="2"/>
                <w:szCs w:val="2"/>
              </w:rPr>
            </w:pPr>
          </w:p>
        </w:tc>
        <w:tc>
          <w:tcPr>
            <w:tcW w:w="870" w:type="dxa"/>
          </w:tcPr>
          <w:p>
            <w:pPr>
              <w:pStyle w:val="14"/>
              <w:spacing w:before="48"/>
              <w:ind w:left="97" w:right="91"/>
              <w:rPr>
                <w:rFonts w:ascii="Times New Roman"/>
                <w:sz w:val="21"/>
              </w:rPr>
            </w:pPr>
            <w:r>
              <w:rPr>
                <w:rFonts w:ascii="Times New Roman"/>
                <w:sz w:val="21"/>
              </w:rPr>
              <w:t>200</w:t>
            </w:r>
          </w:p>
        </w:tc>
        <w:tc>
          <w:tcPr>
            <w:tcW w:w="948" w:type="dxa"/>
          </w:tcPr>
          <w:p>
            <w:pPr>
              <w:pStyle w:val="14"/>
              <w:spacing w:before="48"/>
              <w:ind w:left="9" w:right="1"/>
              <w:rPr>
                <w:rFonts w:ascii="Times New Roman"/>
                <w:sz w:val="21"/>
              </w:rPr>
            </w:pPr>
            <w:r>
              <w:rPr>
                <w:rFonts w:ascii="Times New Roman"/>
                <w:sz w:val="21"/>
              </w:rPr>
              <w:t>2.83</w:t>
            </w:r>
          </w:p>
        </w:tc>
        <w:tc>
          <w:tcPr>
            <w:tcW w:w="1360" w:type="dxa"/>
          </w:tcPr>
          <w:p>
            <w:pPr>
              <w:pStyle w:val="14"/>
              <w:spacing w:before="48"/>
              <w:ind w:left="238" w:right="230"/>
              <w:rPr>
                <w:rFonts w:ascii="Times New Roman"/>
                <w:sz w:val="21"/>
              </w:rPr>
            </w:pPr>
            <w:r>
              <w:rPr>
                <w:rFonts w:ascii="Times New Roman"/>
                <w:sz w:val="21"/>
              </w:rPr>
              <w:t>200</w:t>
            </w:r>
          </w:p>
        </w:tc>
        <w:tc>
          <w:tcPr>
            <w:tcW w:w="1629" w:type="dxa"/>
          </w:tcPr>
          <w:p>
            <w:pPr>
              <w:pStyle w:val="14"/>
              <w:spacing w:before="48"/>
              <w:ind w:left="10"/>
              <w:rPr>
                <w:rFonts w:ascii="Times New Roman"/>
                <w:sz w:val="21"/>
              </w:rPr>
            </w:pPr>
            <w:r>
              <w:rPr>
                <w:rFonts w:ascii="Times New Roman"/>
                <w:sz w:val="21"/>
              </w:rPr>
              <w:t>2.83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5" w:type="dxa"/>
            <w:vMerge w:val="continue"/>
            <w:tcBorders>
              <w:top w:val="nil"/>
            </w:tcBorders>
          </w:tcPr>
          <w:p>
            <w:pPr>
              <w:rPr>
                <w:sz w:val="2"/>
                <w:szCs w:val="2"/>
              </w:rPr>
            </w:pPr>
          </w:p>
        </w:tc>
        <w:tc>
          <w:tcPr>
            <w:tcW w:w="941" w:type="dxa"/>
            <w:vMerge w:val="restart"/>
          </w:tcPr>
          <w:p>
            <w:pPr>
              <w:pStyle w:val="14"/>
              <w:spacing w:before="10"/>
              <w:jc w:val="left"/>
              <w:rPr>
                <w:b/>
                <w:sz w:val="29"/>
              </w:rPr>
            </w:pPr>
          </w:p>
          <w:p>
            <w:pPr>
              <w:pStyle w:val="14"/>
              <w:spacing w:before="1"/>
              <w:ind w:left="259"/>
              <w:jc w:val="left"/>
              <w:rPr>
                <w:sz w:val="21"/>
              </w:rPr>
            </w:pPr>
            <w:r>
              <w:rPr>
                <w:sz w:val="21"/>
              </w:rPr>
              <w:t>锅炉</w:t>
            </w:r>
          </w:p>
        </w:tc>
        <w:tc>
          <w:tcPr>
            <w:tcW w:w="619" w:type="dxa"/>
          </w:tcPr>
          <w:p>
            <w:pPr>
              <w:pStyle w:val="14"/>
              <w:spacing w:before="32"/>
              <w:ind w:left="28"/>
              <w:jc w:val="left"/>
              <w:rPr>
                <w:sz w:val="21"/>
              </w:rPr>
            </w:pPr>
            <w:r>
              <w:rPr>
                <w:sz w:val="21"/>
              </w:rPr>
              <w:t>烟尘</w:t>
            </w:r>
          </w:p>
        </w:tc>
        <w:tc>
          <w:tcPr>
            <w:tcW w:w="3788" w:type="dxa"/>
            <w:vMerge w:val="restart"/>
          </w:tcPr>
          <w:p>
            <w:pPr>
              <w:pStyle w:val="14"/>
              <w:spacing w:before="10"/>
              <w:jc w:val="left"/>
              <w:rPr>
                <w:b/>
                <w:sz w:val="29"/>
              </w:rPr>
            </w:pPr>
          </w:p>
          <w:p>
            <w:pPr>
              <w:pStyle w:val="14"/>
              <w:spacing w:before="1"/>
              <w:ind w:left="14" w:right="7"/>
              <w:rPr>
                <w:sz w:val="21"/>
              </w:rPr>
            </w:pPr>
            <w:r>
              <w:rPr>
                <w:sz w:val="21"/>
              </w:rPr>
              <w:t>布袋除尘器</w:t>
            </w:r>
          </w:p>
        </w:tc>
        <w:tc>
          <w:tcPr>
            <w:tcW w:w="1759" w:type="dxa"/>
            <w:gridSpan w:val="2"/>
            <w:vMerge w:val="restart"/>
          </w:tcPr>
          <w:p>
            <w:pPr>
              <w:pStyle w:val="14"/>
              <w:spacing w:before="4"/>
              <w:jc w:val="left"/>
              <w:rPr>
                <w:b/>
                <w:sz w:val="19"/>
              </w:rPr>
            </w:pPr>
          </w:p>
          <w:p>
            <w:pPr>
              <w:pStyle w:val="14"/>
              <w:spacing w:line="242" w:lineRule="auto"/>
              <w:ind w:left="325" w:right="26" w:hanging="288"/>
              <w:jc w:val="left"/>
              <w:rPr>
                <w:rFonts w:ascii="Times New Roman" w:eastAsia="Times New Roman"/>
                <w:sz w:val="21"/>
              </w:rPr>
            </w:pPr>
            <w:r>
              <w:rPr>
                <w:spacing w:val="-15"/>
                <w:sz w:val="21"/>
              </w:rPr>
              <w:t xml:space="preserve">烟囱高 </w:t>
            </w:r>
            <w:r>
              <w:rPr>
                <w:rFonts w:ascii="Times New Roman" w:eastAsia="Times New Roman"/>
                <w:sz w:val="21"/>
              </w:rPr>
              <w:t>35m</w:t>
            </w:r>
            <w:r>
              <w:rPr>
                <w:spacing w:val="-5"/>
                <w:sz w:val="21"/>
              </w:rPr>
              <w:t>，出口</w:t>
            </w:r>
            <w:r>
              <w:rPr>
                <w:spacing w:val="-14"/>
                <w:sz w:val="21"/>
              </w:rPr>
              <w:t xml:space="preserve">直径为 </w:t>
            </w:r>
            <w:r>
              <w:rPr>
                <w:rFonts w:ascii="Times New Roman" w:eastAsia="Times New Roman"/>
                <w:sz w:val="21"/>
              </w:rPr>
              <w:t>0.8m</w:t>
            </w:r>
          </w:p>
        </w:tc>
        <w:tc>
          <w:tcPr>
            <w:tcW w:w="870" w:type="dxa"/>
          </w:tcPr>
          <w:p>
            <w:pPr>
              <w:pStyle w:val="14"/>
              <w:spacing w:before="48"/>
              <w:ind w:left="97" w:right="91"/>
              <w:rPr>
                <w:rFonts w:ascii="Times New Roman"/>
                <w:sz w:val="21"/>
              </w:rPr>
            </w:pPr>
            <w:r>
              <w:rPr>
                <w:rFonts w:ascii="Times New Roman"/>
                <w:sz w:val="21"/>
              </w:rPr>
              <w:t>108</w:t>
            </w:r>
          </w:p>
        </w:tc>
        <w:tc>
          <w:tcPr>
            <w:tcW w:w="948" w:type="dxa"/>
          </w:tcPr>
          <w:p>
            <w:pPr>
              <w:pStyle w:val="14"/>
              <w:spacing w:before="48"/>
              <w:ind w:left="16" w:right="4"/>
              <w:rPr>
                <w:rFonts w:ascii="Times New Roman"/>
                <w:sz w:val="21"/>
              </w:rPr>
            </w:pPr>
            <w:r>
              <w:rPr>
                <w:rFonts w:ascii="Times New Roman"/>
                <w:sz w:val="21"/>
              </w:rPr>
              <w:t>0.11</w:t>
            </w:r>
          </w:p>
        </w:tc>
        <w:tc>
          <w:tcPr>
            <w:tcW w:w="1360" w:type="dxa"/>
          </w:tcPr>
          <w:p>
            <w:pPr>
              <w:pStyle w:val="14"/>
              <w:spacing w:before="48"/>
              <w:ind w:left="238" w:right="227"/>
              <w:rPr>
                <w:rFonts w:ascii="Times New Roman"/>
                <w:sz w:val="21"/>
              </w:rPr>
            </w:pPr>
            <w:r>
              <w:rPr>
                <w:rFonts w:ascii="Times New Roman"/>
                <w:sz w:val="21"/>
              </w:rPr>
              <w:t>13.93</w:t>
            </w:r>
          </w:p>
        </w:tc>
        <w:tc>
          <w:tcPr>
            <w:tcW w:w="1629" w:type="dxa"/>
          </w:tcPr>
          <w:p>
            <w:pPr>
              <w:pStyle w:val="14"/>
              <w:spacing w:before="48"/>
              <w:ind w:left="12"/>
              <w:rPr>
                <w:rFonts w:ascii="Times New Roman"/>
                <w:sz w:val="21"/>
              </w:rPr>
            </w:pPr>
            <w:r>
              <w:rPr>
                <w:rFonts w:ascii="Times New Roman"/>
                <w:sz w:val="21"/>
              </w:rPr>
              <w:t>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5" w:type="dxa"/>
            <w:vMerge w:val="continue"/>
            <w:tcBorders>
              <w:top w:val="nil"/>
            </w:tcBorders>
          </w:tcPr>
          <w:p>
            <w:pPr>
              <w:rPr>
                <w:sz w:val="2"/>
                <w:szCs w:val="2"/>
              </w:rPr>
            </w:pPr>
          </w:p>
        </w:tc>
        <w:tc>
          <w:tcPr>
            <w:tcW w:w="941" w:type="dxa"/>
            <w:vMerge w:val="continue"/>
            <w:tcBorders>
              <w:top w:val="nil"/>
            </w:tcBorders>
          </w:tcPr>
          <w:p>
            <w:pPr>
              <w:rPr>
                <w:sz w:val="2"/>
                <w:szCs w:val="2"/>
              </w:rPr>
            </w:pPr>
          </w:p>
        </w:tc>
        <w:tc>
          <w:tcPr>
            <w:tcW w:w="619" w:type="dxa"/>
          </w:tcPr>
          <w:p>
            <w:pPr>
              <w:pStyle w:val="14"/>
              <w:spacing w:before="45"/>
              <w:ind w:left="28"/>
              <w:jc w:val="left"/>
              <w:rPr>
                <w:rFonts w:ascii="Times New Roman"/>
                <w:sz w:val="21"/>
              </w:rPr>
            </w:pPr>
            <w:r>
              <w:rPr>
                <w:rFonts w:ascii="Times New Roman"/>
                <w:position w:val="2"/>
                <w:sz w:val="21"/>
              </w:rPr>
              <w:t>SO</w:t>
            </w:r>
            <w:r>
              <w:rPr>
                <w:rFonts w:ascii="Times New Roman"/>
                <w:position w:val="2"/>
                <w:sz w:val="21"/>
                <w:vertAlign w:val="subscript"/>
              </w:rPr>
              <w:t>2</w:t>
            </w:r>
          </w:p>
        </w:tc>
        <w:tc>
          <w:tcPr>
            <w:tcW w:w="3788" w:type="dxa"/>
            <w:vMerge w:val="continue"/>
            <w:tcBorders>
              <w:top w:val="nil"/>
            </w:tcBorders>
          </w:tcPr>
          <w:p>
            <w:pPr>
              <w:rPr>
                <w:sz w:val="2"/>
                <w:szCs w:val="2"/>
              </w:rPr>
            </w:pPr>
          </w:p>
        </w:tc>
        <w:tc>
          <w:tcPr>
            <w:tcW w:w="1759" w:type="dxa"/>
            <w:gridSpan w:val="2"/>
            <w:vMerge w:val="continue"/>
            <w:tcBorders>
              <w:top w:val="nil"/>
            </w:tcBorders>
          </w:tcPr>
          <w:p>
            <w:pPr>
              <w:rPr>
                <w:sz w:val="2"/>
                <w:szCs w:val="2"/>
              </w:rPr>
            </w:pPr>
          </w:p>
        </w:tc>
        <w:tc>
          <w:tcPr>
            <w:tcW w:w="870" w:type="dxa"/>
          </w:tcPr>
          <w:p>
            <w:pPr>
              <w:pStyle w:val="14"/>
              <w:spacing w:before="48"/>
              <w:ind w:left="99" w:right="88"/>
              <w:rPr>
                <w:rFonts w:ascii="Times New Roman"/>
                <w:sz w:val="21"/>
              </w:rPr>
            </w:pPr>
            <w:r>
              <w:rPr>
                <w:rFonts w:ascii="Times New Roman"/>
                <w:sz w:val="21"/>
              </w:rPr>
              <w:t>0.176</w:t>
            </w:r>
          </w:p>
        </w:tc>
        <w:tc>
          <w:tcPr>
            <w:tcW w:w="948" w:type="dxa"/>
          </w:tcPr>
          <w:p>
            <w:pPr>
              <w:pStyle w:val="14"/>
              <w:spacing w:before="48"/>
              <w:ind w:left="14" w:right="4"/>
              <w:rPr>
                <w:rFonts w:ascii="Times New Roman"/>
                <w:sz w:val="21"/>
              </w:rPr>
            </w:pPr>
            <w:r>
              <w:rPr>
                <w:rFonts w:ascii="Times New Roman"/>
                <w:sz w:val="21"/>
              </w:rPr>
              <w:t>0.176</w:t>
            </w:r>
          </w:p>
        </w:tc>
        <w:tc>
          <w:tcPr>
            <w:tcW w:w="1360" w:type="dxa"/>
          </w:tcPr>
          <w:p>
            <w:pPr>
              <w:pStyle w:val="14"/>
              <w:spacing w:before="48"/>
              <w:ind w:left="238" w:right="227"/>
              <w:rPr>
                <w:rFonts w:ascii="Times New Roman"/>
                <w:sz w:val="21"/>
              </w:rPr>
            </w:pPr>
            <w:r>
              <w:rPr>
                <w:rFonts w:ascii="Times New Roman"/>
                <w:sz w:val="21"/>
              </w:rPr>
              <w:t>23.21</w:t>
            </w:r>
          </w:p>
        </w:tc>
        <w:tc>
          <w:tcPr>
            <w:tcW w:w="1629" w:type="dxa"/>
          </w:tcPr>
          <w:p>
            <w:pPr>
              <w:pStyle w:val="14"/>
              <w:spacing w:before="48"/>
              <w:ind w:left="10"/>
              <w:rPr>
                <w:rFonts w:ascii="Times New Roman"/>
                <w:sz w:val="21"/>
              </w:rPr>
            </w:pPr>
            <w:r>
              <w:rPr>
                <w:rFonts w:ascii="Times New Roman"/>
                <w:sz w:val="21"/>
              </w:rPr>
              <w:t>0.176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5" w:type="dxa"/>
            <w:vMerge w:val="continue"/>
            <w:tcBorders>
              <w:top w:val="nil"/>
            </w:tcBorders>
          </w:tcPr>
          <w:p>
            <w:pPr>
              <w:rPr>
                <w:sz w:val="2"/>
                <w:szCs w:val="2"/>
              </w:rPr>
            </w:pPr>
          </w:p>
        </w:tc>
        <w:tc>
          <w:tcPr>
            <w:tcW w:w="941" w:type="dxa"/>
            <w:vMerge w:val="continue"/>
            <w:tcBorders>
              <w:top w:val="nil"/>
            </w:tcBorders>
          </w:tcPr>
          <w:p>
            <w:pPr>
              <w:rPr>
                <w:sz w:val="2"/>
                <w:szCs w:val="2"/>
              </w:rPr>
            </w:pPr>
          </w:p>
        </w:tc>
        <w:tc>
          <w:tcPr>
            <w:tcW w:w="619" w:type="dxa"/>
          </w:tcPr>
          <w:p>
            <w:pPr>
              <w:pStyle w:val="14"/>
              <w:spacing w:before="49"/>
              <w:ind w:left="28"/>
              <w:jc w:val="left"/>
              <w:rPr>
                <w:rFonts w:ascii="Times New Roman"/>
                <w:sz w:val="21"/>
              </w:rPr>
            </w:pPr>
            <w:r>
              <w:rPr>
                <w:rFonts w:ascii="Times New Roman"/>
                <w:sz w:val="21"/>
              </w:rPr>
              <w:t>NOx</w:t>
            </w:r>
          </w:p>
        </w:tc>
        <w:tc>
          <w:tcPr>
            <w:tcW w:w="3788" w:type="dxa"/>
            <w:vMerge w:val="continue"/>
            <w:tcBorders>
              <w:top w:val="nil"/>
            </w:tcBorders>
          </w:tcPr>
          <w:p>
            <w:pPr>
              <w:rPr>
                <w:sz w:val="2"/>
                <w:szCs w:val="2"/>
              </w:rPr>
            </w:pPr>
          </w:p>
        </w:tc>
        <w:tc>
          <w:tcPr>
            <w:tcW w:w="1759" w:type="dxa"/>
            <w:gridSpan w:val="2"/>
            <w:vMerge w:val="continue"/>
            <w:tcBorders>
              <w:top w:val="nil"/>
            </w:tcBorders>
          </w:tcPr>
          <w:p>
            <w:pPr>
              <w:rPr>
                <w:sz w:val="2"/>
                <w:szCs w:val="2"/>
              </w:rPr>
            </w:pPr>
          </w:p>
        </w:tc>
        <w:tc>
          <w:tcPr>
            <w:tcW w:w="870" w:type="dxa"/>
          </w:tcPr>
          <w:p>
            <w:pPr>
              <w:pStyle w:val="14"/>
              <w:spacing w:before="49"/>
              <w:ind w:left="99" w:right="88"/>
              <w:rPr>
                <w:rFonts w:ascii="Times New Roman"/>
                <w:sz w:val="21"/>
              </w:rPr>
            </w:pPr>
            <w:r>
              <w:rPr>
                <w:rFonts w:ascii="Times New Roman"/>
                <w:sz w:val="21"/>
              </w:rPr>
              <w:t>1.52</w:t>
            </w:r>
          </w:p>
        </w:tc>
        <w:tc>
          <w:tcPr>
            <w:tcW w:w="948" w:type="dxa"/>
          </w:tcPr>
          <w:p>
            <w:pPr>
              <w:pStyle w:val="14"/>
              <w:spacing w:before="49"/>
              <w:ind w:left="9" w:right="1"/>
              <w:rPr>
                <w:rFonts w:ascii="Times New Roman"/>
                <w:sz w:val="21"/>
              </w:rPr>
            </w:pPr>
            <w:r>
              <w:rPr>
                <w:rFonts w:ascii="Times New Roman"/>
                <w:sz w:val="21"/>
              </w:rPr>
              <w:t>1.52</w:t>
            </w:r>
          </w:p>
        </w:tc>
        <w:tc>
          <w:tcPr>
            <w:tcW w:w="1360" w:type="dxa"/>
          </w:tcPr>
          <w:p>
            <w:pPr>
              <w:pStyle w:val="14"/>
              <w:spacing w:before="49"/>
              <w:ind w:left="238" w:right="230"/>
              <w:rPr>
                <w:rFonts w:ascii="Times New Roman"/>
                <w:sz w:val="21"/>
              </w:rPr>
            </w:pPr>
            <w:r>
              <w:rPr>
                <w:rFonts w:ascii="Times New Roman"/>
                <w:sz w:val="21"/>
              </w:rPr>
              <w:t>200</w:t>
            </w:r>
          </w:p>
        </w:tc>
        <w:tc>
          <w:tcPr>
            <w:tcW w:w="1629" w:type="dxa"/>
          </w:tcPr>
          <w:p>
            <w:pPr>
              <w:pStyle w:val="14"/>
              <w:spacing w:before="49"/>
              <w:ind w:left="10"/>
              <w:rPr>
                <w:rFonts w:ascii="Times New Roman"/>
                <w:sz w:val="21"/>
              </w:rPr>
            </w:pPr>
            <w:r>
              <w:rPr>
                <w:rFonts w:ascii="Times New Roman"/>
                <w:sz w:val="21"/>
              </w:rPr>
              <w:t>1.52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595" w:type="dxa"/>
            <w:vMerge w:val="continue"/>
            <w:tcBorders>
              <w:top w:val="nil"/>
            </w:tcBorders>
          </w:tcPr>
          <w:p>
            <w:pPr>
              <w:rPr>
                <w:sz w:val="2"/>
                <w:szCs w:val="2"/>
              </w:rPr>
            </w:pPr>
          </w:p>
        </w:tc>
        <w:tc>
          <w:tcPr>
            <w:tcW w:w="941" w:type="dxa"/>
          </w:tcPr>
          <w:p>
            <w:pPr>
              <w:pStyle w:val="14"/>
              <w:spacing w:before="134"/>
              <w:ind w:left="27" w:right="22"/>
              <w:rPr>
                <w:sz w:val="21"/>
              </w:rPr>
            </w:pPr>
            <w:r>
              <w:rPr>
                <w:sz w:val="21"/>
              </w:rPr>
              <w:t>食堂</w:t>
            </w:r>
          </w:p>
        </w:tc>
        <w:tc>
          <w:tcPr>
            <w:tcW w:w="619" w:type="dxa"/>
          </w:tcPr>
          <w:p>
            <w:pPr>
              <w:pStyle w:val="14"/>
              <w:spacing w:line="269" w:lineRule="exact"/>
              <w:ind w:left="98"/>
              <w:jc w:val="left"/>
              <w:rPr>
                <w:sz w:val="21"/>
              </w:rPr>
            </w:pPr>
            <w:r>
              <w:rPr>
                <w:spacing w:val="-1"/>
                <w:w w:val="95"/>
                <w:sz w:val="21"/>
              </w:rPr>
              <w:t>油烟</w:t>
            </w:r>
          </w:p>
          <w:p>
            <w:pPr>
              <w:pStyle w:val="14"/>
              <w:spacing w:before="4" w:line="252" w:lineRule="exact"/>
              <w:ind w:left="98"/>
              <w:jc w:val="left"/>
              <w:rPr>
                <w:sz w:val="21"/>
              </w:rPr>
            </w:pPr>
            <w:r>
              <w:rPr>
                <w:spacing w:val="-1"/>
                <w:w w:val="95"/>
                <w:sz w:val="21"/>
              </w:rPr>
              <w:t>废气</w:t>
            </w:r>
          </w:p>
        </w:tc>
        <w:tc>
          <w:tcPr>
            <w:tcW w:w="3788" w:type="dxa"/>
          </w:tcPr>
          <w:p>
            <w:pPr>
              <w:pStyle w:val="14"/>
              <w:spacing w:line="269" w:lineRule="exact"/>
              <w:ind w:left="16" w:right="7"/>
              <w:rPr>
                <w:sz w:val="21"/>
              </w:rPr>
            </w:pPr>
            <w:r>
              <w:rPr>
                <w:spacing w:val="-8"/>
                <w:sz w:val="21"/>
              </w:rPr>
              <w:t xml:space="preserve">安装效率不低于 </w:t>
            </w:r>
            <w:r>
              <w:rPr>
                <w:rFonts w:ascii="Times New Roman" w:eastAsia="Times New Roman"/>
                <w:sz w:val="21"/>
              </w:rPr>
              <w:t>85%</w:t>
            </w:r>
            <w:r>
              <w:rPr>
                <w:spacing w:val="-8"/>
                <w:sz w:val="21"/>
              </w:rPr>
              <w:t>的油烟净化装置，油</w:t>
            </w:r>
          </w:p>
          <w:p>
            <w:pPr>
              <w:pStyle w:val="14"/>
              <w:spacing w:before="4" w:line="252" w:lineRule="exact"/>
              <w:ind w:left="14" w:right="7"/>
              <w:rPr>
                <w:sz w:val="21"/>
              </w:rPr>
            </w:pPr>
            <w:r>
              <w:rPr>
                <w:sz w:val="21"/>
              </w:rPr>
              <w:t>烟经专用烟道引至屋顶排放</w:t>
            </w:r>
          </w:p>
        </w:tc>
        <w:tc>
          <w:tcPr>
            <w:tcW w:w="1759" w:type="dxa"/>
            <w:gridSpan w:val="2"/>
          </w:tcPr>
          <w:p>
            <w:pPr>
              <w:pStyle w:val="14"/>
              <w:spacing w:line="269" w:lineRule="exact"/>
              <w:ind w:left="6"/>
              <w:rPr>
                <w:sz w:val="21"/>
              </w:rPr>
            </w:pPr>
            <w:r>
              <w:rPr>
                <w:sz w:val="21"/>
              </w:rPr>
              <w:t>屋顶排</w:t>
            </w:r>
          </w:p>
          <w:p>
            <w:pPr>
              <w:pStyle w:val="14"/>
              <w:spacing w:before="4" w:line="252" w:lineRule="exact"/>
              <w:ind w:left="6"/>
              <w:rPr>
                <w:sz w:val="21"/>
              </w:rPr>
            </w:pPr>
            <w:r>
              <w:rPr>
                <w:sz w:val="21"/>
              </w:rPr>
              <w:t>气筒</w:t>
            </w:r>
          </w:p>
        </w:tc>
        <w:tc>
          <w:tcPr>
            <w:tcW w:w="870" w:type="dxa"/>
          </w:tcPr>
          <w:p>
            <w:pPr>
              <w:pStyle w:val="14"/>
              <w:spacing w:before="150"/>
              <w:ind w:left="99" w:right="88"/>
              <w:rPr>
                <w:rFonts w:ascii="Times New Roman"/>
                <w:sz w:val="21"/>
              </w:rPr>
            </w:pPr>
            <w:r>
              <w:rPr>
                <w:rFonts w:ascii="Times New Roman"/>
                <w:sz w:val="21"/>
              </w:rPr>
              <w:t>0.185</w:t>
            </w:r>
          </w:p>
        </w:tc>
        <w:tc>
          <w:tcPr>
            <w:tcW w:w="948" w:type="dxa"/>
          </w:tcPr>
          <w:p>
            <w:pPr>
              <w:pStyle w:val="14"/>
              <w:spacing w:before="150"/>
              <w:ind w:left="9" w:right="4"/>
              <w:rPr>
                <w:rFonts w:ascii="Times New Roman"/>
                <w:sz w:val="21"/>
              </w:rPr>
            </w:pPr>
            <w:r>
              <w:rPr>
                <w:rFonts w:ascii="Times New Roman"/>
                <w:sz w:val="21"/>
              </w:rPr>
              <w:t>27.67kg/a</w:t>
            </w:r>
          </w:p>
        </w:tc>
        <w:tc>
          <w:tcPr>
            <w:tcW w:w="1360" w:type="dxa"/>
          </w:tcPr>
          <w:p>
            <w:pPr>
              <w:pStyle w:val="14"/>
              <w:spacing w:before="150"/>
              <w:ind w:left="238" w:right="230"/>
              <w:rPr>
                <w:rFonts w:ascii="Times New Roman"/>
                <w:sz w:val="21"/>
              </w:rPr>
            </w:pPr>
            <w:r>
              <w:rPr>
                <w:rFonts w:ascii="Times New Roman"/>
                <w:sz w:val="21"/>
              </w:rPr>
              <w:t>1.31</w:t>
            </w:r>
          </w:p>
        </w:tc>
        <w:tc>
          <w:tcPr>
            <w:tcW w:w="1629" w:type="dxa"/>
          </w:tcPr>
          <w:p>
            <w:pPr>
              <w:pStyle w:val="14"/>
              <w:spacing w:before="150"/>
              <w:ind w:left="7"/>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595" w:type="dxa"/>
            <w:vMerge w:val="continue"/>
            <w:tcBorders>
              <w:top w:val="nil"/>
            </w:tcBorders>
          </w:tcPr>
          <w:p>
            <w:pPr>
              <w:rPr>
                <w:sz w:val="2"/>
                <w:szCs w:val="2"/>
              </w:rPr>
            </w:pPr>
          </w:p>
        </w:tc>
        <w:tc>
          <w:tcPr>
            <w:tcW w:w="941" w:type="dxa"/>
          </w:tcPr>
          <w:p>
            <w:pPr>
              <w:pStyle w:val="14"/>
              <w:spacing w:line="268" w:lineRule="exact"/>
              <w:ind w:left="29" w:right="22"/>
              <w:rPr>
                <w:sz w:val="21"/>
              </w:rPr>
            </w:pPr>
            <w:r>
              <w:rPr>
                <w:sz w:val="21"/>
              </w:rPr>
              <w:t>原煤转载</w:t>
            </w:r>
          </w:p>
          <w:p>
            <w:pPr>
              <w:pStyle w:val="14"/>
              <w:spacing w:before="4" w:line="251" w:lineRule="exact"/>
              <w:ind w:left="27" w:right="22"/>
              <w:rPr>
                <w:sz w:val="21"/>
              </w:rPr>
            </w:pPr>
            <w:r>
              <w:rPr>
                <w:sz w:val="21"/>
              </w:rPr>
              <w:t>储运</w:t>
            </w:r>
          </w:p>
        </w:tc>
        <w:tc>
          <w:tcPr>
            <w:tcW w:w="619" w:type="dxa"/>
          </w:tcPr>
          <w:p>
            <w:pPr>
              <w:pStyle w:val="14"/>
              <w:spacing w:line="268" w:lineRule="exact"/>
              <w:ind w:left="77" w:right="72"/>
              <w:rPr>
                <w:sz w:val="21"/>
              </w:rPr>
            </w:pPr>
            <w:r>
              <w:rPr>
                <w:sz w:val="21"/>
              </w:rPr>
              <w:t>颗粒</w:t>
            </w:r>
          </w:p>
          <w:p>
            <w:pPr>
              <w:pStyle w:val="14"/>
              <w:spacing w:before="4" w:line="251" w:lineRule="exact"/>
              <w:ind w:left="7"/>
              <w:rPr>
                <w:sz w:val="21"/>
              </w:rPr>
            </w:pPr>
            <w:r>
              <w:rPr>
                <w:w w:val="99"/>
                <w:sz w:val="21"/>
              </w:rPr>
              <w:t>物</w:t>
            </w:r>
          </w:p>
        </w:tc>
        <w:tc>
          <w:tcPr>
            <w:tcW w:w="3788" w:type="dxa"/>
          </w:tcPr>
          <w:p>
            <w:pPr>
              <w:pStyle w:val="14"/>
              <w:spacing w:line="268" w:lineRule="exact"/>
              <w:ind w:left="11" w:right="7"/>
              <w:rPr>
                <w:sz w:val="21"/>
              </w:rPr>
            </w:pPr>
            <w:r>
              <w:rPr>
                <w:spacing w:val="-5"/>
                <w:sz w:val="21"/>
              </w:rPr>
              <w:t>转载点设置喷雾洒水装置；煤炭场内输送</w:t>
            </w:r>
          </w:p>
          <w:p>
            <w:pPr>
              <w:pStyle w:val="14"/>
              <w:spacing w:before="4" w:line="251" w:lineRule="exact"/>
              <w:ind w:left="11" w:right="7"/>
              <w:rPr>
                <w:sz w:val="21"/>
              </w:rPr>
            </w:pPr>
            <w:r>
              <w:rPr>
                <w:sz w:val="21"/>
              </w:rPr>
              <w:t>采用全封闭式输送栈桥</w:t>
            </w:r>
          </w:p>
        </w:tc>
        <w:tc>
          <w:tcPr>
            <w:tcW w:w="6566" w:type="dxa"/>
            <w:gridSpan w:val="6"/>
          </w:tcPr>
          <w:p>
            <w:pPr>
              <w:pStyle w:val="14"/>
              <w:spacing w:before="135"/>
              <w:ind w:left="2736" w:right="2730"/>
              <w:rPr>
                <w:sz w:val="21"/>
              </w:rPr>
            </w:pPr>
            <w:r>
              <w:rPr>
                <w:sz w:val="21"/>
              </w:rPr>
              <w:t>无组织扬尘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595" w:type="dxa"/>
            <w:vMerge w:val="continue"/>
            <w:tcBorders>
              <w:top w:val="nil"/>
            </w:tcBorders>
          </w:tcPr>
          <w:p>
            <w:pPr>
              <w:rPr>
                <w:sz w:val="2"/>
                <w:szCs w:val="2"/>
              </w:rPr>
            </w:pPr>
          </w:p>
        </w:tc>
        <w:tc>
          <w:tcPr>
            <w:tcW w:w="941" w:type="dxa"/>
          </w:tcPr>
          <w:p>
            <w:pPr>
              <w:pStyle w:val="14"/>
              <w:spacing w:before="136"/>
              <w:ind w:left="27" w:right="22"/>
              <w:rPr>
                <w:sz w:val="21"/>
              </w:rPr>
            </w:pPr>
            <w:r>
              <w:rPr>
                <w:sz w:val="21"/>
              </w:rPr>
              <w:t>储煤仓</w:t>
            </w:r>
          </w:p>
        </w:tc>
        <w:tc>
          <w:tcPr>
            <w:tcW w:w="619" w:type="dxa"/>
          </w:tcPr>
          <w:p>
            <w:pPr>
              <w:pStyle w:val="14"/>
              <w:spacing w:before="1"/>
              <w:ind w:left="77" w:right="72"/>
              <w:rPr>
                <w:sz w:val="21"/>
              </w:rPr>
            </w:pPr>
            <w:r>
              <w:rPr>
                <w:sz w:val="21"/>
              </w:rPr>
              <w:t>颗粒</w:t>
            </w:r>
          </w:p>
          <w:p>
            <w:pPr>
              <w:pStyle w:val="14"/>
              <w:spacing w:before="3" w:line="252" w:lineRule="exact"/>
              <w:ind w:left="7"/>
              <w:rPr>
                <w:sz w:val="21"/>
              </w:rPr>
            </w:pPr>
            <w:r>
              <w:rPr>
                <w:w w:val="99"/>
                <w:sz w:val="21"/>
              </w:rPr>
              <w:t>物</w:t>
            </w:r>
          </w:p>
        </w:tc>
        <w:tc>
          <w:tcPr>
            <w:tcW w:w="3788" w:type="dxa"/>
          </w:tcPr>
          <w:p>
            <w:pPr>
              <w:pStyle w:val="14"/>
              <w:spacing w:before="136"/>
              <w:ind w:left="11" w:right="7"/>
              <w:rPr>
                <w:sz w:val="21"/>
              </w:rPr>
            </w:pPr>
            <w:r>
              <w:rPr>
                <w:sz w:val="21"/>
              </w:rPr>
              <w:t>采用全封闭式</w:t>
            </w:r>
          </w:p>
        </w:tc>
        <w:tc>
          <w:tcPr>
            <w:tcW w:w="6566" w:type="dxa"/>
            <w:gridSpan w:val="6"/>
          </w:tcPr>
          <w:p>
            <w:pPr>
              <w:pStyle w:val="14"/>
              <w:spacing w:before="136"/>
              <w:ind w:left="2736" w:right="2730"/>
              <w:rPr>
                <w:sz w:val="21"/>
              </w:rPr>
            </w:pPr>
            <w:r>
              <w:rPr>
                <w:sz w:val="21"/>
              </w:rPr>
              <w:t>无组织扬尘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595" w:type="dxa"/>
            <w:vMerge w:val="continue"/>
            <w:tcBorders>
              <w:top w:val="nil"/>
            </w:tcBorders>
          </w:tcPr>
          <w:p>
            <w:pPr>
              <w:rPr>
                <w:sz w:val="2"/>
                <w:szCs w:val="2"/>
              </w:rPr>
            </w:pPr>
          </w:p>
        </w:tc>
        <w:tc>
          <w:tcPr>
            <w:tcW w:w="941" w:type="dxa"/>
          </w:tcPr>
          <w:p>
            <w:pPr>
              <w:pStyle w:val="14"/>
              <w:spacing w:before="1"/>
              <w:ind w:left="50"/>
              <w:jc w:val="left"/>
              <w:rPr>
                <w:sz w:val="21"/>
              </w:rPr>
            </w:pPr>
            <w:r>
              <w:rPr>
                <w:w w:val="95"/>
                <w:sz w:val="21"/>
              </w:rPr>
              <w:t>矸石临时</w:t>
            </w:r>
          </w:p>
          <w:p>
            <w:pPr>
              <w:pStyle w:val="14"/>
              <w:spacing w:before="2" w:line="253" w:lineRule="exact"/>
              <w:ind w:left="50"/>
              <w:jc w:val="left"/>
              <w:rPr>
                <w:sz w:val="21"/>
              </w:rPr>
            </w:pPr>
            <w:r>
              <w:rPr>
                <w:w w:val="95"/>
                <w:sz w:val="21"/>
              </w:rPr>
              <w:t>堆放场地</w:t>
            </w:r>
          </w:p>
        </w:tc>
        <w:tc>
          <w:tcPr>
            <w:tcW w:w="619" w:type="dxa"/>
          </w:tcPr>
          <w:p>
            <w:pPr>
              <w:pStyle w:val="14"/>
              <w:spacing w:before="1"/>
              <w:ind w:left="77" w:right="72"/>
              <w:rPr>
                <w:sz w:val="21"/>
              </w:rPr>
            </w:pPr>
            <w:r>
              <w:rPr>
                <w:sz w:val="21"/>
              </w:rPr>
              <w:t>颗粒</w:t>
            </w:r>
          </w:p>
          <w:p>
            <w:pPr>
              <w:pStyle w:val="14"/>
              <w:spacing w:before="2" w:line="253" w:lineRule="exact"/>
              <w:ind w:left="7"/>
              <w:rPr>
                <w:sz w:val="21"/>
              </w:rPr>
            </w:pPr>
            <w:r>
              <w:rPr>
                <w:w w:val="99"/>
                <w:sz w:val="21"/>
              </w:rPr>
              <w:t>物</w:t>
            </w:r>
          </w:p>
        </w:tc>
        <w:tc>
          <w:tcPr>
            <w:tcW w:w="3788" w:type="dxa"/>
          </w:tcPr>
          <w:p>
            <w:pPr>
              <w:pStyle w:val="14"/>
              <w:spacing w:before="135"/>
              <w:ind w:left="14" w:right="7"/>
              <w:rPr>
                <w:sz w:val="21"/>
              </w:rPr>
            </w:pPr>
            <w:r>
              <w:rPr>
                <w:sz w:val="21"/>
              </w:rPr>
              <w:t>安装洒水降尘设施</w:t>
            </w:r>
          </w:p>
        </w:tc>
        <w:tc>
          <w:tcPr>
            <w:tcW w:w="1759" w:type="dxa"/>
            <w:gridSpan w:val="2"/>
          </w:tcPr>
          <w:p>
            <w:pPr>
              <w:pStyle w:val="14"/>
              <w:spacing w:before="152"/>
              <w:ind w:left="7"/>
              <w:rPr>
                <w:rFonts w:ascii="Times New Roman"/>
                <w:sz w:val="21"/>
              </w:rPr>
            </w:pPr>
            <w:r>
              <w:rPr>
                <w:rFonts w:ascii="Times New Roman"/>
                <w:w w:val="99"/>
                <w:sz w:val="21"/>
              </w:rPr>
              <w:t>/</w:t>
            </w:r>
          </w:p>
        </w:tc>
        <w:tc>
          <w:tcPr>
            <w:tcW w:w="870" w:type="dxa"/>
          </w:tcPr>
          <w:p>
            <w:pPr>
              <w:pStyle w:val="14"/>
              <w:spacing w:before="152"/>
              <w:ind w:left="99" w:right="88"/>
              <w:rPr>
                <w:rFonts w:ascii="Times New Roman"/>
                <w:sz w:val="21"/>
              </w:rPr>
            </w:pPr>
            <w:r>
              <w:rPr>
                <w:rFonts w:ascii="Times New Roman"/>
                <w:sz w:val="21"/>
              </w:rPr>
              <w:t>4.05</w:t>
            </w:r>
          </w:p>
        </w:tc>
        <w:tc>
          <w:tcPr>
            <w:tcW w:w="948" w:type="dxa"/>
          </w:tcPr>
          <w:p>
            <w:pPr>
              <w:pStyle w:val="14"/>
              <w:spacing w:before="152"/>
              <w:ind w:left="14" w:right="4"/>
              <w:rPr>
                <w:rFonts w:ascii="Times New Roman"/>
                <w:sz w:val="21"/>
              </w:rPr>
            </w:pPr>
            <w:r>
              <w:rPr>
                <w:rFonts w:ascii="Times New Roman"/>
                <w:sz w:val="21"/>
              </w:rPr>
              <w:t>0.405</w:t>
            </w:r>
          </w:p>
        </w:tc>
        <w:tc>
          <w:tcPr>
            <w:tcW w:w="1360" w:type="dxa"/>
          </w:tcPr>
          <w:p>
            <w:pPr>
              <w:pStyle w:val="14"/>
              <w:spacing w:before="152"/>
              <w:ind w:left="10"/>
              <w:rPr>
                <w:rFonts w:ascii="Times New Roman"/>
                <w:sz w:val="21"/>
              </w:rPr>
            </w:pPr>
            <w:r>
              <w:rPr>
                <w:rFonts w:ascii="Times New Roman"/>
                <w:w w:val="99"/>
                <w:sz w:val="21"/>
              </w:rPr>
              <w:t>/</w:t>
            </w:r>
          </w:p>
        </w:tc>
        <w:tc>
          <w:tcPr>
            <w:tcW w:w="1629" w:type="dxa"/>
          </w:tcPr>
          <w:p>
            <w:pPr>
              <w:pStyle w:val="14"/>
              <w:spacing w:before="152"/>
              <w:ind w:left="10"/>
              <w:rPr>
                <w:rFonts w:ascii="Times New Roman"/>
                <w:sz w:val="21"/>
              </w:rPr>
            </w:pPr>
            <w:r>
              <w:rPr>
                <w:rFonts w:ascii="Times New Roman"/>
                <w:sz w:val="21"/>
              </w:rPr>
              <w:t>0.405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595" w:type="dxa"/>
            <w:vMerge w:val="continue"/>
            <w:tcBorders>
              <w:top w:val="nil"/>
            </w:tcBorders>
          </w:tcPr>
          <w:p>
            <w:pPr>
              <w:rPr>
                <w:sz w:val="2"/>
                <w:szCs w:val="2"/>
              </w:rPr>
            </w:pPr>
          </w:p>
        </w:tc>
        <w:tc>
          <w:tcPr>
            <w:tcW w:w="941" w:type="dxa"/>
          </w:tcPr>
          <w:p>
            <w:pPr>
              <w:pStyle w:val="14"/>
              <w:spacing w:before="135"/>
              <w:ind w:left="29" w:right="22"/>
              <w:rPr>
                <w:sz w:val="21"/>
              </w:rPr>
            </w:pPr>
            <w:r>
              <w:rPr>
                <w:sz w:val="21"/>
              </w:rPr>
              <w:t>筛分车间</w:t>
            </w:r>
          </w:p>
        </w:tc>
        <w:tc>
          <w:tcPr>
            <w:tcW w:w="619" w:type="dxa"/>
          </w:tcPr>
          <w:p>
            <w:pPr>
              <w:pStyle w:val="14"/>
              <w:ind w:left="77" w:right="72"/>
              <w:rPr>
                <w:sz w:val="21"/>
              </w:rPr>
            </w:pPr>
            <w:r>
              <w:rPr>
                <w:sz w:val="21"/>
              </w:rPr>
              <w:t>颗粒</w:t>
            </w:r>
          </w:p>
          <w:p>
            <w:pPr>
              <w:pStyle w:val="14"/>
              <w:spacing w:before="2" w:line="252" w:lineRule="exact"/>
              <w:ind w:left="7"/>
              <w:rPr>
                <w:sz w:val="21"/>
              </w:rPr>
            </w:pPr>
            <w:r>
              <w:rPr>
                <w:w w:val="99"/>
                <w:sz w:val="21"/>
              </w:rPr>
              <w:t>物</w:t>
            </w:r>
          </w:p>
        </w:tc>
        <w:tc>
          <w:tcPr>
            <w:tcW w:w="3788" w:type="dxa"/>
          </w:tcPr>
          <w:p>
            <w:pPr>
              <w:pStyle w:val="14"/>
              <w:spacing w:before="135"/>
              <w:ind w:left="14" w:right="7"/>
              <w:rPr>
                <w:sz w:val="21"/>
              </w:rPr>
            </w:pPr>
            <w:r>
              <w:rPr>
                <w:sz w:val="21"/>
              </w:rPr>
              <w:t>布袋除尘器</w:t>
            </w:r>
          </w:p>
        </w:tc>
        <w:tc>
          <w:tcPr>
            <w:tcW w:w="1759" w:type="dxa"/>
            <w:gridSpan w:val="2"/>
          </w:tcPr>
          <w:p>
            <w:pPr>
              <w:pStyle w:val="14"/>
              <w:ind w:left="9"/>
              <w:rPr>
                <w:sz w:val="21"/>
              </w:rPr>
            </w:pPr>
            <w:r>
              <w:rPr>
                <w:sz w:val="21"/>
              </w:rPr>
              <w:t xml:space="preserve">烟囱高 </w:t>
            </w:r>
            <w:r>
              <w:rPr>
                <w:rFonts w:ascii="Times New Roman" w:eastAsia="Times New Roman"/>
                <w:sz w:val="21"/>
              </w:rPr>
              <w:t>15m</w:t>
            </w:r>
            <w:r>
              <w:rPr>
                <w:sz w:val="21"/>
              </w:rPr>
              <w:t>，出口</w:t>
            </w:r>
          </w:p>
          <w:p>
            <w:pPr>
              <w:pStyle w:val="14"/>
              <w:spacing w:before="5" w:line="250" w:lineRule="exact"/>
              <w:ind w:left="10"/>
              <w:rPr>
                <w:rFonts w:ascii="Times New Roman" w:eastAsia="Times New Roman"/>
                <w:sz w:val="21"/>
              </w:rPr>
            </w:pPr>
            <w:r>
              <w:rPr>
                <w:sz w:val="21"/>
              </w:rPr>
              <w:t xml:space="preserve">直径为 </w:t>
            </w:r>
            <w:r>
              <w:rPr>
                <w:rFonts w:ascii="Times New Roman" w:eastAsia="Times New Roman"/>
                <w:sz w:val="21"/>
              </w:rPr>
              <w:t>0.3m</w:t>
            </w:r>
          </w:p>
        </w:tc>
        <w:tc>
          <w:tcPr>
            <w:tcW w:w="870" w:type="dxa"/>
          </w:tcPr>
          <w:p>
            <w:pPr>
              <w:pStyle w:val="14"/>
              <w:spacing w:before="149"/>
              <w:ind w:left="99" w:right="88"/>
              <w:rPr>
                <w:rFonts w:ascii="Times New Roman"/>
                <w:sz w:val="21"/>
              </w:rPr>
            </w:pPr>
            <w:r>
              <w:rPr>
                <w:rFonts w:ascii="Times New Roman"/>
                <w:sz w:val="21"/>
              </w:rPr>
              <w:t>30</w:t>
            </w:r>
          </w:p>
        </w:tc>
        <w:tc>
          <w:tcPr>
            <w:tcW w:w="948" w:type="dxa"/>
          </w:tcPr>
          <w:p>
            <w:pPr>
              <w:pStyle w:val="14"/>
              <w:spacing w:before="149"/>
              <w:ind w:left="9" w:right="1"/>
              <w:rPr>
                <w:rFonts w:ascii="Times New Roman"/>
                <w:sz w:val="21"/>
              </w:rPr>
            </w:pPr>
            <w:r>
              <w:rPr>
                <w:rFonts w:ascii="Times New Roman"/>
                <w:sz w:val="21"/>
              </w:rPr>
              <w:t>0.3</w:t>
            </w:r>
          </w:p>
        </w:tc>
        <w:tc>
          <w:tcPr>
            <w:tcW w:w="1360" w:type="dxa"/>
          </w:tcPr>
          <w:p>
            <w:pPr>
              <w:pStyle w:val="14"/>
              <w:spacing w:before="149"/>
              <w:ind w:left="238" w:right="227"/>
              <w:rPr>
                <w:rFonts w:ascii="Times New Roman"/>
                <w:sz w:val="21"/>
              </w:rPr>
            </w:pPr>
            <w:r>
              <w:rPr>
                <w:rFonts w:ascii="Times New Roman"/>
                <w:sz w:val="21"/>
              </w:rPr>
              <w:t>0.051</w:t>
            </w:r>
          </w:p>
        </w:tc>
        <w:tc>
          <w:tcPr>
            <w:tcW w:w="1629" w:type="dxa"/>
          </w:tcPr>
          <w:p>
            <w:pPr>
              <w:pStyle w:val="14"/>
              <w:spacing w:before="149"/>
              <w:ind w:left="10"/>
              <w:rPr>
                <w:rFonts w:ascii="Times New Roman"/>
                <w:sz w:val="21"/>
              </w:rPr>
            </w:pPr>
            <w:r>
              <w:rPr>
                <w:rFonts w:ascii="Times New Roman"/>
                <w:sz w:val="21"/>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 w:hRule="atLeast"/>
        </w:trPr>
        <w:tc>
          <w:tcPr>
            <w:tcW w:w="595" w:type="dxa"/>
          </w:tcPr>
          <w:p>
            <w:pPr>
              <w:pStyle w:val="14"/>
              <w:spacing w:before="1" w:line="242" w:lineRule="auto"/>
              <w:ind w:left="86" w:right="78"/>
              <w:rPr>
                <w:sz w:val="21"/>
              </w:rPr>
            </w:pPr>
            <w:r>
              <w:rPr>
                <w:sz w:val="21"/>
              </w:rPr>
              <w:t>地表水环</w:t>
            </w:r>
          </w:p>
          <w:p>
            <w:pPr>
              <w:pStyle w:val="14"/>
              <w:spacing w:before="1" w:line="251" w:lineRule="exact"/>
              <w:ind w:left="7"/>
              <w:rPr>
                <w:sz w:val="21"/>
              </w:rPr>
            </w:pPr>
            <w:r>
              <w:rPr>
                <w:w w:val="99"/>
                <w:sz w:val="21"/>
              </w:rPr>
              <w:t>境</w:t>
            </w:r>
          </w:p>
        </w:tc>
        <w:tc>
          <w:tcPr>
            <w:tcW w:w="1560" w:type="dxa"/>
            <w:gridSpan w:val="2"/>
          </w:tcPr>
          <w:p>
            <w:pPr>
              <w:pStyle w:val="14"/>
              <w:spacing w:before="138" w:line="242" w:lineRule="auto"/>
              <w:ind w:left="674" w:right="35" w:hanging="629"/>
              <w:jc w:val="left"/>
              <w:rPr>
                <w:sz w:val="21"/>
              </w:rPr>
            </w:pPr>
            <w:r>
              <w:rPr>
                <w:sz w:val="21"/>
              </w:rPr>
              <w:t>矿井水、生活污水</w:t>
            </w:r>
          </w:p>
        </w:tc>
        <w:tc>
          <w:tcPr>
            <w:tcW w:w="3788" w:type="dxa"/>
          </w:tcPr>
          <w:p>
            <w:pPr>
              <w:pStyle w:val="14"/>
              <w:spacing w:before="1" w:line="242" w:lineRule="auto"/>
              <w:ind w:left="26" w:right="19" w:firstLine="2"/>
              <w:rPr>
                <w:sz w:val="21"/>
              </w:rPr>
            </w:pPr>
            <w:r>
              <w:rPr>
                <w:sz w:val="21"/>
              </w:rPr>
              <w:t>矿井水经场内自建矿井水污水处理站处</w:t>
            </w:r>
            <w:r>
              <w:rPr>
                <w:w w:val="95"/>
                <w:sz w:val="21"/>
              </w:rPr>
              <w:t>理，生活污水经场内自建生活污水处理站</w:t>
            </w:r>
          </w:p>
          <w:p>
            <w:pPr>
              <w:pStyle w:val="14"/>
              <w:spacing w:before="1" w:line="251" w:lineRule="exact"/>
              <w:ind w:left="16" w:right="7"/>
              <w:rPr>
                <w:sz w:val="21"/>
              </w:rPr>
            </w:pPr>
            <w:r>
              <w:rPr>
                <w:sz w:val="21"/>
              </w:rPr>
              <w:t>处理。</w:t>
            </w:r>
          </w:p>
        </w:tc>
        <w:tc>
          <w:tcPr>
            <w:tcW w:w="829" w:type="dxa"/>
          </w:tcPr>
          <w:p>
            <w:pPr>
              <w:pStyle w:val="14"/>
              <w:spacing w:before="3"/>
              <w:jc w:val="left"/>
              <w:rPr>
                <w:b/>
                <w:sz w:val="21"/>
              </w:rPr>
            </w:pPr>
          </w:p>
          <w:p>
            <w:pPr>
              <w:pStyle w:val="14"/>
              <w:ind w:left="97"/>
              <w:jc w:val="left"/>
              <w:rPr>
                <w:sz w:val="21"/>
              </w:rPr>
            </w:pPr>
            <w:r>
              <w:rPr>
                <w:sz w:val="21"/>
              </w:rPr>
              <w:t>排水口</w:t>
            </w:r>
          </w:p>
        </w:tc>
        <w:tc>
          <w:tcPr>
            <w:tcW w:w="930" w:type="dxa"/>
          </w:tcPr>
          <w:p>
            <w:pPr>
              <w:pStyle w:val="14"/>
              <w:spacing w:before="4"/>
              <w:jc w:val="left"/>
              <w:rPr>
                <w:b/>
                <w:sz w:val="22"/>
              </w:rPr>
            </w:pPr>
          </w:p>
          <w:p>
            <w:pPr>
              <w:pStyle w:val="14"/>
              <w:ind w:left="243"/>
              <w:jc w:val="left"/>
              <w:rPr>
                <w:rFonts w:ascii="Times New Roman"/>
                <w:sz w:val="21"/>
              </w:rPr>
            </w:pPr>
            <w:r>
              <w:rPr>
                <w:rFonts w:ascii="Times New Roman"/>
                <w:sz w:val="21"/>
              </w:rPr>
              <w:t>COD</w:t>
            </w:r>
          </w:p>
        </w:tc>
        <w:tc>
          <w:tcPr>
            <w:tcW w:w="870" w:type="dxa"/>
          </w:tcPr>
          <w:p>
            <w:pPr>
              <w:pStyle w:val="14"/>
              <w:spacing w:before="4"/>
              <w:jc w:val="left"/>
              <w:rPr>
                <w:b/>
                <w:sz w:val="22"/>
              </w:rPr>
            </w:pPr>
          </w:p>
          <w:p>
            <w:pPr>
              <w:pStyle w:val="14"/>
              <w:ind w:left="99" w:right="88"/>
              <w:rPr>
                <w:rFonts w:ascii="Times New Roman"/>
                <w:sz w:val="21"/>
              </w:rPr>
            </w:pPr>
            <w:r>
              <w:rPr>
                <w:rFonts w:ascii="Times New Roman"/>
                <w:sz w:val="21"/>
              </w:rPr>
              <w:t>90.29</w:t>
            </w:r>
          </w:p>
        </w:tc>
        <w:tc>
          <w:tcPr>
            <w:tcW w:w="948" w:type="dxa"/>
          </w:tcPr>
          <w:p>
            <w:pPr>
              <w:pStyle w:val="14"/>
              <w:spacing w:before="8"/>
              <w:jc w:val="left"/>
              <w:rPr>
                <w:b/>
                <w:sz w:val="17"/>
              </w:rPr>
            </w:pPr>
          </w:p>
          <w:p>
            <w:pPr>
              <w:pStyle w:val="14"/>
              <w:ind w:left="9" w:right="1"/>
              <w:rPr>
                <w:rFonts w:ascii="Times New Roman"/>
                <w:sz w:val="21"/>
              </w:rPr>
            </w:pPr>
            <w:r>
              <w:rPr>
                <w:rFonts w:ascii="Times New Roman"/>
                <w:sz w:val="21"/>
              </w:rPr>
              <w:t>7.13</w:t>
            </w:r>
          </w:p>
        </w:tc>
        <w:tc>
          <w:tcPr>
            <w:tcW w:w="1360" w:type="dxa"/>
          </w:tcPr>
          <w:p>
            <w:pPr>
              <w:pStyle w:val="14"/>
              <w:spacing w:before="4"/>
              <w:jc w:val="left"/>
              <w:rPr>
                <w:b/>
                <w:sz w:val="22"/>
              </w:rPr>
            </w:pPr>
          </w:p>
          <w:p>
            <w:pPr>
              <w:pStyle w:val="14"/>
              <w:ind w:left="238" w:right="230"/>
              <w:rPr>
                <w:rFonts w:ascii="Times New Roman"/>
                <w:sz w:val="21"/>
              </w:rPr>
            </w:pPr>
            <w:r>
              <w:rPr>
                <w:rFonts w:ascii="Times New Roman"/>
                <w:sz w:val="21"/>
              </w:rPr>
              <w:t>15</w:t>
            </w:r>
          </w:p>
        </w:tc>
        <w:tc>
          <w:tcPr>
            <w:tcW w:w="1629" w:type="dxa"/>
          </w:tcPr>
          <w:p>
            <w:pPr>
              <w:pStyle w:val="14"/>
              <w:spacing w:before="8"/>
              <w:jc w:val="left"/>
              <w:rPr>
                <w:b/>
                <w:sz w:val="17"/>
              </w:rPr>
            </w:pPr>
          </w:p>
          <w:p>
            <w:pPr>
              <w:pStyle w:val="14"/>
              <w:ind w:left="10"/>
              <w:rPr>
                <w:rFonts w:ascii="Times New Roman"/>
                <w:sz w:val="21"/>
              </w:rPr>
            </w:pPr>
            <w:r>
              <w:rPr>
                <w:rFonts w:ascii="Times New Roman"/>
                <w:sz w:val="21"/>
              </w:rPr>
              <w:t>7.13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595" w:type="dxa"/>
          </w:tcPr>
          <w:p>
            <w:pPr>
              <w:pStyle w:val="14"/>
              <w:spacing w:before="1" w:line="270" w:lineRule="atLeast"/>
              <w:ind w:left="191" w:right="78" w:hanging="106"/>
              <w:jc w:val="left"/>
              <w:rPr>
                <w:sz w:val="21"/>
              </w:rPr>
            </w:pPr>
            <w:r>
              <w:rPr>
                <w:sz w:val="21"/>
              </w:rPr>
              <w:t>声环境</w:t>
            </w:r>
          </w:p>
        </w:tc>
        <w:tc>
          <w:tcPr>
            <w:tcW w:w="1560" w:type="dxa"/>
            <w:gridSpan w:val="2"/>
          </w:tcPr>
          <w:p>
            <w:pPr>
              <w:pStyle w:val="14"/>
              <w:spacing w:before="136"/>
              <w:ind w:left="360"/>
              <w:jc w:val="left"/>
              <w:rPr>
                <w:sz w:val="21"/>
              </w:rPr>
            </w:pPr>
            <w:r>
              <w:rPr>
                <w:sz w:val="21"/>
              </w:rPr>
              <w:t>厂界噪声</w:t>
            </w:r>
          </w:p>
        </w:tc>
        <w:tc>
          <w:tcPr>
            <w:tcW w:w="3788" w:type="dxa"/>
          </w:tcPr>
          <w:p>
            <w:pPr>
              <w:pStyle w:val="14"/>
              <w:spacing w:before="136"/>
              <w:ind w:left="14" w:right="7"/>
              <w:rPr>
                <w:sz w:val="21"/>
              </w:rPr>
            </w:pPr>
            <w:r>
              <w:rPr>
                <w:sz w:val="21"/>
              </w:rPr>
              <w:t>隔声、减振</w:t>
            </w:r>
          </w:p>
        </w:tc>
        <w:tc>
          <w:tcPr>
            <w:tcW w:w="1759" w:type="dxa"/>
            <w:gridSpan w:val="2"/>
          </w:tcPr>
          <w:p>
            <w:pPr>
              <w:pStyle w:val="14"/>
              <w:spacing w:before="136"/>
              <w:ind w:left="6"/>
              <w:rPr>
                <w:sz w:val="21"/>
              </w:rPr>
            </w:pPr>
            <w:r>
              <w:rPr>
                <w:sz w:val="21"/>
              </w:rPr>
              <w:t>厂界</w:t>
            </w:r>
          </w:p>
        </w:tc>
        <w:tc>
          <w:tcPr>
            <w:tcW w:w="870" w:type="dxa"/>
          </w:tcPr>
          <w:p>
            <w:pPr>
              <w:pStyle w:val="14"/>
              <w:spacing w:before="16" w:line="241" w:lineRule="exact"/>
              <w:ind w:left="28"/>
              <w:jc w:val="left"/>
              <w:rPr>
                <w:rFonts w:ascii="Times New Roman"/>
                <w:sz w:val="21"/>
              </w:rPr>
            </w:pPr>
            <w:r>
              <w:rPr>
                <w:rFonts w:ascii="Times New Roman"/>
                <w:sz w:val="21"/>
              </w:rPr>
              <w:t>90~95dB</w:t>
            </w:r>
          </w:p>
          <w:p>
            <w:pPr>
              <w:pStyle w:val="14"/>
              <w:spacing w:line="268" w:lineRule="exact"/>
              <w:ind w:left="28"/>
              <w:jc w:val="left"/>
              <w:rPr>
                <w:sz w:val="21"/>
              </w:rPr>
            </w:pPr>
            <w:r>
              <w:rPr>
                <w:sz w:val="21"/>
              </w:rPr>
              <w:t>（</w:t>
            </w:r>
            <w:r>
              <w:rPr>
                <w:rFonts w:ascii="Times New Roman" w:eastAsia="Times New Roman"/>
                <w:sz w:val="21"/>
              </w:rPr>
              <w:t>A</w:t>
            </w:r>
            <w:r>
              <w:rPr>
                <w:sz w:val="21"/>
              </w:rPr>
              <w:t>）</w:t>
            </w:r>
          </w:p>
        </w:tc>
        <w:tc>
          <w:tcPr>
            <w:tcW w:w="948" w:type="dxa"/>
          </w:tcPr>
          <w:p>
            <w:pPr>
              <w:pStyle w:val="14"/>
              <w:spacing w:before="16" w:line="241" w:lineRule="exact"/>
              <w:ind w:left="84"/>
              <w:jc w:val="left"/>
              <w:rPr>
                <w:rFonts w:ascii="Times New Roman"/>
                <w:sz w:val="21"/>
              </w:rPr>
            </w:pPr>
            <w:r>
              <w:rPr>
                <w:rFonts w:ascii="Times New Roman"/>
                <w:sz w:val="21"/>
              </w:rPr>
              <w:t>55~60dB</w:t>
            </w:r>
          </w:p>
          <w:p>
            <w:pPr>
              <w:pStyle w:val="14"/>
              <w:spacing w:line="268" w:lineRule="exact"/>
              <w:ind w:left="187"/>
              <w:jc w:val="left"/>
              <w:rPr>
                <w:sz w:val="21"/>
              </w:rPr>
            </w:pPr>
            <w:r>
              <w:rPr>
                <w:sz w:val="21"/>
              </w:rPr>
              <w:t>（</w:t>
            </w:r>
            <w:r>
              <w:rPr>
                <w:rFonts w:ascii="Times New Roman" w:eastAsia="Times New Roman"/>
                <w:sz w:val="21"/>
              </w:rPr>
              <w:t>A</w:t>
            </w:r>
            <w:r>
              <w:rPr>
                <w:sz w:val="21"/>
              </w:rPr>
              <w:t>）</w:t>
            </w:r>
          </w:p>
        </w:tc>
        <w:tc>
          <w:tcPr>
            <w:tcW w:w="1360" w:type="dxa"/>
          </w:tcPr>
          <w:p>
            <w:pPr>
              <w:pStyle w:val="14"/>
              <w:spacing w:before="150"/>
              <w:ind w:left="10"/>
              <w:rPr>
                <w:rFonts w:ascii="Times New Roman"/>
                <w:sz w:val="21"/>
              </w:rPr>
            </w:pPr>
            <w:r>
              <w:rPr>
                <w:rFonts w:ascii="Times New Roman"/>
                <w:w w:val="99"/>
                <w:sz w:val="21"/>
              </w:rPr>
              <w:t>/</w:t>
            </w:r>
          </w:p>
        </w:tc>
        <w:tc>
          <w:tcPr>
            <w:tcW w:w="1629" w:type="dxa"/>
          </w:tcPr>
          <w:p>
            <w:pPr>
              <w:pStyle w:val="14"/>
              <w:spacing w:before="150"/>
              <w:ind w:left="7"/>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5" w:type="dxa"/>
            <w:vMerge w:val="restart"/>
          </w:tcPr>
          <w:p>
            <w:pPr>
              <w:pStyle w:val="14"/>
              <w:spacing w:before="73" w:line="242" w:lineRule="auto"/>
              <w:ind w:left="86" w:right="78"/>
              <w:jc w:val="left"/>
              <w:rPr>
                <w:sz w:val="21"/>
              </w:rPr>
            </w:pPr>
            <w:r>
              <w:rPr>
                <w:sz w:val="21"/>
              </w:rPr>
              <w:t>固体废物</w:t>
            </w:r>
          </w:p>
        </w:tc>
        <w:tc>
          <w:tcPr>
            <w:tcW w:w="1560" w:type="dxa"/>
            <w:gridSpan w:val="2"/>
          </w:tcPr>
          <w:p>
            <w:pPr>
              <w:pStyle w:val="14"/>
              <w:spacing w:before="35"/>
              <w:ind w:left="360"/>
              <w:jc w:val="left"/>
              <w:rPr>
                <w:sz w:val="21"/>
              </w:rPr>
            </w:pPr>
            <w:r>
              <w:rPr>
                <w:sz w:val="21"/>
              </w:rPr>
              <w:t>锅炉灰渣</w:t>
            </w:r>
          </w:p>
        </w:tc>
        <w:tc>
          <w:tcPr>
            <w:tcW w:w="3788" w:type="dxa"/>
          </w:tcPr>
          <w:p>
            <w:pPr>
              <w:pStyle w:val="14"/>
              <w:spacing w:before="35"/>
              <w:ind w:left="11" w:right="7"/>
              <w:rPr>
                <w:sz w:val="21"/>
              </w:rPr>
            </w:pPr>
            <w:r>
              <w:rPr>
                <w:sz w:val="21"/>
              </w:rPr>
              <w:t>农肥原料外售</w:t>
            </w:r>
          </w:p>
        </w:tc>
        <w:tc>
          <w:tcPr>
            <w:tcW w:w="1759" w:type="dxa"/>
            <w:gridSpan w:val="2"/>
          </w:tcPr>
          <w:p>
            <w:pPr>
              <w:pStyle w:val="14"/>
              <w:spacing w:before="49"/>
              <w:ind w:left="7"/>
              <w:rPr>
                <w:rFonts w:ascii="Times New Roman"/>
                <w:sz w:val="21"/>
              </w:rPr>
            </w:pPr>
            <w:r>
              <w:rPr>
                <w:rFonts w:ascii="Times New Roman"/>
                <w:w w:val="99"/>
                <w:sz w:val="21"/>
              </w:rPr>
              <w:t>/</w:t>
            </w:r>
          </w:p>
        </w:tc>
        <w:tc>
          <w:tcPr>
            <w:tcW w:w="870" w:type="dxa"/>
          </w:tcPr>
          <w:p>
            <w:pPr>
              <w:pStyle w:val="14"/>
              <w:spacing w:before="49"/>
              <w:ind w:left="99" w:right="88"/>
              <w:rPr>
                <w:rFonts w:ascii="Times New Roman"/>
                <w:sz w:val="21"/>
              </w:rPr>
            </w:pPr>
            <w:r>
              <w:rPr>
                <w:rFonts w:ascii="Times New Roman"/>
                <w:sz w:val="21"/>
              </w:rPr>
              <w:t>1340</w:t>
            </w:r>
          </w:p>
        </w:tc>
        <w:tc>
          <w:tcPr>
            <w:tcW w:w="948" w:type="dxa"/>
          </w:tcPr>
          <w:p>
            <w:pPr>
              <w:pStyle w:val="14"/>
              <w:spacing w:before="49"/>
              <w:ind w:left="8"/>
              <w:rPr>
                <w:rFonts w:ascii="Times New Roman"/>
                <w:sz w:val="21"/>
              </w:rPr>
            </w:pPr>
            <w:r>
              <w:rPr>
                <w:rFonts w:ascii="Times New Roman"/>
                <w:w w:val="99"/>
                <w:sz w:val="21"/>
              </w:rPr>
              <w:t>0</w:t>
            </w:r>
          </w:p>
        </w:tc>
        <w:tc>
          <w:tcPr>
            <w:tcW w:w="1360" w:type="dxa"/>
          </w:tcPr>
          <w:p>
            <w:pPr>
              <w:pStyle w:val="14"/>
              <w:spacing w:before="49"/>
              <w:ind w:left="10"/>
              <w:rPr>
                <w:rFonts w:ascii="Times New Roman"/>
                <w:sz w:val="21"/>
              </w:rPr>
            </w:pPr>
            <w:r>
              <w:rPr>
                <w:rFonts w:ascii="Times New Roman"/>
                <w:w w:val="99"/>
                <w:sz w:val="21"/>
              </w:rPr>
              <w:t>/</w:t>
            </w:r>
          </w:p>
        </w:tc>
        <w:tc>
          <w:tcPr>
            <w:tcW w:w="1629" w:type="dxa"/>
          </w:tcPr>
          <w:p>
            <w:pPr>
              <w:pStyle w:val="14"/>
              <w:spacing w:before="49"/>
              <w:ind w:left="7"/>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595" w:type="dxa"/>
            <w:vMerge w:val="continue"/>
            <w:tcBorders>
              <w:top w:val="nil"/>
            </w:tcBorders>
          </w:tcPr>
          <w:p>
            <w:pPr>
              <w:rPr>
                <w:sz w:val="2"/>
                <w:szCs w:val="2"/>
              </w:rPr>
            </w:pPr>
          </w:p>
        </w:tc>
        <w:tc>
          <w:tcPr>
            <w:tcW w:w="1560" w:type="dxa"/>
            <w:gridSpan w:val="2"/>
          </w:tcPr>
          <w:p>
            <w:pPr>
              <w:pStyle w:val="14"/>
              <w:spacing w:before="33"/>
              <w:ind w:left="360"/>
              <w:jc w:val="left"/>
              <w:rPr>
                <w:sz w:val="21"/>
              </w:rPr>
            </w:pPr>
            <w:r>
              <w:rPr>
                <w:sz w:val="21"/>
              </w:rPr>
              <w:t>生活垃圾</w:t>
            </w:r>
          </w:p>
        </w:tc>
        <w:tc>
          <w:tcPr>
            <w:tcW w:w="3788" w:type="dxa"/>
          </w:tcPr>
          <w:p>
            <w:pPr>
              <w:pStyle w:val="14"/>
              <w:spacing w:before="33"/>
              <w:ind w:left="11" w:right="7"/>
              <w:rPr>
                <w:sz w:val="21"/>
              </w:rPr>
            </w:pPr>
            <w:r>
              <w:rPr>
                <w:sz w:val="21"/>
              </w:rPr>
              <w:t>生活垃圾定期委托环卫部门处理</w:t>
            </w:r>
          </w:p>
        </w:tc>
        <w:tc>
          <w:tcPr>
            <w:tcW w:w="1759" w:type="dxa"/>
            <w:gridSpan w:val="2"/>
          </w:tcPr>
          <w:p>
            <w:pPr>
              <w:pStyle w:val="14"/>
              <w:spacing w:before="49"/>
              <w:ind w:left="7"/>
              <w:rPr>
                <w:rFonts w:ascii="Times New Roman"/>
                <w:sz w:val="21"/>
              </w:rPr>
            </w:pPr>
            <w:r>
              <w:rPr>
                <w:rFonts w:ascii="Times New Roman"/>
                <w:w w:val="99"/>
                <w:sz w:val="21"/>
              </w:rPr>
              <w:t>/</w:t>
            </w:r>
          </w:p>
        </w:tc>
        <w:tc>
          <w:tcPr>
            <w:tcW w:w="870" w:type="dxa"/>
          </w:tcPr>
          <w:p>
            <w:pPr>
              <w:pStyle w:val="14"/>
              <w:spacing w:before="49"/>
              <w:ind w:left="99" w:right="90"/>
              <w:rPr>
                <w:rFonts w:ascii="Times New Roman"/>
                <w:sz w:val="21"/>
              </w:rPr>
            </w:pPr>
            <w:r>
              <w:rPr>
                <w:rFonts w:ascii="Times New Roman"/>
                <w:sz w:val="21"/>
              </w:rPr>
              <w:t>110</w:t>
            </w:r>
          </w:p>
        </w:tc>
        <w:tc>
          <w:tcPr>
            <w:tcW w:w="948" w:type="dxa"/>
          </w:tcPr>
          <w:p>
            <w:pPr>
              <w:pStyle w:val="14"/>
              <w:spacing w:before="49"/>
              <w:ind w:left="8"/>
              <w:rPr>
                <w:rFonts w:ascii="Times New Roman"/>
                <w:sz w:val="21"/>
              </w:rPr>
            </w:pPr>
            <w:r>
              <w:rPr>
                <w:rFonts w:ascii="Times New Roman"/>
                <w:w w:val="99"/>
                <w:sz w:val="21"/>
              </w:rPr>
              <w:t>0</w:t>
            </w:r>
          </w:p>
        </w:tc>
        <w:tc>
          <w:tcPr>
            <w:tcW w:w="1360" w:type="dxa"/>
          </w:tcPr>
          <w:p>
            <w:pPr>
              <w:pStyle w:val="14"/>
              <w:spacing w:before="49"/>
              <w:ind w:left="10"/>
              <w:rPr>
                <w:rFonts w:ascii="Times New Roman"/>
                <w:sz w:val="21"/>
              </w:rPr>
            </w:pPr>
            <w:r>
              <w:rPr>
                <w:rFonts w:ascii="Times New Roman"/>
                <w:w w:val="99"/>
                <w:sz w:val="21"/>
              </w:rPr>
              <w:t>/</w:t>
            </w:r>
          </w:p>
        </w:tc>
        <w:tc>
          <w:tcPr>
            <w:tcW w:w="1629" w:type="dxa"/>
          </w:tcPr>
          <w:p>
            <w:pPr>
              <w:pStyle w:val="14"/>
              <w:spacing w:before="49"/>
              <w:ind w:left="7"/>
              <w:rPr>
                <w:rFonts w:ascii="Times New Roman"/>
                <w:sz w:val="21"/>
              </w:rPr>
            </w:pPr>
            <w:r>
              <w:rPr>
                <w:rFonts w:ascii="Times New Roman"/>
                <w:w w:val="99"/>
                <w:sz w:val="21"/>
              </w:rPr>
              <w:t>/</w:t>
            </w:r>
          </w:p>
        </w:tc>
      </w:tr>
    </w:tbl>
    <w:p>
      <w:pPr>
        <w:spacing w:after="0"/>
        <w:rPr>
          <w:rFonts w:ascii="Times New Roman"/>
          <w:sz w:val="21"/>
        </w:rPr>
        <w:sectPr>
          <w:footerReference r:id="rId30" w:type="default"/>
          <w:pgSz w:w="16840" w:h="11910" w:orient="landscape"/>
          <w:pgMar w:top="1100" w:right="2360" w:bottom="1240" w:left="1720" w:header="0" w:footer="1058" w:gutter="0"/>
          <w:pgNumType w:start="187"/>
        </w:sectPr>
      </w:pPr>
    </w:p>
    <w:p>
      <w:pPr>
        <w:pStyle w:val="6"/>
        <w:rPr>
          <w:rFonts w:ascii="Times New Roman"/>
          <w:sz w:val="20"/>
        </w:rPr>
      </w:pPr>
    </w:p>
    <w:p>
      <w:pPr>
        <w:pStyle w:val="6"/>
        <w:rPr>
          <w:rFonts w:ascii="Times New Roman"/>
          <w:sz w:val="20"/>
        </w:rPr>
      </w:pPr>
    </w:p>
    <w:p>
      <w:pPr>
        <w:pStyle w:val="6"/>
        <w:spacing w:before="6"/>
        <w:rPr>
          <w:rFonts w:ascii="Times New Roman"/>
          <w:sz w:val="26"/>
        </w:rPr>
      </w:pPr>
    </w:p>
    <w:tbl>
      <w:tblPr>
        <w:tblStyle w:val="10"/>
        <w:tblW w:w="0" w:type="auto"/>
        <w:tblInd w:w="1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5"/>
        <w:gridCol w:w="1560"/>
        <w:gridCol w:w="3788"/>
        <w:gridCol w:w="1759"/>
        <w:gridCol w:w="870"/>
        <w:gridCol w:w="948"/>
        <w:gridCol w:w="1360"/>
        <w:gridCol w:w="16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595" w:type="dxa"/>
            <w:vMerge w:val="restart"/>
          </w:tcPr>
          <w:p>
            <w:pPr>
              <w:pStyle w:val="14"/>
              <w:jc w:val="left"/>
              <w:rPr>
                <w:rFonts w:ascii="Times New Roman"/>
                <w:sz w:val="20"/>
              </w:rPr>
            </w:pPr>
          </w:p>
        </w:tc>
        <w:tc>
          <w:tcPr>
            <w:tcW w:w="1560" w:type="dxa"/>
          </w:tcPr>
          <w:p>
            <w:pPr>
              <w:pStyle w:val="14"/>
              <w:spacing w:before="135"/>
              <w:ind w:left="20" w:right="15"/>
              <w:rPr>
                <w:sz w:val="21"/>
              </w:rPr>
            </w:pPr>
            <w:r>
              <w:rPr>
                <w:sz w:val="21"/>
              </w:rPr>
              <w:t>矸石</w:t>
            </w:r>
          </w:p>
        </w:tc>
        <w:tc>
          <w:tcPr>
            <w:tcW w:w="3788" w:type="dxa"/>
          </w:tcPr>
          <w:p>
            <w:pPr>
              <w:pStyle w:val="14"/>
              <w:ind w:left="16" w:right="7"/>
              <w:rPr>
                <w:sz w:val="21"/>
              </w:rPr>
            </w:pPr>
            <w:r>
              <w:rPr>
                <w:spacing w:val="-1"/>
                <w:w w:val="99"/>
                <w:sz w:val="21"/>
              </w:rPr>
              <w:t>本项目矸石产量为</w:t>
            </w:r>
            <w:r>
              <w:rPr>
                <w:spacing w:val="-50"/>
                <w:sz w:val="21"/>
              </w:rPr>
              <w:t xml:space="preserve"> </w:t>
            </w:r>
            <w:r>
              <w:rPr>
                <w:rFonts w:ascii="Times New Roman" w:eastAsia="Times New Roman"/>
                <w:w w:val="99"/>
                <w:sz w:val="21"/>
              </w:rPr>
              <w:t>3</w:t>
            </w:r>
            <w:r>
              <w:rPr>
                <w:rFonts w:ascii="Times New Roman" w:eastAsia="Times New Roman"/>
                <w:spacing w:val="-1"/>
                <w:sz w:val="21"/>
              </w:rPr>
              <w:t xml:space="preserve"> </w:t>
            </w:r>
            <w:r>
              <w:rPr>
                <w:w w:val="99"/>
                <w:sz w:val="21"/>
              </w:rPr>
              <w:t>万</w:t>
            </w:r>
            <w:r>
              <w:rPr>
                <w:spacing w:val="-50"/>
                <w:sz w:val="21"/>
              </w:rPr>
              <w:t xml:space="preserve"> </w:t>
            </w:r>
            <w:r>
              <w:rPr>
                <w:rFonts w:ascii="Times New Roman" w:eastAsia="Times New Roman"/>
                <w:spacing w:val="-1"/>
                <w:w w:val="99"/>
                <w:sz w:val="21"/>
              </w:rPr>
              <w:t>t/</w:t>
            </w:r>
            <w:r>
              <w:rPr>
                <w:rFonts w:ascii="Times New Roman" w:eastAsia="Times New Roman"/>
                <w:w w:val="99"/>
                <w:sz w:val="21"/>
              </w:rPr>
              <w:t>a</w:t>
            </w:r>
            <w:r>
              <w:rPr>
                <w:spacing w:val="-15"/>
                <w:w w:val="99"/>
                <w:sz w:val="21"/>
              </w:rPr>
              <w:t>，用于工业场地</w:t>
            </w:r>
          </w:p>
          <w:p>
            <w:pPr>
              <w:pStyle w:val="14"/>
              <w:spacing w:before="5" w:line="251" w:lineRule="exact"/>
              <w:ind w:left="16" w:right="7"/>
              <w:rPr>
                <w:sz w:val="21"/>
              </w:rPr>
            </w:pPr>
            <w:r>
              <w:rPr>
                <w:sz w:val="21"/>
              </w:rPr>
              <w:t>平整。</w:t>
            </w:r>
          </w:p>
        </w:tc>
        <w:tc>
          <w:tcPr>
            <w:tcW w:w="1759" w:type="dxa"/>
          </w:tcPr>
          <w:p>
            <w:pPr>
              <w:pStyle w:val="14"/>
              <w:spacing w:before="151"/>
              <w:ind w:right="839"/>
              <w:jc w:val="right"/>
              <w:rPr>
                <w:rFonts w:ascii="Times New Roman"/>
                <w:sz w:val="21"/>
              </w:rPr>
            </w:pPr>
            <w:r>
              <w:rPr>
                <w:rFonts w:ascii="Times New Roman"/>
                <w:w w:val="99"/>
                <w:sz w:val="21"/>
              </w:rPr>
              <w:t>/</w:t>
            </w:r>
          </w:p>
        </w:tc>
        <w:tc>
          <w:tcPr>
            <w:tcW w:w="870" w:type="dxa"/>
          </w:tcPr>
          <w:p>
            <w:pPr>
              <w:pStyle w:val="14"/>
              <w:spacing w:before="151"/>
              <w:ind w:left="99" w:right="90"/>
              <w:rPr>
                <w:rFonts w:ascii="Times New Roman"/>
                <w:sz w:val="21"/>
              </w:rPr>
            </w:pPr>
            <w:r>
              <w:rPr>
                <w:rFonts w:ascii="Times New Roman"/>
                <w:sz w:val="21"/>
              </w:rPr>
              <w:t>30000</w:t>
            </w:r>
          </w:p>
        </w:tc>
        <w:tc>
          <w:tcPr>
            <w:tcW w:w="948" w:type="dxa"/>
          </w:tcPr>
          <w:p>
            <w:pPr>
              <w:pStyle w:val="14"/>
              <w:spacing w:before="151"/>
              <w:ind w:left="8"/>
              <w:rPr>
                <w:rFonts w:ascii="Times New Roman"/>
                <w:sz w:val="21"/>
              </w:rPr>
            </w:pPr>
            <w:r>
              <w:rPr>
                <w:rFonts w:ascii="Times New Roman"/>
                <w:w w:val="99"/>
                <w:sz w:val="21"/>
              </w:rPr>
              <w:t>0</w:t>
            </w:r>
          </w:p>
        </w:tc>
        <w:tc>
          <w:tcPr>
            <w:tcW w:w="1360" w:type="dxa"/>
          </w:tcPr>
          <w:p>
            <w:pPr>
              <w:pStyle w:val="14"/>
              <w:spacing w:before="151"/>
              <w:ind w:left="10"/>
              <w:rPr>
                <w:rFonts w:ascii="Times New Roman"/>
                <w:sz w:val="21"/>
              </w:rPr>
            </w:pPr>
            <w:r>
              <w:rPr>
                <w:rFonts w:ascii="Times New Roman"/>
                <w:w w:val="99"/>
                <w:sz w:val="21"/>
              </w:rPr>
              <w:t>/</w:t>
            </w:r>
          </w:p>
        </w:tc>
        <w:tc>
          <w:tcPr>
            <w:tcW w:w="1629" w:type="dxa"/>
          </w:tcPr>
          <w:p>
            <w:pPr>
              <w:pStyle w:val="14"/>
              <w:spacing w:before="151"/>
              <w:ind w:right="774"/>
              <w:jc w:val="right"/>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9" w:hRule="atLeast"/>
        </w:trPr>
        <w:tc>
          <w:tcPr>
            <w:tcW w:w="595" w:type="dxa"/>
            <w:vMerge w:val="continue"/>
            <w:tcBorders>
              <w:top w:val="nil"/>
            </w:tcBorders>
          </w:tcPr>
          <w:p>
            <w:pPr>
              <w:rPr>
                <w:sz w:val="2"/>
                <w:szCs w:val="2"/>
              </w:rPr>
            </w:pPr>
          </w:p>
        </w:tc>
        <w:tc>
          <w:tcPr>
            <w:tcW w:w="1560" w:type="dxa"/>
          </w:tcPr>
          <w:p>
            <w:pPr>
              <w:pStyle w:val="14"/>
              <w:spacing w:before="33"/>
              <w:ind w:left="25" w:right="15"/>
              <w:rPr>
                <w:sz w:val="21"/>
              </w:rPr>
            </w:pPr>
            <w:r>
              <w:rPr>
                <w:sz w:val="21"/>
              </w:rPr>
              <w:t>污水处理站污泥</w:t>
            </w:r>
          </w:p>
        </w:tc>
        <w:tc>
          <w:tcPr>
            <w:tcW w:w="3788" w:type="dxa"/>
          </w:tcPr>
          <w:p>
            <w:pPr>
              <w:pStyle w:val="14"/>
              <w:spacing w:before="33"/>
              <w:ind w:left="842"/>
              <w:jc w:val="left"/>
              <w:rPr>
                <w:sz w:val="21"/>
              </w:rPr>
            </w:pPr>
            <w:r>
              <w:rPr>
                <w:sz w:val="21"/>
              </w:rPr>
              <w:t>委托环卫部门统一清运</w:t>
            </w:r>
          </w:p>
        </w:tc>
        <w:tc>
          <w:tcPr>
            <w:tcW w:w="1759" w:type="dxa"/>
          </w:tcPr>
          <w:p>
            <w:pPr>
              <w:pStyle w:val="14"/>
              <w:spacing w:before="47"/>
              <w:ind w:right="839"/>
              <w:jc w:val="right"/>
              <w:rPr>
                <w:rFonts w:ascii="Times New Roman"/>
                <w:sz w:val="21"/>
              </w:rPr>
            </w:pPr>
            <w:r>
              <w:rPr>
                <w:rFonts w:ascii="Times New Roman"/>
                <w:w w:val="99"/>
                <w:sz w:val="21"/>
              </w:rPr>
              <w:t>/</w:t>
            </w:r>
          </w:p>
        </w:tc>
        <w:tc>
          <w:tcPr>
            <w:tcW w:w="870" w:type="dxa"/>
          </w:tcPr>
          <w:p>
            <w:pPr>
              <w:pStyle w:val="14"/>
              <w:spacing w:before="47"/>
              <w:ind w:left="97" w:right="91"/>
              <w:rPr>
                <w:rFonts w:ascii="Times New Roman"/>
                <w:sz w:val="21"/>
              </w:rPr>
            </w:pPr>
            <w:r>
              <w:rPr>
                <w:rFonts w:ascii="Times New Roman"/>
                <w:sz w:val="21"/>
              </w:rPr>
              <w:t>100</w:t>
            </w:r>
          </w:p>
        </w:tc>
        <w:tc>
          <w:tcPr>
            <w:tcW w:w="948" w:type="dxa"/>
          </w:tcPr>
          <w:p>
            <w:pPr>
              <w:pStyle w:val="14"/>
              <w:spacing w:before="47"/>
              <w:ind w:left="8"/>
              <w:rPr>
                <w:rFonts w:ascii="Times New Roman"/>
                <w:sz w:val="21"/>
              </w:rPr>
            </w:pPr>
            <w:r>
              <w:rPr>
                <w:rFonts w:ascii="Times New Roman"/>
                <w:w w:val="99"/>
                <w:sz w:val="21"/>
              </w:rPr>
              <w:t>0</w:t>
            </w:r>
          </w:p>
        </w:tc>
        <w:tc>
          <w:tcPr>
            <w:tcW w:w="1360" w:type="dxa"/>
          </w:tcPr>
          <w:p>
            <w:pPr>
              <w:pStyle w:val="14"/>
              <w:spacing w:before="47"/>
              <w:ind w:left="10"/>
              <w:rPr>
                <w:rFonts w:ascii="Times New Roman"/>
                <w:sz w:val="21"/>
              </w:rPr>
            </w:pPr>
            <w:r>
              <w:rPr>
                <w:rFonts w:ascii="Times New Roman"/>
                <w:w w:val="99"/>
                <w:sz w:val="21"/>
              </w:rPr>
              <w:t>/</w:t>
            </w:r>
          </w:p>
        </w:tc>
        <w:tc>
          <w:tcPr>
            <w:tcW w:w="1629" w:type="dxa"/>
          </w:tcPr>
          <w:p>
            <w:pPr>
              <w:pStyle w:val="14"/>
              <w:spacing w:before="47"/>
              <w:ind w:right="774"/>
              <w:jc w:val="right"/>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595" w:type="dxa"/>
            <w:vMerge w:val="continue"/>
            <w:tcBorders>
              <w:top w:val="nil"/>
            </w:tcBorders>
          </w:tcPr>
          <w:p>
            <w:pPr>
              <w:rPr>
                <w:sz w:val="2"/>
                <w:szCs w:val="2"/>
              </w:rPr>
            </w:pPr>
          </w:p>
        </w:tc>
        <w:tc>
          <w:tcPr>
            <w:tcW w:w="1560" w:type="dxa"/>
          </w:tcPr>
          <w:p>
            <w:pPr>
              <w:pStyle w:val="14"/>
              <w:spacing w:before="135"/>
              <w:ind w:left="25" w:right="15"/>
              <w:rPr>
                <w:sz w:val="21"/>
              </w:rPr>
            </w:pPr>
            <w:r>
              <w:rPr>
                <w:sz w:val="21"/>
              </w:rPr>
              <w:t>废机油</w:t>
            </w:r>
          </w:p>
        </w:tc>
        <w:tc>
          <w:tcPr>
            <w:tcW w:w="3788" w:type="dxa"/>
          </w:tcPr>
          <w:p>
            <w:pPr>
              <w:pStyle w:val="14"/>
              <w:ind w:left="11" w:right="7"/>
              <w:rPr>
                <w:sz w:val="21"/>
              </w:rPr>
            </w:pPr>
            <w:r>
              <w:rPr>
                <w:sz w:val="21"/>
              </w:rPr>
              <w:t>属于危险废物（</w:t>
            </w:r>
            <w:r>
              <w:rPr>
                <w:rFonts w:ascii="Times New Roman" w:eastAsia="Times New Roman"/>
                <w:sz w:val="21"/>
              </w:rPr>
              <w:t>HW08</w:t>
            </w:r>
            <w:r>
              <w:rPr>
                <w:sz w:val="21"/>
              </w:rPr>
              <w:t>），委托有资质单</w:t>
            </w:r>
          </w:p>
          <w:p>
            <w:pPr>
              <w:pStyle w:val="14"/>
              <w:spacing w:before="2" w:line="252" w:lineRule="exact"/>
              <w:ind w:left="16" w:right="7"/>
              <w:rPr>
                <w:sz w:val="21"/>
              </w:rPr>
            </w:pPr>
            <w:r>
              <w:rPr>
                <w:sz w:val="21"/>
              </w:rPr>
              <w:t>位处理</w:t>
            </w:r>
          </w:p>
        </w:tc>
        <w:tc>
          <w:tcPr>
            <w:tcW w:w="1759" w:type="dxa"/>
          </w:tcPr>
          <w:p>
            <w:pPr>
              <w:pStyle w:val="14"/>
              <w:spacing w:before="151"/>
              <w:ind w:right="839"/>
              <w:jc w:val="right"/>
              <w:rPr>
                <w:rFonts w:ascii="Times New Roman"/>
                <w:sz w:val="21"/>
              </w:rPr>
            </w:pPr>
            <w:r>
              <w:rPr>
                <w:rFonts w:ascii="Times New Roman"/>
                <w:w w:val="99"/>
                <w:sz w:val="21"/>
              </w:rPr>
              <w:t>/</w:t>
            </w:r>
          </w:p>
        </w:tc>
        <w:tc>
          <w:tcPr>
            <w:tcW w:w="870" w:type="dxa"/>
          </w:tcPr>
          <w:p>
            <w:pPr>
              <w:pStyle w:val="14"/>
              <w:spacing w:before="151"/>
              <w:ind w:left="99" w:right="90"/>
              <w:rPr>
                <w:rFonts w:ascii="Times New Roman"/>
                <w:sz w:val="21"/>
              </w:rPr>
            </w:pPr>
            <w:r>
              <w:rPr>
                <w:rFonts w:ascii="Times New Roman"/>
                <w:sz w:val="21"/>
              </w:rPr>
              <w:t>0.2</w:t>
            </w:r>
          </w:p>
        </w:tc>
        <w:tc>
          <w:tcPr>
            <w:tcW w:w="948" w:type="dxa"/>
          </w:tcPr>
          <w:p>
            <w:pPr>
              <w:pStyle w:val="14"/>
              <w:spacing w:before="151"/>
              <w:ind w:left="8"/>
              <w:rPr>
                <w:rFonts w:ascii="Times New Roman"/>
                <w:sz w:val="21"/>
              </w:rPr>
            </w:pPr>
            <w:r>
              <w:rPr>
                <w:rFonts w:ascii="Times New Roman"/>
                <w:w w:val="99"/>
                <w:sz w:val="21"/>
              </w:rPr>
              <w:t>0</w:t>
            </w:r>
          </w:p>
        </w:tc>
        <w:tc>
          <w:tcPr>
            <w:tcW w:w="1360" w:type="dxa"/>
          </w:tcPr>
          <w:p>
            <w:pPr>
              <w:pStyle w:val="14"/>
              <w:spacing w:before="151"/>
              <w:ind w:left="10"/>
              <w:rPr>
                <w:rFonts w:ascii="Times New Roman"/>
                <w:sz w:val="21"/>
              </w:rPr>
            </w:pPr>
            <w:r>
              <w:rPr>
                <w:rFonts w:ascii="Times New Roman"/>
                <w:w w:val="99"/>
                <w:sz w:val="21"/>
              </w:rPr>
              <w:t>/</w:t>
            </w:r>
          </w:p>
        </w:tc>
        <w:tc>
          <w:tcPr>
            <w:tcW w:w="1629" w:type="dxa"/>
          </w:tcPr>
          <w:p>
            <w:pPr>
              <w:pStyle w:val="14"/>
              <w:spacing w:before="151"/>
              <w:ind w:right="774"/>
              <w:jc w:val="right"/>
              <w:rPr>
                <w:rFonts w:ascii="Times New Roman"/>
                <w:sz w:val="21"/>
              </w:rPr>
            </w:pPr>
            <w:r>
              <w:rPr>
                <w:rFonts w:ascii="Times New Roman"/>
                <w:w w:val="99"/>
                <w:sz w:val="21"/>
              </w:rPr>
              <w:t>/</w:t>
            </w:r>
          </w:p>
        </w:tc>
      </w:tr>
    </w:tbl>
    <w:p>
      <w:pPr>
        <w:spacing w:after="0"/>
        <w:jc w:val="right"/>
        <w:rPr>
          <w:rFonts w:ascii="Times New Roman"/>
          <w:sz w:val="21"/>
        </w:rPr>
        <w:sectPr>
          <w:pgSz w:w="16840" w:h="11910" w:orient="landscape"/>
          <w:pgMar w:top="1100" w:right="2360" w:bottom="1240" w:left="1720" w:header="0" w:footer="1058" w:gutter="0"/>
        </w:sectPr>
      </w:pPr>
    </w:p>
    <w:p>
      <w:pPr>
        <w:pStyle w:val="3"/>
        <w:numPr>
          <w:ilvl w:val="1"/>
          <w:numId w:val="79"/>
        </w:numPr>
        <w:tabs>
          <w:tab w:val="left" w:pos="821"/>
        </w:tabs>
        <w:spacing w:before="44" w:after="0" w:line="240" w:lineRule="auto"/>
        <w:ind w:left="820" w:right="0" w:hanging="601"/>
        <w:jc w:val="left"/>
        <w:rPr>
          <w:rFonts w:ascii="Times New Roman" w:eastAsia="Times New Roman"/>
        </w:rPr>
      </w:pPr>
      <w:bookmarkStart w:id="1228" w:name="_bookmark77"/>
      <w:bookmarkEnd w:id="1228"/>
      <w:bookmarkStart w:id="1229" w:name="13.5排污口规划化管理"/>
      <w:bookmarkEnd w:id="1229"/>
      <w:bookmarkStart w:id="1230" w:name="_bookmark77"/>
      <w:bookmarkEnd w:id="1230"/>
      <w:r>
        <w:t>排污口规划化管理</w:t>
      </w:r>
    </w:p>
    <w:p>
      <w:pPr>
        <w:pStyle w:val="6"/>
        <w:spacing w:before="196" w:line="364" w:lineRule="auto"/>
        <w:ind w:left="220" w:right="337" w:firstLine="480"/>
        <w:jc w:val="both"/>
      </w:pPr>
      <w:r>
        <w:t>根据国家环境保护总局环发〔</w:t>
      </w:r>
      <w:r>
        <w:rPr>
          <w:rFonts w:ascii="Times New Roman" w:hAnsi="Times New Roman" w:eastAsia="Times New Roman"/>
        </w:rPr>
        <w:t>1999</w:t>
      </w:r>
      <w:r>
        <w:t>〕</w:t>
      </w:r>
      <w:r>
        <w:rPr>
          <w:rFonts w:ascii="Times New Roman" w:hAnsi="Times New Roman" w:eastAsia="Times New Roman"/>
        </w:rPr>
        <w:t xml:space="preserve">24 </w:t>
      </w:r>
      <w:r>
        <w:t>号文件的规定，一切新建、扩建、改建的排污单位必须在建设污染治理设施的同时建设规范化排污口，作为落实环境保护</w:t>
      </w:r>
      <w:r>
        <w:rPr>
          <w:rFonts w:ascii="Times New Roman" w:hAnsi="Times New Roman" w:eastAsia="Times New Roman"/>
        </w:rPr>
        <w:t>“</w:t>
      </w:r>
      <w:r>
        <w:t>三同时</w:t>
      </w:r>
      <w:r>
        <w:rPr>
          <w:rFonts w:ascii="Times New Roman" w:hAnsi="Times New Roman" w:eastAsia="Times New Roman"/>
        </w:rPr>
        <w:t xml:space="preserve">” </w:t>
      </w:r>
      <w:r>
        <w:t>制度的必要组成和项目验收内容之一。</w:t>
      </w:r>
    </w:p>
    <w:p>
      <w:pPr>
        <w:pStyle w:val="13"/>
        <w:numPr>
          <w:ilvl w:val="2"/>
          <w:numId w:val="100"/>
        </w:numPr>
        <w:tabs>
          <w:tab w:val="left" w:pos="1061"/>
        </w:tabs>
        <w:spacing w:before="0" w:after="0" w:line="240" w:lineRule="auto"/>
        <w:ind w:left="1060" w:right="0" w:hanging="841"/>
        <w:jc w:val="left"/>
        <w:rPr>
          <w:rFonts w:ascii="Times New Roman" w:eastAsia="Times New Roman"/>
          <w:b/>
          <w:sz w:val="28"/>
        </w:rPr>
      </w:pPr>
      <w:bookmarkStart w:id="1231" w:name="13.5.1 排污口规范化管理的基本原则"/>
      <w:bookmarkEnd w:id="1231"/>
      <w:bookmarkStart w:id="1232" w:name="13.5.1 排污口规范化管理的基本原则"/>
      <w:bookmarkEnd w:id="1232"/>
      <w:r>
        <w:rPr>
          <w:b/>
          <w:sz w:val="28"/>
        </w:rPr>
        <w:t>排污口规范化管理的基本原则</w:t>
      </w:r>
    </w:p>
    <w:p>
      <w:pPr>
        <w:pStyle w:val="13"/>
        <w:numPr>
          <w:ilvl w:val="3"/>
          <w:numId w:val="100"/>
        </w:numPr>
        <w:tabs>
          <w:tab w:val="left" w:pos="1302"/>
        </w:tabs>
        <w:spacing w:before="185" w:after="0" w:line="240" w:lineRule="auto"/>
        <w:ind w:left="1301" w:right="0" w:hanging="602"/>
        <w:jc w:val="left"/>
        <w:rPr>
          <w:sz w:val="24"/>
        </w:rPr>
      </w:pPr>
      <w:r>
        <w:rPr>
          <w:sz w:val="24"/>
        </w:rPr>
        <w:t>向环境排放污染物的排污口必须规范化。</w:t>
      </w:r>
    </w:p>
    <w:p>
      <w:pPr>
        <w:pStyle w:val="13"/>
        <w:numPr>
          <w:ilvl w:val="3"/>
          <w:numId w:val="100"/>
        </w:numPr>
        <w:tabs>
          <w:tab w:val="left" w:pos="1308"/>
        </w:tabs>
        <w:spacing w:before="155" w:after="0" w:line="364" w:lineRule="auto"/>
        <w:ind w:left="220" w:right="337" w:firstLine="480"/>
        <w:jc w:val="left"/>
        <w:rPr>
          <w:sz w:val="24"/>
        </w:rPr>
      </w:pPr>
      <w:r>
        <w:rPr>
          <w:position w:val="2"/>
          <w:sz w:val="24"/>
        </w:rPr>
        <w:t>列入总量控制指标的污染物中废水</w:t>
      </w:r>
      <w:r>
        <w:rPr>
          <w:rFonts w:ascii="Times New Roman" w:eastAsia="Times New Roman"/>
          <w:position w:val="2"/>
          <w:sz w:val="24"/>
        </w:rPr>
        <w:t>COD</w:t>
      </w:r>
      <w:r>
        <w:rPr>
          <w:position w:val="2"/>
          <w:sz w:val="24"/>
        </w:rPr>
        <w:t>、氨氮和废气排放的烟尘、</w:t>
      </w:r>
      <w:r>
        <w:rPr>
          <w:rFonts w:ascii="Times New Roman" w:eastAsia="Times New Roman"/>
          <w:position w:val="2"/>
          <w:sz w:val="24"/>
        </w:rPr>
        <w:t>NO</w:t>
      </w:r>
      <w:r>
        <w:rPr>
          <w:rFonts w:ascii="Times New Roman" w:eastAsia="Times New Roman"/>
          <w:position w:val="2"/>
          <w:sz w:val="24"/>
          <w:vertAlign w:val="subscript"/>
        </w:rPr>
        <w:t>x</w:t>
      </w:r>
      <w:r>
        <w:rPr>
          <w:position w:val="2"/>
          <w:sz w:val="24"/>
          <w:vertAlign w:val="baseline"/>
        </w:rPr>
        <w:t>、</w:t>
      </w:r>
      <w:r>
        <w:rPr>
          <w:rFonts w:ascii="Times New Roman" w:eastAsia="Times New Roman"/>
          <w:position w:val="2"/>
          <w:sz w:val="24"/>
          <w:vertAlign w:val="baseline"/>
        </w:rPr>
        <w:t>SO</w:t>
      </w:r>
      <w:r>
        <w:rPr>
          <w:rFonts w:ascii="Times New Roman" w:eastAsia="Times New Roman"/>
          <w:position w:val="2"/>
          <w:sz w:val="24"/>
          <w:vertAlign w:val="subscript"/>
        </w:rPr>
        <w:t xml:space="preserve">2 </w:t>
      </w:r>
      <w:r>
        <w:rPr>
          <w:sz w:val="24"/>
          <w:vertAlign w:val="baseline"/>
        </w:rPr>
        <w:t>为管理重点。</w:t>
      </w:r>
    </w:p>
    <w:p>
      <w:pPr>
        <w:pStyle w:val="13"/>
        <w:numPr>
          <w:ilvl w:val="3"/>
          <w:numId w:val="100"/>
        </w:numPr>
        <w:tabs>
          <w:tab w:val="left" w:pos="1302"/>
        </w:tabs>
        <w:spacing w:before="0" w:after="0" w:line="305" w:lineRule="exact"/>
        <w:ind w:left="1301" w:right="0" w:hanging="602"/>
        <w:jc w:val="left"/>
        <w:rPr>
          <w:sz w:val="24"/>
        </w:rPr>
      </w:pPr>
      <w:r>
        <w:rPr>
          <w:sz w:val="24"/>
        </w:rPr>
        <w:t>排污口应便于采样与计量监测，便于日常现场监督检查。</w:t>
      </w:r>
    </w:p>
    <w:p>
      <w:pPr>
        <w:pStyle w:val="4"/>
        <w:numPr>
          <w:ilvl w:val="2"/>
          <w:numId w:val="100"/>
        </w:numPr>
        <w:tabs>
          <w:tab w:val="left" w:pos="1061"/>
        </w:tabs>
        <w:spacing w:before="162" w:after="0" w:line="240" w:lineRule="auto"/>
        <w:ind w:left="1060" w:right="0" w:hanging="841"/>
        <w:jc w:val="left"/>
        <w:rPr>
          <w:rFonts w:ascii="Times New Roman" w:eastAsia="Times New Roman"/>
        </w:rPr>
      </w:pPr>
      <w:bookmarkStart w:id="1233" w:name="13.5.2 排污口的技术要求"/>
      <w:bookmarkEnd w:id="1233"/>
      <w:bookmarkStart w:id="1234" w:name="13.5.2 排污口的技术要求"/>
      <w:bookmarkEnd w:id="1234"/>
      <w:r>
        <w:t>排污口的技术要求</w:t>
      </w:r>
    </w:p>
    <w:p>
      <w:pPr>
        <w:pStyle w:val="13"/>
        <w:numPr>
          <w:ilvl w:val="0"/>
          <w:numId w:val="101"/>
        </w:numPr>
        <w:tabs>
          <w:tab w:val="left" w:pos="1302"/>
        </w:tabs>
        <w:spacing w:before="185" w:after="0" w:line="240" w:lineRule="auto"/>
        <w:ind w:left="1301" w:right="0" w:hanging="602"/>
        <w:jc w:val="left"/>
        <w:rPr>
          <w:sz w:val="24"/>
        </w:rPr>
      </w:pPr>
      <w:r>
        <w:rPr>
          <w:spacing w:val="-3"/>
          <w:sz w:val="24"/>
        </w:rPr>
        <w:t>排污口的位置必须合理确定，按环监〔</w:t>
      </w:r>
      <w:r>
        <w:rPr>
          <w:rFonts w:ascii="Times New Roman" w:eastAsia="Times New Roman"/>
          <w:sz w:val="24"/>
        </w:rPr>
        <w:t>1996</w:t>
      </w:r>
      <w:r>
        <w:rPr>
          <w:spacing w:val="-15"/>
          <w:sz w:val="24"/>
        </w:rPr>
        <w:t>〕</w:t>
      </w:r>
      <w:r>
        <w:rPr>
          <w:rFonts w:ascii="Times New Roman" w:eastAsia="Times New Roman"/>
          <w:sz w:val="24"/>
        </w:rPr>
        <w:t>470</w:t>
      </w:r>
      <w:r>
        <w:rPr>
          <w:sz w:val="24"/>
        </w:rPr>
        <w:t>号文件要求进行规范化管理。</w:t>
      </w:r>
    </w:p>
    <w:p>
      <w:pPr>
        <w:pStyle w:val="13"/>
        <w:numPr>
          <w:ilvl w:val="0"/>
          <w:numId w:val="101"/>
        </w:numPr>
        <w:tabs>
          <w:tab w:val="left" w:pos="1302"/>
        </w:tabs>
        <w:spacing w:before="158" w:after="0" w:line="364" w:lineRule="auto"/>
        <w:ind w:left="220" w:right="338" w:firstLine="480"/>
        <w:jc w:val="left"/>
        <w:rPr>
          <w:sz w:val="24"/>
        </w:rPr>
      </w:pPr>
      <w:r>
        <w:rPr>
          <w:spacing w:val="-5"/>
          <w:sz w:val="24"/>
        </w:rPr>
        <w:t>排放污染物的采样点设置应按《污染源监测技术规范》要求，设置在矿井水及</w:t>
      </w:r>
      <w:r>
        <w:rPr>
          <w:sz w:val="24"/>
        </w:rPr>
        <w:t>生活污水排放口、厂房排气筒等处。</w:t>
      </w:r>
    </w:p>
    <w:p>
      <w:pPr>
        <w:pStyle w:val="4"/>
        <w:numPr>
          <w:ilvl w:val="2"/>
          <w:numId w:val="100"/>
        </w:numPr>
        <w:tabs>
          <w:tab w:val="left" w:pos="1061"/>
        </w:tabs>
        <w:spacing w:before="0" w:after="0" w:line="358" w:lineRule="exact"/>
        <w:ind w:left="1060" w:right="0" w:hanging="841"/>
        <w:jc w:val="left"/>
        <w:rPr>
          <w:rFonts w:ascii="Times New Roman" w:eastAsia="Times New Roman"/>
        </w:rPr>
      </w:pPr>
      <w:bookmarkStart w:id="1235" w:name="13.5.3 排污口立标管理"/>
      <w:bookmarkEnd w:id="1235"/>
      <w:bookmarkStart w:id="1236" w:name="13.5.3 排污口立标管理"/>
      <w:bookmarkEnd w:id="1236"/>
      <w:r>
        <w:t>排污口立标管理</w:t>
      </w:r>
    </w:p>
    <w:p>
      <w:pPr>
        <w:pStyle w:val="13"/>
        <w:numPr>
          <w:ilvl w:val="0"/>
          <w:numId w:val="102"/>
        </w:numPr>
        <w:tabs>
          <w:tab w:val="left" w:pos="1302"/>
        </w:tabs>
        <w:spacing w:before="185" w:after="0" w:line="240" w:lineRule="auto"/>
        <w:ind w:left="1301" w:right="0" w:hanging="602"/>
        <w:jc w:val="left"/>
        <w:rPr>
          <w:rFonts w:ascii="Times New Roman" w:eastAsia="Times New Roman"/>
          <w:sz w:val="24"/>
        </w:rPr>
      </w:pPr>
      <w:r>
        <w:rPr>
          <w:sz w:val="24"/>
        </w:rPr>
        <w:t>企业污染物排放口的标志，应按国家《环境保护图形标志 排放口》（</w:t>
      </w:r>
      <w:r>
        <w:rPr>
          <w:rFonts w:ascii="Times New Roman" w:eastAsia="Times New Roman"/>
          <w:sz w:val="24"/>
        </w:rPr>
        <w:t>15562.1</w:t>
      </w:r>
    </w:p>
    <w:p>
      <w:pPr>
        <w:pStyle w:val="6"/>
        <w:spacing w:before="161" w:line="364" w:lineRule="auto"/>
        <w:ind w:left="220" w:right="223"/>
      </w:pPr>
      <w:r>
        <w:t>－</w:t>
      </w:r>
      <w:r>
        <w:rPr>
          <w:rFonts w:ascii="Times New Roman" w:eastAsia="Times New Roman"/>
        </w:rPr>
        <w:t>1995</w:t>
      </w:r>
      <w:r>
        <w:t>）及《环境保护图形标志 固体废物贮存（处置）场》（</w:t>
      </w:r>
      <w:r>
        <w:rPr>
          <w:rFonts w:ascii="Times New Roman" w:eastAsia="Times New Roman"/>
        </w:rPr>
        <w:t>15562.2</w:t>
      </w:r>
      <w:r>
        <w:t>－</w:t>
      </w:r>
      <w:r>
        <w:rPr>
          <w:rFonts w:ascii="Times New Roman" w:eastAsia="Times New Roman"/>
        </w:rPr>
        <w:t>1995</w:t>
      </w:r>
      <w:r>
        <w:t>）的规定， 设置国家环保总局统一制作的环境保护图形标志牌。示例见表</w:t>
      </w:r>
      <w:r>
        <w:rPr>
          <w:rFonts w:ascii="Times New Roman" w:eastAsia="Times New Roman"/>
        </w:rPr>
        <w:t>13.5-1</w:t>
      </w:r>
      <w:r>
        <w:t>。</w:t>
      </w:r>
    </w:p>
    <w:p>
      <w:pPr>
        <w:pStyle w:val="13"/>
        <w:numPr>
          <w:ilvl w:val="0"/>
          <w:numId w:val="102"/>
        </w:numPr>
        <w:tabs>
          <w:tab w:val="left" w:pos="1302"/>
        </w:tabs>
        <w:spacing w:before="0" w:after="3" w:line="362" w:lineRule="auto"/>
        <w:ind w:left="220" w:right="338" w:firstLine="480"/>
        <w:jc w:val="left"/>
        <w:rPr>
          <w:sz w:val="24"/>
        </w:rPr>
      </w:pPr>
      <w:r>
        <w:rPr>
          <w:spacing w:val="-1"/>
          <w:sz w:val="24"/>
        </w:rPr>
        <w:t>污染物排放口的环保图形标志牌应设置在靠近采样点的醒目处，标志牌设置</w:t>
      </w:r>
      <w:r>
        <w:rPr>
          <w:spacing w:val="-4"/>
          <w:sz w:val="24"/>
        </w:rPr>
        <w:t>高度为其上缘距地面</w:t>
      </w:r>
      <w:r>
        <w:rPr>
          <w:rFonts w:ascii="Times New Roman" w:eastAsia="Times New Roman"/>
          <w:sz w:val="24"/>
        </w:rPr>
        <w:t>2m</w:t>
      </w:r>
      <w:r>
        <w:rPr>
          <w:sz w:val="24"/>
        </w:rPr>
        <w:t>。</w:t>
      </w:r>
    </w:p>
    <w:p>
      <w:pPr>
        <w:pStyle w:val="6"/>
        <w:ind w:left="612"/>
        <w:rPr>
          <w:sz w:val="20"/>
        </w:rPr>
      </w:pPr>
      <w:r>
        <w:rPr>
          <w:sz w:val="20"/>
        </w:rPr>
        <w:drawing>
          <wp:inline distT="0" distB="0" distL="0" distR="0">
            <wp:extent cx="5348605" cy="2678430"/>
            <wp:effectExtent l="0" t="0" r="0" b="0"/>
            <wp:docPr id="7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4.jpeg"/>
                    <pic:cNvPicPr>
                      <a:picLocks noChangeAspect="1"/>
                    </pic:cNvPicPr>
                  </pic:nvPicPr>
                  <pic:blipFill>
                    <a:blip r:embed="rId79" cstate="print"/>
                    <a:stretch>
                      <a:fillRect/>
                    </a:stretch>
                  </pic:blipFill>
                  <pic:spPr>
                    <a:xfrm>
                      <a:off x="0" y="0"/>
                      <a:ext cx="5348833" cy="2679001"/>
                    </a:xfrm>
                    <a:prstGeom prst="rect">
                      <a:avLst/>
                    </a:prstGeom>
                  </pic:spPr>
                </pic:pic>
              </a:graphicData>
            </a:graphic>
          </wp:inline>
        </w:drawing>
      </w:r>
    </w:p>
    <w:p>
      <w:pPr>
        <w:spacing w:before="228"/>
        <w:ind w:left="0" w:right="140" w:firstLine="0"/>
        <w:jc w:val="center"/>
        <w:rPr>
          <w:b/>
          <w:sz w:val="21"/>
        </w:rPr>
      </w:pPr>
      <w:r>
        <w:rPr>
          <w:b/>
          <w:spacing w:val="-18"/>
          <w:sz w:val="21"/>
        </w:rPr>
        <w:t xml:space="preserve">图 </w:t>
      </w:r>
      <w:r>
        <w:rPr>
          <w:rFonts w:ascii="Times New Roman" w:eastAsia="Times New Roman"/>
          <w:b/>
          <w:spacing w:val="11"/>
          <w:sz w:val="21"/>
        </w:rPr>
        <w:t>13.5-1</w:t>
      </w:r>
      <w:r>
        <w:rPr>
          <w:rFonts w:ascii="Times New Roman" w:eastAsia="Times New Roman"/>
          <w:b/>
          <w:spacing w:val="72"/>
          <w:sz w:val="21"/>
        </w:rPr>
        <w:t xml:space="preserve"> </w:t>
      </w:r>
      <w:r>
        <w:rPr>
          <w:b/>
          <w:spacing w:val="22"/>
          <w:sz w:val="21"/>
        </w:rPr>
        <w:t>排污口图形标志示例</w:t>
      </w:r>
    </w:p>
    <w:p>
      <w:pPr>
        <w:spacing w:after="0"/>
        <w:jc w:val="center"/>
        <w:rPr>
          <w:sz w:val="21"/>
        </w:rPr>
        <w:sectPr>
          <w:footerReference r:id="rId31" w:type="default"/>
          <w:pgSz w:w="11910" w:h="16840"/>
          <w:pgMar w:top="1360" w:right="1020" w:bottom="1180" w:left="1140" w:header="0" w:footer="997" w:gutter="0"/>
          <w:pgNumType w:start="189"/>
        </w:sectPr>
      </w:pPr>
    </w:p>
    <w:p>
      <w:pPr>
        <w:pStyle w:val="5"/>
        <w:numPr>
          <w:ilvl w:val="2"/>
          <w:numId w:val="100"/>
        </w:numPr>
        <w:tabs>
          <w:tab w:val="left" w:pos="941"/>
        </w:tabs>
        <w:spacing w:before="78" w:after="0" w:line="240" w:lineRule="auto"/>
        <w:ind w:left="940" w:right="0" w:hanging="721"/>
        <w:jc w:val="left"/>
        <w:rPr>
          <w:rFonts w:ascii="Times New Roman" w:eastAsia="Times New Roman"/>
        </w:rPr>
      </w:pPr>
      <w:bookmarkStart w:id="1237" w:name="13.5.4 排污口建档管理"/>
      <w:bookmarkEnd w:id="1237"/>
      <w:bookmarkStart w:id="1238" w:name="13.5.4 排污口建档管理"/>
      <w:bookmarkEnd w:id="1238"/>
      <w:r>
        <w:t>排污口建档管理</w:t>
      </w:r>
    </w:p>
    <w:p>
      <w:pPr>
        <w:pStyle w:val="13"/>
        <w:numPr>
          <w:ilvl w:val="0"/>
          <w:numId w:val="103"/>
        </w:numPr>
        <w:tabs>
          <w:tab w:val="left" w:pos="1302"/>
        </w:tabs>
        <w:spacing w:before="158" w:after="0" w:line="364" w:lineRule="auto"/>
        <w:ind w:left="220" w:right="163" w:firstLine="480"/>
        <w:jc w:val="left"/>
        <w:rPr>
          <w:sz w:val="24"/>
        </w:rPr>
      </w:pPr>
      <w:r>
        <w:rPr>
          <w:spacing w:val="-5"/>
          <w:sz w:val="24"/>
        </w:rPr>
        <w:t>要求使用国家环保局统一印刷的《中华人民共和国规范化排污口标志登记证》</w:t>
      </w:r>
      <w:r>
        <w:rPr>
          <w:spacing w:val="-4"/>
          <w:sz w:val="24"/>
        </w:rPr>
        <w:t>，并按要求填写有关内容。</w:t>
      </w:r>
    </w:p>
    <w:p>
      <w:pPr>
        <w:pStyle w:val="13"/>
        <w:numPr>
          <w:ilvl w:val="0"/>
          <w:numId w:val="103"/>
        </w:numPr>
        <w:tabs>
          <w:tab w:val="left" w:pos="1302"/>
        </w:tabs>
        <w:spacing w:before="0" w:after="0" w:line="364" w:lineRule="auto"/>
        <w:ind w:left="220" w:right="337" w:firstLine="480"/>
        <w:jc w:val="left"/>
        <w:rPr>
          <w:sz w:val="24"/>
        </w:rPr>
      </w:pPr>
      <w:r>
        <w:rPr>
          <w:spacing w:val="-5"/>
          <w:sz w:val="24"/>
        </w:rPr>
        <w:t>根据排污口管理档案内容要求，项目建成后，应将主要污染物种类、数量、浓</w:t>
      </w:r>
      <w:r>
        <w:rPr>
          <w:sz w:val="24"/>
        </w:rPr>
        <w:t>度、排放去向、达标情况及设施运行情况记录于档案。</w:t>
      </w:r>
    </w:p>
    <w:p>
      <w:pPr>
        <w:pStyle w:val="4"/>
        <w:numPr>
          <w:ilvl w:val="1"/>
          <w:numId w:val="79"/>
        </w:numPr>
        <w:tabs>
          <w:tab w:val="left" w:pos="780"/>
        </w:tabs>
        <w:spacing w:before="0" w:after="0" w:line="358" w:lineRule="exact"/>
        <w:ind w:left="780" w:right="0" w:hanging="560"/>
        <w:jc w:val="left"/>
        <w:rPr>
          <w:rFonts w:ascii="Times New Roman" w:eastAsia="Times New Roman"/>
        </w:rPr>
      </w:pPr>
      <w:bookmarkStart w:id="1239" w:name="_bookmark78"/>
      <w:bookmarkEnd w:id="1239"/>
      <w:bookmarkStart w:id="1240" w:name="_bookmark78"/>
      <w:bookmarkEnd w:id="1240"/>
      <w:bookmarkStart w:id="1241" w:name="13.6环境保护竣工验收"/>
      <w:bookmarkEnd w:id="1241"/>
      <w:r>
        <w:t>环境保护竣工验收</w:t>
      </w:r>
    </w:p>
    <w:p>
      <w:pPr>
        <w:pStyle w:val="6"/>
        <w:spacing w:before="184" w:line="364" w:lineRule="auto"/>
        <w:ind w:left="220" w:right="338" w:firstLine="540"/>
      </w:pPr>
      <w:r>
        <w:t xml:space="preserve">本工程竣工后，应进行环保设施竣工验收，并应与主体工程同步进行，环保设施竣工验收主要内容表 </w:t>
      </w:r>
      <w:r>
        <w:rPr>
          <w:rFonts w:ascii="Times New Roman" w:eastAsia="Times New Roman"/>
        </w:rPr>
        <w:t>13.6-1</w:t>
      </w:r>
      <w:r>
        <w:t>。</w:t>
      </w:r>
    </w:p>
    <w:p>
      <w:pPr>
        <w:pStyle w:val="5"/>
        <w:tabs>
          <w:tab w:val="left" w:pos="4072"/>
        </w:tabs>
        <w:spacing w:before="1"/>
        <w:ind w:left="2913"/>
      </w:pPr>
      <w:r>
        <w:t>表</w:t>
      </w:r>
      <w:r>
        <w:rPr>
          <w:spacing w:val="-62"/>
        </w:rPr>
        <w:t xml:space="preserve"> </w:t>
      </w:r>
      <w:r>
        <w:rPr>
          <w:rFonts w:ascii="Times New Roman" w:eastAsia="Times New Roman"/>
        </w:rPr>
        <w:t>13.6-1</w:t>
      </w:r>
      <w:r>
        <w:rPr>
          <w:rFonts w:ascii="Times New Roman" w:eastAsia="Times New Roman"/>
        </w:rPr>
        <w:tab/>
      </w:r>
      <w:r>
        <w:t>环保设施竣工验收汇总表</w:t>
      </w:r>
    </w:p>
    <w:tbl>
      <w:tblPr>
        <w:tblStyle w:val="10"/>
        <w:tblW w:w="0" w:type="auto"/>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8"/>
        <w:gridCol w:w="2340"/>
        <w:gridCol w:w="3060"/>
        <w:gridCol w:w="29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008" w:type="dxa"/>
          </w:tcPr>
          <w:p>
            <w:pPr>
              <w:pStyle w:val="14"/>
              <w:spacing w:before="64"/>
              <w:ind w:left="273" w:right="264"/>
              <w:rPr>
                <w:sz w:val="21"/>
              </w:rPr>
            </w:pPr>
            <w:r>
              <w:rPr>
                <w:sz w:val="21"/>
              </w:rPr>
              <w:t>序号</w:t>
            </w:r>
          </w:p>
        </w:tc>
        <w:tc>
          <w:tcPr>
            <w:tcW w:w="2340" w:type="dxa"/>
          </w:tcPr>
          <w:p>
            <w:pPr>
              <w:pStyle w:val="14"/>
              <w:spacing w:before="64"/>
              <w:ind w:left="53" w:right="149"/>
              <w:rPr>
                <w:sz w:val="21"/>
              </w:rPr>
            </w:pPr>
            <w:r>
              <w:rPr>
                <w:sz w:val="21"/>
              </w:rPr>
              <w:t>项目</w:t>
            </w:r>
          </w:p>
        </w:tc>
        <w:tc>
          <w:tcPr>
            <w:tcW w:w="3060" w:type="dxa"/>
          </w:tcPr>
          <w:p>
            <w:pPr>
              <w:pStyle w:val="14"/>
              <w:spacing w:before="64"/>
              <w:ind w:left="91" w:right="190"/>
              <w:rPr>
                <w:sz w:val="21"/>
              </w:rPr>
            </w:pPr>
            <w:r>
              <w:rPr>
                <w:sz w:val="21"/>
              </w:rPr>
              <w:t>验收内容</w:t>
            </w:r>
          </w:p>
        </w:tc>
        <w:tc>
          <w:tcPr>
            <w:tcW w:w="2992" w:type="dxa"/>
          </w:tcPr>
          <w:p>
            <w:pPr>
              <w:pStyle w:val="14"/>
              <w:spacing w:before="64"/>
              <w:ind w:left="496"/>
              <w:jc w:val="left"/>
              <w:rPr>
                <w:sz w:val="21"/>
              </w:rPr>
            </w:pPr>
            <w:r>
              <w:rPr>
                <w:sz w:val="21"/>
              </w:rPr>
              <w:t>实施效果及控制目标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008" w:type="dxa"/>
          </w:tcPr>
          <w:p>
            <w:pPr>
              <w:pStyle w:val="14"/>
              <w:spacing w:before="65"/>
              <w:ind w:left="6"/>
              <w:rPr>
                <w:sz w:val="21"/>
              </w:rPr>
            </w:pPr>
            <w:r>
              <w:rPr>
                <w:w w:val="99"/>
                <w:sz w:val="21"/>
              </w:rPr>
              <w:t>一</w:t>
            </w:r>
          </w:p>
        </w:tc>
        <w:tc>
          <w:tcPr>
            <w:tcW w:w="2340" w:type="dxa"/>
          </w:tcPr>
          <w:p>
            <w:pPr>
              <w:pStyle w:val="14"/>
              <w:spacing w:before="65"/>
              <w:ind w:left="53" w:right="149"/>
              <w:rPr>
                <w:sz w:val="21"/>
              </w:rPr>
            </w:pPr>
            <w:r>
              <w:rPr>
                <w:sz w:val="21"/>
              </w:rPr>
              <w:t>水污染防治措施</w:t>
            </w:r>
          </w:p>
        </w:tc>
        <w:tc>
          <w:tcPr>
            <w:tcW w:w="3060" w:type="dxa"/>
          </w:tcPr>
          <w:p>
            <w:pPr>
              <w:pStyle w:val="14"/>
              <w:jc w:val="left"/>
              <w:rPr>
                <w:rFonts w:ascii="Times New Roman"/>
                <w:sz w:val="20"/>
              </w:rPr>
            </w:pPr>
          </w:p>
        </w:tc>
        <w:tc>
          <w:tcPr>
            <w:tcW w:w="2992" w:type="dxa"/>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0" w:hRule="atLeast"/>
        </w:trPr>
        <w:tc>
          <w:tcPr>
            <w:tcW w:w="1008" w:type="dxa"/>
          </w:tcPr>
          <w:p>
            <w:pPr>
              <w:pStyle w:val="14"/>
              <w:jc w:val="left"/>
              <w:rPr>
                <w:b/>
                <w:sz w:val="22"/>
              </w:rPr>
            </w:pPr>
          </w:p>
          <w:p>
            <w:pPr>
              <w:pStyle w:val="14"/>
              <w:spacing w:before="141"/>
              <w:ind w:left="8"/>
              <w:rPr>
                <w:rFonts w:ascii="Times New Roman"/>
                <w:sz w:val="21"/>
              </w:rPr>
            </w:pPr>
            <w:r>
              <w:rPr>
                <w:rFonts w:ascii="Times New Roman"/>
                <w:w w:val="99"/>
                <w:sz w:val="21"/>
              </w:rPr>
              <w:t>1</w:t>
            </w:r>
          </w:p>
        </w:tc>
        <w:tc>
          <w:tcPr>
            <w:tcW w:w="2340" w:type="dxa"/>
          </w:tcPr>
          <w:p>
            <w:pPr>
              <w:pStyle w:val="14"/>
              <w:jc w:val="left"/>
              <w:rPr>
                <w:b/>
                <w:sz w:val="20"/>
              </w:rPr>
            </w:pPr>
          </w:p>
          <w:p>
            <w:pPr>
              <w:pStyle w:val="14"/>
              <w:spacing w:before="153"/>
              <w:ind w:left="53" w:right="149"/>
              <w:rPr>
                <w:sz w:val="21"/>
              </w:rPr>
            </w:pPr>
            <w:r>
              <w:rPr>
                <w:sz w:val="21"/>
              </w:rPr>
              <w:t>生活污水处理</w:t>
            </w:r>
          </w:p>
        </w:tc>
        <w:tc>
          <w:tcPr>
            <w:tcW w:w="3060" w:type="dxa"/>
          </w:tcPr>
          <w:p>
            <w:pPr>
              <w:pStyle w:val="14"/>
              <w:spacing w:before="3"/>
              <w:jc w:val="left"/>
              <w:rPr>
                <w:b/>
                <w:sz w:val="21"/>
              </w:rPr>
            </w:pPr>
          </w:p>
          <w:p>
            <w:pPr>
              <w:pStyle w:val="14"/>
              <w:spacing w:line="242" w:lineRule="auto"/>
              <w:ind w:left="1425" w:right="77" w:hanging="1380"/>
              <w:jc w:val="left"/>
              <w:rPr>
                <w:sz w:val="21"/>
              </w:rPr>
            </w:pPr>
            <w:r>
              <w:rPr>
                <w:sz w:val="21"/>
              </w:rPr>
              <w:t xml:space="preserve">处理规模 </w:t>
            </w:r>
            <w:r>
              <w:rPr>
                <w:rFonts w:ascii="Times New Roman" w:eastAsia="Times New Roman"/>
                <w:sz w:val="21"/>
              </w:rPr>
              <w:t>360m</w:t>
            </w:r>
            <w:r>
              <w:rPr>
                <w:rFonts w:ascii="Times New Roman" w:eastAsia="Times New Roman"/>
                <w:position w:val="7"/>
                <w:sz w:val="13"/>
              </w:rPr>
              <w:t>3</w:t>
            </w:r>
            <w:r>
              <w:rPr>
                <w:rFonts w:ascii="Times New Roman" w:eastAsia="Times New Roman"/>
                <w:sz w:val="21"/>
              </w:rPr>
              <w:t>/d</w:t>
            </w:r>
            <w:r>
              <w:rPr>
                <w:sz w:val="21"/>
              </w:rPr>
              <w:t>，二级生物处理</w:t>
            </w:r>
          </w:p>
        </w:tc>
        <w:tc>
          <w:tcPr>
            <w:tcW w:w="2992" w:type="dxa"/>
          </w:tcPr>
          <w:p>
            <w:pPr>
              <w:pStyle w:val="14"/>
              <w:spacing w:before="1" w:line="242" w:lineRule="auto"/>
              <w:ind w:left="865" w:right="121" w:hanging="843"/>
              <w:jc w:val="left"/>
              <w:rPr>
                <w:sz w:val="21"/>
              </w:rPr>
            </w:pPr>
            <w:r>
              <w:rPr>
                <w:sz w:val="21"/>
              </w:rPr>
              <w:t>满足《城市污水再生利用 城市杂用水水质》</w:t>
            </w:r>
          </w:p>
          <w:p>
            <w:pPr>
              <w:pStyle w:val="14"/>
              <w:spacing w:line="268" w:lineRule="exact"/>
              <w:ind w:left="107" w:right="-15"/>
              <w:jc w:val="left"/>
              <w:rPr>
                <w:sz w:val="21"/>
              </w:rPr>
            </w:pPr>
            <w:r>
              <w:rPr>
                <w:spacing w:val="-5"/>
                <w:sz w:val="21"/>
              </w:rPr>
              <w:t>（</w:t>
            </w:r>
            <w:r>
              <w:rPr>
                <w:rFonts w:ascii="Times New Roman" w:eastAsia="Times New Roman"/>
                <w:spacing w:val="-5"/>
                <w:sz w:val="21"/>
              </w:rPr>
              <w:t>GB/T18920-2002</w:t>
            </w:r>
            <w:r>
              <w:rPr>
                <w:spacing w:val="-5"/>
                <w:sz w:val="21"/>
              </w:rPr>
              <w:t>）</w:t>
            </w:r>
            <w:r>
              <w:rPr>
                <w:sz w:val="21"/>
              </w:rPr>
              <w:t>道路清扫、</w:t>
            </w:r>
          </w:p>
          <w:p>
            <w:pPr>
              <w:pStyle w:val="14"/>
              <w:spacing w:before="5" w:line="252" w:lineRule="exact"/>
              <w:ind w:left="760"/>
              <w:jc w:val="left"/>
              <w:rPr>
                <w:sz w:val="21"/>
              </w:rPr>
            </w:pPr>
            <w:r>
              <w:rPr>
                <w:sz w:val="21"/>
              </w:rPr>
              <w:t>消防用水标准。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1008" w:type="dxa"/>
          </w:tcPr>
          <w:p>
            <w:pPr>
              <w:pStyle w:val="14"/>
              <w:spacing w:before="4"/>
              <w:jc w:val="left"/>
              <w:rPr>
                <w:b/>
                <w:sz w:val="22"/>
              </w:rPr>
            </w:pPr>
          </w:p>
          <w:p>
            <w:pPr>
              <w:pStyle w:val="14"/>
              <w:ind w:left="8"/>
              <w:rPr>
                <w:rFonts w:ascii="Times New Roman"/>
                <w:sz w:val="21"/>
              </w:rPr>
            </w:pPr>
            <w:r>
              <w:rPr>
                <w:rFonts w:ascii="Times New Roman"/>
                <w:w w:val="99"/>
                <w:sz w:val="21"/>
              </w:rPr>
              <w:t>2</w:t>
            </w:r>
          </w:p>
        </w:tc>
        <w:tc>
          <w:tcPr>
            <w:tcW w:w="2340" w:type="dxa"/>
          </w:tcPr>
          <w:p>
            <w:pPr>
              <w:pStyle w:val="14"/>
              <w:spacing w:before="2"/>
              <w:jc w:val="left"/>
              <w:rPr>
                <w:b/>
                <w:sz w:val="21"/>
              </w:rPr>
            </w:pPr>
          </w:p>
          <w:p>
            <w:pPr>
              <w:pStyle w:val="14"/>
              <w:spacing w:before="1"/>
              <w:ind w:left="53" w:right="152"/>
              <w:rPr>
                <w:sz w:val="21"/>
              </w:rPr>
            </w:pPr>
            <w:r>
              <w:rPr>
                <w:sz w:val="21"/>
              </w:rPr>
              <w:t>矿井水处理</w:t>
            </w:r>
          </w:p>
        </w:tc>
        <w:tc>
          <w:tcPr>
            <w:tcW w:w="3060" w:type="dxa"/>
          </w:tcPr>
          <w:p>
            <w:pPr>
              <w:pStyle w:val="14"/>
              <w:spacing w:before="135" w:line="244" w:lineRule="auto"/>
              <w:ind w:left="244" w:right="16" w:hanging="243"/>
              <w:jc w:val="left"/>
              <w:rPr>
                <w:sz w:val="21"/>
              </w:rPr>
            </w:pPr>
            <w:r>
              <w:rPr>
                <w:sz w:val="21"/>
              </w:rPr>
              <w:t xml:space="preserve">处理规模 </w:t>
            </w:r>
            <w:r>
              <w:rPr>
                <w:rFonts w:ascii="Times New Roman" w:eastAsia="Times New Roman"/>
                <w:sz w:val="21"/>
              </w:rPr>
              <w:t>3720m</w:t>
            </w:r>
            <w:r>
              <w:rPr>
                <w:rFonts w:ascii="Times New Roman" w:eastAsia="Times New Roman"/>
                <w:position w:val="7"/>
                <w:sz w:val="13"/>
              </w:rPr>
              <w:t>3</w:t>
            </w:r>
            <w:r>
              <w:rPr>
                <w:rFonts w:ascii="Times New Roman" w:eastAsia="Times New Roman"/>
                <w:sz w:val="21"/>
              </w:rPr>
              <w:t>/d</w:t>
            </w:r>
            <w:r>
              <w:rPr>
                <w:sz w:val="21"/>
              </w:rPr>
              <w:t>，主体工艺： 调节</w:t>
            </w:r>
            <w:r>
              <w:rPr>
                <w:rFonts w:ascii="Times New Roman" w:eastAsia="Times New Roman"/>
                <w:sz w:val="21"/>
              </w:rPr>
              <w:t>+</w:t>
            </w:r>
            <w:r>
              <w:rPr>
                <w:sz w:val="21"/>
              </w:rPr>
              <w:t>絮凝</w:t>
            </w:r>
            <w:r>
              <w:rPr>
                <w:rFonts w:ascii="Times New Roman" w:eastAsia="Times New Roman"/>
                <w:sz w:val="21"/>
              </w:rPr>
              <w:t>+</w:t>
            </w:r>
            <w:r>
              <w:rPr>
                <w:sz w:val="21"/>
              </w:rPr>
              <w:t>沉淀</w:t>
            </w:r>
            <w:r>
              <w:rPr>
                <w:rFonts w:ascii="Times New Roman" w:eastAsia="Times New Roman"/>
                <w:sz w:val="21"/>
              </w:rPr>
              <w:t>+</w:t>
            </w:r>
            <w:r>
              <w:rPr>
                <w:sz w:val="21"/>
              </w:rPr>
              <w:t>过滤</w:t>
            </w:r>
            <w:r>
              <w:rPr>
                <w:rFonts w:ascii="Times New Roman" w:eastAsia="Times New Roman"/>
                <w:sz w:val="21"/>
              </w:rPr>
              <w:t>+</w:t>
            </w:r>
            <w:r>
              <w:rPr>
                <w:sz w:val="21"/>
              </w:rPr>
              <w:t>消毒</w:t>
            </w:r>
          </w:p>
        </w:tc>
        <w:tc>
          <w:tcPr>
            <w:tcW w:w="2992" w:type="dxa"/>
          </w:tcPr>
          <w:p>
            <w:pPr>
              <w:pStyle w:val="14"/>
              <w:spacing w:before="1" w:line="242" w:lineRule="auto"/>
              <w:ind w:left="76" w:right="96" w:hanging="78"/>
              <w:rPr>
                <w:rFonts w:ascii="Times New Roman" w:eastAsia="Times New Roman"/>
                <w:sz w:val="21"/>
              </w:rPr>
            </w:pPr>
            <w:r>
              <w:rPr>
                <w:sz w:val="21"/>
              </w:rPr>
              <w:t>满足《煤炭工业污染物排放标</w:t>
            </w:r>
            <w:r>
              <w:rPr>
                <w:spacing w:val="-13"/>
                <w:sz w:val="21"/>
              </w:rPr>
              <w:t>准》</w:t>
            </w:r>
            <w:r>
              <w:rPr>
                <w:sz w:val="21"/>
              </w:rPr>
              <w:t>（</w:t>
            </w:r>
            <w:r>
              <w:rPr>
                <w:rFonts w:ascii="Times New Roman" w:eastAsia="Times New Roman"/>
                <w:sz w:val="21"/>
              </w:rPr>
              <w:t>GB20426-2006</w:t>
            </w:r>
            <w:r>
              <w:rPr>
                <w:sz w:val="21"/>
              </w:rPr>
              <w:t>）</w:t>
            </w:r>
            <w:r>
              <w:rPr>
                <w:spacing w:val="-34"/>
                <w:sz w:val="21"/>
              </w:rPr>
              <w:t xml:space="preserve">表 </w:t>
            </w:r>
            <w:r>
              <w:rPr>
                <w:rFonts w:ascii="Times New Roman" w:eastAsia="Times New Roman"/>
                <w:sz w:val="21"/>
              </w:rPr>
              <w:t>1</w:t>
            </w:r>
            <w:r>
              <w:rPr>
                <w:spacing w:val="-15"/>
                <w:sz w:val="21"/>
              </w:rPr>
              <w:t>、</w:t>
            </w:r>
            <w:r>
              <w:rPr>
                <w:rFonts w:ascii="Times New Roman" w:eastAsia="Times New Roman"/>
                <w:sz w:val="21"/>
              </w:rPr>
              <w:t>2</w:t>
            </w:r>
          </w:p>
          <w:p>
            <w:pPr>
              <w:pStyle w:val="14"/>
              <w:spacing w:line="253" w:lineRule="exact"/>
              <w:ind w:left="5"/>
              <w:rPr>
                <w:sz w:val="21"/>
              </w:rPr>
            </w:pPr>
            <w:r>
              <w:rPr>
                <w:sz w:val="21"/>
              </w:rPr>
              <w:t>标准限值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008" w:type="dxa"/>
          </w:tcPr>
          <w:p>
            <w:pPr>
              <w:pStyle w:val="14"/>
              <w:spacing w:before="64"/>
              <w:ind w:left="6"/>
              <w:rPr>
                <w:sz w:val="21"/>
              </w:rPr>
            </w:pPr>
            <w:r>
              <w:rPr>
                <w:w w:val="99"/>
                <w:sz w:val="21"/>
              </w:rPr>
              <w:t>二</w:t>
            </w:r>
          </w:p>
        </w:tc>
        <w:tc>
          <w:tcPr>
            <w:tcW w:w="2340" w:type="dxa"/>
          </w:tcPr>
          <w:p>
            <w:pPr>
              <w:pStyle w:val="14"/>
              <w:spacing w:before="64"/>
              <w:ind w:left="53" w:right="152"/>
              <w:rPr>
                <w:sz w:val="21"/>
              </w:rPr>
            </w:pPr>
            <w:r>
              <w:rPr>
                <w:sz w:val="21"/>
              </w:rPr>
              <w:t>大气污染防治措施</w:t>
            </w:r>
          </w:p>
        </w:tc>
        <w:tc>
          <w:tcPr>
            <w:tcW w:w="3060" w:type="dxa"/>
          </w:tcPr>
          <w:p>
            <w:pPr>
              <w:pStyle w:val="14"/>
              <w:jc w:val="left"/>
              <w:rPr>
                <w:rFonts w:ascii="Times New Roman"/>
                <w:sz w:val="20"/>
              </w:rPr>
            </w:pPr>
          </w:p>
        </w:tc>
        <w:tc>
          <w:tcPr>
            <w:tcW w:w="2992" w:type="dxa"/>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1" w:hRule="atLeast"/>
        </w:trPr>
        <w:tc>
          <w:tcPr>
            <w:tcW w:w="1008" w:type="dxa"/>
          </w:tcPr>
          <w:p>
            <w:pPr>
              <w:pStyle w:val="14"/>
              <w:jc w:val="left"/>
              <w:rPr>
                <w:b/>
                <w:sz w:val="22"/>
              </w:rPr>
            </w:pPr>
          </w:p>
          <w:p>
            <w:pPr>
              <w:pStyle w:val="14"/>
              <w:jc w:val="left"/>
              <w:rPr>
                <w:b/>
                <w:sz w:val="22"/>
              </w:rPr>
            </w:pPr>
          </w:p>
          <w:p>
            <w:pPr>
              <w:pStyle w:val="14"/>
              <w:jc w:val="left"/>
              <w:rPr>
                <w:b/>
                <w:sz w:val="22"/>
              </w:rPr>
            </w:pPr>
          </w:p>
          <w:p>
            <w:pPr>
              <w:pStyle w:val="14"/>
              <w:spacing w:before="2"/>
              <w:jc w:val="left"/>
              <w:rPr>
                <w:b/>
                <w:sz w:val="22"/>
              </w:rPr>
            </w:pPr>
          </w:p>
          <w:p>
            <w:pPr>
              <w:pStyle w:val="14"/>
              <w:ind w:left="8"/>
              <w:rPr>
                <w:rFonts w:ascii="Times New Roman"/>
                <w:sz w:val="21"/>
              </w:rPr>
            </w:pPr>
            <w:r>
              <w:rPr>
                <w:rFonts w:ascii="Times New Roman"/>
                <w:w w:val="99"/>
                <w:sz w:val="21"/>
              </w:rPr>
              <w:t>1</w:t>
            </w:r>
          </w:p>
        </w:tc>
        <w:tc>
          <w:tcPr>
            <w:tcW w:w="2340" w:type="dxa"/>
          </w:tcPr>
          <w:p>
            <w:pPr>
              <w:pStyle w:val="14"/>
              <w:jc w:val="left"/>
              <w:rPr>
                <w:b/>
                <w:sz w:val="20"/>
              </w:rPr>
            </w:pPr>
          </w:p>
          <w:p>
            <w:pPr>
              <w:pStyle w:val="14"/>
              <w:jc w:val="left"/>
              <w:rPr>
                <w:b/>
                <w:sz w:val="20"/>
              </w:rPr>
            </w:pPr>
          </w:p>
          <w:p>
            <w:pPr>
              <w:pStyle w:val="14"/>
              <w:jc w:val="left"/>
              <w:rPr>
                <w:b/>
                <w:sz w:val="20"/>
              </w:rPr>
            </w:pPr>
          </w:p>
          <w:p>
            <w:pPr>
              <w:pStyle w:val="14"/>
              <w:spacing w:before="11"/>
              <w:jc w:val="left"/>
              <w:rPr>
                <w:b/>
                <w:sz w:val="26"/>
              </w:rPr>
            </w:pPr>
          </w:p>
          <w:p>
            <w:pPr>
              <w:pStyle w:val="14"/>
              <w:ind w:left="53" w:right="149"/>
              <w:rPr>
                <w:sz w:val="21"/>
              </w:rPr>
            </w:pPr>
            <w:r>
              <w:rPr>
                <w:sz w:val="21"/>
              </w:rPr>
              <w:t>锅炉及热风炉</w:t>
            </w:r>
          </w:p>
        </w:tc>
        <w:tc>
          <w:tcPr>
            <w:tcW w:w="3060" w:type="dxa"/>
          </w:tcPr>
          <w:p>
            <w:pPr>
              <w:pStyle w:val="14"/>
              <w:jc w:val="left"/>
              <w:rPr>
                <w:b/>
                <w:sz w:val="20"/>
              </w:rPr>
            </w:pPr>
          </w:p>
          <w:p>
            <w:pPr>
              <w:pStyle w:val="14"/>
              <w:jc w:val="left"/>
              <w:rPr>
                <w:b/>
                <w:sz w:val="20"/>
              </w:rPr>
            </w:pPr>
          </w:p>
          <w:p>
            <w:pPr>
              <w:pStyle w:val="14"/>
              <w:jc w:val="left"/>
              <w:rPr>
                <w:b/>
                <w:sz w:val="20"/>
              </w:rPr>
            </w:pPr>
          </w:p>
          <w:p>
            <w:pPr>
              <w:pStyle w:val="14"/>
              <w:spacing w:before="5"/>
              <w:jc w:val="left"/>
              <w:rPr>
                <w:b/>
                <w:sz w:val="16"/>
              </w:rPr>
            </w:pPr>
          </w:p>
          <w:p>
            <w:pPr>
              <w:pStyle w:val="14"/>
              <w:spacing w:line="242" w:lineRule="auto"/>
              <w:ind w:left="1425" w:right="103" w:hanging="1419"/>
              <w:jc w:val="left"/>
              <w:rPr>
                <w:sz w:val="21"/>
              </w:rPr>
            </w:pPr>
            <w:r>
              <w:rPr>
                <w:sz w:val="21"/>
              </w:rPr>
              <w:t>锅炉燃用生物质锅炉及布袋除尘器</w:t>
            </w:r>
          </w:p>
        </w:tc>
        <w:tc>
          <w:tcPr>
            <w:tcW w:w="2992" w:type="dxa"/>
          </w:tcPr>
          <w:p>
            <w:pPr>
              <w:pStyle w:val="14"/>
              <w:spacing w:line="242" w:lineRule="auto"/>
              <w:ind w:left="-1" w:right="97" w:hanging="1"/>
              <w:rPr>
                <w:sz w:val="21"/>
              </w:rPr>
            </w:pPr>
            <w:r>
              <w:rPr>
                <w:spacing w:val="-8"/>
                <w:w w:val="95"/>
                <w:sz w:val="21"/>
              </w:rPr>
              <w:t>锅炉满足《锅炉大气污染物排放</w:t>
            </w:r>
            <w:r>
              <w:rPr>
                <w:spacing w:val="-8"/>
                <w:sz w:val="21"/>
              </w:rPr>
              <w:t>标准》（</w:t>
            </w:r>
            <w:r>
              <w:rPr>
                <w:rFonts w:ascii="Times New Roman" w:hAnsi="Times New Roman" w:eastAsia="Times New Roman"/>
                <w:spacing w:val="-8"/>
                <w:sz w:val="21"/>
              </w:rPr>
              <w:t>GB13271-2014</w:t>
            </w:r>
            <w:r>
              <w:rPr>
                <w:spacing w:val="-8"/>
                <w:sz w:val="21"/>
              </w:rPr>
              <w:t>）标准</w:t>
            </w:r>
            <w:r>
              <w:rPr>
                <w:spacing w:val="-14"/>
                <w:sz w:val="21"/>
              </w:rPr>
              <w:t xml:space="preserve">限值要求，烟尘 </w:t>
            </w:r>
            <w:r>
              <w:rPr>
                <w:rFonts w:ascii="Times New Roman" w:hAnsi="Times New Roman" w:eastAsia="Times New Roman"/>
                <w:sz w:val="21"/>
              </w:rPr>
              <w:t>50mg/m</w:t>
            </w:r>
            <w:r>
              <w:rPr>
                <w:rFonts w:ascii="Times New Roman" w:hAnsi="Times New Roman" w:eastAsia="Times New Roman"/>
                <w:position w:val="7"/>
                <w:sz w:val="13"/>
              </w:rPr>
              <w:t>3</w:t>
            </w:r>
            <w:r>
              <w:rPr>
                <w:sz w:val="21"/>
              </w:rPr>
              <w:t xml:space="preserve">， </w:t>
            </w:r>
            <w:r>
              <w:rPr>
                <w:rFonts w:ascii="Times New Roman" w:hAnsi="Times New Roman" w:eastAsia="Times New Roman"/>
                <w:position w:val="2"/>
                <w:sz w:val="21"/>
              </w:rPr>
              <w:t>SO</w:t>
            </w:r>
            <w:r>
              <w:rPr>
                <w:rFonts w:ascii="Times New Roman" w:hAnsi="Times New Roman" w:eastAsia="Times New Roman"/>
                <w:position w:val="2"/>
                <w:sz w:val="21"/>
                <w:vertAlign w:val="subscript"/>
              </w:rPr>
              <w:t>2</w:t>
            </w:r>
            <w:r>
              <w:rPr>
                <w:rFonts w:ascii="Times New Roman" w:hAnsi="Times New Roman" w:eastAsia="Times New Roman"/>
                <w:position w:val="2"/>
                <w:sz w:val="21"/>
                <w:vertAlign w:val="baseline"/>
              </w:rPr>
              <w:t>≤300 mg/m</w:t>
            </w:r>
            <w:r>
              <w:rPr>
                <w:rFonts w:ascii="Times New Roman" w:hAnsi="Times New Roman" w:eastAsia="Times New Roman"/>
                <w:position w:val="2"/>
                <w:sz w:val="21"/>
                <w:vertAlign w:val="superscript"/>
              </w:rPr>
              <w:t>3</w:t>
            </w:r>
            <w:r>
              <w:rPr>
                <w:position w:val="2"/>
                <w:sz w:val="21"/>
                <w:vertAlign w:val="baseline"/>
              </w:rPr>
              <w:t>，</w:t>
            </w:r>
            <w:r>
              <w:rPr>
                <w:rFonts w:ascii="Times New Roman" w:hAnsi="Times New Roman" w:eastAsia="Times New Roman"/>
                <w:position w:val="2"/>
                <w:sz w:val="21"/>
                <w:vertAlign w:val="baseline"/>
              </w:rPr>
              <w:t>NO</w:t>
            </w:r>
            <w:r>
              <w:rPr>
                <w:rFonts w:ascii="Times New Roman" w:hAnsi="Times New Roman" w:eastAsia="Times New Roman"/>
                <w:position w:val="2"/>
                <w:sz w:val="21"/>
                <w:vertAlign w:val="subscript"/>
              </w:rPr>
              <w:t>2</w:t>
            </w:r>
            <w:r>
              <w:rPr>
                <w:rFonts w:ascii="Times New Roman" w:hAnsi="Times New Roman" w:eastAsia="Times New Roman"/>
                <w:position w:val="2"/>
                <w:sz w:val="21"/>
                <w:vertAlign w:val="baseline"/>
              </w:rPr>
              <w:t xml:space="preserve">≤300 </w:t>
            </w:r>
            <w:r>
              <w:rPr>
                <w:rFonts w:ascii="Times New Roman" w:hAnsi="Times New Roman" w:eastAsia="Times New Roman"/>
                <w:spacing w:val="-8"/>
                <w:sz w:val="21"/>
                <w:vertAlign w:val="baseline"/>
              </w:rPr>
              <w:t>mg/m</w:t>
            </w:r>
            <w:r>
              <w:rPr>
                <w:rFonts w:ascii="Times New Roman" w:hAnsi="Times New Roman" w:eastAsia="Times New Roman"/>
                <w:spacing w:val="-8"/>
                <w:position w:val="7"/>
                <w:sz w:val="13"/>
                <w:vertAlign w:val="baseline"/>
              </w:rPr>
              <w:t>3</w:t>
            </w:r>
            <w:r>
              <w:rPr>
                <w:spacing w:val="-8"/>
                <w:sz w:val="21"/>
                <w:vertAlign w:val="baseline"/>
              </w:rPr>
              <w:t>；热风炉满足《工业炉窑大气污染物排放标准》</w:t>
            </w:r>
          </w:p>
          <w:p>
            <w:pPr>
              <w:pStyle w:val="14"/>
              <w:spacing w:line="267" w:lineRule="exact"/>
              <w:ind w:left="13"/>
              <w:rPr>
                <w:rFonts w:ascii="Times New Roman" w:eastAsia="Times New Roman"/>
                <w:sz w:val="21"/>
              </w:rPr>
            </w:pPr>
            <w:r>
              <w:rPr>
                <w:sz w:val="21"/>
              </w:rPr>
              <w:t>（</w:t>
            </w:r>
            <w:r>
              <w:rPr>
                <w:rFonts w:ascii="Times New Roman" w:eastAsia="Times New Roman"/>
                <w:sz w:val="21"/>
              </w:rPr>
              <w:t>GB9078-1996</w:t>
            </w:r>
            <w:r>
              <w:rPr>
                <w:sz w:val="21"/>
              </w:rPr>
              <w:t xml:space="preserve">）中表 </w:t>
            </w:r>
            <w:r>
              <w:rPr>
                <w:rFonts w:ascii="Times New Roman" w:eastAsia="Times New Roman"/>
                <w:sz w:val="21"/>
              </w:rPr>
              <w:t xml:space="preserve">2 </w:t>
            </w:r>
            <w:r>
              <w:rPr>
                <w:sz w:val="21"/>
              </w:rPr>
              <w:t xml:space="preserve">及表 </w:t>
            </w:r>
            <w:r>
              <w:rPr>
                <w:rFonts w:ascii="Times New Roman" w:eastAsia="Times New Roman"/>
                <w:sz w:val="21"/>
              </w:rPr>
              <w:t>4</w:t>
            </w:r>
          </w:p>
          <w:p>
            <w:pPr>
              <w:pStyle w:val="14"/>
              <w:spacing w:before="3" w:line="290" w:lineRule="atLeast"/>
              <w:ind w:left="11"/>
              <w:rPr>
                <w:sz w:val="21"/>
              </w:rPr>
            </w:pPr>
            <w:r>
              <w:rPr>
                <w:sz w:val="21"/>
              </w:rPr>
              <w:t>要求</w:t>
            </w:r>
            <w:r>
              <w:rPr>
                <w:sz w:val="24"/>
              </w:rPr>
              <w:t xml:space="preserve">烟尘 </w:t>
            </w:r>
            <w:r>
              <w:rPr>
                <w:rFonts w:ascii="Times New Roman" w:eastAsia="Times New Roman"/>
                <w:sz w:val="24"/>
              </w:rPr>
              <w:t>200mg/m</w:t>
            </w:r>
            <w:r>
              <w:rPr>
                <w:rFonts w:ascii="Times New Roman" w:eastAsia="Times New Roman"/>
                <w:position w:val="8"/>
                <w:sz w:val="15"/>
              </w:rPr>
              <w:t>3</w:t>
            </w:r>
            <w:r>
              <w:rPr>
                <w:sz w:val="24"/>
              </w:rPr>
              <w:t>、</w:t>
            </w:r>
            <w:r>
              <w:rPr>
                <w:rFonts w:ascii="Times New Roman" w:eastAsia="Times New Roman"/>
                <w:position w:val="2"/>
                <w:sz w:val="24"/>
              </w:rPr>
              <w:t>SO</w:t>
            </w:r>
            <w:r>
              <w:rPr>
                <w:rFonts w:ascii="Times New Roman" w:eastAsia="Times New Roman"/>
                <w:position w:val="2"/>
                <w:sz w:val="24"/>
                <w:vertAlign w:val="subscript"/>
              </w:rPr>
              <w:t>2</w:t>
            </w:r>
            <w:r>
              <w:rPr>
                <w:rFonts w:ascii="Times New Roman" w:eastAsia="Times New Roman"/>
                <w:position w:val="2"/>
                <w:sz w:val="24"/>
                <w:vertAlign w:val="baseline"/>
              </w:rPr>
              <w:t>850mg/m</w:t>
            </w:r>
            <w:r>
              <w:rPr>
                <w:rFonts w:ascii="Times New Roman" w:eastAsia="Times New Roman"/>
                <w:position w:val="2"/>
                <w:sz w:val="24"/>
                <w:vertAlign w:val="superscript"/>
              </w:rPr>
              <w:t>3</w:t>
            </w:r>
            <w:r>
              <w:rPr>
                <w:position w:val="2"/>
                <w:sz w:val="21"/>
                <w:vertAlign w:val="baseli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008" w:type="dxa"/>
          </w:tcPr>
          <w:p>
            <w:pPr>
              <w:pStyle w:val="14"/>
              <w:spacing w:before="64"/>
              <w:ind w:left="8"/>
              <w:rPr>
                <w:rFonts w:ascii="Times New Roman"/>
                <w:sz w:val="21"/>
              </w:rPr>
            </w:pPr>
            <w:r>
              <w:rPr>
                <w:rFonts w:ascii="Times New Roman"/>
                <w:w w:val="99"/>
                <w:sz w:val="21"/>
              </w:rPr>
              <w:t>2</w:t>
            </w:r>
          </w:p>
        </w:tc>
        <w:tc>
          <w:tcPr>
            <w:tcW w:w="2340" w:type="dxa"/>
          </w:tcPr>
          <w:p>
            <w:pPr>
              <w:pStyle w:val="14"/>
              <w:spacing w:before="50"/>
              <w:ind w:left="53" w:right="149"/>
              <w:rPr>
                <w:sz w:val="21"/>
              </w:rPr>
            </w:pPr>
            <w:r>
              <w:rPr>
                <w:sz w:val="21"/>
              </w:rPr>
              <w:t>储煤仓</w:t>
            </w:r>
          </w:p>
        </w:tc>
        <w:tc>
          <w:tcPr>
            <w:tcW w:w="3060" w:type="dxa"/>
          </w:tcPr>
          <w:p>
            <w:pPr>
              <w:pStyle w:val="14"/>
              <w:spacing w:before="50"/>
              <w:ind w:left="91" w:right="190"/>
              <w:rPr>
                <w:sz w:val="21"/>
              </w:rPr>
            </w:pPr>
            <w:r>
              <w:rPr>
                <w:sz w:val="21"/>
              </w:rPr>
              <w:t>全封闭煤仓</w:t>
            </w:r>
          </w:p>
        </w:tc>
        <w:tc>
          <w:tcPr>
            <w:tcW w:w="2992" w:type="dxa"/>
            <w:vMerge w:val="restart"/>
          </w:tcPr>
          <w:p>
            <w:pPr>
              <w:pStyle w:val="14"/>
              <w:spacing w:line="242" w:lineRule="auto"/>
              <w:ind w:left="131" w:right="119" w:hanging="56"/>
              <w:jc w:val="both"/>
              <w:rPr>
                <w:sz w:val="21"/>
              </w:rPr>
            </w:pPr>
            <w:r>
              <w:rPr>
                <w:sz w:val="21"/>
              </w:rPr>
              <w:t>满足《煤炭工业污染物排放标准》（</w:t>
            </w:r>
            <w:r>
              <w:rPr>
                <w:rFonts w:ascii="Times New Roman" w:eastAsia="Times New Roman"/>
                <w:sz w:val="21"/>
              </w:rPr>
              <w:t>GB20426-2006</w:t>
            </w:r>
            <w:r>
              <w:rPr>
                <w:sz w:val="21"/>
              </w:rPr>
              <w:t>）</w:t>
            </w:r>
            <w:r>
              <w:rPr>
                <w:spacing w:val="-29"/>
                <w:sz w:val="21"/>
              </w:rPr>
              <w:t xml:space="preserve">表 </w:t>
            </w:r>
            <w:r>
              <w:rPr>
                <w:rFonts w:ascii="Times New Roman" w:eastAsia="Times New Roman"/>
                <w:sz w:val="21"/>
              </w:rPr>
              <w:t>4</w:t>
            </w:r>
            <w:r>
              <w:rPr>
                <w:sz w:val="21"/>
              </w:rPr>
              <w:t>、</w:t>
            </w:r>
            <w:r>
              <w:rPr>
                <w:spacing w:val="-29"/>
                <w:sz w:val="21"/>
              </w:rPr>
              <w:t xml:space="preserve">表 </w:t>
            </w:r>
            <w:r>
              <w:rPr>
                <w:rFonts w:ascii="Times New Roman" w:eastAsia="Times New Roman"/>
                <w:sz w:val="21"/>
              </w:rPr>
              <w:t xml:space="preserve">5 </w:t>
            </w:r>
            <w:r>
              <w:rPr>
                <w:spacing w:val="-1"/>
                <w:sz w:val="21"/>
              </w:rPr>
              <w:t>标准限值，颗粒物周界外</w:t>
            </w:r>
          </w:p>
          <w:p>
            <w:pPr>
              <w:pStyle w:val="14"/>
              <w:spacing w:line="251" w:lineRule="exact"/>
              <w:ind w:left="870"/>
              <w:jc w:val="left"/>
              <w:rPr>
                <w:rFonts w:ascii="Times New Roman" w:hAnsi="Times New Roman" w:eastAsia="Times New Roman"/>
                <w:sz w:val="13"/>
              </w:rPr>
            </w:pPr>
            <w:r>
              <w:rPr>
                <w:sz w:val="21"/>
              </w:rPr>
              <w:t>浓度</w:t>
            </w:r>
            <w:r>
              <w:rPr>
                <w:rFonts w:ascii="Times New Roman" w:hAnsi="Times New Roman" w:eastAsia="Times New Roman"/>
                <w:sz w:val="21"/>
              </w:rPr>
              <w:t>≤1 mg/m</w:t>
            </w:r>
            <w:r>
              <w:rPr>
                <w:rFonts w:ascii="Times New Roman" w:hAnsi="Times New Roman" w:eastAsia="Times New Roman"/>
                <w:position w:val="7"/>
                <w:sz w:val="13"/>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 w:hRule="atLeast"/>
        </w:trPr>
        <w:tc>
          <w:tcPr>
            <w:tcW w:w="1008" w:type="dxa"/>
          </w:tcPr>
          <w:p>
            <w:pPr>
              <w:pStyle w:val="14"/>
              <w:spacing w:before="6"/>
              <w:jc w:val="left"/>
              <w:rPr>
                <w:b/>
                <w:sz w:val="17"/>
              </w:rPr>
            </w:pPr>
          </w:p>
          <w:p>
            <w:pPr>
              <w:pStyle w:val="14"/>
              <w:spacing w:before="1"/>
              <w:ind w:left="8"/>
              <w:rPr>
                <w:rFonts w:ascii="Times New Roman"/>
                <w:sz w:val="21"/>
              </w:rPr>
            </w:pPr>
            <w:r>
              <w:rPr>
                <w:rFonts w:ascii="Times New Roman"/>
                <w:w w:val="99"/>
                <w:sz w:val="21"/>
              </w:rPr>
              <w:t>3</w:t>
            </w:r>
          </w:p>
        </w:tc>
        <w:tc>
          <w:tcPr>
            <w:tcW w:w="2340" w:type="dxa"/>
          </w:tcPr>
          <w:p>
            <w:pPr>
              <w:pStyle w:val="14"/>
              <w:spacing w:before="5"/>
              <w:jc w:val="left"/>
              <w:rPr>
                <w:b/>
                <w:sz w:val="16"/>
              </w:rPr>
            </w:pPr>
          </w:p>
          <w:p>
            <w:pPr>
              <w:pStyle w:val="14"/>
              <w:ind w:left="53" w:right="152"/>
              <w:rPr>
                <w:sz w:val="21"/>
              </w:rPr>
            </w:pPr>
            <w:r>
              <w:rPr>
                <w:spacing w:val="-10"/>
                <w:w w:val="95"/>
                <w:sz w:val="21"/>
              </w:rPr>
              <w:t>工业广场、道路扬尘治理</w:t>
            </w:r>
          </w:p>
        </w:tc>
        <w:tc>
          <w:tcPr>
            <w:tcW w:w="3060" w:type="dxa"/>
          </w:tcPr>
          <w:p>
            <w:pPr>
              <w:pStyle w:val="14"/>
              <w:spacing w:before="74" w:line="242" w:lineRule="auto"/>
              <w:ind w:left="1213" w:right="103" w:hanging="1208"/>
              <w:jc w:val="left"/>
              <w:rPr>
                <w:sz w:val="21"/>
              </w:rPr>
            </w:pPr>
            <w:r>
              <w:rPr>
                <w:w w:val="95"/>
                <w:sz w:val="21"/>
              </w:rPr>
              <w:t>洒水车一台，用于绿化洒水及降</w:t>
            </w:r>
            <w:r>
              <w:rPr>
                <w:sz w:val="21"/>
              </w:rPr>
              <w:t>尘洒水</w:t>
            </w:r>
          </w:p>
        </w:tc>
        <w:tc>
          <w:tcPr>
            <w:tcW w:w="299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1008" w:type="dxa"/>
          </w:tcPr>
          <w:p>
            <w:pPr>
              <w:pStyle w:val="14"/>
              <w:spacing w:before="3"/>
              <w:jc w:val="left"/>
              <w:rPr>
                <w:b/>
                <w:sz w:val="22"/>
              </w:rPr>
            </w:pPr>
          </w:p>
          <w:p>
            <w:pPr>
              <w:pStyle w:val="14"/>
              <w:ind w:left="8"/>
              <w:rPr>
                <w:rFonts w:ascii="Times New Roman"/>
                <w:sz w:val="21"/>
              </w:rPr>
            </w:pPr>
            <w:r>
              <w:rPr>
                <w:rFonts w:ascii="Times New Roman"/>
                <w:w w:val="99"/>
                <w:sz w:val="21"/>
              </w:rPr>
              <w:t>4</w:t>
            </w:r>
          </w:p>
        </w:tc>
        <w:tc>
          <w:tcPr>
            <w:tcW w:w="2340" w:type="dxa"/>
          </w:tcPr>
          <w:p>
            <w:pPr>
              <w:pStyle w:val="14"/>
              <w:spacing w:before="1"/>
              <w:jc w:val="left"/>
              <w:rPr>
                <w:b/>
                <w:sz w:val="21"/>
              </w:rPr>
            </w:pPr>
          </w:p>
          <w:p>
            <w:pPr>
              <w:pStyle w:val="14"/>
              <w:spacing w:before="1"/>
              <w:ind w:left="53" w:right="149"/>
              <w:rPr>
                <w:sz w:val="21"/>
              </w:rPr>
            </w:pPr>
            <w:r>
              <w:rPr>
                <w:sz w:val="21"/>
              </w:rPr>
              <w:t>食堂油烟治理</w:t>
            </w:r>
          </w:p>
        </w:tc>
        <w:tc>
          <w:tcPr>
            <w:tcW w:w="3060" w:type="dxa"/>
          </w:tcPr>
          <w:p>
            <w:pPr>
              <w:pStyle w:val="14"/>
              <w:spacing w:before="1"/>
              <w:jc w:val="left"/>
              <w:rPr>
                <w:b/>
                <w:sz w:val="21"/>
              </w:rPr>
            </w:pPr>
          </w:p>
          <w:p>
            <w:pPr>
              <w:pStyle w:val="14"/>
              <w:spacing w:before="1"/>
              <w:ind w:left="91" w:right="187"/>
              <w:rPr>
                <w:sz w:val="21"/>
              </w:rPr>
            </w:pPr>
            <w:r>
              <w:rPr>
                <w:sz w:val="21"/>
              </w:rPr>
              <w:t xml:space="preserve">食堂安装油烟净化器 </w:t>
            </w:r>
            <w:r>
              <w:rPr>
                <w:rFonts w:ascii="Times New Roman" w:eastAsia="Times New Roman"/>
                <w:sz w:val="21"/>
              </w:rPr>
              <w:t xml:space="preserve">1 </w:t>
            </w:r>
            <w:r>
              <w:rPr>
                <w:sz w:val="21"/>
              </w:rPr>
              <w:t>台</w:t>
            </w:r>
          </w:p>
        </w:tc>
        <w:tc>
          <w:tcPr>
            <w:tcW w:w="2992" w:type="dxa"/>
          </w:tcPr>
          <w:p>
            <w:pPr>
              <w:pStyle w:val="14"/>
              <w:spacing w:line="242" w:lineRule="auto"/>
              <w:ind w:left="109" w:right="97" w:hanging="111"/>
              <w:jc w:val="left"/>
              <w:rPr>
                <w:sz w:val="21"/>
              </w:rPr>
            </w:pPr>
            <w:r>
              <w:rPr>
                <w:w w:val="95"/>
                <w:sz w:val="21"/>
              </w:rPr>
              <w:t>满足《饮食业油烟排放标准（试行）》（</w:t>
            </w:r>
            <w:r>
              <w:rPr>
                <w:rFonts w:ascii="Times New Roman" w:eastAsia="Times New Roman"/>
                <w:w w:val="95"/>
                <w:sz w:val="21"/>
              </w:rPr>
              <w:t>GB18483-2001</w:t>
            </w:r>
            <w:r>
              <w:rPr>
                <w:w w:val="95"/>
                <w:sz w:val="21"/>
              </w:rPr>
              <w:t>）中标</w:t>
            </w:r>
          </w:p>
          <w:p>
            <w:pPr>
              <w:pStyle w:val="14"/>
              <w:spacing w:before="1" w:line="252" w:lineRule="exact"/>
              <w:ind w:left="477"/>
              <w:jc w:val="left"/>
              <w:rPr>
                <w:rFonts w:ascii="Times New Roman" w:hAnsi="Times New Roman" w:eastAsia="Times New Roman"/>
                <w:sz w:val="13"/>
              </w:rPr>
            </w:pPr>
            <w:r>
              <w:rPr>
                <w:sz w:val="21"/>
              </w:rPr>
              <w:t>准限值，油烟</w:t>
            </w:r>
            <w:r>
              <w:rPr>
                <w:rFonts w:ascii="Times New Roman" w:hAnsi="Times New Roman" w:eastAsia="Times New Roman"/>
                <w:sz w:val="21"/>
              </w:rPr>
              <w:t>≤2mg/m</w:t>
            </w:r>
            <w:r>
              <w:rPr>
                <w:rFonts w:ascii="Times New Roman" w:hAnsi="Times New Roman" w:eastAsia="Times New Roman"/>
                <w:position w:val="7"/>
                <w:sz w:val="13"/>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9" w:hRule="atLeast"/>
        </w:trPr>
        <w:tc>
          <w:tcPr>
            <w:tcW w:w="1008" w:type="dxa"/>
          </w:tcPr>
          <w:p>
            <w:pPr>
              <w:pStyle w:val="14"/>
              <w:jc w:val="left"/>
              <w:rPr>
                <w:b/>
                <w:sz w:val="20"/>
              </w:rPr>
            </w:pPr>
          </w:p>
          <w:p>
            <w:pPr>
              <w:pStyle w:val="14"/>
              <w:spacing w:before="152"/>
              <w:ind w:left="6"/>
              <w:rPr>
                <w:sz w:val="21"/>
              </w:rPr>
            </w:pPr>
            <w:r>
              <w:rPr>
                <w:w w:val="99"/>
                <w:sz w:val="21"/>
              </w:rPr>
              <w:t>三</w:t>
            </w:r>
          </w:p>
        </w:tc>
        <w:tc>
          <w:tcPr>
            <w:tcW w:w="2340" w:type="dxa"/>
          </w:tcPr>
          <w:p>
            <w:pPr>
              <w:pStyle w:val="14"/>
              <w:jc w:val="left"/>
              <w:rPr>
                <w:b/>
                <w:sz w:val="20"/>
              </w:rPr>
            </w:pPr>
          </w:p>
          <w:p>
            <w:pPr>
              <w:pStyle w:val="14"/>
              <w:spacing w:before="152"/>
              <w:ind w:left="53" w:right="152"/>
              <w:rPr>
                <w:sz w:val="21"/>
              </w:rPr>
            </w:pPr>
            <w:r>
              <w:rPr>
                <w:sz w:val="21"/>
              </w:rPr>
              <w:t>噪声污染防治措施</w:t>
            </w:r>
          </w:p>
        </w:tc>
        <w:tc>
          <w:tcPr>
            <w:tcW w:w="3060" w:type="dxa"/>
          </w:tcPr>
          <w:p>
            <w:pPr>
              <w:pStyle w:val="14"/>
              <w:spacing w:before="2"/>
              <w:jc w:val="left"/>
              <w:rPr>
                <w:b/>
                <w:sz w:val="21"/>
              </w:rPr>
            </w:pPr>
          </w:p>
          <w:p>
            <w:pPr>
              <w:pStyle w:val="14"/>
              <w:spacing w:before="1" w:line="242" w:lineRule="auto"/>
              <w:ind w:left="1425" w:right="98" w:hanging="1318"/>
              <w:jc w:val="left"/>
              <w:rPr>
                <w:sz w:val="21"/>
              </w:rPr>
            </w:pPr>
            <w:r>
              <w:rPr>
                <w:spacing w:val="-11"/>
                <w:sz w:val="21"/>
              </w:rPr>
              <w:t>采用吸声、消声、镉声等降噪措</w:t>
            </w:r>
            <w:r>
              <w:rPr>
                <w:sz w:val="21"/>
              </w:rPr>
              <w:t>施</w:t>
            </w:r>
          </w:p>
        </w:tc>
        <w:tc>
          <w:tcPr>
            <w:tcW w:w="2992" w:type="dxa"/>
          </w:tcPr>
          <w:p>
            <w:pPr>
              <w:pStyle w:val="14"/>
              <w:ind w:left="10"/>
              <w:rPr>
                <w:sz w:val="21"/>
              </w:rPr>
            </w:pPr>
            <w:r>
              <w:rPr>
                <w:sz w:val="21"/>
              </w:rPr>
              <w:t>厂界处满足</w:t>
            </w:r>
          </w:p>
          <w:p>
            <w:pPr>
              <w:pStyle w:val="14"/>
              <w:spacing w:before="3" w:line="242" w:lineRule="auto"/>
              <w:ind w:left="107" w:right="119" w:firstLine="24"/>
              <w:rPr>
                <w:rFonts w:ascii="Times New Roman" w:eastAsia="Times New Roman"/>
                <w:sz w:val="21"/>
              </w:rPr>
            </w:pPr>
            <w:r>
              <w:rPr>
                <w:spacing w:val="-1"/>
                <w:w w:val="95"/>
                <w:sz w:val="21"/>
              </w:rPr>
              <w:t>《工业企业厂界环境噪声排放</w:t>
            </w:r>
            <w:r>
              <w:rPr>
                <w:sz w:val="21"/>
              </w:rPr>
              <w:t>标准》（</w:t>
            </w:r>
            <w:r>
              <w:rPr>
                <w:rFonts w:ascii="Times New Roman" w:eastAsia="Times New Roman"/>
                <w:sz w:val="21"/>
              </w:rPr>
              <w:t>GB12348-2008</w:t>
            </w:r>
            <w:r>
              <w:rPr>
                <w:sz w:val="21"/>
              </w:rPr>
              <w:t>）</w:t>
            </w:r>
            <w:r>
              <w:rPr>
                <w:spacing w:val="-28"/>
                <w:sz w:val="21"/>
              </w:rPr>
              <w:t xml:space="preserve">中 </w:t>
            </w:r>
            <w:r>
              <w:rPr>
                <w:rFonts w:ascii="Times New Roman" w:eastAsia="Times New Roman"/>
                <w:sz w:val="21"/>
              </w:rPr>
              <w:t>2</w:t>
            </w:r>
          </w:p>
          <w:p>
            <w:pPr>
              <w:pStyle w:val="14"/>
              <w:spacing w:before="1" w:line="252" w:lineRule="exact"/>
              <w:ind w:left="7"/>
              <w:rPr>
                <w:sz w:val="21"/>
              </w:rPr>
            </w:pPr>
            <w:r>
              <w:rPr>
                <w:sz w:val="21"/>
              </w:rPr>
              <w:t>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1008" w:type="dxa"/>
          </w:tcPr>
          <w:p>
            <w:pPr>
              <w:pStyle w:val="14"/>
              <w:spacing w:before="121"/>
              <w:ind w:left="6"/>
              <w:rPr>
                <w:sz w:val="21"/>
              </w:rPr>
            </w:pPr>
            <w:r>
              <w:rPr>
                <w:w w:val="99"/>
                <w:sz w:val="21"/>
              </w:rPr>
              <w:t>四</w:t>
            </w:r>
          </w:p>
        </w:tc>
        <w:tc>
          <w:tcPr>
            <w:tcW w:w="2340" w:type="dxa"/>
          </w:tcPr>
          <w:p>
            <w:pPr>
              <w:pStyle w:val="14"/>
              <w:spacing w:before="121"/>
              <w:ind w:left="53" w:right="152"/>
              <w:rPr>
                <w:sz w:val="21"/>
              </w:rPr>
            </w:pPr>
            <w:r>
              <w:rPr>
                <w:sz w:val="21"/>
              </w:rPr>
              <w:t>固体废物处理措施</w:t>
            </w:r>
          </w:p>
        </w:tc>
        <w:tc>
          <w:tcPr>
            <w:tcW w:w="3060" w:type="dxa"/>
          </w:tcPr>
          <w:p>
            <w:pPr>
              <w:pStyle w:val="14"/>
              <w:jc w:val="left"/>
              <w:rPr>
                <w:rFonts w:ascii="Times New Roman"/>
                <w:sz w:val="20"/>
              </w:rPr>
            </w:pPr>
          </w:p>
        </w:tc>
        <w:tc>
          <w:tcPr>
            <w:tcW w:w="2992" w:type="dxa"/>
          </w:tcPr>
          <w:p>
            <w:pPr>
              <w:pStyle w:val="14"/>
              <w:jc w:val="left"/>
              <w:rPr>
                <w:rFonts w:ascii="Times New Roman"/>
                <w:sz w:val="20"/>
              </w:rPr>
            </w:pPr>
          </w:p>
        </w:tc>
      </w:tr>
    </w:tbl>
    <w:p>
      <w:pPr>
        <w:spacing w:after="0"/>
        <w:jc w:val="left"/>
        <w:rPr>
          <w:rFonts w:ascii="Times New Roman"/>
          <w:sz w:val="20"/>
        </w:rPr>
        <w:sectPr>
          <w:footerReference r:id="rId32" w:type="default"/>
          <w:pgSz w:w="11910" w:h="16840"/>
          <w:pgMar w:top="1580" w:right="1020" w:bottom="1100" w:left="1140" w:header="0" w:footer="917" w:gutter="0"/>
          <w:pgNumType w:start="190"/>
        </w:sectPr>
      </w:pPr>
    </w:p>
    <w:tbl>
      <w:tblPr>
        <w:tblStyle w:val="10"/>
        <w:tblW w:w="0" w:type="auto"/>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8"/>
        <w:gridCol w:w="2340"/>
        <w:gridCol w:w="3060"/>
        <w:gridCol w:w="29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008" w:type="dxa"/>
          </w:tcPr>
          <w:p>
            <w:pPr>
              <w:pStyle w:val="14"/>
              <w:spacing w:before="134"/>
              <w:ind w:left="8"/>
              <w:rPr>
                <w:rFonts w:ascii="Times New Roman"/>
                <w:sz w:val="21"/>
              </w:rPr>
            </w:pPr>
            <w:r>
              <w:rPr>
                <w:rFonts w:ascii="Times New Roman"/>
                <w:w w:val="99"/>
                <w:sz w:val="21"/>
              </w:rPr>
              <w:t>1</w:t>
            </w:r>
          </w:p>
        </w:tc>
        <w:tc>
          <w:tcPr>
            <w:tcW w:w="2340" w:type="dxa"/>
          </w:tcPr>
          <w:p>
            <w:pPr>
              <w:pStyle w:val="14"/>
              <w:spacing w:before="120"/>
              <w:ind w:left="53" w:right="47"/>
              <w:rPr>
                <w:sz w:val="21"/>
              </w:rPr>
            </w:pPr>
            <w:r>
              <w:rPr>
                <w:sz w:val="21"/>
              </w:rPr>
              <w:t>灰渣</w:t>
            </w:r>
          </w:p>
        </w:tc>
        <w:tc>
          <w:tcPr>
            <w:tcW w:w="3060" w:type="dxa"/>
          </w:tcPr>
          <w:p>
            <w:pPr>
              <w:pStyle w:val="14"/>
              <w:spacing w:before="120"/>
              <w:ind w:left="91" w:right="85"/>
              <w:rPr>
                <w:sz w:val="21"/>
              </w:rPr>
            </w:pPr>
            <w:r>
              <w:rPr>
                <w:sz w:val="21"/>
              </w:rPr>
              <w:t>农肥原料外售</w:t>
            </w:r>
          </w:p>
        </w:tc>
        <w:tc>
          <w:tcPr>
            <w:tcW w:w="2992" w:type="dxa"/>
            <w:vMerge w:val="restart"/>
          </w:tcPr>
          <w:p>
            <w:pPr>
              <w:pStyle w:val="14"/>
              <w:jc w:val="left"/>
              <w:rPr>
                <w:b/>
                <w:sz w:val="22"/>
              </w:rPr>
            </w:pPr>
          </w:p>
          <w:p>
            <w:pPr>
              <w:pStyle w:val="14"/>
              <w:jc w:val="left"/>
              <w:rPr>
                <w:b/>
                <w:sz w:val="22"/>
              </w:rPr>
            </w:pPr>
          </w:p>
          <w:p>
            <w:pPr>
              <w:pStyle w:val="14"/>
              <w:jc w:val="left"/>
              <w:rPr>
                <w:b/>
                <w:sz w:val="29"/>
              </w:rPr>
            </w:pPr>
          </w:p>
          <w:p>
            <w:pPr>
              <w:pStyle w:val="14"/>
              <w:ind w:left="330"/>
              <w:jc w:val="left"/>
              <w:rPr>
                <w:rFonts w:ascii="Times New Roman" w:eastAsia="Times New Roman"/>
                <w:sz w:val="21"/>
              </w:rPr>
            </w:pPr>
            <w:r>
              <w:rPr>
                <w:sz w:val="21"/>
              </w:rPr>
              <w:t xml:space="preserve">固体废物处理率达 </w:t>
            </w:r>
            <w:r>
              <w:rPr>
                <w:rFonts w:ascii="Times New Roman" w:eastAsia="Times New Roman"/>
                <w:sz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008" w:type="dxa"/>
          </w:tcPr>
          <w:p>
            <w:pPr>
              <w:pStyle w:val="14"/>
              <w:spacing w:before="150"/>
              <w:ind w:left="8"/>
              <w:rPr>
                <w:rFonts w:ascii="Times New Roman"/>
                <w:sz w:val="21"/>
              </w:rPr>
            </w:pPr>
            <w:r>
              <w:rPr>
                <w:rFonts w:ascii="Times New Roman"/>
                <w:w w:val="99"/>
                <w:sz w:val="21"/>
              </w:rPr>
              <w:t>2</w:t>
            </w:r>
          </w:p>
        </w:tc>
        <w:tc>
          <w:tcPr>
            <w:tcW w:w="2340" w:type="dxa"/>
          </w:tcPr>
          <w:p>
            <w:pPr>
              <w:pStyle w:val="14"/>
              <w:spacing w:before="1" w:line="270" w:lineRule="atLeast"/>
              <w:ind w:left="750" w:right="110" w:hanging="632"/>
              <w:jc w:val="left"/>
              <w:rPr>
                <w:sz w:val="21"/>
              </w:rPr>
            </w:pPr>
            <w:r>
              <w:rPr>
                <w:sz w:val="21"/>
              </w:rPr>
              <w:t>生活垃圾处理及污水处理站污泥</w:t>
            </w:r>
          </w:p>
        </w:tc>
        <w:tc>
          <w:tcPr>
            <w:tcW w:w="3060" w:type="dxa"/>
          </w:tcPr>
          <w:p>
            <w:pPr>
              <w:pStyle w:val="14"/>
              <w:spacing w:before="136"/>
              <w:ind w:left="91" w:right="85"/>
              <w:rPr>
                <w:sz w:val="21"/>
              </w:rPr>
            </w:pPr>
            <w:r>
              <w:rPr>
                <w:sz w:val="21"/>
              </w:rPr>
              <w:t>定期委托环卫部门处理</w:t>
            </w:r>
          </w:p>
        </w:tc>
        <w:tc>
          <w:tcPr>
            <w:tcW w:w="299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1008" w:type="dxa"/>
          </w:tcPr>
          <w:p>
            <w:pPr>
              <w:pStyle w:val="14"/>
              <w:spacing w:before="150"/>
              <w:ind w:left="8"/>
              <w:rPr>
                <w:rFonts w:ascii="Times New Roman"/>
                <w:sz w:val="21"/>
              </w:rPr>
            </w:pPr>
            <w:r>
              <w:rPr>
                <w:rFonts w:ascii="Times New Roman"/>
                <w:w w:val="99"/>
                <w:sz w:val="21"/>
              </w:rPr>
              <w:t>3</w:t>
            </w:r>
          </w:p>
        </w:tc>
        <w:tc>
          <w:tcPr>
            <w:tcW w:w="2340" w:type="dxa"/>
          </w:tcPr>
          <w:p>
            <w:pPr>
              <w:pStyle w:val="14"/>
              <w:spacing w:before="136"/>
              <w:ind w:left="750"/>
              <w:jc w:val="left"/>
              <w:rPr>
                <w:sz w:val="21"/>
              </w:rPr>
            </w:pPr>
            <w:r>
              <w:rPr>
                <w:sz w:val="21"/>
              </w:rPr>
              <w:t>矸石处理</w:t>
            </w:r>
          </w:p>
        </w:tc>
        <w:tc>
          <w:tcPr>
            <w:tcW w:w="3060" w:type="dxa"/>
          </w:tcPr>
          <w:p>
            <w:pPr>
              <w:pStyle w:val="14"/>
              <w:spacing w:line="268" w:lineRule="exact"/>
              <w:ind w:left="16"/>
              <w:rPr>
                <w:sz w:val="21"/>
              </w:rPr>
            </w:pPr>
            <w:r>
              <w:rPr>
                <w:spacing w:val="-10"/>
                <w:w w:val="95"/>
                <w:sz w:val="21"/>
              </w:rPr>
              <w:t>用来平整工业场地；用作公路的路</w:t>
            </w:r>
          </w:p>
          <w:p>
            <w:pPr>
              <w:pStyle w:val="14"/>
              <w:spacing w:before="4" w:line="251" w:lineRule="exact"/>
              <w:ind w:left="91" w:right="85"/>
              <w:rPr>
                <w:sz w:val="21"/>
              </w:rPr>
            </w:pPr>
            <w:r>
              <w:rPr>
                <w:sz w:val="21"/>
              </w:rPr>
              <w:t>基石料；用于填沟造地</w:t>
            </w:r>
          </w:p>
        </w:tc>
        <w:tc>
          <w:tcPr>
            <w:tcW w:w="299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008" w:type="dxa"/>
          </w:tcPr>
          <w:p>
            <w:pPr>
              <w:pStyle w:val="14"/>
              <w:spacing w:before="133"/>
              <w:ind w:left="8"/>
              <w:rPr>
                <w:rFonts w:ascii="Times New Roman"/>
                <w:sz w:val="21"/>
              </w:rPr>
            </w:pPr>
            <w:r>
              <w:rPr>
                <w:rFonts w:ascii="Times New Roman"/>
                <w:w w:val="99"/>
                <w:sz w:val="21"/>
              </w:rPr>
              <w:t>4</w:t>
            </w:r>
          </w:p>
        </w:tc>
        <w:tc>
          <w:tcPr>
            <w:tcW w:w="2340" w:type="dxa"/>
          </w:tcPr>
          <w:p>
            <w:pPr>
              <w:pStyle w:val="14"/>
              <w:spacing w:before="119"/>
              <w:ind w:left="53" w:right="47"/>
              <w:rPr>
                <w:sz w:val="21"/>
              </w:rPr>
            </w:pPr>
            <w:r>
              <w:rPr>
                <w:sz w:val="21"/>
              </w:rPr>
              <w:t>废机油</w:t>
            </w:r>
          </w:p>
        </w:tc>
        <w:tc>
          <w:tcPr>
            <w:tcW w:w="3060" w:type="dxa"/>
          </w:tcPr>
          <w:p>
            <w:pPr>
              <w:pStyle w:val="14"/>
              <w:spacing w:before="119"/>
              <w:ind w:left="91" w:right="82"/>
              <w:rPr>
                <w:sz w:val="21"/>
              </w:rPr>
            </w:pPr>
            <w:r>
              <w:rPr>
                <w:sz w:val="21"/>
              </w:rPr>
              <w:t>委托有资质单位处理</w:t>
            </w:r>
          </w:p>
        </w:tc>
        <w:tc>
          <w:tcPr>
            <w:tcW w:w="299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008" w:type="dxa"/>
          </w:tcPr>
          <w:p>
            <w:pPr>
              <w:pStyle w:val="14"/>
              <w:spacing w:before="136"/>
              <w:ind w:left="6"/>
              <w:rPr>
                <w:sz w:val="21"/>
              </w:rPr>
            </w:pPr>
            <w:r>
              <w:rPr>
                <w:w w:val="99"/>
                <w:sz w:val="21"/>
              </w:rPr>
              <w:t>五</w:t>
            </w:r>
          </w:p>
        </w:tc>
        <w:tc>
          <w:tcPr>
            <w:tcW w:w="2340" w:type="dxa"/>
          </w:tcPr>
          <w:p>
            <w:pPr>
              <w:pStyle w:val="14"/>
              <w:spacing w:before="136"/>
              <w:ind w:left="539"/>
              <w:jc w:val="left"/>
              <w:rPr>
                <w:sz w:val="21"/>
              </w:rPr>
            </w:pPr>
            <w:r>
              <w:rPr>
                <w:sz w:val="21"/>
              </w:rPr>
              <w:t>风险防范措施</w:t>
            </w:r>
          </w:p>
        </w:tc>
        <w:tc>
          <w:tcPr>
            <w:tcW w:w="3060" w:type="dxa"/>
          </w:tcPr>
          <w:p>
            <w:pPr>
              <w:pStyle w:val="14"/>
              <w:spacing w:before="2"/>
              <w:ind w:left="105"/>
              <w:rPr>
                <w:sz w:val="21"/>
              </w:rPr>
            </w:pPr>
            <w:r>
              <w:rPr>
                <w:w w:val="95"/>
                <w:sz w:val="21"/>
              </w:rPr>
              <w:t>落实风险减缓措施、管理措施，</w:t>
            </w:r>
          </w:p>
          <w:p>
            <w:pPr>
              <w:pStyle w:val="14"/>
              <w:spacing w:before="2" w:line="252" w:lineRule="exact"/>
              <w:ind w:left="91" w:right="82"/>
              <w:rPr>
                <w:sz w:val="21"/>
              </w:rPr>
            </w:pPr>
            <w:r>
              <w:rPr>
                <w:sz w:val="21"/>
              </w:rPr>
              <w:t>做好风险应急预案</w:t>
            </w:r>
          </w:p>
        </w:tc>
        <w:tc>
          <w:tcPr>
            <w:tcW w:w="2992" w:type="dxa"/>
          </w:tcPr>
          <w:p>
            <w:pPr>
              <w:pStyle w:val="14"/>
              <w:spacing w:before="2"/>
              <w:ind w:left="5"/>
              <w:rPr>
                <w:sz w:val="21"/>
              </w:rPr>
            </w:pPr>
            <w:r>
              <w:rPr>
                <w:sz w:val="21"/>
              </w:rPr>
              <w:t>减免或降低风险事故发生几</w:t>
            </w:r>
          </w:p>
          <w:p>
            <w:pPr>
              <w:pStyle w:val="14"/>
              <w:spacing w:before="2" w:line="252" w:lineRule="exact"/>
              <w:ind w:left="7"/>
              <w:rPr>
                <w:sz w:val="21"/>
              </w:rPr>
            </w:pPr>
            <w:r>
              <w:rPr>
                <w:sz w:val="21"/>
              </w:rPr>
              <w:t>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1008" w:type="dxa"/>
          </w:tcPr>
          <w:p>
            <w:pPr>
              <w:pStyle w:val="14"/>
              <w:spacing w:before="3"/>
              <w:jc w:val="left"/>
              <w:rPr>
                <w:b/>
                <w:sz w:val="21"/>
              </w:rPr>
            </w:pPr>
          </w:p>
          <w:p>
            <w:pPr>
              <w:pStyle w:val="14"/>
              <w:ind w:left="6"/>
              <w:rPr>
                <w:sz w:val="21"/>
              </w:rPr>
            </w:pPr>
            <w:r>
              <w:rPr>
                <w:w w:val="99"/>
                <w:sz w:val="21"/>
              </w:rPr>
              <w:t>六</w:t>
            </w:r>
          </w:p>
        </w:tc>
        <w:tc>
          <w:tcPr>
            <w:tcW w:w="2340" w:type="dxa"/>
          </w:tcPr>
          <w:p>
            <w:pPr>
              <w:pStyle w:val="14"/>
              <w:spacing w:before="3"/>
              <w:jc w:val="left"/>
              <w:rPr>
                <w:b/>
                <w:sz w:val="21"/>
              </w:rPr>
            </w:pPr>
          </w:p>
          <w:p>
            <w:pPr>
              <w:pStyle w:val="14"/>
              <w:ind w:left="330"/>
              <w:jc w:val="left"/>
              <w:rPr>
                <w:sz w:val="21"/>
              </w:rPr>
            </w:pPr>
            <w:r>
              <w:rPr>
                <w:sz w:val="21"/>
              </w:rPr>
              <w:t>生态环境保护措施</w:t>
            </w:r>
          </w:p>
        </w:tc>
        <w:tc>
          <w:tcPr>
            <w:tcW w:w="3060" w:type="dxa"/>
          </w:tcPr>
          <w:p>
            <w:pPr>
              <w:pStyle w:val="14"/>
              <w:spacing w:before="1"/>
              <w:ind w:left="10"/>
              <w:rPr>
                <w:rFonts w:ascii="Times New Roman" w:eastAsia="Times New Roman"/>
                <w:sz w:val="21"/>
              </w:rPr>
            </w:pPr>
            <w:r>
              <w:rPr>
                <w:sz w:val="21"/>
              </w:rPr>
              <w:t xml:space="preserve">厂区四周植树种草，绿化率 </w:t>
            </w:r>
            <w:r>
              <w:rPr>
                <w:rFonts w:ascii="Times New Roman" w:eastAsia="Times New Roman"/>
                <w:sz w:val="21"/>
              </w:rPr>
              <w:t>20%</w:t>
            </w:r>
          </w:p>
          <w:p>
            <w:pPr>
              <w:pStyle w:val="14"/>
              <w:spacing w:before="2"/>
              <w:ind w:left="16"/>
              <w:rPr>
                <w:sz w:val="21"/>
              </w:rPr>
            </w:pPr>
            <w:r>
              <w:rPr>
                <w:spacing w:val="-11"/>
                <w:w w:val="95"/>
                <w:sz w:val="21"/>
              </w:rPr>
              <w:t>以上；场外运输道路临时占地生态</w:t>
            </w:r>
          </w:p>
          <w:p>
            <w:pPr>
              <w:pStyle w:val="14"/>
              <w:spacing w:before="5" w:line="251" w:lineRule="exact"/>
              <w:ind w:left="91" w:right="82"/>
              <w:rPr>
                <w:sz w:val="21"/>
              </w:rPr>
            </w:pPr>
            <w:r>
              <w:rPr>
                <w:sz w:val="21"/>
              </w:rPr>
              <w:t>恢复；沉陷区生态综合整治</w:t>
            </w:r>
          </w:p>
        </w:tc>
        <w:tc>
          <w:tcPr>
            <w:tcW w:w="2992" w:type="dxa"/>
          </w:tcPr>
          <w:p>
            <w:pPr>
              <w:pStyle w:val="14"/>
              <w:spacing w:before="138" w:line="242" w:lineRule="auto"/>
              <w:ind w:left="760" w:right="30" w:hanging="761"/>
              <w:jc w:val="left"/>
              <w:rPr>
                <w:sz w:val="21"/>
              </w:rPr>
            </w:pPr>
            <w:r>
              <w:rPr>
                <w:sz w:val="21"/>
              </w:rPr>
              <w:t>增加厂区绿化面积，临时占地恢复原有生态植被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008" w:type="dxa"/>
          </w:tcPr>
          <w:p>
            <w:pPr>
              <w:pStyle w:val="14"/>
              <w:spacing w:before="136"/>
              <w:ind w:left="6"/>
              <w:rPr>
                <w:sz w:val="21"/>
              </w:rPr>
            </w:pPr>
            <w:r>
              <w:rPr>
                <w:w w:val="99"/>
                <w:sz w:val="21"/>
              </w:rPr>
              <w:t>七</w:t>
            </w:r>
          </w:p>
        </w:tc>
        <w:tc>
          <w:tcPr>
            <w:tcW w:w="2340" w:type="dxa"/>
          </w:tcPr>
          <w:p>
            <w:pPr>
              <w:pStyle w:val="14"/>
              <w:spacing w:before="136"/>
              <w:ind w:left="592"/>
              <w:jc w:val="left"/>
              <w:rPr>
                <w:sz w:val="21"/>
              </w:rPr>
            </w:pPr>
            <w:r>
              <w:rPr>
                <w:sz w:val="21"/>
              </w:rPr>
              <w:t>水土保持措施</w:t>
            </w:r>
          </w:p>
        </w:tc>
        <w:tc>
          <w:tcPr>
            <w:tcW w:w="3060" w:type="dxa"/>
          </w:tcPr>
          <w:p>
            <w:pPr>
              <w:pStyle w:val="14"/>
              <w:spacing w:before="136"/>
              <w:ind w:left="91" w:right="82"/>
              <w:rPr>
                <w:sz w:val="21"/>
              </w:rPr>
            </w:pPr>
            <w:r>
              <w:rPr>
                <w:sz w:val="21"/>
              </w:rPr>
              <w:t>采用种草植树等方式</w:t>
            </w:r>
          </w:p>
        </w:tc>
        <w:tc>
          <w:tcPr>
            <w:tcW w:w="2992" w:type="dxa"/>
          </w:tcPr>
          <w:p>
            <w:pPr>
              <w:pStyle w:val="14"/>
              <w:spacing w:before="1" w:line="270" w:lineRule="atLeast"/>
              <w:ind w:left="1391" w:right="119" w:hanging="1260"/>
              <w:jc w:val="left"/>
              <w:rPr>
                <w:sz w:val="21"/>
              </w:rPr>
            </w:pPr>
            <w:r>
              <w:rPr>
                <w:sz w:val="21"/>
              </w:rPr>
              <w:t>降低水土流失量，保护生态环境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1008" w:type="dxa"/>
          </w:tcPr>
          <w:p>
            <w:pPr>
              <w:pStyle w:val="14"/>
              <w:spacing w:before="136"/>
              <w:ind w:left="6"/>
              <w:rPr>
                <w:sz w:val="21"/>
              </w:rPr>
            </w:pPr>
            <w:r>
              <w:rPr>
                <w:w w:val="99"/>
                <w:sz w:val="21"/>
              </w:rPr>
              <w:t>八</w:t>
            </w:r>
          </w:p>
        </w:tc>
        <w:tc>
          <w:tcPr>
            <w:tcW w:w="2340" w:type="dxa"/>
          </w:tcPr>
          <w:p>
            <w:pPr>
              <w:pStyle w:val="14"/>
              <w:spacing w:before="136"/>
              <w:ind w:left="433"/>
              <w:jc w:val="left"/>
              <w:rPr>
                <w:sz w:val="21"/>
              </w:rPr>
            </w:pPr>
            <w:r>
              <w:rPr>
                <w:sz w:val="21"/>
              </w:rPr>
              <w:t>环境监测、监理</w:t>
            </w:r>
          </w:p>
        </w:tc>
        <w:tc>
          <w:tcPr>
            <w:tcW w:w="3060" w:type="dxa"/>
          </w:tcPr>
          <w:p>
            <w:pPr>
              <w:pStyle w:val="14"/>
              <w:spacing w:before="136"/>
              <w:ind w:left="161" w:right="49"/>
              <w:rPr>
                <w:sz w:val="21"/>
              </w:rPr>
            </w:pPr>
            <w:r>
              <w:rPr>
                <w:sz w:val="21"/>
              </w:rPr>
              <w:t>进行常规的监测和监理</w:t>
            </w:r>
          </w:p>
        </w:tc>
        <w:tc>
          <w:tcPr>
            <w:tcW w:w="2992" w:type="dxa"/>
          </w:tcPr>
          <w:p>
            <w:pPr>
              <w:pStyle w:val="14"/>
              <w:spacing w:line="268" w:lineRule="exact"/>
              <w:ind w:left="10"/>
              <w:rPr>
                <w:sz w:val="21"/>
              </w:rPr>
            </w:pPr>
            <w:r>
              <w:rPr>
                <w:sz w:val="21"/>
              </w:rPr>
              <w:t>监督项目环境保护措施的落实</w:t>
            </w:r>
          </w:p>
          <w:p>
            <w:pPr>
              <w:pStyle w:val="14"/>
              <w:spacing w:before="4" w:line="251" w:lineRule="exact"/>
              <w:ind w:left="7"/>
              <w:rPr>
                <w:sz w:val="21"/>
              </w:rPr>
            </w:pPr>
            <w:r>
              <w:rPr>
                <w:sz w:val="21"/>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008" w:type="dxa"/>
          </w:tcPr>
          <w:p>
            <w:pPr>
              <w:pStyle w:val="14"/>
              <w:spacing w:before="136"/>
              <w:ind w:left="6"/>
              <w:rPr>
                <w:sz w:val="21"/>
              </w:rPr>
            </w:pPr>
            <w:r>
              <w:rPr>
                <w:w w:val="99"/>
                <w:sz w:val="21"/>
              </w:rPr>
              <w:t>九</w:t>
            </w:r>
          </w:p>
        </w:tc>
        <w:tc>
          <w:tcPr>
            <w:tcW w:w="2340" w:type="dxa"/>
          </w:tcPr>
          <w:p>
            <w:pPr>
              <w:pStyle w:val="14"/>
              <w:spacing w:before="136"/>
              <w:ind w:left="330"/>
              <w:jc w:val="left"/>
              <w:rPr>
                <w:sz w:val="21"/>
              </w:rPr>
            </w:pPr>
            <w:r>
              <w:rPr>
                <w:sz w:val="21"/>
              </w:rPr>
              <w:t>服务期满设施关闭</w:t>
            </w:r>
          </w:p>
        </w:tc>
        <w:tc>
          <w:tcPr>
            <w:tcW w:w="3060" w:type="dxa"/>
          </w:tcPr>
          <w:p>
            <w:pPr>
              <w:pStyle w:val="14"/>
              <w:spacing w:before="1" w:line="270" w:lineRule="atLeast"/>
              <w:ind w:left="585" w:right="96" w:hanging="478"/>
              <w:jc w:val="left"/>
              <w:rPr>
                <w:sz w:val="21"/>
              </w:rPr>
            </w:pPr>
            <w:r>
              <w:rPr>
                <w:spacing w:val="-11"/>
                <w:sz w:val="21"/>
              </w:rPr>
              <w:t>井口、设立警示牌，编制闭矿报</w:t>
            </w:r>
            <w:r>
              <w:rPr>
                <w:sz w:val="21"/>
              </w:rPr>
              <w:t>告、水土保持方案等</w:t>
            </w:r>
          </w:p>
        </w:tc>
        <w:tc>
          <w:tcPr>
            <w:tcW w:w="2992" w:type="dxa"/>
          </w:tcPr>
          <w:p>
            <w:pPr>
              <w:pStyle w:val="14"/>
              <w:spacing w:before="1" w:line="270" w:lineRule="atLeast"/>
              <w:ind w:left="1285" w:right="119" w:hanging="1155"/>
              <w:jc w:val="left"/>
              <w:rPr>
                <w:sz w:val="21"/>
              </w:rPr>
            </w:pPr>
            <w:r>
              <w:rPr>
                <w:sz w:val="21"/>
              </w:rPr>
              <w:t>恢复生态环境，保护人民生命安全</w:t>
            </w:r>
          </w:p>
        </w:tc>
      </w:tr>
    </w:tbl>
    <w:p>
      <w:pPr>
        <w:spacing w:after="0" w:line="270" w:lineRule="atLeast"/>
        <w:jc w:val="left"/>
        <w:rPr>
          <w:sz w:val="21"/>
        </w:rPr>
        <w:sectPr>
          <w:pgSz w:w="11910" w:h="16840"/>
          <w:pgMar w:top="1400" w:right="1020" w:bottom="1100" w:left="1140" w:header="0" w:footer="917" w:gutter="0"/>
        </w:sectPr>
      </w:pPr>
    </w:p>
    <w:p>
      <w:pPr>
        <w:pStyle w:val="6"/>
        <w:rPr>
          <w:b/>
          <w:sz w:val="30"/>
        </w:rPr>
      </w:pPr>
    </w:p>
    <w:p>
      <w:pPr>
        <w:pStyle w:val="6"/>
        <w:spacing w:before="12"/>
        <w:rPr>
          <w:b/>
          <w:sz w:val="27"/>
        </w:rPr>
      </w:pPr>
    </w:p>
    <w:p>
      <w:pPr>
        <w:pStyle w:val="13"/>
        <w:numPr>
          <w:ilvl w:val="1"/>
          <w:numId w:val="104"/>
        </w:numPr>
        <w:tabs>
          <w:tab w:val="left" w:pos="852"/>
        </w:tabs>
        <w:spacing w:before="0" w:after="0" w:line="240" w:lineRule="auto"/>
        <w:ind w:left="852" w:right="0" w:hanging="632"/>
        <w:jc w:val="left"/>
        <w:rPr>
          <w:rFonts w:ascii="Times New Roman" w:eastAsia="Times New Roman"/>
          <w:b/>
          <w:sz w:val="28"/>
        </w:rPr>
      </w:pPr>
      <w:bookmarkStart w:id="1242" w:name="14.1 场址方案概述"/>
      <w:bookmarkEnd w:id="1242"/>
      <w:bookmarkStart w:id="1243" w:name="_bookmark79"/>
      <w:bookmarkEnd w:id="1243"/>
      <w:bookmarkStart w:id="1244" w:name="_bookmark79"/>
      <w:bookmarkEnd w:id="1244"/>
      <w:r>
        <w:rPr>
          <w:b/>
          <w:spacing w:val="-3"/>
          <w:sz w:val="28"/>
        </w:rPr>
        <w:t>场址方案概述</w:t>
      </w:r>
    </w:p>
    <w:p>
      <w:pPr>
        <w:pStyle w:val="2"/>
        <w:numPr>
          <w:ilvl w:val="0"/>
          <w:numId w:val="62"/>
        </w:numPr>
        <w:tabs>
          <w:tab w:val="left" w:pos="474"/>
        </w:tabs>
        <w:spacing w:before="41" w:after="0" w:line="240" w:lineRule="auto"/>
        <w:ind w:left="473" w:right="0" w:hanging="452"/>
        <w:jc w:val="left"/>
      </w:pPr>
      <w:bookmarkStart w:id="1245" w:name="_bookmark80"/>
      <w:bookmarkEnd w:id="1245"/>
      <w:bookmarkStart w:id="1246" w:name="14.项目选址环境可行性分析"/>
      <w:bookmarkEnd w:id="1246"/>
      <w:bookmarkStart w:id="1247" w:name="_bookmark80"/>
      <w:bookmarkEnd w:id="1247"/>
      <w:r>
        <w:rPr>
          <w:spacing w:val="2"/>
          <w:w w:val="99"/>
        </w:rPr>
        <w:br w:type="column"/>
      </w:r>
      <w:r>
        <w:rPr>
          <w:spacing w:val="-2"/>
        </w:rPr>
        <w:t>项目选址环境可行性分析</w:t>
      </w:r>
    </w:p>
    <w:p>
      <w:pPr>
        <w:spacing w:after="0" w:line="240" w:lineRule="auto"/>
        <w:jc w:val="left"/>
        <w:sectPr>
          <w:pgSz w:w="11910" w:h="16840"/>
          <w:pgMar w:top="1360" w:right="1020" w:bottom="1100" w:left="1140" w:header="0" w:footer="917" w:gutter="0"/>
          <w:cols w:equalWidth="0" w:num="2">
            <w:col w:w="2540" w:space="40"/>
            <w:col w:w="7170"/>
          </w:cols>
        </w:sectPr>
      </w:pPr>
    </w:p>
    <w:p>
      <w:pPr>
        <w:pStyle w:val="6"/>
        <w:spacing w:before="9"/>
        <w:rPr>
          <w:b/>
          <w:sz w:val="8"/>
        </w:rPr>
      </w:pPr>
    </w:p>
    <w:p>
      <w:pPr>
        <w:pStyle w:val="6"/>
        <w:spacing w:before="74" w:line="364" w:lineRule="auto"/>
        <w:ind w:left="220" w:right="338" w:firstLine="480"/>
        <w:jc w:val="both"/>
      </w:pPr>
      <w:bookmarkStart w:id="1248" w:name="双鸭山大顺矿业有限公司位于双鸭山矿业集团岭东煤矿南7km处，在双鸭山市司法局劳教"/>
      <w:bookmarkEnd w:id="1248"/>
      <w:r>
        <w:rPr>
          <w:spacing w:val="-3"/>
        </w:rPr>
        <w:t xml:space="preserve">双鸭山大顺矿业有限公司位于双鸭山矿业集团岭东煤矿南 </w:t>
      </w:r>
      <w:r>
        <w:rPr>
          <w:rFonts w:ascii="Times New Roman" w:eastAsia="Times New Roman"/>
        </w:rPr>
        <w:t xml:space="preserve">7km </w:t>
      </w:r>
      <w:r>
        <w:rPr>
          <w:spacing w:val="-4"/>
        </w:rPr>
        <w:t>处，在双鸭山市司法</w:t>
      </w:r>
      <w:r>
        <w:t>局劳教所东部。从岭东矿通往矿井有砂石公路可直达，距双鸭山矿业集团内部运煤专用</w:t>
      </w:r>
      <w:r>
        <w:rPr>
          <w:spacing w:val="-8"/>
        </w:rPr>
        <w:t xml:space="preserve">铁路线岭东车站 </w:t>
      </w:r>
      <w:r>
        <w:rPr>
          <w:rFonts w:ascii="Times New Roman" w:eastAsia="Times New Roman"/>
        </w:rPr>
        <w:t>7km</w:t>
      </w:r>
      <w:r>
        <w:rPr>
          <w:spacing w:val="-7"/>
        </w:rPr>
        <w:t xml:space="preserve">，距双鸭山火车站 </w:t>
      </w:r>
      <w:r>
        <w:rPr>
          <w:rFonts w:ascii="Times New Roman" w:eastAsia="Times New Roman"/>
        </w:rPr>
        <w:t>15km</w:t>
      </w:r>
      <w:r>
        <w:t>，交通较为方便。</w:t>
      </w:r>
    </w:p>
    <w:p>
      <w:pPr>
        <w:pStyle w:val="6"/>
        <w:spacing w:line="364" w:lineRule="auto"/>
        <w:ind w:left="220" w:right="217" w:firstLine="480"/>
        <w:jc w:val="both"/>
      </w:pPr>
      <w:bookmarkStart w:id="1249" w:name="矿区行政区划属双鸭山市岭东区，中心地理位置坐标经度131°09＇48″，纬度46"/>
      <w:bookmarkEnd w:id="1249"/>
      <w:r>
        <w:rPr>
          <w:spacing w:val="-6"/>
        </w:rPr>
        <w:t xml:space="preserve">矿区行政区划属双鸭山市岭东区，中心地理位置坐标经度 </w:t>
      </w:r>
      <w:r>
        <w:rPr>
          <w:rFonts w:ascii="Times New Roman" w:hAnsi="Times New Roman" w:eastAsia="Times New Roman"/>
          <w:spacing w:val="-7"/>
        </w:rPr>
        <w:t>131°09</w:t>
      </w:r>
      <w:r>
        <w:rPr>
          <w:spacing w:val="-7"/>
        </w:rPr>
        <w:t>＇</w:t>
      </w:r>
      <w:r>
        <w:rPr>
          <w:rFonts w:ascii="Times New Roman" w:hAnsi="Times New Roman" w:eastAsia="Times New Roman"/>
          <w:spacing w:val="-7"/>
        </w:rPr>
        <w:t>48″</w:t>
      </w:r>
      <w:r>
        <w:rPr>
          <w:spacing w:val="-17"/>
        </w:rPr>
        <w:t xml:space="preserve">，纬度 </w:t>
      </w:r>
      <w:r>
        <w:rPr>
          <w:rFonts w:ascii="Times New Roman" w:hAnsi="Times New Roman" w:eastAsia="Times New Roman"/>
          <w:spacing w:val="-3"/>
        </w:rPr>
        <w:t>46°29</w:t>
      </w:r>
      <w:r>
        <w:rPr>
          <w:spacing w:val="-3"/>
        </w:rPr>
        <w:t xml:space="preserve">＇ </w:t>
      </w:r>
      <w:r>
        <w:rPr>
          <w:rFonts w:ascii="Times New Roman" w:hAnsi="Times New Roman" w:eastAsia="Times New Roman"/>
        </w:rPr>
        <w:t>54″</w:t>
      </w:r>
      <w:r>
        <w:t>。地表为双鸭山林业局青山林场经营的次生林地。</w:t>
      </w:r>
    </w:p>
    <w:p>
      <w:pPr>
        <w:pStyle w:val="4"/>
        <w:numPr>
          <w:ilvl w:val="1"/>
          <w:numId w:val="104"/>
        </w:numPr>
        <w:tabs>
          <w:tab w:val="left" w:pos="852"/>
        </w:tabs>
        <w:spacing w:before="0" w:after="0" w:line="240" w:lineRule="auto"/>
        <w:ind w:left="852" w:right="0" w:hanging="632"/>
        <w:jc w:val="both"/>
        <w:rPr>
          <w:rFonts w:ascii="Times New Roman" w:eastAsia="Times New Roman"/>
        </w:rPr>
      </w:pPr>
      <w:bookmarkStart w:id="1250" w:name="14.2 厂址方案的技术经济比较"/>
      <w:bookmarkEnd w:id="1250"/>
      <w:bookmarkStart w:id="1251" w:name="_bookmark81"/>
      <w:bookmarkEnd w:id="1251"/>
      <w:bookmarkStart w:id="1252" w:name="_bookmark81"/>
      <w:bookmarkEnd w:id="1252"/>
      <w:r>
        <w:t>厂址方案的技术经济比较</w:t>
      </w:r>
    </w:p>
    <w:p>
      <w:pPr>
        <w:pStyle w:val="6"/>
        <w:spacing w:before="184" w:line="364" w:lineRule="auto"/>
        <w:ind w:left="220" w:right="338" w:firstLine="480"/>
        <w:jc w:val="both"/>
      </w:pPr>
      <w:bookmarkStart w:id="1253" w:name="双鸭山大顺矿业有限公司位于双鸭山矿业集团岭东煤矿南7km处，在双鸭山市司法局劳教"/>
      <w:bookmarkEnd w:id="1253"/>
      <w:r>
        <w:rPr>
          <w:spacing w:val="-3"/>
        </w:rPr>
        <w:t xml:space="preserve">双鸭山大顺矿业有限公司位于双鸭山矿业集团岭东煤矿南 </w:t>
      </w:r>
      <w:r>
        <w:rPr>
          <w:rFonts w:ascii="Times New Roman" w:eastAsia="Times New Roman"/>
        </w:rPr>
        <w:t xml:space="preserve">7km </w:t>
      </w:r>
      <w:r>
        <w:rPr>
          <w:spacing w:val="-4"/>
        </w:rPr>
        <w:t>处，在双鸭山市司法</w:t>
      </w:r>
      <w:r>
        <w:t>局劳教所东部。行政区划隶属双鸭山市岭东区管辖，地表为双鸭山林业局青山林场经营的次生林地。该建设场地位于无树木废弃地，周围无居民区、学校、大型医院、文物保护和风景名胜等。工程地质条件、水文地质条件、公用工程等条件满足项目建设需要和环保要求，该场址满足项目建设要求，地类现状为建设用地。</w:t>
      </w:r>
    </w:p>
    <w:p>
      <w:pPr>
        <w:pStyle w:val="4"/>
        <w:numPr>
          <w:ilvl w:val="1"/>
          <w:numId w:val="104"/>
        </w:numPr>
        <w:tabs>
          <w:tab w:val="left" w:pos="852"/>
        </w:tabs>
        <w:spacing w:before="0" w:after="0" w:line="355" w:lineRule="exact"/>
        <w:ind w:left="852" w:right="0" w:hanging="632"/>
        <w:jc w:val="both"/>
        <w:rPr>
          <w:rFonts w:ascii="Times New Roman" w:eastAsia="Times New Roman"/>
        </w:rPr>
      </w:pPr>
      <w:bookmarkStart w:id="1254" w:name="_bookmark82"/>
      <w:bookmarkEnd w:id="1254"/>
      <w:bookmarkStart w:id="1255" w:name="_bookmark82"/>
      <w:bookmarkEnd w:id="1255"/>
      <w:bookmarkStart w:id="1256" w:name="14.3 设计场地环境制约因素分析"/>
      <w:bookmarkEnd w:id="1256"/>
      <w:r>
        <w:t>设计场地环境制约因素分析</w:t>
      </w:r>
    </w:p>
    <w:p>
      <w:pPr>
        <w:pStyle w:val="6"/>
        <w:spacing w:before="186"/>
        <w:ind w:left="700"/>
      </w:pPr>
      <w:r>
        <w:t>场地所在地区为农村地区，环境空气属二类功能区，执行《环境空气质量标准》</w:t>
      </w:r>
    </w:p>
    <w:p>
      <w:pPr>
        <w:pStyle w:val="6"/>
        <w:spacing w:before="160" w:line="362" w:lineRule="auto"/>
        <w:ind w:left="220" w:right="287"/>
      </w:pPr>
      <w:r>
        <w:t>（</w:t>
      </w:r>
      <w:r>
        <w:rPr>
          <w:rFonts w:ascii="Times New Roman" w:eastAsia="Times New Roman"/>
        </w:rPr>
        <w:t>GB3095</w:t>
      </w:r>
      <w:r>
        <w:t>－</w:t>
      </w:r>
      <w:r>
        <w:rPr>
          <w:rFonts w:ascii="Times New Roman" w:eastAsia="Times New Roman"/>
        </w:rPr>
        <w:t>2012</w:t>
      </w:r>
      <w:r>
        <w:t>）二级标准；该地区工业污染源较少，项目所在地区域环境空气质量本底较好，具有一定的环境容量。</w:t>
      </w:r>
    </w:p>
    <w:p>
      <w:pPr>
        <w:pStyle w:val="6"/>
        <w:spacing w:before="3" w:line="364" w:lineRule="auto"/>
        <w:ind w:left="220" w:right="342" w:firstLine="480"/>
      </w:pPr>
      <w:r>
        <w:t>项目生活污水经生活污水处理站处理后全部回用，不外排；矿井涌水经矿井水处理站处理后，部分回用，部分外排，汇入扁石河。</w:t>
      </w:r>
    </w:p>
    <w:p>
      <w:pPr>
        <w:pStyle w:val="6"/>
        <w:spacing w:before="1" w:line="364" w:lineRule="auto"/>
        <w:ind w:left="220" w:right="316" w:firstLine="480"/>
        <w:jc w:val="both"/>
      </w:pPr>
      <w:r>
        <w:t>经预测，本项目矿井涌水通过采取措施处理达标后外排，最终汇入扁石河。污水与</w:t>
      </w:r>
      <w:r>
        <w:rPr>
          <w:spacing w:val="-5"/>
        </w:rPr>
        <w:t xml:space="preserve">河水完全混合后，对扁石河 </w:t>
      </w:r>
      <w:r>
        <w:rPr>
          <w:rFonts w:ascii="Times New Roman" w:eastAsia="Times New Roman"/>
        </w:rPr>
        <w:t>COD</w:t>
      </w:r>
      <w:r>
        <w:rPr>
          <w:spacing w:val="-1"/>
        </w:rPr>
        <w:t xml:space="preserve">、悬浮物浓度贡献值较小，对受纳水体水质影响较小， </w:t>
      </w:r>
      <w:r>
        <w:t>所以，本项目的污水外排至扁石河是可行的。</w:t>
      </w:r>
    </w:p>
    <w:p>
      <w:pPr>
        <w:pStyle w:val="3"/>
        <w:numPr>
          <w:ilvl w:val="1"/>
          <w:numId w:val="104"/>
        </w:numPr>
        <w:tabs>
          <w:tab w:val="left" w:pos="821"/>
        </w:tabs>
        <w:spacing w:before="0" w:after="0" w:line="384" w:lineRule="exact"/>
        <w:ind w:left="820" w:right="0" w:hanging="601"/>
        <w:jc w:val="both"/>
        <w:rPr>
          <w:rFonts w:ascii="Times New Roman" w:eastAsia="Times New Roman"/>
        </w:rPr>
      </w:pPr>
      <w:bookmarkStart w:id="1257" w:name="14.4排矸场的环境可行性"/>
      <w:bookmarkEnd w:id="1257"/>
      <w:bookmarkStart w:id="1258" w:name="_bookmark83"/>
      <w:bookmarkEnd w:id="1258"/>
      <w:bookmarkStart w:id="1259" w:name="_bookmark83"/>
      <w:bookmarkEnd w:id="1259"/>
      <w:r>
        <w:t>排矸场的环境可行性</w:t>
      </w:r>
    </w:p>
    <w:p>
      <w:pPr>
        <w:pStyle w:val="4"/>
        <w:numPr>
          <w:ilvl w:val="2"/>
          <w:numId w:val="104"/>
        </w:numPr>
        <w:tabs>
          <w:tab w:val="left" w:pos="1061"/>
        </w:tabs>
        <w:spacing w:before="197" w:after="0" w:line="240" w:lineRule="auto"/>
        <w:ind w:left="1060" w:right="0" w:hanging="841"/>
        <w:jc w:val="both"/>
      </w:pPr>
      <w:bookmarkStart w:id="1260" w:name="14.4.1 煤矸石转运场地形地貌、占地类型及周围环境概况"/>
      <w:bookmarkEnd w:id="1260"/>
      <w:bookmarkStart w:id="1261" w:name="14.4.1 煤矸石转运场地形地貌、占地类型及周围环境概况"/>
      <w:bookmarkEnd w:id="1261"/>
      <w:r>
        <w:t>煤矸石转运场地形地貌、占地类型及周围环境概况</w:t>
      </w:r>
    </w:p>
    <w:p>
      <w:pPr>
        <w:pStyle w:val="13"/>
        <w:numPr>
          <w:ilvl w:val="3"/>
          <w:numId w:val="104"/>
        </w:numPr>
        <w:tabs>
          <w:tab w:val="left" w:pos="1302"/>
        </w:tabs>
        <w:spacing w:before="185" w:after="0" w:line="240" w:lineRule="auto"/>
        <w:ind w:left="1301" w:right="0" w:hanging="602"/>
        <w:jc w:val="left"/>
        <w:rPr>
          <w:sz w:val="24"/>
        </w:rPr>
      </w:pPr>
      <w:r>
        <w:rPr>
          <w:sz w:val="24"/>
        </w:rPr>
        <w:t>地形地貌、占地类型</w:t>
      </w:r>
    </w:p>
    <w:p>
      <w:pPr>
        <w:pStyle w:val="6"/>
        <w:spacing w:before="161" w:line="364" w:lineRule="auto"/>
        <w:ind w:left="220" w:right="218" w:firstLine="480"/>
      </w:pPr>
      <w:r>
        <w:t>据调查煤矸石转运场地面。第四系不整合在穆棱组之上，上部为黑色腐殖土，其下</w:t>
      </w:r>
      <w:r>
        <w:rPr>
          <w:spacing w:val="-5"/>
        </w:rPr>
        <w:t xml:space="preserve">部位黄色亚粘土等组成。土壤一般厚 </w:t>
      </w:r>
      <w:r>
        <w:rPr>
          <w:rFonts w:ascii="Times New Roman" w:eastAsia="Times New Roman"/>
        </w:rPr>
        <w:t>0.5-1.0m</w:t>
      </w:r>
      <w:r>
        <w:rPr>
          <w:spacing w:val="-3"/>
        </w:rPr>
        <w:t>，渗透性较差，可以防止矸石淋滤液下渗。</w:t>
      </w:r>
    </w:p>
    <w:p>
      <w:pPr>
        <w:pStyle w:val="6"/>
        <w:spacing w:line="306" w:lineRule="exact"/>
        <w:ind w:left="700"/>
      </w:pPr>
      <w:r>
        <w:t>项目区内主要为林地，占地类型为建设用地。</w:t>
      </w:r>
    </w:p>
    <w:p>
      <w:pPr>
        <w:spacing w:after="0" w:line="306" w:lineRule="exact"/>
        <w:sectPr>
          <w:type w:val="continuous"/>
          <w:pgSz w:w="11910" w:h="16840"/>
          <w:pgMar w:top="1580" w:right="1020" w:bottom="280" w:left="1140" w:header="720" w:footer="720" w:gutter="0"/>
        </w:sectPr>
      </w:pPr>
    </w:p>
    <w:p>
      <w:pPr>
        <w:pStyle w:val="13"/>
        <w:numPr>
          <w:ilvl w:val="3"/>
          <w:numId w:val="104"/>
        </w:numPr>
        <w:tabs>
          <w:tab w:val="left" w:pos="1302"/>
        </w:tabs>
        <w:spacing w:before="61" w:after="0" w:line="240" w:lineRule="auto"/>
        <w:ind w:left="1301" w:right="0" w:hanging="602"/>
        <w:jc w:val="left"/>
        <w:rPr>
          <w:sz w:val="24"/>
        </w:rPr>
      </w:pPr>
      <w:r>
        <w:rPr>
          <w:sz w:val="24"/>
        </w:rPr>
        <w:t>周围环境概况</w:t>
      </w:r>
    </w:p>
    <w:p>
      <w:pPr>
        <w:pStyle w:val="6"/>
        <w:spacing w:before="158"/>
        <w:ind w:left="700"/>
      </w:pPr>
      <w:r>
        <w:t xml:space="preserve">通过现场调查可知，目前井田多为林地，煤矸石转运场周围 </w:t>
      </w:r>
      <w:r>
        <w:rPr>
          <w:rFonts w:ascii="Times New Roman" w:eastAsia="Times New Roman"/>
        </w:rPr>
        <w:t xml:space="preserve">500m </w:t>
      </w:r>
      <w:r>
        <w:t>范围内无村屯。</w:t>
      </w:r>
    </w:p>
    <w:p>
      <w:pPr>
        <w:pStyle w:val="13"/>
        <w:numPr>
          <w:ilvl w:val="3"/>
          <w:numId w:val="104"/>
        </w:numPr>
        <w:tabs>
          <w:tab w:val="left" w:pos="1302"/>
        </w:tabs>
        <w:spacing w:before="161" w:after="0" w:line="240" w:lineRule="auto"/>
        <w:ind w:left="1301" w:right="0" w:hanging="602"/>
        <w:jc w:val="left"/>
        <w:rPr>
          <w:sz w:val="24"/>
        </w:rPr>
      </w:pPr>
      <w:r>
        <w:rPr>
          <w:sz w:val="24"/>
        </w:rPr>
        <w:t>工程地质和水文地质特征</w:t>
      </w:r>
    </w:p>
    <w:p>
      <w:pPr>
        <w:pStyle w:val="6"/>
        <w:spacing w:before="160" w:line="362" w:lineRule="auto"/>
        <w:ind w:left="220" w:right="340" w:firstLine="480"/>
      </w:pPr>
      <w:r>
        <w:t>煤矸石转运场表层均为第四系，分布较广，附近没有断层、陷落柱、孔洞等不良地质状况。</w:t>
      </w:r>
    </w:p>
    <w:p>
      <w:pPr>
        <w:pStyle w:val="4"/>
        <w:numPr>
          <w:ilvl w:val="2"/>
          <w:numId w:val="104"/>
        </w:numPr>
        <w:tabs>
          <w:tab w:val="left" w:pos="1061"/>
        </w:tabs>
        <w:spacing w:before="6" w:after="0" w:line="240" w:lineRule="auto"/>
        <w:ind w:left="1060" w:right="0" w:hanging="841"/>
        <w:jc w:val="left"/>
      </w:pPr>
      <w:bookmarkStart w:id="1262" w:name="14.4.2 煤矸石转运场选址的环境可行性"/>
      <w:bookmarkEnd w:id="1262"/>
      <w:bookmarkStart w:id="1263" w:name="14.4.2 煤矸石转运场选址的环境可行性"/>
      <w:bookmarkEnd w:id="1263"/>
      <w:r>
        <w:t>煤矸石转运场选址的环境可行性</w:t>
      </w:r>
    </w:p>
    <w:p>
      <w:pPr>
        <w:pStyle w:val="13"/>
        <w:numPr>
          <w:ilvl w:val="0"/>
          <w:numId w:val="105"/>
        </w:numPr>
        <w:tabs>
          <w:tab w:val="left" w:pos="1302"/>
        </w:tabs>
        <w:spacing w:before="185" w:after="0" w:line="362" w:lineRule="auto"/>
        <w:ind w:left="220" w:right="338" w:firstLine="480"/>
        <w:jc w:val="left"/>
        <w:rPr>
          <w:sz w:val="24"/>
        </w:rPr>
      </w:pPr>
      <w:r>
        <w:rPr>
          <w:spacing w:val="-4"/>
          <w:sz w:val="24"/>
        </w:rPr>
        <w:t>煤矸石转运场为暂时性储存场，待塌陷区稳定后逐步用于回填采空区、铺路等</w:t>
      </w:r>
      <w:r>
        <w:rPr>
          <w:sz w:val="24"/>
        </w:rPr>
        <w:t>工程。本项目煤矸石转运场选址符合当地土地利用规划要求。</w:t>
      </w:r>
    </w:p>
    <w:p>
      <w:pPr>
        <w:pStyle w:val="13"/>
        <w:numPr>
          <w:ilvl w:val="0"/>
          <w:numId w:val="105"/>
        </w:numPr>
        <w:tabs>
          <w:tab w:val="left" w:pos="1302"/>
        </w:tabs>
        <w:spacing w:before="5" w:after="0" w:line="362" w:lineRule="auto"/>
        <w:ind w:left="220" w:right="338" w:firstLine="480"/>
        <w:jc w:val="left"/>
        <w:rPr>
          <w:sz w:val="24"/>
        </w:rPr>
      </w:pPr>
      <w:r>
        <w:rPr>
          <w:spacing w:val="-7"/>
          <w:sz w:val="24"/>
        </w:rPr>
        <w:t xml:space="preserve">煤矸石转运场周边 </w:t>
      </w:r>
      <w:r>
        <w:rPr>
          <w:rFonts w:ascii="Times New Roman" w:eastAsia="Times New Roman"/>
          <w:sz w:val="24"/>
        </w:rPr>
        <w:t xml:space="preserve">500m </w:t>
      </w:r>
      <w:r>
        <w:rPr>
          <w:spacing w:val="-2"/>
          <w:sz w:val="24"/>
        </w:rPr>
        <w:t>范围内无集中居民点，本项目煤矸石转运场经采取洒</w:t>
      </w:r>
      <w:r>
        <w:rPr>
          <w:sz w:val="24"/>
        </w:rPr>
        <w:t>水措施和种植防护林后对其影响较小。</w:t>
      </w:r>
    </w:p>
    <w:p>
      <w:pPr>
        <w:pStyle w:val="13"/>
        <w:numPr>
          <w:ilvl w:val="0"/>
          <w:numId w:val="105"/>
        </w:numPr>
        <w:tabs>
          <w:tab w:val="left" w:pos="1302"/>
        </w:tabs>
        <w:spacing w:before="5" w:after="0" w:line="362" w:lineRule="auto"/>
        <w:ind w:left="220" w:right="338" w:firstLine="480"/>
        <w:jc w:val="left"/>
        <w:rPr>
          <w:sz w:val="24"/>
        </w:rPr>
      </w:pPr>
      <w:r>
        <w:rPr>
          <w:spacing w:val="-2"/>
          <w:sz w:val="24"/>
        </w:rPr>
        <w:t>本项目矸石属于第Ⅰ类一般工业固体废物，煤矸石转运场可按Ⅰ类贮存场选</w:t>
      </w:r>
      <w:r>
        <w:rPr>
          <w:spacing w:val="-4"/>
          <w:sz w:val="24"/>
        </w:rPr>
        <w:t>址和设计。</w:t>
      </w:r>
    </w:p>
    <w:p>
      <w:pPr>
        <w:pStyle w:val="13"/>
        <w:numPr>
          <w:ilvl w:val="0"/>
          <w:numId w:val="105"/>
        </w:numPr>
        <w:tabs>
          <w:tab w:val="left" w:pos="1302"/>
        </w:tabs>
        <w:spacing w:before="5" w:after="0" w:line="362" w:lineRule="auto"/>
        <w:ind w:left="220" w:right="283" w:firstLine="480"/>
        <w:jc w:val="left"/>
        <w:rPr>
          <w:sz w:val="24"/>
        </w:rPr>
      </w:pPr>
      <w:r>
        <w:rPr>
          <w:spacing w:val="-1"/>
          <w:sz w:val="24"/>
        </w:rPr>
        <w:t xml:space="preserve">本项目矸石堆放自燃的可能性较小。矸石排入煤矸石转运场后能够及时清运， </w:t>
      </w:r>
      <w:r>
        <w:rPr>
          <w:sz w:val="24"/>
        </w:rPr>
        <w:t>对周围环境空气的影响较小。</w:t>
      </w:r>
    </w:p>
    <w:p>
      <w:pPr>
        <w:pStyle w:val="13"/>
        <w:numPr>
          <w:ilvl w:val="0"/>
          <w:numId w:val="105"/>
        </w:numPr>
        <w:tabs>
          <w:tab w:val="left" w:pos="1302"/>
        </w:tabs>
        <w:spacing w:before="5" w:after="0" w:line="362" w:lineRule="auto"/>
        <w:ind w:left="220" w:right="338" w:firstLine="480"/>
        <w:jc w:val="left"/>
        <w:rPr>
          <w:sz w:val="24"/>
        </w:rPr>
      </w:pPr>
      <w:r>
        <w:rPr>
          <w:spacing w:val="-4"/>
          <w:sz w:val="24"/>
        </w:rPr>
        <w:t>煤矸石转运场工程地质条件稳定、无断层、破碎带以及滑坡等不良地质灾害影</w:t>
      </w:r>
      <w:r>
        <w:rPr>
          <w:sz w:val="24"/>
        </w:rPr>
        <w:t>响，煤矸石转运场沟底标高高出当地最高洪水水位，不受洪水威胁。</w:t>
      </w:r>
    </w:p>
    <w:p>
      <w:pPr>
        <w:pStyle w:val="6"/>
        <w:spacing w:before="5" w:line="364" w:lineRule="auto"/>
        <w:ind w:left="220" w:right="218" w:firstLine="480"/>
      </w:pPr>
      <w:r>
        <w:rPr>
          <w:spacing w:val="-8"/>
        </w:rPr>
        <w:t xml:space="preserve">根据以上分析，本项目煤矸石转运场经采取洒水措施和种植防护林后对其影响较小； </w:t>
      </w:r>
      <w:r>
        <w:t>从环境保护的角度而言，本煤矸石转运场选址符合《一般工业固体废弃物贮存、处置场污染控制标准》中的有关规定，煤矸石转运场的选址是可行的。</w:t>
      </w:r>
    </w:p>
    <w:p>
      <w:pPr>
        <w:pStyle w:val="4"/>
        <w:numPr>
          <w:ilvl w:val="1"/>
          <w:numId w:val="104"/>
        </w:numPr>
        <w:tabs>
          <w:tab w:val="left" w:pos="780"/>
        </w:tabs>
        <w:spacing w:before="0" w:after="0" w:line="240" w:lineRule="auto"/>
        <w:ind w:left="780" w:right="0" w:hanging="560"/>
        <w:jc w:val="left"/>
        <w:rPr>
          <w:rFonts w:ascii="Times New Roman" w:eastAsia="Times New Roman"/>
        </w:rPr>
      </w:pPr>
      <w:bookmarkStart w:id="1264" w:name="_bookmark84"/>
      <w:bookmarkEnd w:id="1264"/>
      <w:bookmarkStart w:id="1265" w:name="14.5项目选址环境可行性综合分析"/>
      <w:bookmarkEnd w:id="1265"/>
      <w:bookmarkStart w:id="1266" w:name="_bookmark84"/>
      <w:bookmarkEnd w:id="1266"/>
      <w:r>
        <w:t>项目选址环境可行性综合分析</w:t>
      </w:r>
    </w:p>
    <w:p>
      <w:pPr>
        <w:pStyle w:val="6"/>
        <w:spacing w:before="10"/>
        <w:rPr>
          <w:b/>
          <w:sz w:val="21"/>
        </w:rPr>
      </w:pPr>
    </w:p>
    <w:p>
      <w:pPr>
        <w:pStyle w:val="6"/>
        <w:ind w:left="700"/>
      </w:pPr>
      <w:r>
        <w:rPr>
          <w:rFonts w:ascii="Times New Roman" w:eastAsia="Times New Roman"/>
        </w:rPr>
        <w:t>1</w:t>
      </w:r>
      <w:r>
        <w:t>、环境空气</w:t>
      </w:r>
    </w:p>
    <w:p>
      <w:pPr>
        <w:pStyle w:val="6"/>
        <w:spacing w:before="158" w:line="364" w:lineRule="auto"/>
        <w:ind w:left="220" w:right="213" w:firstLine="480"/>
      </w:pPr>
      <w:r>
        <w:t>在采取本评价提出的严格抑尘措施后，无组织排放对区域环境空气质量影响较小。</w:t>
      </w:r>
      <w:r>
        <w:rPr>
          <w:spacing w:val="-11"/>
        </w:rPr>
        <w:t>油烟排放浓度满足《饮食业油烟排放标准</w:t>
      </w:r>
      <w:r>
        <w:rPr>
          <w:spacing w:val="-224"/>
        </w:rPr>
        <w:t>》</w:t>
      </w:r>
      <w:r>
        <w:rPr>
          <w:spacing w:val="-3"/>
        </w:rPr>
        <w:t>（</w:t>
      </w:r>
      <w:r>
        <w:rPr>
          <w:rFonts w:ascii="Times New Roman" w:eastAsia="Times New Roman"/>
          <w:spacing w:val="-1"/>
        </w:rPr>
        <w:t>G</w:t>
      </w:r>
      <w:r>
        <w:rPr>
          <w:rFonts w:ascii="Times New Roman" w:eastAsia="Times New Roman"/>
        </w:rPr>
        <w:t>B 18483</w:t>
      </w:r>
      <w:r>
        <w:rPr>
          <w:rFonts w:ascii="Times New Roman" w:eastAsia="Times New Roman"/>
          <w:spacing w:val="-1"/>
        </w:rPr>
        <w:t>-</w:t>
      </w:r>
      <w:r>
        <w:rPr>
          <w:rFonts w:ascii="Times New Roman" w:eastAsia="Times New Roman"/>
        </w:rPr>
        <w:t>200</w:t>
      </w:r>
      <w:r>
        <w:rPr>
          <w:rFonts w:ascii="Times New Roman" w:eastAsia="Times New Roman"/>
          <w:spacing w:val="2"/>
        </w:rPr>
        <w:t>1</w:t>
      </w:r>
      <w:r>
        <w:rPr>
          <w:spacing w:val="-111"/>
        </w:rPr>
        <w:t>）</w:t>
      </w:r>
      <w:r>
        <w:rPr>
          <w:spacing w:val="-7"/>
        </w:rPr>
        <w:t xml:space="preserve">最高允许排放浓度 </w:t>
      </w:r>
      <w:r>
        <w:rPr>
          <w:rFonts w:ascii="Times New Roman" w:eastAsia="Times New Roman"/>
        </w:rPr>
        <w:t>2.0m</w:t>
      </w:r>
      <w:r>
        <w:rPr>
          <w:rFonts w:ascii="Times New Roman" w:eastAsia="Times New Roman"/>
          <w:spacing w:val="-3"/>
        </w:rPr>
        <w:t>g</w:t>
      </w:r>
      <w:r>
        <w:rPr>
          <w:rFonts w:ascii="Times New Roman" w:eastAsia="Times New Roman"/>
        </w:rPr>
        <w:t>/m</w:t>
      </w:r>
      <w:r>
        <w:rPr>
          <w:rFonts w:ascii="Times New Roman" w:eastAsia="Times New Roman"/>
          <w:spacing w:val="1"/>
          <w:w w:val="104"/>
          <w:position w:val="8"/>
          <w:sz w:val="15"/>
        </w:rPr>
        <w:t>3</w:t>
      </w:r>
      <w:r>
        <w:t>。本矿井为低瓦斯矿井，通过对该矿井产生的瓦斯进行抽排，抽排后的瓦斯浓度较低，本区扩散较好，因此，瓦斯排放对环境空气影响较小。总体来说，本项目对评价区域环境空气质量影响很小，排放的大气污染物可被现有环境所接受。</w:t>
      </w:r>
    </w:p>
    <w:p>
      <w:pPr>
        <w:pStyle w:val="6"/>
        <w:spacing w:line="306" w:lineRule="exact"/>
        <w:ind w:left="700"/>
      </w:pPr>
      <w:r>
        <w:rPr>
          <w:rFonts w:ascii="Times New Roman" w:eastAsia="Times New Roman"/>
        </w:rPr>
        <w:t>2</w:t>
      </w:r>
      <w:r>
        <w:t>、地表水</w:t>
      </w:r>
    </w:p>
    <w:p>
      <w:pPr>
        <w:pStyle w:val="6"/>
        <w:spacing w:before="158" w:line="364" w:lineRule="auto"/>
        <w:ind w:left="220" w:right="338" w:firstLine="480"/>
      </w:pPr>
      <w:r>
        <w:t>本项目污水排放对地表水体影响不大，按煤炭企业设计相应规范要求，在运营期严禁污水直排现象发生。从地表水环境的角度分析，本项目在该厂址建设是可行的。</w:t>
      </w:r>
    </w:p>
    <w:p>
      <w:pPr>
        <w:spacing w:after="0" w:line="364" w:lineRule="auto"/>
        <w:sectPr>
          <w:pgSz w:w="11910" w:h="16840"/>
          <w:pgMar w:top="1340" w:right="1020" w:bottom="1180" w:left="1140" w:header="0" w:footer="917" w:gutter="0"/>
        </w:sectPr>
      </w:pPr>
    </w:p>
    <w:p>
      <w:pPr>
        <w:pStyle w:val="6"/>
        <w:spacing w:before="61"/>
        <w:ind w:left="700"/>
      </w:pPr>
      <w:r>
        <w:rPr>
          <w:rFonts w:ascii="Times New Roman" w:eastAsia="Times New Roman"/>
        </w:rPr>
        <w:t>3</w:t>
      </w:r>
      <w:r>
        <w:t>、地下水</w:t>
      </w:r>
    </w:p>
    <w:p>
      <w:pPr>
        <w:pStyle w:val="6"/>
        <w:spacing w:before="158" w:line="364" w:lineRule="auto"/>
        <w:ind w:left="220" w:right="170" w:firstLine="480"/>
      </w:pPr>
      <w:r>
        <w:t>按照地下水环境质量标准，本次收集井田勘探资料，并进行了评价区水文地质调查， 对地下水进行了采样监测，经过系统分析、全面对比、综合研究从地下水环境的角度分析，本项目在该厂址建设是可行的。</w:t>
      </w:r>
    </w:p>
    <w:p>
      <w:pPr>
        <w:pStyle w:val="6"/>
        <w:spacing w:line="307" w:lineRule="exact"/>
        <w:ind w:left="700"/>
      </w:pPr>
      <w:r>
        <w:rPr>
          <w:rFonts w:ascii="Times New Roman" w:eastAsia="Times New Roman"/>
        </w:rPr>
        <w:t>4</w:t>
      </w:r>
      <w:r>
        <w:t>、噪声</w:t>
      </w:r>
    </w:p>
    <w:p>
      <w:pPr>
        <w:pStyle w:val="6"/>
        <w:spacing w:before="161" w:line="362" w:lineRule="auto"/>
        <w:ind w:left="220" w:right="338" w:firstLine="480"/>
      </w:pPr>
      <w:r>
        <w:t xml:space="preserve">本项目主要噪声源相对较集中，周围 </w:t>
      </w:r>
      <w:r>
        <w:rPr>
          <w:rFonts w:ascii="Times New Roman" w:eastAsia="Times New Roman"/>
        </w:rPr>
        <w:t xml:space="preserve">200m </w:t>
      </w:r>
      <w:r>
        <w:t>内没有居民分布，本评价认为，在严格执行评价提出的防治措施前提下，从声环境角度而言，本项目在该厂址建设可行。</w:t>
      </w:r>
    </w:p>
    <w:p>
      <w:pPr>
        <w:pStyle w:val="6"/>
        <w:spacing w:before="5"/>
        <w:ind w:left="700"/>
      </w:pPr>
      <w:r>
        <w:rPr>
          <w:rFonts w:ascii="Times New Roman" w:eastAsia="Times New Roman"/>
        </w:rPr>
        <w:t>5</w:t>
      </w:r>
      <w:r>
        <w:t>、固体废弃物</w:t>
      </w:r>
    </w:p>
    <w:p>
      <w:pPr>
        <w:pStyle w:val="6"/>
        <w:spacing w:before="158" w:line="364" w:lineRule="auto"/>
        <w:ind w:left="220" w:right="338" w:firstLine="480"/>
        <w:jc w:val="both"/>
      </w:pPr>
      <w:r>
        <w:t>本矿井施工期产出的矸石全部用于修路和工业场地的平整，服务期产生的矸石暂存于矸石转运场，用来平整工业场地；用作公路的路基石料；用于填沟造地。本项目煤矸石转运场周围设置拦矸坝和截流沟，使煤矸石转运场淋溶的雨水经导流沟排入矿井水处理站的沉淀池，进入矿井处理系统，这样既保证了污染物不外排。煤矸石转运场采取洒水抑尘，可有效控制扬尘污染。</w:t>
      </w:r>
    </w:p>
    <w:p>
      <w:pPr>
        <w:pStyle w:val="6"/>
        <w:spacing w:line="364" w:lineRule="auto"/>
        <w:ind w:left="220" w:right="340" w:firstLine="480"/>
        <w:jc w:val="both"/>
      </w:pPr>
      <w:r>
        <w:t xml:space="preserve">本项目产生生活垃圾集中收集，定期按环卫部门要求统一处理；矸石回填采空区和塌陷区、修路；生活污水处理站污泥按市政环卫部门要求统一处理；废机油委托有资质的单位处理。本项目服务期固体废物处理率达 </w:t>
      </w:r>
      <w:r>
        <w:rPr>
          <w:rFonts w:ascii="Times New Roman" w:eastAsia="Times New Roman"/>
        </w:rPr>
        <w:t>100%</w:t>
      </w:r>
      <w:r>
        <w:t>，对外环境影响较小。</w:t>
      </w:r>
    </w:p>
    <w:p>
      <w:pPr>
        <w:pStyle w:val="6"/>
        <w:spacing w:line="307" w:lineRule="exact"/>
        <w:ind w:left="220"/>
      </w:pPr>
      <w:r>
        <w:t>综上所述，本项目选址合理。</w:t>
      </w:r>
    </w:p>
    <w:p>
      <w:pPr>
        <w:spacing w:after="0" w:line="307" w:lineRule="exact"/>
        <w:sectPr>
          <w:pgSz w:w="11910" w:h="16840"/>
          <w:pgMar w:top="1340" w:right="1020" w:bottom="1180" w:left="1140" w:header="0" w:footer="917" w:gutter="0"/>
        </w:sectPr>
      </w:pPr>
    </w:p>
    <w:p>
      <w:pPr>
        <w:pStyle w:val="6"/>
        <w:rPr>
          <w:sz w:val="20"/>
        </w:rPr>
      </w:pPr>
    </w:p>
    <w:p>
      <w:pPr>
        <w:pStyle w:val="6"/>
        <w:spacing w:before="4"/>
        <w:rPr>
          <w:sz w:val="23"/>
        </w:rPr>
      </w:pPr>
    </w:p>
    <w:p>
      <w:pPr>
        <w:spacing w:after="0"/>
        <w:rPr>
          <w:sz w:val="23"/>
        </w:rPr>
        <w:sectPr>
          <w:pgSz w:w="11910" w:h="16840"/>
          <w:pgMar w:top="1580" w:right="1020" w:bottom="1180" w:left="1140" w:header="0" w:footer="917" w:gutter="0"/>
        </w:sectPr>
      </w:pPr>
    </w:p>
    <w:p>
      <w:pPr>
        <w:pStyle w:val="6"/>
        <w:rPr>
          <w:sz w:val="32"/>
        </w:rPr>
      </w:pPr>
    </w:p>
    <w:p>
      <w:pPr>
        <w:pStyle w:val="6"/>
        <w:spacing w:before="5"/>
        <w:rPr>
          <w:sz w:val="27"/>
        </w:rPr>
      </w:pPr>
    </w:p>
    <w:p>
      <w:pPr>
        <w:pStyle w:val="3"/>
        <w:numPr>
          <w:ilvl w:val="1"/>
          <w:numId w:val="106"/>
        </w:numPr>
        <w:tabs>
          <w:tab w:val="left" w:pos="896"/>
        </w:tabs>
        <w:spacing w:before="0" w:after="0" w:line="240" w:lineRule="auto"/>
        <w:ind w:left="895" w:right="0" w:hanging="676"/>
        <w:jc w:val="left"/>
      </w:pPr>
      <w:bookmarkStart w:id="1267" w:name="15.1 评价依据"/>
      <w:bookmarkEnd w:id="1267"/>
      <w:bookmarkStart w:id="1268" w:name="_bookmark85"/>
      <w:bookmarkEnd w:id="1268"/>
      <w:bookmarkStart w:id="1269" w:name="_bookmark85"/>
      <w:bookmarkEnd w:id="1269"/>
      <w:r>
        <w:t>评价依据</w:t>
      </w:r>
    </w:p>
    <w:p>
      <w:pPr>
        <w:pStyle w:val="2"/>
        <w:numPr>
          <w:ilvl w:val="0"/>
          <w:numId w:val="62"/>
        </w:numPr>
        <w:tabs>
          <w:tab w:val="left" w:pos="852"/>
        </w:tabs>
        <w:spacing w:before="61" w:after="0" w:line="240" w:lineRule="auto"/>
        <w:ind w:left="852" w:right="0" w:hanging="632"/>
        <w:jc w:val="left"/>
      </w:pPr>
      <w:bookmarkStart w:id="1270" w:name="_bookmark86"/>
      <w:bookmarkEnd w:id="1270"/>
      <w:bookmarkStart w:id="1271" w:name="15. 环境风险影响分析"/>
      <w:bookmarkEnd w:id="1271"/>
      <w:bookmarkStart w:id="1272" w:name="_bookmark86"/>
      <w:bookmarkEnd w:id="1272"/>
      <w:r>
        <w:rPr>
          <w:spacing w:val="2"/>
          <w:w w:val="99"/>
        </w:rPr>
        <w:br w:type="column"/>
      </w:r>
      <w:r>
        <w:t>环境风险影响分析</w:t>
      </w:r>
    </w:p>
    <w:p>
      <w:pPr>
        <w:spacing w:after="0" w:line="240" w:lineRule="auto"/>
        <w:jc w:val="left"/>
        <w:sectPr>
          <w:type w:val="continuous"/>
          <w:pgSz w:w="11910" w:h="16840"/>
          <w:pgMar w:top="1580" w:right="1020" w:bottom="280" w:left="1140" w:header="720" w:footer="720" w:gutter="0"/>
          <w:cols w:equalWidth="0" w:num="2">
            <w:col w:w="2138" w:space="1054"/>
            <w:col w:w="6558"/>
          </w:cols>
        </w:sectPr>
      </w:pPr>
    </w:p>
    <w:p>
      <w:pPr>
        <w:pStyle w:val="6"/>
        <w:spacing w:before="1"/>
        <w:rPr>
          <w:b/>
          <w:sz w:val="10"/>
        </w:rPr>
      </w:pPr>
    </w:p>
    <w:p>
      <w:pPr>
        <w:pStyle w:val="4"/>
        <w:numPr>
          <w:ilvl w:val="2"/>
          <w:numId w:val="106"/>
        </w:numPr>
        <w:tabs>
          <w:tab w:val="left" w:pos="1061"/>
        </w:tabs>
        <w:spacing w:before="71" w:after="0" w:line="240" w:lineRule="auto"/>
        <w:ind w:left="1060" w:right="0" w:hanging="841"/>
        <w:jc w:val="left"/>
      </w:pPr>
      <w:bookmarkStart w:id="1273" w:name="15.1.1 项目环境风险源调查"/>
      <w:bookmarkEnd w:id="1273"/>
      <w:bookmarkStart w:id="1274" w:name="15.1.1 项目环境风险源调查"/>
      <w:bookmarkEnd w:id="1274"/>
      <w:r>
        <w:t>项目环境风险源调查</w:t>
      </w:r>
    </w:p>
    <w:p>
      <w:pPr>
        <w:pStyle w:val="6"/>
        <w:spacing w:before="148" w:line="520" w:lineRule="atLeast"/>
        <w:ind w:left="220" w:right="340" w:firstLine="480"/>
      </w:pPr>
      <w:r>
        <w:t>环境风险源指“存在物质或能量意外释放，并可能产生环境危害的源”，本项目风险源为火药库、柴油罐、危废暂存间。</w:t>
      </w:r>
    </w:p>
    <w:p>
      <w:pPr>
        <w:pStyle w:val="4"/>
        <w:numPr>
          <w:ilvl w:val="2"/>
          <w:numId w:val="106"/>
        </w:numPr>
        <w:tabs>
          <w:tab w:val="left" w:pos="1061"/>
        </w:tabs>
        <w:spacing w:before="40" w:after="0" w:line="240" w:lineRule="auto"/>
        <w:ind w:left="1060" w:right="0" w:hanging="841"/>
        <w:jc w:val="left"/>
      </w:pPr>
      <w:bookmarkStart w:id="1275" w:name="15.1.2 环境风险潜势初判及评价等级确定"/>
      <w:bookmarkEnd w:id="1275"/>
      <w:bookmarkStart w:id="1276" w:name="15.1.2 环境风险潜势初判及评价等级确定"/>
      <w:bookmarkEnd w:id="1276"/>
      <w:r>
        <w:t>环境风险潜势初判及评价等级确定</w:t>
      </w:r>
    </w:p>
    <w:p>
      <w:pPr>
        <w:pStyle w:val="6"/>
        <w:spacing w:before="182"/>
        <w:ind w:left="700"/>
      </w:pPr>
      <w:r>
        <w:t>本项目危险物质主要为油类物质及硝铵炸药。</w:t>
      </w:r>
    </w:p>
    <w:p>
      <w:pPr>
        <w:pStyle w:val="6"/>
        <w:spacing w:before="161" w:line="362" w:lineRule="auto"/>
        <w:ind w:left="220" w:right="338" w:firstLine="480"/>
      </w:pPr>
      <w:r>
        <w:t>根据《建设项目环境风险评价技术导则》（</w:t>
      </w:r>
      <w:r>
        <w:rPr>
          <w:rFonts w:ascii="Times New Roman" w:eastAsia="Times New Roman"/>
        </w:rPr>
        <w:t>HJ169-2018</w:t>
      </w:r>
      <w:r>
        <w:t>）中关于环境风险潜势初判方式首先按式计算物质总量与临界量比值（</w:t>
      </w:r>
      <w:r>
        <w:rPr>
          <w:rFonts w:ascii="Times New Roman" w:eastAsia="Times New Roman"/>
        </w:rPr>
        <w:t>Q</w:t>
      </w:r>
      <w:r>
        <w:t>）</w:t>
      </w:r>
    </w:p>
    <w:p>
      <w:pPr>
        <w:spacing w:after="0" w:line="362" w:lineRule="auto"/>
        <w:sectPr>
          <w:type w:val="continuous"/>
          <w:pgSz w:w="11910" w:h="16840"/>
          <w:pgMar w:top="1580" w:right="1020" w:bottom="280" w:left="1140" w:header="720" w:footer="720" w:gutter="0"/>
        </w:sectPr>
      </w:pPr>
    </w:p>
    <w:p>
      <w:pPr>
        <w:spacing w:before="44" w:line="187" w:lineRule="auto"/>
        <w:ind w:left="3082" w:right="0" w:firstLine="0"/>
        <w:jc w:val="left"/>
        <w:rPr>
          <w:rFonts w:ascii="Times New Roman" w:hAnsi="Times New Roman"/>
          <w:sz w:val="22"/>
        </w:rPr>
      </w:pPr>
      <w:r>
        <mc:AlternateContent>
          <mc:Choice Requires="wps">
            <w:drawing>
              <wp:anchor distT="0" distB="0" distL="114300" distR="114300" simplePos="0" relativeHeight="214401024" behindDoc="1" locked="0" layoutInCell="1" allowOverlap="1">
                <wp:simplePos x="0" y="0"/>
                <wp:positionH relativeFrom="page">
                  <wp:posOffset>3105150</wp:posOffset>
                </wp:positionH>
                <wp:positionV relativeFrom="paragraph">
                  <wp:posOffset>325755</wp:posOffset>
                </wp:positionV>
                <wp:extent cx="280035" cy="0"/>
                <wp:effectExtent l="0" t="0" r="0" b="0"/>
                <wp:wrapNone/>
                <wp:docPr id="96" name="直线 217"/>
                <wp:cNvGraphicFramePr/>
                <a:graphic xmlns:a="http://schemas.openxmlformats.org/drawingml/2006/main">
                  <a:graphicData uri="http://schemas.microsoft.com/office/word/2010/wordprocessingShape">
                    <wps:wsp>
                      <wps:cNvSpPr/>
                      <wps:spPr>
                        <a:xfrm>
                          <a:off x="0" y="0"/>
                          <a:ext cx="280035" cy="0"/>
                        </a:xfrm>
                        <a:prstGeom prst="line">
                          <a:avLst/>
                        </a:prstGeom>
                        <a:ln w="10109" cap="flat" cmpd="sng">
                          <a:solidFill>
                            <a:srgbClr val="000000"/>
                          </a:solidFill>
                          <a:prstDash val="solid"/>
                          <a:headEnd type="none" w="med" len="med"/>
                          <a:tailEnd type="none" w="med" len="med"/>
                        </a:ln>
                      </wps:spPr>
                      <wps:bodyPr upright="1"/>
                    </wps:wsp>
                  </a:graphicData>
                </a:graphic>
              </wp:anchor>
            </w:drawing>
          </mc:Choice>
          <mc:Fallback>
            <w:pict>
              <v:line id="直线 217" o:spid="_x0000_s1026" o:spt="20" style="position:absolute;left:0pt;margin-left:244.5pt;margin-top:25.65pt;height:0pt;width:22.05pt;mso-position-horizontal-relative:page;z-index:-288915456;mso-width-relative:page;mso-height-relative:page;" filled="f" stroked="t" coordsize="21600,21600" o:gfxdata="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JwUptoAAAAJAQAADwAAAAAAAAABACAAAAAi&#10;AAAAZHJzL2Rvd25yZXYueG1sUEsBAhQAFAAAAAgAh07iQCDupIPPAQAAkAMAAA4AAAAAAAAAAQAg&#10;AAAAKQEAAGRycy9lMm9Eb2MueG1sUEsFBgAAAAAGAAYAWQEAAGoFAAAAAA==&#10;">
                <v:fill on="f" focussize="0,0"/>
                <v:stroke weight="0.795984251968504pt" color="#000000" joinstyle="round"/>
                <v:imagedata o:title=""/>
                <o:lock v:ext="edit" aspectratio="f"/>
              </v:line>
            </w:pict>
          </mc:Fallback>
        </mc:AlternateContent>
      </w:r>
      <w:r>
        <mc:AlternateContent>
          <mc:Choice Requires="wps">
            <w:drawing>
              <wp:anchor distT="0" distB="0" distL="114300" distR="114300" simplePos="0" relativeHeight="214402048" behindDoc="1" locked="0" layoutInCell="1" allowOverlap="1">
                <wp:simplePos x="0" y="0"/>
                <wp:positionH relativeFrom="page">
                  <wp:posOffset>3616325</wp:posOffset>
                </wp:positionH>
                <wp:positionV relativeFrom="paragraph">
                  <wp:posOffset>325755</wp:posOffset>
                </wp:positionV>
                <wp:extent cx="306705" cy="0"/>
                <wp:effectExtent l="0" t="0" r="0" b="0"/>
                <wp:wrapNone/>
                <wp:docPr id="97" name="直线 218"/>
                <wp:cNvGraphicFramePr/>
                <a:graphic xmlns:a="http://schemas.openxmlformats.org/drawingml/2006/main">
                  <a:graphicData uri="http://schemas.microsoft.com/office/word/2010/wordprocessingShape">
                    <wps:wsp>
                      <wps:cNvSpPr/>
                      <wps:spPr>
                        <a:xfrm>
                          <a:off x="0" y="0"/>
                          <a:ext cx="306705" cy="0"/>
                        </a:xfrm>
                        <a:prstGeom prst="line">
                          <a:avLst/>
                        </a:prstGeom>
                        <a:ln w="10109" cap="flat" cmpd="sng">
                          <a:solidFill>
                            <a:srgbClr val="000000"/>
                          </a:solidFill>
                          <a:prstDash val="solid"/>
                          <a:headEnd type="none" w="med" len="med"/>
                          <a:tailEnd type="none" w="med" len="med"/>
                        </a:ln>
                      </wps:spPr>
                      <wps:bodyPr upright="1"/>
                    </wps:wsp>
                  </a:graphicData>
                </a:graphic>
              </wp:anchor>
            </w:drawing>
          </mc:Choice>
          <mc:Fallback>
            <w:pict>
              <v:line id="直线 218" o:spid="_x0000_s1026" o:spt="20" style="position:absolute;left:0pt;margin-left:284.75pt;margin-top:25.65pt;height:0pt;width:24.15pt;mso-position-horizontal-relative:page;z-index:-288914432;mso-width-relative:page;mso-height-relative:page;" filled="f" stroked="t" coordsize="21600,21600" o:gfxdata="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Fv+PbYAAAACQEAAA8AAAAAAAAAAQAgAAAAIgAA&#10;AGRycy9kb3ducmV2LnhtbFBLAQIUABQAAAAIAIdO4kDNfSTIzwEAAJADAAAOAAAAAAAAAAEAIAAA&#10;ACcBAABkcnMvZTJvRG9jLnhtbFBLBQYAAAAABgAGAFkBAABoBQAAAAA=&#10;">
                <v:fill on="f" focussize="0,0"/>
                <v:stroke weight="0.795984251968504pt" color="#000000" joinstyle="round"/>
                <v:imagedata o:title=""/>
                <o:lock v:ext="edit" aspectratio="f"/>
              </v:line>
            </w:pict>
          </mc:Fallback>
        </mc:AlternateContent>
      </w:r>
      <w:r>
        <w:rPr>
          <w:rFonts w:ascii="Times New Roman" w:hAnsi="Times New Roman"/>
          <w:position w:val="-23"/>
          <w:sz w:val="38"/>
        </w:rPr>
        <w:t xml:space="preserve">Q </w:t>
      </w:r>
      <w:r>
        <w:rPr>
          <w:rFonts w:ascii="Symbol" w:hAnsi="Symbol"/>
          <w:position w:val="-23"/>
          <w:sz w:val="38"/>
        </w:rPr>
        <w:t></w:t>
      </w:r>
      <w:r>
        <w:rPr>
          <w:rFonts w:ascii="Times New Roman" w:hAnsi="Times New Roman"/>
          <w:position w:val="-23"/>
          <w:sz w:val="38"/>
        </w:rPr>
        <w:t xml:space="preserve"> </w:t>
      </w:r>
      <w:r>
        <w:rPr>
          <w:rFonts w:ascii="Times New Roman" w:hAnsi="Times New Roman"/>
          <w:sz w:val="38"/>
        </w:rPr>
        <w:t xml:space="preserve">q </w:t>
      </w:r>
      <w:r>
        <w:rPr>
          <w:rFonts w:ascii="Times New Roman" w:hAnsi="Times New Roman"/>
          <w:sz w:val="22"/>
        </w:rPr>
        <w:t xml:space="preserve">1  </w:t>
      </w:r>
      <w:r>
        <w:rPr>
          <w:rFonts w:ascii="Symbol" w:hAnsi="Symbol"/>
          <w:position w:val="-23"/>
          <w:sz w:val="38"/>
        </w:rPr>
        <w:t></w:t>
      </w:r>
      <w:r>
        <w:rPr>
          <w:rFonts w:ascii="Times New Roman" w:hAnsi="Times New Roman"/>
          <w:position w:val="-23"/>
          <w:sz w:val="38"/>
        </w:rPr>
        <w:t xml:space="preserve"> </w:t>
      </w:r>
      <w:r>
        <w:rPr>
          <w:rFonts w:ascii="Times New Roman" w:hAnsi="Times New Roman"/>
          <w:sz w:val="38"/>
        </w:rPr>
        <w:t>q</w:t>
      </w:r>
      <w:r>
        <w:rPr>
          <w:rFonts w:ascii="Times New Roman" w:hAnsi="Times New Roman"/>
          <w:spacing w:val="18"/>
          <w:sz w:val="38"/>
        </w:rPr>
        <w:t xml:space="preserve"> </w:t>
      </w:r>
      <w:r>
        <w:rPr>
          <w:rFonts w:ascii="Times New Roman" w:hAnsi="Times New Roman"/>
          <w:sz w:val="22"/>
        </w:rPr>
        <w:t>2</w:t>
      </w:r>
    </w:p>
    <w:p>
      <w:pPr>
        <w:tabs>
          <w:tab w:val="left" w:pos="804"/>
        </w:tabs>
        <w:spacing w:before="0" w:line="366" w:lineRule="exact"/>
        <w:ind w:left="0" w:right="0" w:firstLine="0"/>
        <w:jc w:val="right"/>
        <w:rPr>
          <w:rFonts w:ascii="Times New Roman"/>
          <w:sz w:val="22"/>
        </w:rPr>
      </w:pPr>
      <w:r>
        <w:rPr>
          <w:rFonts w:ascii="Times New Roman"/>
          <w:spacing w:val="14"/>
          <w:sz w:val="38"/>
        </w:rPr>
        <w:t>Q</w:t>
      </w:r>
      <w:r>
        <w:rPr>
          <w:rFonts w:ascii="Times New Roman"/>
          <w:spacing w:val="14"/>
          <w:sz w:val="22"/>
        </w:rPr>
        <w:t>1</w:t>
      </w:r>
      <w:r>
        <w:rPr>
          <w:rFonts w:ascii="Times New Roman"/>
          <w:spacing w:val="14"/>
          <w:sz w:val="22"/>
        </w:rPr>
        <w:tab/>
      </w:r>
      <w:r>
        <w:rPr>
          <w:rFonts w:ascii="Times New Roman"/>
          <w:sz w:val="38"/>
        </w:rPr>
        <w:t>Q</w:t>
      </w:r>
      <w:r>
        <w:rPr>
          <w:rFonts w:ascii="Times New Roman"/>
          <w:spacing w:val="-38"/>
          <w:sz w:val="38"/>
        </w:rPr>
        <w:t xml:space="preserve"> </w:t>
      </w:r>
      <w:r>
        <w:rPr>
          <w:rFonts w:ascii="Times New Roman"/>
          <w:sz w:val="22"/>
        </w:rPr>
        <w:t>2</w:t>
      </w:r>
    </w:p>
    <w:p>
      <w:pPr>
        <w:spacing w:before="15" w:line="675" w:lineRule="exact"/>
        <w:ind w:left="57" w:right="0" w:firstLine="0"/>
        <w:jc w:val="left"/>
        <w:rPr>
          <w:rFonts w:ascii="Times New Roman" w:hAnsi="Times New Roman"/>
          <w:sz w:val="22"/>
        </w:rPr>
      </w:pPr>
      <w:r>
        <w:br w:type="column"/>
      </w:r>
      <w:r>
        <w:rPr>
          <w:rFonts w:ascii="Symbol" w:hAnsi="Symbol"/>
          <w:spacing w:val="22"/>
          <w:sz w:val="38"/>
        </w:rPr>
        <w:t></w:t>
      </w:r>
      <w:r>
        <w:rPr>
          <w:rFonts w:ascii="MT Extra" w:hAnsi="MT Extra"/>
          <w:spacing w:val="22"/>
          <w:sz w:val="38"/>
        </w:rPr>
        <w:t></w:t>
      </w:r>
      <w:r>
        <w:rPr>
          <w:rFonts w:ascii="Symbol" w:hAnsi="Symbol"/>
          <w:spacing w:val="22"/>
          <w:sz w:val="38"/>
        </w:rPr>
        <w:t></w:t>
      </w:r>
      <w:r>
        <w:rPr>
          <w:rFonts w:ascii="Times New Roman" w:hAnsi="Times New Roman"/>
          <w:spacing w:val="52"/>
          <w:sz w:val="38"/>
        </w:rPr>
        <w:t xml:space="preserve"> </w:t>
      </w:r>
      <w:r>
        <w:rPr>
          <w:rFonts w:ascii="Times New Roman" w:hAnsi="Times New Roman"/>
          <w:position w:val="24"/>
          <w:sz w:val="38"/>
        </w:rPr>
        <w:t>q</w:t>
      </w:r>
      <w:r>
        <w:rPr>
          <w:rFonts w:ascii="Times New Roman" w:hAnsi="Times New Roman"/>
          <w:position w:val="24"/>
          <w:sz w:val="22"/>
        </w:rPr>
        <w:t>n</w:t>
      </w:r>
    </w:p>
    <w:p>
      <w:pPr>
        <w:spacing w:before="0" w:line="301" w:lineRule="exact"/>
        <w:ind w:left="1025" w:right="0" w:firstLine="0"/>
        <w:jc w:val="left"/>
        <w:rPr>
          <w:rFonts w:ascii="Times New Roman"/>
          <w:sz w:val="22"/>
        </w:rPr>
      </w:pPr>
      <w:r>
        <mc:AlternateContent>
          <mc:Choice Requires="wps">
            <w:drawing>
              <wp:anchor distT="0" distB="0" distL="114300" distR="114300" simplePos="0" relativeHeight="214403072" behindDoc="1" locked="0" layoutInCell="1" allowOverlap="1">
                <wp:simplePos x="0" y="0"/>
                <wp:positionH relativeFrom="page">
                  <wp:posOffset>4574540</wp:posOffset>
                </wp:positionH>
                <wp:positionV relativeFrom="paragraph">
                  <wp:posOffset>-111760</wp:posOffset>
                </wp:positionV>
                <wp:extent cx="277495" cy="0"/>
                <wp:effectExtent l="0" t="0" r="0" b="0"/>
                <wp:wrapNone/>
                <wp:docPr id="98" name="直线 219"/>
                <wp:cNvGraphicFramePr/>
                <a:graphic xmlns:a="http://schemas.openxmlformats.org/drawingml/2006/main">
                  <a:graphicData uri="http://schemas.microsoft.com/office/word/2010/wordprocessingShape">
                    <wps:wsp>
                      <wps:cNvSpPr/>
                      <wps:spPr>
                        <a:xfrm>
                          <a:off x="0" y="0"/>
                          <a:ext cx="277495" cy="0"/>
                        </a:xfrm>
                        <a:prstGeom prst="line">
                          <a:avLst/>
                        </a:prstGeom>
                        <a:ln w="10109" cap="flat" cmpd="sng">
                          <a:solidFill>
                            <a:srgbClr val="000000"/>
                          </a:solidFill>
                          <a:prstDash val="solid"/>
                          <a:headEnd type="none" w="med" len="med"/>
                          <a:tailEnd type="none" w="med" len="med"/>
                        </a:ln>
                      </wps:spPr>
                      <wps:bodyPr upright="1"/>
                    </wps:wsp>
                  </a:graphicData>
                </a:graphic>
              </wp:anchor>
            </w:drawing>
          </mc:Choice>
          <mc:Fallback>
            <w:pict>
              <v:line id="直线 219" o:spid="_x0000_s1026" o:spt="20" style="position:absolute;left:0pt;margin-left:360.2pt;margin-top:-8.8pt;height:0pt;width:21.85pt;mso-position-horizontal-relative:page;z-index:-288913408;mso-width-relative:page;mso-height-relative:page;" filled="f" stroked="t" coordsize="21600,21600" o:gfxdata="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KIE+N2QAAAAsBAAAPAAAAAAAAAAEAIAAAACIA&#10;AABkcnMvZG93bnJldi54bWxQSwECFAAUAAAACACHTuJA6e1f7s8BAACQAwAADgAAAAAAAAABACAA&#10;AAAoAQAAZHJzL2Uyb0RvYy54bWxQSwUGAAAAAAYABgBZAQAAaQUAAAAA&#10;">
                <v:fill on="f" focussize="0,0"/>
                <v:stroke weight="0.795984251968504pt" color="#000000" joinstyle="round"/>
                <v:imagedata o:title=""/>
                <o:lock v:ext="edit" aspectratio="f"/>
              </v:line>
            </w:pict>
          </mc:Fallback>
        </mc:AlternateContent>
      </w:r>
      <w:r>
        <w:rPr>
          <w:rFonts w:ascii="Times New Roman"/>
          <w:sz w:val="38"/>
        </w:rPr>
        <w:t>Q</w:t>
      </w:r>
      <w:r>
        <w:rPr>
          <w:rFonts w:ascii="Times New Roman"/>
          <w:sz w:val="22"/>
        </w:rPr>
        <w:t>n</w:t>
      </w:r>
    </w:p>
    <w:p>
      <w:pPr>
        <w:spacing w:after="0" w:line="301" w:lineRule="exact"/>
        <w:jc w:val="left"/>
        <w:rPr>
          <w:rFonts w:ascii="Times New Roman"/>
          <w:sz w:val="22"/>
        </w:rPr>
        <w:sectPr>
          <w:type w:val="continuous"/>
          <w:pgSz w:w="11910" w:h="16840"/>
          <w:pgMar w:top="1580" w:right="1020" w:bottom="280" w:left="1140" w:header="720" w:footer="720" w:gutter="0"/>
          <w:cols w:equalWidth="0" w:num="2">
            <w:col w:w="5019" w:space="40"/>
            <w:col w:w="4691"/>
          </w:cols>
        </w:sectPr>
      </w:pPr>
    </w:p>
    <w:p>
      <w:pPr>
        <w:pStyle w:val="6"/>
        <w:spacing w:before="2"/>
        <w:rPr>
          <w:rFonts w:ascii="Times New Roman"/>
          <w:sz w:val="11"/>
        </w:rPr>
      </w:pPr>
    </w:p>
    <w:p>
      <w:pPr>
        <w:pStyle w:val="6"/>
        <w:spacing w:before="71"/>
        <w:ind w:left="700"/>
      </w:pPr>
      <w:r>
        <w:rPr>
          <w:position w:val="2"/>
        </w:rPr>
        <w:t>式中：</w:t>
      </w:r>
      <w:r>
        <w:rPr>
          <w:rFonts w:ascii="Times New Roman" w:hAnsi="Times New Roman" w:eastAsia="Times New Roman"/>
          <w:position w:val="2"/>
        </w:rPr>
        <w:t>q</w:t>
      </w:r>
      <w:r>
        <w:rPr>
          <w:rFonts w:ascii="Times New Roman" w:hAnsi="Times New Roman" w:eastAsia="Times New Roman"/>
          <w:position w:val="2"/>
          <w:vertAlign w:val="subscript"/>
        </w:rPr>
        <w:t>1</w:t>
      </w:r>
      <w:r>
        <w:rPr>
          <w:rFonts w:ascii="Times New Roman" w:hAnsi="Times New Roman" w:eastAsia="Times New Roman"/>
          <w:position w:val="2"/>
          <w:vertAlign w:val="baseline"/>
        </w:rPr>
        <w:t>,q</w:t>
      </w:r>
      <w:r>
        <w:rPr>
          <w:rFonts w:ascii="Times New Roman" w:hAnsi="Times New Roman" w:eastAsia="Times New Roman"/>
          <w:position w:val="2"/>
          <w:vertAlign w:val="subscript"/>
        </w:rPr>
        <w:t>2</w:t>
      </w:r>
      <w:r>
        <w:rPr>
          <w:rFonts w:ascii="Times New Roman" w:hAnsi="Times New Roman" w:eastAsia="Times New Roman"/>
          <w:position w:val="2"/>
          <w:vertAlign w:val="baseline"/>
        </w:rPr>
        <w:t>,…,q</w:t>
      </w:r>
      <w:r>
        <w:rPr>
          <w:rFonts w:ascii="Times New Roman" w:hAnsi="Times New Roman" w:eastAsia="Times New Roman"/>
          <w:position w:val="2"/>
          <w:vertAlign w:val="subscript"/>
        </w:rPr>
        <w:t>n</w:t>
      </w:r>
      <w:r>
        <w:rPr>
          <w:rFonts w:ascii="Times New Roman" w:hAnsi="Times New Roman" w:eastAsia="Times New Roman"/>
          <w:position w:val="2"/>
          <w:vertAlign w:val="baseline"/>
        </w:rPr>
        <w:t>——</w:t>
      </w:r>
      <w:r>
        <w:rPr>
          <w:position w:val="2"/>
          <w:vertAlign w:val="baseline"/>
        </w:rPr>
        <w:t>每种危险物质的最大存在总量，</w:t>
      </w:r>
      <w:r>
        <w:rPr>
          <w:rFonts w:ascii="Times New Roman" w:hAnsi="Times New Roman" w:eastAsia="Times New Roman"/>
          <w:position w:val="2"/>
          <w:vertAlign w:val="baseline"/>
        </w:rPr>
        <w:t>t</w:t>
      </w:r>
      <w:r>
        <w:rPr>
          <w:position w:val="2"/>
          <w:vertAlign w:val="baseline"/>
        </w:rPr>
        <w:t>；</w:t>
      </w:r>
    </w:p>
    <w:p>
      <w:pPr>
        <w:pStyle w:val="6"/>
        <w:spacing w:before="156" w:line="362" w:lineRule="auto"/>
        <w:ind w:left="700" w:right="4444"/>
      </w:pPr>
      <w:r>
        <w:rPr>
          <w:rFonts w:ascii="Times New Roman" w:hAnsi="Times New Roman" w:eastAsia="Times New Roman"/>
          <w:position w:val="2"/>
        </w:rPr>
        <w:t>Q</w:t>
      </w:r>
      <w:r>
        <w:rPr>
          <w:rFonts w:ascii="Times New Roman" w:hAnsi="Times New Roman" w:eastAsia="Times New Roman"/>
          <w:position w:val="2"/>
          <w:vertAlign w:val="subscript"/>
        </w:rPr>
        <w:t>1</w:t>
      </w:r>
      <w:r>
        <w:rPr>
          <w:rFonts w:ascii="Times New Roman" w:hAnsi="Times New Roman" w:eastAsia="Times New Roman"/>
          <w:position w:val="2"/>
          <w:vertAlign w:val="baseline"/>
        </w:rPr>
        <w:t>,Q</w:t>
      </w:r>
      <w:r>
        <w:rPr>
          <w:rFonts w:ascii="Times New Roman" w:hAnsi="Times New Roman" w:eastAsia="Times New Roman"/>
          <w:position w:val="2"/>
          <w:vertAlign w:val="subscript"/>
        </w:rPr>
        <w:t>2</w:t>
      </w:r>
      <w:r>
        <w:rPr>
          <w:rFonts w:ascii="Times New Roman" w:hAnsi="Times New Roman" w:eastAsia="Times New Roman"/>
          <w:position w:val="2"/>
          <w:vertAlign w:val="baseline"/>
        </w:rPr>
        <w:t>,…,Q</w:t>
      </w:r>
      <w:r>
        <w:rPr>
          <w:rFonts w:ascii="Times New Roman" w:hAnsi="Times New Roman" w:eastAsia="Times New Roman"/>
          <w:position w:val="2"/>
          <w:vertAlign w:val="subscript"/>
        </w:rPr>
        <w:t>n</w:t>
      </w:r>
      <w:r>
        <w:rPr>
          <w:rFonts w:ascii="Times New Roman" w:hAnsi="Times New Roman" w:eastAsia="Times New Roman"/>
          <w:position w:val="2"/>
          <w:vertAlign w:val="baseline"/>
        </w:rPr>
        <w:t>——</w:t>
      </w:r>
      <w:r>
        <w:rPr>
          <w:position w:val="2"/>
          <w:vertAlign w:val="baseline"/>
        </w:rPr>
        <w:t>每种危险物质的临界量，</w:t>
      </w:r>
      <w:r>
        <w:rPr>
          <w:rFonts w:ascii="Times New Roman" w:hAnsi="Times New Roman" w:eastAsia="Times New Roman"/>
          <w:position w:val="2"/>
          <w:vertAlign w:val="baseline"/>
        </w:rPr>
        <w:t>t</w:t>
      </w:r>
      <w:r>
        <w:rPr>
          <w:position w:val="2"/>
          <w:vertAlign w:val="baseline"/>
        </w:rPr>
        <w:t>。</w:t>
      </w:r>
      <w:r>
        <w:rPr>
          <w:vertAlign w:val="baseline"/>
        </w:rPr>
        <w:t xml:space="preserve">当 </w:t>
      </w:r>
      <w:r>
        <w:rPr>
          <w:rFonts w:ascii="Times New Roman" w:hAnsi="Times New Roman" w:eastAsia="Times New Roman"/>
          <w:vertAlign w:val="baseline"/>
        </w:rPr>
        <w:t xml:space="preserve">Q&lt;1  </w:t>
      </w:r>
      <w:r>
        <w:rPr>
          <w:vertAlign w:val="baseline"/>
        </w:rPr>
        <w:t>时，该项目环境风险潜势为Ⅰ</w:t>
      </w:r>
    </w:p>
    <w:p>
      <w:pPr>
        <w:pStyle w:val="6"/>
        <w:spacing w:before="3"/>
        <w:ind w:left="700"/>
      </w:pPr>
      <w:r>
        <w:rPr>
          <w:spacing w:val="-1"/>
        </w:rPr>
        <w:t xml:space="preserve">当 </w:t>
      </w:r>
      <w:r>
        <w:rPr>
          <w:rFonts w:ascii="Times New Roman" w:hAnsi="Times New Roman" w:eastAsia="Times New Roman"/>
        </w:rPr>
        <w:t xml:space="preserve">Q≥1  </w:t>
      </w:r>
      <w:r>
        <w:rPr>
          <w:spacing w:val="-1"/>
        </w:rPr>
        <w:t xml:space="preserve">时，将 </w:t>
      </w:r>
      <w:r>
        <w:rPr>
          <w:rFonts w:ascii="Times New Roman" w:hAnsi="Times New Roman" w:eastAsia="Times New Roman"/>
        </w:rPr>
        <w:t>Q</w:t>
      </w:r>
      <w:r>
        <w:rPr>
          <w:rFonts w:ascii="Times New Roman" w:hAnsi="Times New Roman" w:eastAsia="Times New Roman"/>
          <w:spacing w:val="59"/>
        </w:rPr>
        <w:t xml:space="preserve"> </w:t>
      </w:r>
      <w:r>
        <w:t>值划分为：（</w:t>
      </w:r>
      <w:r>
        <w:rPr>
          <w:rFonts w:ascii="Times New Roman" w:hAnsi="Times New Roman" w:eastAsia="Times New Roman"/>
        </w:rPr>
        <w:t>1</w:t>
      </w:r>
      <w:r>
        <w:t>）</w:t>
      </w:r>
      <w:r>
        <w:rPr>
          <w:rFonts w:ascii="Times New Roman" w:hAnsi="Times New Roman" w:eastAsia="Times New Roman"/>
        </w:rPr>
        <w:t>1≤Q&lt;10</w:t>
      </w:r>
      <w:r>
        <w:t>；（</w:t>
      </w:r>
      <w:r>
        <w:rPr>
          <w:rFonts w:ascii="Times New Roman" w:hAnsi="Times New Roman" w:eastAsia="Times New Roman"/>
        </w:rPr>
        <w:t>2</w:t>
      </w:r>
      <w:r>
        <w:t>）</w:t>
      </w:r>
      <w:r>
        <w:rPr>
          <w:rFonts w:ascii="Times New Roman" w:hAnsi="Times New Roman" w:eastAsia="Times New Roman"/>
        </w:rPr>
        <w:t>10≤Q&lt;100</w:t>
      </w:r>
      <w:r>
        <w:t>；（</w:t>
      </w:r>
      <w:r>
        <w:rPr>
          <w:rFonts w:ascii="Times New Roman" w:hAnsi="Times New Roman" w:eastAsia="Times New Roman"/>
        </w:rPr>
        <w:t>3</w:t>
      </w:r>
      <w:r>
        <w:t>）</w:t>
      </w:r>
      <w:r>
        <w:rPr>
          <w:rFonts w:ascii="Times New Roman" w:hAnsi="Times New Roman" w:eastAsia="Times New Roman"/>
        </w:rPr>
        <w:t>Q≥100</w:t>
      </w:r>
      <w:r>
        <w:t>。</w:t>
      </w:r>
    </w:p>
    <w:p>
      <w:pPr>
        <w:spacing w:before="160"/>
        <w:ind w:left="0" w:right="110" w:firstLine="0"/>
        <w:jc w:val="center"/>
        <w:rPr>
          <w:b/>
          <w:sz w:val="21"/>
        </w:rPr>
      </w:pPr>
      <w:r>
        <w:rPr>
          <w:b/>
          <w:spacing w:val="-28"/>
          <w:sz w:val="21"/>
        </w:rPr>
        <w:t xml:space="preserve">表 </w:t>
      </w:r>
      <w:r>
        <w:rPr>
          <w:rFonts w:ascii="Calibri" w:eastAsia="Calibri"/>
          <w:b/>
          <w:sz w:val="21"/>
        </w:rPr>
        <w:t>15</w:t>
      </w:r>
      <w:r>
        <w:rPr>
          <w:rFonts w:ascii="Times New Roman" w:eastAsia="Times New Roman"/>
          <w:b/>
          <w:sz w:val="21"/>
        </w:rPr>
        <w:t>.1-1</w:t>
      </w:r>
      <w:r>
        <w:rPr>
          <w:rFonts w:ascii="Times New Roman" w:eastAsia="Times New Roman"/>
          <w:b/>
          <w:spacing w:val="52"/>
          <w:sz w:val="21"/>
        </w:rPr>
        <w:t xml:space="preserve"> </w:t>
      </w:r>
      <w:r>
        <w:rPr>
          <w:b/>
          <w:spacing w:val="-11"/>
          <w:sz w:val="21"/>
        </w:rPr>
        <w:t xml:space="preserve">建设项目 </w:t>
      </w:r>
      <w:r>
        <w:rPr>
          <w:rFonts w:ascii="Times New Roman" w:eastAsia="Times New Roman"/>
          <w:b/>
          <w:sz w:val="21"/>
        </w:rPr>
        <w:t xml:space="preserve">Q </w:t>
      </w:r>
      <w:r>
        <w:rPr>
          <w:b/>
          <w:sz w:val="21"/>
        </w:rPr>
        <w:t>值确定表</w:t>
      </w:r>
    </w:p>
    <w:p>
      <w:pPr>
        <w:pStyle w:val="6"/>
        <w:spacing w:before="9"/>
        <w:rPr>
          <w:b/>
          <w:sz w:val="10"/>
        </w:rPr>
      </w:pPr>
    </w:p>
    <w:tbl>
      <w:tblPr>
        <w:tblStyle w:val="10"/>
        <w:tblW w:w="0" w:type="auto"/>
        <w:tblInd w:w="19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66"/>
        <w:gridCol w:w="1614"/>
        <w:gridCol w:w="1285"/>
        <w:gridCol w:w="1957"/>
        <w:gridCol w:w="1555"/>
        <w:gridCol w:w="187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966" w:type="dxa"/>
            <w:tcBorders>
              <w:bottom w:val="single" w:color="000000" w:sz="4" w:space="0"/>
              <w:right w:val="single" w:color="000000" w:sz="4" w:space="0"/>
            </w:tcBorders>
          </w:tcPr>
          <w:p>
            <w:pPr>
              <w:pStyle w:val="14"/>
              <w:spacing w:before="92"/>
              <w:ind w:left="250" w:right="241"/>
              <w:rPr>
                <w:sz w:val="21"/>
              </w:rPr>
            </w:pPr>
            <w:r>
              <w:rPr>
                <w:sz w:val="21"/>
              </w:rPr>
              <w:t>序号</w:t>
            </w:r>
          </w:p>
        </w:tc>
        <w:tc>
          <w:tcPr>
            <w:tcW w:w="1614" w:type="dxa"/>
            <w:tcBorders>
              <w:left w:val="single" w:color="000000" w:sz="4" w:space="0"/>
              <w:bottom w:val="single" w:color="000000" w:sz="4" w:space="0"/>
              <w:right w:val="single" w:color="000000" w:sz="4" w:space="0"/>
            </w:tcBorders>
          </w:tcPr>
          <w:p>
            <w:pPr>
              <w:pStyle w:val="14"/>
              <w:spacing w:before="92"/>
              <w:ind w:left="155" w:right="139"/>
              <w:rPr>
                <w:sz w:val="21"/>
              </w:rPr>
            </w:pPr>
            <w:r>
              <w:rPr>
                <w:sz w:val="21"/>
              </w:rPr>
              <w:t>危险物质名称</w:t>
            </w:r>
          </w:p>
        </w:tc>
        <w:tc>
          <w:tcPr>
            <w:tcW w:w="1285" w:type="dxa"/>
            <w:tcBorders>
              <w:left w:val="single" w:color="000000" w:sz="4" w:space="0"/>
              <w:bottom w:val="single" w:color="000000" w:sz="4" w:space="0"/>
              <w:right w:val="single" w:color="000000" w:sz="4" w:space="0"/>
            </w:tcBorders>
          </w:tcPr>
          <w:p>
            <w:pPr>
              <w:pStyle w:val="14"/>
              <w:spacing w:before="92"/>
              <w:ind w:left="287" w:right="268"/>
              <w:rPr>
                <w:sz w:val="21"/>
              </w:rPr>
            </w:pPr>
            <w:r>
              <w:rPr>
                <w:rFonts w:ascii="Times New Roman" w:eastAsia="Times New Roman"/>
                <w:sz w:val="21"/>
              </w:rPr>
              <w:t xml:space="preserve">CAS </w:t>
            </w:r>
            <w:r>
              <w:rPr>
                <w:sz w:val="21"/>
              </w:rPr>
              <w:t>号</w:t>
            </w:r>
          </w:p>
        </w:tc>
        <w:tc>
          <w:tcPr>
            <w:tcW w:w="1957" w:type="dxa"/>
            <w:tcBorders>
              <w:left w:val="single" w:color="000000" w:sz="4" w:space="0"/>
              <w:bottom w:val="single" w:color="000000" w:sz="4" w:space="0"/>
              <w:right w:val="single" w:color="000000" w:sz="4" w:space="0"/>
            </w:tcBorders>
          </w:tcPr>
          <w:p>
            <w:pPr>
              <w:pStyle w:val="14"/>
              <w:spacing w:before="92"/>
              <w:ind w:left="88" w:right="71"/>
              <w:rPr>
                <w:sz w:val="21"/>
              </w:rPr>
            </w:pPr>
            <w:r>
              <w:rPr>
                <w:sz w:val="21"/>
              </w:rPr>
              <w:t>最大存在总量（</w:t>
            </w:r>
            <w:r>
              <w:rPr>
                <w:rFonts w:ascii="Times New Roman" w:eastAsia="Times New Roman"/>
                <w:sz w:val="21"/>
              </w:rPr>
              <w:t>t</w:t>
            </w:r>
            <w:r>
              <w:rPr>
                <w:sz w:val="21"/>
              </w:rPr>
              <w:t>）</w:t>
            </w:r>
          </w:p>
        </w:tc>
        <w:tc>
          <w:tcPr>
            <w:tcW w:w="1555" w:type="dxa"/>
            <w:tcBorders>
              <w:left w:val="single" w:color="000000" w:sz="4" w:space="0"/>
              <w:bottom w:val="single" w:color="000000" w:sz="4" w:space="0"/>
              <w:right w:val="single" w:color="000000" w:sz="4" w:space="0"/>
            </w:tcBorders>
          </w:tcPr>
          <w:p>
            <w:pPr>
              <w:pStyle w:val="14"/>
              <w:spacing w:before="92"/>
              <w:ind w:left="125" w:right="109"/>
              <w:rPr>
                <w:sz w:val="21"/>
              </w:rPr>
            </w:pPr>
            <w:r>
              <w:rPr>
                <w:sz w:val="21"/>
              </w:rPr>
              <w:t>临界量（</w:t>
            </w:r>
            <w:r>
              <w:rPr>
                <w:rFonts w:ascii="Times New Roman" w:eastAsia="Times New Roman"/>
                <w:sz w:val="21"/>
              </w:rPr>
              <w:t>t</w:t>
            </w:r>
            <w:r>
              <w:rPr>
                <w:sz w:val="21"/>
              </w:rPr>
              <w:t>）</w:t>
            </w:r>
          </w:p>
        </w:tc>
        <w:tc>
          <w:tcPr>
            <w:tcW w:w="1871" w:type="dxa"/>
            <w:tcBorders>
              <w:left w:val="single" w:color="000000" w:sz="4" w:space="0"/>
              <w:bottom w:val="single" w:color="000000" w:sz="4" w:space="0"/>
            </w:tcBorders>
          </w:tcPr>
          <w:p>
            <w:pPr>
              <w:pStyle w:val="14"/>
              <w:spacing w:before="92"/>
              <w:ind w:left="134" w:right="111"/>
              <w:rPr>
                <w:sz w:val="21"/>
              </w:rPr>
            </w:pPr>
            <w:r>
              <w:rPr>
                <w:sz w:val="21"/>
              </w:rPr>
              <w:t xml:space="preserve">该种危险物 </w:t>
            </w:r>
            <w:r>
              <w:rPr>
                <w:rFonts w:ascii="Times New Roman" w:eastAsia="Times New Roman"/>
                <w:sz w:val="21"/>
              </w:rPr>
              <w:t xml:space="preserve">Q </w:t>
            </w:r>
            <w:r>
              <w:rPr>
                <w:sz w:val="21"/>
              </w:rPr>
              <w:t>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966" w:type="dxa"/>
            <w:tcBorders>
              <w:top w:val="single" w:color="000000" w:sz="4" w:space="0"/>
              <w:right w:val="single" w:color="000000" w:sz="4" w:space="0"/>
            </w:tcBorders>
          </w:tcPr>
          <w:p>
            <w:pPr>
              <w:pStyle w:val="14"/>
              <w:spacing w:before="105"/>
              <w:ind w:left="13"/>
              <w:rPr>
                <w:rFonts w:ascii="Times New Roman"/>
                <w:sz w:val="21"/>
              </w:rPr>
            </w:pPr>
            <w:r>
              <w:rPr>
                <w:rFonts w:ascii="Times New Roman"/>
                <w:w w:val="99"/>
                <w:sz w:val="21"/>
              </w:rPr>
              <w:t>1</w:t>
            </w:r>
          </w:p>
        </w:tc>
        <w:tc>
          <w:tcPr>
            <w:tcW w:w="1614" w:type="dxa"/>
            <w:tcBorders>
              <w:top w:val="single" w:color="000000" w:sz="4" w:space="0"/>
              <w:left w:val="single" w:color="000000" w:sz="4" w:space="0"/>
              <w:right w:val="single" w:color="000000" w:sz="4" w:space="0"/>
            </w:tcBorders>
          </w:tcPr>
          <w:p>
            <w:pPr>
              <w:pStyle w:val="14"/>
              <w:spacing w:before="91"/>
              <w:ind w:left="155" w:right="141"/>
              <w:rPr>
                <w:sz w:val="21"/>
              </w:rPr>
            </w:pPr>
            <w:r>
              <w:rPr>
                <w:sz w:val="21"/>
              </w:rPr>
              <w:t>油类物质</w:t>
            </w:r>
          </w:p>
        </w:tc>
        <w:tc>
          <w:tcPr>
            <w:tcW w:w="1285" w:type="dxa"/>
            <w:tcBorders>
              <w:top w:val="single" w:color="000000" w:sz="4" w:space="0"/>
              <w:left w:val="single" w:color="000000" w:sz="4" w:space="0"/>
              <w:right w:val="single" w:color="000000" w:sz="4" w:space="0"/>
            </w:tcBorders>
          </w:tcPr>
          <w:p>
            <w:pPr>
              <w:pStyle w:val="14"/>
              <w:spacing w:before="105"/>
              <w:ind w:left="17"/>
              <w:rPr>
                <w:rFonts w:ascii="Times New Roman"/>
                <w:sz w:val="21"/>
              </w:rPr>
            </w:pPr>
            <w:r>
              <w:rPr>
                <w:rFonts w:ascii="Times New Roman"/>
                <w:w w:val="99"/>
                <w:sz w:val="21"/>
              </w:rPr>
              <w:t>/</w:t>
            </w:r>
          </w:p>
        </w:tc>
        <w:tc>
          <w:tcPr>
            <w:tcW w:w="1957" w:type="dxa"/>
            <w:tcBorders>
              <w:top w:val="single" w:color="000000" w:sz="4" w:space="0"/>
              <w:left w:val="single" w:color="000000" w:sz="4" w:space="0"/>
              <w:right w:val="single" w:color="000000" w:sz="4" w:space="0"/>
            </w:tcBorders>
          </w:tcPr>
          <w:p>
            <w:pPr>
              <w:pStyle w:val="14"/>
              <w:spacing w:before="105"/>
              <w:ind w:left="88" w:right="70"/>
              <w:rPr>
                <w:rFonts w:ascii="Times New Roman"/>
                <w:sz w:val="21"/>
              </w:rPr>
            </w:pPr>
            <w:r>
              <w:rPr>
                <w:rFonts w:ascii="Times New Roman"/>
                <w:sz w:val="21"/>
              </w:rPr>
              <w:t>20</w:t>
            </w:r>
          </w:p>
        </w:tc>
        <w:tc>
          <w:tcPr>
            <w:tcW w:w="1555" w:type="dxa"/>
            <w:tcBorders>
              <w:top w:val="single" w:color="000000" w:sz="4" w:space="0"/>
              <w:left w:val="single" w:color="000000" w:sz="4" w:space="0"/>
              <w:right w:val="single" w:color="000000" w:sz="4" w:space="0"/>
            </w:tcBorders>
          </w:tcPr>
          <w:p>
            <w:pPr>
              <w:pStyle w:val="14"/>
              <w:spacing w:before="105"/>
              <w:ind w:left="125" w:right="105"/>
              <w:rPr>
                <w:rFonts w:ascii="Times New Roman"/>
                <w:sz w:val="21"/>
              </w:rPr>
            </w:pPr>
            <w:r>
              <w:rPr>
                <w:rFonts w:ascii="Times New Roman"/>
                <w:sz w:val="21"/>
              </w:rPr>
              <w:t>2500</w:t>
            </w:r>
          </w:p>
        </w:tc>
        <w:tc>
          <w:tcPr>
            <w:tcW w:w="1871" w:type="dxa"/>
            <w:tcBorders>
              <w:top w:val="single" w:color="000000" w:sz="4" w:space="0"/>
              <w:left w:val="single" w:color="000000" w:sz="4" w:space="0"/>
            </w:tcBorders>
          </w:tcPr>
          <w:p>
            <w:pPr>
              <w:pStyle w:val="14"/>
              <w:spacing w:before="105"/>
              <w:ind w:left="134" w:right="110"/>
              <w:rPr>
                <w:rFonts w:ascii="Times New Roman"/>
                <w:sz w:val="21"/>
              </w:rPr>
            </w:pPr>
            <w:r>
              <w:rPr>
                <w:rFonts w:ascii="Times New Roman"/>
                <w:sz w:val="21"/>
              </w:rPr>
              <w:t>0.008</w:t>
            </w:r>
          </w:p>
        </w:tc>
      </w:tr>
    </w:tbl>
    <w:p>
      <w:pPr>
        <w:pStyle w:val="6"/>
        <w:spacing w:before="3"/>
        <w:ind w:left="700"/>
      </w:pPr>
      <w:r>
        <w:rPr>
          <w:rFonts w:ascii="Times New Roman" w:hAnsi="Times New Roman" w:eastAsia="Times New Roman"/>
        </w:rPr>
        <w:t>Q&lt;1</w:t>
      </w:r>
      <w:r>
        <w:t>，因此本项目环境风险潜势为Ⅰ。</w:t>
      </w:r>
    </w:p>
    <w:p>
      <w:pPr>
        <w:pStyle w:val="6"/>
        <w:spacing w:before="158"/>
        <w:ind w:left="700"/>
      </w:pPr>
      <w:r>
        <w:t>根据《建设项目环境风险评价技术导则》（</w:t>
      </w:r>
      <w:r>
        <w:rPr>
          <w:rFonts w:ascii="Times New Roman" w:eastAsia="Times New Roman"/>
        </w:rPr>
        <w:t>HJ169-2018</w:t>
      </w:r>
      <w:r>
        <w:t>）中评价等级划分表，见表</w:t>
      </w:r>
    </w:p>
    <w:p>
      <w:pPr>
        <w:pStyle w:val="6"/>
        <w:spacing w:before="161"/>
        <w:ind w:left="220"/>
      </w:pPr>
      <w:r>
        <w:rPr>
          <w:rFonts w:ascii="Times New Roman" w:eastAsia="Times New Roman"/>
        </w:rPr>
        <w:t>15.1-2</w:t>
      </w:r>
      <w:r>
        <w:rPr>
          <w:rFonts w:ascii="Times New Roman" w:eastAsia="Times New Roman"/>
          <w:spacing w:val="59"/>
        </w:rPr>
        <w:t xml:space="preserve"> </w:t>
      </w:r>
      <w:r>
        <w:t>及本项目风险潜势判断结果，本项目环境风险评价简单分析即可。</w:t>
      </w:r>
    </w:p>
    <w:p>
      <w:pPr>
        <w:spacing w:before="159"/>
        <w:ind w:left="0" w:right="112" w:firstLine="0"/>
        <w:jc w:val="center"/>
        <w:rPr>
          <w:b/>
          <w:sz w:val="21"/>
        </w:rPr>
      </w:pPr>
      <w:r>
        <w:rPr>
          <w:b/>
          <w:sz w:val="21"/>
        </w:rPr>
        <w:t xml:space="preserve">表 </w:t>
      </w:r>
      <w:r>
        <w:rPr>
          <w:rFonts w:ascii="Calibri" w:eastAsia="Calibri"/>
          <w:b/>
          <w:sz w:val="21"/>
        </w:rPr>
        <w:t>15</w:t>
      </w:r>
      <w:r>
        <w:rPr>
          <w:rFonts w:ascii="Times New Roman" w:eastAsia="Times New Roman"/>
          <w:b/>
          <w:sz w:val="21"/>
        </w:rPr>
        <w:t xml:space="preserve">.1-2  </w:t>
      </w:r>
      <w:r>
        <w:rPr>
          <w:b/>
          <w:sz w:val="21"/>
        </w:rPr>
        <w:t>评价工作等级划分</w:t>
      </w:r>
    </w:p>
    <w:p>
      <w:pPr>
        <w:pStyle w:val="6"/>
        <w:spacing w:before="9"/>
        <w:rPr>
          <w:b/>
          <w:sz w:val="10"/>
        </w:rPr>
      </w:pPr>
    </w:p>
    <w:tbl>
      <w:tblPr>
        <w:tblStyle w:val="10"/>
        <w:tblW w:w="0" w:type="auto"/>
        <w:tblInd w:w="23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302"/>
        <w:gridCol w:w="1888"/>
        <w:gridCol w:w="1490"/>
        <w:gridCol w:w="1490"/>
        <w:gridCol w:w="203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2302" w:type="dxa"/>
            <w:tcBorders>
              <w:bottom w:val="single" w:color="000000" w:sz="4" w:space="0"/>
              <w:right w:val="single" w:color="000000" w:sz="4" w:space="0"/>
            </w:tcBorders>
          </w:tcPr>
          <w:p>
            <w:pPr>
              <w:pStyle w:val="14"/>
              <w:spacing w:before="90"/>
              <w:ind w:left="501" w:right="486"/>
              <w:rPr>
                <w:sz w:val="21"/>
              </w:rPr>
            </w:pPr>
            <w:r>
              <w:rPr>
                <w:sz w:val="21"/>
              </w:rPr>
              <w:t>环境风险潜势</w:t>
            </w:r>
          </w:p>
        </w:tc>
        <w:tc>
          <w:tcPr>
            <w:tcW w:w="1888" w:type="dxa"/>
            <w:tcBorders>
              <w:left w:val="single" w:color="000000" w:sz="4" w:space="0"/>
              <w:bottom w:val="single" w:color="000000" w:sz="4" w:space="0"/>
              <w:right w:val="single" w:color="000000" w:sz="4" w:space="0"/>
            </w:tcBorders>
          </w:tcPr>
          <w:p>
            <w:pPr>
              <w:pStyle w:val="14"/>
              <w:spacing w:before="90"/>
              <w:ind w:left="554" w:right="535"/>
              <w:rPr>
                <w:rFonts w:ascii="Times New Roman" w:hAnsi="Times New Roman" w:eastAsia="Times New Roman"/>
                <w:sz w:val="21"/>
              </w:rPr>
            </w:pPr>
            <w:r>
              <w:rPr>
                <w:sz w:val="21"/>
              </w:rPr>
              <w:t>Ⅳ，Ⅳ</w:t>
            </w:r>
            <w:r>
              <w:rPr>
                <w:rFonts w:ascii="Times New Roman" w:hAnsi="Times New Roman" w:eastAsia="Times New Roman"/>
                <w:sz w:val="21"/>
              </w:rPr>
              <w:t>+</w:t>
            </w:r>
          </w:p>
        </w:tc>
        <w:tc>
          <w:tcPr>
            <w:tcW w:w="1490" w:type="dxa"/>
            <w:tcBorders>
              <w:left w:val="single" w:color="000000" w:sz="4" w:space="0"/>
              <w:bottom w:val="single" w:color="000000" w:sz="4" w:space="0"/>
              <w:right w:val="single" w:color="000000" w:sz="4" w:space="0"/>
            </w:tcBorders>
          </w:tcPr>
          <w:p>
            <w:pPr>
              <w:pStyle w:val="14"/>
              <w:spacing w:before="90"/>
              <w:ind w:left="20"/>
              <w:rPr>
                <w:sz w:val="21"/>
              </w:rPr>
            </w:pPr>
            <w:r>
              <w:rPr>
                <w:w w:val="99"/>
                <w:sz w:val="21"/>
              </w:rPr>
              <w:t>Ⅲ</w:t>
            </w:r>
          </w:p>
        </w:tc>
        <w:tc>
          <w:tcPr>
            <w:tcW w:w="1490" w:type="dxa"/>
            <w:tcBorders>
              <w:left w:val="single" w:color="000000" w:sz="4" w:space="0"/>
              <w:bottom w:val="single" w:color="000000" w:sz="4" w:space="0"/>
              <w:right w:val="single" w:color="000000" w:sz="4" w:space="0"/>
            </w:tcBorders>
          </w:tcPr>
          <w:p>
            <w:pPr>
              <w:pStyle w:val="14"/>
              <w:spacing w:before="90"/>
              <w:ind w:left="16"/>
              <w:rPr>
                <w:sz w:val="21"/>
              </w:rPr>
            </w:pPr>
            <w:r>
              <w:rPr>
                <w:w w:val="99"/>
                <w:sz w:val="21"/>
              </w:rPr>
              <w:t>Ⅱ</w:t>
            </w:r>
          </w:p>
        </w:tc>
        <w:tc>
          <w:tcPr>
            <w:tcW w:w="2030" w:type="dxa"/>
            <w:tcBorders>
              <w:left w:val="single" w:color="000000" w:sz="4" w:space="0"/>
              <w:bottom w:val="single" w:color="000000" w:sz="4" w:space="0"/>
            </w:tcBorders>
          </w:tcPr>
          <w:p>
            <w:pPr>
              <w:pStyle w:val="14"/>
              <w:spacing w:before="90"/>
              <w:ind w:left="14"/>
              <w:rPr>
                <w:sz w:val="21"/>
              </w:rPr>
            </w:pPr>
            <w:r>
              <w:rPr>
                <w:w w:val="99"/>
                <w:sz w:val="21"/>
              </w:rPr>
              <w:t>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2302" w:type="dxa"/>
            <w:tcBorders>
              <w:top w:val="single" w:color="000000" w:sz="4" w:space="0"/>
              <w:bottom w:val="single" w:color="000000" w:sz="4" w:space="0"/>
              <w:right w:val="single" w:color="000000" w:sz="4" w:space="0"/>
            </w:tcBorders>
          </w:tcPr>
          <w:p>
            <w:pPr>
              <w:pStyle w:val="14"/>
              <w:spacing w:before="91"/>
              <w:ind w:left="501" w:right="486"/>
              <w:rPr>
                <w:sz w:val="21"/>
              </w:rPr>
            </w:pPr>
            <w:r>
              <w:rPr>
                <w:sz w:val="21"/>
              </w:rPr>
              <w:t>评价工作等级</w:t>
            </w:r>
          </w:p>
        </w:tc>
        <w:tc>
          <w:tcPr>
            <w:tcW w:w="1888" w:type="dxa"/>
            <w:tcBorders>
              <w:top w:val="single" w:color="000000" w:sz="4" w:space="0"/>
              <w:left w:val="single" w:color="000000" w:sz="4" w:space="0"/>
              <w:bottom w:val="single" w:color="000000" w:sz="4" w:space="0"/>
              <w:right w:val="single" w:color="000000" w:sz="4" w:space="0"/>
            </w:tcBorders>
          </w:tcPr>
          <w:p>
            <w:pPr>
              <w:pStyle w:val="14"/>
              <w:spacing w:before="91"/>
              <w:ind w:left="19"/>
              <w:rPr>
                <w:sz w:val="21"/>
              </w:rPr>
            </w:pPr>
            <w:r>
              <w:rPr>
                <w:w w:val="99"/>
                <w:sz w:val="21"/>
              </w:rPr>
              <w:t>一</w:t>
            </w:r>
          </w:p>
        </w:tc>
        <w:tc>
          <w:tcPr>
            <w:tcW w:w="1490" w:type="dxa"/>
            <w:tcBorders>
              <w:top w:val="single" w:color="000000" w:sz="4" w:space="0"/>
              <w:left w:val="single" w:color="000000" w:sz="4" w:space="0"/>
              <w:bottom w:val="single" w:color="000000" w:sz="4" w:space="0"/>
              <w:right w:val="single" w:color="000000" w:sz="4" w:space="0"/>
            </w:tcBorders>
          </w:tcPr>
          <w:p>
            <w:pPr>
              <w:pStyle w:val="14"/>
              <w:spacing w:before="91"/>
              <w:ind w:left="20"/>
              <w:rPr>
                <w:sz w:val="21"/>
              </w:rPr>
            </w:pPr>
            <w:r>
              <w:rPr>
                <w:w w:val="99"/>
                <w:sz w:val="21"/>
              </w:rPr>
              <w:t>二</w:t>
            </w:r>
          </w:p>
        </w:tc>
        <w:tc>
          <w:tcPr>
            <w:tcW w:w="1490" w:type="dxa"/>
            <w:tcBorders>
              <w:top w:val="single" w:color="000000" w:sz="4" w:space="0"/>
              <w:left w:val="single" w:color="000000" w:sz="4" w:space="0"/>
              <w:bottom w:val="single" w:color="000000" w:sz="4" w:space="0"/>
              <w:right w:val="single" w:color="000000" w:sz="4" w:space="0"/>
            </w:tcBorders>
          </w:tcPr>
          <w:p>
            <w:pPr>
              <w:pStyle w:val="14"/>
              <w:spacing w:before="91"/>
              <w:ind w:left="16"/>
              <w:rPr>
                <w:sz w:val="21"/>
              </w:rPr>
            </w:pPr>
            <w:r>
              <w:rPr>
                <w:w w:val="99"/>
                <w:sz w:val="21"/>
              </w:rPr>
              <w:t>三</w:t>
            </w:r>
          </w:p>
        </w:tc>
        <w:tc>
          <w:tcPr>
            <w:tcW w:w="2030" w:type="dxa"/>
            <w:tcBorders>
              <w:top w:val="single" w:color="000000" w:sz="4" w:space="0"/>
              <w:left w:val="single" w:color="000000" w:sz="4" w:space="0"/>
              <w:bottom w:val="single" w:color="000000" w:sz="4" w:space="0"/>
            </w:tcBorders>
          </w:tcPr>
          <w:p>
            <w:pPr>
              <w:pStyle w:val="14"/>
              <w:spacing w:before="91"/>
              <w:ind w:left="496" w:right="476"/>
              <w:rPr>
                <w:rFonts w:ascii="Times New Roman" w:eastAsia="Times New Roman"/>
                <w:sz w:val="13"/>
              </w:rPr>
            </w:pPr>
            <w:r>
              <w:rPr>
                <w:sz w:val="21"/>
              </w:rPr>
              <w:t xml:space="preserve">简单分析 </w:t>
            </w:r>
            <w:r>
              <w:rPr>
                <w:rFonts w:ascii="Times New Roman" w:eastAsia="Times New Roman"/>
                <w:position w:val="7"/>
                <w:sz w:val="13"/>
              </w:rPr>
              <w: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9200" w:type="dxa"/>
            <w:gridSpan w:val="5"/>
            <w:tcBorders>
              <w:top w:val="single" w:color="000000" w:sz="4" w:space="0"/>
            </w:tcBorders>
          </w:tcPr>
          <w:p>
            <w:pPr>
              <w:pStyle w:val="14"/>
              <w:spacing w:before="1" w:line="270" w:lineRule="atLeast"/>
              <w:ind w:left="9" w:right="46"/>
              <w:jc w:val="left"/>
              <w:rPr>
                <w:sz w:val="21"/>
              </w:rPr>
            </w:pPr>
            <w:r>
              <w:rPr>
                <w:rFonts w:ascii="Times New Roman" w:eastAsia="Times New Roman"/>
                <w:position w:val="7"/>
                <w:sz w:val="13"/>
              </w:rPr>
              <w:t xml:space="preserve">a </w:t>
            </w:r>
            <w:r>
              <w:rPr>
                <w:sz w:val="21"/>
              </w:rPr>
              <w:t>是相对于详细评价工作内容而言，在描述危险物质、环境影响途径、环境危害后果、风险防范措施等方面给出定性的说明。</w:t>
            </w:r>
          </w:p>
        </w:tc>
      </w:tr>
    </w:tbl>
    <w:p>
      <w:pPr>
        <w:pStyle w:val="3"/>
        <w:numPr>
          <w:ilvl w:val="1"/>
          <w:numId w:val="106"/>
        </w:numPr>
        <w:tabs>
          <w:tab w:val="left" w:pos="896"/>
        </w:tabs>
        <w:spacing w:before="3" w:after="0" w:line="240" w:lineRule="auto"/>
        <w:ind w:left="895" w:right="0" w:hanging="676"/>
        <w:jc w:val="left"/>
      </w:pPr>
      <w:bookmarkStart w:id="1277" w:name="_bookmark87"/>
      <w:bookmarkEnd w:id="1277"/>
      <w:bookmarkStart w:id="1278" w:name="15.2 环境敏感目标调查"/>
      <w:bookmarkEnd w:id="1278"/>
      <w:bookmarkStart w:id="1279" w:name="_bookmark87"/>
      <w:bookmarkEnd w:id="1279"/>
      <w:r>
        <w:t>环境敏感目标调查</w:t>
      </w:r>
    </w:p>
    <w:p>
      <w:pPr>
        <w:spacing w:after="0" w:line="240" w:lineRule="auto"/>
        <w:jc w:val="left"/>
        <w:sectPr>
          <w:type w:val="continuous"/>
          <w:pgSz w:w="11910" w:h="16840"/>
          <w:pgMar w:top="1580" w:right="1020" w:bottom="280" w:left="1140" w:header="720" w:footer="720" w:gutter="0"/>
        </w:sectPr>
      </w:pPr>
    </w:p>
    <w:p>
      <w:pPr>
        <w:pStyle w:val="6"/>
        <w:spacing w:before="41"/>
        <w:ind w:left="700"/>
      </w:pPr>
      <w:r>
        <w:t>环境敏感目标见下表。</w:t>
      </w:r>
    </w:p>
    <w:p>
      <w:pPr>
        <w:spacing w:before="157"/>
        <w:ind w:left="0" w:right="110" w:firstLine="0"/>
        <w:jc w:val="center"/>
        <w:rPr>
          <w:b/>
          <w:sz w:val="21"/>
        </w:rPr>
      </w:pPr>
      <w:r>
        <w:rPr>
          <w:b/>
          <w:spacing w:val="-28"/>
          <w:sz w:val="21"/>
        </w:rPr>
        <w:t xml:space="preserve">表 </w:t>
      </w:r>
      <w:r>
        <w:rPr>
          <w:rFonts w:ascii="Times New Roman" w:eastAsia="Times New Roman"/>
          <w:b/>
          <w:sz w:val="21"/>
        </w:rPr>
        <w:t>15.2-1</w:t>
      </w:r>
      <w:r>
        <w:rPr>
          <w:rFonts w:ascii="Times New Roman" w:eastAsia="Times New Roman"/>
          <w:b/>
          <w:spacing w:val="52"/>
          <w:sz w:val="21"/>
        </w:rPr>
        <w:t xml:space="preserve"> </w:t>
      </w:r>
      <w:r>
        <w:rPr>
          <w:b/>
          <w:sz w:val="21"/>
        </w:rPr>
        <w:t>建设项目环境敏感特征表</w:t>
      </w:r>
    </w:p>
    <w:p>
      <w:pPr>
        <w:pStyle w:val="6"/>
        <w:spacing w:before="12"/>
        <w:rPr>
          <w:b/>
          <w:sz w:val="10"/>
        </w:rPr>
      </w:pPr>
    </w:p>
    <w:tbl>
      <w:tblPr>
        <w:tblStyle w:val="10"/>
        <w:tblW w:w="0" w:type="auto"/>
        <w:tblInd w:w="20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4"/>
        <w:gridCol w:w="584"/>
        <w:gridCol w:w="1761"/>
        <w:gridCol w:w="1392"/>
        <w:gridCol w:w="1705"/>
        <w:gridCol w:w="1127"/>
        <w:gridCol w:w="720"/>
        <w:gridCol w:w="121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624" w:type="dxa"/>
            <w:tcBorders>
              <w:bottom w:val="single" w:color="000000" w:sz="4" w:space="0"/>
              <w:right w:val="single" w:color="000000" w:sz="4" w:space="0"/>
            </w:tcBorders>
          </w:tcPr>
          <w:p>
            <w:pPr>
              <w:pStyle w:val="14"/>
              <w:spacing w:before="34"/>
              <w:ind w:left="101"/>
              <w:jc w:val="left"/>
              <w:rPr>
                <w:sz w:val="21"/>
              </w:rPr>
            </w:pPr>
            <w:r>
              <w:rPr>
                <w:sz w:val="21"/>
              </w:rPr>
              <w:t>类别</w:t>
            </w:r>
          </w:p>
        </w:tc>
        <w:tc>
          <w:tcPr>
            <w:tcW w:w="8502" w:type="dxa"/>
            <w:gridSpan w:val="7"/>
            <w:tcBorders>
              <w:left w:val="single" w:color="000000" w:sz="4" w:space="0"/>
              <w:bottom w:val="single" w:color="000000" w:sz="4" w:space="0"/>
            </w:tcBorders>
          </w:tcPr>
          <w:p>
            <w:pPr>
              <w:pStyle w:val="14"/>
              <w:spacing w:before="34"/>
              <w:ind w:left="3232" w:right="3211"/>
              <w:rPr>
                <w:sz w:val="21"/>
              </w:rPr>
            </w:pPr>
            <w:r>
              <w:rPr>
                <w:sz w:val="21"/>
              </w:rPr>
              <w:t>环境敏感特征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624" w:type="dxa"/>
            <w:vMerge w:val="restart"/>
            <w:tcBorders>
              <w:top w:val="single" w:color="000000" w:sz="4" w:space="0"/>
              <w:bottom w:val="single" w:color="000000" w:sz="4" w:space="0"/>
              <w:right w:val="single" w:color="000000" w:sz="4" w:space="0"/>
            </w:tcBorders>
          </w:tcPr>
          <w:p>
            <w:pPr>
              <w:pStyle w:val="14"/>
              <w:jc w:val="left"/>
              <w:rPr>
                <w:b/>
                <w:sz w:val="20"/>
              </w:rPr>
            </w:pPr>
          </w:p>
          <w:p>
            <w:pPr>
              <w:pStyle w:val="14"/>
              <w:jc w:val="left"/>
              <w:rPr>
                <w:b/>
                <w:sz w:val="20"/>
              </w:rPr>
            </w:pPr>
          </w:p>
          <w:p>
            <w:pPr>
              <w:pStyle w:val="14"/>
              <w:spacing w:before="7"/>
              <w:jc w:val="left"/>
              <w:rPr>
                <w:b/>
                <w:sz w:val="14"/>
              </w:rPr>
            </w:pPr>
          </w:p>
          <w:p>
            <w:pPr>
              <w:pStyle w:val="14"/>
              <w:spacing w:line="244" w:lineRule="auto"/>
              <w:ind w:left="101" w:right="87"/>
              <w:jc w:val="left"/>
              <w:rPr>
                <w:sz w:val="21"/>
              </w:rPr>
            </w:pPr>
            <w:r>
              <w:rPr>
                <w:sz w:val="21"/>
              </w:rPr>
              <w:t>环境空气</w:t>
            </w:r>
          </w:p>
        </w:tc>
        <w:tc>
          <w:tcPr>
            <w:tcW w:w="8502" w:type="dxa"/>
            <w:gridSpan w:val="7"/>
            <w:tcBorders>
              <w:top w:val="single" w:color="000000" w:sz="4" w:space="0"/>
              <w:left w:val="single" w:color="000000" w:sz="4" w:space="0"/>
              <w:bottom w:val="single" w:color="000000" w:sz="4" w:space="0"/>
            </w:tcBorders>
          </w:tcPr>
          <w:p>
            <w:pPr>
              <w:pStyle w:val="14"/>
              <w:spacing w:before="34"/>
              <w:ind w:left="3234" w:right="3211"/>
              <w:rPr>
                <w:sz w:val="21"/>
              </w:rPr>
            </w:pPr>
            <w:r>
              <w:rPr>
                <w:sz w:val="21"/>
              </w:rPr>
              <w:t xml:space="preserve">厂址周边 </w:t>
            </w:r>
            <w:r>
              <w:rPr>
                <w:rFonts w:ascii="Times New Roman" w:eastAsia="Times New Roman"/>
                <w:sz w:val="21"/>
              </w:rPr>
              <w:t xml:space="preserve">5km </w:t>
            </w:r>
            <w:r>
              <w:rPr>
                <w:sz w:val="21"/>
              </w:rPr>
              <w:t>范围内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624" w:type="dxa"/>
            <w:vMerge w:val="continue"/>
            <w:tcBorders>
              <w:top w:val="nil"/>
              <w:bottom w:val="single" w:color="000000" w:sz="4" w:space="0"/>
              <w:right w:val="single" w:color="000000" w:sz="4" w:space="0"/>
            </w:tcBorders>
          </w:tcPr>
          <w:p>
            <w:pPr>
              <w:rPr>
                <w:sz w:val="2"/>
                <w:szCs w:val="2"/>
              </w:rPr>
            </w:pPr>
          </w:p>
        </w:tc>
        <w:tc>
          <w:tcPr>
            <w:tcW w:w="584" w:type="dxa"/>
            <w:tcBorders>
              <w:top w:val="single" w:color="000000" w:sz="4" w:space="0"/>
              <w:left w:val="single" w:color="000000" w:sz="4" w:space="0"/>
              <w:bottom w:val="single" w:color="000000" w:sz="4" w:space="0"/>
              <w:right w:val="single" w:color="000000" w:sz="4" w:space="0"/>
            </w:tcBorders>
          </w:tcPr>
          <w:p>
            <w:pPr>
              <w:pStyle w:val="14"/>
              <w:spacing w:before="136"/>
              <w:ind w:left="66" w:right="48"/>
              <w:rPr>
                <w:sz w:val="21"/>
              </w:rPr>
            </w:pPr>
            <w:r>
              <w:rPr>
                <w:sz w:val="21"/>
              </w:rPr>
              <w:t>序号</w:t>
            </w:r>
          </w:p>
        </w:tc>
        <w:tc>
          <w:tcPr>
            <w:tcW w:w="1761" w:type="dxa"/>
            <w:tcBorders>
              <w:top w:val="single" w:color="000000" w:sz="4" w:space="0"/>
              <w:left w:val="single" w:color="000000" w:sz="4" w:space="0"/>
              <w:bottom w:val="single" w:color="000000" w:sz="4" w:space="0"/>
              <w:right w:val="single" w:color="000000" w:sz="4" w:space="0"/>
            </w:tcBorders>
          </w:tcPr>
          <w:p>
            <w:pPr>
              <w:pStyle w:val="14"/>
              <w:spacing w:before="136"/>
              <w:ind w:left="228" w:right="212"/>
              <w:rPr>
                <w:sz w:val="21"/>
              </w:rPr>
            </w:pPr>
            <w:r>
              <w:rPr>
                <w:sz w:val="21"/>
              </w:rPr>
              <w:t>敏感目标名称</w:t>
            </w:r>
          </w:p>
        </w:tc>
        <w:tc>
          <w:tcPr>
            <w:tcW w:w="1392" w:type="dxa"/>
            <w:tcBorders>
              <w:top w:val="single" w:color="000000" w:sz="4" w:space="0"/>
              <w:left w:val="single" w:color="000000" w:sz="4" w:space="0"/>
              <w:bottom w:val="single" w:color="000000" w:sz="4" w:space="0"/>
              <w:right w:val="single" w:color="000000" w:sz="4" w:space="0"/>
            </w:tcBorders>
          </w:tcPr>
          <w:p>
            <w:pPr>
              <w:pStyle w:val="14"/>
              <w:spacing w:before="136"/>
              <w:ind w:left="258" w:right="244"/>
              <w:rPr>
                <w:sz w:val="21"/>
              </w:rPr>
            </w:pPr>
            <w:r>
              <w:rPr>
                <w:sz w:val="21"/>
              </w:rPr>
              <w:t>相对方位</w:t>
            </w:r>
          </w:p>
        </w:tc>
        <w:tc>
          <w:tcPr>
            <w:tcW w:w="1705" w:type="dxa"/>
            <w:tcBorders>
              <w:top w:val="single" w:color="000000" w:sz="4" w:space="0"/>
              <w:left w:val="single" w:color="000000" w:sz="4" w:space="0"/>
              <w:bottom w:val="single" w:color="000000" w:sz="4" w:space="0"/>
              <w:right w:val="single" w:color="000000" w:sz="4" w:space="0"/>
            </w:tcBorders>
          </w:tcPr>
          <w:p>
            <w:pPr>
              <w:pStyle w:val="14"/>
              <w:spacing w:before="1"/>
              <w:ind w:left="120"/>
              <w:jc w:val="left"/>
              <w:rPr>
                <w:sz w:val="21"/>
              </w:rPr>
            </w:pPr>
            <w:r>
              <w:rPr>
                <w:w w:val="95"/>
                <w:sz w:val="21"/>
              </w:rPr>
              <w:t>距本项目装置区</w:t>
            </w:r>
          </w:p>
          <w:p>
            <w:pPr>
              <w:pStyle w:val="14"/>
              <w:spacing w:before="2" w:line="252" w:lineRule="exact"/>
              <w:ind w:left="116"/>
              <w:jc w:val="left"/>
              <w:rPr>
                <w:rFonts w:ascii="Times New Roman" w:eastAsia="Times New Roman"/>
                <w:sz w:val="21"/>
              </w:rPr>
            </w:pPr>
            <w:r>
              <w:rPr>
                <w:w w:val="95"/>
                <w:sz w:val="21"/>
              </w:rPr>
              <w:t>最近距离距离</w:t>
            </w:r>
            <w:r>
              <w:rPr>
                <w:rFonts w:ascii="Times New Roman" w:eastAsia="Times New Roman"/>
                <w:w w:val="95"/>
                <w:sz w:val="21"/>
              </w:rPr>
              <w:t>/m</w:t>
            </w:r>
          </w:p>
        </w:tc>
        <w:tc>
          <w:tcPr>
            <w:tcW w:w="1847" w:type="dxa"/>
            <w:gridSpan w:val="2"/>
            <w:tcBorders>
              <w:top w:val="single" w:color="000000" w:sz="4" w:space="0"/>
              <w:left w:val="single" w:color="000000" w:sz="4" w:space="0"/>
              <w:bottom w:val="single" w:color="000000" w:sz="4" w:space="0"/>
              <w:right w:val="single" w:color="000000" w:sz="4" w:space="0"/>
            </w:tcBorders>
          </w:tcPr>
          <w:p>
            <w:pPr>
              <w:pStyle w:val="14"/>
              <w:spacing w:before="136"/>
              <w:ind w:left="696" w:right="681"/>
              <w:rPr>
                <w:sz w:val="21"/>
              </w:rPr>
            </w:pPr>
            <w:r>
              <w:rPr>
                <w:sz w:val="21"/>
              </w:rPr>
              <w:t>属性</w:t>
            </w:r>
          </w:p>
        </w:tc>
        <w:tc>
          <w:tcPr>
            <w:tcW w:w="1213" w:type="dxa"/>
            <w:tcBorders>
              <w:top w:val="single" w:color="000000" w:sz="4" w:space="0"/>
              <w:left w:val="single" w:color="000000" w:sz="4" w:space="0"/>
              <w:bottom w:val="single" w:color="000000" w:sz="4" w:space="0"/>
            </w:tcBorders>
          </w:tcPr>
          <w:p>
            <w:pPr>
              <w:pStyle w:val="14"/>
              <w:spacing w:before="136"/>
              <w:ind w:left="275" w:right="252"/>
              <w:rPr>
                <w:sz w:val="21"/>
              </w:rPr>
            </w:pPr>
            <w:r>
              <w:rPr>
                <w:sz w:val="21"/>
              </w:rPr>
              <w:t>人口数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624" w:type="dxa"/>
            <w:vMerge w:val="continue"/>
            <w:tcBorders>
              <w:top w:val="nil"/>
              <w:bottom w:val="single" w:color="000000" w:sz="4" w:space="0"/>
              <w:right w:val="single" w:color="000000" w:sz="4" w:space="0"/>
            </w:tcBorders>
          </w:tcPr>
          <w:p>
            <w:pPr>
              <w:rPr>
                <w:sz w:val="2"/>
                <w:szCs w:val="2"/>
              </w:rPr>
            </w:pPr>
          </w:p>
        </w:tc>
        <w:tc>
          <w:tcPr>
            <w:tcW w:w="584" w:type="dxa"/>
            <w:tcBorders>
              <w:top w:val="single" w:color="000000" w:sz="4" w:space="0"/>
              <w:left w:val="single" w:color="000000" w:sz="4" w:space="0"/>
              <w:bottom w:val="single" w:color="000000" w:sz="4" w:space="0"/>
              <w:right w:val="single" w:color="000000" w:sz="4" w:space="0"/>
            </w:tcBorders>
          </w:tcPr>
          <w:p>
            <w:pPr>
              <w:pStyle w:val="14"/>
              <w:spacing w:before="48"/>
              <w:ind w:left="17"/>
              <w:rPr>
                <w:rFonts w:ascii="Times New Roman"/>
                <w:sz w:val="21"/>
              </w:rPr>
            </w:pPr>
            <w:r>
              <w:rPr>
                <w:rFonts w:ascii="Times New Roman"/>
                <w:w w:val="99"/>
                <w:sz w:val="21"/>
              </w:rPr>
              <w:t>1</w:t>
            </w:r>
          </w:p>
        </w:tc>
        <w:tc>
          <w:tcPr>
            <w:tcW w:w="1761" w:type="dxa"/>
            <w:tcBorders>
              <w:top w:val="single" w:color="000000" w:sz="4" w:space="0"/>
              <w:left w:val="single" w:color="000000" w:sz="4" w:space="0"/>
              <w:bottom w:val="single" w:color="000000" w:sz="4" w:space="0"/>
              <w:right w:val="single" w:color="000000" w:sz="4" w:space="0"/>
            </w:tcBorders>
          </w:tcPr>
          <w:p>
            <w:pPr>
              <w:pStyle w:val="14"/>
              <w:spacing w:before="8"/>
              <w:ind w:left="228" w:right="215"/>
              <w:rPr>
                <w:sz w:val="21"/>
              </w:rPr>
            </w:pPr>
            <w:r>
              <w:rPr>
                <w:sz w:val="21"/>
              </w:rPr>
              <w:t>青山林场</w:t>
            </w:r>
          </w:p>
        </w:tc>
        <w:tc>
          <w:tcPr>
            <w:tcW w:w="1392" w:type="dxa"/>
            <w:tcBorders>
              <w:top w:val="single" w:color="000000" w:sz="4" w:space="0"/>
              <w:left w:val="single" w:color="000000" w:sz="4" w:space="0"/>
              <w:bottom w:val="single" w:color="000000" w:sz="4" w:space="0"/>
              <w:right w:val="single" w:color="000000" w:sz="4" w:space="0"/>
            </w:tcBorders>
          </w:tcPr>
          <w:p>
            <w:pPr>
              <w:pStyle w:val="14"/>
              <w:spacing w:before="24"/>
              <w:ind w:left="258" w:right="239"/>
              <w:rPr>
                <w:rFonts w:ascii="Times New Roman"/>
                <w:sz w:val="21"/>
              </w:rPr>
            </w:pPr>
            <w:r>
              <w:rPr>
                <w:rFonts w:ascii="Times New Roman"/>
                <w:sz w:val="21"/>
              </w:rPr>
              <w:t>SE</w:t>
            </w:r>
          </w:p>
        </w:tc>
        <w:tc>
          <w:tcPr>
            <w:tcW w:w="1705" w:type="dxa"/>
            <w:tcBorders>
              <w:top w:val="single" w:color="000000" w:sz="4" w:space="0"/>
              <w:left w:val="single" w:color="000000" w:sz="4" w:space="0"/>
              <w:bottom w:val="single" w:color="000000" w:sz="4" w:space="0"/>
              <w:right w:val="single" w:color="000000" w:sz="4" w:space="0"/>
            </w:tcBorders>
          </w:tcPr>
          <w:p>
            <w:pPr>
              <w:pStyle w:val="14"/>
              <w:spacing w:before="24"/>
              <w:ind w:left="97" w:right="78"/>
              <w:rPr>
                <w:rFonts w:ascii="Times New Roman"/>
                <w:sz w:val="21"/>
              </w:rPr>
            </w:pPr>
            <w:r>
              <w:rPr>
                <w:rFonts w:ascii="Times New Roman"/>
                <w:sz w:val="21"/>
              </w:rPr>
              <w:t>1340</w:t>
            </w:r>
          </w:p>
        </w:tc>
        <w:tc>
          <w:tcPr>
            <w:tcW w:w="1847" w:type="dxa"/>
            <w:gridSpan w:val="2"/>
            <w:tcBorders>
              <w:top w:val="single" w:color="000000" w:sz="4" w:space="0"/>
              <w:left w:val="single" w:color="000000" w:sz="4" w:space="0"/>
              <w:bottom w:val="single" w:color="000000" w:sz="4" w:space="0"/>
              <w:right w:val="single" w:color="000000" w:sz="4" w:space="0"/>
            </w:tcBorders>
          </w:tcPr>
          <w:p>
            <w:pPr>
              <w:pStyle w:val="14"/>
              <w:spacing w:before="34"/>
              <w:ind w:left="696" w:right="681"/>
              <w:rPr>
                <w:sz w:val="21"/>
              </w:rPr>
            </w:pPr>
            <w:r>
              <w:rPr>
                <w:sz w:val="21"/>
              </w:rPr>
              <w:t>林场</w:t>
            </w:r>
          </w:p>
        </w:tc>
        <w:tc>
          <w:tcPr>
            <w:tcW w:w="1213" w:type="dxa"/>
            <w:tcBorders>
              <w:top w:val="single" w:color="000000" w:sz="4" w:space="0"/>
              <w:left w:val="single" w:color="000000" w:sz="4" w:space="0"/>
              <w:bottom w:val="single" w:color="000000" w:sz="4" w:space="0"/>
            </w:tcBorders>
          </w:tcPr>
          <w:p>
            <w:pPr>
              <w:pStyle w:val="14"/>
              <w:spacing w:before="8"/>
              <w:ind w:left="275" w:right="252"/>
              <w:rPr>
                <w:sz w:val="21"/>
              </w:rPr>
            </w:pPr>
            <w:r>
              <w:rPr>
                <w:rFonts w:ascii="Times New Roman" w:eastAsia="Times New Roman"/>
                <w:sz w:val="21"/>
              </w:rPr>
              <w:t xml:space="preserve">350 </w:t>
            </w:r>
            <w:r>
              <w:rPr>
                <w:sz w:val="21"/>
              </w:rPr>
              <w:t>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624" w:type="dxa"/>
            <w:vMerge w:val="continue"/>
            <w:tcBorders>
              <w:top w:val="nil"/>
              <w:bottom w:val="single" w:color="000000" w:sz="4" w:space="0"/>
              <w:right w:val="single" w:color="000000" w:sz="4" w:space="0"/>
            </w:tcBorders>
          </w:tcPr>
          <w:p>
            <w:pPr>
              <w:rPr>
                <w:sz w:val="2"/>
                <w:szCs w:val="2"/>
              </w:rPr>
            </w:pPr>
          </w:p>
        </w:tc>
        <w:tc>
          <w:tcPr>
            <w:tcW w:w="7289" w:type="dxa"/>
            <w:gridSpan w:val="6"/>
            <w:tcBorders>
              <w:top w:val="single" w:color="000000" w:sz="4" w:space="0"/>
              <w:left w:val="single" w:color="000000" w:sz="4" w:space="0"/>
              <w:bottom w:val="single" w:color="000000" w:sz="4" w:space="0"/>
              <w:right w:val="single" w:color="000000" w:sz="4" w:space="0"/>
            </w:tcBorders>
          </w:tcPr>
          <w:p>
            <w:pPr>
              <w:pStyle w:val="14"/>
              <w:spacing w:before="34"/>
              <w:ind w:left="2048" w:right="2034"/>
              <w:rPr>
                <w:sz w:val="21"/>
              </w:rPr>
            </w:pPr>
            <w:r>
              <w:rPr>
                <w:sz w:val="21"/>
              </w:rPr>
              <w:t xml:space="preserve">厂址周边 </w:t>
            </w:r>
            <w:r>
              <w:rPr>
                <w:rFonts w:ascii="Times New Roman" w:eastAsia="Times New Roman"/>
                <w:sz w:val="21"/>
              </w:rPr>
              <w:t xml:space="preserve">500m </w:t>
            </w:r>
            <w:r>
              <w:rPr>
                <w:sz w:val="21"/>
              </w:rPr>
              <w:t>范围内人口数小计</w:t>
            </w:r>
          </w:p>
        </w:tc>
        <w:tc>
          <w:tcPr>
            <w:tcW w:w="1213" w:type="dxa"/>
            <w:tcBorders>
              <w:top w:val="single" w:color="000000" w:sz="4" w:space="0"/>
              <w:left w:val="single" w:color="000000" w:sz="4" w:space="0"/>
              <w:bottom w:val="single" w:color="000000" w:sz="4" w:space="0"/>
            </w:tcBorders>
          </w:tcPr>
          <w:p>
            <w:pPr>
              <w:pStyle w:val="14"/>
              <w:spacing w:before="48"/>
              <w:ind w:left="22"/>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624" w:type="dxa"/>
            <w:vMerge w:val="continue"/>
            <w:tcBorders>
              <w:top w:val="nil"/>
              <w:bottom w:val="single" w:color="000000" w:sz="4" w:space="0"/>
              <w:right w:val="single" w:color="000000" w:sz="4" w:space="0"/>
            </w:tcBorders>
          </w:tcPr>
          <w:p>
            <w:pPr>
              <w:rPr>
                <w:sz w:val="2"/>
                <w:szCs w:val="2"/>
              </w:rPr>
            </w:pPr>
          </w:p>
        </w:tc>
        <w:tc>
          <w:tcPr>
            <w:tcW w:w="7289" w:type="dxa"/>
            <w:gridSpan w:val="6"/>
            <w:tcBorders>
              <w:top w:val="single" w:color="000000" w:sz="4" w:space="0"/>
              <w:left w:val="single" w:color="000000" w:sz="4" w:space="0"/>
              <w:bottom w:val="single" w:color="000000" w:sz="4" w:space="0"/>
              <w:right w:val="single" w:color="000000" w:sz="4" w:space="0"/>
            </w:tcBorders>
          </w:tcPr>
          <w:p>
            <w:pPr>
              <w:pStyle w:val="14"/>
              <w:spacing w:before="35"/>
              <w:ind w:left="2048" w:right="2029"/>
              <w:rPr>
                <w:sz w:val="21"/>
              </w:rPr>
            </w:pPr>
            <w:r>
              <w:rPr>
                <w:sz w:val="21"/>
              </w:rPr>
              <w:t xml:space="preserve">厂址周边 </w:t>
            </w:r>
            <w:r>
              <w:rPr>
                <w:rFonts w:ascii="Times New Roman" w:eastAsia="Times New Roman"/>
                <w:sz w:val="21"/>
              </w:rPr>
              <w:t xml:space="preserve">5km </w:t>
            </w:r>
            <w:r>
              <w:rPr>
                <w:sz w:val="21"/>
              </w:rPr>
              <w:t>范围内人口数小计</w:t>
            </w:r>
          </w:p>
        </w:tc>
        <w:tc>
          <w:tcPr>
            <w:tcW w:w="1213" w:type="dxa"/>
            <w:tcBorders>
              <w:top w:val="single" w:color="000000" w:sz="4" w:space="0"/>
              <w:left w:val="single" w:color="000000" w:sz="4" w:space="0"/>
              <w:bottom w:val="single" w:color="000000" w:sz="4" w:space="0"/>
            </w:tcBorders>
          </w:tcPr>
          <w:p>
            <w:pPr>
              <w:pStyle w:val="14"/>
              <w:spacing w:before="35"/>
              <w:ind w:left="275" w:right="252"/>
              <w:rPr>
                <w:sz w:val="21"/>
              </w:rPr>
            </w:pPr>
            <w:r>
              <w:rPr>
                <w:rFonts w:ascii="Times New Roman" w:eastAsia="Times New Roman"/>
                <w:sz w:val="21"/>
              </w:rPr>
              <w:t xml:space="preserve">350 </w:t>
            </w:r>
            <w:r>
              <w:rPr>
                <w:sz w:val="21"/>
              </w:rPr>
              <w:t>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5" w:hRule="atLeast"/>
        </w:trPr>
        <w:tc>
          <w:tcPr>
            <w:tcW w:w="624" w:type="dxa"/>
            <w:vMerge w:val="restart"/>
            <w:tcBorders>
              <w:top w:val="single" w:color="000000" w:sz="4" w:space="0"/>
              <w:right w:val="single" w:color="000000" w:sz="4" w:space="0"/>
            </w:tcBorders>
          </w:tcPr>
          <w:p>
            <w:pPr>
              <w:pStyle w:val="14"/>
              <w:spacing w:before="5"/>
              <w:jc w:val="left"/>
              <w:rPr>
                <w:b/>
                <w:sz w:val="19"/>
              </w:rPr>
            </w:pPr>
          </w:p>
          <w:p>
            <w:pPr>
              <w:pStyle w:val="14"/>
              <w:spacing w:line="242" w:lineRule="auto"/>
              <w:ind w:left="207" w:right="87" w:hanging="106"/>
              <w:jc w:val="left"/>
              <w:rPr>
                <w:sz w:val="21"/>
              </w:rPr>
            </w:pPr>
            <w:r>
              <w:rPr>
                <w:sz w:val="21"/>
              </w:rPr>
              <w:t>地表水</w:t>
            </w:r>
          </w:p>
        </w:tc>
        <w:tc>
          <w:tcPr>
            <w:tcW w:w="8502" w:type="dxa"/>
            <w:gridSpan w:val="7"/>
            <w:tcBorders>
              <w:top w:val="single" w:color="000000" w:sz="4" w:space="0"/>
              <w:left w:val="single" w:color="000000" w:sz="4" w:space="0"/>
              <w:bottom w:val="single" w:color="000000" w:sz="4" w:space="0"/>
            </w:tcBorders>
          </w:tcPr>
          <w:p>
            <w:pPr>
              <w:pStyle w:val="14"/>
              <w:spacing w:before="33"/>
              <w:ind w:left="3234" w:right="3211"/>
              <w:rPr>
                <w:sz w:val="21"/>
              </w:rPr>
            </w:pPr>
            <w:r>
              <w:rPr>
                <w:sz w:val="21"/>
              </w:rPr>
              <w:t>受纳水体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624" w:type="dxa"/>
            <w:vMerge w:val="continue"/>
            <w:tcBorders>
              <w:top w:val="nil"/>
              <w:right w:val="single" w:color="000000" w:sz="4" w:space="0"/>
            </w:tcBorders>
          </w:tcPr>
          <w:p>
            <w:pPr>
              <w:rPr>
                <w:sz w:val="2"/>
                <w:szCs w:val="2"/>
              </w:rPr>
            </w:pPr>
          </w:p>
        </w:tc>
        <w:tc>
          <w:tcPr>
            <w:tcW w:w="584" w:type="dxa"/>
            <w:tcBorders>
              <w:top w:val="single" w:color="000000" w:sz="4" w:space="0"/>
              <w:left w:val="single" w:color="000000" w:sz="4" w:space="0"/>
              <w:bottom w:val="single" w:color="000000" w:sz="4" w:space="0"/>
              <w:right w:val="single" w:color="000000" w:sz="4" w:space="0"/>
            </w:tcBorders>
          </w:tcPr>
          <w:p>
            <w:pPr>
              <w:pStyle w:val="14"/>
              <w:spacing w:before="28"/>
              <w:ind w:left="66" w:right="48"/>
              <w:rPr>
                <w:sz w:val="21"/>
              </w:rPr>
            </w:pPr>
            <w:r>
              <w:rPr>
                <w:sz w:val="21"/>
              </w:rPr>
              <w:t>序号</w:t>
            </w:r>
          </w:p>
        </w:tc>
        <w:tc>
          <w:tcPr>
            <w:tcW w:w="1761" w:type="dxa"/>
            <w:tcBorders>
              <w:top w:val="single" w:color="000000" w:sz="4" w:space="0"/>
              <w:left w:val="single" w:color="000000" w:sz="4" w:space="0"/>
              <w:bottom w:val="single" w:color="000000" w:sz="4" w:space="0"/>
              <w:right w:val="single" w:color="000000" w:sz="4" w:space="0"/>
            </w:tcBorders>
          </w:tcPr>
          <w:p>
            <w:pPr>
              <w:pStyle w:val="14"/>
              <w:spacing w:before="28"/>
              <w:ind w:left="228" w:right="212"/>
              <w:rPr>
                <w:sz w:val="21"/>
              </w:rPr>
            </w:pPr>
            <w:r>
              <w:rPr>
                <w:sz w:val="21"/>
              </w:rPr>
              <w:t>受纳水体名称</w:t>
            </w:r>
          </w:p>
        </w:tc>
        <w:tc>
          <w:tcPr>
            <w:tcW w:w="4224" w:type="dxa"/>
            <w:gridSpan w:val="3"/>
            <w:tcBorders>
              <w:top w:val="single" w:color="000000" w:sz="4" w:space="0"/>
              <w:left w:val="single" w:color="000000" w:sz="4" w:space="0"/>
              <w:bottom w:val="single" w:color="000000" w:sz="4" w:space="0"/>
              <w:right w:val="single" w:color="000000" w:sz="4" w:space="0"/>
            </w:tcBorders>
          </w:tcPr>
          <w:p>
            <w:pPr>
              <w:pStyle w:val="14"/>
              <w:spacing w:before="28"/>
              <w:ind w:left="1172"/>
              <w:jc w:val="left"/>
              <w:rPr>
                <w:sz w:val="21"/>
              </w:rPr>
            </w:pPr>
            <w:r>
              <w:rPr>
                <w:sz w:val="21"/>
              </w:rPr>
              <w:t>排放点水域环境功能</w:t>
            </w:r>
          </w:p>
        </w:tc>
        <w:tc>
          <w:tcPr>
            <w:tcW w:w="1933" w:type="dxa"/>
            <w:gridSpan w:val="2"/>
            <w:tcBorders>
              <w:top w:val="single" w:color="000000" w:sz="4" w:space="0"/>
              <w:left w:val="single" w:color="000000" w:sz="4" w:space="0"/>
              <w:bottom w:val="single" w:color="000000" w:sz="4" w:space="0"/>
            </w:tcBorders>
          </w:tcPr>
          <w:p>
            <w:pPr>
              <w:pStyle w:val="14"/>
              <w:spacing w:before="28"/>
              <w:ind w:left="125"/>
              <w:jc w:val="left"/>
              <w:rPr>
                <w:rFonts w:ascii="Times New Roman" w:eastAsia="Times New Roman"/>
                <w:sz w:val="21"/>
              </w:rPr>
            </w:pPr>
            <w:r>
              <w:rPr>
                <w:rFonts w:ascii="Times New Roman" w:eastAsia="Times New Roman"/>
                <w:sz w:val="21"/>
              </w:rPr>
              <w:t>24h</w:t>
            </w:r>
            <w:r>
              <w:rPr>
                <w:sz w:val="21"/>
              </w:rPr>
              <w:t>内流经范围</w:t>
            </w:r>
            <w:r>
              <w:rPr>
                <w:rFonts w:ascii="Times New Roman" w:eastAsia="Times New Roman"/>
                <w:sz w:val="21"/>
              </w:rPr>
              <w:t>/km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4" w:hRule="atLeast"/>
        </w:trPr>
        <w:tc>
          <w:tcPr>
            <w:tcW w:w="624" w:type="dxa"/>
            <w:vMerge w:val="continue"/>
            <w:tcBorders>
              <w:top w:val="nil"/>
              <w:right w:val="single" w:color="000000" w:sz="4" w:space="0"/>
            </w:tcBorders>
          </w:tcPr>
          <w:p>
            <w:pPr>
              <w:rPr>
                <w:sz w:val="2"/>
                <w:szCs w:val="2"/>
              </w:rPr>
            </w:pPr>
          </w:p>
        </w:tc>
        <w:tc>
          <w:tcPr>
            <w:tcW w:w="584" w:type="dxa"/>
            <w:tcBorders>
              <w:top w:val="single" w:color="000000" w:sz="4" w:space="0"/>
              <w:left w:val="single" w:color="000000" w:sz="4" w:space="0"/>
              <w:right w:val="single" w:color="000000" w:sz="4" w:space="0"/>
            </w:tcBorders>
          </w:tcPr>
          <w:p>
            <w:pPr>
              <w:pStyle w:val="14"/>
              <w:spacing w:before="43"/>
              <w:ind w:left="17"/>
              <w:rPr>
                <w:rFonts w:ascii="Times New Roman"/>
                <w:sz w:val="21"/>
              </w:rPr>
            </w:pPr>
            <w:r>
              <w:rPr>
                <w:rFonts w:ascii="Times New Roman"/>
                <w:w w:val="99"/>
                <w:sz w:val="21"/>
              </w:rPr>
              <w:t>1</w:t>
            </w:r>
          </w:p>
        </w:tc>
        <w:tc>
          <w:tcPr>
            <w:tcW w:w="1761" w:type="dxa"/>
            <w:tcBorders>
              <w:top w:val="single" w:color="000000" w:sz="4" w:space="0"/>
              <w:left w:val="single" w:color="000000" w:sz="4" w:space="0"/>
              <w:right w:val="single" w:color="000000" w:sz="4" w:space="0"/>
            </w:tcBorders>
          </w:tcPr>
          <w:p>
            <w:pPr>
              <w:pStyle w:val="14"/>
              <w:spacing w:before="29"/>
              <w:ind w:left="228" w:right="212"/>
              <w:rPr>
                <w:sz w:val="21"/>
              </w:rPr>
            </w:pPr>
            <w:r>
              <w:rPr>
                <w:sz w:val="21"/>
              </w:rPr>
              <w:t>扁石河</w:t>
            </w:r>
          </w:p>
        </w:tc>
        <w:tc>
          <w:tcPr>
            <w:tcW w:w="4224" w:type="dxa"/>
            <w:gridSpan w:val="3"/>
            <w:tcBorders>
              <w:top w:val="single" w:color="000000" w:sz="4" w:space="0"/>
              <w:left w:val="single" w:color="000000" w:sz="4" w:space="0"/>
              <w:right w:val="single" w:color="000000" w:sz="4" w:space="0"/>
            </w:tcBorders>
          </w:tcPr>
          <w:p>
            <w:pPr>
              <w:pStyle w:val="14"/>
              <w:spacing w:before="29"/>
              <w:ind w:left="19"/>
              <w:rPr>
                <w:sz w:val="21"/>
              </w:rPr>
            </w:pPr>
            <w:r>
              <w:rPr>
                <w:w w:val="99"/>
                <w:sz w:val="21"/>
              </w:rPr>
              <w:t>Ⅲ</w:t>
            </w:r>
          </w:p>
        </w:tc>
        <w:tc>
          <w:tcPr>
            <w:tcW w:w="1933" w:type="dxa"/>
            <w:gridSpan w:val="2"/>
            <w:tcBorders>
              <w:top w:val="single" w:color="000000" w:sz="4" w:space="0"/>
              <w:left w:val="single" w:color="000000" w:sz="4" w:space="0"/>
            </w:tcBorders>
          </w:tcPr>
          <w:p>
            <w:pPr>
              <w:pStyle w:val="14"/>
              <w:spacing w:before="43"/>
              <w:ind w:left="23"/>
              <w:rPr>
                <w:rFonts w:ascii="Times New Roman"/>
                <w:sz w:val="21"/>
              </w:rPr>
            </w:pPr>
            <w:r>
              <w:rPr>
                <w:rFonts w:ascii="Times New Roman"/>
                <w:w w:val="99"/>
                <w:sz w:val="21"/>
              </w:rPr>
              <w:t>/</w:t>
            </w:r>
          </w:p>
        </w:tc>
      </w:tr>
    </w:tbl>
    <w:p>
      <w:pPr>
        <w:pStyle w:val="6"/>
        <w:spacing w:before="4"/>
        <w:rPr>
          <w:b/>
          <w:sz w:val="27"/>
        </w:rPr>
      </w:pPr>
    </w:p>
    <w:p>
      <w:pPr>
        <w:pStyle w:val="3"/>
        <w:numPr>
          <w:ilvl w:val="1"/>
          <w:numId w:val="106"/>
        </w:numPr>
        <w:tabs>
          <w:tab w:val="left" w:pos="896"/>
        </w:tabs>
        <w:spacing w:before="67" w:after="0" w:line="240" w:lineRule="auto"/>
        <w:ind w:left="895" w:right="0" w:hanging="676"/>
        <w:jc w:val="left"/>
      </w:pPr>
      <w:bookmarkStart w:id="1280" w:name="15.3 环境风险识别"/>
      <w:bookmarkEnd w:id="1280"/>
      <w:bookmarkStart w:id="1281" w:name="_bookmark88"/>
      <w:bookmarkEnd w:id="1281"/>
      <w:bookmarkStart w:id="1282" w:name="_bookmark88"/>
      <w:bookmarkEnd w:id="1282"/>
      <w:r>
        <w:t>环境风险识别</w:t>
      </w:r>
    </w:p>
    <w:p>
      <w:pPr>
        <w:pStyle w:val="6"/>
        <w:spacing w:before="199" w:line="362" w:lineRule="auto"/>
        <w:ind w:left="220" w:right="340" w:firstLine="480"/>
      </w:pPr>
      <w:r>
        <w:t>本煤矿环境风险评价重点为柴油罐泄露及硝铵炸药爆炸的环境风险以及对环境造成的影响。</w:t>
      </w:r>
    </w:p>
    <w:p>
      <w:pPr>
        <w:pStyle w:val="6"/>
        <w:spacing w:before="5"/>
        <w:ind w:left="700"/>
      </w:pPr>
      <w:r>
        <w:t>本项目风险识别具体内容见下表。</w:t>
      </w:r>
    </w:p>
    <w:p>
      <w:pPr>
        <w:spacing w:before="157"/>
        <w:ind w:left="0" w:right="112" w:firstLine="0"/>
        <w:jc w:val="center"/>
        <w:rPr>
          <w:b/>
          <w:sz w:val="21"/>
        </w:rPr>
      </w:pPr>
      <w:r>
        <w:rPr>
          <w:b/>
          <w:spacing w:val="-26"/>
          <w:sz w:val="21"/>
        </w:rPr>
        <w:t xml:space="preserve">表 </w:t>
      </w:r>
      <w:r>
        <w:rPr>
          <w:rFonts w:ascii="Times New Roman" w:eastAsia="Times New Roman"/>
          <w:b/>
          <w:sz w:val="21"/>
        </w:rPr>
        <w:t>15.3-1</w:t>
      </w:r>
      <w:r>
        <w:rPr>
          <w:rFonts w:ascii="Times New Roman" w:eastAsia="Times New Roman"/>
          <w:b/>
          <w:spacing w:val="52"/>
          <w:sz w:val="21"/>
        </w:rPr>
        <w:t xml:space="preserve"> </w:t>
      </w:r>
      <w:r>
        <w:rPr>
          <w:b/>
          <w:sz w:val="21"/>
        </w:rPr>
        <w:t>建设项目环境风险识别</w:t>
      </w:r>
    </w:p>
    <w:p>
      <w:pPr>
        <w:pStyle w:val="6"/>
        <w:spacing w:before="12"/>
        <w:rPr>
          <w:b/>
          <w:sz w:val="10"/>
        </w:rPr>
      </w:pPr>
    </w:p>
    <w:tbl>
      <w:tblPr>
        <w:tblStyle w:val="10"/>
        <w:tblW w:w="0" w:type="auto"/>
        <w:tblInd w:w="1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92"/>
        <w:gridCol w:w="1989"/>
        <w:gridCol w:w="1214"/>
        <w:gridCol w:w="1260"/>
        <w:gridCol w:w="1199"/>
        <w:gridCol w:w="2294"/>
        <w:gridCol w:w="74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692" w:type="dxa"/>
            <w:tcBorders>
              <w:bottom w:val="single" w:color="000000" w:sz="4" w:space="0"/>
              <w:right w:val="single" w:color="000000" w:sz="4" w:space="0"/>
            </w:tcBorders>
          </w:tcPr>
          <w:p>
            <w:pPr>
              <w:pStyle w:val="14"/>
              <w:spacing w:before="135"/>
              <w:ind w:left="114" w:right="103"/>
              <w:rPr>
                <w:sz w:val="21"/>
              </w:rPr>
            </w:pPr>
            <w:r>
              <w:rPr>
                <w:sz w:val="21"/>
              </w:rPr>
              <w:t>序号</w:t>
            </w:r>
          </w:p>
        </w:tc>
        <w:tc>
          <w:tcPr>
            <w:tcW w:w="1989" w:type="dxa"/>
            <w:tcBorders>
              <w:left w:val="single" w:color="000000" w:sz="4" w:space="0"/>
              <w:bottom w:val="single" w:color="000000" w:sz="4" w:space="0"/>
              <w:right w:val="single" w:color="000000" w:sz="4" w:space="0"/>
            </w:tcBorders>
          </w:tcPr>
          <w:p>
            <w:pPr>
              <w:pStyle w:val="14"/>
              <w:spacing w:before="135"/>
              <w:ind w:right="663"/>
              <w:jc w:val="right"/>
              <w:rPr>
                <w:sz w:val="21"/>
              </w:rPr>
            </w:pPr>
            <w:r>
              <w:rPr>
                <w:w w:val="95"/>
                <w:sz w:val="21"/>
              </w:rPr>
              <w:t>风险源</w:t>
            </w:r>
          </w:p>
        </w:tc>
        <w:tc>
          <w:tcPr>
            <w:tcW w:w="1214" w:type="dxa"/>
            <w:tcBorders>
              <w:left w:val="single" w:color="000000" w:sz="4" w:space="0"/>
              <w:bottom w:val="single" w:color="000000" w:sz="4" w:space="0"/>
              <w:right w:val="single" w:color="000000" w:sz="4" w:space="0"/>
            </w:tcBorders>
          </w:tcPr>
          <w:p>
            <w:pPr>
              <w:pStyle w:val="14"/>
              <w:ind w:left="169" w:right="154"/>
              <w:rPr>
                <w:sz w:val="21"/>
              </w:rPr>
            </w:pPr>
            <w:r>
              <w:rPr>
                <w:sz w:val="21"/>
              </w:rPr>
              <w:t>主要危险</w:t>
            </w:r>
          </w:p>
          <w:p>
            <w:pPr>
              <w:pStyle w:val="14"/>
              <w:spacing w:before="3" w:line="252" w:lineRule="exact"/>
              <w:ind w:left="169" w:right="152"/>
              <w:rPr>
                <w:sz w:val="21"/>
              </w:rPr>
            </w:pPr>
            <w:r>
              <w:rPr>
                <w:sz w:val="21"/>
              </w:rPr>
              <w:t>物质</w:t>
            </w:r>
          </w:p>
        </w:tc>
        <w:tc>
          <w:tcPr>
            <w:tcW w:w="1260" w:type="dxa"/>
            <w:tcBorders>
              <w:left w:val="single" w:color="000000" w:sz="4" w:space="0"/>
              <w:bottom w:val="single" w:color="000000" w:sz="4" w:space="0"/>
              <w:right w:val="single" w:color="000000" w:sz="4" w:space="0"/>
            </w:tcBorders>
          </w:tcPr>
          <w:p>
            <w:pPr>
              <w:pStyle w:val="14"/>
              <w:ind w:left="194" w:right="176"/>
              <w:rPr>
                <w:sz w:val="21"/>
              </w:rPr>
            </w:pPr>
            <w:r>
              <w:rPr>
                <w:sz w:val="21"/>
              </w:rPr>
              <w:t>环境风险</w:t>
            </w:r>
          </w:p>
          <w:p>
            <w:pPr>
              <w:pStyle w:val="14"/>
              <w:spacing w:before="3" w:line="252" w:lineRule="exact"/>
              <w:ind w:left="191" w:right="176"/>
              <w:rPr>
                <w:sz w:val="21"/>
              </w:rPr>
            </w:pPr>
            <w:r>
              <w:rPr>
                <w:sz w:val="21"/>
              </w:rPr>
              <w:t>类型</w:t>
            </w:r>
          </w:p>
        </w:tc>
        <w:tc>
          <w:tcPr>
            <w:tcW w:w="1199" w:type="dxa"/>
            <w:tcBorders>
              <w:left w:val="single" w:color="000000" w:sz="4" w:space="0"/>
              <w:bottom w:val="single" w:color="000000" w:sz="4" w:space="0"/>
              <w:right w:val="single" w:color="000000" w:sz="4" w:space="0"/>
            </w:tcBorders>
          </w:tcPr>
          <w:p>
            <w:pPr>
              <w:pStyle w:val="14"/>
              <w:ind w:left="162" w:right="146"/>
              <w:rPr>
                <w:sz w:val="21"/>
              </w:rPr>
            </w:pPr>
            <w:r>
              <w:rPr>
                <w:sz w:val="21"/>
              </w:rPr>
              <w:t>环境影响</w:t>
            </w:r>
          </w:p>
          <w:p>
            <w:pPr>
              <w:pStyle w:val="14"/>
              <w:spacing w:before="3" w:line="252" w:lineRule="exact"/>
              <w:ind w:left="160" w:right="146"/>
              <w:rPr>
                <w:sz w:val="21"/>
              </w:rPr>
            </w:pPr>
            <w:r>
              <w:rPr>
                <w:sz w:val="21"/>
              </w:rPr>
              <w:t>途径</w:t>
            </w:r>
          </w:p>
        </w:tc>
        <w:tc>
          <w:tcPr>
            <w:tcW w:w="2294" w:type="dxa"/>
            <w:tcBorders>
              <w:left w:val="single" w:color="000000" w:sz="4" w:space="0"/>
              <w:bottom w:val="single" w:color="000000" w:sz="4" w:space="0"/>
              <w:right w:val="single" w:color="000000" w:sz="4" w:space="0"/>
            </w:tcBorders>
          </w:tcPr>
          <w:p>
            <w:pPr>
              <w:pStyle w:val="14"/>
              <w:ind w:left="70" w:right="52"/>
              <w:rPr>
                <w:sz w:val="21"/>
              </w:rPr>
            </w:pPr>
            <w:r>
              <w:rPr>
                <w:sz w:val="21"/>
              </w:rPr>
              <w:t>可能受影响的环境敏</w:t>
            </w:r>
          </w:p>
          <w:p>
            <w:pPr>
              <w:pStyle w:val="14"/>
              <w:spacing w:before="3" w:line="252" w:lineRule="exact"/>
              <w:ind w:left="67" w:right="52"/>
              <w:rPr>
                <w:sz w:val="21"/>
              </w:rPr>
            </w:pPr>
            <w:r>
              <w:rPr>
                <w:sz w:val="21"/>
              </w:rPr>
              <w:t>感目标</w:t>
            </w:r>
          </w:p>
        </w:tc>
        <w:tc>
          <w:tcPr>
            <w:tcW w:w="746" w:type="dxa"/>
            <w:tcBorders>
              <w:left w:val="single" w:color="000000" w:sz="4" w:space="0"/>
              <w:bottom w:val="single" w:color="000000" w:sz="4" w:space="0"/>
            </w:tcBorders>
          </w:tcPr>
          <w:p>
            <w:pPr>
              <w:pStyle w:val="14"/>
              <w:spacing w:before="135"/>
              <w:ind w:left="168"/>
              <w:jc w:val="left"/>
              <w:rPr>
                <w:sz w:val="21"/>
              </w:rPr>
            </w:pPr>
            <w:r>
              <w:rPr>
                <w:sz w:val="21"/>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692" w:type="dxa"/>
            <w:tcBorders>
              <w:top w:val="single" w:color="000000" w:sz="4" w:space="0"/>
              <w:right w:val="single" w:color="000000" w:sz="4" w:space="0"/>
            </w:tcBorders>
          </w:tcPr>
          <w:p>
            <w:pPr>
              <w:pStyle w:val="14"/>
              <w:spacing w:before="151"/>
              <w:ind w:left="10"/>
              <w:rPr>
                <w:rFonts w:ascii="Times New Roman"/>
                <w:sz w:val="21"/>
              </w:rPr>
            </w:pPr>
            <w:r>
              <w:rPr>
                <w:rFonts w:ascii="Times New Roman"/>
                <w:w w:val="99"/>
                <w:sz w:val="21"/>
              </w:rPr>
              <w:t>1</w:t>
            </w:r>
          </w:p>
        </w:tc>
        <w:tc>
          <w:tcPr>
            <w:tcW w:w="1989" w:type="dxa"/>
            <w:tcBorders>
              <w:top w:val="single" w:color="000000" w:sz="4" w:space="0"/>
              <w:left w:val="single" w:color="000000" w:sz="4" w:space="0"/>
              <w:right w:val="single" w:color="000000" w:sz="4" w:space="0"/>
            </w:tcBorders>
          </w:tcPr>
          <w:p>
            <w:pPr>
              <w:pStyle w:val="14"/>
              <w:spacing w:before="135"/>
              <w:ind w:right="663"/>
              <w:jc w:val="right"/>
              <w:rPr>
                <w:sz w:val="21"/>
              </w:rPr>
            </w:pPr>
            <w:r>
              <w:rPr>
                <w:w w:val="95"/>
                <w:sz w:val="21"/>
              </w:rPr>
              <w:t>柴油罐</w:t>
            </w:r>
          </w:p>
        </w:tc>
        <w:tc>
          <w:tcPr>
            <w:tcW w:w="1214" w:type="dxa"/>
            <w:tcBorders>
              <w:top w:val="single" w:color="000000" w:sz="4" w:space="0"/>
              <w:left w:val="single" w:color="000000" w:sz="4" w:space="0"/>
              <w:right w:val="single" w:color="000000" w:sz="4" w:space="0"/>
            </w:tcBorders>
          </w:tcPr>
          <w:p>
            <w:pPr>
              <w:pStyle w:val="14"/>
              <w:spacing w:before="135"/>
              <w:ind w:left="190"/>
              <w:jc w:val="left"/>
              <w:rPr>
                <w:sz w:val="21"/>
              </w:rPr>
            </w:pPr>
            <w:r>
              <w:rPr>
                <w:sz w:val="21"/>
              </w:rPr>
              <w:t>油类物质</w:t>
            </w:r>
          </w:p>
        </w:tc>
        <w:tc>
          <w:tcPr>
            <w:tcW w:w="1260" w:type="dxa"/>
            <w:tcBorders>
              <w:top w:val="single" w:color="000000" w:sz="4" w:space="0"/>
              <w:left w:val="single" w:color="000000" w:sz="4" w:space="0"/>
              <w:right w:val="single" w:color="000000" w:sz="4" w:space="0"/>
            </w:tcBorders>
          </w:tcPr>
          <w:p>
            <w:pPr>
              <w:pStyle w:val="14"/>
              <w:spacing w:before="1"/>
              <w:ind w:left="194" w:right="176"/>
              <w:rPr>
                <w:sz w:val="21"/>
              </w:rPr>
            </w:pPr>
            <w:r>
              <w:rPr>
                <w:sz w:val="21"/>
              </w:rPr>
              <w:t>危险物质</w:t>
            </w:r>
          </w:p>
          <w:p>
            <w:pPr>
              <w:pStyle w:val="14"/>
              <w:spacing w:before="2" w:line="253" w:lineRule="exact"/>
              <w:ind w:left="191" w:right="176"/>
              <w:rPr>
                <w:sz w:val="21"/>
              </w:rPr>
            </w:pPr>
            <w:r>
              <w:rPr>
                <w:sz w:val="21"/>
              </w:rPr>
              <w:t>泄露</w:t>
            </w:r>
          </w:p>
        </w:tc>
        <w:tc>
          <w:tcPr>
            <w:tcW w:w="1199" w:type="dxa"/>
            <w:tcBorders>
              <w:top w:val="single" w:color="000000" w:sz="4" w:space="0"/>
              <w:left w:val="single" w:color="000000" w:sz="4" w:space="0"/>
              <w:right w:val="single" w:color="000000" w:sz="4" w:space="0"/>
            </w:tcBorders>
          </w:tcPr>
          <w:p>
            <w:pPr>
              <w:pStyle w:val="14"/>
              <w:spacing w:before="1"/>
              <w:ind w:left="162" w:right="146"/>
              <w:rPr>
                <w:sz w:val="21"/>
              </w:rPr>
            </w:pPr>
            <w:r>
              <w:rPr>
                <w:sz w:val="21"/>
              </w:rPr>
              <w:t>漫流、下</w:t>
            </w:r>
          </w:p>
          <w:p>
            <w:pPr>
              <w:pStyle w:val="14"/>
              <w:spacing w:before="2" w:line="253" w:lineRule="exact"/>
              <w:ind w:left="16"/>
              <w:rPr>
                <w:sz w:val="21"/>
              </w:rPr>
            </w:pPr>
            <w:r>
              <w:rPr>
                <w:w w:val="99"/>
                <w:sz w:val="21"/>
              </w:rPr>
              <w:t>渗</w:t>
            </w:r>
          </w:p>
        </w:tc>
        <w:tc>
          <w:tcPr>
            <w:tcW w:w="2294" w:type="dxa"/>
            <w:tcBorders>
              <w:top w:val="single" w:color="000000" w:sz="4" w:space="0"/>
              <w:left w:val="single" w:color="000000" w:sz="4" w:space="0"/>
              <w:right w:val="single" w:color="000000" w:sz="4" w:space="0"/>
            </w:tcBorders>
          </w:tcPr>
          <w:p>
            <w:pPr>
              <w:pStyle w:val="14"/>
              <w:spacing w:before="1"/>
              <w:ind w:left="91" w:right="52"/>
              <w:rPr>
                <w:sz w:val="21"/>
              </w:rPr>
            </w:pPr>
            <w:r>
              <w:rPr>
                <w:sz w:val="21"/>
              </w:rPr>
              <w:t>工业场地下游地下水、</w:t>
            </w:r>
          </w:p>
          <w:p>
            <w:pPr>
              <w:pStyle w:val="14"/>
              <w:spacing w:before="2" w:line="253" w:lineRule="exact"/>
              <w:ind w:left="70" w:right="52"/>
              <w:rPr>
                <w:sz w:val="21"/>
              </w:rPr>
            </w:pPr>
            <w:r>
              <w:rPr>
                <w:sz w:val="21"/>
              </w:rPr>
              <w:t>地表水水质</w:t>
            </w:r>
          </w:p>
        </w:tc>
        <w:tc>
          <w:tcPr>
            <w:tcW w:w="746" w:type="dxa"/>
            <w:tcBorders>
              <w:top w:val="single" w:color="000000" w:sz="4" w:space="0"/>
              <w:left w:val="single" w:color="000000" w:sz="4" w:space="0"/>
            </w:tcBorders>
          </w:tcPr>
          <w:p>
            <w:pPr>
              <w:pStyle w:val="14"/>
              <w:jc w:val="left"/>
              <w:rPr>
                <w:rFonts w:ascii="Times New Roman"/>
                <w:sz w:val="22"/>
              </w:rPr>
            </w:pPr>
          </w:p>
        </w:tc>
      </w:tr>
    </w:tbl>
    <w:p>
      <w:pPr>
        <w:pStyle w:val="3"/>
        <w:numPr>
          <w:ilvl w:val="1"/>
          <w:numId w:val="106"/>
        </w:numPr>
        <w:tabs>
          <w:tab w:val="left" w:pos="896"/>
        </w:tabs>
        <w:spacing w:before="4" w:after="0" w:line="240" w:lineRule="auto"/>
        <w:ind w:left="895" w:right="0" w:hanging="676"/>
        <w:jc w:val="left"/>
      </w:pPr>
      <w:bookmarkStart w:id="1283" w:name="_bookmark89"/>
      <w:bookmarkEnd w:id="1283"/>
      <w:bookmarkStart w:id="1284" w:name="15.4 环境风险分析"/>
      <w:bookmarkEnd w:id="1284"/>
      <w:bookmarkStart w:id="1285" w:name="_bookmark89"/>
      <w:bookmarkEnd w:id="1285"/>
      <w:r>
        <w:t>环境风险分析</w:t>
      </w:r>
    </w:p>
    <w:p>
      <w:pPr>
        <w:pStyle w:val="4"/>
        <w:numPr>
          <w:ilvl w:val="2"/>
          <w:numId w:val="106"/>
        </w:numPr>
        <w:tabs>
          <w:tab w:val="left" w:pos="1061"/>
        </w:tabs>
        <w:spacing w:before="197" w:after="0" w:line="240" w:lineRule="auto"/>
        <w:ind w:left="1060" w:right="0" w:hanging="841"/>
        <w:jc w:val="left"/>
      </w:pPr>
      <w:r>
        <w:t>柴油罐泄漏风险事故影响分析</w:t>
      </w:r>
    </w:p>
    <w:p>
      <w:pPr>
        <w:pStyle w:val="6"/>
        <w:spacing w:before="185"/>
        <w:ind w:left="700"/>
      </w:pPr>
      <w:r>
        <w:rPr>
          <w:rFonts w:ascii="Times New Roman" w:eastAsia="Times New Roman"/>
        </w:rPr>
        <w:t>1</w:t>
      </w:r>
      <w:r>
        <w:t>、柴油罐泄露源项分析</w:t>
      </w:r>
    </w:p>
    <w:p>
      <w:pPr>
        <w:pStyle w:val="6"/>
        <w:spacing w:before="161" w:line="364" w:lineRule="auto"/>
        <w:ind w:left="220" w:right="338" w:firstLine="480"/>
      </w:pPr>
      <w:r>
        <w:rPr>
          <w:spacing w:val="-6"/>
        </w:rPr>
        <w:t xml:space="preserve">本项目柴油罐储量为 </w:t>
      </w:r>
      <w:r>
        <w:rPr>
          <w:rFonts w:ascii="Times New Roman" w:eastAsia="Times New Roman"/>
          <w:spacing w:val="-16"/>
        </w:rPr>
        <w:t>20t</w:t>
      </w:r>
      <w:r>
        <w:rPr>
          <w:spacing w:val="-5"/>
        </w:rPr>
        <w:t>，在发生柴油罐损坏破裂后会在短时间内泄漏出一定量的油</w:t>
      </w:r>
      <w:r>
        <w:t>品。</w:t>
      </w:r>
    </w:p>
    <w:p>
      <w:pPr>
        <w:pStyle w:val="6"/>
        <w:spacing w:line="306" w:lineRule="exact"/>
        <w:ind w:left="700"/>
      </w:pPr>
      <w:r>
        <w:rPr>
          <w:rFonts w:ascii="Times New Roman" w:eastAsia="Times New Roman"/>
        </w:rPr>
        <w:t>2</w:t>
      </w:r>
      <w:r>
        <w:t>、柴油罐泄露风险分析</w:t>
      </w:r>
    </w:p>
    <w:p>
      <w:pPr>
        <w:pStyle w:val="6"/>
        <w:spacing w:before="158" w:line="364" w:lineRule="auto"/>
        <w:ind w:left="220" w:right="338" w:firstLine="480"/>
        <w:jc w:val="both"/>
      </w:pPr>
      <w:r>
        <w:t>事故性的泄漏可能渗入土壤环境、地下水水环境，从而对柴油罐周边的土壤及地下水环境产生一定的影响。但一般情况下，柴油罐发生泄漏事故而成品油泄漏于地表的量有限，且按照应急管理要求，柴油罐设有事故池（即集油（水）坑），如果处理及时得当，则可有效地控制对周围环境的影响。</w:t>
      </w:r>
    </w:p>
    <w:p>
      <w:pPr>
        <w:pStyle w:val="3"/>
        <w:numPr>
          <w:ilvl w:val="1"/>
          <w:numId w:val="106"/>
        </w:numPr>
        <w:tabs>
          <w:tab w:val="left" w:pos="821"/>
        </w:tabs>
        <w:spacing w:before="0" w:after="0" w:line="240" w:lineRule="auto"/>
        <w:ind w:left="820" w:right="0" w:hanging="601"/>
        <w:jc w:val="left"/>
      </w:pPr>
      <w:bookmarkStart w:id="1286" w:name="15.5环境风险防范措施及环应急要求"/>
      <w:bookmarkEnd w:id="1286"/>
      <w:bookmarkStart w:id="1287" w:name="_bookmark90"/>
      <w:bookmarkEnd w:id="1287"/>
      <w:bookmarkStart w:id="1288" w:name="_bookmark90"/>
      <w:bookmarkEnd w:id="1288"/>
      <w:r>
        <w:t>环境风险防范措施及环应急要求</w:t>
      </w:r>
    </w:p>
    <w:p>
      <w:pPr>
        <w:spacing w:after="0" w:line="240" w:lineRule="auto"/>
        <w:jc w:val="left"/>
        <w:sectPr>
          <w:pgSz w:w="11910" w:h="16840"/>
          <w:pgMar w:top="1360" w:right="1020" w:bottom="1180" w:left="1140" w:header="0" w:footer="917" w:gutter="0"/>
        </w:sectPr>
      </w:pPr>
    </w:p>
    <w:p>
      <w:pPr>
        <w:pStyle w:val="4"/>
        <w:numPr>
          <w:ilvl w:val="2"/>
          <w:numId w:val="106"/>
        </w:numPr>
        <w:tabs>
          <w:tab w:val="left" w:pos="1061"/>
        </w:tabs>
        <w:spacing w:before="42" w:after="0" w:line="240" w:lineRule="auto"/>
        <w:ind w:left="1060" w:right="0" w:hanging="841"/>
        <w:jc w:val="left"/>
      </w:pPr>
      <w:r>
        <w:t>环境风险防范措施</w:t>
      </w:r>
    </w:p>
    <w:p>
      <w:pPr>
        <w:pStyle w:val="6"/>
        <w:spacing w:before="185"/>
        <w:ind w:left="700"/>
      </w:pPr>
      <w:r>
        <w:rPr>
          <w:rFonts w:ascii="Times New Roman" w:eastAsia="Times New Roman"/>
        </w:rPr>
        <w:t>1</w:t>
      </w:r>
      <w:r>
        <w:t>、柴油罐风险事故防范措施</w:t>
      </w:r>
    </w:p>
    <w:p>
      <w:pPr>
        <w:pStyle w:val="13"/>
        <w:numPr>
          <w:ilvl w:val="3"/>
          <w:numId w:val="106"/>
        </w:numPr>
        <w:tabs>
          <w:tab w:val="left" w:pos="1302"/>
        </w:tabs>
        <w:spacing w:before="158" w:after="0" w:line="240" w:lineRule="auto"/>
        <w:ind w:left="1301" w:right="0" w:hanging="602"/>
        <w:jc w:val="left"/>
        <w:rPr>
          <w:sz w:val="24"/>
        </w:rPr>
      </w:pPr>
      <w:r>
        <w:rPr>
          <w:spacing w:val="-2"/>
          <w:sz w:val="24"/>
        </w:rPr>
        <w:t>柴油罐内设有防治流体流散的设施和集油</w:t>
      </w:r>
      <w:r>
        <w:rPr>
          <w:sz w:val="24"/>
        </w:rPr>
        <w:t>（水</w:t>
      </w:r>
      <w:r>
        <w:rPr>
          <w:spacing w:val="-29"/>
          <w:sz w:val="24"/>
        </w:rPr>
        <w:t>）</w:t>
      </w:r>
      <w:r>
        <w:rPr>
          <w:spacing w:val="-16"/>
          <w:sz w:val="24"/>
        </w:rPr>
        <w:t xml:space="preserve">坑，地面按 </w:t>
      </w:r>
      <w:r>
        <w:rPr>
          <w:rFonts w:ascii="Times New Roman" w:hAnsi="Times New Roman" w:eastAsia="Times New Roman"/>
          <w:sz w:val="24"/>
        </w:rPr>
        <w:t>5‰</w:t>
      </w:r>
      <w:r>
        <w:rPr>
          <w:sz w:val="24"/>
        </w:rPr>
        <w:t>坡度设集油坑。</w:t>
      </w:r>
    </w:p>
    <w:p>
      <w:pPr>
        <w:pStyle w:val="13"/>
        <w:numPr>
          <w:ilvl w:val="3"/>
          <w:numId w:val="106"/>
        </w:numPr>
        <w:tabs>
          <w:tab w:val="left" w:pos="1302"/>
        </w:tabs>
        <w:spacing w:before="161" w:after="0" w:line="364" w:lineRule="auto"/>
        <w:ind w:left="220" w:right="337" w:firstLine="480"/>
        <w:jc w:val="left"/>
        <w:rPr>
          <w:sz w:val="24"/>
        </w:rPr>
      </w:pPr>
      <w:r>
        <w:rPr>
          <w:spacing w:val="-6"/>
          <w:sz w:val="24"/>
        </w:rPr>
        <w:t>设立标志，加强巡检，防止人为破坏。建成营运后，要提髙操作人员的素质和</w:t>
      </w:r>
      <w:r>
        <w:rPr>
          <w:sz w:val="24"/>
        </w:rPr>
        <w:t>管理水平，防止或减少事故风险的发生，确保柴油罐状况正常。</w:t>
      </w:r>
    </w:p>
    <w:p>
      <w:pPr>
        <w:pStyle w:val="4"/>
        <w:numPr>
          <w:ilvl w:val="2"/>
          <w:numId w:val="106"/>
        </w:numPr>
        <w:tabs>
          <w:tab w:val="left" w:pos="992"/>
        </w:tabs>
        <w:spacing w:before="0" w:after="0" w:line="358" w:lineRule="exact"/>
        <w:ind w:left="991" w:right="0" w:hanging="772"/>
        <w:jc w:val="left"/>
      </w:pPr>
      <w:r>
        <w:t>应急要求</w:t>
      </w:r>
    </w:p>
    <w:p>
      <w:pPr>
        <w:pStyle w:val="13"/>
        <w:numPr>
          <w:ilvl w:val="0"/>
          <w:numId w:val="107"/>
        </w:numPr>
        <w:tabs>
          <w:tab w:val="left" w:pos="1302"/>
        </w:tabs>
        <w:spacing w:before="185" w:after="0" w:line="240" w:lineRule="auto"/>
        <w:ind w:left="1301" w:right="0" w:hanging="602"/>
        <w:jc w:val="left"/>
        <w:rPr>
          <w:sz w:val="24"/>
        </w:rPr>
      </w:pPr>
      <w:r>
        <w:rPr>
          <w:sz w:val="24"/>
        </w:rPr>
        <w:t>组织机构及职责</w:t>
      </w:r>
    </w:p>
    <w:p>
      <w:pPr>
        <w:pStyle w:val="6"/>
        <w:spacing w:before="158"/>
        <w:ind w:left="700"/>
      </w:pPr>
      <w:r>
        <w:t>建设单位应设置专门机构负责项目建设及运营期的环境安全。其职责包括：</w:t>
      </w:r>
    </w:p>
    <w:p>
      <w:pPr>
        <w:pStyle w:val="6"/>
        <w:spacing w:before="161" w:line="364" w:lineRule="auto"/>
        <w:ind w:left="220" w:right="338" w:firstLine="480"/>
        <w:jc w:val="both"/>
      </w:pPr>
      <w:r>
        <w:t>①负责统一协调突发环境事件的应对工作，负责应急统一指挥，同时还负责与矿区外界保持紧密联系，将事态的发展向外部的支持保障机构发出信号，并及时将反馈信息应用于事故应急的领导和指挥当中。</w:t>
      </w:r>
    </w:p>
    <w:p>
      <w:pPr>
        <w:pStyle w:val="6"/>
        <w:spacing w:line="364" w:lineRule="auto"/>
        <w:ind w:left="220" w:right="218" w:firstLine="480"/>
      </w:pPr>
      <w:r>
        <w:t>②保证应对事故的各项资源，包括建立企业救援队，并与社会可利用资源建立长期</w:t>
      </w:r>
      <w:r>
        <w:rPr>
          <w:spacing w:val="-7"/>
        </w:rPr>
        <w:t xml:space="preserve">合作关系；当建设单位内部资源不足、不能应对环境事故，需要区域内其他部门增援时， </w:t>
      </w:r>
      <w:r>
        <w:t>由建设单位的环境安全管理部门提出增援请求。</w:t>
      </w:r>
    </w:p>
    <w:p>
      <w:pPr>
        <w:pStyle w:val="6"/>
        <w:spacing w:line="364" w:lineRule="auto"/>
        <w:ind w:left="220" w:right="341" w:firstLine="480"/>
      </w:pPr>
      <w:r>
        <w:t>③在事故处理终止或者处理过程中，要向公众及时、准确地发布反映环境安全事故的信息，引导正确的舆论导向，对社会和公众负责。</w:t>
      </w:r>
    </w:p>
    <w:p>
      <w:pPr>
        <w:pStyle w:val="13"/>
        <w:numPr>
          <w:ilvl w:val="0"/>
          <w:numId w:val="107"/>
        </w:numPr>
        <w:tabs>
          <w:tab w:val="left" w:pos="1302"/>
        </w:tabs>
        <w:spacing w:before="0" w:after="0" w:line="306" w:lineRule="exact"/>
        <w:ind w:left="1301" w:right="0" w:hanging="602"/>
        <w:jc w:val="left"/>
        <w:rPr>
          <w:sz w:val="24"/>
        </w:rPr>
      </w:pPr>
      <w:r>
        <w:rPr>
          <w:sz w:val="24"/>
        </w:rPr>
        <w:t>应急预案内容</w:t>
      </w:r>
    </w:p>
    <w:p>
      <w:pPr>
        <w:pStyle w:val="6"/>
        <w:spacing w:before="157" w:line="364" w:lineRule="auto"/>
        <w:ind w:left="220" w:right="218" w:firstLine="480"/>
      </w:pPr>
      <w:r>
        <w:rPr>
          <w:spacing w:val="-5"/>
        </w:rPr>
        <w:t>建设单位应对本次评价提出的可能的环境事故，根据《突发环境事件应急管理办法》</w:t>
      </w:r>
      <w:r>
        <w:t>相关要求，编制《双鸭山大顺矿业有限公司突发环境事件应急预案》，并在相关环保部门进行备案。</w:t>
      </w:r>
    </w:p>
    <w:p>
      <w:pPr>
        <w:pStyle w:val="6"/>
        <w:spacing w:line="362" w:lineRule="auto"/>
        <w:ind w:left="220" w:right="338" w:firstLine="480"/>
        <w:jc w:val="both"/>
      </w:pPr>
      <w:r>
        <w:t>从应急工作程序上，可以分为预防预警、应急响应、应急处理、应急终止、信息发布五个步骤。建设单位编制的环境事故应急预案应对以下内容进行细化，并明确各项工作的责任人。</w:t>
      </w:r>
    </w:p>
    <w:p>
      <w:pPr>
        <w:pStyle w:val="6"/>
        <w:spacing w:before="5"/>
        <w:ind w:left="700"/>
      </w:pPr>
      <w:r>
        <w:t>①预防预警</w:t>
      </w:r>
    </w:p>
    <w:p>
      <w:pPr>
        <w:pStyle w:val="6"/>
        <w:spacing w:before="161"/>
        <w:ind w:left="700"/>
      </w:pPr>
      <w:r>
        <w:t>预防与预警是处理环境安全突发事件的必要前提。</w:t>
      </w:r>
    </w:p>
    <w:p>
      <w:pPr>
        <w:pStyle w:val="6"/>
        <w:spacing w:before="158" w:line="364" w:lineRule="auto"/>
        <w:ind w:left="220" w:right="338" w:firstLine="480"/>
      </w:pPr>
      <w:r>
        <w:t>根据突发事件的严重性、紧急程度和可能波及的范围，划分预警级别，并根据事态的发展情况和采取措施的效果，提高或者降低应急预警级别。</w:t>
      </w:r>
    </w:p>
    <w:p>
      <w:pPr>
        <w:pStyle w:val="6"/>
        <w:spacing w:line="306" w:lineRule="exact"/>
        <w:ind w:left="700"/>
      </w:pPr>
      <w:r>
        <w:t>② 应急响应</w:t>
      </w:r>
    </w:p>
    <w:p>
      <w:pPr>
        <w:pStyle w:val="6"/>
        <w:spacing w:before="160"/>
        <w:ind w:left="700"/>
      </w:pPr>
      <w:r>
        <w:t>环境风险突发事件发生后，应立即启动并实施相应应急预案，及时向晋中市生态环</w:t>
      </w:r>
    </w:p>
    <w:p>
      <w:pPr>
        <w:spacing w:after="0"/>
        <w:sectPr>
          <w:pgSz w:w="11910" w:h="16840"/>
          <w:pgMar w:top="1360" w:right="1020" w:bottom="1180" w:left="1140" w:header="0" w:footer="917" w:gutter="0"/>
        </w:sectPr>
      </w:pPr>
    </w:p>
    <w:p>
      <w:pPr>
        <w:pStyle w:val="6"/>
        <w:spacing w:before="41" w:line="364" w:lineRule="auto"/>
        <w:ind w:left="220" w:right="338"/>
        <w:jc w:val="both"/>
      </w:pPr>
      <w:r>
        <w:t>境局寿阳分局、寿阳县政府上报；同时，启动建设单位应急专业指挥机构；应急救援力量应立即开展应急救援工作；需要其他应急救援力量支援时，应及时向寿阳县政府提出申请。</w:t>
      </w:r>
    </w:p>
    <w:p>
      <w:pPr>
        <w:pStyle w:val="6"/>
        <w:spacing w:line="307" w:lineRule="exact"/>
        <w:ind w:left="700"/>
      </w:pPr>
      <w:r>
        <w:t>③应急处理</w:t>
      </w:r>
    </w:p>
    <w:p>
      <w:pPr>
        <w:pStyle w:val="6"/>
        <w:spacing w:before="158" w:line="364" w:lineRule="auto"/>
        <w:ind w:left="700" w:right="161"/>
      </w:pPr>
      <w:r>
        <w:t>对各类环境事故，根据相应的救援方案进行救援的处理，同时应进行应急环境监测。根据监测结果，综合分析突发环境事件污染变化趋势，并通过专家咨询和讨论的方</w:t>
      </w:r>
    </w:p>
    <w:p>
      <w:pPr>
        <w:pStyle w:val="6"/>
        <w:spacing w:line="364" w:lineRule="auto"/>
        <w:ind w:left="220" w:right="338"/>
      </w:pPr>
      <w:r>
        <w:t>式，预测并报告突发环境事件的发展情况和污染物的变化情况，作为突发环境事件应急决策的依据。</w:t>
      </w:r>
    </w:p>
    <w:p>
      <w:pPr>
        <w:pStyle w:val="6"/>
        <w:spacing w:line="306" w:lineRule="exact"/>
        <w:ind w:left="700"/>
      </w:pPr>
      <w:r>
        <w:t>④ 应急终止</w:t>
      </w:r>
    </w:p>
    <w:p>
      <w:pPr>
        <w:pStyle w:val="6"/>
        <w:spacing w:before="159" w:line="362" w:lineRule="auto"/>
        <w:ind w:left="220" w:right="338" w:firstLine="480"/>
      </w:pPr>
      <w:r>
        <w:t>应急终止须经现场救援指挥部确认，由现场救援指挥部向所属各专业应急救援队伍下达应急终止命令。</w:t>
      </w:r>
    </w:p>
    <w:p>
      <w:pPr>
        <w:pStyle w:val="6"/>
        <w:spacing w:before="5" w:line="362" w:lineRule="auto"/>
        <w:ind w:left="220" w:right="338" w:firstLine="480"/>
      </w:pPr>
      <w:r>
        <w:t>应急状态终止后，建设单位应根据上级有关指示和实际情况，继续进行环境监测和评价工作，直至其他补救措施无需继续进行为止。</w:t>
      </w:r>
    </w:p>
    <w:p>
      <w:pPr>
        <w:pStyle w:val="6"/>
        <w:spacing w:before="5"/>
        <w:ind w:left="700"/>
      </w:pPr>
      <w:r>
        <w:t>⑤信息发布</w:t>
      </w:r>
    </w:p>
    <w:p>
      <w:pPr>
        <w:pStyle w:val="6"/>
        <w:spacing w:before="161" w:line="362" w:lineRule="auto"/>
        <w:ind w:left="220" w:right="338" w:firstLine="480"/>
      </w:pPr>
      <w:r>
        <w:t>突发环境安全事件终止后，要通过报纸、广播、电视和网络等多种媒体方式，及时发布准确、权威的信息，正确引导社会舆论，增强对于环境安全应急措施的透明度。</w:t>
      </w:r>
    </w:p>
    <w:p>
      <w:pPr>
        <w:pStyle w:val="13"/>
        <w:numPr>
          <w:ilvl w:val="0"/>
          <w:numId w:val="107"/>
        </w:numPr>
        <w:tabs>
          <w:tab w:val="left" w:pos="1302"/>
        </w:tabs>
        <w:spacing w:before="5" w:after="0" w:line="240" w:lineRule="auto"/>
        <w:ind w:left="1301" w:right="0" w:hanging="602"/>
        <w:jc w:val="left"/>
        <w:rPr>
          <w:sz w:val="24"/>
        </w:rPr>
      </w:pPr>
      <w:r>
        <w:rPr>
          <w:sz w:val="24"/>
        </w:rPr>
        <w:t>监督管理</w:t>
      </w:r>
    </w:p>
    <w:p>
      <w:pPr>
        <w:pStyle w:val="6"/>
        <w:spacing w:before="158"/>
        <w:ind w:left="700"/>
      </w:pPr>
      <w:r>
        <w:t>① 预案演练</w:t>
      </w:r>
    </w:p>
    <w:p>
      <w:pPr>
        <w:pStyle w:val="6"/>
        <w:spacing w:before="158" w:line="364" w:lineRule="auto"/>
        <w:ind w:left="220" w:right="338" w:firstLine="480"/>
      </w:pPr>
      <w:r>
        <w:t>按照环境应急预案及相关单项预案，建设单位应定期组织不同类型的环境应急实战演练，提高防范和处置突发环境事件的技能，增强实战能力。</w:t>
      </w:r>
    </w:p>
    <w:p>
      <w:pPr>
        <w:pStyle w:val="6"/>
        <w:spacing w:before="1"/>
        <w:ind w:left="700"/>
      </w:pPr>
      <w:r>
        <w:t>②宣传与培训</w:t>
      </w:r>
    </w:p>
    <w:p>
      <w:pPr>
        <w:pStyle w:val="6"/>
        <w:spacing w:before="158" w:line="364" w:lineRule="auto"/>
        <w:ind w:left="220" w:right="338" w:firstLine="480"/>
        <w:jc w:val="both"/>
      </w:pPr>
      <w:r>
        <w:t>建设单位加强环境保护科普宣传教育工作，普及环境污染事件预防常识，编印、发放有毒有害物质污染公众防护</w:t>
      </w:r>
      <w:r>
        <w:rPr>
          <w:rFonts w:ascii="Times New Roman" w:hAnsi="Times New Roman" w:eastAsia="Times New Roman"/>
        </w:rPr>
        <w:t>“</w:t>
      </w:r>
      <w:r>
        <w:t>明白卡</w:t>
      </w:r>
      <w:r>
        <w:rPr>
          <w:rFonts w:ascii="Times New Roman" w:hAnsi="Times New Roman" w:eastAsia="Times New Roman"/>
        </w:rPr>
        <w:t>”</w:t>
      </w:r>
      <w:r>
        <w:t>，增强公众的防范意识和相关心理准备，提高公众的防范能力。</w:t>
      </w:r>
    </w:p>
    <w:p>
      <w:pPr>
        <w:pStyle w:val="6"/>
        <w:spacing w:line="362" w:lineRule="auto"/>
        <w:ind w:left="220" w:right="338" w:firstLine="480"/>
      </w:pPr>
      <w:r>
        <w:t>企业内工作人员应积极主动接受日常培训，企业应对重要目标工作人员进行培训和管理。</w:t>
      </w:r>
    </w:p>
    <w:p>
      <w:pPr>
        <w:pStyle w:val="6"/>
        <w:spacing w:before="5"/>
        <w:ind w:left="700"/>
      </w:pPr>
      <w:r>
        <w:t>③监督与评价</w:t>
      </w:r>
    </w:p>
    <w:p>
      <w:pPr>
        <w:pStyle w:val="6"/>
        <w:spacing w:before="158" w:line="364" w:lineRule="auto"/>
        <w:ind w:left="220" w:right="338" w:firstLine="480"/>
        <w:jc w:val="both"/>
      </w:pPr>
      <w:r>
        <w:t>为保障环境应急体系始终处于良好的战备状态，并实现持续改进，建设单位应在环境应急能力评价体系中实行自上而下的监督、检查和考核机制。监督和评价内容包括： 应急机构的设置；应急工作程序的建立与执行情况；应急救援队伍的建设；应急人员培</w:t>
      </w:r>
    </w:p>
    <w:p>
      <w:pPr>
        <w:spacing w:after="0" w:line="364" w:lineRule="auto"/>
        <w:jc w:val="both"/>
        <w:sectPr>
          <w:pgSz w:w="11910" w:h="16840"/>
          <w:pgMar w:top="1360" w:right="1020" w:bottom="1180" w:left="1140" w:header="0" w:footer="917" w:gutter="0"/>
        </w:sectPr>
      </w:pPr>
    </w:p>
    <w:p>
      <w:pPr>
        <w:pStyle w:val="6"/>
        <w:spacing w:before="41"/>
        <w:ind w:left="220"/>
      </w:pPr>
      <w:r>
        <w:t>训与考核情况；应急装备使用和经费管理情况等。</w:t>
      </w:r>
    </w:p>
    <w:p>
      <w:pPr>
        <w:pStyle w:val="3"/>
        <w:numPr>
          <w:ilvl w:val="1"/>
          <w:numId w:val="106"/>
        </w:numPr>
        <w:tabs>
          <w:tab w:val="left" w:pos="896"/>
        </w:tabs>
        <w:spacing w:before="161" w:after="0" w:line="240" w:lineRule="auto"/>
        <w:ind w:left="895" w:right="0" w:hanging="676"/>
        <w:jc w:val="left"/>
      </w:pPr>
      <w:bookmarkStart w:id="1289" w:name="15.6 分析结论"/>
      <w:bookmarkEnd w:id="1289"/>
      <w:bookmarkStart w:id="1290" w:name="_bookmark91"/>
      <w:bookmarkEnd w:id="1290"/>
      <w:bookmarkStart w:id="1291" w:name="_bookmark91"/>
      <w:bookmarkEnd w:id="1291"/>
      <w:r>
        <w:t>分析结论</w:t>
      </w:r>
    </w:p>
    <w:p>
      <w:pPr>
        <w:pStyle w:val="6"/>
        <w:spacing w:before="198" w:line="364" w:lineRule="auto"/>
        <w:ind w:left="220" w:right="338" w:firstLine="480"/>
        <w:jc w:val="both"/>
      </w:pPr>
      <w:r>
        <w:t>本项目风险源项主要为柴油罐泄露，所在区域主要环境敏感目标为周边村民住户， 本项目环境风险可防控，已根据本项目可能影响的范围和程度逐项提出缓解环境风险的建议措施。</w:t>
      </w:r>
    </w:p>
    <w:p>
      <w:pPr>
        <w:pStyle w:val="6"/>
        <w:spacing w:line="305" w:lineRule="exact"/>
        <w:ind w:left="700"/>
        <w:jc w:val="both"/>
      </w:pPr>
      <w:r>
        <w:t xml:space="preserve">基于本次环境风险评价内容，建设项目环境风险简单分析内容汇总见表 </w:t>
      </w:r>
      <w:r>
        <w:rPr>
          <w:rFonts w:ascii="Times New Roman" w:eastAsia="Times New Roman"/>
        </w:rPr>
        <w:t>15.6-1</w:t>
      </w:r>
      <w:r>
        <w:t>。</w:t>
      </w:r>
    </w:p>
    <w:p>
      <w:pPr>
        <w:spacing w:before="160"/>
        <w:ind w:left="0" w:right="105" w:firstLine="0"/>
        <w:jc w:val="center"/>
        <w:rPr>
          <w:b/>
          <w:sz w:val="21"/>
        </w:rPr>
      </w:pPr>
      <w:r>
        <w:rPr>
          <w:b/>
          <w:sz w:val="21"/>
        </w:rPr>
        <w:t xml:space="preserve">表 </w:t>
      </w:r>
      <w:r>
        <w:rPr>
          <w:rFonts w:ascii="Times New Roman" w:eastAsia="Times New Roman"/>
          <w:b/>
          <w:sz w:val="21"/>
        </w:rPr>
        <w:t xml:space="preserve">15.6-1 </w:t>
      </w:r>
      <w:r>
        <w:rPr>
          <w:b/>
          <w:sz w:val="21"/>
        </w:rPr>
        <w:t>建设项目环境风险简单分析内容表</w:t>
      </w:r>
    </w:p>
    <w:p>
      <w:pPr>
        <w:pStyle w:val="6"/>
        <w:spacing w:before="10"/>
        <w:rPr>
          <w:b/>
          <w:sz w:val="10"/>
        </w:rPr>
      </w:pPr>
    </w:p>
    <w:tbl>
      <w:tblPr>
        <w:tblStyle w:val="10"/>
        <w:tblW w:w="0" w:type="auto"/>
        <w:tblInd w:w="1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80"/>
        <w:gridCol w:w="2860"/>
        <w:gridCol w:w="2423"/>
        <w:gridCol w:w="24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80" w:type="dxa"/>
          </w:tcPr>
          <w:p>
            <w:pPr>
              <w:pStyle w:val="14"/>
              <w:spacing w:before="65"/>
              <w:ind w:left="135" w:right="131"/>
              <w:rPr>
                <w:sz w:val="21"/>
              </w:rPr>
            </w:pPr>
            <w:r>
              <w:rPr>
                <w:sz w:val="21"/>
              </w:rPr>
              <w:t>建设项目名称</w:t>
            </w:r>
          </w:p>
        </w:tc>
        <w:tc>
          <w:tcPr>
            <w:tcW w:w="7706" w:type="dxa"/>
            <w:gridSpan w:val="3"/>
          </w:tcPr>
          <w:p>
            <w:pPr>
              <w:pStyle w:val="14"/>
              <w:spacing w:before="65"/>
              <w:ind w:left="2152" w:right="2143"/>
              <w:rPr>
                <w:sz w:val="21"/>
              </w:rPr>
            </w:pPr>
            <w:r>
              <w:rPr>
                <w:sz w:val="21"/>
              </w:rPr>
              <w:t>双鸭山大顺矿业有限公司改扩建项目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80" w:type="dxa"/>
          </w:tcPr>
          <w:p>
            <w:pPr>
              <w:pStyle w:val="14"/>
              <w:spacing w:before="64"/>
              <w:ind w:left="137" w:right="130"/>
              <w:rPr>
                <w:sz w:val="21"/>
              </w:rPr>
            </w:pPr>
            <w:r>
              <w:rPr>
                <w:sz w:val="21"/>
              </w:rPr>
              <w:t>建设地点</w:t>
            </w:r>
          </w:p>
        </w:tc>
        <w:tc>
          <w:tcPr>
            <w:tcW w:w="2860" w:type="dxa"/>
          </w:tcPr>
          <w:p>
            <w:pPr>
              <w:pStyle w:val="14"/>
              <w:spacing w:before="64"/>
              <w:ind w:left="777" w:right="773"/>
              <w:rPr>
                <w:sz w:val="21"/>
              </w:rPr>
            </w:pPr>
            <w:r>
              <w:rPr>
                <w:sz w:val="21"/>
              </w:rPr>
              <w:t>黑龙江（省）</w:t>
            </w:r>
          </w:p>
        </w:tc>
        <w:tc>
          <w:tcPr>
            <w:tcW w:w="2423" w:type="dxa"/>
          </w:tcPr>
          <w:p>
            <w:pPr>
              <w:pStyle w:val="14"/>
              <w:spacing w:before="64"/>
              <w:ind w:left="580"/>
              <w:jc w:val="left"/>
              <w:rPr>
                <w:sz w:val="21"/>
              </w:rPr>
            </w:pPr>
            <w:r>
              <w:rPr>
                <w:sz w:val="21"/>
              </w:rPr>
              <w:t>双鸭山（市）</w:t>
            </w:r>
          </w:p>
        </w:tc>
        <w:tc>
          <w:tcPr>
            <w:tcW w:w="2423" w:type="dxa"/>
          </w:tcPr>
          <w:p>
            <w:pPr>
              <w:pStyle w:val="14"/>
              <w:spacing w:before="64"/>
              <w:ind w:left="685"/>
              <w:jc w:val="left"/>
              <w:rPr>
                <w:sz w:val="21"/>
              </w:rPr>
            </w:pPr>
            <w:r>
              <w:rPr>
                <w:sz w:val="21"/>
              </w:rPr>
              <w:t>（自治县）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80" w:type="dxa"/>
            <w:vMerge w:val="restart"/>
          </w:tcPr>
          <w:p>
            <w:pPr>
              <w:pStyle w:val="14"/>
              <w:spacing w:before="1"/>
              <w:jc w:val="left"/>
              <w:rPr>
                <w:b/>
                <w:sz w:val="23"/>
              </w:rPr>
            </w:pPr>
          </w:p>
          <w:p>
            <w:pPr>
              <w:pStyle w:val="14"/>
              <w:ind w:left="369"/>
              <w:jc w:val="left"/>
              <w:rPr>
                <w:sz w:val="21"/>
              </w:rPr>
            </w:pPr>
            <w:r>
              <w:rPr>
                <w:sz w:val="21"/>
              </w:rPr>
              <w:t>地理坐标</w:t>
            </w:r>
          </w:p>
        </w:tc>
        <w:tc>
          <w:tcPr>
            <w:tcW w:w="2860" w:type="dxa"/>
          </w:tcPr>
          <w:p>
            <w:pPr>
              <w:pStyle w:val="14"/>
              <w:spacing w:before="63"/>
              <w:ind w:left="777" w:right="773"/>
              <w:rPr>
                <w:sz w:val="21"/>
              </w:rPr>
            </w:pPr>
            <w:r>
              <w:rPr>
                <w:sz w:val="21"/>
              </w:rPr>
              <w:t>东经</w:t>
            </w:r>
          </w:p>
        </w:tc>
        <w:tc>
          <w:tcPr>
            <w:tcW w:w="4846" w:type="dxa"/>
            <w:gridSpan w:val="2"/>
          </w:tcPr>
          <w:p>
            <w:pPr>
              <w:pStyle w:val="14"/>
              <w:spacing w:before="63"/>
              <w:ind w:left="1781" w:right="1771"/>
              <w:rPr>
                <w:rFonts w:ascii="Times New Roman" w:hAnsi="Times New Roman" w:eastAsia="Times New Roman"/>
                <w:sz w:val="21"/>
              </w:rPr>
            </w:pPr>
            <w:r>
              <w:rPr>
                <w:rFonts w:ascii="Times New Roman" w:hAnsi="Times New Roman" w:eastAsia="Times New Roman"/>
                <w:sz w:val="21"/>
              </w:rPr>
              <w:t>131</w:t>
            </w:r>
            <w:r>
              <w:rPr>
                <w:sz w:val="21"/>
              </w:rPr>
              <w:t>°</w:t>
            </w:r>
            <w:r>
              <w:rPr>
                <w:rFonts w:ascii="Times New Roman" w:hAnsi="Times New Roman" w:eastAsia="Times New Roman"/>
                <w:sz w:val="21"/>
              </w:rPr>
              <w:t>09</w:t>
            </w:r>
            <w:r>
              <w:rPr>
                <w:sz w:val="21"/>
              </w:rPr>
              <w:t>＇</w:t>
            </w:r>
            <w:r>
              <w:rPr>
                <w:rFonts w:ascii="Times New Roman" w:hAnsi="Times New Roman" w:eastAsia="Times New Roman"/>
                <w:sz w:val="21"/>
              </w:rPr>
              <w:t>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580" w:type="dxa"/>
            <w:vMerge w:val="continue"/>
            <w:tcBorders>
              <w:top w:val="nil"/>
            </w:tcBorders>
          </w:tcPr>
          <w:p>
            <w:pPr>
              <w:rPr>
                <w:sz w:val="2"/>
                <w:szCs w:val="2"/>
              </w:rPr>
            </w:pPr>
          </w:p>
        </w:tc>
        <w:tc>
          <w:tcPr>
            <w:tcW w:w="2860" w:type="dxa"/>
          </w:tcPr>
          <w:p>
            <w:pPr>
              <w:pStyle w:val="14"/>
              <w:spacing w:before="65"/>
              <w:ind w:left="777" w:right="773"/>
              <w:rPr>
                <w:sz w:val="21"/>
              </w:rPr>
            </w:pPr>
            <w:r>
              <w:rPr>
                <w:sz w:val="21"/>
              </w:rPr>
              <w:t>北纬</w:t>
            </w:r>
          </w:p>
        </w:tc>
        <w:tc>
          <w:tcPr>
            <w:tcW w:w="4846" w:type="dxa"/>
            <w:gridSpan w:val="2"/>
          </w:tcPr>
          <w:p>
            <w:pPr>
              <w:pStyle w:val="14"/>
              <w:spacing w:before="65"/>
              <w:ind w:left="1779" w:right="1771"/>
              <w:rPr>
                <w:rFonts w:ascii="Times New Roman" w:hAnsi="Times New Roman" w:eastAsia="Times New Roman"/>
                <w:sz w:val="21"/>
              </w:rPr>
            </w:pPr>
            <w:r>
              <w:rPr>
                <w:rFonts w:ascii="Times New Roman" w:hAnsi="Times New Roman" w:eastAsia="Times New Roman"/>
                <w:sz w:val="21"/>
              </w:rPr>
              <w:t>46</w:t>
            </w:r>
            <w:r>
              <w:rPr>
                <w:sz w:val="21"/>
              </w:rPr>
              <w:t>°</w:t>
            </w:r>
            <w:r>
              <w:rPr>
                <w:rFonts w:ascii="Times New Roman" w:hAnsi="Times New Roman" w:eastAsia="Times New Roman"/>
                <w:sz w:val="21"/>
              </w:rPr>
              <w:t>29</w:t>
            </w:r>
            <w:r>
              <w:rPr>
                <w:sz w:val="21"/>
              </w:rPr>
              <w:t>＇</w:t>
            </w:r>
            <w:r>
              <w:rPr>
                <w:rFonts w:ascii="Times New Roman" w:hAnsi="Times New Roman" w:eastAsia="Times New Roman"/>
                <w:sz w:val="21"/>
              </w:rPr>
              <w:t>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1580" w:type="dxa"/>
          </w:tcPr>
          <w:p>
            <w:pPr>
              <w:pStyle w:val="14"/>
              <w:spacing w:before="2"/>
              <w:ind w:left="135" w:right="131"/>
              <w:rPr>
                <w:sz w:val="21"/>
              </w:rPr>
            </w:pPr>
            <w:r>
              <w:rPr>
                <w:sz w:val="21"/>
              </w:rPr>
              <w:t>主要危险物质</w:t>
            </w:r>
          </w:p>
          <w:p>
            <w:pPr>
              <w:pStyle w:val="14"/>
              <w:spacing w:before="55"/>
              <w:ind w:left="137" w:right="128"/>
              <w:rPr>
                <w:sz w:val="21"/>
              </w:rPr>
            </w:pPr>
            <w:r>
              <w:rPr>
                <w:sz w:val="21"/>
              </w:rPr>
              <w:t>及分布</w:t>
            </w:r>
          </w:p>
        </w:tc>
        <w:tc>
          <w:tcPr>
            <w:tcW w:w="7706" w:type="dxa"/>
            <w:gridSpan w:val="3"/>
          </w:tcPr>
          <w:p>
            <w:pPr>
              <w:pStyle w:val="14"/>
              <w:spacing w:before="2"/>
              <w:ind w:left="107"/>
              <w:jc w:val="left"/>
              <w:rPr>
                <w:sz w:val="21"/>
              </w:rPr>
            </w:pPr>
            <w:r>
              <w:rPr>
                <w:sz w:val="21"/>
              </w:rPr>
              <w:t xml:space="preserve">主要危险物质为丙类油脂（如润滑油、机油、重油及闪点大于或等于 </w:t>
            </w:r>
            <w:r>
              <w:rPr>
                <w:rFonts w:ascii="Times New Roman" w:eastAsia="Times New Roman"/>
                <w:sz w:val="21"/>
              </w:rPr>
              <w:t xml:space="preserve">60 </w:t>
            </w:r>
            <w:r>
              <w:rPr>
                <w:sz w:val="21"/>
              </w:rPr>
              <w:t>摄氏度的</w:t>
            </w:r>
          </w:p>
          <w:p>
            <w:pPr>
              <w:pStyle w:val="14"/>
              <w:spacing w:before="55"/>
              <w:ind w:left="107"/>
              <w:jc w:val="left"/>
              <w:rPr>
                <w:sz w:val="21"/>
              </w:rPr>
            </w:pPr>
            <w:r>
              <w:rPr>
                <w:sz w:val="21"/>
              </w:rPr>
              <w:t>柴油等），储存于柴油罐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1580" w:type="dxa"/>
          </w:tcPr>
          <w:p>
            <w:pPr>
              <w:pStyle w:val="14"/>
              <w:ind w:left="135" w:right="131"/>
              <w:rPr>
                <w:sz w:val="21"/>
              </w:rPr>
            </w:pPr>
            <w:r>
              <w:rPr>
                <w:sz w:val="21"/>
              </w:rPr>
              <w:t>环境影响途径</w:t>
            </w:r>
          </w:p>
          <w:p>
            <w:pPr>
              <w:pStyle w:val="14"/>
              <w:spacing w:before="57"/>
              <w:ind w:left="137" w:right="130"/>
              <w:rPr>
                <w:sz w:val="21"/>
              </w:rPr>
            </w:pPr>
            <w:r>
              <w:rPr>
                <w:sz w:val="21"/>
              </w:rPr>
              <w:t>及危害后果</w:t>
            </w:r>
          </w:p>
        </w:tc>
        <w:tc>
          <w:tcPr>
            <w:tcW w:w="7706" w:type="dxa"/>
            <w:gridSpan w:val="3"/>
          </w:tcPr>
          <w:p>
            <w:pPr>
              <w:pStyle w:val="14"/>
              <w:ind w:left="107" w:right="-15"/>
              <w:jc w:val="left"/>
              <w:rPr>
                <w:sz w:val="21"/>
              </w:rPr>
            </w:pPr>
            <w:r>
              <w:rPr>
                <w:spacing w:val="-13"/>
                <w:w w:val="95"/>
                <w:sz w:val="21"/>
              </w:rPr>
              <w:t>最不利情况下，柴油罐发生泄漏事故造成丙类油脂泄漏于地表，如果处理及时得当，</w:t>
            </w:r>
          </w:p>
          <w:p>
            <w:pPr>
              <w:pStyle w:val="14"/>
              <w:spacing w:before="57"/>
              <w:ind w:left="107"/>
              <w:jc w:val="left"/>
              <w:rPr>
                <w:sz w:val="21"/>
              </w:rPr>
            </w:pPr>
            <w:r>
              <w:rPr>
                <w:sz w:val="21"/>
              </w:rPr>
              <w:t>则可有效地控制对周围环境的影响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0" w:hRule="atLeast"/>
        </w:trPr>
        <w:tc>
          <w:tcPr>
            <w:tcW w:w="1580" w:type="dxa"/>
          </w:tcPr>
          <w:p>
            <w:pPr>
              <w:pStyle w:val="14"/>
              <w:spacing w:before="162" w:line="290" w:lineRule="auto"/>
              <w:ind w:left="578" w:right="151" w:hanging="420"/>
              <w:jc w:val="left"/>
              <w:rPr>
                <w:sz w:val="21"/>
              </w:rPr>
            </w:pPr>
            <w:r>
              <w:rPr>
                <w:sz w:val="21"/>
              </w:rPr>
              <w:t>风险防范措施要求</w:t>
            </w:r>
          </w:p>
        </w:tc>
        <w:tc>
          <w:tcPr>
            <w:tcW w:w="7706" w:type="dxa"/>
            <w:gridSpan w:val="3"/>
          </w:tcPr>
          <w:p>
            <w:pPr>
              <w:pStyle w:val="14"/>
              <w:spacing w:before="1" w:line="288" w:lineRule="auto"/>
              <w:ind w:left="107" w:right="132"/>
              <w:jc w:val="left"/>
              <w:rPr>
                <w:sz w:val="21"/>
              </w:rPr>
            </w:pPr>
            <w:r>
              <w:rPr>
                <w:rFonts w:ascii="Times New Roman" w:eastAsia="Times New Roman"/>
                <w:w w:val="95"/>
                <w:sz w:val="21"/>
              </w:rPr>
              <w:t>1</w:t>
            </w:r>
            <w:r>
              <w:rPr>
                <w:w w:val="95"/>
                <w:sz w:val="21"/>
              </w:rPr>
              <w:t xml:space="preserve">、设立标志，加强巡检，防止人为破坏。建成营运后，要提髙操作人员的素质和  </w:t>
            </w:r>
            <w:r>
              <w:rPr>
                <w:sz w:val="21"/>
              </w:rPr>
              <w:t>管理水平，防止或减少事故风险的发生，确保柴油罐状态正常。</w:t>
            </w:r>
          </w:p>
          <w:p>
            <w:pPr>
              <w:pStyle w:val="14"/>
              <w:spacing w:before="7"/>
              <w:ind w:left="107"/>
              <w:jc w:val="left"/>
              <w:rPr>
                <w:sz w:val="21"/>
              </w:rPr>
            </w:pPr>
            <w:r>
              <w:rPr>
                <w:rFonts w:ascii="Times New Roman" w:eastAsia="Times New Roman"/>
                <w:sz w:val="21"/>
              </w:rPr>
              <w:t>2</w:t>
            </w:r>
            <w:r>
              <w:rPr>
                <w:sz w:val="21"/>
              </w:rPr>
              <w:t>、重视环境管理工作，加强监督，及时发现各设施存在的环境隐患。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286" w:type="dxa"/>
            <w:gridSpan w:val="4"/>
          </w:tcPr>
          <w:p>
            <w:pPr>
              <w:pStyle w:val="14"/>
              <w:spacing w:before="65"/>
              <w:ind w:left="108"/>
              <w:jc w:val="left"/>
              <w:rPr>
                <w:sz w:val="21"/>
              </w:rPr>
            </w:pPr>
            <w:r>
              <w:rPr>
                <w:sz w:val="21"/>
              </w:rPr>
              <w:t>填表说明：无</w:t>
            </w:r>
          </w:p>
        </w:tc>
      </w:tr>
    </w:tbl>
    <w:p>
      <w:pPr>
        <w:spacing w:after="0"/>
        <w:jc w:val="left"/>
        <w:rPr>
          <w:sz w:val="21"/>
        </w:rPr>
        <w:sectPr>
          <w:pgSz w:w="11910" w:h="16840"/>
          <w:pgMar w:top="1360" w:right="1020" w:bottom="1180" w:left="1140" w:header="0" w:footer="917" w:gutter="0"/>
        </w:sectPr>
      </w:pPr>
    </w:p>
    <w:p>
      <w:pPr>
        <w:pStyle w:val="2"/>
        <w:numPr>
          <w:ilvl w:val="0"/>
          <w:numId w:val="62"/>
        </w:numPr>
        <w:tabs>
          <w:tab w:val="left" w:pos="3684"/>
        </w:tabs>
        <w:spacing w:before="41" w:after="0" w:line="240" w:lineRule="auto"/>
        <w:ind w:left="3684" w:right="0" w:hanging="632"/>
        <w:jc w:val="left"/>
      </w:pPr>
      <w:bookmarkStart w:id="1292" w:name="16. 环境经济损益分析"/>
      <w:bookmarkEnd w:id="1292"/>
      <w:bookmarkStart w:id="1293" w:name="_bookmark92"/>
      <w:bookmarkEnd w:id="1293"/>
      <w:bookmarkStart w:id="1294" w:name="_bookmark92"/>
      <w:bookmarkEnd w:id="1294"/>
      <w:r>
        <w:t>环境经济损益分析</w:t>
      </w:r>
    </w:p>
    <w:p>
      <w:pPr>
        <w:pStyle w:val="4"/>
        <w:numPr>
          <w:ilvl w:val="1"/>
          <w:numId w:val="108"/>
        </w:numPr>
        <w:tabs>
          <w:tab w:val="left" w:pos="780"/>
        </w:tabs>
        <w:spacing w:before="240" w:after="0" w:line="240" w:lineRule="auto"/>
        <w:ind w:left="780" w:right="0" w:hanging="560"/>
        <w:jc w:val="left"/>
      </w:pPr>
      <w:bookmarkStart w:id="1295" w:name="16.1环境保护工程投资分析"/>
      <w:bookmarkEnd w:id="1295"/>
      <w:bookmarkStart w:id="1296" w:name="_bookmark93"/>
      <w:bookmarkEnd w:id="1296"/>
      <w:bookmarkStart w:id="1297" w:name="_bookmark93"/>
      <w:bookmarkEnd w:id="1297"/>
      <w:r>
        <w:t>环境保护工程投资分析</w:t>
      </w:r>
    </w:p>
    <w:p>
      <w:pPr>
        <w:pStyle w:val="6"/>
        <w:spacing w:before="186"/>
        <w:ind w:left="700"/>
      </w:pPr>
      <w:r>
        <w:t xml:space="preserve">本项目环境保护投资估算结果见表 </w:t>
      </w:r>
      <w:r>
        <w:rPr>
          <w:rFonts w:ascii="Times New Roman" w:eastAsia="Times New Roman"/>
        </w:rPr>
        <w:t>16.1-1</w:t>
      </w:r>
      <w:r>
        <w:t>。</w:t>
      </w:r>
    </w:p>
    <w:p>
      <w:pPr>
        <w:pStyle w:val="5"/>
        <w:tabs>
          <w:tab w:val="left" w:pos="1159"/>
        </w:tabs>
        <w:spacing w:before="158" w:after="3"/>
        <w:ind w:right="110"/>
        <w:jc w:val="center"/>
      </w:pPr>
      <w:r>
        <w:t>表</w:t>
      </w:r>
      <w:r>
        <w:rPr>
          <w:spacing w:val="-62"/>
        </w:rPr>
        <w:t xml:space="preserve"> </w:t>
      </w:r>
      <w:r>
        <w:rPr>
          <w:rFonts w:ascii="Times New Roman" w:eastAsia="Times New Roman"/>
        </w:rPr>
        <w:t>16.1-1</w:t>
      </w:r>
      <w:r>
        <w:rPr>
          <w:rFonts w:ascii="Times New Roman" w:eastAsia="Times New Roman"/>
        </w:rPr>
        <w:tab/>
      </w:r>
      <w:r>
        <w:t>矿井环保投资估算表</w:t>
      </w:r>
    </w:p>
    <w:tbl>
      <w:tblPr>
        <w:tblStyle w:val="10"/>
        <w:tblW w:w="0" w:type="auto"/>
        <w:tblInd w:w="1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2589"/>
        <w:gridCol w:w="2199"/>
        <w:gridCol w:w="36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99" w:type="dxa"/>
          </w:tcPr>
          <w:p>
            <w:pPr>
              <w:pStyle w:val="14"/>
              <w:spacing w:before="62"/>
              <w:ind w:left="168" w:right="160"/>
              <w:rPr>
                <w:sz w:val="21"/>
              </w:rPr>
            </w:pPr>
            <w:r>
              <w:rPr>
                <w:sz w:val="21"/>
              </w:rPr>
              <w:t>序号</w:t>
            </w:r>
          </w:p>
        </w:tc>
        <w:tc>
          <w:tcPr>
            <w:tcW w:w="2589" w:type="dxa"/>
          </w:tcPr>
          <w:p>
            <w:pPr>
              <w:pStyle w:val="14"/>
              <w:spacing w:before="62"/>
              <w:ind w:left="852" w:right="846"/>
              <w:rPr>
                <w:sz w:val="21"/>
              </w:rPr>
            </w:pPr>
            <w:r>
              <w:rPr>
                <w:sz w:val="21"/>
              </w:rPr>
              <w:t>环保项目</w:t>
            </w:r>
          </w:p>
        </w:tc>
        <w:tc>
          <w:tcPr>
            <w:tcW w:w="2199" w:type="dxa"/>
          </w:tcPr>
          <w:p>
            <w:pPr>
              <w:pStyle w:val="14"/>
              <w:spacing w:before="62"/>
              <w:ind w:left="342" w:right="336"/>
              <w:rPr>
                <w:sz w:val="21"/>
              </w:rPr>
            </w:pPr>
            <w:r>
              <w:rPr>
                <w:sz w:val="21"/>
              </w:rPr>
              <w:t>投资估算：万元</w:t>
            </w:r>
          </w:p>
        </w:tc>
        <w:tc>
          <w:tcPr>
            <w:tcW w:w="3699" w:type="dxa"/>
          </w:tcPr>
          <w:p>
            <w:pPr>
              <w:pStyle w:val="14"/>
              <w:spacing w:before="62"/>
              <w:ind w:left="148" w:right="141"/>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99" w:type="dxa"/>
          </w:tcPr>
          <w:p>
            <w:pPr>
              <w:pStyle w:val="14"/>
              <w:spacing w:before="63"/>
              <w:ind w:left="5"/>
              <w:rPr>
                <w:sz w:val="21"/>
              </w:rPr>
            </w:pPr>
            <w:r>
              <w:rPr>
                <w:w w:val="99"/>
                <w:sz w:val="21"/>
              </w:rPr>
              <w:t>一</w:t>
            </w:r>
          </w:p>
        </w:tc>
        <w:tc>
          <w:tcPr>
            <w:tcW w:w="2589" w:type="dxa"/>
          </w:tcPr>
          <w:p>
            <w:pPr>
              <w:pStyle w:val="14"/>
              <w:spacing w:before="63"/>
              <w:ind w:left="852" w:right="846"/>
              <w:rPr>
                <w:sz w:val="21"/>
              </w:rPr>
            </w:pPr>
            <w:r>
              <w:rPr>
                <w:sz w:val="21"/>
              </w:rPr>
              <w:t>污水处理</w:t>
            </w:r>
          </w:p>
        </w:tc>
        <w:tc>
          <w:tcPr>
            <w:tcW w:w="2199" w:type="dxa"/>
          </w:tcPr>
          <w:p>
            <w:pPr>
              <w:pStyle w:val="14"/>
              <w:spacing w:before="77"/>
              <w:ind w:left="342" w:right="332"/>
              <w:rPr>
                <w:rFonts w:ascii="Times New Roman"/>
                <w:sz w:val="21"/>
              </w:rPr>
            </w:pPr>
            <w:r>
              <w:rPr>
                <w:rFonts w:ascii="Times New Roman"/>
                <w:sz w:val="21"/>
              </w:rPr>
              <w:t>130</w:t>
            </w:r>
          </w:p>
        </w:tc>
        <w:tc>
          <w:tcPr>
            <w:tcW w:w="3699" w:type="dxa"/>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99" w:type="dxa"/>
          </w:tcPr>
          <w:p>
            <w:pPr>
              <w:pStyle w:val="14"/>
              <w:spacing w:before="76"/>
              <w:ind w:left="7"/>
              <w:rPr>
                <w:rFonts w:ascii="Times New Roman"/>
                <w:sz w:val="21"/>
              </w:rPr>
            </w:pPr>
            <w:r>
              <w:rPr>
                <w:rFonts w:ascii="Times New Roman"/>
                <w:w w:val="99"/>
                <w:sz w:val="21"/>
              </w:rPr>
              <w:t>1</w:t>
            </w:r>
          </w:p>
        </w:tc>
        <w:tc>
          <w:tcPr>
            <w:tcW w:w="2589" w:type="dxa"/>
          </w:tcPr>
          <w:p>
            <w:pPr>
              <w:pStyle w:val="14"/>
              <w:spacing w:before="62"/>
              <w:ind w:left="662"/>
              <w:jc w:val="left"/>
              <w:rPr>
                <w:sz w:val="21"/>
              </w:rPr>
            </w:pPr>
            <w:r>
              <w:rPr>
                <w:sz w:val="21"/>
              </w:rPr>
              <w:t>生活污水处理</w:t>
            </w:r>
          </w:p>
        </w:tc>
        <w:tc>
          <w:tcPr>
            <w:tcW w:w="2199" w:type="dxa"/>
          </w:tcPr>
          <w:p>
            <w:pPr>
              <w:pStyle w:val="14"/>
              <w:spacing w:before="76"/>
              <w:ind w:left="342" w:right="332"/>
              <w:rPr>
                <w:rFonts w:ascii="Times New Roman"/>
                <w:sz w:val="21"/>
              </w:rPr>
            </w:pPr>
            <w:r>
              <w:rPr>
                <w:rFonts w:ascii="Times New Roman"/>
                <w:sz w:val="21"/>
              </w:rPr>
              <w:t>50</w:t>
            </w:r>
          </w:p>
        </w:tc>
        <w:tc>
          <w:tcPr>
            <w:tcW w:w="3699" w:type="dxa"/>
          </w:tcPr>
          <w:p>
            <w:pPr>
              <w:pStyle w:val="14"/>
              <w:spacing w:before="62"/>
              <w:ind w:left="146" w:right="141"/>
              <w:rPr>
                <w:sz w:val="21"/>
              </w:rPr>
            </w:pPr>
            <w:r>
              <w:rPr>
                <w:sz w:val="21"/>
              </w:rPr>
              <w:t>“三同时”工程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99" w:type="dxa"/>
          </w:tcPr>
          <w:p>
            <w:pPr>
              <w:pStyle w:val="14"/>
              <w:spacing w:before="77"/>
              <w:ind w:left="7"/>
              <w:rPr>
                <w:rFonts w:ascii="Times New Roman"/>
                <w:sz w:val="21"/>
              </w:rPr>
            </w:pPr>
            <w:r>
              <w:rPr>
                <w:rFonts w:ascii="Times New Roman"/>
                <w:w w:val="99"/>
                <w:sz w:val="21"/>
              </w:rPr>
              <w:t>2</w:t>
            </w:r>
          </w:p>
        </w:tc>
        <w:tc>
          <w:tcPr>
            <w:tcW w:w="2589" w:type="dxa"/>
          </w:tcPr>
          <w:p>
            <w:pPr>
              <w:pStyle w:val="14"/>
              <w:spacing w:before="63"/>
              <w:ind w:left="768"/>
              <w:jc w:val="left"/>
              <w:rPr>
                <w:sz w:val="21"/>
              </w:rPr>
            </w:pPr>
            <w:r>
              <w:rPr>
                <w:sz w:val="21"/>
              </w:rPr>
              <w:t>矿井水处理</w:t>
            </w:r>
          </w:p>
        </w:tc>
        <w:tc>
          <w:tcPr>
            <w:tcW w:w="2199" w:type="dxa"/>
          </w:tcPr>
          <w:p>
            <w:pPr>
              <w:pStyle w:val="14"/>
              <w:spacing w:before="77"/>
              <w:ind w:left="342" w:right="332"/>
              <w:rPr>
                <w:rFonts w:ascii="Times New Roman"/>
                <w:sz w:val="21"/>
              </w:rPr>
            </w:pPr>
            <w:r>
              <w:rPr>
                <w:rFonts w:ascii="Times New Roman"/>
                <w:sz w:val="21"/>
              </w:rPr>
              <w:t>80</w:t>
            </w:r>
          </w:p>
        </w:tc>
        <w:tc>
          <w:tcPr>
            <w:tcW w:w="3699" w:type="dxa"/>
          </w:tcPr>
          <w:p>
            <w:pPr>
              <w:pStyle w:val="14"/>
              <w:spacing w:before="63"/>
              <w:ind w:left="146" w:right="141"/>
              <w:rPr>
                <w:sz w:val="21"/>
              </w:rPr>
            </w:pPr>
            <w:r>
              <w:rPr>
                <w:sz w:val="21"/>
              </w:rPr>
              <w:t>“三同时”工程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99" w:type="dxa"/>
          </w:tcPr>
          <w:p>
            <w:pPr>
              <w:pStyle w:val="14"/>
              <w:spacing w:before="64"/>
              <w:ind w:left="5"/>
              <w:rPr>
                <w:sz w:val="21"/>
              </w:rPr>
            </w:pPr>
            <w:r>
              <w:rPr>
                <w:w w:val="99"/>
                <w:sz w:val="21"/>
              </w:rPr>
              <w:t>二</w:t>
            </w:r>
          </w:p>
        </w:tc>
        <w:tc>
          <w:tcPr>
            <w:tcW w:w="2589" w:type="dxa"/>
          </w:tcPr>
          <w:p>
            <w:pPr>
              <w:pStyle w:val="14"/>
              <w:spacing w:before="64"/>
              <w:ind w:left="662"/>
              <w:jc w:val="left"/>
              <w:rPr>
                <w:sz w:val="21"/>
              </w:rPr>
            </w:pPr>
            <w:r>
              <w:rPr>
                <w:sz w:val="21"/>
              </w:rPr>
              <w:t>大气污染防治</w:t>
            </w:r>
          </w:p>
        </w:tc>
        <w:tc>
          <w:tcPr>
            <w:tcW w:w="2199" w:type="dxa"/>
          </w:tcPr>
          <w:p>
            <w:pPr>
              <w:pStyle w:val="14"/>
              <w:spacing w:before="78"/>
              <w:ind w:left="342" w:right="332"/>
              <w:rPr>
                <w:rFonts w:ascii="Times New Roman"/>
                <w:sz w:val="21"/>
              </w:rPr>
            </w:pPr>
            <w:r>
              <w:rPr>
                <w:rFonts w:ascii="Times New Roman"/>
                <w:sz w:val="21"/>
              </w:rPr>
              <w:t>74</w:t>
            </w:r>
          </w:p>
        </w:tc>
        <w:tc>
          <w:tcPr>
            <w:tcW w:w="3699" w:type="dxa"/>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99" w:type="dxa"/>
          </w:tcPr>
          <w:p>
            <w:pPr>
              <w:pStyle w:val="14"/>
              <w:spacing w:before="76"/>
              <w:ind w:left="7"/>
              <w:rPr>
                <w:rFonts w:ascii="Times New Roman"/>
                <w:sz w:val="21"/>
              </w:rPr>
            </w:pPr>
            <w:r>
              <w:rPr>
                <w:rFonts w:ascii="Times New Roman"/>
                <w:w w:val="99"/>
                <w:sz w:val="21"/>
              </w:rPr>
              <w:t>1</w:t>
            </w:r>
          </w:p>
        </w:tc>
        <w:tc>
          <w:tcPr>
            <w:tcW w:w="2589" w:type="dxa"/>
          </w:tcPr>
          <w:p>
            <w:pPr>
              <w:pStyle w:val="14"/>
              <w:spacing w:before="63"/>
              <w:ind w:left="242"/>
              <w:jc w:val="left"/>
              <w:rPr>
                <w:sz w:val="21"/>
              </w:rPr>
            </w:pPr>
            <w:r>
              <w:rPr>
                <w:sz w:val="21"/>
              </w:rPr>
              <w:t>筛分、转载点粉尘治理</w:t>
            </w:r>
          </w:p>
        </w:tc>
        <w:tc>
          <w:tcPr>
            <w:tcW w:w="2199" w:type="dxa"/>
          </w:tcPr>
          <w:p>
            <w:pPr>
              <w:pStyle w:val="14"/>
              <w:spacing w:before="76"/>
              <w:ind w:left="342" w:right="332"/>
              <w:rPr>
                <w:rFonts w:ascii="Times New Roman"/>
                <w:sz w:val="21"/>
              </w:rPr>
            </w:pPr>
            <w:r>
              <w:rPr>
                <w:rFonts w:ascii="Times New Roman"/>
                <w:sz w:val="21"/>
              </w:rPr>
              <w:t>10</w:t>
            </w:r>
          </w:p>
        </w:tc>
        <w:tc>
          <w:tcPr>
            <w:tcW w:w="3699" w:type="dxa"/>
          </w:tcPr>
          <w:p>
            <w:pPr>
              <w:pStyle w:val="14"/>
              <w:spacing w:before="63"/>
              <w:ind w:left="146" w:right="141"/>
              <w:rPr>
                <w:sz w:val="21"/>
              </w:rPr>
            </w:pPr>
            <w:r>
              <w:rPr>
                <w:sz w:val="21"/>
              </w:rPr>
              <w:t>“三同时”工程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99" w:type="dxa"/>
          </w:tcPr>
          <w:p>
            <w:pPr>
              <w:pStyle w:val="14"/>
              <w:spacing w:before="77"/>
              <w:ind w:left="7"/>
              <w:rPr>
                <w:rFonts w:ascii="Times New Roman"/>
                <w:sz w:val="21"/>
              </w:rPr>
            </w:pPr>
            <w:r>
              <w:rPr>
                <w:rFonts w:ascii="Times New Roman"/>
                <w:w w:val="99"/>
                <w:sz w:val="21"/>
              </w:rPr>
              <w:t>2</w:t>
            </w:r>
          </w:p>
        </w:tc>
        <w:tc>
          <w:tcPr>
            <w:tcW w:w="2589" w:type="dxa"/>
          </w:tcPr>
          <w:p>
            <w:pPr>
              <w:pStyle w:val="14"/>
              <w:spacing w:before="63"/>
              <w:ind w:left="242"/>
              <w:jc w:val="left"/>
              <w:rPr>
                <w:sz w:val="21"/>
              </w:rPr>
            </w:pPr>
            <w:r>
              <w:rPr>
                <w:sz w:val="21"/>
              </w:rPr>
              <w:t>煤矸石转运场洒水抑尘</w:t>
            </w:r>
          </w:p>
        </w:tc>
        <w:tc>
          <w:tcPr>
            <w:tcW w:w="2199" w:type="dxa"/>
          </w:tcPr>
          <w:p>
            <w:pPr>
              <w:pStyle w:val="14"/>
              <w:spacing w:before="77"/>
              <w:ind w:left="342" w:right="332"/>
              <w:rPr>
                <w:rFonts w:ascii="Times New Roman"/>
                <w:sz w:val="21"/>
              </w:rPr>
            </w:pPr>
            <w:r>
              <w:rPr>
                <w:rFonts w:ascii="Times New Roman"/>
                <w:sz w:val="21"/>
              </w:rPr>
              <w:t>10</w:t>
            </w:r>
          </w:p>
        </w:tc>
        <w:tc>
          <w:tcPr>
            <w:tcW w:w="3699" w:type="dxa"/>
          </w:tcPr>
          <w:p>
            <w:pPr>
              <w:pStyle w:val="14"/>
              <w:spacing w:before="63"/>
              <w:ind w:left="146" w:right="141"/>
              <w:rPr>
                <w:sz w:val="21"/>
              </w:rPr>
            </w:pPr>
            <w:r>
              <w:rPr>
                <w:sz w:val="21"/>
              </w:rPr>
              <w:t>“三同时”工程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99" w:type="dxa"/>
          </w:tcPr>
          <w:p>
            <w:pPr>
              <w:pStyle w:val="14"/>
              <w:spacing w:before="76"/>
              <w:ind w:left="7"/>
              <w:rPr>
                <w:rFonts w:ascii="Times New Roman"/>
                <w:sz w:val="21"/>
              </w:rPr>
            </w:pPr>
            <w:r>
              <w:rPr>
                <w:rFonts w:ascii="Times New Roman"/>
                <w:w w:val="99"/>
                <w:sz w:val="21"/>
              </w:rPr>
              <w:t>3</w:t>
            </w:r>
          </w:p>
        </w:tc>
        <w:tc>
          <w:tcPr>
            <w:tcW w:w="2589" w:type="dxa"/>
          </w:tcPr>
          <w:p>
            <w:pPr>
              <w:pStyle w:val="14"/>
              <w:spacing w:before="62"/>
              <w:ind w:left="139"/>
              <w:jc w:val="left"/>
              <w:rPr>
                <w:sz w:val="21"/>
              </w:rPr>
            </w:pPr>
            <w:r>
              <w:rPr>
                <w:sz w:val="21"/>
              </w:rPr>
              <w:t>工业广场、道路扬尘治理</w:t>
            </w:r>
          </w:p>
        </w:tc>
        <w:tc>
          <w:tcPr>
            <w:tcW w:w="2199" w:type="dxa"/>
          </w:tcPr>
          <w:p>
            <w:pPr>
              <w:pStyle w:val="14"/>
              <w:spacing w:before="76"/>
              <w:ind w:left="342" w:right="335"/>
              <w:rPr>
                <w:rFonts w:ascii="Times New Roman"/>
                <w:sz w:val="21"/>
              </w:rPr>
            </w:pPr>
            <w:r>
              <w:rPr>
                <w:rFonts w:ascii="Times New Roman"/>
                <w:sz w:val="21"/>
              </w:rPr>
              <w:t>10</w:t>
            </w:r>
          </w:p>
        </w:tc>
        <w:tc>
          <w:tcPr>
            <w:tcW w:w="3699" w:type="dxa"/>
          </w:tcPr>
          <w:p>
            <w:pPr>
              <w:pStyle w:val="14"/>
              <w:spacing w:before="62"/>
              <w:ind w:left="146" w:right="141"/>
              <w:rPr>
                <w:sz w:val="21"/>
              </w:rPr>
            </w:pPr>
            <w:r>
              <w:rPr>
                <w:sz w:val="21"/>
              </w:rPr>
              <w:t>“三同时”工程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99" w:type="dxa"/>
          </w:tcPr>
          <w:p>
            <w:pPr>
              <w:pStyle w:val="14"/>
              <w:spacing w:before="77"/>
              <w:ind w:left="7"/>
              <w:rPr>
                <w:rFonts w:ascii="Times New Roman"/>
                <w:sz w:val="21"/>
              </w:rPr>
            </w:pPr>
            <w:r>
              <w:rPr>
                <w:rFonts w:ascii="Times New Roman"/>
                <w:w w:val="99"/>
                <w:sz w:val="21"/>
              </w:rPr>
              <w:t>4</w:t>
            </w:r>
          </w:p>
        </w:tc>
        <w:tc>
          <w:tcPr>
            <w:tcW w:w="2589" w:type="dxa"/>
          </w:tcPr>
          <w:p>
            <w:pPr>
              <w:pStyle w:val="14"/>
              <w:spacing w:before="63"/>
              <w:ind w:left="662"/>
              <w:jc w:val="left"/>
              <w:rPr>
                <w:sz w:val="21"/>
              </w:rPr>
            </w:pPr>
            <w:r>
              <w:rPr>
                <w:sz w:val="21"/>
              </w:rPr>
              <w:t>食堂油烟治理</w:t>
            </w:r>
          </w:p>
        </w:tc>
        <w:tc>
          <w:tcPr>
            <w:tcW w:w="2199" w:type="dxa"/>
          </w:tcPr>
          <w:p>
            <w:pPr>
              <w:pStyle w:val="14"/>
              <w:spacing w:before="77"/>
              <w:ind w:left="10"/>
              <w:rPr>
                <w:rFonts w:ascii="Times New Roman"/>
                <w:sz w:val="21"/>
              </w:rPr>
            </w:pPr>
            <w:r>
              <w:rPr>
                <w:rFonts w:ascii="Times New Roman"/>
                <w:w w:val="99"/>
                <w:sz w:val="21"/>
              </w:rPr>
              <w:t>4</w:t>
            </w:r>
          </w:p>
        </w:tc>
        <w:tc>
          <w:tcPr>
            <w:tcW w:w="3699" w:type="dxa"/>
          </w:tcPr>
          <w:p>
            <w:pPr>
              <w:pStyle w:val="14"/>
              <w:spacing w:before="63"/>
              <w:ind w:left="146" w:right="141"/>
              <w:rPr>
                <w:sz w:val="21"/>
              </w:rPr>
            </w:pPr>
            <w:r>
              <w:rPr>
                <w:sz w:val="21"/>
              </w:rPr>
              <w:t>“三同时”工程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99" w:type="dxa"/>
          </w:tcPr>
          <w:p>
            <w:pPr>
              <w:pStyle w:val="14"/>
              <w:spacing w:before="76"/>
              <w:ind w:left="7"/>
              <w:rPr>
                <w:rFonts w:ascii="Times New Roman"/>
                <w:sz w:val="21"/>
              </w:rPr>
            </w:pPr>
            <w:r>
              <w:rPr>
                <w:rFonts w:ascii="Times New Roman"/>
                <w:w w:val="99"/>
                <w:sz w:val="21"/>
              </w:rPr>
              <w:t>5</w:t>
            </w:r>
          </w:p>
        </w:tc>
        <w:tc>
          <w:tcPr>
            <w:tcW w:w="2589" w:type="dxa"/>
          </w:tcPr>
          <w:p>
            <w:pPr>
              <w:pStyle w:val="14"/>
              <w:spacing w:before="62"/>
              <w:ind w:left="242"/>
              <w:jc w:val="left"/>
              <w:rPr>
                <w:sz w:val="21"/>
              </w:rPr>
            </w:pPr>
            <w:r>
              <w:rPr>
                <w:sz w:val="21"/>
              </w:rPr>
              <w:t>锅炉及热风炉烟气净化</w:t>
            </w:r>
          </w:p>
        </w:tc>
        <w:tc>
          <w:tcPr>
            <w:tcW w:w="2199" w:type="dxa"/>
          </w:tcPr>
          <w:p>
            <w:pPr>
              <w:pStyle w:val="14"/>
              <w:spacing w:before="76"/>
              <w:ind w:left="342" w:right="332"/>
              <w:rPr>
                <w:rFonts w:ascii="Times New Roman"/>
                <w:sz w:val="21"/>
              </w:rPr>
            </w:pPr>
            <w:r>
              <w:rPr>
                <w:rFonts w:ascii="Times New Roman"/>
                <w:sz w:val="21"/>
              </w:rPr>
              <w:t>40</w:t>
            </w:r>
          </w:p>
        </w:tc>
        <w:tc>
          <w:tcPr>
            <w:tcW w:w="3699" w:type="dxa"/>
          </w:tcPr>
          <w:p>
            <w:pPr>
              <w:pStyle w:val="14"/>
              <w:spacing w:before="62"/>
              <w:ind w:left="146" w:right="141"/>
              <w:rPr>
                <w:sz w:val="21"/>
              </w:rPr>
            </w:pPr>
            <w:r>
              <w:rPr>
                <w:sz w:val="21"/>
              </w:rPr>
              <w:t>“三同时”工程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99" w:type="dxa"/>
          </w:tcPr>
          <w:p>
            <w:pPr>
              <w:pStyle w:val="14"/>
              <w:spacing w:before="63"/>
              <w:ind w:left="5"/>
              <w:rPr>
                <w:sz w:val="21"/>
              </w:rPr>
            </w:pPr>
            <w:r>
              <w:rPr>
                <w:w w:val="99"/>
                <w:sz w:val="21"/>
              </w:rPr>
              <w:t>三</w:t>
            </w:r>
          </w:p>
        </w:tc>
        <w:tc>
          <w:tcPr>
            <w:tcW w:w="2589" w:type="dxa"/>
          </w:tcPr>
          <w:p>
            <w:pPr>
              <w:pStyle w:val="14"/>
              <w:spacing w:before="63"/>
              <w:ind w:left="852" w:right="846"/>
              <w:rPr>
                <w:sz w:val="21"/>
              </w:rPr>
            </w:pPr>
            <w:r>
              <w:rPr>
                <w:sz w:val="21"/>
              </w:rPr>
              <w:t>噪声控制</w:t>
            </w:r>
          </w:p>
        </w:tc>
        <w:tc>
          <w:tcPr>
            <w:tcW w:w="2199" w:type="dxa"/>
          </w:tcPr>
          <w:p>
            <w:pPr>
              <w:pStyle w:val="14"/>
              <w:spacing w:before="77"/>
              <w:ind w:left="342" w:right="332"/>
              <w:rPr>
                <w:rFonts w:ascii="Times New Roman"/>
                <w:sz w:val="21"/>
              </w:rPr>
            </w:pPr>
            <w:r>
              <w:rPr>
                <w:rFonts w:ascii="Times New Roman"/>
                <w:sz w:val="21"/>
              </w:rPr>
              <w:t>20</w:t>
            </w:r>
          </w:p>
        </w:tc>
        <w:tc>
          <w:tcPr>
            <w:tcW w:w="3699" w:type="dxa"/>
          </w:tcPr>
          <w:p>
            <w:pPr>
              <w:pStyle w:val="14"/>
              <w:spacing w:before="63"/>
              <w:ind w:left="146" w:right="141"/>
              <w:rPr>
                <w:sz w:val="21"/>
              </w:rPr>
            </w:pPr>
            <w:r>
              <w:rPr>
                <w:sz w:val="21"/>
              </w:rPr>
              <w:t>“三同时”工程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99" w:type="dxa"/>
          </w:tcPr>
          <w:p>
            <w:pPr>
              <w:pStyle w:val="14"/>
              <w:spacing w:before="64"/>
              <w:ind w:left="5"/>
              <w:rPr>
                <w:sz w:val="21"/>
              </w:rPr>
            </w:pPr>
            <w:r>
              <w:rPr>
                <w:w w:val="99"/>
                <w:sz w:val="21"/>
              </w:rPr>
              <w:t>四</w:t>
            </w:r>
          </w:p>
        </w:tc>
        <w:tc>
          <w:tcPr>
            <w:tcW w:w="2589" w:type="dxa"/>
          </w:tcPr>
          <w:p>
            <w:pPr>
              <w:pStyle w:val="14"/>
              <w:spacing w:before="64"/>
              <w:ind w:left="401"/>
              <w:jc w:val="left"/>
              <w:rPr>
                <w:sz w:val="21"/>
              </w:rPr>
            </w:pPr>
            <w:r>
              <w:rPr>
                <w:sz w:val="21"/>
              </w:rPr>
              <w:t>固体废物污染防治</w:t>
            </w:r>
          </w:p>
        </w:tc>
        <w:tc>
          <w:tcPr>
            <w:tcW w:w="2199" w:type="dxa"/>
          </w:tcPr>
          <w:p>
            <w:pPr>
              <w:pStyle w:val="14"/>
              <w:spacing w:before="78"/>
              <w:ind w:left="342" w:right="332"/>
              <w:rPr>
                <w:rFonts w:ascii="Times New Roman"/>
                <w:sz w:val="21"/>
              </w:rPr>
            </w:pPr>
            <w:r>
              <w:rPr>
                <w:rFonts w:ascii="Times New Roman"/>
                <w:sz w:val="21"/>
              </w:rPr>
              <w:t>25</w:t>
            </w:r>
          </w:p>
        </w:tc>
        <w:tc>
          <w:tcPr>
            <w:tcW w:w="3699" w:type="dxa"/>
          </w:tcPr>
          <w:p>
            <w:pPr>
              <w:pStyle w:val="14"/>
              <w:spacing w:before="64"/>
              <w:ind w:left="146" w:right="141"/>
              <w:rPr>
                <w:sz w:val="21"/>
              </w:rPr>
            </w:pPr>
            <w:r>
              <w:rPr>
                <w:sz w:val="21"/>
              </w:rPr>
              <w:t>“三同时”工程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99" w:type="dxa"/>
          </w:tcPr>
          <w:p>
            <w:pPr>
              <w:pStyle w:val="14"/>
              <w:spacing w:before="62"/>
              <w:ind w:left="5"/>
              <w:rPr>
                <w:sz w:val="21"/>
              </w:rPr>
            </w:pPr>
            <w:r>
              <w:rPr>
                <w:w w:val="99"/>
                <w:sz w:val="21"/>
              </w:rPr>
              <w:t>五</w:t>
            </w:r>
          </w:p>
        </w:tc>
        <w:tc>
          <w:tcPr>
            <w:tcW w:w="2589" w:type="dxa"/>
          </w:tcPr>
          <w:p>
            <w:pPr>
              <w:pStyle w:val="14"/>
              <w:spacing w:before="62"/>
              <w:ind w:left="747" w:right="846"/>
              <w:rPr>
                <w:sz w:val="21"/>
              </w:rPr>
            </w:pPr>
            <w:r>
              <w:rPr>
                <w:sz w:val="21"/>
              </w:rPr>
              <w:t>绿化</w:t>
            </w:r>
          </w:p>
        </w:tc>
        <w:tc>
          <w:tcPr>
            <w:tcW w:w="2199" w:type="dxa"/>
          </w:tcPr>
          <w:p>
            <w:pPr>
              <w:pStyle w:val="14"/>
              <w:spacing w:before="76"/>
              <w:ind w:left="342" w:right="332"/>
              <w:rPr>
                <w:rFonts w:ascii="Times New Roman"/>
                <w:sz w:val="21"/>
              </w:rPr>
            </w:pPr>
            <w:r>
              <w:rPr>
                <w:rFonts w:ascii="Times New Roman"/>
                <w:sz w:val="21"/>
              </w:rPr>
              <w:t>30</w:t>
            </w:r>
          </w:p>
        </w:tc>
        <w:tc>
          <w:tcPr>
            <w:tcW w:w="3699" w:type="dxa"/>
          </w:tcPr>
          <w:p>
            <w:pPr>
              <w:pStyle w:val="14"/>
              <w:spacing w:before="62"/>
              <w:ind w:left="146" w:right="141"/>
              <w:rPr>
                <w:sz w:val="21"/>
              </w:rPr>
            </w:pPr>
            <w:r>
              <w:rPr>
                <w:sz w:val="21"/>
              </w:rPr>
              <w:t>“三同时”工程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99" w:type="dxa"/>
          </w:tcPr>
          <w:p>
            <w:pPr>
              <w:pStyle w:val="14"/>
              <w:spacing w:before="63"/>
              <w:ind w:left="5"/>
              <w:rPr>
                <w:sz w:val="21"/>
              </w:rPr>
            </w:pPr>
            <w:r>
              <w:rPr>
                <w:w w:val="99"/>
                <w:sz w:val="21"/>
              </w:rPr>
              <w:t>六</w:t>
            </w:r>
          </w:p>
        </w:tc>
        <w:tc>
          <w:tcPr>
            <w:tcW w:w="2589" w:type="dxa"/>
          </w:tcPr>
          <w:p>
            <w:pPr>
              <w:pStyle w:val="14"/>
              <w:spacing w:before="63"/>
              <w:ind w:left="453"/>
              <w:jc w:val="left"/>
              <w:rPr>
                <w:sz w:val="21"/>
              </w:rPr>
            </w:pPr>
            <w:r>
              <w:rPr>
                <w:sz w:val="21"/>
              </w:rPr>
              <w:t>环保设施运行费用</w:t>
            </w:r>
          </w:p>
        </w:tc>
        <w:tc>
          <w:tcPr>
            <w:tcW w:w="2199" w:type="dxa"/>
          </w:tcPr>
          <w:p>
            <w:pPr>
              <w:pStyle w:val="14"/>
              <w:spacing w:before="77"/>
              <w:ind w:left="342" w:right="332"/>
              <w:rPr>
                <w:rFonts w:ascii="Times New Roman"/>
                <w:sz w:val="21"/>
              </w:rPr>
            </w:pPr>
            <w:r>
              <w:rPr>
                <w:rFonts w:ascii="Times New Roman"/>
                <w:sz w:val="21"/>
              </w:rPr>
              <w:t>20</w:t>
            </w:r>
          </w:p>
        </w:tc>
        <w:tc>
          <w:tcPr>
            <w:tcW w:w="3699" w:type="dxa"/>
          </w:tcPr>
          <w:p>
            <w:pPr>
              <w:pStyle w:val="14"/>
              <w:spacing w:before="63"/>
              <w:ind w:left="146" w:right="141"/>
              <w:rPr>
                <w:sz w:val="21"/>
              </w:rPr>
            </w:pPr>
            <w:r>
              <w:rPr>
                <w:sz w:val="21"/>
              </w:rPr>
              <w:t>“三同时”工程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99" w:type="dxa"/>
          </w:tcPr>
          <w:p>
            <w:pPr>
              <w:pStyle w:val="14"/>
              <w:spacing w:before="62"/>
              <w:ind w:left="5"/>
              <w:rPr>
                <w:sz w:val="21"/>
              </w:rPr>
            </w:pPr>
            <w:r>
              <w:rPr>
                <w:w w:val="99"/>
                <w:sz w:val="21"/>
              </w:rPr>
              <w:t>七</w:t>
            </w:r>
          </w:p>
        </w:tc>
        <w:tc>
          <w:tcPr>
            <w:tcW w:w="2589" w:type="dxa"/>
          </w:tcPr>
          <w:p>
            <w:pPr>
              <w:pStyle w:val="14"/>
              <w:spacing w:before="62"/>
              <w:ind w:left="852" w:right="846"/>
              <w:rPr>
                <w:sz w:val="21"/>
              </w:rPr>
            </w:pPr>
            <w:r>
              <w:rPr>
                <w:sz w:val="21"/>
              </w:rPr>
              <w:t>预备费用</w:t>
            </w:r>
          </w:p>
        </w:tc>
        <w:tc>
          <w:tcPr>
            <w:tcW w:w="2199" w:type="dxa"/>
          </w:tcPr>
          <w:p>
            <w:pPr>
              <w:pStyle w:val="14"/>
              <w:spacing w:before="76"/>
              <w:ind w:left="342" w:right="332"/>
              <w:rPr>
                <w:rFonts w:ascii="Times New Roman"/>
                <w:sz w:val="21"/>
              </w:rPr>
            </w:pPr>
            <w:r>
              <w:rPr>
                <w:rFonts w:ascii="Times New Roman"/>
                <w:sz w:val="21"/>
              </w:rPr>
              <w:t>29.9</w:t>
            </w:r>
          </w:p>
        </w:tc>
        <w:tc>
          <w:tcPr>
            <w:tcW w:w="3699" w:type="dxa"/>
          </w:tcPr>
          <w:p>
            <w:pPr>
              <w:pStyle w:val="14"/>
              <w:spacing w:before="62"/>
              <w:ind w:left="148" w:right="139"/>
              <w:rPr>
                <w:rFonts w:ascii="Times New Roman" w:eastAsia="Times New Roman"/>
                <w:sz w:val="21"/>
              </w:rPr>
            </w:pPr>
            <w:r>
              <w:rPr>
                <w:sz w:val="21"/>
              </w:rPr>
              <w:t xml:space="preserve">前六项的 </w:t>
            </w:r>
            <w:r>
              <w:rPr>
                <w:rFonts w:ascii="Times New Roman" w:eastAsia="Times New Roman"/>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99" w:type="dxa"/>
          </w:tcPr>
          <w:p>
            <w:pPr>
              <w:pStyle w:val="14"/>
              <w:spacing w:before="63"/>
              <w:ind w:left="5"/>
              <w:rPr>
                <w:sz w:val="21"/>
              </w:rPr>
            </w:pPr>
            <w:r>
              <w:rPr>
                <w:w w:val="99"/>
                <w:sz w:val="21"/>
              </w:rPr>
              <w:t>八</w:t>
            </w:r>
          </w:p>
        </w:tc>
        <w:tc>
          <w:tcPr>
            <w:tcW w:w="2589" w:type="dxa"/>
          </w:tcPr>
          <w:p>
            <w:pPr>
              <w:pStyle w:val="14"/>
              <w:spacing w:before="63"/>
              <w:ind w:left="852" w:right="846"/>
              <w:rPr>
                <w:sz w:val="21"/>
              </w:rPr>
            </w:pPr>
            <w:r>
              <w:rPr>
                <w:sz w:val="21"/>
              </w:rPr>
              <w:t>其他费用</w:t>
            </w:r>
          </w:p>
        </w:tc>
        <w:tc>
          <w:tcPr>
            <w:tcW w:w="2199" w:type="dxa"/>
          </w:tcPr>
          <w:p>
            <w:pPr>
              <w:pStyle w:val="14"/>
              <w:spacing w:before="77"/>
              <w:ind w:left="342" w:right="330"/>
              <w:rPr>
                <w:rFonts w:ascii="Times New Roman"/>
                <w:sz w:val="21"/>
              </w:rPr>
            </w:pPr>
            <w:r>
              <w:rPr>
                <w:rFonts w:ascii="Times New Roman"/>
                <w:sz w:val="21"/>
              </w:rPr>
              <w:t>186.0125</w:t>
            </w:r>
          </w:p>
        </w:tc>
        <w:tc>
          <w:tcPr>
            <w:tcW w:w="3699" w:type="dxa"/>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99" w:type="dxa"/>
          </w:tcPr>
          <w:p>
            <w:pPr>
              <w:pStyle w:val="14"/>
              <w:spacing w:before="78"/>
              <w:ind w:left="7"/>
              <w:rPr>
                <w:rFonts w:ascii="Times New Roman"/>
                <w:sz w:val="21"/>
              </w:rPr>
            </w:pPr>
            <w:r>
              <w:rPr>
                <w:rFonts w:ascii="Times New Roman"/>
                <w:w w:val="99"/>
                <w:sz w:val="21"/>
              </w:rPr>
              <w:t>1</w:t>
            </w:r>
          </w:p>
        </w:tc>
        <w:tc>
          <w:tcPr>
            <w:tcW w:w="2589" w:type="dxa"/>
          </w:tcPr>
          <w:p>
            <w:pPr>
              <w:pStyle w:val="14"/>
              <w:spacing w:before="64"/>
              <w:ind w:left="295"/>
              <w:jc w:val="left"/>
              <w:rPr>
                <w:sz w:val="21"/>
              </w:rPr>
            </w:pPr>
            <w:r>
              <w:rPr>
                <w:sz w:val="21"/>
              </w:rPr>
              <w:t>环境治理和土地复垦</w:t>
            </w:r>
          </w:p>
        </w:tc>
        <w:tc>
          <w:tcPr>
            <w:tcW w:w="2199" w:type="dxa"/>
          </w:tcPr>
          <w:p>
            <w:pPr>
              <w:pStyle w:val="14"/>
              <w:spacing w:before="78"/>
              <w:ind w:left="342" w:right="330"/>
              <w:rPr>
                <w:rFonts w:ascii="Times New Roman"/>
                <w:sz w:val="21"/>
              </w:rPr>
            </w:pPr>
            <w:r>
              <w:rPr>
                <w:rFonts w:ascii="Times New Roman"/>
                <w:sz w:val="21"/>
              </w:rPr>
              <w:t>186.0125</w:t>
            </w:r>
          </w:p>
        </w:tc>
        <w:tc>
          <w:tcPr>
            <w:tcW w:w="3699" w:type="dxa"/>
          </w:tcPr>
          <w:p>
            <w:pPr>
              <w:pStyle w:val="14"/>
              <w:spacing w:before="64"/>
              <w:ind w:left="148" w:right="141"/>
              <w:rPr>
                <w:sz w:val="21"/>
              </w:rPr>
            </w:pPr>
            <w:r>
              <w:rPr>
                <w:sz w:val="21"/>
              </w:rPr>
              <w:t>不纳入“三同时”工程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99" w:type="dxa"/>
          </w:tcPr>
          <w:p>
            <w:pPr>
              <w:pStyle w:val="14"/>
              <w:spacing w:before="63"/>
              <w:ind w:left="168" w:right="160"/>
              <w:rPr>
                <w:sz w:val="21"/>
              </w:rPr>
            </w:pPr>
            <w:r>
              <w:rPr>
                <w:sz w:val="21"/>
              </w:rPr>
              <w:t>合计</w:t>
            </w:r>
          </w:p>
        </w:tc>
        <w:tc>
          <w:tcPr>
            <w:tcW w:w="2589" w:type="dxa"/>
          </w:tcPr>
          <w:p>
            <w:pPr>
              <w:pStyle w:val="14"/>
              <w:spacing w:before="63"/>
              <w:ind w:left="609"/>
              <w:jc w:val="left"/>
              <w:rPr>
                <w:sz w:val="21"/>
              </w:rPr>
            </w:pPr>
            <w:r>
              <w:rPr>
                <w:sz w:val="21"/>
              </w:rPr>
              <w:t>环境工程投资</w:t>
            </w:r>
          </w:p>
        </w:tc>
        <w:tc>
          <w:tcPr>
            <w:tcW w:w="2199" w:type="dxa"/>
          </w:tcPr>
          <w:p>
            <w:pPr>
              <w:pStyle w:val="14"/>
              <w:spacing w:before="76"/>
              <w:ind w:left="243" w:right="336"/>
              <w:rPr>
                <w:rFonts w:ascii="Times New Roman"/>
                <w:sz w:val="21"/>
              </w:rPr>
            </w:pPr>
            <w:r>
              <w:rPr>
                <w:rFonts w:ascii="Times New Roman"/>
                <w:sz w:val="21"/>
              </w:rPr>
              <w:t>328.9</w:t>
            </w:r>
          </w:p>
        </w:tc>
        <w:tc>
          <w:tcPr>
            <w:tcW w:w="3699" w:type="dxa"/>
          </w:tcPr>
          <w:p>
            <w:pPr>
              <w:pStyle w:val="14"/>
              <w:spacing w:before="63"/>
              <w:ind w:left="148" w:right="141"/>
              <w:rPr>
                <w:sz w:val="21"/>
              </w:rPr>
            </w:pPr>
            <w:r>
              <w:rPr>
                <w:sz w:val="21"/>
              </w:rPr>
              <w:t>“三同时”工程投资，不包含第八项</w:t>
            </w:r>
          </w:p>
        </w:tc>
      </w:tr>
    </w:tbl>
    <w:p>
      <w:pPr>
        <w:pStyle w:val="6"/>
        <w:spacing w:before="2" w:line="362" w:lineRule="auto"/>
        <w:ind w:left="220" w:right="338" w:firstLine="480"/>
        <w:jc w:val="both"/>
      </w:pPr>
      <w:r>
        <w:rPr>
          <w:spacing w:val="-7"/>
        </w:rPr>
        <w:t xml:space="preserve">本项目建设总投资 </w:t>
      </w:r>
      <w:r>
        <w:rPr>
          <w:rFonts w:ascii="Times New Roman" w:eastAsia="Times New Roman"/>
        </w:rPr>
        <w:t xml:space="preserve">6755.07 </w:t>
      </w:r>
      <w:r>
        <w:rPr>
          <w:spacing w:val="-12"/>
        </w:rPr>
        <w:t xml:space="preserve">万元，环保工程投资 </w:t>
      </w:r>
      <w:r>
        <w:rPr>
          <w:rFonts w:ascii="Times New Roman" w:eastAsia="Times New Roman"/>
        </w:rPr>
        <w:t xml:space="preserve">328.9 </w:t>
      </w:r>
      <w:r>
        <w:rPr>
          <w:spacing w:val="-6"/>
        </w:rPr>
        <w:t xml:space="preserve">万元，项目环保工程投资占项目建设总投资的比例为 </w:t>
      </w:r>
      <w:r>
        <w:rPr>
          <w:rFonts w:ascii="Times New Roman" w:eastAsia="Times New Roman"/>
        </w:rPr>
        <w:t>4.87%</w:t>
      </w:r>
      <w:r>
        <w:t>。</w:t>
      </w:r>
    </w:p>
    <w:p>
      <w:pPr>
        <w:pStyle w:val="4"/>
        <w:numPr>
          <w:ilvl w:val="1"/>
          <w:numId w:val="108"/>
        </w:numPr>
        <w:tabs>
          <w:tab w:val="left" w:pos="852"/>
        </w:tabs>
        <w:spacing w:before="6" w:after="0" w:line="240" w:lineRule="auto"/>
        <w:ind w:left="852" w:right="0" w:hanging="632"/>
        <w:jc w:val="left"/>
      </w:pPr>
      <w:bookmarkStart w:id="1298" w:name="16.2 环境经济效益分析与评价"/>
      <w:bookmarkEnd w:id="1298"/>
      <w:bookmarkStart w:id="1299" w:name="_bookmark94"/>
      <w:bookmarkEnd w:id="1299"/>
      <w:bookmarkStart w:id="1300" w:name="_bookmark94"/>
      <w:bookmarkEnd w:id="1300"/>
      <w:r>
        <w:t>环境经济效益分析与评价</w:t>
      </w:r>
    </w:p>
    <w:p>
      <w:pPr>
        <w:pStyle w:val="5"/>
        <w:numPr>
          <w:ilvl w:val="2"/>
          <w:numId w:val="108"/>
        </w:numPr>
        <w:tabs>
          <w:tab w:val="left" w:pos="881"/>
        </w:tabs>
        <w:spacing w:before="186" w:after="0" w:line="240" w:lineRule="auto"/>
        <w:ind w:left="880" w:right="0" w:hanging="661"/>
        <w:jc w:val="left"/>
        <w:rPr>
          <w:rFonts w:ascii="Times New Roman" w:eastAsia="Times New Roman"/>
        </w:rPr>
      </w:pPr>
      <w:bookmarkStart w:id="1301" w:name="16.2.1环境效益分析"/>
      <w:bookmarkEnd w:id="1301"/>
      <w:bookmarkStart w:id="1302" w:name="16.2.1环境效益分析"/>
      <w:bookmarkEnd w:id="1302"/>
      <w:r>
        <w:t>环境效益分析</w:t>
      </w:r>
    </w:p>
    <w:p>
      <w:pPr>
        <w:pStyle w:val="6"/>
        <w:spacing w:before="158" w:line="364" w:lineRule="auto"/>
        <w:ind w:left="220" w:right="338" w:firstLine="470"/>
        <w:jc w:val="both"/>
      </w:pPr>
      <w:r>
        <w:t>尽管本项目采取了比较完善的环境保护措施，但投入运行后仍然存在</w:t>
      </w:r>
      <w:r>
        <w:rPr>
          <w:rFonts w:ascii="Times New Roman" w:hAnsi="Times New Roman" w:eastAsia="Times New Roman"/>
        </w:rPr>
        <w:t>“</w:t>
      </w:r>
      <w:r>
        <w:t>三废</w:t>
      </w:r>
      <w:r>
        <w:rPr>
          <w:rFonts w:ascii="Times New Roman" w:hAnsi="Times New Roman" w:eastAsia="Times New Roman"/>
        </w:rPr>
        <w:t>”</w:t>
      </w:r>
      <w:r>
        <w:t>和噪声排放。也将不可避免地形成地表塌陷，因此对周围环境空气、地面水、地下水、声学环境、生态环境质量会带来一定程度的负面影响。另一方面本工程建成后将向社会提供低硫的产品，符合国家的产业政策和环保政策，具有积极的环保意义。</w:t>
      </w:r>
    </w:p>
    <w:p>
      <w:pPr>
        <w:pStyle w:val="5"/>
        <w:numPr>
          <w:ilvl w:val="2"/>
          <w:numId w:val="108"/>
        </w:numPr>
        <w:tabs>
          <w:tab w:val="left" w:pos="881"/>
        </w:tabs>
        <w:spacing w:before="0" w:after="0" w:line="305" w:lineRule="exact"/>
        <w:ind w:left="880" w:right="0" w:hanging="661"/>
        <w:jc w:val="left"/>
        <w:rPr>
          <w:rFonts w:ascii="Times New Roman" w:eastAsia="Times New Roman"/>
        </w:rPr>
      </w:pPr>
      <w:bookmarkStart w:id="1303" w:name="16.2.2社会效益分析"/>
      <w:bookmarkEnd w:id="1303"/>
      <w:bookmarkStart w:id="1304" w:name="16.2.2社会效益分析"/>
      <w:bookmarkEnd w:id="1304"/>
      <w:r>
        <w:t>社会效益分析</w:t>
      </w:r>
    </w:p>
    <w:p>
      <w:pPr>
        <w:pStyle w:val="6"/>
        <w:spacing w:before="160"/>
        <w:ind w:left="780"/>
      </w:pPr>
      <w:r>
        <w:t>（</w:t>
      </w:r>
      <w:r>
        <w:rPr>
          <w:spacing w:val="-80"/>
        </w:rPr>
        <w:t xml:space="preserve"> </w:t>
      </w:r>
      <w:r>
        <w:rPr>
          <w:rFonts w:ascii="Times New Roman" w:eastAsia="Times New Roman"/>
          <w:spacing w:val="9"/>
        </w:rPr>
        <w:t>1</w:t>
      </w:r>
      <w:r>
        <w:rPr>
          <w:spacing w:val="9"/>
        </w:rPr>
        <w:t>）</w:t>
      </w:r>
      <w:r>
        <w:rPr>
          <w:spacing w:val="26"/>
        </w:rPr>
        <w:t xml:space="preserve"> 项目建设符合国家产业政策和环境保护政策</w:t>
      </w:r>
    </w:p>
    <w:p>
      <w:pPr>
        <w:spacing w:after="0"/>
        <w:sectPr>
          <w:footerReference r:id="rId33" w:type="default"/>
          <w:pgSz w:w="11910" w:h="16840"/>
          <w:pgMar w:top="1360" w:right="1020" w:bottom="1100" w:left="1140" w:header="0" w:footer="917" w:gutter="0"/>
          <w:pgNumType w:start="200"/>
        </w:sectPr>
      </w:pPr>
    </w:p>
    <w:p>
      <w:pPr>
        <w:pStyle w:val="6"/>
        <w:spacing w:before="41" w:line="362" w:lineRule="auto"/>
        <w:ind w:left="220" w:right="218" w:firstLine="480"/>
      </w:pPr>
      <w:r>
        <w:t>目前我国煤炭供应严重短缺，优质动力煤和化工原料煤供应不足，影响了经济的发</w:t>
      </w:r>
      <w:r>
        <w:rPr>
          <w:spacing w:val="-12"/>
        </w:rPr>
        <w:t xml:space="preserve">展。因此本项目建成后每年将向社会提供 </w:t>
      </w:r>
      <w:r>
        <w:rPr>
          <w:rFonts w:ascii="Times New Roman" w:eastAsia="Times New Roman"/>
        </w:rPr>
        <w:t xml:space="preserve">30 </w:t>
      </w:r>
      <w:r>
        <w:rPr>
          <w:spacing w:val="-30"/>
        </w:rPr>
        <w:t xml:space="preserve">万 </w:t>
      </w:r>
      <w:r>
        <w:rPr>
          <w:rFonts w:ascii="Times New Roman" w:eastAsia="Times New Roman"/>
        </w:rPr>
        <w:t xml:space="preserve">t </w:t>
      </w:r>
      <w:r>
        <w:rPr>
          <w:spacing w:val="-9"/>
        </w:rPr>
        <w:t>优质煤，项目开发符合国家的产业政策。</w:t>
      </w:r>
    </w:p>
    <w:p>
      <w:pPr>
        <w:pStyle w:val="6"/>
        <w:spacing w:before="5"/>
        <w:ind w:left="700"/>
      </w:pPr>
      <w:r>
        <w:t>（</w:t>
      </w:r>
      <w:r>
        <w:rPr>
          <w:spacing w:val="-80"/>
        </w:rPr>
        <w:t xml:space="preserve"> </w:t>
      </w:r>
      <w:r>
        <w:rPr>
          <w:rFonts w:ascii="Times New Roman" w:eastAsia="Times New Roman"/>
          <w:spacing w:val="9"/>
        </w:rPr>
        <w:t>2</w:t>
      </w:r>
      <w:r>
        <w:rPr>
          <w:spacing w:val="9"/>
        </w:rPr>
        <w:t>）</w:t>
      </w:r>
      <w:r>
        <w:rPr>
          <w:spacing w:val="22"/>
        </w:rPr>
        <w:t xml:space="preserve"> 项目建设对就业的影响</w:t>
      </w:r>
    </w:p>
    <w:p>
      <w:pPr>
        <w:pStyle w:val="6"/>
        <w:spacing w:before="161" w:line="364" w:lineRule="auto"/>
        <w:ind w:left="220" w:right="218" w:firstLine="470"/>
      </w:pPr>
      <w:r>
        <w:t>本工程投入运行后可直接产生多个为矿井生产提供服务的岗位，这对改善当地的就业状况、促进社会稳定有积极意义。但建设单位应尽可能地安排附近农民从事与矿井生</w:t>
      </w:r>
      <w:r>
        <w:rPr>
          <w:spacing w:val="-5"/>
        </w:rPr>
        <w:t xml:space="preserve">产相关的服务性行业，并且从严把关。对于确实不能安排的，也要尽可能围绕煤矿生产， </w:t>
      </w:r>
      <w:r>
        <w:t>引导并为当地农民创造就业条件，充分利用煤炭开采过程中形成的矿井涌水、矸石，进行综合性开发，补偿提高受影响农民的收入。</w:t>
      </w:r>
    </w:p>
    <w:p>
      <w:pPr>
        <w:pStyle w:val="6"/>
        <w:spacing w:line="303" w:lineRule="exact"/>
        <w:ind w:left="691"/>
      </w:pPr>
      <w:r>
        <w:t>（</w:t>
      </w:r>
      <w:r>
        <w:rPr>
          <w:rFonts w:ascii="Times New Roman" w:eastAsia="Times New Roman"/>
        </w:rPr>
        <w:t>3</w:t>
      </w:r>
      <w:r>
        <w:t>）项目建设对促进当地经济发展的意义</w:t>
      </w:r>
    </w:p>
    <w:p>
      <w:pPr>
        <w:pStyle w:val="6"/>
        <w:spacing w:before="160" w:line="364" w:lineRule="auto"/>
        <w:ind w:left="220" w:right="338" w:firstLine="470"/>
        <w:jc w:val="both"/>
      </w:pPr>
      <w:r>
        <w:t xml:space="preserve">本工程建成后每年销售收入 </w:t>
      </w:r>
      <w:r>
        <w:rPr>
          <w:rFonts w:ascii="Times New Roman" w:eastAsia="Times New Roman"/>
        </w:rPr>
        <w:t xml:space="preserve">15080 </w:t>
      </w:r>
      <w:r>
        <w:t>万元，这对带动经济发展具有重要意义。项目建设也将使当地的商业、医疗卫生条件和文化教育设施得到不同程度的改善，这将间接地促进当地经济的发展。此外本工程建成后，可以利用建成的供电、供水、供热和交通基础设施，以及工程余水、余渣，进行区域性农业经济开发，改善当地居民的生活质量。</w:t>
      </w:r>
    </w:p>
    <w:p>
      <w:pPr>
        <w:pStyle w:val="5"/>
        <w:numPr>
          <w:ilvl w:val="2"/>
          <w:numId w:val="108"/>
        </w:numPr>
        <w:tabs>
          <w:tab w:val="left" w:pos="881"/>
        </w:tabs>
        <w:spacing w:before="0" w:after="0" w:line="305" w:lineRule="exact"/>
        <w:ind w:left="880" w:right="0" w:hanging="661"/>
        <w:jc w:val="left"/>
        <w:rPr>
          <w:rFonts w:ascii="Times New Roman" w:eastAsia="Times New Roman"/>
        </w:rPr>
      </w:pPr>
      <w:bookmarkStart w:id="1305" w:name="16.2.3经济效益评价"/>
      <w:bookmarkEnd w:id="1305"/>
      <w:bookmarkStart w:id="1306" w:name="16.2.3经济效益评价"/>
      <w:bookmarkEnd w:id="1306"/>
      <w:r>
        <w:t>经济效益评价</w:t>
      </w:r>
    </w:p>
    <w:p>
      <w:pPr>
        <w:pStyle w:val="6"/>
        <w:spacing w:before="161" w:line="364" w:lineRule="auto"/>
        <w:ind w:left="220" w:right="338" w:firstLine="470"/>
        <w:jc w:val="both"/>
      </w:pPr>
      <w:r>
        <w:rPr>
          <w:spacing w:val="-6"/>
        </w:rPr>
        <w:t xml:space="preserve">本矿井年平均税后利润 </w:t>
      </w:r>
      <w:r>
        <w:rPr>
          <w:rFonts w:ascii="Times New Roman" w:eastAsia="Times New Roman"/>
        </w:rPr>
        <w:t xml:space="preserve">3899.15 </w:t>
      </w:r>
      <w:r>
        <w:rPr>
          <w:spacing w:val="-8"/>
        </w:rPr>
        <w:t>万元，动态投资回收期</w:t>
      </w:r>
      <w:r>
        <w:t>（含建设期</w:t>
      </w:r>
      <w:r>
        <w:rPr>
          <w:spacing w:val="-6"/>
        </w:rPr>
        <w:t>）</w:t>
      </w:r>
      <w:r>
        <w:rPr>
          <w:rFonts w:ascii="Times New Roman" w:eastAsia="Times New Roman"/>
          <w:spacing w:val="-6"/>
        </w:rPr>
        <w:t xml:space="preserve">4.15 </w:t>
      </w:r>
      <w:r>
        <w:rPr>
          <w:spacing w:val="-10"/>
        </w:rPr>
        <w:t>年，本项目</w:t>
      </w:r>
      <w:r>
        <w:t>的各项财务评价指标，均满足煤炭行业的基准要求，并具有较强的盈利能力和抗风险能力。该项目资源可靠，生产技术成熟，产品市场看好。综合来看项目经济效益较好，从经济角度看本工程是可行的。</w:t>
      </w:r>
    </w:p>
    <w:p>
      <w:pPr>
        <w:pStyle w:val="4"/>
        <w:numPr>
          <w:ilvl w:val="1"/>
          <w:numId w:val="108"/>
        </w:numPr>
        <w:tabs>
          <w:tab w:val="left" w:pos="780"/>
        </w:tabs>
        <w:spacing w:before="0" w:after="0" w:line="357" w:lineRule="exact"/>
        <w:ind w:left="780" w:right="0" w:hanging="560"/>
        <w:jc w:val="left"/>
      </w:pPr>
      <w:bookmarkStart w:id="1307" w:name="_bookmark95"/>
      <w:bookmarkEnd w:id="1307"/>
      <w:bookmarkStart w:id="1308" w:name="_bookmark95"/>
      <w:bookmarkEnd w:id="1308"/>
      <w:bookmarkStart w:id="1309" w:name="16.3环境经济损益简要分析"/>
      <w:bookmarkEnd w:id="1309"/>
      <w:r>
        <w:t>环境经济损益简要分析</w:t>
      </w:r>
    </w:p>
    <w:p>
      <w:pPr>
        <w:pStyle w:val="5"/>
        <w:numPr>
          <w:ilvl w:val="2"/>
          <w:numId w:val="108"/>
        </w:numPr>
        <w:tabs>
          <w:tab w:val="left" w:pos="881"/>
        </w:tabs>
        <w:spacing w:before="185" w:after="0" w:line="240" w:lineRule="auto"/>
        <w:ind w:left="880" w:right="0" w:hanging="661"/>
        <w:jc w:val="left"/>
        <w:rPr>
          <w:rFonts w:ascii="Times New Roman" w:eastAsia="Times New Roman"/>
        </w:rPr>
      </w:pPr>
      <w:bookmarkStart w:id="1310" w:name="16.3.1环保费用的确定和估算"/>
      <w:bookmarkEnd w:id="1310"/>
      <w:bookmarkStart w:id="1311" w:name="16.3.1环保费用的确定和估算"/>
      <w:bookmarkEnd w:id="1311"/>
      <w:r>
        <w:t>环保费用的确定和估算</w:t>
      </w:r>
    </w:p>
    <w:p>
      <w:pPr>
        <w:pStyle w:val="6"/>
        <w:spacing w:before="158"/>
        <w:ind w:left="700"/>
      </w:pPr>
      <w:r>
        <w:t>环保费用一般可分为外部费用和内部费用，用下式表示：</w:t>
      </w:r>
    </w:p>
    <w:p>
      <w:pPr>
        <w:pStyle w:val="6"/>
        <w:spacing w:before="157"/>
        <w:ind w:left="1180"/>
        <w:rPr>
          <w:rFonts w:ascii="Times New Roman"/>
        </w:rPr>
      </w:pPr>
      <w:r>
        <w:rPr>
          <w:rFonts w:ascii="Times New Roman"/>
        </w:rPr>
        <w:t>Et=Et(O)+Et(I)</w:t>
      </w:r>
    </w:p>
    <w:p>
      <w:pPr>
        <w:pStyle w:val="6"/>
        <w:spacing w:before="140" w:line="364" w:lineRule="auto"/>
        <w:ind w:left="1809" w:right="4254" w:hanging="629"/>
      </w:pPr>
      <w:r>
        <w:t>式中：</w:t>
      </w:r>
      <w:r>
        <w:rPr>
          <w:rFonts w:ascii="Times New Roman" w:hAnsi="Times New Roman" w:eastAsia="Times New Roman"/>
        </w:rPr>
        <w:t>Et—</w:t>
      </w:r>
      <w:r>
        <w:t xml:space="preserve">环境保护费用（万元） </w:t>
      </w:r>
      <w:r>
        <w:rPr>
          <w:rFonts w:ascii="Times New Roman" w:hAnsi="Times New Roman" w:eastAsia="Times New Roman"/>
        </w:rPr>
        <w:t>Et(O)—</w:t>
      </w:r>
      <w:r>
        <w:t xml:space="preserve">环境保护外部费用（万元） </w:t>
      </w:r>
      <w:r>
        <w:rPr>
          <w:rFonts w:ascii="Times New Roman" w:hAnsi="Times New Roman" w:eastAsia="Times New Roman"/>
        </w:rPr>
        <w:t>Et(I)—</w:t>
      </w:r>
      <w:r>
        <w:t>环境保护内部费用（万元）</w:t>
      </w:r>
    </w:p>
    <w:p>
      <w:pPr>
        <w:pStyle w:val="13"/>
        <w:numPr>
          <w:ilvl w:val="3"/>
          <w:numId w:val="108"/>
        </w:numPr>
        <w:tabs>
          <w:tab w:val="left" w:pos="1302"/>
        </w:tabs>
        <w:spacing w:before="0" w:after="0" w:line="307" w:lineRule="exact"/>
        <w:ind w:left="1301" w:right="0" w:hanging="602"/>
        <w:jc w:val="left"/>
        <w:rPr>
          <w:sz w:val="24"/>
        </w:rPr>
      </w:pPr>
      <w:r>
        <w:rPr>
          <w:sz w:val="24"/>
        </w:rPr>
        <w:t>外部费用的确定与估算</w:t>
      </w:r>
    </w:p>
    <w:p>
      <w:pPr>
        <w:pStyle w:val="6"/>
        <w:spacing w:before="158" w:line="364" w:lineRule="auto"/>
        <w:ind w:left="220" w:right="338" w:firstLine="480"/>
      </w:pPr>
      <w:r>
        <w:t>外部费用是指由于项目开发形成对环境损害所带来的费用，主要为矿山地质环境保</w:t>
      </w:r>
      <w:r>
        <w:rPr>
          <w:spacing w:val="-8"/>
        </w:rPr>
        <w:t xml:space="preserve">护费用和土地复垦费用，矿山地质环境保护估算动态总投资为 </w:t>
      </w:r>
      <w:r>
        <w:rPr>
          <w:rFonts w:ascii="Times New Roman" w:eastAsia="Times New Roman"/>
        </w:rPr>
        <w:t xml:space="preserve">41.1422 </w:t>
      </w:r>
      <w:r>
        <w:rPr>
          <w:spacing w:val="-10"/>
        </w:rPr>
        <w:t>万元，矿山土地复</w:t>
      </w:r>
    </w:p>
    <w:p>
      <w:pPr>
        <w:pStyle w:val="6"/>
        <w:spacing w:line="306" w:lineRule="exact"/>
        <w:ind w:left="220"/>
      </w:pPr>
      <w:r>
        <w:rPr>
          <w:spacing w:val="-9"/>
        </w:rPr>
        <w:t xml:space="preserve">垦估算投资为 </w:t>
      </w:r>
      <w:r>
        <w:rPr>
          <w:rFonts w:ascii="Times New Roman" w:eastAsia="Times New Roman"/>
        </w:rPr>
        <w:t xml:space="preserve">144.8703 </w:t>
      </w:r>
      <w:r>
        <w:rPr>
          <w:spacing w:val="-10"/>
        </w:rPr>
        <w:t xml:space="preserve">万元，总计 </w:t>
      </w:r>
      <w:r>
        <w:rPr>
          <w:rFonts w:ascii="Times New Roman" w:eastAsia="Times New Roman"/>
        </w:rPr>
        <w:t xml:space="preserve">186.0125 </w:t>
      </w:r>
      <w:r>
        <w:rPr>
          <w:spacing w:val="-5"/>
        </w:rPr>
        <w:t xml:space="preserve">万元，分摊到每年外部费用为 </w:t>
      </w:r>
      <w:r>
        <w:rPr>
          <w:rFonts w:ascii="Times New Roman" w:eastAsia="Times New Roman"/>
        </w:rPr>
        <w:t xml:space="preserve">12.08 </w:t>
      </w:r>
      <w:r>
        <w:t>万元。</w:t>
      </w:r>
    </w:p>
    <w:p>
      <w:pPr>
        <w:pStyle w:val="13"/>
        <w:numPr>
          <w:ilvl w:val="3"/>
          <w:numId w:val="108"/>
        </w:numPr>
        <w:tabs>
          <w:tab w:val="left" w:pos="1302"/>
        </w:tabs>
        <w:spacing w:before="161" w:after="0" w:line="240" w:lineRule="auto"/>
        <w:ind w:left="1301" w:right="0" w:hanging="602"/>
        <w:jc w:val="left"/>
        <w:rPr>
          <w:sz w:val="24"/>
        </w:rPr>
      </w:pPr>
      <w:r>
        <w:rPr>
          <w:sz w:val="24"/>
        </w:rPr>
        <w:t>内部费用的确定与估算</w:t>
      </w:r>
    </w:p>
    <w:p>
      <w:pPr>
        <w:spacing w:after="0" w:line="240" w:lineRule="auto"/>
        <w:jc w:val="left"/>
        <w:rPr>
          <w:sz w:val="24"/>
        </w:rPr>
        <w:sectPr>
          <w:pgSz w:w="11910" w:h="16840"/>
          <w:pgMar w:top="1360" w:right="1020" w:bottom="1180" w:left="1140" w:header="0" w:footer="917" w:gutter="0"/>
        </w:sectPr>
      </w:pPr>
    </w:p>
    <w:p>
      <w:pPr>
        <w:pStyle w:val="6"/>
        <w:spacing w:before="41" w:line="362" w:lineRule="auto"/>
        <w:ind w:left="220" w:right="154" w:firstLine="480"/>
      </w:pPr>
      <w:r>
        <w:t xml:space="preserve">内部费用是指项目开发过程中，建设单位为了防止环境污染而付出的环境保护费用， 由基本建设费和运行费两部分组成。环境保护基本建设费用为 </w:t>
      </w:r>
      <w:r>
        <w:rPr>
          <w:rFonts w:ascii="Times New Roman" w:eastAsia="Times New Roman"/>
        </w:rPr>
        <w:t xml:space="preserve">328.9 </w:t>
      </w:r>
      <w:r>
        <w:t>万元，折算到每年，</w:t>
      </w:r>
    </w:p>
    <w:p>
      <w:pPr>
        <w:pStyle w:val="6"/>
        <w:spacing w:before="5"/>
        <w:ind w:left="220"/>
      </w:pPr>
      <w:r>
        <w:t xml:space="preserve">每年投入的环境保护基本建设费用为 </w:t>
      </w:r>
      <w:r>
        <w:rPr>
          <w:rFonts w:ascii="Times New Roman" w:eastAsia="Times New Roman"/>
        </w:rPr>
        <w:t xml:space="preserve">21.36 </w:t>
      </w:r>
      <w:r>
        <w:t>万元。</w:t>
      </w:r>
    </w:p>
    <w:p>
      <w:pPr>
        <w:pStyle w:val="6"/>
        <w:spacing w:before="161" w:line="364" w:lineRule="auto"/>
        <w:ind w:left="220" w:right="217" w:firstLine="480"/>
      </w:pPr>
      <w:r>
        <w:t>运行费用是指矿井各项环保工程、水土保持、绿化、环保监测和管理等环境保护工程的运行、管理费用，按生产要素计算，运行费用主要由各项环保工程的折旧费、设备</w:t>
      </w:r>
      <w:r>
        <w:rPr>
          <w:spacing w:val="-8"/>
        </w:rPr>
        <w:t>大修费用、耗电费、材料消耗费、人工工资及福利费、运输费、设备维护费和管理费等。</w:t>
      </w:r>
      <w:r>
        <w:rPr>
          <w:spacing w:val="-21"/>
        </w:rPr>
        <w:t xml:space="preserve">对表 </w:t>
      </w:r>
      <w:r>
        <w:rPr>
          <w:rFonts w:ascii="Times New Roman" w:eastAsia="Times New Roman"/>
        </w:rPr>
        <w:t xml:space="preserve">16.1-1 </w:t>
      </w:r>
      <w:r>
        <w:t>中各项环保工程逐项进行运行费用计算，结果为本工程环保工程运行费用为</w:t>
      </w:r>
    </w:p>
    <w:p>
      <w:pPr>
        <w:pStyle w:val="6"/>
        <w:spacing w:line="305" w:lineRule="exact"/>
        <w:ind w:left="220"/>
      </w:pPr>
      <w:r>
        <w:rPr>
          <w:rFonts w:ascii="Times New Roman" w:eastAsia="Times New Roman"/>
        </w:rPr>
        <w:t xml:space="preserve">10 </w:t>
      </w:r>
      <w:r>
        <w:t>万元</w:t>
      </w:r>
      <w:r>
        <w:rPr>
          <w:rFonts w:ascii="Times New Roman" w:eastAsia="Times New Roman"/>
        </w:rPr>
        <w:t>/</w:t>
      </w:r>
      <w:r>
        <w:t>年。</w:t>
      </w:r>
    </w:p>
    <w:p>
      <w:pPr>
        <w:pStyle w:val="6"/>
        <w:spacing w:before="158"/>
        <w:ind w:left="700"/>
      </w:pPr>
      <w:r>
        <w:t xml:space="preserve">年环境保护内部费用为 </w:t>
      </w:r>
      <w:r>
        <w:rPr>
          <w:rFonts w:ascii="Times New Roman" w:eastAsia="Times New Roman"/>
        </w:rPr>
        <w:t xml:space="preserve">31.36 </w:t>
      </w:r>
      <w:r>
        <w:t>万元</w:t>
      </w:r>
      <w:r>
        <w:rPr>
          <w:rFonts w:ascii="Times New Roman" w:eastAsia="Times New Roman"/>
        </w:rPr>
        <w:t>/</w:t>
      </w:r>
      <w:r>
        <w:t xml:space="preserve">年，年环境保护外部费用为 </w:t>
      </w:r>
      <w:r>
        <w:rPr>
          <w:rFonts w:ascii="Times New Roman" w:eastAsia="Times New Roman"/>
        </w:rPr>
        <w:t xml:space="preserve">12.08 </w:t>
      </w:r>
      <w:r>
        <w:t>万元</w:t>
      </w:r>
      <w:r>
        <w:rPr>
          <w:rFonts w:ascii="Times New Roman" w:eastAsia="Times New Roman"/>
        </w:rPr>
        <w:t>/</w:t>
      </w:r>
      <w:r>
        <w:t>年，年环</w:t>
      </w:r>
    </w:p>
    <w:p>
      <w:pPr>
        <w:pStyle w:val="6"/>
        <w:spacing w:before="160"/>
        <w:ind w:left="220"/>
      </w:pPr>
      <w:r>
        <w:t xml:space="preserve">境保护费用为 </w:t>
      </w:r>
      <w:r>
        <w:rPr>
          <w:rFonts w:ascii="Times New Roman" w:eastAsia="Times New Roman"/>
        </w:rPr>
        <w:t xml:space="preserve">43.44 </w:t>
      </w:r>
      <w:r>
        <w:t>万元</w:t>
      </w:r>
      <w:r>
        <w:rPr>
          <w:rFonts w:ascii="Times New Roman" w:eastAsia="Times New Roman"/>
        </w:rPr>
        <w:t>/</w:t>
      </w:r>
      <w:r>
        <w:t>年。</w:t>
      </w:r>
    </w:p>
    <w:p>
      <w:pPr>
        <w:pStyle w:val="5"/>
        <w:numPr>
          <w:ilvl w:val="2"/>
          <w:numId w:val="108"/>
        </w:numPr>
        <w:tabs>
          <w:tab w:val="left" w:pos="881"/>
        </w:tabs>
        <w:spacing w:before="158" w:after="0" w:line="240" w:lineRule="auto"/>
        <w:ind w:left="880" w:right="0" w:hanging="661"/>
        <w:jc w:val="left"/>
        <w:rPr>
          <w:rFonts w:ascii="Times New Roman" w:eastAsia="Times New Roman"/>
        </w:rPr>
      </w:pPr>
      <w:bookmarkStart w:id="1312" w:name="16.3.2年环境损失费用的确定和估算"/>
      <w:bookmarkEnd w:id="1312"/>
      <w:bookmarkStart w:id="1313" w:name="16.3.2年环境损失费用的确定和估算"/>
      <w:bookmarkEnd w:id="1313"/>
      <w:r>
        <w:t>年环境损失费用的确定和估算</w:t>
      </w:r>
    </w:p>
    <w:p>
      <w:pPr>
        <w:pStyle w:val="6"/>
        <w:spacing w:before="161" w:line="362" w:lineRule="auto"/>
        <w:ind w:left="220" w:right="337" w:firstLine="480"/>
      </w:pPr>
      <w:r>
        <w:t>年环境损失费用</w:t>
      </w:r>
      <w:r>
        <w:rPr>
          <w:rFonts w:ascii="Times New Roman" w:hAnsi="Times New Roman" w:eastAsia="Times New Roman"/>
        </w:rPr>
        <w:t>(Hs)</w:t>
      </w:r>
      <w:r>
        <w:rPr>
          <w:spacing w:val="-10"/>
        </w:rPr>
        <w:t>即指矿井投产后，每年资源的流失和</w:t>
      </w:r>
      <w:r>
        <w:rPr>
          <w:rFonts w:ascii="Times New Roman" w:hAnsi="Times New Roman" w:eastAsia="Times New Roman"/>
        </w:rPr>
        <w:t>“</w:t>
      </w:r>
      <w:r>
        <w:t>三废</w:t>
      </w:r>
      <w:r>
        <w:rPr>
          <w:rFonts w:ascii="Times New Roman" w:hAnsi="Times New Roman" w:eastAsia="Times New Roman"/>
        </w:rPr>
        <w:t>”</w:t>
      </w:r>
      <w:r>
        <w:rPr>
          <w:spacing w:val="-2"/>
        </w:rPr>
        <w:t>及噪声排放对环境造</w:t>
      </w:r>
      <w:r>
        <w:t>成的损失，以及原环境功能发生了改变等原因带来的损失。主要包括以下几项：</w:t>
      </w:r>
    </w:p>
    <w:p>
      <w:pPr>
        <w:pStyle w:val="13"/>
        <w:numPr>
          <w:ilvl w:val="0"/>
          <w:numId w:val="109"/>
        </w:numPr>
        <w:tabs>
          <w:tab w:val="left" w:pos="981"/>
        </w:tabs>
        <w:spacing w:before="5" w:after="0" w:line="240" w:lineRule="auto"/>
        <w:ind w:left="980" w:right="0" w:hanging="281"/>
        <w:jc w:val="left"/>
        <w:rPr>
          <w:sz w:val="24"/>
        </w:rPr>
      </w:pPr>
      <w:r>
        <w:rPr>
          <w:sz w:val="24"/>
        </w:rPr>
        <w:t>煤炭资源的流失价值</w:t>
      </w:r>
    </w:p>
    <w:p>
      <w:pPr>
        <w:pStyle w:val="6"/>
        <w:spacing w:before="160" w:line="362" w:lineRule="auto"/>
        <w:ind w:left="220" w:right="338" w:firstLine="480"/>
      </w:pPr>
      <w:r>
        <w:t>这里煤炭资源流失价值，是指因煤炭外运、装卸、风蚀、雨蚀等原因造成的煤炭资源损失，本项目由于采取了很完善的防治措施，煤炭资源流失很少，可以忽略不计。</w:t>
      </w:r>
    </w:p>
    <w:p>
      <w:pPr>
        <w:pStyle w:val="13"/>
        <w:numPr>
          <w:ilvl w:val="0"/>
          <w:numId w:val="109"/>
        </w:numPr>
        <w:tabs>
          <w:tab w:val="left" w:pos="981"/>
        </w:tabs>
        <w:spacing w:before="5" w:after="0" w:line="240" w:lineRule="auto"/>
        <w:ind w:left="980" w:right="0" w:hanging="281"/>
        <w:jc w:val="left"/>
        <w:rPr>
          <w:sz w:val="24"/>
        </w:rPr>
      </w:pPr>
      <w:r>
        <w:rPr>
          <w:sz w:val="24"/>
        </w:rPr>
        <w:t>水资源的流失价值</w:t>
      </w:r>
    </w:p>
    <w:p>
      <w:pPr>
        <w:pStyle w:val="6"/>
        <w:spacing w:before="158" w:line="362" w:lineRule="auto"/>
        <w:ind w:left="220" w:right="337" w:firstLine="480"/>
      </w:pPr>
      <w:r>
        <w:rPr>
          <w:spacing w:val="-7"/>
        </w:rPr>
        <w:t xml:space="preserve">本项目矿井水大部分回用，仍有部分排放，排污费按 </w:t>
      </w:r>
      <w:r>
        <w:rPr>
          <w:rFonts w:ascii="Times New Roman" w:eastAsia="Times New Roman"/>
        </w:rPr>
        <w:t xml:space="preserve">0.2 </w:t>
      </w:r>
      <w:r>
        <w:t>元</w:t>
      </w:r>
      <w:r>
        <w:rPr>
          <w:rFonts w:ascii="Times New Roman" w:eastAsia="Times New Roman"/>
        </w:rPr>
        <w:t xml:space="preserve">/t </w:t>
      </w:r>
      <w:r>
        <w:rPr>
          <w:spacing w:val="-7"/>
        </w:rPr>
        <w:t>计，则每年浪费水资源</w:t>
      </w:r>
      <w:r>
        <w:rPr>
          <w:spacing w:val="-15"/>
        </w:rPr>
        <w:t xml:space="preserve">价值约 </w:t>
      </w:r>
      <w:r>
        <w:rPr>
          <w:rFonts w:ascii="Times New Roman" w:eastAsia="Times New Roman"/>
        </w:rPr>
        <w:t xml:space="preserve">9.85 </w:t>
      </w:r>
      <w:r>
        <w:t>万元。</w:t>
      </w:r>
    </w:p>
    <w:p>
      <w:pPr>
        <w:pStyle w:val="13"/>
        <w:numPr>
          <w:ilvl w:val="0"/>
          <w:numId w:val="109"/>
        </w:numPr>
        <w:tabs>
          <w:tab w:val="left" w:pos="981"/>
        </w:tabs>
        <w:spacing w:before="5" w:after="0" w:line="240" w:lineRule="auto"/>
        <w:ind w:left="980" w:right="0" w:hanging="281"/>
        <w:jc w:val="left"/>
        <w:rPr>
          <w:sz w:val="24"/>
        </w:rPr>
      </w:pPr>
      <w:r>
        <w:rPr>
          <w:rFonts w:ascii="Times New Roman" w:hAnsi="Times New Roman" w:eastAsia="Times New Roman"/>
          <w:sz w:val="24"/>
        </w:rPr>
        <w:t>“</w:t>
      </w:r>
      <w:r>
        <w:rPr>
          <w:sz w:val="24"/>
        </w:rPr>
        <w:t>三废</w:t>
      </w:r>
      <w:r>
        <w:rPr>
          <w:rFonts w:ascii="Times New Roman" w:hAnsi="Times New Roman" w:eastAsia="Times New Roman"/>
          <w:sz w:val="24"/>
        </w:rPr>
        <w:t>’</w:t>
      </w:r>
      <w:r>
        <w:rPr>
          <w:sz w:val="24"/>
        </w:rPr>
        <w:t>排放和噪声污染带来的损失</w:t>
      </w:r>
    </w:p>
    <w:p>
      <w:pPr>
        <w:pStyle w:val="6"/>
        <w:spacing w:before="161" w:line="364" w:lineRule="auto"/>
        <w:ind w:left="220" w:right="218" w:firstLine="480"/>
      </w:pPr>
      <w:r>
        <w:t>由于本项目排放的</w:t>
      </w:r>
      <w:r>
        <w:rPr>
          <w:rFonts w:ascii="Times New Roman" w:hAnsi="Times New Roman" w:eastAsia="Times New Roman"/>
          <w:spacing w:val="3"/>
        </w:rPr>
        <w:t>“</w:t>
      </w:r>
      <w:r>
        <w:t>三废</w:t>
      </w:r>
      <w:r>
        <w:rPr>
          <w:rFonts w:ascii="Times New Roman" w:hAnsi="Times New Roman" w:eastAsia="Times New Roman"/>
        </w:rPr>
        <w:t>”</w:t>
      </w:r>
      <w:r>
        <w:t>均通过比较完善的污染控制工程进行了妥善处理，达到国</w:t>
      </w:r>
      <w:r>
        <w:rPr>
          <w:spacing w:val="-4"/>
        </w:rPr>
        <w:t xml:space="preserve">家排放标准和区域环境规划的目标，对周围环境污染很小，但排污必定带来一定的损失， 这部分损失按收取的排污费计为 </w:t>
      </w:r>
      <w:r>
        <w:rPr>
          <w:rFonts w:ascii="Times New Roman" w:hAnsi="Times New Roman" w:eastAsia="Times New Roman"/>
        </w:rPr>
        <w:t xml:space="preserve">5 </w:t>
      </w:r>
      <w:r>
        <w:t>万元。</w:t>
      </w:r>
    </w:p>
    <w:p>
      <w:pPr>
        <w:pStyle w:val="6"/>
        <w:spacing w:line="305" w:lineRule="exact"/>
        <w:ind w:left="700"/>
      </w:pPr>
      <w:r>
        <w:t>所以本项目的环境损失费用</w:t>
      </w:r>
      <w:r>
        <w:rPr>
          <w:rFonts w:ascii="Times New Roman" w:eastAsia="Times New Roman"/>
        </w:rPr>
        <w:t xml:space="preserve">(1)+(2)+(3)=14.85 </w:t>
      </w:r>
      <w:r>
        <w:t>万元</w:t>
      </w:r>
      <w:r>
        <w:rPr>
          <w:rFonts w:ascii="Times New Roman" w:eastAsia="Times New Roman"/>
        </w:rPr>
        <w:t>/</w:t>
      </w:r>
      <w:r>
        <w:t>年</w:t>
      </w:r>
    </w:p>
    <w:p>
      <w:pPr>
        <w:pStyle w:val="5"/>
        <w:numPr>
          <w:ilvl w:val="2"/>
          <w:numId w:val="108"/>
        </w:numPr>
        <w:tabs>
          <w:tab w:val="left" w:pos="881"/>
        </w:tabs>
        <w:spacing w:before="160" w:after="0" w:line="240" w:lineRule="auto"/>
        <w:ind w:left="880" w:right="0" w:hanging="661"/>
        <w:jc w:val="left"/>
        <w:rPr>
          <w:rFonts w:ascii="Times New Roman" w:eastAsia="Times New Roman"/>
        </w:rPr>
      </w:pPr>
      <w:bookmarkStart w:id="1314" w:name="16.3.3环境成本和环境系数的确定与分析"/>
      <w:bookmarkEnd w:id="1314"/>
      <w:bookmarkStart w:id="1315" w:name="16.3.3环境成本和环境系数的确定与分析"/>
      <w:bookmarkEnd w:id="1315"/>
      <w:r>
        <w:t>环境成本和环境系数的确定与分析</w:t>
      </w:r>
    </w:p>
    <w:p>
      <w:pPr>
        <w:pStyle w:val="13"/>
        <w:numPr>
          <w:ilvl w:val="0"/>
          <w:numId w:val="110"/>
        </w:numPr>
        <w:tabs>
          <w:tab w:val="left" w:pos="1101"/>
        </w:tabs>
        <w:spacing w:before="158" w:after="0" w:line="240" w:lineRule="auto"/>
        <w:ind w:left="1100" w:right="0" w:hanging="281"/>
        <w:jc w:val="left"/>
        <w:rPr>
          <w:sz w:val="24"/>
        </w:rPr>
      </w:pPr>
      <w:r>
        <w:rPr>
          <w:sz w:val="24"/>
        </w:rPr>
        <w:t>年环境代价</w:t>
      </w:r>
    </w:p>
    <w:p>
      <w:pPr>
        <w:pStyle w:val="6"/>
        <w:spacing w:before="161" w:line="362" w:lineRule="auto"/>
        <w:ind w:left="220" w:right="269" w:firstLine="600"/>
      </w:pPr>
      <w:r>
        <w:t xml:space="preserve">年环境代价 </w:t>
      </w:r>
      <w:r>
        <w:rPr>
          <w:rFonts w:ascii="Times New Roman" w:eastAsia="Times New Roman"/>
        </w:rPr>
        <w:t xml:space="preserve">Hd </w:t>
      </w:r>
      <w:r>
        <w:t xml:space="preserve">即是项目投入的年环境保护费用 </w:t>
      </w:r>
      <w:r>
        <w:rPr>
          <w:rFonts w:ascii="Times New Roman" w:eastAsia="Times New Roman"/>
        </w:rPr>
        <w:t>Et(</w:t>
      </w:r>
      <w:r>
        <w:t>包括外部费用和内部费用</w:t>
      </w:r>
      <w:r>
        <w:rPr>
          <w:rFonts w:ascii="Times New Roman" w:eastAsia="Times New Roman"/>
        </w:rPr>
        <w:t>)</w:t>
      </w:r>
      <w:r>
        <w:t xml:space="preserve">和年环境损失费用 </w:t>
      </w:r>
      <w:r>
        <w:rPr>
          <w:rFonts w:ascii="Times New Roman" w:eastAsia="Times New Roman"/>
        </w:rPr>
        <w:t xml:space="preserve">Hs </w:t>
      </w:r>
      <w:r>
        <w:t xml:space="preserve">之和，合计为 </w:t>
      </w:r>
      <w:r>
        <w:rPr>
          <w:rFonts w:ascii="Times New Roman" w:eastAsia="Times New Roman"/>
        </w:rPr>
        <w:t xml:space="preserve">58.29 </w:t>
      </w:r>
      <w:r>
        <w:t>万元</w:t>
      </w:r>
      <w:r>
        <w:rPr>
          <w:rFonts w:ascii="Times New Roman" w:eastAsia="Times New Roman"/>
        </w:rPr>
        <w:t>/</w:t>
      </w:r>
      <w:r>
        <w:t>年。</w:t>
      </w:r>
    </w:p>
    <w:p>
      <w:pPr>
        <w:pStyle w:val="13"/>
        <w:numPr>
          <w:ilvl w:val="0"/>
          <w:numId w:val="110"/>
        </w:numPr>
        <w:tabs>
          <w:tab w:val="left" w:pos="981"/>
        </w:tabs>
        <w:spacing w:before="5" w:after="0" w:line="240" w:lineRule="auto"/>
        <w:ind w:left="980" w:right="0" w:hanging="281"/>
        <w:jc w:val="left"/>
        <w:rPr>
          <w:sz w:val="24"/>
        </w:rPr>
      </w:pPr>
      <w:r>
        <w:rPr>
          <w:sz w:val="24"/>
        </w:rPr>
        <w:t>环境成本的确定</w:t>
      </w:r>
    </w:p>
    <w:p>
      <w:pPr>
        <w:pStyle w:val="6"/>
        <w:spacing w:before="158"/>
        <w:ind w:left="700"/>
      </w:pPr>
      <w:r>
        <w:t xml:space="preserve">环境成本 </w:t>
      </w:r>
      <w:r>
        <w:rPr>
          <w:rFonts w:ascii="Times New Roman" w:eastAsia="Times New Roman"/>
        </w:rPr>
        <w:t xml:space="preserve">Hb </w:t>
      </w:r>
      <w:r>
        <w:t xml:space="preserve">是指开发项目单位产品的环境代价，即 </w:t>
      </w:r>
      <w:r>
        <w:rPr>
          <w:rFonts w:ascii="Times New Roman" w:eastAsia="Times New Roman"/>
        </w:rPr>
        <w:t>Hb=Hd</w:t>
      </w:r>
      <w:r>
        <w:t>／</w:t>
      </w:r>
      <w:r>
        <w:rPr>
          <w:rFonts w:ascii="Times New Roman" w:eastAsia="Times New Roman"/>
        </w:rPr>
        <w:t>M</w:t>
      </w:r>
      <w:r>
        <w:t>，</w:t>
      </w:r>
      <w:r>
        <w:rPr>
          <w:rFonts w:ascii="Times New Roman" w:eastAsia="Times New Roman"/>
        </w:rPr>
        <w:t xml:space="preserve">M </w:t>
      </w:r>
      <w:r>
        <w:t>是产品产量</w:t>
      </w:r>
      <w:r>
        <w:rPr>
          <w:rFonts w:ascii="Times New Roman" w:eastAsia="Times New Roman"/>
        </w:rPr>
        <w:t>(</w:t>
      </w:r>
      <w:r>
        <w:t>按</w:t>
      </w:r>
    </w:p>
    <w:p>
      <w:pPr>
        <w:spacing w:after="0"/>
        <w:sectPr>
          <w:pgSz w:w="11910" w:h="16840"/>
          <w:pgMar w:top="1360" w:right="1020" w:bottom="1180" w:left="1140" w:header="0" w:footer="917" w:gutter="0"/>
        </w:sectPr>
      </w:pPr>
    </w:p>
    <w:p>
      <w:pPr>
        <w:pStyle w:val="6"/>
        <w:spacing w:before="61"/>
        <w:ind w:left="220"/>
      </w:pPr>
      <w:r>
        <w:t>新增原煤产量计</w:t>
      </w:r>
      <w:r>
        <w:rPr>
          <w:rFonts w:ascii="Times New Roman" w:eastAsia="Times New Roman"/>
        </w:rPr>
        <w:t>)</w:t>
      </w:r>
      <w:r>
        <w:t xml:space="preserve">，经计算，项目的年环境成本为 </w:t>
      </w:r>
      <w:r>
        <w:rPr>
          <w:rFonts w:ascii="Times New Roman" w:eastAsia="Times New Roman"/>
        </w:rPr>
        <w:t xml:space="preserve">1.94 </w:t>
      </w:r>
      <w:r>
        <w:t>元</w:t>
      </w:r>
      <w:r>
        <w:rPr>
          <w:rFonts w:ascii="Times New Roman" w:eastAsia="Times New Roman"/>
        </w:rPr>
        <w:t xml:space="preserve">/t </w:t>
      </w:r>
      <w:r>
        <w:t>原煤。</w:t>
      </w:r>
    </w:p>
    <w:p>
      <w:pPr>
        <w:pStyle w:val="6"/>
        <w:spacing w:before="158" w:line="364" w:lineRule="auto"/>
        <w:ind w:left="220" w:right="338" w:firstLine="480"/>
      </w:pPr>
      <w:r>
        <w:t>总的看来，本项目采取了完善污染防治措施，且由于矿井涌水量不大，虽水资源利用率低，但付出的环境代价相对不高。</w:t>
      </w:r>
    </w:p>
    <w:p>
      <w:pPr>
        <w:pStyle w:val="13"/>
        <w:numPr>
          <w:ilvl w:val="0"/>
          <w:numId w:val="110"/>
        </w:numPr>
        <w:tabs>
          <w:tab w:val="left" w:pos="981"/>
        </w:tabs>
        <w:spacing w:before="1" w:after="0" w:line="240" w:lineRule="auto"/>
        <w:ind w:left="980" w:right="0" w:hanging="281"/>
        <w:jc w:val="left"/>
        <w:rPr>
          <w:sz w:val="24"/>
        </w:rPr>
      </w:pPr>
      <w:r>
        <w:rPr>
          <w:sz w:val="24"/>
        </w:rPr>
        <w:t>环境系数的确定</w:t>
      </w:r>
    </w:p>
    <w:p>
      <w:pPr>
        <w:pStyle w:val="6"/>
        <w:spacing w:before="158"/>
        <w:ind w:left="700"/>
      </w:pPr>
      <w:r>
        <w:t xml:space="preserve">环境系数是指年环境代价与年工业产值的比值，即 </w:t>
      </w:r>
      <w:r>
        <w:rPr>
          <w:rFonts w:ascii="Times New Roman" w:eastAsia="Times New Roman"/>
        </w:rPr>
        <w:t>Hx=Hd</w:t>
      </w:r>
      <w:r>
        <w:t>／</w:t>
      </w:r>
      <w:r>
        <w:rPr>
          <w:rFonts w:ascii="Times New Roman" w:eastAsia="Times New Roman"/>
        </w:rPr>
        <w:t>Ge</w:t>
      </w:r>
      <w:r>
        <w:t>。</w:t>
      </w:r>
    </w:p>
    <w:p>
      <w:pPr>
        <w:pStyle w:val="6"/>
        <w:spacing w:before="161" w:line="362" w:lineRule="auto"/>
        <w:ind w:left="220" w:right="338" w:firstLine="480"/>
      </w:pPr>
      <w:r>
        <w:rPr>
          <w:spacing w:val="-9"/>
        </w:rPr>
        <w:t xml:space="preserve">经计算，本项目环境系数为 </w:t>
      </w:r>
      <w:r>
        <w:rPr>
          <w:rFonts w:ascii="Times New Roman" w:eastAsia="Times New Roman"/>
          <w:spacing w:val="-3"/>
        </w:rPr>
        <w:t>0.00387</w:t>
      </w:r>
      <w:r>
        <w:rPr>
          <w:spacing w:val="-9"/>
        </w:rPr>
        <w:t xml:space="preserve">，说明项目创造 </w:t>
      </w:r>
      <w:r>
        <w:rPr>
          <w:rFonts w:ascii="Times New Roman" w:eastAsia="Times New Roman"/>
        </w:rPr>
        <w:t xml:space="preserve">1 </w:t>
      </w:r>
      <w:r>
        <w:rPr>
          <w:spacing w:val="-5"/>
        </w:rPr>
        <w:t>万元的产值，付出的环境代价</w:t>
      </w:r>
      <w:r>
        <w:rPr>
          <w:spacing w:val="-30"/>
        </w:rPr>
        <w:t xml:space="preserve">达 </w:t>
      </w:r>
      <w:r>
        <w:rPr>
          <w:rFonts w:ascii="Times New Roman" w:eastAsia="Times New Roman"/>
        </w:rPr>
        <w:t xml:space="preserve">38.7 </w:t>
      </w:r>
      <w:r>
        <w:t>元。</w:t>
      </w:r>
    </w:p>
    <w:p>
      <w:pPr>
        <w:pStyle w:val="5"/>
        <w:spacing w:before="163" w:after="33"/>
        <w:ind w:right="110"/>
        <w:jc w:val="center"/>
        <w:rPr>
          <w:rFonts w:hint="eastAsia" w:ascii="黑体" w:eastAsia="黑体"/>
        </w:rPr>
      </w:pPr>
      <w:r>
        <w:rPr>
          <w:rFonts w:hint="eastAsia" w:ascii="黑体" w:eastAsia="黑体"/>
        </w:rPr>
        <w:t xml:space="preserve">表 </w:t>
      </w:r>
      <w:r>
        <w:rPr>
          <w:rFonts w:ascii="Times New Roman" w:eastAsia="Times New Roman"/>
        </w:rPr>
        <w:t xml:space="preserve">16.3-1  </w:t>
      </w:r>
      <w:r>
        <w:rPr>
          <w:rFonts w:hint="eastAsia" w:ascii="黑体" w:eastAsia="黑体"/>
        </w:rPr>
        <w:t>环境经济损失分析表</w:t>
      </w:r>
    </w:p>
    <w:tbl>
      <w:tblPr>
        <w:tblStyle w:val="10"/>
        <w:tblW w:w="0" w:type="auto"/>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0"/>
        <w:gridCol w:w="782"/>
        <w:gridCol w:w="795"/>
        <w:gridCol w:w="912"/>
        <w:gridCol w:w="1112"/>
        <w:gridCol w:w="1449"/>
        <w:gridCol w:w="1166"/>
        <w:gridCol w:w="1338"/>
        <w:gridCol w:w="13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3129" w:type="dxa"/>
            <w:gridSpan w:val="4"/>
          </w:tcPr>
          <w:p>
            <w:pPr>
              <w:pStyle w:val="14"/>
              <w:jc w:val="left"/>
              <w:rPr>
                <w:rFonts w:ascii="黑体"/>
                <w:b/>
                <w:sz w:val="14"/>
              </w:rPr>
            </w:pPr>
          </w:p>
          <w:p>
            <w:pPr>
              <w:pStyle w:val="14"/>
              <w:ind w:left="1123" w:right="1116"/>
              <w:rPr>
                <w:sz w:val="21"/>
              </w:rPr>
            </w:pPr>
            <w:r>
              <w:rPr>
                <w:sz w:val="21"/>
              </w:rPr>
              <w:t>指标名称</w:t>
            </w:r>
          </w:p>
        </w:tc>
        <w:tc>
          <w:tcPr>
            <w:tcW w:w="1112" w:type="dxa"/>
          </w:tcPr>
          <w:p>
            <w:pPr>
              <w:pStyle w:val="14"/>
              <w:spacing w:before="31"/>
              <w:ind w:left="134"/>
              <w:jc w:val="left"/>
              <w:rPr>
                <w:sz w:val="21"/>
              </w:rPr>
            </w:pPr>
            <w:r>
              <w:rPr>
                <w:w w:val="95"/>
                <w:sz w:val="21"/>
              </w:rPr>
              <w:t>单项费用</w:t>
            </w:r>
          </w:p>
          <w:p>
            <w:pPr>
              <w:pStyle w:val="14"/>
              <w:spacing w:before="31" w:line="249" w:lineRule="exact"/>
              <w:ind w:left="134"/>
              <w:jc w:val="left"/>
              <w:rPr>
                <w:sz w:val="21"/>
              </w:rPr>
            </w:pPr>
            <w:r>
              <w:rPr>
                <w:w w:val="95"/>
                <w:sz w:val="21"/>
              </w:rPr>
              <w:t>（万元）</w:t>
            </w:r>
          </w:p>
        </w:tc>
        <w:tc>
          <w:tcPr>
            <w:tcW w:w="1449" w:type="dxa"/>
          </w:tcPr>
          <w:p>
            <w:pPr>
              <w:pStyle w:val="14"/>
              <w:spacing w:line="300" w:lineRule="atLeast"/>
              <w:ind w:left="198" w:right="189"/>
              <w:jc w:val="left"/>
              <w:rPr>
                <w:sz w:val="21"/>
              </w:rPr>
            </w:pPr>
            <w:r>
              <w:rPr>
                <w:sz w:val="21"/>
              </w:rPr>
              <w:t>单项费用小计（万元）</w:t>
            </w:r>
          </w:p>
        </w:tc>
        <w:tc>
          <w:tcPr>
            <w:tcW w:w="1166" w:type="dxa"/>
          </w:tcPr>
          <w:p>
            <w:pPr>
              <w:pStyle w:val="14"/>
              <w:spacing w:line="300" w:lineRule="atLeast"/>
              <w:ind w:left="237" w:right="97" w:hanging="130"/>
              <w:jc w:val="left"/>
              <w:rPr>
                <w:sz w:val="21"/>
              </w:rPr>
            </w:pPr>
            <w:r>
              <w:rPr>
                <w:spacing w:val="-34"/>
                <w:sz w:val="21"/>
              </w:rPr>
              <w:t>年费用</w:t>
            </w:r>
            <w:r>
              <w:rPr>
                <w:sz w:val="21"/>
              </w:rPr>
              <w:t>（</w:t>
            </w:r>
            <w:r>
              <w:rPr>
                <w:spacing w:val="-14"/>
                <w:sz w:val="21"/>
              </w:rPr>
              <w:t>万</w:t>
            </w:r>
            <w:r>
              <w:rPr>
                <w:sz w:val="21"/>
              </w:rPr>
              <w:t>元</w:t>
            </w:r>
            <w:r>
              <w:rPr>
                <w:rFonts w:ascii="Times New Roman" w:eastAsia="Times New Roman"/>
                <w:sz w:val="21"/>
              </w:rPr>
              <w:t>/</w:t>
            </w:r>
            <w:r>
              <w:rPr>
                <w:sz w:val="21"/>
              </w:rPr>
              <w:t>年）</w:t>
            </w:r>
          </w:p>
        </w:tc>
        <w:tc>
          <w:tcPr>
            <w:tcW w:w="1338" w:type="dxa"/>
          </w:tcPr>
          <w:p>
            <w:pPr>
              <w:pStyle w:val="14"/>
              <w:spacing w:before="31"/>
              <w:ind w:left="144"/>
              <w:jc w:val="left"/>
              <w:rPr>
                <w:sz w:val="21"/>
              </w:rPr>
            </w:pPr>
            <w:r>
              <w:rPr>
                <w:w w:val="95"/>
                <w:sz w:val="21"/>
              </w:rPr>
              <w:t>年费用小计</w:t>
            </w:r>
          </w:p>
          <w:p>
            <w:pPr>
              <w:pStyle w:val="14"/>
              <w:spacing w:before="31" w:line="249" w:lineRule="exact"/>
              <w:ind w:left="115"/>
              <w:jc w:val="left"/>
              <w:rPr>
                <w:sz w:val="21"/>
              </w:rPr>
            </w:pPr>
            <w:r>
              <w:rPr>
                <w:spacing w:val="-1"/>
                <w:w w:val="95"/>
                <w:sz w:val="21"/>
              </w:rPr>
              <w:t>（万元</w:t>
            </w:r>
            <w:r>
              <w:rPr>
                <w:rFonts w:ascii="Times New Roman" w:eastAsia="Times New Roman"/>
                <w:w w:val="95"/>
                <w:sz w:val="21"/>
              </w:rPr>
              <w:t>/</w:t>
            </w:r>
            <w:r>
              <w:rPr>
                <w:w w:val="95"/>
                <w:sz w:val="21"/>
              </w:rPr>
              <w:t>年）</w:t>
            </w:r>
          </w:p>
        </w:tc>
        <w:tc>
          <w:tcPr>
            <w:tcW w:w="1325" w:type="dxa"/>
          </w:tcPr>
          <w:p>
            <w:pPr>
              <w:pStyle w:val="14"/>
              <w:spacing w:before="31"/>
              <w:ind w:left="135"/>
              <w:jc w:val="left"/>
              <w:rPr>
                <w:sz w:val="21"/>
              </w:rPr>
            </w:pPr>
            <w:r>
              <w:rPr>
                <w:w w:val="95"/>
                <w:sz w:val="21"/>
              </w:rPr>
              <w:t>年费用合计</w:t>
            </w:r>
          </w:p>
          <w:p>
            <w:pPr>
              <w:pStyle w:val="14"/>
              <w:spacing w:before="31" w:line="249" w:lineRule="exact"/>
              <w:ind w:left="107"/>
              <w:jc w:val="left"/>
              <w:rPr>
                <w:sz w:val="21"/>
              </w:rPr>
            </w:pPr>
            <w:r>
              <w:rPr>
                <w:w w:val="95"/>
                <w:sz w:val="21"/>
              </w:rPr>
              <w:t>（万元</w:t>
            </w:r>
            <w:r>
              <w:rPr>
                <w:rFonts w:ascii="Times New Roman" w:eastAsia="Times New Roman"/>
                <w:w w:val="95"/>
                <w:sz w:val="21"/>
              </w:rPr>
              <w:t>/</w:t>
            </w:r>
            <w:r>
              <w:rPr>
                <w:w w:val="95"/>
                <w:sz w:val="21"/>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640" w:type="dxa"/>
            <w:vMerge w:val="restart"/>
          </w:tcPr>
          <w:p>
            <w:pPr>
              <w:pStyle w:val="14"/>
              <w:jc w:val="left"/>
              <w:rPr>
                <w:rFonts w:ascii="黑体"/>
                <w:b/>
                <w:sz w:val="20"/>
              </w:rPr>
            </w:pPr>
          </w:p>
          <w:p>
            <w:pPr>
              <w:pStyle w:val="14"/>
              <w:jc w:val="left"/>
              <w:rPr>
                <w:rFonts w:ascii="黑体"/>
                <w:b/>
                <w:sz w:val="20"/>
              </w:rPr>
            </w:pPr>
          </w:p>
          <w:p>
            <w:pPr>
              <w:pStyle w:val="14"/>
              <w:jc w:val="left"/>
              <w:rPr>
                <w:rFonts w:ascii="黑体"/>
                <w:b/>
                <w:sz w:val="20"/>
              </w:rPr>
            </w:pPr>
          </w:p>
          <w:p>
            <w:pPr>
              <w:pStyle w:val="14"/>
              <w:jc w:val="left"/>
              <w:rPr>
                <w:rFonts w:ascii="黑体"/>
                <w:b/>
                <w:sz w:val="20"/>
              </w:rPr>
            </w:pPr>
          </w:p>
          <w:p>
            <w:pPr>
              <w:pStyle w:val="14"/>
              <w:jc w:val="left"/>
              <w:rPr>
                <w:rFonts w:ascii="黑体"/>
                <w:b/>
                <w:sz w:val="20"/>
              </w:rPr>
            </w:pPr>
          </w:p>
          <w:p>
            <w:pPr>
              <w:pStyle w:val="14"/>
              <w:jc w:val="left"/>
              <w:rPr>
                <w:rFonts w:ascii="黑体"/>
                <w:b/>
                <w:sz w:val="20"/>
              </w:rPr>
            </w:pPr>
          </w:p>
          <w:p>
            <w:pPr>
              <w:pStyle w:val="14"/>
              <w:jc w:val="left"/>
              <w:rPr>
                <w:rFonts w:ascii="黑体"/>
                <w:b/>
                <w:sz w:val="20"/>
              </w:rPr>
            </w:pPr>
          </w:p>
          <w:p>
            <w:pPr>
              <w:pStyle w:val="14"/>
              <w:spacing w:before="7"/>
              <w:jc w:val="left"/>
              <w:rPr>
                <w:rFonts w:ascii="黑体"/>
                <w:b/>
                <w:sz w:val="16"/>
              </w:rPr>
            </w:pPr>
          </w:p>
          <w:p>
            <w:pPr>
              <w:pStyle w:val="14"/>
              <w:spacing w:line="266" w:lineRule="auto"/>
              <w:ind w:left="109" w:right="100"/>
              <w:jc w:val="left"/>
              <w:rPr>
                <w:sz w:val="21"/>
              </w:rPr>
            </w:pPr>
            <w:r>
              <w:rPr>
                <w:sz w:val="21"/>
              </w:rPr>
              <w:t>环境代价</w:t>
            </w:r>
          </w:p>
        </w:tc>
        <w:tc>
          <w:tcPr>
            <w:tcW w:w="782" w:type="dxa"/>
            <w:vMerge w:val="restart"/>
          </w:tcPr>
          <w:p>
            <w:pPr>
              <w:pStyle w:val="14"/>
              <w:jc w:val="left"/>
              <w:rPr>
                <w:rFonts w:ascii="黑体"/>
                <w:b/>
                <w:sz w:val="20"/>
              </w:rPr>
            </w:pPr>
          </w:p>
          <w:p>
            <w:pPr>
              <w:pStyle w:val="14"/>
              <w:spacing w:before="10"/>
              <w:jc w:val="left"/>
              <w:rPr>
                <w:rFonts w:ascii="黑体"/>
                <w:b/>
                <w:sz w:val="17"/>
              </w:rPr>
            </w:pPr>
          </w:p>
          <w:p>
            <w:pPr>
              <w:pStyle w:val="14"/>
              <w:spacing w:line="266" w:lineRule="auto"/>
              <w:ind w:left="180" w:right="171"/>
              <w:jc w:val="both"/>
              <w:rPr>
                <w:sz w:val="21"/>
              </w:rPr>
            </w:pPr>
            <w:r>
              <w:rPr>
                <w:sz w:val="21"/>
              </w:rPr>
              <w:t>环境保护费用</w:t>
            </w:r>
          </w:p>
        </w:tc>
        <w:tc>
          <w:tcPr>
            <w:tcW w:w="795" w:type="dxa"/>
          </w:tcPr>
          <w:p>
            <w:pPr>
              <w:pStyle w:val="14"/>
              <w:spacing w:before="179" w:line="266" w:lineRule="auto"/>
              <w:ind w:left="185" w:right="179"/>
              <w:jc w:val="left"/>
              <w:rPr>
                <w:sz w:val="21"/>
              </w:rPr>
            </w:pPr>
            <w:r>
              <w:rPr>
                <w:sz w:val="21"/>
              </w:rPr>
              <w:t>外部费用</w:t>
            </w:r>
          </w:p>
        </w:tc>
        <w:tc>
          <w:tcPr>
            <w:tcW w:w="912" w:type="dxa"/>
          </w:tcPr>
          <w:p>
            <w:pPr>
              <w:pStyle w:val="14"/>
              <w:spacing w:line="300" w:lineRule="atLeast"/>
              <w:ind w:left="141" w:right="129"/>
              <w:jc w:val="both"/>
              <w:rPr>
                <w:sz w:val="21"/>
              </w:rPr>
            </w:pPr>
            <w:r>
              <w:rPr>
                <w:sz w:val="21"/>
              </w:rPr>
              <w:t>环境治理和土地复垦</w:t>
            </w:r>
          </w:p>
        </w:tc>
        <w:tc>
          <w:tcPr>
            <w:tcW w:w="1112" w:type="dxa"/>
          </w:tcPr>
          <w:p>
            <w:pPr>
              <w:pStyle w:val="14"/>
              <w:spacing w:before="11"/>
              <w:jc w:val="left"/>
              <w:rPr>
                <w:rFonts w:ascii="黑体"/>
                <w:b/>
                <w:sz w:val="26"/>
              </w:rPr>
            </w:pPr>
          </w:p>
          <w:p>
            <w:pPr>
              <w:pStyle w:val="14"/>
              <w:ind w:left="141" w:right="133"/>
              <w:rPr>
                <w:rFonts w:ascii="Times New Roman"/>
                <w:sz w:val="21"/>
              </w:rPr>
            </w:pPr>
            <w:r>
              <w:rPr>
                <w:rFonts w:ascii="Times New Roman"/>
                <w:sz w:val="21"/>
              </w:rPr>
              <w:t>186.0125</w:t>
            </w:r>
          </w:p>
        </w:tc>
        <w:tc>
          <w:tcPr>
            <w:tcW w:w="1449" w:type="dxa"/>
          </w:tcPr>
          <w:p>
            <w:pPr>
              <w:pStyle w:val="14"/>
              <w:spacing w:before="11"/>
              <w:jc w:val="left"/>
              <w:rPr>
                <w:rFonts w:ascii="黑体"/>
                <w:b/>
                <w:sz w:val="26"/>
              </w:rPr>
            </w:pPr>
          </w:p>
          <w:p>
            <w:pPr>
              <w:pStyle w:val="14"/>
              <w:ind w:left="330"/>
              <w:jc w:val="left"/>
              <w:rPr>
                <w:rFonts w:ascii="Times New Roman"/>
                <w:sz w:val="21"/>
              </w:rPr>
            </w:pPr>
            <w:r>
              <w:rPr>
                <w:rFonts w:ascii="Times New Roman"/>
                <w:sz w:val="21"/>
              </w:rPr>
              <w:t>186.0125</w:t>
            </w:r>
          </w:p>
        </w:tc>
        <w:tc>
          <w:tcPr>
            <w:tcW w:w="1166" w:type="dxa"/>
          </w:tcPr>
          <w:p>
            <w:pPr>
              <w:pStyle w:val="14"/>
              <w:spacing w:before="11"/>
              <w:jc w:val="left"/>
              <w:rPr>
                <w:rFonts w:ascii="黑体"/>
                <w:b/>
                <w:sz w:val="26"/>
              </w:rPr>
            </w:pPr>
          </w:p>
          <w:p>
            <w:pPr>
              <w:pStyle w:val="14"/>
              <w:ind w:left="326" w:right="317"/>
              <w:rPr>
                <w:rFonts w:ascii="Times New Roman"/>
                <w:sz w:val="21"/>
              </w:rPr>
            </w:pPr>
            <w:r>
              <w:rPr>
                <w:rFonts w:ascii="Times New Roman"/>
                <w:sz w:val="21"/>
              </w:rPr>
              <w:t>12.08</w:t>
            </w:r>
          </w:p>
        </w:tc>
        <w:tc>
          <w:tcPr>
            <w:tcW w:w="1338" w:type="dxa"/>
            <w:vMerge w:val="restart"/>
          </w:tcPr>
          <w:p>
            <w:pPr>
              <w:pStyle w:val="14"/>
              <w:jc w:val="left"/>
              <w:rPr>
                <w:rFonts w:ascii="黑体"/>
                <w:b/>
                <w:sz w:val="22"/>
              </w:rPr>
            </w:pPr>
          </w:p>
          <w:p>
            <w:pPr>
              <w:pStyle w:val="14"/>
              <w:jc w:val="left"/>
              <w:rPr>
                <w:rFonts w:ascii="黑体"/>
                <w:b/>
                <w:sz w:val="22"/>
              </w:rPr>
            </w:pPr>
          </w:p>
          <w:p>
            <w:pPr>
              <w:pStyle w:val="14"/>
              <w:jc w:val="left"/>
              <w:rPr>
                <w:rFonts w:ascii="黑体"/>
                <w:b/>
                <w:sz w:val="22"/>
              </w:rPr>
            </w:pPr>
          </w:p>
          <w:p>
            <w:pPr>
              <w:pStyle w:val="14"/>
              <w:spacing w:before="11"/>
              <w:jc w:val="left"/>
              <w:rPr>
                <w:rFonts w:ascii="黑体"/>
                <w:b/>
                <w:sz w:val="31"/>
              </w:rPr>
            </w:pPr>
          </w:p>
          <w:p>
            <w:pPr>
              <w:pStyle w:val="14"/>
              <w:ind w:left="432"/>
              <w:jc w:val="left"/>
              <w:rPr>
                <w:rFonts w:ascii="Times New Roman"/>
                <w:sz w:val="21"/>
              </w:rPr>
            </w:pPr>
            <w:r>
              <w:rPr>
                <w:rFonts w:ascii="Times New Roman"/>
                <w:sz w:val="21"/>
              </w:rPr>
              <w:t>43.44</w:t>
            </w:r>
          </w:p>
        </w:tc>
        <w:tc>
          <w:tcPr>
            <w:tcW w:w="1325" w:type="dxa"/>
            <w:vMerge w:val="restart"/>
          </w:tcPr>
          <w:p>
            <w:pPr>
              <w:pStyle w:val="14"/>
              <w:jc w:val="left"/>
              <w:rPr>
                <w:rFonts w:ascii="黑体"/>
                <w:b/>
                <w:sz w:val="22"/>
              </w:rPr>
            </w:pPr>
          </w:p>
          <w:p>
            <w:pPr>
              <w:pStyle w:val="14"/>
              <w:jc w:val="left"/>
              <w:rPr>
                <w:rFonts w:ascii="黑体"/>
                <w:b/>
                <w:sz w:val="22"/>
              </w:rPr>
            </w:pPr>
          </w:p>
          <w:p>
            <w:pPr>
              <w:pStyle w:val="14"/>
              <w:jc w:val="left"/>
              <w:rPr>
                <w:rFonts w:ascii="黑体"/>
                <w:b/>
                <w:sz w:val="22"/>
              </w:rPr>
            </w:pPr>
          </w:p>
          <w:p>
            <w:pPr>
              <w:pStyle w:val="14"/>
              <w:jc w:val="left"/>
              <w:rPr>
                <w:rFonts w:ascii="黑体"/>
                <w:b/>
                <w:sz w:val="22"/>
              </w:rPr>
            </w:pPr>
          </w:p>
          <w:p>
            <w:pPr>
              <w:pStyle w:val="14"/>
              <w:jc w:val="left"/>
              <w:rPr>
                <w:rFonts w:ascii="黑体"/>
                <w:b/>
                <w:sz w:val="22"/>
              </w:rPr>
            </w:pPr>
          </w:p>
          <w:p>
            <w:pPr>
              <w:pStyle w:val="14"/>
              <w:jc w:val="left"/>
              <w:rPr>
                <w:rFonts w:ascii="黑体"/>
                <w:b/>
                <w:sz w:val="22"/>
              </w:rPr>
            </w:pPr>
          </w:p>
          <w:p>
            <w:pPr>
              <w:pStyle w:val="14"/>
              <w:jc w:val="left"/>
              <w:rPr>
                <w:rFonts w:ascii="黑体"/>
                <w:b/>
                <w:sz w:val="22"/>
              </w:rPr>
            </w:pPr>
          </w:p>
          <w:p>
            <w:pPr>
              <w:pStyle w:val="14"/>
              <w:spacing w:before="195"/>
              <w:ind w:left="426"/>
              <w:jc w:val="left"/>
              <w:rPr>
                <w:rFonts w:ascii="Times New Roman"/>
                <w:sz w:val="21"/>
              </w:rPr>
            </w:pPr>
            <w:r>
              <w:rPr>
                <w:rFonts w:ascii="Times New Roman"/>
                <w:sz w:val="21"/>
              </w:rPr>
              <w:t>58.29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trPr>
        <w:tc>
          <w:tcPr>
            <w:tcW w:w="640" w:type="dxa"/>
            <w:vMerge w:val="continue"/>
            <w:tcBorders>
              <w:top w:val="nil"/>
            </w:tcBorders>
          </w:tcPr>
          <w:p>
            <w:pPr>
              <w:rPr>
                <w:sz w:val="2"/>
                <w:szCs w:val="2"/>
              </w:rPr>
            </w:pPr>
          </w:p>
        </w:tc>
        <w:tc>
          <w:tcPr>
            <w:tcW w:w="782" w:type="dxa"/>
            <w:vMerge w:val="continue"/>
            <w:tcBorders>
              <w:top w:val="nil"/>
            </w:tcBorders>
          </w:tcPr>
          <w:p>
            <w:pPr>
              <w:rPr>
                <w:sz w:val="2"/>
                <w:szCs w:val="2"/>
              </w:rPr>
            </w:pPr>
          </w:p>
        </w:tc>
        <w:tc>
          <w:tcPr>
            <w:tcW w:w="795" w:type="dxa"/>
          </w:tcPr>
          <w:p>
            <w:pPr>
              <w:pStyle w:val="14"/>
              <w:spacing w:before="179" w:line="266" w:lineRule="auto"/>
              <w:ind w:left="185" w:right="179"/>
              <w:jc w:val="left"/>
              <w:rPr>
                <w:sz w:val="21"/>
              </w:rPr>
            </w:pPr>
            <w:r>
              <w:rPr>
                <w:sz w:val="21"/>
              </w:rPr>
              <w:t>内部费用</w:t>
            </w:r>
          </w:p>
        </w:tc>
        <w:tc>
          <w:tcPr>
            <w:tcW w:w="912" w:type="dxa"/>
          </w:tcPr>
          <w:p>
            <w:pPr>
              <w:pStyle w:val="14"/>
              <w:spacing w:line="300" w:lineRule="exact"/>
              <w:ind w:left="141" w:right="129"/>
              <w:jc w:val="both"/>
              <w:rPr>
                <w:sz w:val="21"/>
              </w:rPr>
            </w:pPr>
            <w:r>
              <w:rPr>
                <w:sz w:val="21"/>
              </w:rPr>
              <w:t>环境保护工程投资</w:t>
            </w:r>
          </w:p>
        </w:tc>
        <w:tc>
          <w:tcPr>
            <w:tcW w:w="1112" w:type="dxa"/>
          </w:tcPr>
          <w:p>
            <w:pPr>
              <w:pStyle w:val="14"/>
              <w:spacing w:before="11"/>
              <w:jc w:val="left"/>
              <w:rPr>
                <w:rFonts w:ascii="黑体"/>
                <w:b/>
                <w:sz w:val="26"/>
              </w:rPr>
            </w:pPr>
          </w:p>
          <w:p>
            <w:pPr>
              <w:pStyle w:val="14"/>
              <w:ind w:left="141" w:right="131"/>
              <w:rPr>
                <w:rFonts w:ascii="Times New Roman"/>
                <w:sz w:val="21"/>
              </w:rPr>
            </w:pPr>
            <w:r>
              <w:rPr>
                <w:rFonts w:ascii="Times New Roman"/>
                <w:sz w:val="21"/>
              </w:rPr>
              <w:t>328.9</w:t>
            </w:r>
          </w:p>
        </w:tc>
        <w:tc>
          <w:tcPr>
            <w:tcW w:w="1449" w:type="dxa"/>
            <w:vMerge w:val="restart"/>
          </w:tcPr>
          <w:p>
            <w:pPr>
              <w:pStyle w:val="14"/>
              <w:jc w:val="left"/>
              <w:rPr>
                <w:rFonts w:ascii="黑体"/>
                <w:b/>
                <w:sz w:val="22"/>
              </w:rPr>
            </w:pPr>
          </w:p>
          <w:p>
            <w:pPr>
              <w:pStyle w:val="14"/>
              <w:jc w:val="left"/>
              <w:rPr>
                <w:rFonts w:ascii="黑体"/>
                <w:b/>
                <w:sz w:val="22"/>
              </w:rPr>
            </w:pPr>
          </w:p>
          <w:p>
            <w:pPr>
              <w:pStyle w:val="14"/>
              <w:spacing w:before="3"/>
              <w:jc w:val="left"/>
              <w:rPr>
                <w:rFonts w:ascii="黑体"/>
                <w:b/>
                <w:sz w:val="18"/>
              </w:rPr>
            </w:pPr>
          </w:p>
          <w:p>
            <w:pPr>
              <w:pStyle w:val="14"/>
              <w:ind w:left="486"/>
              <w:jc w:val="left"/>
              <w:rPr>
                <w:rFonts w:ascii="Times New Roman"/>
                <w:sz w:val="21"/>
              </w:rPr>
            </w:pPr>
            <w:r>
              <w:rPr>
                <w:rFonts w:ascii="Times New Roman"/>
                <w:sz w:val="21"/>
              </w:rPr>
              <w:t>482.9</w:t>
            </w:r>
          </w:p>
        </w:tc>
        <w:tc>
          <w:tcPr>
            <w:tcW w:w="1166" w:type="dxa"/>
          </w:tcPr>
          <w:p>
            <w:pPr>
              <w:pStyle w:val="14"/>
              <w:spacing w:before="11"/>
              <w:jc w:val="left"/>
              <w:rPr>
                <w:rFonts w:ascii="黑体"/>
                <w:b/>
                <w:sz w:val="26"/>
              </w:rPr>
            </w:pPr>
          </w:p>
          <w:p>
            <w:pPr>
              <w:pStyle w:val="14"/>
              <w:ind w:left="326" w:right="317"/>
              <w:rPr>
                <w:rFonts w:ascii="Times New Roman"/>
                <w:sz w:val="21"/>
              </w:rPr>
            </w:pPr>
            <w:r>
              <w:rPr>
                <w:rFonts w:ascii="Times New Roman"/>
                <w:sz w:val="21"/>
              </w:rPr>
              <w:t>21.36</w:t>
            </w:r>
          </w:p>
        </w:tc>
        <w:tc>
          <w:tcPr>
            <w:tcW w:w="1338" w:type="dxa"/>
            <w:vMerge w:val="continue"/>
            <w:tcBorders>
              <w:top w:val="nil"/>
            </w:tcBorders>
          </w:tcPr>
          <w:p>
            <w:pPr>
              <w:rPr>
                <w:sz w:val="2"/>
                <w:szCs w:val="2"/>
              </w:rPr>
            </w:pPr>
          </w:p>
        </w:tc>
        <w:tc>
          <w:tcPr>
            <w:tcW w:w="132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trPr>
        <w:tc>
          <w:tcPr>
            <w:tcW w:w="640" w:type="dxa"/>
            <w:vMerge w:val="continue"/>
            <w:tcBorders>
              <w:top w:val="nil"/>
            </w:tcBorders>
          </w:tcPr>
          <w:p>
            <w:pPr>
              <w:rPr>
                <w:sz w:val="2"/>
                <w:szCs w:val="2"/>
              </w:rPr>
            </w:pPr>
          </w:p>
        </w:tc>
        <w:tc>
          <w:tcPr>
            <w:tcW w:w="782" w:type="dxa"/>
          </w:tcPr>
          <w:p>
            <w:pPr>
              <w:pStyle w:val="14"/>
              <w:jc w:val="left"/>
              <w:rPr>
                <w:rFonts w:ascii="Times New Roman"/>
                <w:sz w:val="22"/>
              </w:rPr>
            </w:pPr>
          </w:p>
        </w:tc>
        <w:tc>
          <w:tcPr>
            <w:tcW w:w="795" w:type="dxa"/>
          </w:tcPr>
          <w:p>
            <w:pPr>
              <w:pStyle w:val="14"/>
              <w:jc w:val="left"/>
              <w:rPr>
                <w:rFonts w:ascii="Times New Roman"/>
                <w:sz w:val="22"/>
              </w:rPr>
            </w:pPr>
          </w:p>
        </w:tc>
        <w:tc>
          <w:tcPr>
            <w:tcW w:w="912" w:type="dxa"/>
          </w:tcPr>
          <w:p>
            <w:pPr>
              <w:pStyle w:val="14"/>
              <w:spacing w:line="300" w:lineRule="exact"/>
              <w:ind w:left="141" w:right="129"/>
              <w:jc w:val="both"/>
              <w:rPr>
                <w:sz w:val="21"/>
              </w:rPr>
            </w:pPr>
            <w:r>
              <w:rPr>
                <w:sz w:val="21"/>
              </w:rPr>
              <w:t>环保工程运行费用</w:t>
            </w:r>
          </w:p>
        </w:tc>
        <w:tc>
          <w:tcPr>
            <w:tcW w:w="1112" w:type="dxa"/>
          </w:tcPr>
          <w:p>
            <w:pPr>
              <w:pStyle w:val="14"/>
              <w:spacing w:before="10"/>
              <w:jc w:val="left"/>
              <w:rPr>
                <w:rFonts w:ascii="黑体"/>
                <w:b/>
                <w:sz w:val="26"/>
              </w:rPr>
            </w:pPr>
          </w:p>
          <w:p>
            <w:pPr>
              <w:pStyle w:val="14"/>
              <w:spacing w:before="1"/>
              <w:ind w:left="141" w:right="131"/>
              <w:rPr>
                <w:rFonts w:ascii="Times New Roman"/>
                <w:sz w:val="21"/>
              </w:rPr>
            </w:pPr>
            <w:r>
              <w:rPr>
                <w:rFonts w:ascii="Times New Roman"/>
                <w:sz w:val="21"/>
              </w:rPr>
              <w:t>154</w:t>
            </w:r>
          </w:p>
        </w:tc>
        <w:tc>
          <w:tcPr>
            <w:tcW w:w="1449" w:type="dxa"/>
            <w:vMerge w:val="continue"/>
            <w:tcBorders>
              <w:top w:val="nil"/>
            </w:tcBorders>
          </w:tcPr>
          <w:p>
            <w:pPr>
              <w:rPr>
                <w:sz w:val="2"/>
                <w:szCs w:val="2"/>
              </w:rPr>
            </w:pPr>
          </w:p>
        </w:tc>
        <w:tc>
          <w:tcPr>
            <w:tcW w:w="1166" w:type="dxa"/>
          </w:tcPr>
          <w:p>
            <w:pPr>
              <w:pStyle w:val="14"/>
              <w:spacing w:before="10"/>
              <w:jc w:val="left"/>
              <w:rPr>
                <w:rFonts w:ascii="黑体"/>
                <w:b/>
                <w:sz w:val="26"/>
              </w:rPr>
            </w:pPr>
          </w:p>
          <w:p>
            <w:pPr>
              <w:pStyle w:val="14"/>
              <w:spacing w:before="1"/>
              <w:ind w:left="326" w:right="317"/>
              <w:rPr>
                <w:rFonts w:ascii="Times New Roman"/>
                <w:sz w:val="21"/>
              </w:rPr>
            </w:pPr>
            <w:r>
              <w:rPr>
                <w:rFonts w:ascii="Times New Roman"/>
                <w:sz w:val="21"/>
              </w:rPr>
              <w:t>10</w:t>
            </w:r>
          </w:p>
        </w:tc>
        <w:tc>
          <w:tcPr>
            <w:tcW w:w="1338" w:type="dxa"/>
            <w:vMerge w:val="continue"/>
            <w:tcBorders>
              <w:top w:val="nil"/>
            </w:tcBorders>
          </w:tcPr>
          <w:p>
            <w:pPr>
              <w:rPr>
                <w:sz w:val="2"/>
                <w:szCs w:val="2"/>
              </w:rPr>
            </w:pPr>
          </w:p>
        </w:tc>
        <w:tc>
          <w:tcPr>
            <w:tcW w:w="132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640" w:type="dxa"/>
            <w:vMerge w:val="continue"/>
            <w:tcBorders>
              <w:top w:val="nil"/>
            </w:tcBorders>
          </w:tcPr>
          <w:p>
            <w:pPr>
              <w:rPr>
                <w:sz w:val="2"/>
                <w:szCs w:val="2"/>
              </w:rPr>
            </w:pPr>
          </w:p>
        </w:tc>
        <w:tc>
          <w:tcPr>
            <w:tcW w:w="782" w:type="dxa"/>
            <w:vMerge w:val="restart"/>
          </w:tcPr>
          <w:p>
            <w:pPr>
              <w:pStyle w:val="14"/>
              <w:jc w:val="left"/>
              <w:rPr>
                <w:rFonts w:ascii="黑体"/>
                <w:b/>
                <w:sz w:val="20"/>
              </w:rPr>
            </w:pPr>
          </w:p>
          <w:p>
            <w:pPr>
              <w:pStyle w:val="14"/>
              <w:spacing w:before="3"/>
              <w:jc w:val="left"/>
              <w:rPr>
                <w:rFonts w:ascii="黑体"/>
                <w:b/>
                <w:sz w:val="18"/>
              </w:rPr>
            </w:pPr>
          </w:p>
          <w:p>
            <w:pPr>
              <w:pStyle w:val="14"/>
              <w:spacing w:line="266" w:lineRule="auto"/>
              <w:ind w:left="180" w:right="171"/>
              <w:jc w:val="both"/>
              <w:rPr>
                <w:sz w:val="21"/>
              </w:rPr>
            </w:pPr>
            <w:r>
              <w:rPr>
                <w:sz w:val="21"/>
              </w:rPr>
              <w:t>环境保护损失</w:t>
            </w:r>
          </w:p>
        </w:tc>
        <w:tc>
          <w:tcPr>
            <w:tcW w:w="1707" w:type="dxa"/>
            <w:gridSpan w:val="2"/>
          </w:tcPr>
          <w:p>
            <w:pPr>
              <w:pStyle w:val="14"/>
              <w:spacing w:before="29"/>
              <w:ind w:left="97" w:right="89"/>
              <w:rPr>
                <w:sz w:val="21"/>
              </w:rPr>
            </w:pPr>
            <w:r>
              <w:rPr>
                <w:sz w:val="21"/>
              </w:rPr>
              <w:t>煤炭资源流失价</w:t>
            </w:r>
          </w:p>
          <w:p>
            <w:pPr>
              <w:pStyle w:val="14"/>
              <w:spacing w:before="31" w:line="250" w:lineRule="exact"/>
              <w:ind w:left="6"/>
              <w:rPr>
                <w:sz w:val="21"/>
              </w:rPr>
            </w:pPr>
            <w:r>
              <w:rPr>
                <w:w w:val="99"/>
                <w:sz w:val="21"/>
              </w:rPr>
              <w:t>值</w:t>
            </w:r>
          </w:p>
        </w:tc>
        <w:tc>
          <w:tcPr>
            <w:tcW w:w="1112" w:type="dxa"/>
          </w:tcPr>
          <w:p>
            <w:pPr>
              <w:pStyle w:val="14"/>
              <w:spacing w:before="194"/>
              <w:ind w:left="6"/>
              <w:rPr>
                <w:rFonts w:ascii="Times New Roman"/>
                <w:sz w:val="21"/>
              </w:rPr>
            </w:pPr>
            <w:r>
              <w:rPr>
                <w:rFonts w:ascii="Times New Roman"/>
                <w:w w:val="99"/>
                <w:sz w:val="21"/>
              </w:rPr>
              <w:t>0</w:t>
            </w:r>
          </w:p>
        </w:tc>
        <w:tc>
          <w:tcPr>
            <w:tcW w:w="1449" w:type="dxa"/>
            <w:vMerge w:val="restart"/>
          </w:tcPr>
          <w:p>
            <w:pPr>
              <w:pStyle w:val="14"/>
              <w:jc w:val="left"/>
              <w:rPr>
                <w:rFonts w:ascii="黑体"/>
                <w:b/>
                <w:sz w:val="22"/>
              </w:rPr>
            </w:pPr>
          </w:p>
          <w:p>
            <w:pPr>
              <w:pStyle w:val="14"/>
              <w:jc w:val="left"/>
              <w:rPr>
                <w:rFonts w:ascii="黑体"/>
                <w:b/>
                <w:sz w:val="22"/>
              </w:rPr>
            </w:pPr>
          </w:p>
          <w:p>
            <w:pPr>
              <w:pStyle w:val="14"/>
              <w:spacing w:before="9"/>
              <w:jc w:val="left"/>
              <w:rPr>
                <w:rFonts w:ascii="黑体"/>
                <w:b/>
                <w:sz w:val="18"/>
              </w:rPr>
            </w:pPr>
          </w:p>
          <w:p>
            <w:pPr>
              <w:pStyle w:val="14"/>
              <w:spacing w:before="1"/>
              <w:ind w:left="486"/>
              <w:jc w:val="left"/>
              <w:rPr>
                <w:rFonts w:ascii="Times New Roman"/>
                <w:sz w:val="21"/>
              </w:rPr>
            </w:pPr>
            <w:r>
              <w:rPr>
                <w:rFonts w:ascii="Times New Roman"/>
                <w:sz w:val="21"/>
              </w:rPr>
              <w:t>14.85</w:t>
            </w:r>
          </w:p>
        </w:tc>
        <w:tc>
          <w:tcPr>
            <w:tcW w:w="1166" w:type="dxa"/>
            <w:vMerge w:val="restart"/>
          </w:tcPr>
          <w:p>
            <w:pPr>
              <w:pStyle w:val="14"/>
              <w:jc w:val="left"/>
              <w:rPr>
                <w:rFonts w:ascii="黑体"/>
                <w:b/>
                <w:sz w:val="22"/>
              </w:rPr>
            </w:pPr>
          </w:p>
          <w:p>
            <w:pPr>
              <w:pStyle w:val="14"/>
              <w:jc w:val="left"/>
              <w:rPr>
                <w:rFonts w:ascii="黑体"/>
                <w:b/>
                <w:sz w:val="22"/>
              </w:rPr>
            </w:pPr>
          </w:p>
          <w:p>
            <w:pPr>
              <w:pStyle w:val="14"/>
              <w:spacing w:before="9"/>
              <w:jc w:val="left"/>
              <w:rPr>
                <w:rFonts w:ascii="黑体"/>
                <w:b/>
                <w:sz w:val="18"/>
              </w:rPr>
            </w:pPr>
          </w:p>
          <w:p>
            <w:pPr>
              <w:pStyle w:val="14"/>
              <w:spacing w:before="1"/>
              <w:ind w:left="345"/>
              <w:jc w:val="left"/>
              <w:rPr>
                <w:rFonts w:ascii="Times New Roman"/>
                <w:sz w:val="21"/>
              </w:rPr>
            </w:pPr>
            <w:r>
              <w:rPr>
                <w:rFonts w:ascii="Times New Roman"/>
                <w:sz w:val="21"/>
              </w:rPr>
              <w:t>14.85</w:t>
            </w:r>
          </w:p>
        </w:tc>
        <w:tc>
          <w:tcPr>
            <w:tcW w:w="1338" w:type="dxa"/>
            <w:vMerge w:val="restart"/>
          </w:tcPr>
          <w:p>
            <w:pPr>
              <w:pStyle w:val="14"/>
              <w:jc w:val="left"/>
              <w:rPr>
                <w:rFonts w:ascii="黑体"/>
                <w:b/>
                <w:sz w:val="22"/>
              </w:rPr>
            </w:pPr>
          </w:p>
          <w:p>
            <w:pPr>
              <w:pStyle w:val="14"/>
              <w:jc w:val="left"/>
              <w:rPr>
                <w:rFonts w:ascii="黑体"/>
                <w:b/>
                <w:sz w:val="22"/>
              </w:rPr>
            </w:pPr>
          </w:p>
          <w:p>
            <w:pPr>
              <w:pStyle w:val="14"/>
              <w:spacing w:before="9"/>
              <w:jc w:val="left"/>
              <w:rPr>
                <w:rFonts w:ascii="黑体"/>
                <w:b/>
                <w:sz w:val="18"/>
              </w:rPr>
            </w:pPr>
          </w:p>
          <w:p>
            <w:pPr>
              <w:pStyle w:val="14"/>
              <w:spacing w:before="1"/>
              <w:ind w:left="432"/>
              <w:jc w:val="left"/>
              <w:rPr>
                <w:rFonts w:ascii="Times New Roman"/>
                <w:sz w:val="21"/>
              </w:rPr>
            </w:pPr>
            <w:r>
              <w:rPr>
                <w:rFonts w:ascii="Times New Roman"/>
                <w:sz w:val="21"/>
              </w:rPr>
              <w:t>14.85</w:t>
            </w:r>
          </w:p>
        </w:tc>
        <w:tc>
          <w:tcPr>
            <w:tcW w:w="132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640" w:type="dxa"/>
            <w:vMerge w:val="continue"/>
            <w:tcBorders>
              <w:top w:val="nil"/>
            </w:tcBorders>
          </w:tcPr>
          <w:p>
            <w:pPr>
              <w:rPr>
                <w:sz w:val="2"/>
                <w:szCs w:val="2"/>
              </w:rPr>
            </w:pPr>
          </w:p>
        </w:tc>
        <w:tc>
          <w:tcPr>
            <w:tcW w:w="782" w:type="dxa"/>
            <w:vMerge w:val="continue"/>
            <w:tcBorders>
              <w:top w:val="nil"/>
            </w:tcBorders>
          </w:tcPr>
          <w:p>
            <w:pPr>
              <w:rPr>
                <w:sz w:val="2"/>
                <w:szCs w:val="2"/>
              </w:rPr>
            </w:pPr>
          </w:p>
        </w:tc>
        <w:tc>
          <w:tcPr>
            <w:tcW w:w="1707" w:type="dxa"/>
            <w:gridSpan w:val="2"/>
          </w:tcPr>
          <w:p>
            <w:pPr>
              <w:pStyle w:val="14"/>
              <w:spacing w:before="29" w:line="251" w:lineRule="exact"/>
              <w:ind w:left="118"/>
              <w:jc w:val="left"/>
              <w:rPr>
                <w:sz w:val="21"/>
              </w:rPr>
            </w:pPr>
            <w:r>
              <w:rPr>
                <w:sz w:val="21"/>
              </w:rPr>
              <w:t>水资源流失价值</w:t>
            </w:r>
          </w:p>
        </w:tc>
        <w:tc>
          <w:tcPr>
            <w:tcW w:w="1112" w:type="dxa"/>
          </w:tcPr>
          <w:p>
            <w:pPr>
              <w:pStyle w:val="14"/>
              <w:spacing w:before="43" w:line="237" w:lineRule="exact"/>
              <w:ind w:left="141" w:right="131"/>
              <w:rPr>
                <w:rFonts w:ascii="Times New Roman"/>
                <w:sz w:val="21"/>
              </w:rPr>
            </w:pPr>
            <w:r>
              <w:rPr>
                <w:rFonts w:ascii="Times New Roman"/>
                <w:sz w:val="21"/>
              </w:rPr>
              <w:t>9.85</w:t>
            </w:r>
          </w:p>
        </w:tc>
        <w:tc>
          <w:tcPr>
            <w:tcW w:w="1449" w:type="dxa"/>
            <w:vMerge w:val="continue"/>
            <w:tcBorders>
              <w:top w:val="nil"/>
            </w:tcBorders>
          </w:tcPr>
          <w:p>
            <w:pPr>
              <w:rPr>
                <w:sz w:val="2"/>
                <w:szCs w:val="2"/>
              </w:rPr>
            </w:pPr>
          </w:p>
        </w:tc>
        <w:tc>
          <w:tcPr>
            <w:tcW w:w="1166" w:type="dxa"/>
            <w:vMerge w:val="continue"/>
            <w:tcBorders>
              <w:top w:val="nil"/>
            </w:tcBorders>
          </w:tcPr>
          <w:p>
            <w:pPr>
              <w:rPr>
                <w:sz w:val="2"/>
                <w:szCs w:val="2"/>
              </w:rPr>
            </w:pPr>
          </w:p>
        </w:tc>
        <w:tc>
          <w:tcPr>
            <w:tcW w:w="1338" w:type="dxa"/>
            <w:vMerge w:val="continue"/>
            <w:tcBorders>
              <w:top w:val="nil"/>
            </w:tcBorders>
          </w:tcPr>
          <w:p>
            <w:pPr>
              <w:rPr>
                <w:sz w:val="2"/>
                <w:szCs w:val="2"/>
              </w:rPr>
            </w:pPr>
          </w:p>
        </w:tc>
        <w:tc>
          <w:tcPr>
            <w:tcW w:w="132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640" w:type="dxa"/>
            <w:vMerge w:val="continue"/>
            <w:tcBorders>
              <w:top w:val="nil"/>
            </w:tcBorders>
          </w:tcPr>
          <w:p>
            <w:pPr>
              <w:rPr>
                <w:sz w:val="2"/>
                <w:szCs w:val="2"/>
              </w:rPr>
            </w:pPr>
          </w:p>
        </w:tc>
        <w:tc>
          <w:tcPr>
            <w:tcW w:w="782" w:type="dxa"/>
            <w:vMerge w:val="continue"/>
            <w:tcBorders>
              <w:top w:val="nil"/>
            </w:tcBorders>
          </w:tcPr>
          <w:p>
            <w:pPr>
              <w:rPr>
                <w:sz w:val="2"/>
                <w:szCs w:val="2"/>
              </w:rPr>
            </w:pPr>
          </w:p>
        </w:tc>
        <w:tc>
          <w:tcPr>
            <w:tcW w:w="1707" w:type="dxa"/>
            <w:gridSpan w:val="2"/>
          </w:tcPr>
          <w:p>
            <w:pPr>
              <w:pStyle w:val="14"/>
              <w:spacing w:line="300" w:lineRule="atLeast"/>
              <w:ind w:left="118" w:right="107"/>
              <w:rPr>
                <w:sz w:val="21"/>
              </w:rPr>
            </w:pPr>
            <w:r>
              <w:rPr>
                <w:rFonts w:ascii="Times New Roman" w:hAnsi="Times New Roman" w:eastAsia="Times New Roman"/>
                <w:sz w:val="21"/>
              </w:rPr>
              <w:t>“</w:t>
            </w:r>
            <w:r>
              <w:rPr>
                <w:sz w:val="21"/>
              </w:rPr>
              <w:t>三废</w:t>
            </w:r>
            <w:r>
              <w:rPr>
                <w:rFonts w:ascii="Times New Roman" w:hAnsi="Times New Roman" w:eastAsia="Times New Roman"/>
                <w:sz w:val="21"/>
              </w:rPr>
              <w:t>’</w:t>
            </w:r>
            <w:r>
              <w:rPr>
                <w:sz w:val="21"/>
              </w:rPr>
              <w:t>排放和噪声污染带来的损失</w:t>
            </w:r>
          </w:p>
        </w:tc>
        <w:tc>
          <w:tcPr>
            <w:tcW w:w="1112" w:type="dxa"/>
          </w:tcPr>
          <w:p>
            <w:pPr>
              <w:pStyle w:val="14"/>
              <w:spacing w:before="12"/>
              <w:jc w:val="left"/>
              <w:rPr>
                <w:rFonts w:ascii="黑体"/>
                <w:b/>
                <w:sz w:val="26"/>
              </w:rPr>
            </w:pPr>
          </w:p>
          <w:p>
            <w:pPr>
              <w:pStyle w:val="14"/>
              <w:ind w:left="6"/>
              <w:rPr>
                <w:rFonts w:ascii="Times New Roman"/>
                <w:sz w:val="21"/>
              </w:rPr>
            </w:pPr>
            <w:r>
              <w:rPr>
                <w:rFonts w:ascii="Times New Roman"/>
                <w:w w:val="99"/>
                <w:sz w:val="21"/>
              </w:rPr>
              <w:t>5</w:t>
            </w:r>
          </w:p>
        </w:tc>
        <w:tc>
          <w:tcPr>
            <w:tcW w:w="1449" w:type="dxa"/>
            <w:vMerge w:val="continue"/>
            <w:tcBorders>
              <w:top w:val="nil"/>
            </w:tcBorders>
          </w:tcPr>
          <w:p>
            <w:pPr>
              <w:rPr>
                <w:sz w:val="2"/>
                <w:szCs w:val="2"/>
              </w:rPr>
            </w:pPr>
          </w:p>
        </w:tc>
        <w:tc>
          <w:tcPr>
            <w:tcW w:w="1166" w:type="dxa"/>
            <w:vMerge w:val="continue"/>
            <w:tcBorders>
              <w:top w:val="nil"/>
            </w:tcBorders>
          </w:tcPr>
          <w:p>
            <w:pPr>
              <w:rPr>
                <w:sz w:val="2"/>
                <w:szCs w:val="2"/>
              </w:rPr>
            </w:pPr>
          </w:p>
        </w:tc>
        <w:tc>
          <w:tcPr>
            <w:tcW w:w="1338" w:type="dxa"/>
            <w:vMerge w:val="continue"/>
            <w:tcBorders>
              <w:top w:val="nil"/>
            </w:tcBorders>
          </w:tcPr>
          <w:p>
            <w:pPr>
              <w:rPr>
                <w:sz w:val="2"/>
                <w:szCs w:val="2"/>
              </w:rPr>
            </w:pPr>
          </w:p>
        </w:tc>
        <w:tc>
          <w:tcPr>
            <w:tcW w:w="132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3129" w:type="dxa"/>
            <w:gridSpan w:val="4"/>
          </w:tcPr>
          <w:p>
            <w:pPr>
              <w:pStyle w:val="14"/>
              <w:spacing w:before="30" w:line="249" w:lineRule="exact"/>
              <w:ind w:left="275"/>
              <w:jc w:val="left"/>
              <w:rPr>
                <w:sz w:val="21"/>
              </w:rPr>
            </w:pPr>
            <w:r>
              <w:rPr>
                <w:sz w:val="21"/>
              </w:rPr>
              <w:t>吨煤环境代价（元</w:t>
            </w:r>
            <w:r>
              <w:rPr>
                <w:rFonts w:ascii="Times New Roman" w:eastAsia="Times New Roman"/>
                <w:sz w:val="21"/>
              </w:rPr>
              <w:t>/</w:t>
            </w:r>
            <w:r>
              <w:rPr>
                <w:sz w:val="21"/>
              </w:rPr>
              <w:t>吨原煤）</w:t>
            </w:r>
          </w:p>
        </w:tc>
        <w:tc>
          <w:tcPr>
            <w:tcW w:w="6390" w:type="dxa"/>
            <w:gridSpan w:val="5"/>
          </w:tcPr>
          <w:p>
            <w:pPr>
              <w:pStyle w:val="14"/>
              <w:spacing w:before="44" w:line="235" w:lineRule="exact"/>
              <w:ind w:left="2884" w:right="2876"/>
              <w:rPr>
                <w:rFonts w:ascii="Times New Roman"/>
                <w:sz w:val="21"/>
              </w:rPr>
            </w:pPr>
            <w:r>
              <w:rPr>
                <w:rFonts w:ascii="Times New Roman"/>
                <w:sz w:val="21"/>
              </w:rPr>
              <w:t>1.94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3129" w:type="dxa"/>
            <w:gridSpan w:val="4"/>
          </w:tcPr>
          <w:p>
            <w:pPr>
              <w:pStyle w:val="14"/>
              <w:spacing w:before="30" w:line="250" w:lineRule="exact"/>
              <w:ind w:left="275"/>
              <w:jc w:val="left"/>
              <w:rPr>
                <w:sz w:val="21"/>
              </w:rPr>
            </w:pPr>
            <w:r>
              <w:rPr>
                <w:sz w:val="21"/>
              </w:rPr>
              <w:t>煤炭开采成本（元</w:t>
            </w:r>
            <w:r>
              <w:rPr>
                <w:rFonts w:ascii="Times New Roman" w:eastAsia="Times New Roman"/>
                <w:sz w:val="21"/>
              </w:rPr>
              <w:t>/</w:t>
            </w:r>
            <w:r>
              <w:rPr>
                <w:sz w:val="21"/>
              </w:rPr>
              <w:t>吨原煤）</w:t>
            </w:r>
          </w:p>
        </w:tc>
        <w:tc>
          <w:tcPr>
            <w:tcW w:w="6390" w:type="dxa"/>
            <w:gridSpan w:val="5"/>
          </w:tcPr>
          <w:p>
            <w:pPr>
              <w:pStyle w:val="14"/>
              <w:spacing w:before="44" w:line="236" w:lineRule="exact"/>
              <w:ind w:left="2886" w:right="2876"/>
              <w:rPr>
                <w:rFonts w:ascii="Times New Roman"/>
                <w:sz w:val="21"/>
              </w:rPr>
            </w:pPr>
            <w:r>
              <w:rPr>
                <w:rFonts w:ascii="Times New Roman"/>
                <w:sz w:val="21"/>
              </w:rPr>
              <w:t>314.59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3129" w:type="dxa"/>
            <w:gridSpan w:val="4"/>
          </w:tcPr>
          <w:p>
            <w:pPr>
              <w:pStyle w:val="14"/>
              <w:spacing w:line="300" w:lineRule="exact"/>
              <w:ind w:left="1161" w:right="189" w:hanging="963"/>
              <w:jc w:val="left"/>
              <w:rPr>
                <w:sz w:val="21"/>
              </w:rPr>
            </w:pPr>
            <w:r>
              <w:rPr>
                <w:sz w:val="21"/>
              </w:rPr>
              <w:t>环境代价占煤炭开采成本的比例（</w:t>
            </w:r>
            <w:r>
              <w:rPr>
                <w:rFonts w:ascii="Times New Roman" w:eastAsia="Times New Roman"/>
                <w:sz w:val="21"/>
              </w:rPr>
              <w:t>%</w:t>
            </w:r>
            <w:r>
              <w:rPr>
                <w:sz w:val="21"/>
              </w:rPr>
              <w:t>）</w:t>
            </w:r>
          </w:p>
        </w:tc>
        <w:tc>
          <w:tcPr>
            <w:tcW w:w="6390" w:type="dxa"/>
            <w:gridSpan w:val="5"/>
          </w:tcPr>
          <w:p>
            <w:pPr>
              <w:pStyle w:val="14"/>
              <w:spacing w:before="195"/>
              <w:ind w:left="2884" w:right="2876"/>
              <w:rPr>
                <w:rFonts w:ascii="Times New Roman"/>
                <w:sz w:val="21"/>
              </w:rPr>
            </w:pPr>
            <w:r>
              <w:rPr>
                <w:rFonts w:ascii="Times New Roman"/>
                <w:sz w:val="21"/>
              </w:rPr>
              <w:t>0.62</w:t>
            </w:r>
          </w:p>
        </w:tc>
      </w:tr>
    </w:tbl>
    <w:p>
      <w:pPr>
        <w:pStyle w:val="6"/>
        <w:spacing w:before="3"/>
        <w:rPr>
          <w:rFonts w:ascii="黑体"/>
          <w:b/>
          <w:sz w:val="20"/>
        </w:rPr>
      </w:pPr>
    </w:p>
    <w:p>
      <w:pPr>
        <w:pStyle w:val="13"/>
        <w:numPr>
          <w:ilvl w:val="1"/>
          <w:numId w:val="108"/>
        </w:numPr>
        <w:tabs>
          <w:tab w:val="left" w:pos="780"/>
        </w:tabs>
        <w:spacing w:before="0" w:after="0" w:line="240" w:lineRule="auto"/>
        <w:ind w:left="780" w:right="0" w:hanging="560"/>
        <w:jc w:val="left"/>
        <w:rPr>
          <w:b/>
          <w:sz w:val="28"/>
        </w:rPr>
      </w:pPr>
      <w:bookmarkStart w:id="1316" w:name="16.4环境保护工程的经济效益分析"/>
      <w:bookmarkEnd w:id="1316"/>
      <w:bookmarkStart w:id="1317" w:name="_bookmark96"/>
      <w:bookmarkEnd w:id="1317"/>
      <w:bookmarkStart w:id="1318" w:name="_bookmark96"/>
      <w:bookmarkEnd w:id="1318"/>
      <w:r>
        <w:rPr>
          <w:b/>
          <w:sz w:val="28"/>
        </w:rPr>
        <w:t>环境保护工程的经济效益分析</w:t>
      </w:r>
    </w:p>
    <w:p>
      <w:pPr>
        <w:pStyle w:val="13"/>
        <w:numPr>
          <w:ilvl w:val="2"/>
          <w:numId w:val="108"/>
        </w:numPr>
        <w:tabs>
          <w:tab w:val="left" w:pos="881"/>
        </w:tabs>
        <w:spacing w:before="185" w:after="0" w:line="240" w:lineRule="auto"/>
        <w:ind w:left="880" w:right="0" w:hanging="661"/>
        <w:jc w:val="left"/>
        <w:rPr>
          <w:rFonts w:ascii="Times New Roman" w:eastAsia="Times New Roman"/>
          <w:b/>
          <w:sz w:val="24"/>
        </w:rPr>
      </w:pPr>
      <w:bookmarkStart w:id="1319" w:name="16.4.1环境污染控制措施的经济效益"/>
      <w:bookmarkEnd w:id="1319"/>
      <w:bookmarkStart w:id="1320" w:name="16.4.1环境污染控制措施的经济效益"/>
      <w:bookmarkEnd w:id="1320"/>
      <w:r>
        <w:rPr>
          <w:b/>
          <w:sz w:val="24"/>
        </w:rPr>
        <w:t>环境污染控制措施的经济效益</w:t>
      </w:r>
    </w:p>
    <w:p>
      <w:pPr>
        <w:pStyle w:val="6"/>
        <w:spacing w:before="155" w:line="362" w:lineRule="auto"/>
        <w:ind w:left="220" w:right="338" w:firstLine="480"/>
      </w:pPr>
      <w:r>
        <w:rPr>
          <w:position w:val="2"/>
        </w:rPr>
        <w:t>环境污染控制措施的经济效益包括两方面，一是直接经济效益（</w:t>
      </w:r>
      <w:r>
        <w:rPr>
          <w:rFonts w:ascii="Times New Roman" w:eastAsia="Times New Roman"/>
          <w:position w:val="2"/>
        </w:rPr>
        <w:t>R</w:t>
      </w:r>
      <w:r>
        <w:rPr>
          <w:rFonts w:ascii="Times New Roman" w:eastAsia="Times New Roman"/>
          <w:position w:val="2"/>
          <w:vertAlign w:val="subscript"/>
        </w:rPr>
        <w:t>1</w:t>
      </w:r>
      <w:r>
        <w:rPr>
          <w:position w:val="2"/>
          <w:vertAlign w:val="baseline"/>
        </w:rPr>
        <w:t>），二是间接经济效益（</w:t>
      </w:r>
      <w:r>
        <w:rPr>
          <w:rFonts w:ascii="Times New Roman" w:eastAsia="Times New Roman"/>
          <w:position w:val="2"/>
          <w:vertAlign w:val="baseline"/>
        </w:rPr>
        <w:t>R</w:t>
      </w:r>
      <w:r>
        <w:rPr>
          <w:rFonts w:ascii="Times New Roman" w:eastAsia="Times New Roman"/>
          <w:position w:val="2"/>
          <w:vertAlign w:val="subscript"/>
        </w:rPr>
        <w:t>2</w:t>
      </w:r>
      <w:r>
        <w:rPr>
          <w:position w:val="2"/>
          <w:vertAlign w:val="baseline"/>
        </w:rPr>
        <w:t>）。</w:t>
      </w:r>
    </w:p>
    <w:p>
      <w:pPr>
        <w:tabs>
          <w:tab w:val="left" w:pos="2706"/>
          <w:tab w:val="left" w:pos="3358"/>
        </w:tabs>
        <w:spacing w:before="21" w:line="51" w:lineRule="exact"/>
        <w:ind w:left="1979" w:right="0" w:firstLine="0"/>
        <w:jc w:val="left"/>
        <w:rPr>
          <w:rFonts w:ascii="Times New Roman"/>
          <w:i/>
          <w:sz w:val="11"/>
        </w:rPr>
      </w:pPr>
      <w:r>
        <w:rPr>
          <w:rFonts w:ascii="Times New Roman"/>
          <w:i/>
          <w:sz w:val="11"/>
        </w:rPr>
        <w:t>n</w:t>
      </w:r>
      <w:r>
        <w:rPr>
          <w:rFonts w:ascii="Times New Roman"/>
          <w:i/>
          <w:sz w:val="11"/>
        </w:rPr>
        <w:tab/>
      </w:r>
      <w:r>
        <w:rPr>
          <w:rFonts w:ascii="Times New Roman"/>
          <w:i/>
          <w:sz w:val="11"/>
        </w:rPr>
        <w:t>n</w:t>
      </w:r>
      <w:r>
        <w:rPr>
          <w:rFonts w:ascii="Times New Roman"/>
          <w:i/>
          <w:sz w:val="11"/>
        </w:rPr>
        <w:tab/>
      </w:r>
      <w:r>
        <w:rPr>
          <w:rFonts w:ascii="Times New Roman"/>
          <w:i/>
          <w:sz w:val="11"/>
        </w:rPr>
        <w:t>i</w:t>
      </w:r>
    </w:p>
    <w:p>
      <w:pPr>
        <w:spacing w:before="0" w:line="315" w:lineRule="exact"/>
        <w:ind w:left="1488" w:right="0" w:firstLine="0"/>
        <w:jc w:val="left"/>
        <w:rPr>
          <w:rFonts w:ascii="Times New Roman" w:hAnsi="Times New Roman"/>
          <w:i/>
          <w:sz w:val="11"/>
        </w:rPr>
      </w:pPr>
      <w:r>
        <w:rPr>
          <w:rFonts w:ascii="Times New Roman" w:hAnsi="Times New Roman"/>
          <w:i/>
          <w:spacing w:val="-9"/>
          <w:w w:val="99"/>
          <w:position w:val="1"/>
          <w:sz w:val="29"/>
        </w:rPr>
        <w:t>R</w:t>
      </w:r>
      <w:r>
        <w:rPr>
          <w:rFonts w:ascii="Times New Roman" w:hAnsi="Times New Roman"/>
          <w:w w:val="101"/>
          <w:sz w:val="11"/>
        </w:rPr>
        <w:t>1</w:t>
      </w:r>
      <w:r>
        <w:rPr>
          <w:rFonts w:ascii="Times New Roman" w:hAnsi="Times New Roman"/>
          <w:sz w:val="11"/>
        </w:rPr>
        <w:t xml:space="preserve"> </w:t>
      </w:r>
      <w:r>
        <w:rPr>
          <w:rFonts w:ascii="Times New Roman" w:hAnsi="Times New Roman"/>
          <w:spacing w:val="-14"/>
          <w:sz w:val="11"/>
        </w:rPr>
        <w:t xml:space="preserve"> </w:t>
      </w:r>
      <w:r>
        <w:rPr>
          <w:rFonts w:ascii="Symbol" w:hAnsi="Symbol"/>
          <w:w w:val="101"/>
          <w:position w:val="7"/>
          <w:sz w:val="19"/>
        </w:rPr>
        <w:t></w:t>
      </w:r>
      <w:r>
        <w:rPr>
          <w:rFonts w:ascii="Times New Roman" w:hAnsi="Times New Roman"/>
          <w:spacing w:val="-1"/>
          <w:position w:val="7"/>
          <w:sz w:val="19"/>
        </w:rPr>
        <w:t xml:space="preserve"> </w:t>
      </w:r>
      <w:r>
        <w:rPr>
          <w:rFonts w:ascii="Symbol" w:hAnsi="Symbol"/>
          <w:w w:val="99"/>
          <w:position w:val="3"/>
          <w:sz w:val="29"/>
        </w:rPr>
        <w:t></w:t>
      </w:r>
      <w:r>
        <w:rPr>
          <w:rFonts w:ascii="Times New Roman" w:hAnsi="Times New Roman"/>
          <w:spacing w:val="-47"/>
          <w:position w:val="3"/>
          <w:sz w:val="29"/>
        </w:rPr>
        <w:t xml:space="preserve"> </w:t>
      </w:r>
      <w:r>
        <w:rPr>
          <w:rFonts w:ascii="Times New Roman" w:hAnsi="Times New Roman"/>
          <w:i/>
          <w:spacing w:val="38"/>
          <w:w w:val="99"/>
          <w:position w:val="1"/>
          <w:sz w:val="29"/>
        </w:rPr>
        <w:t>M</w:t>
      </w:r>
      <w:r>
        <w:rPr>
          <w:rFonts w:ascii="Times New Roman" w:hAnsi="Times New Roman"/>
          <w:i/>
          <w:w w:val="101"/>
          <w:sz w:val="11"/>
        </w:rPr>
        <w:t>i</w:t>
      </w:r>
      <w:r>
        <w:rPr>
          <w:rFonts w:ascii="Times New Roman" w:hAnsi="Times New Roman"/>
          <w:i/>
          <w:sz w:val="11"/>
        </w:rPr>
        <w:t xml:space="preserve"> </w:t>
      </w:r>
      <w:r>
        <w:rPr>
          <w:rFonts w:ascii="Times New Roman" w:hAnsi="Times New Roman"/>
          <w:i/>
          <w:spacing w:val="-13"/>
          <w:sz w:val="11"/>
        </w:rPr>
        <w:t xml:space="preserve"> </w:t>
      </w:r>
      <w:r>
        <w:rPr>
          <w:rFonts w:ascii="Symbol" w:hAnsi="Symbol"/>
          <w:w w:val="101"/>
          <w:position w:val="7"/>
          <w:sz w:val="19"/>
        </w:rPr>
        <w:t></w:t>
      </w:r>
      <w:r>
        <w:rPr>
          <w:rFonts w:ascii="Times New Roman" w:hAnsi="Times New Roman"/>
          <w:spacing w:val="-9"/>
          <w:position w:val="7"/>
          <w:sz w:val="19"/>
        </w:rPr>
        <w:t xml:space="preserve"> </w:t>
      </w:r>
      <w:r>
        <w:rPr>
          <w:rFonts w:ascii="Symbol" w:hAnsi="Symbol"/>
          <w:spacing w:val="12"/>
          <w:w w:val="99"/>
          <w:position w:val="3"/>
          <w:sz w:val="29"/>
        </w:rPr>
        <w:t></w:t>
      </w:r>
      <w:r>
        <w:rPr>
          <w:rFonts w:ascii="Times New Roman" w:hAnsi="Times New Roman"/>
          <w:i/>
          <w:spacing w:val="-1"/>
          <w:w w:val="99"/>
          <w:position w:val="1"/>
          <w:sz w:val="29"/>
        </w:rPr>
        <w:t>O</w:t>
      </w:r>
      <w:r>
        <w:rPr>
          <w:rFonts w:ascii="Times New Roman" w:hAnsi="Times New Roman"/>
          <w:i/>
          <w:w w:val="101"/>
          <w:sz w:val="11"/>
        </w:rPr>
        <w:t>i</w:t>
      </w:r>
      <w:r>
        <w:rPr>
          <w:rFonts w:ascii="Times New Roman" w:hAnsi="Times New Roman"/>
          <w:i/>
          <w:sz w:val="11"/>
        </w:rPr>
        <w:t xml:space="preserve"> </w:t>
      </w:r>
      <w:r>
        <w:rPr>
          <w:rFonts w:ascii="Times New Roman" w:hAnsi="Times New Roman"/>
          <w:i/>
          <w:spacing w:val="-13"/>
          <w:sz w:val="11"/>
        </w:rPr>
        <w:t xml:space="preserve"> </w:t>
      </w:r>
      <w:r>
        <w:rPr>
          <w:rFonts w:ascii="Symbol" w:hAnsi="Symbol"/>
          <w:w w:val="101"/>
          <w:position w:val="7"/>
          <w:sz w:val="19"/>
        </w:rPr>
        <w:t></w:t>
      </w:r>
      <w:r>
        <w:rPr>
          <w:rFonts w:ascii="Times New Roman" w:hAnsi="Times New Roman"/>
          <w:spacing w:val="-10"/>
          <w:position w:val="7"/>
          <w:sz w:val="19"/>
        </w:rPr>
        <w:t xml:space="preserve"> </w:t>
      </w:r>
      <w:r>
        <w:rPr>
          <w:rFonts w:ascii="Symbol" w:hAnsi="Symbol"/>
          <w:w w:val="99"/>
          <w:position w:val="3"/>
          <w:sz w:val="29"/>
        </w:rPr>
        <w:t></w:t>
      </w:r>
      <w:r>
        <w:rPr>
          <w:rFonts w:ascii="Times New Roman" w:hAnsi="Times New Roman"/>
          <w:spacing w:val="-47"/>
          <w:position w:val="3"/>
          <w:sz w:val="29"/>
        </w:rPr>
        <w:t xml:space="preserve"> </w:t>
      </w:r>
      <w:r>
        <w:rPr>
          <w:rFonts w:ascii="Times New Roman" w:hAnsi="Times New Roman"/>
          <w:i/>
          <w:spacing w:val="18"/>
          <w:w w:val="99"/>
          <w:position w:val="1"/>
          <w:sz w:val="29"/>
        </w:rPr>
        <w:t>S</w:t>
      </w:r>
      <w:r>
        <w:rPr>
          <w:rFonts w:ascii="Times New Roman" w:hAnsi="Times New Roman"/>
          <w:i/>
          <w:w w:val="101"/>
          <w:sz w:val="11"/>
        </w:rPr>
        <w:t>i</w:t>
      </w:r>
    </w:p>
    <w:p>
      <w:pPr>
        <w:spacing w:after="0" w:line="315" w:lineRule="exact"/>
        <w:jc w:val="left"/>
        <w:rPr>
          <w:rFonts w:ascii="Times New Roman" w:hAnsi="Times New Roman"/>
          <w:sz w:val="11"/>
        </w:rPr>
        <w:sectPr>
          <w:pgSz w:w="11910" w:h="16840"/>
          <w:pgMar w:top="1340" w:right="1020" w:bottom="1180" w:left="1140" w:header="0" w:footer="917" w:gutter="0"/>
        </w:sectPr>
      </w:pPr>
    </w:p>
    <w:p>
      <w:pPr>
        <w:spacing w:before="2"/>
        <w:ind w:left="0" w:right="0" w:firstLine="0"/>
        <w:jc w:val="right"/>
        <w:rPr>
          <w:rFonts w:ascii="Times New Roman" w:hAnsi="Times New Roman"/>
          <w:sz w:val="11"/>
        </w:rPr>
      </w:pPr>
      <w:r>
        <w:rPr>
          <w:rFonts w:ascii="Times New Roman" w:hAnsi="Times New Roman"/>
          <w:i/>
          <w:sz w:val="11"/>
        </w:rPr>
        <w:t>i</w:t>
      </w:r>
      <w:r>
        <w:rPr>
          <w:rFonts w:ascii="Symbol" w:hAnsi="Symbol"/>
          <w:sz w:val="11"/>
        </w:rPr>
        <w:t></w:t>
      </w:r>
      <w:r>
        <w:rPr>
          <w:rFonts w:ascii="Times New Roman" w:hAnsi="Times New Roman"/>
          <w:sz w:val="11"/>
        </w:rPr>
        <w:t>1</w:t>
      </w:r>
    </w:p>
    <w:p>
      <w:pPr>
        <w:spacing w:before="2"/>
        <w:ind w:left="0" w:right="0" w:firstLine="0"/>
        <w:jc w:val="right"/>
        <w:rPr>
          <w:rFonts w:ascii="Times New Roman" w:hAnsi="Times New Roman"/>
          <w:sz w:val="11"/>
        </w:rPr>
      </w:pPr>
      <w:r>
        <w:br w:type="column"/>
      </w:r>
      <w:r>
        <w:rPr>
          <w:rFonts w:ascii="Times New Roman" w:hAnsi="Times New Roman"/>
          <w:i/>
          <w:sz w:val="11"/>
        </w:rPr>
        <w:t>i</w:t>
      </w:r>
      <w:r>
        <w:rPr>
          <w:rFonts w:ascii="Symbol" w:hAnsi="Symbol"/>
          <w:sz w:val="11"/>
        </w:rPr>
        <w:t></w:t>
      </w:r>
      <w:r>
        <w:rPr>
          <w:rFonts w:ascii="Times New Roman" w:hAnsi="Times New Roman"/>
          <w:sz w:val="11"/>
        </w:rPr>
        <w:t>1</w:t>
      </w:r>
    </w:p>
    <w:p>
      <w:pPr>
        <w:spacing w:before="2"/>
        <w:ind w:left="452" w:right="0" w:firstLine="0"/>
        <w:jc w:val="left"/>
        <w:rPr>
          <w:rFonts w:ascii="Times New Roman" w:hAnsi="Times New Roman"/>
          <w:sz w:val="11"/>
        </w:rPr>
      </w:pPr>
      <w:r>
        <w:br w:type="column"/>
      </w:r>
      <w:r>
        <w:rPr>
          <w:rFonts w:ascii="Times New Roman" w:hAnsi="Times New Roman"/>
          <w:i/>
          <w:sz w:val="11"/>
        </w:rPr>
        <w:t>i</w:t>
      </w:r>
      <w:r>
        <w:rPr>
          <w:rFonts w:ascii="Symbol" w:hAnsi="Symbol"/>
          <w:sz w:val="11"/>
        </w:rPr>
        <w:t></w:t>
      </w:r>
      <w:r>
        <w:rPr>
          <w:rFonts w:ascii="Times New Roman" w:hAnsi="Times New Roman"/>
          <w:sz w:val="11"/>
        </w:rPr>
        <w:t>1</w:t>
      </w:r>
    </w:p>
    <w:p>
      <w:pPr>
        <w:spacing w:after="0"/>
        <w:jc w:val="left"/>
        <w:rPr>
          <w:rFonts w:ascii="Times New Roman" w:hAnsi="Times New Roman"/>
          <w:sz w:val="11"/>
        </w:rPr>
        <w:sectPr>
          <w:type w:val="continuous"/>
          <w:pgSz w:w="11910" w:h="16840"/>
          <w:pgMar w:top="1580" w:right="1020" w:bottom="280" w:left="1140" w:header="720" w:footer="720" w:gutter="0"/>
          <w:cols w:equalWidth="0" w:num="3">
            <w:col w:w="2086" w:space="40"/>
            <w:col w:w="688" w:space="39"/>
            <w:col w:w="6897"/>
          </w:cols>
        </w:sectPr>
      </w:pPr>
    </w:p>
    <w:p>
      <w:pPr>
        <w:pStyle w:val="6"/>
        <w:spacing w:before="152"/>
        <w:ind w:left="971"/>
      </w:pPr>
      <w:r>
        <w:rPr>
          <w:position w:val="2"/>
        </w:rPr>
        <w:t>式中：</w:t>
      </w:r>
      <w:r>
        <w:rPr>
          <w:rFonts w:ascii="Times New Roman" w:hAnsi="Times New Roman" w:eastAsia="Times New Roman"/>
          <w:position w:val="2"/>
        </w:rPr>
        <w:t>M</w:t>
      </w:r>
      <w:r>
        <w:rPr>
          <w:rFonts w:ascii="Times New Roman" w:hAnsi="Times New Roman" w:eastAsia="Times New Roman"/>
          <w:position w:val="2"/>
          <w:vertAlign w:val="subscript"/>
        </w:rPr>
        <w:t>i</w:t>
      </w:r>
      <w:r>
        <w:rPr>
          <w:rFonts w:ascii="Times New Roman" w:hAnsi="Times New Roman" w:eastAsia="Times New Roman"/>
          <w:position w:val="2"/>
          <w:vertAlign w:val="baseline"/>
        </w:rPr>
        <w:t xml:space="preserve"> ——</w:t>
      </w:r>
      <w:r>
        <w:rPr>
          <w:position w:val="2"/>
          <w:vertAlign w:val="baseline"/>
        </w:rPr>
        <w:t>为水资源利用的经济效益</w:t>
      </w:r>
    </w:p>
    <w:p>
      <w:pPr>
        <w:pStyle w:val="6"/>
        <w:spacing w:before="154"/>
        <w:ind w:left="1744"/>
      </w:pPr>
      <w:r>
        <w:rPr>
          <w:rFonts w:ascii="Times New Roman" w:hAnsi="Times New Roman" w:eastAsia="Times New Roman"/>
          <w:position w:val="2"/>
        </w:rPr>
        <w:t>O</w:t>
      </w:r>
      <w:r>
        <w:rPr>
          <w:rFonts w:ascii="Times New Roman" w:hAnsi="Times New Roman" w:eastAsia="Times New Roman"/>
          <w:position w:val="2"/>
          <w:vertAlign w:val="subscript"/>
        </w:rPr>
        <w:t>i——</w:t>
      </w:r>
      <w:r>
        <w:rPr>
          <w:position w:val="2"/>
          <w:vertAlign w:val="baseline"/>
        </w:rPr>
        <w:t>为废气利用的经济效益</w:t>
      </w:r>
    </w:p>
    <w:p>
      <w:pPr>
        <w:spacing w:after="0"/>
        <w:sectPr>
          <w:type w:val="continuous"/>
          <w:pgSz w:w="11910" w:h="16840"/>
          <w:pgMar w:top="1580" w:right="1020" w:bottom="280" w:left="1140" w:header="720" w:footer="720" w:gutter="0"/>
        </w:sectPr>
      </w:pPr>
    </w:p>
    <w:p>
      <w:pPr>
        <w:pStyle w:val="6"/>
        <w:spacing w:before="58"/>
        <w:ind w:left="1768"/>
      </w:pPr>
      <w:r>
        <w:rPr>
          <w:rFonts w:ascii="Times New Roman" w:hAnsi="Times New Roman" w:eastAsia="Times New Roman"/>
          <w:position w:val="2"/>
        </w:rPr>
        <w:t>S</w:t>
      </w:r>
      <w:r>
        <w:rPr>
          <w:rFonts w:ascii="Times New Roman" w:hAnsi="Times New Roman" w:eastAsia="Times New Roman"/>
          <w:position w:val="2"/>
          <w:vertAlign w:val="subscript"/>
        </w:rPr>
        <w:t>i——</w:t>
      </w:r>
      <w:r>
        <w:rPr>
          <w:position w:val="2"/>
          <w:vertAlign w:val="baseline"/>
        </w:rPr>
        <w:t>为固废利用的经济效益</w:t>
      </w:r>
    </w:p>
    <w:p>
      <w:pPr>
        <w:pStyle w:val="6"/>
        <w:spacing w:before="11"/>
        <w:rPr>
          <w:sz w:val="13"/>
        </w:rPr>
      </w:pPr>
    </w:p>
    <w:p>
      <w:pPr>
        <w:tabs>
          <w:tab w:val="left" w:pos="2639"/>
          <w:tab w:val="left" w:pos="3332"/>
        </w:tabs>
        <w:spacing w:before="0" w:line="51" w:lineRule="exact"/>
        <w:ind w:left="2011" w:right="0" w:firstLine="0"/>
        <w:jc w:val="left"/>
        <w:rPr>
          <w:rFonts w:ascii="Times New Roman"/>
          <w:i/>
          <w:sz w:val="11"/>
        </w:rPr>
      </w:pPr>
      <w:r>
        <w:rPr>
          <w:rFonts w:ascii="Times New Roman"/>
          <w:i/>
          <w:sz w:val="11"/>
        </w:rPr>
        <w:t>n</w:t>
      </w:r>
      <w:r>
        <w:rPr>
          <w:rFonts w:ascii="Times New Roman"/>
          <w:i/>
          <w:sz w:val="11"/>
        </w:rPr>
        <w:tab/>
      </w:r>
      <w:r>
        <w:rPr>
          <w:rFonts w:ascii="Times New Roman"/>
          <w:i/>
          <w:sz w:val="11"/>
        </w:rPr>
        <w:t>n</w:t>
      </w:r>
      <w:r>
        <w:rPr>
          <w:rFonts w:ascii="Times New Roman"/>
          <w:i/>
          <w:sz w:val="11"/>
        </w:rPr>
        <w:tab/>
      </w:r>
      <w:r>
        <w:rPr>
          <w:rFonts w:ascii="Times New Roman"/>
          <w:i/>
          <w:sz w:val="11"/>
        </w:rPr>
        <w:t>i</w:t>
      </w:r>
    </w:p>
    <w:p>
      <w:pPr>
        <w:spacing w:before="0" w:line="315" w:lineRule="exact"/>
        <w:ind w:left="1488" w:right="0" w:firstLine="0"/>
        <w:jc w:val="left"/>
        <w:rPr>
          <w:rFonts w:ascii="Times New Roman" w:hAnsi="Times New Roman"/>
          <w:i/>
          <w:sz w:val="11"/>
        </w:rPr>
      </w:pPr>
      <w:r>
        <w:rPr>
          <w:rFonts w:ascii="Times New Roman" w:hAnsi="Times New Roman"/>
          <w:i/>
          <w:spacing w:val="7"/>
          <w:w w:val="99"/>
          <w:position w:val="1"/>
          <w:sz w:val="29"/>
        </w:rPr>
        <w:t>R</w:t>
      </w:r>
      <w:r>
        <w:rPr>
          <w:rFonts w:ascii="Times New Roman" w:hAnsi="Times New Roman"/>
          <w:w w:val="101"/>
          <w:sz w:val="11"/>
        </w:rPr>
        <w:t>2</w:t>
      </w:r>
      <w:r>
        <w:rPr>
          <w:rFonts w:ascii="Times New Roman" w:hAnsi="Times New Roman"/>
          <w:sz w:val="11"/>
        </w:rPr>
        <w:t xml:space="preserve"> </w:t>
      </w:r>
      <w:r>
        <w:rPr>
          <w:rFonts w:ascii="Times New Roman" w:hAnsi="Times New Roman"/>
          <w:spacing w:val="-3"/>
          <w:sz w:val="11"/>
        </w:rPr>
        <w:t xml:space="preserve"> </w:t>
      </w:r>
      <w:r>
        <w:rPr>
          <w:rFonts w:ascii="Symbol" w:hAnsi="Symbol"/>
          <w:w w:val="101"/>
          <w:position w:val="7"/>
          <w:sz w:val="19"/>
        </w:rPr>
        <w:t></w:t>
      </w:r>
      <w:r>
        <w:rPr>
          <w:rFonts w:ascii="Times New Roman" w:hAnsi="Times New Roman"/>
          <w:spacing w:val="3"/>
          <w:position w:val="7"/>
          <w:sz w:val="19"/>
        </w:rPr>
        <w:t xml:space="preserve"> </w:t>
      </w:r>
      <w:r>
        <w:rPr>
          <w:rFonts w:ascii="Symbol" w:hAnsi="Symbol"/>
          <w:w w:val="99"/>
          <w:position w:val="3"/>
          <w:sz w:val="29"/>
        </w:rPr>
        <w:t></w:t>
      </w:r>
      <w:r>
        <w:rPr>
          <w:rFonts w:ascii="Times New Roman" w:hAnsi="Times New Roman"/>
          <w:spacing w:val="-33"/>
          <w:position w:val="3"/>
          <w:sz w:val="29"/>
        </w:rPr>
        <w:t xml:space="preserve"> </w:t>
      </w:r>
      <w:r>
        <w:rPr>
          <w:rFonts w:ascii="Times New Roman" w:hAnsi="Times New Roman"/>
          <w:i/>
          <w:w w:val="99"/>
          <w:position w:val="1"/>
          <w:sz w:val="29"/>
        </w:rPr>
        <w:t>J</w:t>
      </w:r>
      <w:r>
        <w:rPr>
          <w:rFonts w:ascii="Times New Roman" w:hAnsi="Times New Roman"/>
          <w:i/>
          <w:spacing w:val="-40"/>
          <w:position w:val="1"/>
          <w:sz w:val="29"/>
        </w:rPr>
        <w:t xml:space="preserve"> </w:t>
      </w:r>
      <w:r>
        <w:rPr>
          <w:rFonts w:ascii="Times New Roman" w:hAnsi="Times New Roman"/>
          <w:i/>
          <w:w w:val="101"/>
          <w:sz w:val="11"/>
        </w:rPr>
        <w:t>i</w:t>
      </w:r>
      <w:r>
        <w:rPr>
          <w:rFonts w:ascii="Times New Roman" w:hAnsi="Times New Roman"/>
          <w:i/>
          <w:sz w:val="11"/>
        </w:rPr>
        <w:t xml:space="preserve"> </w:t>
      </w:r>
      <w:r>
        <w:rPr>
          <w:rFonts w:ascii="Times New Roman" w:hAnsi="Times New Roman"/>
          <w:i/>
          <w:spacing w:val="-11"/>
          <w:sz w:val="11"/>
        </w:rPr>
        <w:t xml:space="preserve"> </w:t>
      </w:r>
      <w:r>
        <w:rPr>
          <w:rFonts w:ascii="Symbol" w:hAnsi="Symbol"/>
          <w:w w:val="101"/>
          <w:position w:val="7"/>
          <w:sz w:val="19"/>
        </w:rPr>
        <w:t></w:t>
      </w:r>
      <w:r>
        <w:rPr>
          <w:rFonts w:ascii="Times New Roman" w:hAnsi="Times New Roman"/>
          <w:spacing w:val="-7"/>
          <w:position w:val="7"/>
          <w:sz w:val="19"/>
        </w:rPr>
        <w:t xml:space="preserve"> </w:t>
      </w:r>
      <w:r>
        <w:rPr>
          <w:rFonts w:ascii="Symbol" w:hAnsi="Symbol"/>
          <w:w w:val="99"/>
          <w:position w:val="3"/>
          <w:sz w:val="29"/>
        </w:rPr>
        <w:t></w:t>
      </w:r>
      <w:r>
        <w:rPr>
          <w:rFonts w:ascii="Times New Roman" w:hAnsi="Times New Roman"/>
          <w:spacing w:val="-38"/>
          <w:position w:val="3"/>
          <w:sz w:val="29"/>
        </w:rPr>
        <w:t xml:space="preserve"> </w:t>
      </w:r>
      <w:r>
        <w:rPr>
          <w:rFonts w:ascii="Times New Roman" w:hAnsi="Times New Roman"/>
          <w:i/>
          <w:spacing w:val="28"/>
          <w:w w:val="99"/>
          <w:position w:val="1"/>
          <w:sz w:val="29"/>
        </w:rPr>
        <w:t>K</w:t>
      </w:r>
      <w:r>
        <w:rPr>
          <w:rFonts w:ascii="Times New Roman" w:hAnsi="Times New Roman"/>
          <w:i/>
          <w:w w:val="101"/>
          <w:sz w:val="11"/>
        </w:rPr>
        <w:t>i</w:t>
      </w:r>
      <w:r>
        <w:rPr>
          <w:rFonts w:ascii="Times New Roman" w:hAnsi="Times New Roman"/>
          <w:i/>
          <w:sz w:val="11"/>
        </w:rPr>
        <w:t xml:space="preserve"> </w:t>
      </w:r>
      <w:r>
        <w:rPr>
          <w:rFonts w:ascii="Times New Roman" w:hAnsi="Times New Roman"/>
          <w:i/>
          <w:spacing w:val="-11"/>
          <w:sz w:val="11"/>
        </w:rPr>
        <w:t xml:space="preserve"> </w:t>
      </w:r>
      <w:r>
        <w:rPr>
          <w:rFonts w:ascii="Symbol" w:hAnsi="Symbol"/>
          <w:w w:val="101"/>
          <w:position w:val="7"/>
          <w:sz w:val="19"/>
        </w:rPr>
        <w:t></w:t>
      </w:r>
      <w:r>
        <w:rPr>
          <w:rFonts w:ascii="Times New Roman" w:hAnsi="Times New Roman"/>
          <w:spacing w:val="-7"/>
          <w:position w:val="7"/>
          <w:sz w:val="19"/>
        </w:rPr>
        <w:t xml:space="preserve"> </w:t>
      </w:r>
      <w:r>
        <w:rPr>
          <w:rFonts w:ascii="Symbol" w:hAnsi="Symbol"/>
          <w:w w:val="99"/>
          <w:position w:val="3"/>
          <w:sz w:val="29"/>
        </w:rPr>
        <w:t></w:t>
      </w:r>
      <w:r>
        <w:rPr>
          <w:rFonts w:ascii="Times New Roman" w:hAnsi="Times New Roman"/>
          <w:spacing w:val="-37"/>
          <w:position w:val="3"/>
          <w:sz w:val="29"/>
        </w:rPr>
        <w:t xml:space="preserve"> </w:t>
      </w:r>
      <w:r>
        <w:rPr>
          <w:rFonts w:ascii="Times New Roman" w:hAnsi="Times New Roman"/>
          <w:i/>
          <w:spacing w:val="12"/>
          <w:w w:val="99"/>
          <w:position w:val="1"/>
          <w:sz w:val="29"/>
        </w:rPr>
        <w:t>E</w:t>
      </w:r>
      <w:r>
        <w:rPr>
          <w:rFonts w:ascii="Times New Roman" w:hAnsi="Times New Roman"/>
          <w:i/>
          <w:w w:val="101"/>
          <w:sz w:val="11"/>
        </w:rPr>
        <w:t>i</w:t>
      </w:r>
    </w:p>
    <w:p>
      <w:pPr>
        <w:spacing w:after="0" w:line="315" w:lineRule="exact"/>
        <w:jc w:val="left"/>
        <w:rPr>
          <w:rFonts w:ascii="Times New Roman" w:hAnsi="Times New Roman"/>
          <w:sz w:val="11"/>
        </w:rPr>
        <w:sectPr>
          <w:pgSz w:w="11910" w:h="16840"/>
          <w:pgMar w:top="1340" w:right="1020" w:bottom="1180" w:left="1140" w:header="0" w:footer="917" w:gutter="0"/>
        </w:sectPr>
      </w:pPr>
    </w:p>
    <w:p>
      <w:pPr>
        <w:spacing w:before="2"/>
        <w:ind w:left="0" w:right="0" w:firstLine="0"/>
        <w:jc w:val="right"/>
        <w:rPr>
          <w:rFonts w:ascii="Times New Roman" w:hAnsi="Times New Roman"/>
          <w:sz w:val="11"/>
        </w:rPr>
      </w:pPr>
      <w:r>
        <w:rPr>
          <w:rFonts w:ascii="Times New Roman" w:hAnsi="Times New Roman"/>
          <w:i/>
          <w:sz w:val="11"/>
        </w:rPr>
        <w:t>i</w:t>
      </w:r>
      <w:r>
        <w:rPr>
          <w:rFonts w:ascii="Symbol" w:hAnsi="Symbol"/>
          <w:sz w:val="11"/>
        </w:rPr>
        <w:t></w:t>
      </w:r>
      <w:r>
        <w:rPr>
          <w:rFonts w:ascii="Times New Roman" w:hAnsi="Times New Roman"/>
          <w:sz w:val="11"/>
        </w:rPr>
        <w:t>1</w:t>
      </w:r>
    </w:p>
    <w:p>
      <w:pPr>
        <w:spacing w:before="2"/>
        <w:ind w:left="0" w:right="0" w:firstLine="0"/>
        <w:jc w:val="right"/>
        <w:rPr>
          <w:rFonts w:ascii="Times New Roman" w:hAnsi="Times New Roman"/>
          <w:sz w:val="11"/>
        </w:rPr>
      </w:pPr>
      <w:r>
        <w:br w:type="column"/>
      </w:r>
      <w:r>
        <w:rPr>
          <w:rFonts w:ascii="Times New Roman" w:hAnsi="Times New Roman"/>
          <w:i/>
          <w:sz w:val="11"/>
        </w:rPr>
        <w:t>i</w:t>
      </w:r>
      <w:r>
        <w:rPr>
          <w:rFonts w:ascii="Symbol" w:hAnsi="Symbol"/>
          <w:sz w:val="11"/>
        </w:rPr>
        <w:t></w:t>
      </w:r>
      <w:r>
        <w:rPr>
          <w:rFonts w:ascii="Times New Roman" w:hAnsi="Times New Roman"/>
          <w:sz w:val="11"/>
        </w:rPr>
        <w:t>1</w:t>
      </w:r>
    </w:p>
    <w:p>
      <w:pPr>
        <w:spacing w:before="2"/>
        <w:ind w:left="490" w:right="0" w:firstLine="0"/>
        <w:jc w:val="left"/>
        <w:rPr>
          <w:rFonts w:ascii="Times New Roman" w:hAnsi="Times New Roman"/>
          <w:sz w:val="11"/>
        </w:rPr>
      </w:pPr>
      <w:r>
        <w:br w:type="column"/>
      </w:r>
      <w:r>
        <w:rPr>
          <w:rFonts w:ascii="Times New Roman" w:hAnsi="Times New Roman"/>
          <w:i/>
          <w:sz w:val="11"/>
        </w:rPr>
        <w:t>i</w:t>
      </w:r>
      <w:r>
        <w:rPr>
          <w:rFonts w:ascii="Symbol" w:hAnsi="Symbol"/>
          <w:sz w:val="11"/>
        </w:rPr>
        <w:t></w:t>
      </w:r>
      <w:r>
        <w:rPr>
          <w:rFonts w:ascii="Times New Roman" w:hAnsi="Times New Roman"/>
          <w:sz w:val="11"/>
        </w:rPr>
        <w:t>1</w:t>
      </w:r>
    </w:p>
    <w:p>
      <w:pPr>
        <w:spacing w:after="0"/>
        <w:jc w:val="left"/>
        <w:rPr>
          <w:rFonts w:ascii="Times New Roman" w:hAnsi="Times New Roman"/>
          <w:sz w:val="11"/>
        </w:rPr>
        <w:sectPr>
          <w:type w:val="continuous"/>
          <w:pgSz w:w="11910" w:h="16840"/>
          <w:pgMar w:top="1580" w:right="1020" w:bottom="280" w:left="1140" w:header="720" w:footer="720" w:gutter="0"/>
          <w:cols w:equalWidth="0" w:num="3">
            <w:col w:w="2120" w:space="40"/>
            <w:col w:w="589" w:space="39"/>
            <w:col w:w="6962"/>
          </w:cols>
        </w:sectPr>
      </w:pPr>
    </w:p>
    <w:p>
      <w:pPr>
        <w:pStyle w:val="6"/>
        <w:spacing w:before="152"/>
        <w:ind w:left="971"/>
      </w:pPr>
      <w:r>
        <w:rPr>
          <w:position w:val="2"/>
        </w:rPr>
        <w:t>式中：</w:t>
      </w:r>
      <w:r>
        <w:rPr>
          <w:rFonts w:ascii="Times New Roman" w:hAnsi="Times New Roman" w:eastAsia="Times New Roman"/>
          <w:position w:val="2"/>
        </w:rPr>
        <w:t>J</w:t>
      </w:r>
      <w:r>
        <w:rPr>
          <w:rFonts w:ascii="Times New Roman" w:hAnsi="Times New Roman" w:eastAsia="Times New Roman"/>
          <w:position w:val="2"/>
          <w:vertAlign w:val="subscript"/>
        </w:rPr>
        <w:t>i</w:t>
      </w:r>
      <w:r>
        <w:rPr>
          <w:rFonts w:ascii="Times New Roman" w:hAnsi="Times New Roman" w:eastAsia="Times New Roman"/>
          <w:position w:val="2"/>
          <w:vertAlign w:val="baseline"/>
        </w:rPr>
        <w:t>—</w:t>
      </w:r>
      <w:r>
        <w:rPr>
          <w:position w:val="2"/>
          <w:vertAlign w:val="baseline"/>
        </w:rPr>
        <w:t>为控制污染后对环境减少的损失</w:t>
      </w:r>
    </w:p>
    <w:p>
      <w:pPr>
        <w:pStyle w:val="6"/>
        <w:spacing w:before="156"/>
        <w:ind w:left="1668"/>
      </w:pPr>
      <w:r>
        <w:rPr>
          <w:rFonts w:ascii="Times New Roman" w:hAnsi="Times New Roman" w:eastAsia="Times New Roman"/>
          <w:position w:val="2"/>
        </w:rPr>
        <w:t>K</w:t>
      </w:r>
      <w:r>
        <w:rPr>
          <w:rFonts w:ascii="Times New Roman" w:hAnsi="Times New Roman" w:eastAsia="Times New Roman"/>
          <w:position w:val="2"/>
          <w:vertAlign w:val="subscript"/>
        </w:rPr>
        <w:t>i——</w:t>
      </w:r>
      <w:r>
        <w:rPr>
          <w:position w:val="2"/>
          <w:vertAlign w:val="baseline"/>
        </w:rPr>
        <w:t>为控制污染后对人体健康减少的损失</w:t>
      </w:r>
    </w:p>
    <w:p>
      <w:pPr>
        <w:pStyle w:val="6"/>
        <w:spacing w:before="154"/>
        <w:ind w:left="1692"/>
      </w:pPr>
      <w:r>
        <w:rPr>
          <w:rFonts w:ascii="Times New Roman" w:hAnsi="Times New Roman" w:eastAsia="Times New Roman"/>
          <w:position w:val="2"/>
        </w:rPr>
        <w:t>E</w:t>
      </w:r>
      <w:r>
        <w:rPr>
          <w:rFonts w:ascii="Times New Roman" w:hAnsi="Times New Roman" w:eastAsia="Times New Roman"/>
          <w:position w:val="2"/>
          <w:vertAlign w:val="subscript"/>
        </w:rPr>
        <w:t>i</w:t>
      </w:r>
      <w:r>
        <w:rPr>
          <w:rFonts w:ascii="Times New Roman" w:hAnsi="Times New Roman" w:eastAsia="Times New Roman"/>
          <w:position w:val="2"/>
          <w:vertAlign w:val="baseline"/>
        </w:rPr>
        <w:t>—</w:t>
      </w:r>
      <w:r>
        <w:rPr>
          <w:position w:val="2"/>
          <w:vertAlign w:val="baseline"/>
        </w:rPr>
        <w:t>为控制污染后减少的排污费、赔偿费、罚款等</w:t>
      </w:r>
    </w:p>
    <w:p>
      <w:pPr>
        <w:pStyle w:val="6"/>
        <w:spacing w:before="159"/>
        <w:ind w:right="338"/>
        <w:jc w:val="right"/>
        <w:rPr>
          <w:rFonts w:ascii="Times New Roman" w:eastAsia="Times New Roman"/>
        </w:rPr>
      </w:pPr>
      <w:r>
        <w:rPr>
          <w:spacing w:val="-4"/>
        </w:rPr>
        <w:t xml:space="preserve">具体分析如下：每年处理后回用水 </w:t>
      </w:r>
      <w:r>
        <w:rPr>
          <w:rFonts w:ascii="Times New Roman" w:eastAsia="Times New Roman"/>
        </w:rPr>
        <w:t>13.46</w:t>
      </w:r>
      <w:r>
        <w:rPr>
          <w:rFonts w:ascii="Times New Roman" w:eastAsia="Times New Roman"/>
          <w:spacing w:val="8"/>
        </w:rPr>
        <w:t xml:space="preserve"> </w:t>
      </w:r>
      <w:r>
        <w:rPr>
          <w:spacing w:val="-28"/>
        </w:rPr>
        <w:t xml:space="preserve">万 </w:t>
      </w:r>
      <w:r>
        <w:rPr>
          <w:rFonts w:ascii="Times New Roman" w:eastAsia="Times New Roman"/>
          <w:spacing w:val="3"/>
        </w:rPr>
        <w:t>t</w:t>
      </w:r>
      <w:r>
        <w:rPr>
          <w:spacing w:val="-10"/>
        </w:rPr>
        <w:t xml:space="preserve">，按单价 </w:t>
      </w:r>
      <w:r>
        <w:rPr>
          <w:rFonts w:ascii="Times New Roman" w:eastAsia="Times New Roman"/>
        </w:rPr>
        <w:t>2</w:t>
      </w:r>
      <w:r>
        <w:rPr>
          <w:rFonts w:ascii="Times New Roman" w:eastAsia="Times New Roman"/>
          <w:spacing w:val="8"/>
        </w:rPr>
        <w:t xml:space="preserve"> </w:t>
      </w:r>
      <w:r>
        <w:rPr>
          <w:spacing w:val="-6"/>
        </w:rPr>
        <w:t xml:space="preserve">元计算，每年可节约 </w:t>
      </w:r>
      <w:r>
        <w:rPr>
          <w:rFonts w:ascii="Times New Roman" w:eastAsia="Times New Roman"/>
        </w:rPr>
        <w:t>26.92</w:t>
      </w:r>
    </w:p>
    <w:p>
      <w:pPr>
        <w:pStyle w:val="6"/>
        <w:spacing w:before="158"/>
        <w:ind w:right="338"/>
        <w:jc w:val="right"/>
        <w:rPr>
          <w:rFonts w:ascii="Times New Roman" w:eastAsia="Times New Roman"/>
        </w:rPr>
      </w:pPr>
      <w:r>
        <w:rPr>
          <w:spacing w:val="-13"/>
        </w:rPr>
        <w:t xml:space="preserve">万元，同时对废水、废气、噪声和固废的治理每年可减少排污费 </w:t>
      </w:r>
      <w:r>
        <w:rPr>
          <w:rFonts w:ascii="Times New Roman" w:eastAsia="Times New Roman"/>
        </w:rPr>
        <w:t xml:space="preserve">20 </w:t>
      </w:r>
      <w:r>
        <w:rPr>
          <w:spacing w:val="-12"/>
        </w:rPr>
        <w:t xml:space="preserve">万元，减少赔偿费 </w:t>
      </w:r>
      <w:r>
        <w:rPr>
          <w:rFonts w:ascii="Times New Roman" w:eastAsia="Times New Roman"/>
        </w:rPr>
        <w:t>25</w:t>
      </w:r>
    </w:p>
    <w:p>
      <w:pPr>
        <w:pStyle w:val="6"/>
        <w:spacing w:before="161"/>
        <w:ind w:left="220"/>
      </w:pPr>
      <w:r>
        <w:t xml:space="preserve">万元，合计 </w:t>
      </w:r>
      <w:r>
        <w:rPr>
          <w:rFonts w:ascii="Times New Roman" w:eastAsia="Times New Roman"/>
        </w:rPr>
        <w:t xml:space="preserve">66.62 </w:t>
      </w:r>
      <w:r>
        <w:t>万元。</w:t>
      </w:r>
    </w:p>
    <w:p>
      <w:pPr>
        <w:pStyle w:val="5"/>
        <w:numPr>
          <w:ilvl w:val="2"/>
          <w:numId w:val="108"/>
        </w:numPr>
        <w:tabs>
          <w:tab w:val="left" w:pos="881"/>
        </w:tabs>
        <w:spacing w:before="158" w:after="0" w:line="240" w:lineRule="auto"/>
        <w:ind w:left="880" w:right="0" w:hanging="661"/>
        <w:jc w:val="left"/>
        <w:rPr>
          <w:rFonts w:ascii="Times New Roman" w:eastAsia="Times New Roman"/>
        </w:rPr>
      </w:pPr>
      <w:bookmarkStart w:id="1321" w:name="16.4.2费用效益比"/>
      <w:bookmarkEnd w:id="1321"/>
      <w:bookmarkStart w:id="1322" w:name="16.4.2费用效益比"/>
      <w:bookmarkEnd w:id="1322"/>
      <w:r>
        <w:t>费用效益比</w:t>
      </w:r>
    </w:p>
    <w:p>
      <w:pPr>
        <w:pStyle w:val="6"/>
        <w:spacing w:before="160" w:line="362" w:lineRule="auto"/>
        <w:ind w:left="220" w:right="338" w:firstLine="480"/>
      </w:pPr>
      <w:r>
        <w:t>费用效益比指因环境污染治理减少的经济损失与年环保费用的百分比，即单位环保费用所产生的经济价值。</w:t>
      </w:r>
    </w:p>
    <w:p>
      <w:pPr>
        <w:pStyle w:val="6"/>
        <w:spacing w:before="5"/>
        <w:ind w:left="580"/>
      </w:pPr>
      <w:r>
        <mc:AlternateContent>
          <mc:Choice Requires="wps">
            <w:drawing>
              <wp:anchor distT="0" distB="0" distL="0" distR="0" simplePos="0" relativeHeight="251813888" behindDoc="1" locked="0" layoutInCell="1" allowOverlap="1">
                <wp:simplePos x="0" y="0"/>
                <wp:positionH relativeFrom="page">
                  <wp:posOffset>3199765</wp:posOffset>
                </wp:positionH>
                <wp:positionV relativeFrom="paragraph">
                  <wp:posOffset>313055</wp:posOffset>
                </wp:positionV>
                <wp:extent cx="44450" cy="97790"/>
                <wp:effectExtent l="0" t="0" r="0" b="0"/>
                <wp:wrapTopAndBottom/>
                <wp:docPr id="259" name="文本框 220"/>
                <wp:cNvGraphicFramePr/>
                <a:graphic xmlns:a="http://schemas.openxmlformats.org/drawingml/2006/main">
                  <a:graphicData uri="http://schemas.microsoft.com/office/word/2010/wordprocessingShape">
                    <wps:wsp>
                      <wps:cNvSpPr txBox="1"/>
                      <wps:spPr>
                        <a:xfrm>
                          <a:off x="0" y="0"/>
                          <a:ext cx="44450" cy="97790"/>
                        </a:xfrm>
                        <a:prstGeom prst="rect">
                          <a:avLst/>
                        </a:prstGeom>
                        <a:noFill/>
                        <a:ln>
                          <a:noFill/>
                        </a:ln>
                      </wps:spPr>
                      <wps:txbx>
                        <w:txbxContent>
                          <w:p>
                            <w:pPr>
                              <w:spacing w:before="0" w:line="154" w:lineRule="exact"/>
                              <w:ind w:left="0" w:right="0" w:firstLine="0"/>
                              <w:jc w:val="left"/>
                              <w:rPr>
                                <w:rFonts w:ascii="Times New Roman"/>
                                <w:i/>
                                <w:sz w:val="14"/>
                              </w:rPr>
                            </w:pPr>
                            <w:r>
                              <w:rPr>
                                <w:rFonts w:ascii="Times New Roman"/>
                                <w:i/>
                                <w:w w:val="99"/>
                                <w:sz w:val="14"/>
                              </w:rPr>
                              <w:t>n</w:t>
                            </w:r>
                          </w:p>
                        </w:txbxContent>
                      </wps:txbx>
                      <wps:bodyPr lIns="0" tIns="0" rIns="0" bIns="0" upright="1"/>
                    </wps:wsp>
                  </a:graphicData>
                </a:graphic>
              </wp:anchor>
            </w:drawing>
          </mc:Choice>
          <mc:Fallback>
            <w:pict>
              <v:shape id="文本框 220" o:spid="_x0000_s1026" o:spt="202" type="#_x0000_t202" style="position:absolute;left:0pt;margin-left:251.95pt;margin-top:24.65pt;height:7.7pt;width:3.5pt;mso-position-horizontal-relative:page;mso-wrap-distance-bottom:0pt;mso-wrap-distance-top:0pt;z-index:-251502592;mso-width-relative:page;mso-height-relative:page;" filled="f" stroked="f" coordsize="21600,21600" o:gfxdata="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CQ3SkvYAAAACQEAAA8AAAAAAAAA&#10;AQAgAAAAIgAAAGRycy9kb3ducmV2LnhtbFBLAQIUABQAAAAIAIdO4kBvaUaWnwEAACUDAAAOAAAA&#10;AAAAAAEAIAAAACcBAABkcnMvZTJvRG9jLnhtbFBLBQYAAAAABgAGAFkBAAA4BQAAAAA=&#10;">
                <v:fill on="f" focussize="0,0"/>
                <v:stroke on="f"/>
                <v:imagedata o:title=""/>
                <o:lock v:ext="edit" aspectratio="f"/>
                <v:textbox inset="0mm,0mm,0mm,0mm">
                  <w:txbxContent>
                    <w:p>
                      <w:pPr>
                        <w:spacing w:before="0" w:line="154" w:lineRule="exact"/>
                        <w:ind w:left="0" w:right="0" w:firstLine="0"/>
                        <w:jc w:val="left"/>
                        <w:rPr>
                          <w:rFonts w:ascii="Times New Roman"/>
                          <w:i/>
                          <w:sz w:val="14"/>
                        </w:rPr>
                      </w:pPr>
                      <w:r>
                        <w:rPr>
                          <w:rFonts w:ascii="Times New Roman"/>
                          <w:i/>
                          <w:w w:val="99"/>
                          <w:sz w:val="14"/>
                        </w:rPr>
                        <w:t>n</w:t>
                      </w:r>
                    </w:p>
                  </w:txbxContent>
                </v:textbox>
                <w10:wrap type="topAndBottom"/>
              </v:shape>
            </w:pict>
          </mc:Fallback>
        </mc:AlternateContent>
      </w:r>
      <w:r>
        <w:t>费用效益比按下式计算：</w:t>
      </w:r>
    </w:p>
    <w:p>
      <w:pPr>
        <w:pStyle w:val="6"/>
        <w:spacing w:before="5"/>
        <w:rPr>
          <w:sz w:val="11"/>
        </w:rPr>
      </w:pPr>
    </w:p>
    <w:p>
      <w:pPr>
        <w:spacing w:before="0" w:line="310" w:lineRule="exact"/>
        <w:ind w:left="0" w:right="1621" w:firstLine="0"/>
        <w:jc w:val="center"/>
        <w:rPr>
          <w:rFonts w:ascii="Times New Roman" w:hAnsi="Times New Roman"/>
          <w:i/>
          <w:sz w:val="24"/>
        </w:rPr>
      </w:pPr>
      <w:r>
        <w:rPr>
          <w:rFonts w:ascii="Symbol" w:hAnsi="Symbol"/>
          <w:position w:val="-5"/>
          <w:sz w:val="35"/>
        </w:rPr>
        <w:t></w:t>
      </w:r>
      <w:r>
        <w:rPr>
          <w:rFonts w:ascii="Times New Roman" w:hAnsi="Times New Roman"/>
          <w:position w:val="-5"/>
          <w:sz w:val="35"/>
        </w:rPr>
        <w:t xml:space="preserve"> </w:t>
      </w:r>
      <w:r>
        <w:rPr>
          <w:rFonts w:ascii="Times New Roman" w:hAnsi="Times New Roman"/>
          <w:i/>
          <w:sz w:val="24"/>
        </w:rPr>
        <w:t>Ri</w:t>
      </w:r>
    </w:p>
    <w:p>
      <w:pPr>
        <w:tabs>
          <w:tab w:val="left" w:pos="1072"/>
        </w:tabs>
        <w:spacing w:before="0" w:line="225" w:lineRule="exact"/>
        <w:ind w:left="0" w:right="2149" w:firstLine="0"/>
        <w:jc w:val="center"/>
        <w:rPr>
          <w:rFonts w:ascii="Times New Roman" w:hAnsi="Times New Roman"/>
          <w:sz w:val="14"/>
        </w:rPr>
      </w:pPr>
      <w:r>
        <w:rPr>
          <w:rFonts w:ascii="Times New Roman" w:hAnsi="Times New Roman"/>
          <w:i/>
          <w:position w:val="-9"/>
          <w:sz w:val="24"/>
        </w:rPr>
        <w:t xml:space="preserve">ZJ  </w:t>
      </w:r>
      <w:r>
        <w:rPr>
          <w:rFonts w:ascii="Symbol" w:hAnsi="Symbol"/>
          <w:position w:val="-9"/>
          <w:sz w:val="24"/>
        </w:rPr>
        <w:t></w:t>
      </w:r>
      <w:r>
        <w:rPr>
          <w:rFonts w:ascii="Times New Roman" w:hAnsi="Times New Roman"/>
          <w:spacing w:val="33"/>
          <w:sz w:val="24"/>
          <w:u w:val="single"/>
        </w:rPr>
        <w:t xml:space="preserve"> </w:t>
      </w:r>
      <w:r>
        <w:rPr>
          <w:rFonts w:ascii="Times New Roman" w:hAnsi="Times New Roman"/>
          <w:i/>
          <w:sz w:val="14"/>
          <w:u w:val="single"/>
        </w:rPr>
        <w:t>i</w:t>
      </w:r>
      <w:r>
        <w:rPr>
          <w:rFonts w:ascii="Symbol" w:hAnsi="Symbol"/>
          <w:sz w:val="14"/>
          <w:u w:val="single"/>
        </w:rPr>
        <w:t></w:t>
      </w:r>
      <w:r>
        <w:rPr>
          <w:rFonts w:ascii="Times New Roman" w:hAnsi="Times New Roman"/>
          <w:sz w:val="14"/>
          <w:u w:val="single"/>
        </w:rPr>
        <w:t>1</w:t>
      </w:r>
      <w:r>
        <w:rPr>
          <w:rFonts w:ascii="Times New Roman" w:hAnsi="Times New Roman"/>
          <w:sz w:val="14"/>
          <w:u w:val="single"/>
        </w:rPr>
        <w:tab/>
      </w:r>
    </w:p>
    <w:p>
      <w:pPr>
        <w:spacing w:before="0" w:line="231" w:lineRule="exact"/>
        <w:ind w:left="0" w:right="1619" w:firstLine="0"/>
        <w:jc w:val="center"/>
        <w:rPr>
          <w:rFonts w:ascii="Times New Roman"/>
          <w:i/>
          <w:sz w:val="24"/>
        </w:rPr>
      </w:pPr>
      <w:r>
        <w:rPr>
          <w:rFonts w:ascii="Times New Roman"/>
          <w:i/>
          <w:sz w:val="24"/>
        </w:rPr>
        <w:t>HE</w:t>
      </w:r>
    </w:p>
    <w:p>
      <w:pPr>
        <w:pStyle w:val="6"/>
        <w:spacing w:before="140"/>
        <w:ind w:left="580"/>
      </w:pPr>
      <w:r>
        <w:t>式中：</w:t>
      </w:r>
      <w:r>
        <w:rPr>
          <w:rFonts w:ascii="Times New Roman" w:hAnsi="Times New Roman" w:eastAsia="Times New Roman"/>
        </w:rPr>
        <w:t>ZJ——</w:t>
      </w:r>
      <w:r>
        <w:t>费用效益比</w:t>
      </w:r>
    </w:p>
    <w:p>
      <w:pPr>
        <w:pStyle w:val="6"/>
        <w:spacing w:before="158" w:line="364" w:lineRule="auto"/>
        <w:ind w:left="1300" w:right="3897"/>
      </w:pPr>
      <w:r>
        <w:rPr>
          <w:rFonts w:ascii="Times New Roman" w:hAnsi="Times New Roman" w:eastAsia="Times New Roman"/>
        </w:rPr>
        <w:t>Ri——</w:t>
      </w:r>
      <w:r>
        <w:t>因污染防治而减少的经济损失，万元</w:t>
      </w:r>
      <w:r>
        <w:rPr>
          <w:rFonts w:ascii="Times New Roman" w:hAnsi="Times New Roman" w:eastAsia="Times New Roman"/>
        </w:rPr>
        <w:t>HE——</w:t>
      </w:r>
      <w:r>
        <w:t>年环保费用，万元。</w:t>
      </w:r>
    </w:p>
    <w:p>
      <w:pPr>
        <w:pStyle w:val="6"/>
        <w:spacing w:before="1"/>
        <w:ind w:left="700"/>
      </w:pPr>
      <w:r>
        <w:t xml:space="preserve">通过计算，费用效益比为 </w:t>
      </w:r>
      <w:r>
        <w:rPr>
          <w:rFonts w:ascii="Times New Roman" w:eastAsia="Times New Roman"/>
        </w:rPr>
        <w:t>1.06</w:t>
      </w:r>
      <w:r>
        <w:t>。说明此项目具有良好的环境效益。</w:t>
      </w:r>
    </w:p>
    <w:p>
      <w:pPr>
        <w:pStyle w:val="4"/>
        <w:numPr>
          <w:ilvl w:val="1"/>
          <w:numId w:val="108"/>
        </w:numPr>
        <w:tabs>
          <w:tab w:val="left" w:pos="780"/>
        </w:tabs>
        <w:spacing w:before="159" w:after="0" w:line="240" w:lineRule="auto"/>
        <w:ind w:left="780" w:right="0" w:hanging="560"/>
        <w:jc w:val="left"/>
      </w:pPr>
      <w:bookmarkStart w:id="1323" w:name="16.5环境经济分析结论"/>
      <w:bookmarkEnd w:id="1323"/>
      <w:bookmarkStart w:id="1324" w:name="_bookmark97"/>
      <w:bookmarkEnd w:id="1324"/>
      <w:bookmarkStart w:id="1325" w:name="_bookmark97"/>
      <w:bookmarkEnd w:id="1325"/>
      <w:r>
        <w:t>环境经济分析结论</w:t>
      </w:r>
    </w:p>
    <w:p>
      <w:pPr>
        <w:pStyle w:val="6"/>
        <w:spacing w:before="185" w:line="362" w:lineRule="auto"/>
        <w:ind w:left="220" w:right="218" w:firstLine="559"/>
      </w:pPr>
      <w:r>
        <w:rPr>
          <w:spacing w:val="-2"/>
        </w:rPr>
        <w:t>通过以上对本工程建设的社会、经济和环境效益分析可知，本项目的建设能够达到</w:t>
      </w:r>
      <w:r>
        <w:rPr>
          <w:spacing w:val="-9"/>
        </w:rPr>
        <w:t>经济效益、社会效益和环境效益的统一。从环境经济角度论证该项目的可行性和合理性。</w:t>
      </w:r>
    </w:p>
    <w:p>
      <w:pPr>
        <w:spacing w:after="0" w:line="362" w:lineRule="auto"/>
        <w:sectPr>
          <w:type w:val="continuous"/>
          <w:pgSz w:w="11910" w:h="16840"/>
          <w:pgMar w:top="1580" w:right="1020" w:bottom="280" w:left="1140" w:header="720" w:footer="720" w:gutter="0"/>
        </w:sectPr>
      </w:pPr>
    </w:p>
    <w:p>
      <w:pPr>
        <w:pStyle w:val="2"/>
        <w:numPr>
          <w:ilvl w:val="0"/>
          <w:numId w:val="62"/>
        </w:numPr>
        <w:tabs>
          <w:tab w:val="left" w:pos="3324"/>
        </w:tabs>
        <w:spacing w:before="155" w:after="0" w:line="240" w:lineRule="auto"/>
        <w:ind w:left="3324" w:right="0" w:hanging="632"/>
        <w:jc w:val="left"/>
      </w:pPr>
      <w:bookmarkStart w:id="1326" w:name="17. 选址及规划符合性分析"/>
      <w:bookmarkEnd w:id="1326"/>
      <w:bookmarkStart w:id="1327" w:name="_bookmark98"/>
      <w:bookmarkEnd w:id="1327"/>
      <w:bookmarkStart w:id="1328" w:name="_bookmark98"/>
      <w:bookmarkEnd w:id="1328"/>
      <w:r>
        <w:t>选址及规划符合性分析</w:t>
      </w:r>
    </w:p>
    <w:p>
      <w:pPr>
        <w:pStyle w:val="3"/>
        <w:numPr>
          <w:ilvl w:val="1"/>
          <w:numId w:val="111"/>
        </w:numPr>
        <w:tabs>
          <w:tab w:val="left" w:pos="1260"/>
        </w:tabs>
        <w:spacing w:before="357" w:after="0" w:line="240" w:lineRule="auto"/>
        <w:ind w:left="1260" w:right="0" w:hanging="600"/>
        <w:jc w:val="left"/>
      </w:pPr>
      <w:bookmarkStart w:id="1329" w:name="17.1与国家产业政策符合性分析"/>
      <w:bookmarkEnd w:id="1329"/>
      <w:bookmarkStart w:id="1330" w:name="_bookmark99"/>
      <w:bookmarkEnd w:id="1330"/>
      <w:bookmarkStart w:id="1331" w:name="_bookmark99"/>
      <w:bookmarkEnd w:id="1331"/>
      <w:r>
        <w:t>与国家产业政策符合性分析</w:t>
      </w:r>
    </w:p>
    <w:p>
      <w:pPr>
        <w:pStyle w:val="13"/>
        <w:numPr>
          <w:ilvl w:val="2"/>
          <w:numId w:val="111"/>
        </w:numPr>
        <w:tabs>
          <w:tab w:val="left" w:pos="1748"/>
        </w:tabs>
        <w:spacing w:before="122" w:after="0" w:line="364" w:lineRule="auto"/>
        <w:ind w:left="660" w:right="775" w:firstLine="480"/>
        <w:jc w:val="both"/>
        <w:rPr>
          <w:sz w:val="24"/>
        </w:rPr>
      </w:pPr>
      <w:r>
        <w:rPr>
          <w:spacing w:val="-5"/>
          <w:sz w:val="24"/>
        </w:rPr>
        <w:t xml:space="preserve">本项目生产规模为 </w:t>
      </w:r>
      <w:r>
        <w:rPr>
          <w:rFonts w:ascii="Times New Roman" w:eastAsia="Times New Roman"/>
          <w:sz w:val="24"/>
        </w:rPr>
        <w:t>30</w:t>
      </w:r>
      <w:r>
        <w:rPr>
          <w:rFonts w:ascii="Times New Roman" w:eastAsia="Times New Roman"/>
          <w:spacing w:val="22"/>
          <w:sz w:val="24"/>
        </w:rPr>
        <w:t xml:space="preserve"> </w:t>
      </w:r>
      <w:r>
        <w:rPr>
          <w:spacing w:val="2"/>
          <w:sz w:val="24"/>
        </w:rPr>
        <w:t>万吨</w:t>
      </w:r>
      <w:r>
        <w:rPr>
          <w:rFonts w:ascii="Times New Roman" w:eastAsia="Times New Roman"/>
          <w:sz w:val="24"/>
        </w:rPr>
        <w:t>/</w:t>
      </w:r>
      <w:r>
        <w:rPr>
          <w:sz w:val="24"/>
        </w:rPr>
        <w:t>年的小型煤矿，采煤方法采用走向长壁后</w:t>
      </w:r>
      <w:r>
        <w:rPr>
          <w:spacing w:val="-12"/>
          <w:sz w:val="24"/>
        </w:rPr>
        <w:t xml:space="preserve">退式，全部垮落法管理顶板。装备先进，回采区回采率不低于 </w:t>
      </w:r>
      <w:r>
        <w:rPr>
          <w:rFonts w:ascii="Times New Roman" w:eastAsia="Times New Roman"/>
          <w:sz w:val="24"/>
        </w:rPr>
        <w:t>85%</w:t>
      </w:r>
      <w:r>
        <w:rPr>
          <w:spacing w:val="-9"/>
          <w:sz w:val="24"/>
        </w:rPr>
        <w:t>。从国家的产业政策上看，本项目煤矿的建设规模、开采工艺符合高产、高效、高技术含量的</w:t>
      </w:r>
      <w:r>
        <w:rPr>
          <w:sz w:val="24"/>
        </w:rPr>
        <w:t>现代化生产煤矿的要求。</w:t>
      </w:r>
    </w:p>
    <w:p>
      <w:pPr>
        <w:pStyle w:val="13"/>
        <w:numPr>
          <w:ilvl w:val="2"/>
          <w:numId w:val="111"/>
        </w:numPr>
        <w:tabs>
          <w:tab w:val="left" w:pos="1741"/>
        </w:tabs>
        <w:spacing w:before="0" w:after="0" w:line="364" w:lineRule="auto"/>
        <w:ind w:left="660" w:right="772" w:firstLine="480"/>
        <w:jc w:val="both"/>
        <w:rPr>
          <w:sz w:val="24"/>
        </w:rPr>
      </w:pPr>
      <w:r>
        <w:rPr>
          <w:spacing w:val="-9"/>
          <w:sz w:val="24"/>
        </w:rPr>
        <w:t xml:space="preserve">本项目开采的 </w:t>
      </w:r>
      <w:r>
        <w:rPr>
          <w:rFonts w:ascii="Times New Roman" w:hAnsi="Times New Roman" w:eastAsia="Times New Roman"/>
          <w:sz w:val="24"/>
        </w:rPr>
        <w:t>10</w:t>
      </w:r>
      <w:r>
        <w:rPr>
          <w:spacing w:val="-15"/>
          <w:sz w:val="24"/>
        </w:rPr>
        <w:t>、</w:t>
      </w:r>
      <w:r>
        <w:rPr>
          <w:rFonts w:ascii="Times New Roman" w:hAnsi="Times New Roman" w:eastAsia="Times New Roman"/>
          <w:sz w:val="24"/>
        </w:rPr>
        <w:t>15</w:t>
      </w:r>
      <w:r>
        <w:rPr>
          <w:spacing w:val="-17"/>
          <w:sz w:val="24"/>
        </w:rPr>
        <w:t>、</w:t>
      </w:r>
      <w:r>
        <w:rPr>
          <w:rFonts w:ascii="Times New Roman" w:hAnsi="Times New Roman" w:eastAsia="Times New Roman"/>
          <w:sz w:val="24"/>
        </w:rPr>
        <w:t>20</w:t>
      </w:r>
      <w:r>
        <w:rPr>
          <w:spacing w:val="-15"/>
          <w:sz w:val="24"/>
        </w:rPr>
        <w:t>、</w:t>
      </w:r>
      <w:r>
        <w:rPr>
          <w:rFonts w:ascii="Times New Roman" w:hAnsi="Times New Roman" w:eastAsia="Times New Roman"/>
          <w:sz w:val="24"/>
        </w:rPr>
        <w:t>30</w:t>
      </w:r>
      <w:r>
        <w:rPr>
          <w:rFonts w:ascii="Times New Roman" w:hAnsi="Times New Roman" w:eastAsia="Times New Roman"/>
          <w:spacing w:val="1"/>
          <w:sz w:val="24"/>
        </w:rPr>
        <w:t xml:space="preserve"> </w:t>
      </w:r>
      <w:r>
        <w:rPr>
          <w:spacing w:val="-6"/>
          <w:sz w:val="24"/>
        </w:rPr>
        <w:t>号煤层，本矿井原煤煤质为低灰分、特</w:t>
      </w:r>
      <w:r>
        <w:rPr>
          <w:spacing w:val="-5"/>
          <w:sz w:val="24"/>
        </w:rPr>
        <w:t>低硫、低磷、中</w:t>
      </w:r>
      <w:r>
        <w:rPr>
          <w:rFonts w:ascii="Times New Roman" w:hAnsi="Times New Roman" w:eastAsia="Times New Roman"/>
          <w:sz w:val="24"/>
        </w:rPr>
        <w:t>-</w:t>
      </w:r>
      <w:r>
        <w:rPr>
          <w:sz w:val="24"/>
        </w:rPr>
        <w:t>中高</w:t>
      </w:r>
      <w:r>
        <w:rPr>
          <w:rFonts w:ascii="Times New Roman" w:hAnsi="Times New Roman" w:eastAsia="Times New Roman"/>
          <w:sz w:val="24"/>
        </w:rPr>
        <w:t>-</w:t>
      </w:r>
      <w:r>
        <w:rPr>
          <w:spacing w:val="-3"/>
          <w:sz w:val="24"/>
        </w:rPr>
        <w:t>特高发热量煤。符合国务院〔</w:t>
      </w:r>
      <w:r>
        <w:rPr>
          <w:rFonts w:ascii="Times New Roman" w:hAnsi="Times New Roman" w:eastAsia="Times New Roman"/>
          <w:sz w:val="24"/>
        </w:rPr>
        <w:t>1998</w:t>
      </w:r>
      <w:r>
        <w:rPr>
          <w:spacing w:val="-12"/>
          <w:sz w:val="24"/>
        </w:rPr>
        <w:t>〕</w:t>
      </w:r>
      <w:r>
        <w:rPr>
          <w:rFonts w:ascii="Times New Roman" w:hAnsi="Times New Roman" w:eastAsia="Times New Roman"/>
          <w:sz w:val="24"/>
        </w:rPr>
        <w:t>5</w:t>
      </w:r>
      <w:r>
        <w:rPr>
          <w:rFonts w:ascii="Times New Roman" w:hAnsi="Times New Roman" w:eastAsia="Times New Roman"/>
          <w:spacing w:val="2"/>
          <w:sz w:val="24"/>
        </w:rPr>
        <w:t xml:space="preserve"> </w:t>
      </w:r>
      <w:r>
        <w:rPr>
          <w:sz w:val="24"/>
        </w:rPr>
        <w:t>号文</w:t>
      </w:r>
      <w:r>
        <w:rPr>
          <w:rFonts w:ascii="Times New Roman" w:hAnsi="Times New Roman" w:eastAsia="Times New Roman"/>
          <w:sz w:val="24"/>
        </w:rPr>
        <w:t>“</w:t>
      </w:r>
      <w:r>
        <w:rPr>
          <w:spacing w:val="-3"/>
          <w:sz w:val="24"/>
        </w:rPr>
        <w:t>禁止新建煤层</w:t>
      </w:r>
      <w:r>
        <w:rPr>
          <w:spacing w:val="-11"/>
          <w:sz w:val="24"/>
        </w:rPr>
        <w:t xml:space="preserve">含硫量大于 </w:t>
      </w:r>
      <w:r>
        <w:rPr>
          <w:rFonts w:ascii="Times New Roman" w:hAnsi="Times New Roman" w:eastAsia="Times New Roman"/>
          <w:sz w:val="24"/>
        </w:rPr>
        <w:t>3%</w:t>
      </w:r>
      <w:r>
        <w:rPr>
          <w:sz w:val="24"/>
        </w:rPr>
        <w:t>的煤矿</w:t>
      </w:r>
      <w:r>
        <w:rPr>
          <w:rFonts w:ascii="Times New Roman" w:hAnsi="Times New Roman" w:eastAsia="Times New Roman"/>
          <w:sz w:val="24"/>
        </w:rPr>
        <w:t>”</w:t>
      </w:r>
      <w:r>
        <w:rPr>
          <w:sz w:val="24"/>
        </w:rPr>
        <w:t>的国家环境保护政策要求。</w:t>
      </w:r>
    </w:p>
    <w:p>
      <w:pPr>
        <w:pStyle w:val="13"/>
        <w:numPr>
          <w:ilvl w:val="2"/>
          <w:numId w:val="111"/>
        </w:numPr>
        <w:tabs>
          <w:tab w:val="left" w:pos="1741"/>
        </w:tabs>
        <w:spacing w:before="0" w:after="0" w:line="362" w:lineRule="auto"/>
        <w:ind w:left="660" w:right="780" w:firstLine="480"/>
        <w:jc w:val="left"/>
        <w:rPr>
          <w:sz w:val="24"/>
        </w:rPr>
      </w:pPr>
      <w:r>
        <w:rPr>
          <w:spacing w:val="-1"/>
          <w:sz w:val="24"/>
        </w:rPr>
        <w:t>建设期掘进矸石全部用于铺路及回填矿坑，符合《煤矸石综合利用管</w:t>
      </w:r>
      <w:r>
        <w:rPr>
          <w:sz w:val="24"/>
        </w:rPr>
        <w:t>理办法》</w:t>
      </w:r>
    </w:p>
    <w:p>
      <w:pPr>
        <w:pStyle w:val="13"/>
        <w:numPr>
          <w:ilvl w:val="2"/>
          <w:numId w:val="111"/>
        </w:numPr>
        <w:tabs>
          <w:tab w:val="left" w:pos="1741"/>
        </w:tabs>
        <w:spacing w:before="2" w:after="0" w:line="362" w:lineRule="auto"/>
        <w:ind w:left="660" w:right="777" w:firstLine="480"/>
        <w:jc w:val="left"/>
        <w:rPr>
          <w:sz w:val="24"/>
        </w:rPr>
      </w:pPr>
      <w:r>
        <w:rPr>
          <w:spacing w:val="-5"/>
          <w:sz w:val="24"/>
        </w:rPr>
        <w:t>根据《产业结构调整指导目录</w:t>
      </w:r>
      <w:r>
        <w:rPr>
          <w:sz w:val="24"/>
        </w:rPr>
        <w:t>（</w:t>
      </w:r>
      <w:r>
        <w:rPr>
          <w:rFonts w:ascii="Times New Roman" w:hAnsi="Times New Roman" w:eastAsia="Times New Roman"/>
          <w:sz w:val="24"/>
        </w:rPr>
        <w:t>2019</w:t>
      </w:r>
      <w:r>
        <w:rPr>
          <w:rFonts w:ascii="Times New Roman" w:hAnsi="Times New Roman" w:eastAsia="Times New Roman"/>
          <w:spacing w:val="60"/>
          <w:sz w:val="24"/>
        </w:rPr>
        <w:t xml:space="preserve"> </w:t>
      </w:r>
      <w:r>
        <w:rPr>
          <w:sz w:val="24"/>
        </w:rPr>
        <w:t>年本</w:t>
      </w:r>
      <w:r>
        <w:rPr>
          <w:spacing w:val="-17"/>
          <w:sz w:val="24"/>
        </w:rPr>
        <w:t>）</w:t>
      </w:r>
      <w:r>
        <w:rPr>
          <w:spacing w:val="-7"/>
          <w:sz w:val="24"/>
        </w:rPr>
        <w:t>》，本项目不属于限制类</w:t>
      </w:r>
      <w:r>
        <w:rPr>
          <w:sz w:val="24"/>
        </w:rPr>
        <w:t>及淘汰类产业项目，为“允许类”。</w:t>
      </w:r>
    </w:p>
    <w:p>
      <w:pPr>
        <w:pStyle w:val="6"/>
        <w:spacing w:before="5" w:line="362" w:lineRule="auto"/>
        <w:ind w:left="660" w:right="777" w:firstLine="480"/>
      </w:pPr>
      <w:r>
        <w:rPr>
          <w:spacing w:val="-10"/>
        </w:rPr>
        <w:t>综合上述分析，本项目的规模、工艺、产品及资源利用均符合相关产业政策</w:t>
      </w:r>
      <w:r>
        <w:t>要求。</w:t>
      </w:r>
    </w:p>
    <w:p>
      <w:pPr>
        <w:pStyle w:val="3"/>
        <w:numPr>
          <w:ilvl w:val="1"/>
          <w:numId w:val="111"/>
        </w:numPr>
        <w:tabs>
          <w:tab w:val="left" w:pos="1186"/>
        </w:tabs>
        <w:spacing w:before="5" w:after="0" w:line="240" w:lineRule="auto"/>
        <w:ind w:left="1185" w:right="0" w:hanging="526"/>
        <w:jc w:val="left"/>
      </w:pPr>
      <w:bookmarkStart w:id="1332" w:name="_bookmark100"/>
      <w:bookmarkEnd w:id="1332"/>
      <w:bookmarkStart w:id="1333" w:name="17.2“三线一单”符合性"/>
      <w:bookmarkEnd w:id="1333"/>
      <w:bookmarkStart w:id="1334" w:name="_bookmark100"/>
      <w:bookmarkEnd w:id="1334"/>
      <w:r>
        <w:t>“三线一单”符合性</w:t>
      </w:r>
    </w:p>
    <w:p>
      <w:pPr>
        <w:pStyle w:val="6"/>
        <w:spacing w:before="199"/>
        <w:ind w:left="1140"/>
      </w:pPr>
      <w:r>
        <w:t xml:space="preserve">本项目与“三线一单”符合性分析见表 </w:t>
      </w:r>
      <w:r>
        <w:rPr>
          <w:rFonts w:ascii="Times New Roman" w:hAnsi="Times New Roman" w:eastAsia="Times New Roman"/>
        </w:rPr>
        <w:t>17.2-1</w:t>
      </w:r>
      <w:r>
        <w:t>。</w:t>
      </w:r>
    </w:p>
    <w:p>
      <w:pPr>
        <w:pStyle w:val="5"/>
        <w:tabs>
          <w:tab w:val="left" w:pos="1101"/>
        </w:tabs>
        <w:spacing w:before="160" w:after="2"/>
        <w:ind w:right="105"/>
        <w:jc w:val="center"/>
      </w:pPr>
      <w:r>
        <w:t>表</w:t>
      </w:r>
      <w:r>
        <w:rPr>
          <w:rFonts w:ascii="Times New Roman" w:hAnsi="Times New Roman" w:eastAsia="Times New Roman"/>
        </w:rPr>
        <w:t>17.2-1</w:t>
      </w:r>
      <w:r>
        <w:rPr>
          <w:rFonts w:ascii="Times New Roman" w:hAnsi="Times New Roman" w:eastAsia="Times New Roman"/>
        </w:rPr>
        <w:tab/>
      </w:r>
      <w:r>
        <w:t>本项目与</w:t>
      </w:r>
      <w:r>
        <w:rPr>
          <w:rFonts w:ascii="Times New Roman" w:hAnsi="Times New Roman" w:eastAsia="Times New Roman"/>
        </w:rPr>
        <w:t>“</w:t>
      </w:r>
      <w:r>
        <w:t>三线一单</w:t>
      </w:r>
      <w:r>
        <w:rPr>
          <w:rFonts w:ascii="Times New Roman" w:hAnsi="Times New Roman" w:eastAsia="Times New Roman"/>
        </w:rPr>
        <w:t>”</w:t>
      </w:r>
      <w:r>
        <w:t>符合性分析</w:t>
      </w:r>
    </w:p>
    <w:tbl>
      <w:tblPr>
        <w:tblStyle w:val="10"/>
        <w:tblW w:w="0" w:type="auto"/>
        <w:tblInd w:w="5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0"/>
        <w:gridCol w:w="5627"/>
        <w:gridCol w:w="15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700" w:type="dxa"/>
          </w:tcPr>
          <w:p>
            <w:pPr>
              <w:pStyle w:val="14"/>
              <w:spacing w:before="1" w:line="252" w:lineRule="exact"/>
              <w:ind w:left="94" w:right="83"/>
              <w:rPr>
                <w:b/>
                <w:sz w:val="21"/>
              </w:rPr>
            </w:pPr>
            <w:r>
              <w:rPr>
                <w:b/>
                <w:sz w:val="21"/>
              </w:rPr>
              <w:t>内容</w:t>
            </w:r>
          </w:p>
        </w:tc>
        <w:tc>
          <w:tcPr>
            <w:tcW w:w="5627" w:type="dxa"/>
          </w:tcPr>
          <w:p>
            <w:pPr>
              <w:pStyle w:val="14"/>
              <w:spacing w:before="1" w:line="252" w:lineRule="exact"/>
              <w:ind w:left="2266" w:right="2255"/>
              <w:rPr>
                <w:b/>
                <w:sz w:val="21"/>
              </w:rPr>
            </w:pPr>
            <w:r>
              <w:rPr>
                <w:b/>
                <w:sz w:val="21"/>
              </w:rPr>
              <w:t>符合性分析</w:t>
            </w:r>
          </w:p>
        </w:tc>
        <w:tc>
          <w:tcPr>
            <w:tcW w:w="1504" w:type="dxa"/>
          </w:tcPr>
          <w:p>
            <w:pPr>
              <w:pStyle w:val="14"/>
              <w:spacing w:before="1" w:line="252" w:lineRule="exact"/>
              <w:ind w:left="101" w:right="88"/>
              <w:rPr>
                <w:b/>
                <w:sz w:val="21"/>
              </w:rPr>
            </w:pPr>
            <w:r>
              <w:rPr>
                <w:b/>
                <w:sz w:val="21"/>
              </w:rPr>
              <w:t>整改措施建议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8" w:hRule="atLeast"/>
        </w:trPr>
        <w:tc>
          <w:tcPr>
            <w:tcW w:w="1700" w:type="dxa"/>
          </w:tcPr>
          <w:p>
            <w:pPr>
              <w:pStyle w:val="14"/>
              <w:jc w:val="left"/>
              <w:rPr>
                <w:b/>
                <w:sz w:val="20"/>
              </w:rPr>
            </w:pPr>
          </w:p>
          <w:p>
            <w:pPr>
              <w:pStyle w:val="14"/>
              <w:jc w:val="left"/>
              <w:rPr>
                <w:b/>
                <w:sz w:val="20"/>
              </w:rPr>
            </w:pPr>
          </w:p>
          <w:p>
            <w:pPr>
              <w:pStyle w:val="14"/>
              <w:jc w:val="left"/>
              <w:rPr>
                <w:b/>
                <w:sz w:val="20"/>
              </w:rPr>
            </w:pPr>
          </w:p>
          <w:p>
            <w:pPr>
              <w:pStyle w:val="14"/>
              <w:spacing w:before="3"/>
              <w:jc w:val="left"/>
              <w:rPr>
                <w:b/>
                <w:sz w:val="14"/>
              </w:rPr>
            </w:pPr>
          </w:p>
          <w:p>
            <w:pPr>
              <w:pStyle w:val="14"/>
              <w:ind w:left="94" w:right="86"/>
              <w:rPr>
                <w:sz w:val="21"/>
              </w:rPr>
            </w:pPr>
            <w:r>
              <w:rPr>
                <w:sz w:val="21"/>
              </w:rPr>
              <w:t>生态保护红线</w:t>
            </w:r>
          </w:p>
        </w:tc>
        <w:tc>
          <w:tcPr>
            <w:tcW w:w="5627" w:type="dxa"/>
          </w:tcPr>
          <w:p>
            <w:pPr>
              <w:pStyle w:val="14"/>
              <w:spacing w:line="242" w:lineRule="auto"/>
              <w:ind w:left="106" w:right="47"/>
              <w:jc w:val="both"/>
              <w:rPr>
                <w:sz w:val="21"/>
              </w:rPr>
            </w:pPr>
            <w:r>
              <w:rPr>
                <w:spacing w:val="-3"/>
                <w:sz w:val="21"/>
              </w:rPr>
              <w:t>双鸭山市暂未完成生态保护红线划定工作，本项目位于双鸭</w:t>
            </w:r>
            <w:r>
              <w:rPr>
                <w:spacing w:val="-8"/>
                <w:sz w:val="21"/>
              </w:rPr>
              <w:t>山市岭东区，所在区域内无国家、省、市级自然保护区、风</w:t>
            </w:r>
            <w:r>
              <w:rPr>
                <w:spacing w:val="-9"/>
                <w:sz w:val="21"/>
              </w:rPr>
              <w:t>景名胜区、世界文化和自然遗产地、海洋特别保护区、基本</w:t>
            </w:r>
            <w:r>
              <w:rPr>
                <w:spacing w:val="-9"/>
                <w:w w:val="95"/>
                <w:sz w:val="21"/>
              </w:rPr>
              <w:t xml:space="preserve">农田保护区、基本草原、森林公园、地质公园、重要湿地、 </w:t>
            </w:r>
            <w:r>
              <w:rPr>
                <w:spacing w:val="-9"/>
                <w:sz w:val="21"/>
              </w:rPr>
              <w:t>天然林、野生动物重要栖息地、重点保护野生植物生长繁殖</w:t>
            </w:r>
            <w:r>
              <w:rPr>
                <w:spacing w:val="-7"/>
                <w:sz w:val="21"/>
              </w:rPr>
              <w:t>地、重要水生生物的自然产卵场、索饵场、越冬场和洄游通</w:t>
            </w:r>
            <w:r>
              <w:rPr>
                <w:spacing w:val="-8"/>
                <w:sz w:val="21"/>
              </w:rPr>
              <w:t>道、天然渔场、沙化土地封禁保护区、封闭及半封闭海域等</w:t>
            </w:r>
          </w:p>
          <w:p>
            <w:pPr>
              <w:pStyle w:val="14"/>
              <w:spacing w:before="4" w:line="251" w:lineRule="exact"/>
              <w:ind w:left="106"/>
              <w:jc w:val="left"/>
              <w:rPr>
                <w:sz w:val="21"/>
              </w:rPr>
            </w:pPr>
            <w:r>
              <w:rPr>
                <w:sz w:val="21"/>
              </w:rPr>
              <w:t>环境敏感区，因此，本项目拟选厂址不在生态保护红线内。</w:t>
            </w:r>
          </w:p>
        </w:tc>
        <w:tc>
          <w:tcPr>
            <w:tcW w:w="1504" w:type="dxa"/>
          </w:tcPr>
          <w:p>
            <w:pPr>
              <w:pStyle w:val="14"/>
              <w:jc w:val="left"/>
              <w:rPr>
                <w:b/>
                <w:sz w:val="20"/>
              </w:rPr>
            </w:pPr>
          </w:p>
          <w:p>
            <w:pPr>
              <w:pStyle w:val="14"/>
              <w:jc w:val="left"/>
              <w:rPr>
                <w:b/>
                <w:sz w:val="20"/>
              </w:rPr>
            </w:pPr>
          </w:p>
          <w:p>
            <w:pPr>
              <w:pStyle w:val="14"/>
              <w:jc w:val="left"/>
              <w:rPr>
                <w:b/>
                <w:sz w:val="20"/>
              </w:rPr>
            </w:pPr>
          </w:p>
          <w:p>
            <w:pPr>
              <w:pStyle w:val="14"/>
              <w:spacing w:before="3"/>
              <w:jc w:val="left"/>
              <w:rPr>
                <w:b/>
                <w:sz w:val="14"/>
              </w:rPr>
            </w:pPr>
          </w:p>
          <w:p>
            <w:pPr>
              <w:pStyle w:val="14"/>
              <w:ind w:left="6"/>
              <w:rPr>
                <w:sz w:val="21"/>
              </w:rPr>
            </w:pPr>
            <w:r>
              <w:rPr>
                <w:w w:val="99"/>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 w:hRule="atLeast"/>
        </w:trPr>
        <w:tc>
          <w:tcPr>
            <w:tcW w:w="1700" w:type="dxa"/>
          </w:tcPr>
          <w:p>
            <w:pPr>
              <w:pStyle w:val="14"/>
              <w:jc w:val="left"/>
              <w:rPr>
                <w:b/>
                <w:sz w:val="20"/>
              </w:rPr>
            </w:pPr>
          </w:p>
          <w:p>
            <w:pPr>
              <w:pStyle w:val="14"/>
              <w:spacing w:before="6"/>
              <w:jc w:val="left"/>
              <w:rPr>
                <w:b/>
                <w:sz w:val="22"/>
              </w:rPr>
            </w:pPr>
          </w:p>
          <w:p>
            <w:pPr>
              <w:pStyle w:val="14"/>
              <w:ind w:left="94" w:right="86"/>
              <w:rPr>
                <w:sz w:val="21"/>
              </w:rPr>
            </w:pPr>
            <w:r>
              <w:rPr>
                <w:sz w:val="21"/>
              </w:rPr>
              <w:t>资源利用上线</w:t>
            </w:r>
          </w:p>
        </w:tc>
        <w:tc>
          <w:tcPr>
            <w:tcW w:w="5627" w:type="dxa"/>
          </w:tcPr>
          <w:p>
            <w:pPr>
              <w:pStyle w:val="14"/>
              <w:spacing w:before="2" w:line="242" w:lineRule="auto"/>
              <w:ind w:left="106" w:right="98"/>
              <w:jc w:val="left"/>
              <w:rPr>
                <w:sz w:val="21"/>
              </w:rPr>
            </w:pPr>
            <w:r>
              <w:rPr>
                <w:sz w:val="21"/>
              </w:rPr>
              <w:t>①水资源：生产用水由本矿井涌水经过矿井水处理站处理</w:t>
            </w:r>
            <w:r>
              <w:rPr>
                <w:spacing w:val="-7"/>
                <w:w w:val="95"/>
                <w:sz w:val="21"/>
              </w:rPr>
              <w:t xml:space="preserve">后，回用于矿井生产、消防等用水。生活饮用水为外部购置 </w:t>
            </w:r>
            <w:r>
              <w:rPr>
                <w:spacing w:val="-9"/>
                <w:w w:val="95"/>
                <w:sz w:val="21"/>
              </w:rPr>
              <w:t xml:space="preserve">达标饮用水。满足水资源利用上限要求；②土地资源：本项 </w:t>
            </w:r>
            <w:r>
              <w:rPr>
                <w:spacing w:val="-15"/>
                <w:sz w:val="21"/>
              </w:rPr>
              <w:t xml:space="preserve">目工业广场总面积 </w:t>
            </w:r>
            <w:r>
              <w:rPr>
                <w:rFonts w:ascii="Times New Roman" w:hAnsi="Times New Roman" w:eastAsia="Times New Roman"/>
                <w:sz w:val="21"/>
              </w:rPr>
              <w:t>2.9767hm</w:t>
            </w:r>
            <w:r>
              <w:rPr>
                <w:rFonts w:ascii="Times New Roman" w:hAnsi="Times New Roman" w:eastAsia="Times New Roman"/>
                <w:position w:val="7"/>
                <w:sz w:val="13"/>
              </w:rPr>
              <w:t>2</w:t>
            </w:r>
            <w:r>
              <w:rPr>
                <w:sz w:val="21"/>
              </w:rPr>
              <w:t>，占地为采矿用地，满足资源</w:t>
            </w:r>
          </w:p>
          <w:p>
            <w:pPr>
              <w:pStyle w:val="14"/>
              <w:spacing w:line="253" w:lineRule="exact"/>
              <w:ind w:left="106"/>
              <w:jc w:val="left"/>
              <w:rPr>
                <w:sz w:val="21"/>
              </w:rPr>
            </w:pPr>
            <w:r>
              <w:rPr>
                <w:sz w:val="21"/>
              </w:rPr>
              <w:t>利用上线要求</w:t>
            </w:r>
          </w:p>
        </w:tc>
        <w:tc>
          <w:tcPr>
            <w:tcW w:w="1504" w:type="dxa"/>
          </w:tcPr>
          <w:p>
            <w:pPr>
              <w:pStyle w:val="14"/>
              <w:jc w:val="left"/>
              <w:rPr>
                <w:b/>
                <w:sz w:val="20"/>
              </w:rPr>
            </w:pPr>
          </w:p>
          <w:p>
            <w:pPr>
              <w:pStyle w:val="14"/>
              <w:spacing w:before="6"/>
              <w:jc w:val="left"/>
              <w:rPr>
                <w:b/>
                <w:sz w:val="22"/>
              </w:rPr>
            </w:pPr>
          </w:p>
          <w:p>
            <w:pPr>
              <w:pStyle w:val="14"/>
              <w:ind w:left="6"/>
              <w:rPr>
                <w:sz w:val="21"/>
              </w:rPr>
            </w:pPr>
            <w:r>
              <w:rPr>
                <w:w w:val="99"/>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trPr>
        <w:tc>
          <w:tcPr>
            <w:tcW w:w="1700" w:type="dxa"/>
          </w:tcPr>
          <w:p>
            <w:pPr>
              <w:pStyle w:val="14"/>
              <w:spacing w:before="2"/>
              <w:jc w:val="left"/>
              <w:rPr>
                <w:b/>
                <w:sz w:val="21"/>
              </w:rPr>
            </w:pPr>
          </w:p>
          <w:p>
            <w:pPr>
              <w:pStyle w:val="14"/>
              <w:ind w:left="94" w:right="86"/>
              <w:rPr>
                <w:sz w:val="21"/>
              </w:rPr>
            </w:pPr>
            <w:r>
              <w:rPr>
                <w:sz w:val="21"/>
              </w:rPr>
              <w:t>环境质量底线</w:t>
            </w:r>
          </w:p>
        </w:tc>
        <w:tc>
          <w:tcPr>
            <w:tcW w:w="5627" w:type="dxa"/>
          </w:tcPr>
          <w:p>
            <w:pPr>
              <w:pStyle w:val="14"/>
              <w:spacing w:line="242" w:lineRule="auto"/>
              <w:ind w:left="106" w:right="98"/>
              <w:jc w:val="left"/>
              <w:rPr>
                <w:sz w:val="21"/>
              </w:rPr>
            </w:pPr>
            <w:r>
              <w:rPr>
                <w:spacing w:val="-4"/>
                <w:w w:val="95"/>
                <w:sz w:val="21"/>
              </w:rPr>
              <w:t xml:space="preserve">①本项目地处双鸭山市岭东区，属于城市环境空气质量达标 </w:t>
            </w:r>
            <w:r>
              <w:rPr>
                <w:spacing w:val="-4"/>
                <w:sz w:val="21"/>
              </w:rPr>
              <w:t>区。本项目大气污染物主要为锅炉及热风炉燃烧煤产生的</w:t>
            </w:r>
          </w:p>
          <w:p>
            <w:pPr>
              <w:pStyle w:val="14"/>
              <w:spacing w:line="251" w:lineRule="exact"/>
              <w:ind w:left="106"/>
              <w:jc w:val="left"/>
              <w:rPr>
                <w:sz w:val="21"/>
              </w:rPr>
            </w:pPr>
            <w:r>
              <w:rPr>
                <w:rFonts w:ascii="Times New Roman" w:eastAsia="Times New Roman"/>
                <w:position w:val="2"/>
                <w:sz w:val="21"/>
              </w:rPr>
              <w:t>SO</w:t>
            </w:r>
            <w:r>
              <w:rPr>
                <w:rFonts w:ascii="Times New Roman" w:eastAsia="Times New Roman"/>
                <w:position w:val="2"/>
                <w:sz w:val="21"/>
                <w:vertAlign w:val="subscript"/>
              </w:rPr>
              <w:t>2</w:t>
            </w:r>
            <w:r>
              <w:rPr>
                <w:position w:val="2"/>
                <w:sz w:val="21"/>
                <w:vertAlign w:val="baseline"/>
              </w:rPr>
              <w:t>、</w:t>
            </w:r>
            <w:r>
              <w:rPr>
                <w:rFonts w:ascii="Times New Roman" w:eastAsia="Times New Roman"/>
                <w:position w:val="2"/>
                <w:sz w:val="21"/>
                <w:vertAlign w:val="baseline"/>
              </w:rPr>
              <w:t xml:space="preserve">NOx </w:t>
            </w:r>
            <w:r>
              <w:rPr>
                <w:position w:val="2"/>
                <w:sz w:val="21"/>
                <w:vertAlign w:val="baseline"/>
              </w:rPr>
              <w:t>和颗粒物，根据估算模式结果，</w:t>
            </w:r>
            <w:r>
              <w:rPr>
                <w:rFonts w:ascii="Times New Roman" w:eastAsia="Times New Roman"/>
                <w:position w:val="2"/>
                <w:sz w:val="21"/>
                <w:vertAlign w:val="baseline"/>
              </w:rPr>
              <w:t>SO</w:t>
            </w:r>
            <w:r>
              <w:rPr>
                <w:rFonts w:ascii="Times New Roman" w:eastAsia="Times New Roman"/>
                <w:position w:val="2"/>
                <w:sz w:val="21"/>
                <w:vertAlign w:val="subscript"/>
              </w:rPr>
              <w:t>2</w:t>
            </w:r>
            <w:r>
              <w:rPr>
                <w:position w:val="2"/>
                <w:sz w:val="21"/>
                <w:vertAlign w:val="baseline"/>
              </w:rPr>
              <w:t>、</w:t>
            </w:r>
            <w:r>
              <w:rPr>
                <w:rFonts w:ascii="Times New Roman" w:eastAsia="Times New Roman"/>
                <w:position w:val="2"/>
                <w:sz w:val="21"/>
                <w:vertAlign w:val="baseline"/>
              </w:rPr>
              <w:t xml:space="preserve">NOx </w:t>
            </w:r>
            <w:r>
              <w:rPr>
                <w:position w:val="2"/>
                <w:sz w:val="21"/>
                <w:vertAlign w:val="baseline"/>
              </w:rPr>
              <w:t>和颗</w:t>
            </w:r>
          </w:p>
        </w:tc>
        <w:tc>
          <w:tcPr>
            <w:tcW w:w="1504" w:type="dxa"/>
          </w:tcPr>
          <w:p>
            <w:pPr>
              <w:pStyle w:val="14"/>
              <w:spacing w:before="2"/>
              <w:jc w:val="left"/>
              <w:rPr>
                <w:b/>
                <w:sz w:val="21"/>
              </w:rPr>
            </w:pPr>
          </w:p>
          <w:p>
            <w:pPr>
              <w:pStyle w:val="14"/>
              <w:ind w:left="6"/>
              <w:rPr>
                <w:sz w:val="21"/>
              </w:rPr>
            </w:pPr>
            <w:r>
              <w:rPr>
                <w:w w:val="99"/>
                <w:sz w:val="21"/>
              </w:rPr>
              <w:t>无</w:t>
            </w:r>
          </w:p>
        </w:tc>
      </w:tr>
    </w:tbl>
    <w:p>
      <w:pPr>
        <w:spacing w:after="0"/>
        <w:rPr>
          <w:sz w:val="21"/>
        </w:rPr>
        <w:sectPr>
          <w:pgSz w:w="11910" w:h="16840"/>
          <w:pgMar w:top="1580" w:right="1020" w:bottom="1180" w:left="1140" w:header="0" w:footer="917" w:gutter="0"/>
        </w:sectPr>
      </w:pPr>
    </w:p>
    <w:tbl>
      <w:tblPr>
        <w:tblStyle w:val="10"/>
        <w:tblW w:w="0" w:type="auto"/>
        <w:tblInd w:w="5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0"/>
        <w:gridCol w:w="5627"/>
        <w:gridCol w:w="15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626" w:hRule="atLeast"/>
        </w:trPr>
        <w:tc>
          <w:tcPr>
            <w:tcW w:w="1700" w:type="dxa"/>
          </w:tcPr>
          <w:p>
            <w:pPr>
              <w:pStyle w:val="14"/>
              <w:jc w:val="left"/>
              <w:rPr>
                <w:rFonts w:ascii="Times New Roman"/>
                <w:sz w:val="20"/>
              </w:rPr>
            </w:pPr>
          </w:p>
        </w:tc>
        <w:tc>
          <w:tcPr>
            <w:tcW w:w="5627" w:type="dxa"/>
          </w:tcPr>
          <w:p>
            <w:pPr>
              <w:pStyle w:val="14"/>
              <w:spacing w:before="2" w:line="242" w:lineRule="auto"/>
              <w:ind w:left="106" w:right="31"/>
              <w:jc w:val="both"/>
              <w:rPr>
                <w:sz w:val="21"/>
              </w:rPr>
            </w:pPr>
            <w:r>
              <w:rPr>
                <w:spacing w:val="-7"/>
                <w:sz w:val="21"/>
              </w:rPr>
              <w:t xml:space="preserve">粒物的占标率均低于 </w:t>
            </w:r>
            <w:r>
              <w:rPr>
                <w:rFonts w:ascii="Times New Roman" w:eastAsia="Times New Roman"/>
                <w:sz w:val="21"/>
              </w:rPr>
              <w:t>10%</w:t>
            </w:r>
            <w:r>
              <w:rPr>
                <w:sz w:val="21"/>
              </w:rPr>
              <w:t xml:space="preserve">，对环境空气影响可接受；同时， </w:t>
            </w:r>
            <w:r>
              <w:rPr>
                <w:spacing w:val="2"/>
                <w:sz w:val="21"/>
              </w:rPr>
              <w:t>本次环境空气现状监测布设了</w:t>
            </w:r>
            <w:r>
              <w:rPr>
                <w:rFonts w:ascii="Times New Roman" w:eastAsia="Times New Roman"/>
                <w:sz w:val="21"/>
              </w:rPr>
              <w:t>2</w:t>
            </w:r>
            <w:r>
              <w:rPr>
                <w:rFonts w:ascii="Times New Roman" w:eastAsia="Times New Roman"/>
                <w:spacing w:val="-28"/>
                <w:sz w:val="21"/>
              </w:rPr>
              <w:t xml:space="preserve"> </w:t>
            </w:r>
            <w:r>
              <w:rPr>
                <w:sz w:val="21"/>
              </w:rPr>
              <w:t>个监测点位针对其他污染物</w:t>
            </w:r>
          </w:p>
          <w:p>
            <w:pPr>
              <w:pStyle w:val="14"/>
              <w:spacing w:line="242" w:lineRule="auto"/>
              <w:ind w:left="106" w:right="97"/>
              <w:jc w:val="both"/>
              <w:rPr>
                <w:rFonts w:ascii="Times New Roman" w:hAnsi="Times New Roman" w:eastAsia="Times New Roman"/>
                <w:sz w:val="21"/>
              </w:rPr>
            </w:pPr>
            <w:r>
              <w:rPr>
                <w:spacing w:val="-4"/>
                <w:sz w:val="21"/>
              </w:rPr>
              <w:t>（</w:t>
            </w:r>
            <w:r>
              <w:rPr>
                <w:rFonts w:ascii="Times New Roman" w:hAnsi="Times New Roman" w:eastAsia="Times New Roman"/>
                <w:spacing w:val="-4"/>
                <w:sz w:val="21"/>
              </w:rPr>
              <w:t>TSP</w:t>
            </w:r>
            <w:r>
              <w:rPr>
                <w:spacing w:val="-4"/>
                <w:sz w:val="21"/>
              </w:rPr>
              <w:t>）</w:t>
            </w:r>
            <w:r>
              <w:rPr>
                <w:spacing w:val="-8"/>
                <w:sz w:val="21"/>
              </w:rPr>
              <w:t xml:space="preserve">进行监测，根据黑龙江康和检测有限公司 </w:t>
            </w:r>
            <w:r>
              <w:rPr>
                <w:rFonts w:ascii="Times New Roman" w:hAnsi="Times New Roman" w:eastAsia="Times New Roman"/>
                <w:sz w:val="21"/>
              </w:rPr>
              <w:t>2020</w:t>
            </w:r>
            <w:r>
              <w:rPr>
                <w:rFonts w:ascii="Times New Roman" w:hAnsi="Times New Roman" w:eastAsia="Times New Roman"/>
                <w:spacing w:val="-5"/>
                <w:sz w:val="21"/>
              </w:rPr>
              <w:t xml:space="preserve"> </w:t>
            </w:r>
            <w:r>
              <w:rPr>
                <w:spacing w:val="-29"/>
                <w:sz w:val="21"/>
              </w:rPr>
              <w:t xml:space="preserve">年 </w:t>
            </w:r>
            <w:r>
              <w:rPr>
                <w:rFonts w:ascii="Times New Roman" w:hAnsi="Times New Roman" w:eastAsia="Times New Roman"/>
                <w:sz w:val="21"/>
              </w:rPr>
              <w:t xml:space="preserve">4 </w:t>
            </w:r>
            <w:r>
              <w:rPr>
                <w:spacing w:val="-29"/>
                <w:sz w:val="21"/>
              </w:rPr>
              <w:t xml:space="preserve">月 </w:t>
            </w:r>
            <w:r>
              <w:rPr>
                <w:rFonts w:ascii="Times New Roman" w:hAnsi="Times New Roman" w:eastAsia="Times New Roman"/>
                <w:sz w:val="21"/>
              </w:rPr>
              <w:t>23</w:t>
            </w:r>
            <w:r>
              <w:rPr>
                <w:rFonts w:ascii="Times New Roman" w:hAnsi="Times New Roman" w:eastAsia="Times New Roman"/>
                <w:spacing w:val="-3"/>
                <w:sz w:val="21"/>
              </w:rPr>
              <w:t xml:space="preserve"> </w:t>
            </w:r>
            <w:r>
              <w:rPr>
                <w:spacing w:val="-4"/>
                <w:sz w:val="21"/>
              </w:rPr>
              <w:t xml:space="preserve">日出具的监测结果可知，其他污染物 </w:t>
            </w:r>
            <w:r>
              <w:rPr>
                <w:rFonts w:ascii="Times New Roman" w:hAnsi="Times New Roman" w:eastAsia="Times New Roman"/>
                <w:sz w:val="21"/>
              </w:rPr>
              <w:t>TSP</w:t>
            </w:r>
            <w:r>
              <w:rPr>
                <w:rFonts w:ascii="Times New Roman" w:hAnsi="Times New Roman" w:eastAsia="Times New Roman"/>
                <w:spacing w:val="-3"/>
                <w:sz w:val="21"/>
              </w:rPr>
              <w:t xml:space="preserve"> </w:t>
            </w:r>
            <w:r>
              <w:rPr>
                <w:sz w:val="21"/>
              </w:rPr>
              <w:t>浓度值均满足《环境空气质量标准》（</w:t>
            </w:r>
            <w:r>
              <w:rPr>
                <w:rFonts w:ascii="Times New Roman" w:hAnsi="Times New Roman" w:eastAsia="Times New Roman"/>
                <w:sz w:val="21"/>
              </w:rPr>
              <w:t>GB3095-2012</w:t>
            </w:r>
            <w:r>
              <w:rPr>
                <w:sz w:val="21"/>
              </w:rPr>
              <w:t>）中二级标准和限</w:t>
            </w:r>
            <w:r>
              <w:rPr>
                <w:spacing w:val="-3"/>
                <w:sz w:val="21"/>
              </w:rPr>
              <w:t xml:space="preserve">值要求；②本次声环境现状监测在工业广场四周各布设了 </w:t>
            </w:r>
            <w:r>
              <w:rPr>
                <w:rFonts w:ascii="Times New Roman" w:hAnsi="Times New Roman" w:eastAsia="Times New Roman"/>
                <w:sz w:val="21"/>
              </w:rPr>
              <w:t>1</w:t>
            </w:r>
          </w:p>
          <w:p>
            <w:pPr>
              <w:pStyle w:val="14"/>
              <w:spacing w:before="1" w:line="244" w:lineRule="auto"/>
              <w:ind w:left="106" w:right="47"/>
              <w:jc w:val="both"/>
              <w:rPr>
                <w:sz w:val="21"/>
              </w:rPr>
            </w:pPr>
            <w:r>
              <w:rPr>
                <w:spacing w:val="-4"/>
                <w:sz w:val="21"/>
              </w:rPr>
              <w:t xml:space="preserve">个点位，根据黑龙江康和检测有限公司 </w:t>
            </w:r>
            <w:r>
              <w:rPr>
                <w:rFonts w:ascii="Times New Roman" w:eastAsia="Times New Roman"/>
                <w:sz w:val="21"/>
              </w:rPr>
              <w:t xml:space="preserve">2020 </w:t>
            </w:r>
            <w:r>
              <w:rPr>
                <w:spacing w:val="-27"/>
                <w:sz w:val="21"/>
              </w:rPr>
              <w:t xml:space="preserve">年 </w:t>
            </w:r>
            <w:r>
              <w:rPr>
                <w:rFonts w:ascii="Times New Roman" w:eastAsia="Times New Roman"/>
                <w:sz w:val="21"/>
              </w:rPr>
              <w:t xml:space="preserve">04 </w:t>
            </w:r>
            <w:r>
              <w:rPr>
                <w:spacing w:val="-27"/>
                <w:sz w:val="21"/>
              </w:rPr>
              <w:t xml:space="preserve">月 </w:t>
            </w:r>
            <w:r>
              <w:rPr>
                <w:rFonts w:ascii="Times New Roman" w:eastAsia="Times New Roman"/>
                <w:sz w:val="21"/>
              </w:rPr>
              <w:t xml:space="preserve">23 </w:t>
            </w:r>
            <w:r>
              <w:rPr>
                <w:sz w:val="21"/>
              </w:rPr>
              <w:t>日</w:t>
            </w:r>
            <w:r>
              <w:rPr>
                <w:w w:val="95"/>
                <w:sz w:val="21"/>
              </w:rPr>
              <w:t>出具的监测结果可知，四周厂界均满足《声环境质量标准》</w:t>
            </w:r>
          </w:p>
          <w:p>
            <w:pPr>
              <w:pStyle w:val="14"/>
              <w:spacing w:line="244" w:lineRule="auto"/>
              <w:ind w:left="106" w:right="98"/>
              <w:jc w:val="both"/>
              <w:rPr>
                <w:sz w:val="21"/>
              </w:rPr>
            </w:pPr>
            <w:r>
              <w:rPr>
                <w:sz w:val="21"/>
              </w:rPr>
              <w:t>（</w:t>
            </w:r>
            <w:r>
              <w:rPr>
                <w:rFonts w:ascii="Times New Roman" w:hAnsi="Times New Roman" w:eastAsia="Times New Roman"/>
                <w:sz w:val="21"/>
              </w:rPr>
              <w:t>GB3096-2008</w:t>
            </w:r>
            <w:r>
              <w:rPr>
                <w:sz w:val="21"/>
              </w:rPr>
              <w:t>）</w:t>
            </w:r>
            <w:r>
              <w:rPr>
                <w:rFonts w:ascii="Times New Roman" w:hAnsi="Times New Roman" w:eastAsia="Times New Roman"/>
                <w:sz w:val="21"/>
              </w:rPr>
              <w:t>2</w:t>
            </w:r>
            <w:r>
              <w:rPr>
                <w:rFonts w:ascii="Times New Roman" w:hAnsi="Times New Roman" w:eastAsia="Times New Roman"/>
                <w:spacing w:val="-6"/>
                <w:sz w:val="21"/>
              </w:rPr>
              <w:t xml:space="preserve"> </w:t>
            </w:r>
            <w:r>
              <w:rPr>
                <w:sz w:val="21"/>
              </w:rPr>
              <w:t>类区标准要求；③本次地下水环境现状</w:t>
            </w:r>
            <w:r>
              <w:rPr>
                <w:spacing w:val="-11"/>
                <w:sz w:val="21"/>
              </w:rPr>
              <w:t xml:space="preserve">监测布设 </w:t>
            </w:r>
            <w:r>
              <w:rPr>
                <w:rFonts w:ascii="Times New Roman" w:hAnsi="Times New Roman" w:eastAsia="Times New Roman"/>
                <w:sz w:val="21"/>
              </w:rPr>
              <w:t>5</w:t>
            </w:r>
            <w:r>
              <w:rPr>
                <w:rFonts w:ascii="Times New Roman" w:hAnsi="Times New Roman" w:eastAsia="Times New Roman"/>
                <w:spacing w:val="-4"/>
                <w:sz w:val="21"/>
              </w:rPr>
              <w:t xml:space="preserve"> </w:t>
            </w:r>
            <w:r>
              <w:rPr>
                <w:spacing w:val="-9"/>
                <w:sz w:val="21"/>
              </w:rPr>
              <w:t xml:space="preserve">个水质监测点 </w:t>
            </w:r>
            <w:r>
              <w:rPr>
                <w:rFonts w:ascii="Times New Roman" w:hAnsi="Times New Roman" w:eastAsia="Times New Roman"/>
                <w:sz w:val="21"/>
              </w:rPr>
              <w:t>5</w:t>
            </w:r>
            <w:r>
              <w:rPr>
                <w:rFonts w:ascii="Times New Roman" w:hAnsi="Times New Roman" w:eastAsia="Times New Roman"/>
                <w:spacing w:val="-3"/>
                <w:sz w:val="21"/>
              </w:rPr>
              <w:t xml:space="preserve"> </w:t>
            </w:r>
            <w:r>
              <w:rPr>
                <w:spacing w:val="-7"/>
                <w:sz w:val="21"/>
              </w:rPr>
              <w:t>个水位监测点，根据黑龙江康和</w:t>
            </w:r>
          </w:p>
          <w:p>
            <w:pPr>
              <w:pStyle w:val="14"/>
              <w:spacing w:line="242" w:lineRule="auto"/>
              <w:ind w:left="106" w:right="98"/>
              <w:jc w:val="both"/>
              <w:rPr>
                <w:sz w:val="21"/>
              </w:rPr>
            </w:pPr>
            <w:r>
              <w:rPr>
                <w:spacing w:val="-8"/>
                <w:sz w:val="21"/>
              </w:rPr>
              <w:t xml:space="preserve">检测有限公司 </w:t>
            </w:r>
            <w:r>
              <w:rPr>
                <w:rFonts w:ascii="Times New Roman" w:hAnsi="Times New Roman" w:eastAsia="Times New Roman"/>
                <w:sz w:val="21"/>
              </w:rPr>
              <w:t>2020</w:t>
            </w:r>
            <w:r>
              <w:rPr>
                <w:rFonts w:ascii="Times New Roman" w:hAnsi="Times New Roman" w:eastAsia="Times New Roman"/>
                <w:spacing w:val="-3"/>
                <w:sz w:val="21"/>
              </w:rPr>
              <w:t xml:space="preserve"> </w:t>
            </w:r>
            <w:r>
              <w:rPr>
                <w:spacing w:val="-28"/>
                <w:sz w:val="21"/>
              </w:rPr>
              <w:t xml:space="preserve">年 </w:t>
            </w:r>
            <w:r>
              <w:rPr>
                <w:rFonts w:ascii="Times New Roman" w:hAnsi="Times New Roman" w:eastAsia="Times New Roman"/>
                <w:sz w:val="21"/>
              </w:rPr>
              <w:t>06</w:t>
            </w:r>
            <w:r>
              <w:rPr>
                <w:rFonts w:ascii="Times New Roman" w:hAnsi="Times New Roman" w:eastAsia="Times New Roman"/>
                <w:spacing w:val="-1"/>
                <w:sz w:val="21"/>
              </w:rPr>
              <w:t xml:space="preserve"> </w:t>
            </w:r>
            <w:r>
              <w:rPr>
                <w:spacing w:val="-28"/>
                <w:sz w:val="21"/>
              </w:rPr>
              <w:t xml:space="preserve">月 </w:t>
            </w:r>
            <w:r>
              <w:rPr>
                <w:rFonts w:ascii="Times New Roman" w:hAnsi="Times New Roman" w:eastAsia="Times New Roman"/>
                <w:sz w:val="21"/>
              </w:rPr>
              <w:t>15</w:t>
            </w:r>
            <w:r>
              <w:rPr>
                <w:rFonts w:ascii="Times New Roman" w:hAnsi="Times New Roman" w:eastAsia="Times New Roman"/>
                <w:spacing w:val="-1"/>
                <w:sz w:val="21"/>
              </w:rPr>
              <w:t xml:space="preserve"> </w:t>
            </w:r>
            <w:r>
              <w:rPr>
                <w:sz w:val="21"/>
              </w:rPr>
              <w:t>日出具的监测结果可知，监</w:t>
            </w:r>
            <w:r>
              <w:rPr>
                <w:spacing w:val="-12"/>
                <w:sz w:val="21"/>
              </w:rPr>
              <w:t xml:space="preserve">测点水质良好，除 </w:t>
            </w:r>
            <w:r>
              <w:rPr>
                <w:rFonts w:ascii="Times New Roman" w:hAnsi="Times New Roman" w:eastAsia="Times New Roman"/>
                <w:sz w:val="21"/>
              </w:rPr>
              <w:t>4#</w:t>
            </w:r>
            <w:r>
              <w:rPr>
                <w:spacing w:val="-9"/>
                <w:sz w:val="21"/>
              </w:rPr>
              <w:t>水井总硬度、锰超标以外，其他监测因</w:t>
            </w:r>
            <w:r>
              <w:rPr>
                <w:spacing w:val="-13"/>
                <w:sz w:val="21"/>
              </w:rPr>
              <w:t xml:space="preserve">子均未超标；④本次地表水环境现状监测布设了 </w:t>
            </w:r>
            <w:r>
              <w:rPr>
                <w:rFonts w:ascii="Times New Roman" w:hAnsi="Times New Roman" w:eastAsia="Times New Roman"/>
                <w:sz w:val="21"/>
              </w:rPr>
              <w:t>3</w:t>
            </w:r>
            <w:r>
              <w:rPr>
                <w:rFonts w:ascii="Times New Roman" w:hAnsi="Times New Roman" w:eastAsia="Times New Roman"/>
                <w:spacing w:val="-6"/>
                <w:sz w:val="21"/>
              </w:rPr>
              <w:t xml:space="preserve"> </w:t>
            </w:r>
            <w:r>
              <w:rPr>
                <w:sz w:val="21"/>
              </w:rPr>
              <w:t>个监测点</w:t>
            </w:r>
          </w:p>
          <w:p>
            <w:pPr>
              <w:pStyle w:val="14"/>
              <w:spacing w:line="242" w:lineRule="auto"/>
              <w:ind w:left="106" w:right="47"/>
              <w:jc w:val="both"/>
              <w:rPr>
                <w:sz w:val="21"/>
              </w:rPr>
            </w:pPr>
            <w:r>
              <w:rPr>
                <w:spacing w:val="-4"/>
                <w:sz w:val="21"/>
              </w:rPr>
              <w:t xml:space="preserve">位，根据黑龙江康和检测有限公司 </w:t>
            </w:r>
            <w:r>
              <w:rPr>
                <w:rFonts w:ascii="Times New Roman" w:hAnsi="Times New Roman" w:eastAsia="Times New Roman"/>
                <w:sz w:val="21"/>
              </w:rPr>
              <w:t xml:space="preserve">2020 </w:t>
            </w:r>
            <w:r>
              <w:rPr>
                <w:spacing w:val="-27"/>
                <w:sz w:val="21"/>
              </w:rPr>
              <w:t xml:space="preserve">年 </w:t>
            </w:r>
            <w:r>
              <w:rPr>
                <w:rFonts w:ascii="Times New Roman" w:hAnsi="Times New Roman" w:eastAsia="Times New Roman"/>
                <w:sz w:val="21"/>
              </w:rPr>
              <w:t xml:space="preserve">06 </w:t>
            </w:r>
            <w:r>
              <w:rPr>
                <w:spacing w:val="-27"/>
                <w:sz w:val="21"/>
              </w:rPr>
              <w:t xml:space="preserve">月 </w:t>
            </w:r>
            <w:r>
              <w:rPr>
                <w:rFonts w:ascii="Times New Roman" w:hAnsi="Times New Roman" w:eastAsia="Times New Roman"/>
                <w:sz w:val="21"/>
              </w:rPr>
              <w:t xml:space="preserve">15 </w:t>
            </w:r>
            <w:r>
              <w:rPr>
                <w:sz w:val="21"/>
              </w:rPr>
              <w:t>日出具</w:t>
            </w:r>
            <w:r>
              <w:rPr>
                <w:spacing w:val="-3"/>
                <w:sz w:val="21"/>
              </w:rPr>
              <w:t>的监测结果可知，地表水环境除铁、</w:t>
            </w:r>
            <w:r>
              <w:rPr>
                <w:rFonts w:ascii="Times New Roman" w:hAnsi="Times New Roman" w:eastAsia="Times New Roman"/>
                <w:sz w:val="21"/>
              </w:rPr>
              <w:t>COD</w:t>
            </w:r>
            <w:r>
              <w:rPr>
                <w:spacing w:val="-15"/>
                <w:sz w:val="21"/>
              </w:rPr>
              <w:t>、</w:t>
            </w:r>
            <w:r>
              <w:rPr>
                <w:rFonts w:ascii="Times New Roman" w:hAnsi="Times New Roman" w:eastAsia="Times New Roman"/>
                <w:sz w:val="21"/>
              </w:rPr>
              <w:t xml:space="preserve">BOD5 </w:t>
            </w:r>
            <w:r>
              <w:rPr>
                <w:sz w:val="21"/>
              </w:rPr>
              <w:t>以外的监测指标均满足《地表水环境质量标准》（</w:t>
            </w:r>
            <w:r>
              <w:rPr>
                <w:rFonts w:ascii="Times New Roman" w:hAnsi="Times New Roman" w:eastAsia="Times New Roman"/>
                <w:sz w:val="21"/>
              </w:rPr>
              <w:t>GB3838-2002</w:t>
            </w:r>
            <w:r>
              <w:rPr>
                <w:sz w:val="21"/>
              </w:rPr>
              <w:t xml:space="preserve">）Ⅲ </w:t>
            </w:r>
            <w:r>
              <w:rPr>
                <w:spacing w:val="-4"/>
                <w:sz w:val="21"/>
              </w:rPr>
              <w:t xml:space="preserve">类标准；⑤本项目工业广场范围内 </w:t>
            </w:r>
            <w:r>
              <w:rPr>
                <w:rFonts w:ascii="Times New Roman" w:hAnsi="Times New Roman" w:eastAsia="Times New Roman"/>
                <w:sz w:val="21"/>
              </w:rPr>
              <w:t xml:space="preserve">3 </w:t>
            </w:r>
            <w:r>
              <w:rPr>
                <w:sz w:val="21"/>
              </w:rPr>
              <w:t>个表层样土壤监测点，</w:t>
            </w:r>
          </w:p>
          <w:p>
            <w:pPr>
              <w:pStyle w:val="14"/>
              <w:ind w:left="106"/>
              <w:jc w:val="both"/>
              <w:rPr>
                <w:sz w:val="21"/>
              </w:rPr>
            </w:pPr>
            <w:r>
              <w:rPr>
                <w:spacing w:val="-7"/>
                <w:sz w:val="21"/>
              </w:rPr>
              <w:t xml:space="preserve">工业场地占地范围外 </w:t>
            </w:r>
            <w:r>
              <w:rPr>
                <w:rFonts w:ascii="Times New Roman" w:eastAsia="Times New Roman"/>
                <w:sz w:val="21"/>
              </w:rPr>
              <w:t>2</w:t>
            </w:r>
            <w:r>
              <w:rPr>
                <w:rFonts w:ascii="Times New Roman" w:eastAsia="Times New Roman"/>
                <w:spacing w:val="-6"/>
                <w:sz w:val="21"/>
              </w:rPr>
              <w:t xml:space="preserve"> </w:t>
            </w:r>
            <w:r>
              <w:rPr>
                <w:spacing w:val="-5"/>
                <w:sz w:val="21"/>
              </w:rPr>
              <w:t>个表层样土壤监测点，根据黑龙江康</w:t>
            </w:r>
          </w:p>
          <w:p>
            <w:pPr>
              <w:pStyle w:val="14"/>
              <w:spacing w:line="242" w:lineRule="auto"/>
              <w:ind w:left="106" w:right="98"/>
              <w:jc w:val="both"/>
              <w:rPr>
                <w:sz w:val="21"/>
              </w:rPr>
            </w:pPr>
            <w:r>
              <w:rPr>
                <w:spacing w:val="-7"/>
                <w:sz w:val="21"/>
              </w:rPr>
              <w:t xml:space="preserve">和检测有限公司 </w:t>
            </w:r>
            <w:r>
              <w:rPr>
                <w:rFonts w:ascii="Times New Roman" w:eastAsia="Times New Roman"/>
                <w:sz w:val="21"/>
              </w:rPr>
              <w:t>2020</w:t>
            </w:r>
            <w:r>
              <w:rPr>
                <w:rFonts w:ascii="Times New Roman" w:eastAsia="Times New Roman"/>
                <w:spacing w:val="-1"/>
                <w:sz w:val="21"/>
              </w:rPr>
              <w:t xml:space="preserve"> </w:t>
            </w:r>
            <w:r>
              <w:rPr>
                <w:spacing w:val="-27"/>
                <w:sz w:val="21"/>
              </w:rPr>
              <w:t xml:space="preserve">年 </w:t>
            </w:r>
            <w:r>
              <w:rPr>
                <w:rFonts w:ascii="Times New Roman" w:eastAsia="Times New Roman"/>
                <w:sz w:val="21"/>
              </w:rPr>
              <w:t>06</w:t>
            </w:r>
            <w:r>
              <w:rPr>
                <w:rFonts w:ascii="Times New Roman" w:eastAsia="Times New Roman"/>
                <w:spacing w:val="-3"/>
                <w:sz w:val="21"/>
              </w:rPr>
              <w:t xml:space="preserve"> </w:t>
            </w:r>
            <w:r>
              <w:rPr>
                <w:spacing w:val="-28"/>
                <w:sz w:val="21"/>
              </w:rPr>
              <w:t xml:space="preserve">月 </w:t>
            </w:r>
            <w:r>
              <w:rPr>
                <w:rFonts w:ascii="Times New Roman" w:eastAsia="Times New Roman"/>
                <w:sz w:val="21"/>
              </w:rPr>
              <w:t xml:space="preserve">15 </w:t>
            </w:r>
            <w:r>
              <w:rPr>
                <w:sz w:val="21"/>
              </w:rPr>
              <w:t xml:space="preserve">日出具的监测结果可知， </w:t>
            </w:r>
            <w:r>
              <w:rPr>
                <w:spacing w:val="-1"/>
                <w:sz w:val="21"/>
              </w:rPr>
              <w:t>建设项目场地范围内土壤质量均满足《土壤环境质量 建设</w:t>
            </w:r>
            <w:r>
              <w:rPr>
                <w:spacing w:val="-3"/>
                <w:w w:val="95"/>
                <w:sz w:val="21"/>
              </w:rPr>
              <w:t>用地土壤污染风险管控标准</w:t>
            </w:r>
            <w:r>
              <w:rPr>
                <w:w w:val="95"/>
                <w:sz w:val="21"/>
              </w:rPr>
              <w:t>（试行</w:t>
            </w:r>
            <w:r>
              <w:rPr>
                <w:spacing w:val="-17"/>
                <w:w w:val="95"/>
                <w:sz w:val="21"/>
              </w:rPr>
              <w:t>）</w:t>
            </w:r>
            <w:r>
              <w:rPr>
                <w:spacing w:val="-37"/>
                <w:w w:val="95"/>
                <w:sz w:val="21"/>
              </w:rPr>
              <w:t>》</w:t>
            </w:r>
            <w:r>
              <w:rPr>
                <w:w w:val="95"/>
                <w:sz w:val="21"/>
              </w:rPr>
              <w:t>（</w:t>
            </w:r>
            <w:r>
              <w:rPr>
                <w:rFonts w:ascii="Times New Roman" w:eastAsia="Times New Roman"/>
                <w:w w:val="95"/>
                <w:sz w:val="21"/>
              </w:rPr>
              <w:t>GB36600-2018</w:t>
            </w:r>
            <w:r>
              <w:rPr>
                <w:w w:val="95"/>
                <w:sz w:val="21"/>
              </w:rPr>
              <w:t xml:space="preserve">）中 </w:t>
            </w:r>
            <w:r>
              <w:rPr>
                <w:spacing w:val="-5"/>
                <w:w w:val="95"/>
                <w:sz w:val="21"/>
              </w:rPr>
              <w:t>的第二类用地标准要求，工业场地占地范围外土壤质量满足</w:t>
            </w:r>
          </w:p>
          <w:p>
            <w:pPr>
              <w:pStyle w:val="14"/>
              <w:spacing w:before="2"/>
              <w:ind w:left="106"/>
              <w:jc w:val="left"/>
              <w:rPr>
                <w:sz w:val="21"/>
              </w:rPr>
            </w:pPr>
            <w:r>
              <w:rPr>
                <w:sz w:val="21"/>
              </w:rPr>
              <w:t>《土壤环境质量农用地土壤污染风险管控标准（试行）》</w:t>
            </w:r>
          </w:p>
          <w:p>
            <w:pPr>
              <w:pStyle w:val="14"/>
              <w:spacing w:before="3" w:line="242" w:lineRule="auto"/>
              <w:ind w:left="106" w:right="47"/>
              <w:jc w:val="both"/>
              <w:rPr>
                <w:sz w:val="21"/>
              </w:rPr>
            </w:pPr>
            <w:r>
              <w:rPr>
                <w:sz w:val="21"/>
              </w:rPr>
              <w:t>（</w:t>
            </w:r>
            <w:r>
              <w:rPr>
                <w:rFonts w:ascii="Times New Roman" w:eastAsia="Times New Roman"/>
                <w:sz w:val="21"/>
              </w:rPr>
              <w:t>GB/15618-2018</w:t>
            </w:r>
            <w:r>
              <w:rPr>
                <w:sz w:val="21"/>
              </w:rPr>
              <w:t>）标准要求；综上所述，本项目实施过程中，通过严格落实污染防治措施，可实现达标排放，且不会</w:t>
            </w:r>
            <w:r>
              <w:rPr>
                <w:w w:val="95"/>
                <w:sz w:val="21"/>
              </w:rPr>
              <w:t>改变周边环境以及敏感目标处的各环境要素环境质量现状，</w:t>
            </w:r>
          </w:p>
          <w:p>
            <w:pPr>
              <w:pStyle w:val="14"/>
              <w:spacing w:before="2" w:line="270" w:lineRule="atLeast"/>
              <w:ind w:left="106" w:right="98"/>
              <w:jc w:val="left"/>
              <w:rPr>
                <w:sz w:val="21"/>
              </w:rPr>
            </w:pPr>
            <w:r>
              <w:rPr>
                <w:spacing w:val="-5"/>
                <w:w w:val="95"/>
                <w:sz w:val="21"/>
              </w:rPr>
              <w:t xml:space="preserve">符合在区域的环境空气、地表水、地下水和土壤符合环境质 </w:t>
            </w:r>
            <w:r>
              <w:rPr>
                <w:spacing w:val="-5"/>
                <w:sz w:val="21"/>
              </w:rPr>
              <w:t>量底线要求。</w:t>
            </w:r>
          </w:p>
        </w:tc>
        <w:tc>
          <w:tcPr>
            <w:tcW w:w="1504" w:type="dxa"/>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1700" w:type="dxa"/>
          </w:tcPr>
          <w:p>
            <w:pPr>
              <w:pStyle w:val="14"/>
              <w:ind w:left="94" w:right="86"/>
              <w:rPr>
                <w:sz w:val="21"/>
              </w:rPr>
            </w:pPr>
            <w:r>
              <w:rPr>
                <w:sz w:val="21"/>
              </w:rPr>
              <w:t>环境准入负面清</w:t>
            </w:r>
          </w:p>
          <w:p>
            <w:pPr>
              <w:pStyle w:val="14"/>
              <w:spacing w:before="2" w:line="252" w:lineRule="exact"/>
              <w:ind w:left="6"/>
              <w:rPr>
                <w:sz w:val="21"/>
              </w:rPr>
            </w:pPr>
            <w:r>
              <w:rPr>
                <w:w w:val="99"/>
                <w:sz w:val="21"/>
              </w:rPr>
              <w:t>单</w:t>
            </w:r>
          </w:p>
        </w:tc>
        <w:tc>
          <w:tcPr>
            <w:tcW w:w="5627" w:type="dxa"/>
          </w:tcPr>
          <w:p>
            <w:pPr>
              <w:pStyle w:val="14"/>
              <w:ind w:left="106"/>
              <w:jc w:val="left"/>
              <w:rPr>
                <w:sz w:val="21"/>
              </w:rPr>
            </w:pPr>
            <w:r>
              <w:rPr>
                <w:sz w:val="21"/>
              </w:rPr>
              <w:t>项目所在区域不属于《黑龙江省重点生态功能区产业准入负</w:t>
            </w:r>
          </w:p>
          <w:p>
            <w:pPr>
              <w:pStyle w:val="14"/>
              <w:spacing w:before="2" w:line="252" w:lineRule="exact"/>
              <w:ind w:left="106"/>
              <w:jc w:val="left"/>
              <w:rPr>
                <w:sz w:val="21"/>
              </w:rPr>
            </w:pPr>
            <w:r>
              <w:rPr>
                <w:sz w:val="21"/>
              </w:rPr>
              <w:t>面清单（试行版）》中列出的有产业准入负面清单的区域。</w:t>
            </w:r>
          </w:p>
        </w:tc>
        <w:tc>
          <w:tcPr>
            <w:tcW w:w="1504" w:type="dxa"/>
          </w:tcPr>
          <w:p>
            <w:pPr>
              <w:pStyle w:val="14"/>
              <w:spacing w:before="135"/>
              <w:ind w:left="6"/>
              <w:rPr>
                <w:sz w:val="21"/>
              </w:rPr>
            </w:pPr>
            <w:r>
              <w:rPr>
                <w:w w:val="99"/>
                <w:sz w:val="21"/>
              </w:rPr>
              <w:t>无</w:t>
            </w:r>
          </w:p>
        </w:tc>
      </w:tr>
    </w:tbl>
    <w:p>
      <w:pPr>
        <w:pStyle w:val="3"/>
        <w:numPr>
          <w:ilvl w:val="1"/>
          <w:numId w:val="111"/>
        </w:numPr>
        <w:tabs>
          <w:tab w:val="left" w:pos="1260"/>
        </w:tabs>
        <w:spacing w:before="2" w:after="0" w:line="240" w:lineRule="auto"/>
        <w:ind w:left="1260" w:right="0" w:hanging="600"/>
        <w:jc w:val="left"/>
      </w:pPr>
      <w:bookmarkStart w:id="1335" w:name="_bookmark101"/>
      <w:bookmarkEnd w:id="1335"/>
      <w:bookmarkStart w:id="1336" w:name="17.3与黑龙江省相关政策、规划符合性"/>
      <w:bookmarkEnd w:id="1336"/>
      <w:bookmarkStart w:id="1337" w:name="_bookmark101"/>
      <w:bookmarkEnd w:id="1337"/>
      <w:r>
        <w:t>与黑龙江省相关政策、规划符合性</w:t>
      </w:r>
    </w:p>
    <w:p>
      <w:pPr>
        <w:tabs>
          <w:tab w:val="left" w:pos="1536"/>
        </w:tabs>
        <w:spacing w:before="199" w:after="4"/>
        <w:ind w:left="377" w:right="0" w:firstLine="0"/>
        <w:jc w:val="center"/>
        <w:rPr>
          <w:b/>
          <w:sz w:val="24"/>
        </w:rPr>
      </w:pPr>
      <w:r>
        <w:rPr>
          <w:b/>
          <w:sz w:val="24"/>
        </w:rPr>
        <w:t>表</w:t>
      </w:r>
      <w:r>
        <w:rPr>
          <w:b/>
          <w:spacing w:val="-62"/>
          <w:sz w:val="24"/>
        </w:rPr>
        <w:t xml:space="preserve"> </w:t>
      </w:r>
      <w:r>
        <w:rPr>
          <w:rFonts w:ascii="Times New Roman" w:eastAsia="Times New Roman"/>
          <w:b/>
          <w:sz w:val="24"/>
        </w:rPr>
        <w:t>17.3-1</w:t>
      </w:r>
      <w:r>
        <w:rPr>
          <w:rFonts w:ascii="Times New Roman" w:eastAsia="Times New Roman"/>
          <w:b/>
          <w:sz w:val="24"/>
        </w:rPr>
        <w:tab/>
      </w:r>
      <w:r>
        <w:rPr>
          <w:b/>
          <w:sz w:val="24"/>
        </w:rPr>
        <w:t>与相关规划、政策、条例、规范符合性分析</w:t>
      </w:r>
    </w:p>
    <w:tbl>
      <w:tblPr>
        <w:tblStyle w:val="10"/>
        <w:tblW w:w="0" w:type="auto"/>
        <w:tblInd w:w="6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4"/>
        <w:gridCol w:w="3686"/>
        <w:gridCol w:w="2591"/>
        <w:gridCol w:w="7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384" w:type="dxa"/>
          </w:tcPr>
          <w:p>
            <w:pPr>
              <w:pStyle w:val="14"/>
              <w:spacing w:before="21"/>
              <w:ind w:left="42" w:right="32"/>
              <w:rPr>
                <w:sz w:val="21"/>
              </w:rPr>
            </w:pPr>
            <w:r>
              <w:rPr>
                <w:sz w:val="21"/>
              </w:rPr>
              <w:t>相关政策、条</w:t>
            </w:r>
          </w:p>
          <w:p>
            <w:pPr>
              <w:pStyle w:val="14"/>
              <w:spacing w:before="43"/>
              <w:ind w:left="39" w:right="32"/>
              <w:rPr>
                <w:sz w:val="21"/>
              </w:rPr>
            </w:pPr>
            <w:r>
              <w:rPr>
                <w:sz w:val="21"/>
              </w:rPr>
              <w:t>例、规范</w:t>
            </w:r>
          </w:p>
        </w:tc>
        <w:tc>
          <w:tcPr>
            <w:tcW w:w="3686" w:type="dxa"/>
          </w:tcPr>
          <w:p>
            <w:pPr>
              <w:pStyle w:val="14"/>
              <w:spacing w:before="177"/>
              <w:ind w:left="1612" w:right="1604"/>
              <w:rPr>
                <w:sz w:val="21"/>
              </w:rPr>
            </w:pPr>
            <w:r>
              <w:rPr>
                <w:sz w:val="21"/>
              </w:rPr>
              <w:t>要求</w:t>
            </w:r>
          </w:p>
        </w:tc>
        <w:tc>
          <w:tcPr>
            <w:tcW w:w="2591" w:type="dxa"/>
          </w:tcPr>
          <w:p>
            <w:pPr>
              <w:pStyle w:val="14"/>
              <w:spacing w:before="177"/>
              <w:ind w:left="769"/>
              <w:jc w:val="left"/>
              <w:rPr>
                <w:sz w:val="21"/>
              </w:rPr>
            </w:pPr>
            <w:r>
              <w:rPr>
                <w:sz w:val="21"/>
              </w:rPr>
              <w:t>符合性分析</w:t>
            </w:r>
          </w:p>
        </w:tc>
        <w:tc>
          <w:tcPr>
            <w:tcW w:w="719" w:type="dxa"/>
          </w:tcPr>
          <w:p>
            <w:pPr>
              <w:pStyle w:val="14"/>
              <w:spacing w:before="21"/>
              <w:ind w:left="149"/>
              <w:jc w:val="left"/>
              <w:rPr>
                <w:sz w:val="21"/>
              </w:rPr>
            </w:pPr>
            <w:r>
              <w:rPr>
                <w:spacing w:val="-1"/>
                <w:w w:val="95"/>
                <w:sz w:val="21"/>
              </w:rPr>
              <w:t>是否</w:t>
            </w:r>
          </w:p>
          <w:p>
            <w:pPr>
              <w:pStyle w:val="14"/>
              <w:spacing w:before="43"/>
              <w:ind w:left="149"/>
              <w:jc w:val="left"/>
              <w:rPr>
                <w:sz w:val="21"/>
              </w:rPr>
            </w:pPr>
            <w:r>
              <w:rPr>
                <w:spacing w:val="-1"/>
                <w:w w:val="95"/>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4" w:hRule="atLeast"/>
        </w:trPr>
        <w:tc>
          <w:tcPr>
            <w:tcW w:w="1384" w:type="dxa"/>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4"/>
              <w:jc w:val="left"/>
              <w:rPr>
                <w:b/>
                <w:sz w:val="23"/>
              </w:rPr>
            </w:pPr>
          </w:p>
          <w:p>
            <w:pPr>
              <w:pStyle w:val="14"/>
              <w:spacing w:before="1" w:line="278" w:lineRule="auto"/>
              <w:ind w:left="166" w:right="156"/>
              <w:rPr>
                <w:sz w:val="21"/>
              </w:rPr>
            </w:pPr>
            <w:r>
              <w:rPr>
                <w:sz w:val="21"/>
              </w:rPr>
              <w:t>《黑龙江省主体功能区规划》</w:t>
            </w:r>
          </w:p>
        </w:tc>
        <w:tc>
          <w:tcPr>
            <w:tcW w:w="3686" w:type="dxa"/>
          </w:tcPr>
          <w:p>
            <w:pPr>
              <w:pStyle w:val="14"/>
              <w:spacing w:before="21" w:line="278" w:lineRule="auto"/>
              <w:ind w:left="587" w:right="149"/>
              <w:jc w:val="left"/>
              <w:rPr>
                <w:sz w:val="21"/>
              </w:rPr>
            </w:pPr>
            <w:r>
              <w:rPr>
                <w:sz w:val="21"/>
              </w:rPr>
              <w:t>第四章第三节省级重点开发区域一、东部煤电化基地</w:t>
            </w:r>
          </w:p>
          <w:p>
            <w:pPr>
              <w:pStyle w:val="14"/>
              <w:spacing w:line="278" w:lineRule="auto"/>
              <w:ind w:left="107" w:right="-15" w:firstLine="480"/>
              <w:jc w:val="left"/>
              <w:rPr>
                <w:sz w:val="21"/>
              </w:rPr>
            </w:pPr>
            <w:r>
              <w:rPr>
                <w:spacing w:val="-7"/>
                <w:sz w:val="21"/>
              </w:rPr>
              <w:t>以佳木斯、鸡西、双鸭山、鹤岗、</w:t>
            </w:r>
            <w:r>
              <w:rPr>
                <w:spacing w:val="-13"/>
                <w:sz w:val="21"/>
              </w:rPr>
              <w:t>七台河为区域中心城市，以能源与煤化</w:t>
            </w:r>
            <w:r>
              <w:rPr>
                <w:spacing w:val="-16"/>
                <w:sz w:val="21"/>
              </w:rPr>
              <w:t>工及其相关产业为主导，建设我省东部重要经济增长极。</w:t>
            </w:r>
          </w:p>
          <w:p>
            <w:pPr>
              <w:pStyle w:val="14"/>
              <w:spacing w:line="269" w:lineRule="exact"/>
              <w:ind w:left="587"/>
              <w:jc w:val="left"/>
              <w:rPr>
                <w:sz w:val="21"/>
              </w:rPr>
            </w:pPr>
            <w:r>
              <w:rPr>
                <w:sz w:val="21"/>
              </w:rPr>
              <w:t>（三）双鸭山。</w:t>
            </w:r>
          </w:p>
          <w:p>
            <w:pPr>
              <w:pStyle w:val="14"/>
              <w:spacing w:before="42" w:line="278" w:lineRule="auto"/>
              <w:ind w:left="107" w:right="98" w:firstLine="480"/>
              <w:jc w:val="left"/>
              <w:rPr>
                <w:sz w:val="21"/>
              </w:rPr>
            </w:pPr>
            <w:r>
              <w:rPr>
                <w:w w:val="95"/>
                <w:sz w:val="21"/>
              </w:rPr>
              <w:t>主要指双鸭山市辖区，包括尖山</w:t>
            </w:r>
            <w:r>
              <w:rPr>
                <w:sz w:val="21"/>
              </w:rPr>
              <w:t>区、岭东区、四方台区和宝山区。</w:t>
            </w:r>
          </w:p>
          <w:p>
            <w:pPr>
              <w:pStyle w:val="14"/>
              <w:spacing w:line="278" w:lineRule="auto"/>
              <w:ind w:left="107" w:right="96" w:firstLine="480"/>
              <w:jc w:val="both"/>
              <w:rPr>
                <w:sz w:val="21"/>
              </w:rPr>
            </w:pPr>
            <w:r>
              <w:rPr>
                <w:spacing w:val="3"/>
                <w:w w:val="95"/>
                <w:sz w:val="21"/>
              </w:rPr>
              <w:t>功能定位：全省重要的能源、煤</w:t>
            </w:r>
            <w:r>
              <w:rPr>
                <w:spacing w:val="-7"/>
                <w:sz w:val="21"/>
              </w:rPr>
              <w:t>电化基地和钢铁生产基地，安全优质农</w:t>
            </w:r>
            <w:r>
              <w:rPr>
                <w:sz w:val="21"/>
              </w:rPr>
              <w:t>畜产品生产加工基地。</w:t>
            </w:r>
          </w:p>
          <w:p>
            <w:pPr>
              <w:pStyle w:val="14"/>
              <w:spacing w:line="269" w:lineRule="exact"/>
              <w:ind w:left="587" w:right="-15"/>
              <w:jc w:val="left"/>
              <w:rPr>
                <w:sz w:val="21"/>
              </w:rPr>
            </w:pPr>
            <w:r>
              <w:rPr>
                <w:spacing w:val="-6"/>
                <w:sz w:val="21"/>
              </w:rPr>
              <w:t>产业发展方向及布局：发展煤炭、</w:t>
            </w:r>
          </w:p>
        </w:tc>
        <w:tc>
          <w:tcPr>
            <w:tcW w:w="2591" w:type="dxa"/>
          </w:tcPr>
          <w:p>
            <w:pPr>
              <w:pStyle w:val="14"/>
              <w:spacing w:before="21" w:line="278" w:lineRule="auto"/>
              <w:ind w:left="107" w:right="-15" w:firstLine="420"/>
              <w:jc w:val="left"/>
              <w:rPr>
                <w:sz w:val="21"/>
              </w:rPr>
            </w:pPr>
            <w:r>
              <w:rPr>
                <w:spacing w:val="7"/>
                <w:sz w:val="21"/>
              </w:rPr>
              <w:t>本项目位于双鸭山市</w:t>
            </w:r>
            <w:r>
              <w:rPr>
                <w:spacing w:val="6"/>
                <w:sz w:val="21"/>
              </w:rPr>
              <w:t>岭东区，双鸭山矿业集团</w:t>
            </w:r>
            <w:r>
              <w:rPr>
                <w:spacing w:val="-4"/>
                <w:sz w:val="21"/>
              </w:rPr>
              <w:t xml:space="preserve">岭东煤矿南 </w:t>
            </w:r>
            <w:r>
              <w:rPr>
                <w:rFonts w:ascii="Times New Roman" w:eastAsia="Times New Roman"/>
                <w:sz w:val="21"/>
              </w:rPr>
              <w:t>7km</w:t>
            </w:r>
            <w:r>
              <w:rPr>
                <w:rFonts w:ascii="Times New Roman" w:eastAsia="Times New Roman"/>
                <w:spacing w:val="-2"/>
                <w:sz w:val="21"/>
              </w:rPr>
              <w:t xml:space="preserve"> </w:t>
            </w:r>
            <w:r>
              <w:rPr>
                <w:spacing w:val="-41"/>
                <w:sz w:val="21"/>
              </w:rPr>
              <w:t>处，为《黑</w:t>
            </w:r>
            <w:r>
              <w:rPr>
                <w:spacing w:val="6"/>
                <w:sz w:val="21"/>
              </w:rPr>
              <w:t>龙江省主体功能区规划》中省级重点开发区域。并</w:t>
            </w:r>
            <w:r>
              <w:rPr>
                <w:spacing w:val="5"/>
                <w:sz w:val="21"/>
              </w:rPr>
              <w:t>且本项目为煤炭开采和洗</w:t>
            </w:r>
            <w:r>
              <w:rPr>
                <w:spacing w:val="6"/>
                <w:sz w:val="21"/>
              </w:rPr>
              <w:t>选业，双鸭山大顺矿业有限公司进行改扩建，是接续衰老报废矿井的需要。通过改扩建，提高生产效</w:t>
            </w:r>
            <w:r>
              <w:rPr>
                <w:spacing w:val="-6"/>
                <w:sz w:val="21"/>
              </w:rPr>
              <w:t xml:space="preserve">率，增加企业的经济效益， </w:t>
            </w:r>
            <w:r>
              <w:rPr>
                <w:spacing w:val="6"/>
                <w:sz w:val="21"/>
              </w:rPr>
              <w:t>满足了企业自身经济发展</w:t>
            </w:r>
          </w:p>
          <w:p>
            <w:pPr>
              <w:pStyle w:val="14"/>
              <w:spacing w:line="268" w:lineRule="exact"/>
              <w:ind w:left="107"/>
              <w:jc w:val="left"/>
              <w:rPr>
                <w:sz w:val="21"/>
              </w:rPr>
            </w:pPr>
            <w:r>
              <w:rPr>
                <w:spacing w:val="6"/>
                <w:w w:val="95"/>
                <w:sz w:val="21"/>
              </w:rPr>
              <w:t>的需要。因此项目建设符</w:t>
            </w:r>
          </w:p>
        </w:tc>
        <w:tc>
          <w:tcPr>
            <w:tcW w:w="719" w:type="dxa"/>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9"/>
              <w:jc w:val="left"/>
              <w:rPr>
                <w:b/>
                <w:sz w:val="27"/>
              </w:rPr>
            </w:pPr>
          </w:p>
          <w:p>
            <w:pPr>
              <w:pStyle w:val="14"/>
              <w:ind w:left="149"/>
              <w:jc w:val="left"/>
              <w:rPr>
                <w:sz w:val="21"/>
              </w:rPr>
            </w:pPr>
            <w:r>
              <w:rPr>
                <w:sz w:val="21"/>
              </w:rPr>
              <w:t>符合</w:t>
            </w:r>
          </w:p>
        </w:tc>
      </w:tr>
    </w:tbl>
    <w:p>
      <w:pPr>
        <w:spacing w:after="0"/>
        <w:jc w:val="left"/>
        <w:rPr>
          <w:sz w:val="21"/>
        </w:rPr>
        <w:sectPr>
          <w:pgSz w:w="11910" w:h="16840"/>
          <w:pgMar w:top="1420" w:right="1020" w:bottom="1180" w:left="1140" w:header="0" w:footer="917" w:gutter="0"/>
        </w:sectPr>
      </w:pPr>
    </w:p>
    <w:tbl>
      <w:tblPr>
        <w:tblStyle w:val="10"/>
        <w:tblW w:w="0" w:type="auto"/>
        <w:tblInd w:w="6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4"/>
        <w:gridCol w:w="3686"/>
        <w:gridCol w:w="2591"/>
        <w:gridCol w:w="7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84" w:type="dxa"/>
          </w:tcPr>
          <w:p>
            <w:pPr>
              <w:pStyle w:val="14"/>
              <w:spacing w:before="21"/>
              <w:ind w:left="42" w:right="32"/>
              <w:rPr>
                <w:sz w:val="21"/>
              </w:rPr>
            </w:pPr>
            <w:r>
              <w:rPr>
                <w:sz w:val="21"/>
              </w:rPr>
              <w:t>相关政策、条</w:t>
            </w:r>
          </w:p>
          <w:p>
            <w:pPr>
              <w:pStyle w:val="14"/>
              <w:spacing w:before="43"/>
              <w:ind w:left="39" w:right="32"/>
              <w:rPr>
                <w:sz w:val="21"/>
              </w:rPr>
            </w:pPr>
            <w:r>
              <w:rPr>
                <w:sz w:val="21"/>
              </w:rPr>
              <w:t>例、规范</w:t>
            </w:r>
          </w:p>
        </w:tc>
        <w:tc>
          <w:tcPr>
            <w:tcW w:w="3686" w:type="dxa"/>
          </w:tcPr>
          <w:p>
            <w:pPr>
              <w:pStyle w:val="14"/>
              <w:spacing w:before="177"/>
              <w:ind w:left="1612" w:right="1604"/>
              <w:rPr>
                <w:sz w:val="21"/>
              </w:rPr>
            </w:pPr>
            <w:r>
              <w:rPr>
                <w:sz w:val="21"/>
              </w:rPr>
              <w:t>要求</w:t>
            </w:r>
          </w:p>
        </w:tc>
        <w:tc>
          <w:tcPr>
            <w:tcW w:w="2591" w:type="dxa"/>
          </w:tcPr>
          <w:p>
            <w:pPr>
              <w:pStyle w:val="14"/>
              <w:spacing w:before="177"/>
              <w:ind w:left="769"/>
              <w:jc w:val="left"/>
              <w:rPr>
                <w:sz w:val="21"/>
              </w:rPr>
            </w:pPr>
            <w:r>
              <w:rPr>
                <w:sz w:val="21"/>
              </w:rPr>
              <w:t>符合性分析</w:t>
            </w:r>
          </w:p>
        </w:tc>
        <w:tc>
          <w:tcPr>
            <w:tcW w:w="719" w:type="dxa"/>
          </w:tcPr>
          <w:p>
            <w:pPr>
              <w:pStyle w:val="14"/>
              <w:spacing w:before="21"/>
              <w:ind w:left="149"/>
              <w:jc w:val="left"/>
              <w:rPr>
                <w:sz w:val="21"/>
              </w:rPr>
            </w:pPr>
            <w:r>
              <w:rPr>
                <w:spacing w:val="-1"/>
                <w:w w:val="95"/>
                <w:sz w:val="21"/>
              </w:rPr>
              <w:t>是否</w:t>
            </w:r>
          </w:p>
          <w:p>
            <w:pPr>
              <w:pStyle w:val="14"/>
              <w:spacing w:before="43"/>
              <w:ind w:left="149"/>
              <w:jc w:val="left"/>
              <w:rPr>
                <w:sz w:val="21"/>
              </w:rPr>
            </w:pPr>
            <w:r>
              <w:rPr>
                <w:spacing w:val="-1"/>
                <w:w w:val="95"/>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12" w:hRule="atLeast"/>
        </w:trPr>
        <w:tc>
          <w:tcPr>
            <w:tcW w:w="1384" w:type="dxa"/>
          </w:tcPr>
          <w:p>
            <w:pPr>
              <w:pStyle w:val="14"/>
              <w:jc w:val="left"/>
              <w:rPr>
                <w:rFonts w:ascii="Times New Roman"/>
                <w:sz w:val="20"/>
              </w:rPr>
            </w:pPr>
          </w:p>
        </w:tc>
        <w:tc>
          <w:tcPr>
            <w:tcW w:w="3686" w:type="dxa"/>
          </w:tcPr>
          <w:p>
            <w:pPr>
              <w:pStyle w:val="14"/>
              <w:spacing w:before="21" w:line="278" w:lineRule="auto"/>
              <w:ind w:left="107" w:right="-15"/>
              <w:jc w:val="left"/>
              <w:rPr>
                <w:sz w:val="21"/>
              </w:rPr>
            </w:pPr>
            <w:r>
              <w:rPr>
                <w:sz w:val="21"/>
              </w:rPr>
              <w:t>电力、煤化工、钢铁、农畜产品加工、</w:t>
            </w:r>
            <w:r>
              <w:rPr>
                <w:spacing w:val="-11"/>
                <w:sz w:val="21"/>
              </w:rPr>
              <w:t>新建材、新能源等七大主导产业。煤化</w:t>
            </w:r>
            <w:r>
              <w:rPr>
                <w:spacing w:val="-15"/>
                <w:sz w:val="21"/>
              </w:rPr>
              <w:t>工产业重点发展煤炭气化、液化为路径</w:t>
            </w:r>
            <w:r>
              <w:rPr>
                <w:spacing w:val="-13"/>
                <w:sz w:val="21"/>
              </w:rPr>
              <w:t>的甲醇、合成氨、尿素等石化替代产业</w:t>
            </w:r>
            <w:r>
              <w:rPr>
                <w:spacing w:val="-15"/>
                <w:sz w:val="21"/>
              </w:rPr>
              <w:t>及其下游产品开发、石油和天然气的开</w:t>
            </w:r>
            <w:r>
              <w:rPr>
                <w:spacing w:val="-13"/>
                <w:sz w:val="21"/>
              </w:rPr>
              <w:t>发利用。钢铁产业重点发展优质特种钢和铸造、机械加工等产业。发展绿色食</w:t>
            </w:r>
            <w:r>
              <w:rPr>
                <w:spacing w:val="-14"/>
                <w:sz w:val="21"/>
              </w:rPr>
              <w:t>品精深加工、生物质能、生物化工、新</w:t>
            </w:r>
            <w:r>
              <w:rPr>
                <w:spacing w:val="-12"/>
                <w:sz w:val="21"/>
              </w:rPr>
              <w:t>建材、新能源等产业。尖山区重点发展</w:t>
            </w:r>
            <w:r>
              <w:rPr>
                <w:spacing w:val="-14"/>
                <w:sz w:val="21"/>
              </w:rPr>
              <w:t>现代服务业；岭东区重点发展煤炭、煤</w:t>
            </w:r>
            <w:r>
              <w:rPr>
                <w:spacing w:val="-12"/>
                <w:sz w:val="21"/>
              </w:rPr>
              <w:t>化工、冶金、建材产业；四方台区重点</w:t>
            </w:r>
            <w:r>
              <w:rPr>
                <w:spacing w:val="-13"/>
                <w:sz w:val="21"/>
              </w:rPr>
              <w:t>发展煤炭、煤炭深加工、建材、特种物</w:t>
            </w:r>
            <w:r>
              <w:rPr>
                <w:spacing w:val="-17"/>
                <w:sz w:val="21"/>
              </w:rPr>
              <w:t>流业以及煤化工产业配套行业；宝山区</w:t>
            </w:r>
            <w:r>
              <w:rPr>
                <w:spacing w:val="-15"/>
                <w:sz w:val="21"/>
              </w:rPr>
              <w:t>重点发展煤炭、电力以及能源综合利用产业。</w:t>
            </w:r>
          </w:p>
          <w:p>
            <w:pPr>
              <w:pStyle w:val="14"/>
              <w:spacing w:line="278" w:lineRule="auto"/>
              <w:ind w:left="107" w:right="-15" w:firstLine="480"/>
              <w:jc w:val="left"/>
              <w:rPr>
                <w:sz w:val="21"/>
              </w:rPr>
            </w:pPr>
            <w:r>
              <w:rPr>
                <w:spacing w:val="3"/>
                <w:sz w:val="21"/>
              </w:rPr>
              <w:t>生态建设：加强水土流失预防和</w:t>
            </w:r>
            <w:r>
              <w:rPr>
                <w:spacing w:val="-10"/>
                <w:sz w:val="21"/>
              </w:rPr>
              <w:t>治理。开展重点矿区生态修复、环境治</w:t>
            </w:r>
            <w:r>
              <w:rPr>
                <w:spacing w:val="-18"/>
                <w:sz w:val="21"/>
              </w:rPr>
              <w:t xml:space="preserve">理和水资源保护，加强煤矸石、粉煤灰、钢渣等废弃物和采煤沉陷区综合治理， </w:t>
            </w:r>
            <w:r>
              <w:rPr>
                <w:spacing w:val="6"/>
                <w:sz w:val="21"/>
              </w:rPr>
              <w:t>提高矿区土地复垦和矿井水回收利用率。</w:t>
            </w:r>
          </w:p>
          <w:p>
            <w:pPr>
              <w:pStyle w:val="14"/>
              <w:spacing w:line="278" w:lineRule="auto"/>
              <w:ind w:left="107" w:right="96" w:firstLine="480"/>
              <w:jc w:val="both"/>
              <w:rPr>
                <w:sz w:val="21"/>
              </w:rPr>
            </w:pPr>
            <w:r>
              <w:rPr>
                <w:spacing w:val="3"/>
                <w:w w:val="95"/>
                <w:sz w:val="21"/>
              </w:rPr>
              <w:t>基础设施建设：提升城市总体功</w:t>
            </w:r>
            <w:r>
              <w:rPr>
                <w:spacing w:val="-11"/>
                <w:sz w:val="21"/>
              </w:rPr>
              <w:t>能，完善各类产业园区的外部配套基础设施，加快东部煤、粮、钢等大宗物品</w:t>
            </w:r>
            <w:r>
              <w:rPr>
                <w:spacing w:val="-9"/>
                <w:sz w:val="21"/>
              </w:rPr>
              <w:t>的仓储物流以及运输通道建设，逐步实</w:t>
            </w:r>
          </w:p>
          <w:p>
            <w:pPr>
              <w:pStyle w:val="14"/>
              <w:spacing w:line="269" w:lineRule="exact"/>
              <w:ind w:left="107"/>
              <w:jc w:val="left"/>
              <w:rPr>
                <w:sz w:val="21"/>
              </w:rPr>
            </w:pPr>
            <w:r>
              <w:rPr>
                <w:sz w:val="21"/>
              </w:rPr>
              <w:t>施城市中心区扩大工程。</w:t>
            </w:r>
          </w:p>
        </w:tc>
        <w:tc>
          <w:tcPr>
            <w:tcW w:w="2591" w:type="dxa"/>
          </w:tcPr>
          <w:p>
            <w:pPr>
              <w:pStyle w:val="14"/>
              <w:spacing w:before="21" w:line="278" w:lineRule="auto"/>
              <w:ind w:left="107" w:right="97"/>
              <w:jc w:val="left"/>
              <w:rPr>
                <w:sz w:val="21"/>
              </w:rPr>
            </w:pPr>
            <w:r>
              <w:rPr>
                <w:sz w:val="21"/>
              </w:rPr>
              <w:t>合《黑龙江省主体功能区规划》。</w:t>
            </w:r>
          </w:p>
        </w:tc>
        <w:tc>
          <w:tcPr>
            <w:tcW w:w="719" w:type="dxa"/>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1" w:hRule="atLeast"/>
        </w:trPr>
        <w:tc>
          <w:tcPr>
            <w:tcW w:w="1384" w:type="dxa"/>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12"/>
              <w:jc w:val="left"/>
              <w:rPr>
                <w:b/>
                <w:sz w:val="18"/>
              </w:rPr>
            </w:pPr>
          </w:p>
          <w:p>
            <w:pPr>
              <w:pStyle w:val="14"/>
              <w:spacing w:line="278" w:lineRule="auto"/>
              <w:ind w:left="166" w:right="156"/>
              <w:rPr>
                <w:sz w:val="21"/>
              </w:rPr>
            </w:pPr>
            <w:r>
              <w:rPr>
                <w:sz w:val="21"/>
              </w:rPr>
              <w:t>《黑龙江省生态功能区划》</w:t>
            </w:r>
          </w:p>
        </w:tc>
        <w:tc>
          <w:tcPr>
            <w:tcW w:w="3686" w:type="dxa"/>
          </w:tcPr>
          <w:p>
            <w:pPr>
              <w:pStyle w:val="14"/>
              <w:spacing w:before="20" w:line="278" w:lineRule="auto"/>
              <w:ind w:left="107" w:right="-15" w:firstLine="420"/>
              <w:jc w:val="left"/>
              <w:rPr>
                <w:sz w:val="21"/>
              </w:rPr>
            </w:pPr>
            <w:r>
              <w:rPr>
                <w:sz w:val="21"/>
              </w:rPr>
              <w:t xml:space="preserve">根据《黑龙江省生态功能区划》， </w:t>
            </w:r>
            <w:r>
              <w:rPr>
                <w:spacing w:val="16"/>
                <w:sz w:val="21"/>
              </w:rPr>
              <w:t>双鸭山市属于</w:t>
            </w:r>
            <w:r>
              <w:rPr>
                <w:b/>
                <w:sz w:val="21"/>
              </w:rPr>
              <w:t>Ⅰ</w:t>
            </w:r>
            <w:r>
              <w:rPr>
                <w:rFonts w:ascii="Times New Roman" w:hAnsi="Times New Roman" w:eastAsia="Times New Roman"/>
                <w:b/>
                <w:sz w:val="21"/>
              </w:rPr>
              <w:t>—3—2—3</w:t>
            </w:r>
            <w:r>
              <w:rPr>
                <w:rFonts w:ascii="Times New Roman" w:hAnsi="Times New Roman" w:eastAsia="Times New Roman"/>
                <w:b/>
                <w:spacing w:val="9"/>
                <w:sz w:val="21"/>
              </w:rPr>
              <w:t xml:space="preserve"> </w:t>
            </w:r>
            <w:r>
              <w:rPr>
                <w:b/>
                <w:spacing w:val="17"/>
                <w:sz w:val="21"/>
              </w:rPr>
              <w:t>双鸭山</w:t>
            </w:r>
            <w:r>
              <w:rPr>
                <w:rFonts w:ascii="Times New Roman" w:hAnsi="Times New Roman" w:eastAsia="Times New Roman"/>
                <w:b/>
                <w:sz w:val="21"/>
              </w:rPr>
              <w:t xml:space="preserve">— </w:t>
            </w:r>
            <w:r>
              <w:rPr>
                <w:b/>
                <w:spacing w:val="8"/>
                <w:sz w:val="21"/>
              </w:rPr>
              <w:t>集贤矿业与林业、农业生态功能区</w:t>
            </w:r>
            <w:r>
              <w:rPr>
                <w:sz w:val="21"/>
              </w:rPr>
              <w:t xml:space="preserve">， </w:t>
            </w:r>
            <w:r>
              <w:rPr>
                <w:spacing w:val="-10"/>
                <w:sz w:val="21"/>
              </w:rPr>
              <w:t>主要生态环境问题：矿山开采导致生态</w:t>
            </w:r>
            <w:r>
              <w:rPr>
                <w:spacing w:val="-14"/>
                <w:sz w:val="21"/>
              </w:rPr>
              <w:t>环境极为脆弱；资源超采严重；产业结</w:t>
            </w:r>
            <w:r>
              <w:rPr>
                <w:spacing w:val="-13"/>
                <w:sz w:val="21"/>
              </w:rPr>
              <w:t>构不合理，物能消耗高，产生较大的环境压力。主要生态系统服务功能：土地</w:t>
            </w:r>
            <w:r>
              <w:rPr>
                <w:spacing w:val="-14"/>
                <w:sz w:val="21"/>
              </w:rPr>
              <w:t>沙漠化控制、土壤保持、矿、林、农业</w:t>
            </w:r>
            <w:r>
              <w:rPr>
                <w:spacing w:val="-13"/>
                <w:sz w:val="21"/>
              </w:rPr>
              <w:t>生产。保护措施与发展方向：加大对开</w:t>
            </w:r>
            <w:r>
              <w:rPr>
                <w:spacing w:val="-16"/>
                <w:sz w:val="21"/>
              </w:rPr>
              <w:t>采迹地的恢复工作，调整产业结构，加</w:t>
            </w:r>
          </w:p>
          <w:p>
            <w:pPr>
              <w:pStyle w:val="14"/>
              <w:spacing w:line="268" w:lineRule="exact"/>
              <w:ind w:left="107"/>
              <w:jc w:val="left"/>
              <w:rPr>
                <w:sz w:val="21"/>
              </w:rPr>
            </w:pPr>
            <w:r>
              <w:rPr>
                <w:sz w:val="21"/>
              </w:rPr>
              <w:t>大城市环境基础设施建设。</w:t>
            </w:r>
          </w:p>
        </w:tc>
        <w:tc>
          <w:tcPr>
            <w:tcW w:w="2591" w:type="dxa"/>
          </w:tcPr>
          <w:p>
            <w:pPr>
              <w:pStyle w:val="14"/>
              <w:spacing w:before="12"/>
              <w:jc w:val="left"/>
              <w:rPr>
                <w:b/>
                <w:sz w:val="25"/>
              </w:rPr>
            </w:pPr>
          </w:p>
          <w:p>
            <w:pPr>
              <w:pStyle w:val="14"/>
              <w:spacing w:line="278" w:lineRule="auto"/>
              <w:ind w:left="107" w:right="95" w:firstLine="420"/>
              <w:jc w:val="both"/>
              <w:rPr>
                <w:sz w:val="21"/>
              </w:rPr>
            </w:pPr>
            <w:r>
              <w:rPr>
                <w:spacing w:val="5"/>
                <w:sz w:val="21"/>
              </w:rPr>
              <w:t>本项目位于双鸭山市岭东区，双鸭山矿业集团</w:t>
            </w:r>
            <w:r>
              <w:rPr>
                <w:spacing w:val="-9"/>
                <w:sz w:val="21"/>
              </w:rPr>
              <w:t xml:space="preserve">岭东煤矿南 </w:t>
            </w:r>
            <w:r>
              <w:rPr>
                <w:rFonts w:ascii="Times New Roman" w:eastAsia="Times New Roman"/>
                <w:sz w:val="21"/>
              </w:rPr>
              <w:t xml:space="preserve">7km </w:t>
            </w:r>
            <w:r>
              <w:rPr>
                <w:spacing w:val="-4"/>
                <w:sz w:val="21"/>
              </w:rPr>
              <w:t>处，所占</w:t>
            </w:r>
            <w:r>
              <w:rPr>
                <w:spacing w:val="4"/>
                <w:sz w:val="21"/>
              </w:rPr>
              <w:t>用土地为工矿用地，确保</w:t>
            </w:r>
            <w:r>
              <w:rPr>
                <w:spacing w:val="5"/>
                <w:sz w:val="21"/>
              </w:rPr>
              <w:t>在施工期、运营期采取相应有效的生态环境保护措施，因此，本项目建设不违背《黑龙江省生态功能</w:t>
            </w:r>
            <w:r>
              <w:rPr>
                <w:sz w:val="21"/>
              </w:rPr>
              <w:t>区划》。</w:t>
            </w:r>
          </w:p>
        </w:tc>
        <w:tc>
          <w:tcPr>
            <w:tcW w:w="719" w:type="dxa"/>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4"/>
              <w:jc w:val="left"/>
              <w:rPr>
                <w:b/>
                <w:sz w:val="23"/>
              </w:rPr>
            </w:pPr>
          </w:p>
          <w:p>
            <w:pPr>
              <w:pStyle w:val="14"/>
              <w:ind w:left="128" w:right="121"/>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7" w:hRule="atLeast"/>
        </w:trPr>
        <w:tc>
          <w:tcPr>
            <w:tcW w:w="1384" w:type="dxa"/>
          </w:tcPr>
          <w:p>
            <w:pPr>
              <w:pStyle w:val="14"/>
              <w:spacing w:before="176" w:line="278" w:lineRule="auto"/>
              <w:ind w:left="108" w:right="5" w:hanging="94"/>
              <w:rPr>
                <w:sz w:val="21"/>
              </w:rPr>
            </w:pPr>
            <w:r>
              <w:rPr>
                <w:sz w:val="21"/>
              </w:rPr>
              <w:t xml:space="preserve">《黑龙江省 生态环境保 </w:t>
            </w:r>
            <w:r>
              <w:rPr>
                <w:spacing w:val="-3"/>
                <w:sz w:val="21"/>
              </w:rPr>
              <w:t xml:space="preserve">护“十三五” </w:t>
            </w:r>
            <w:r>
              <w:rPr>
                <w:sz w:val="21"/>
              </w:rPr>
              <w:t>规划》</w:t>
            </w:r>
          </w:p>
        </w:tc>
        <w:tc>
          <w:tcPr>
            <w:tcW w:w="3686" w:type="dxa"/>
          </w:tcPr>
          <w:p>
            <w:pPr>
              <w:pStyle w:val="14"/>
              <w:spacing w:before="20" w:line="278" w:lineRule="auto"/>
              <w:ind w:left="107" w:right="96" w:firstLine="420"/>
              <w:jc w:val="both"/>
              <w:rPr>
                <w:sz w:val="21"/>
              </w:rPr>
            </w:pPr>
            <w:r>
              <w:rPr>
                <w:spacing w:val="7"/>
                <w:w w:val="95"/>
                <w:sz w:val="21"/>
              </w:rPr>
              <w:t>《黑龙江省生态环境保护“十三</w:t>
            </w:r>
            <w:r>
              <w:rPr>
                <w:spacing w:val="-5"/>
                <w:sz w:val="21"/>
              </w:rPr>
              <w:t xml:space="preserve">五”规划》总体目标：到 </w:t>
            </w:r>
            <w:r>
              <w:rPr>
                <w:rFonts w:ascii="Times New Roman" w:hAnsi="Times New Roman" w:eastAsia="Times New Roman"/>
                <w:sz w:val="21"/>
              </w:rPr>
              <w:t xml:space="preserve">2020 </w:t>
            </w:r>
            <w:r>
              <w:rPr>
                <w:spacing w:val="-4"/>
                <w:sz w:val="21"/>
              </w:rPr>
              <w:t>年，全</w:t>
            </w:r>
            <w:r>
              <w:rPr>
                <w:spacing w:val="-10"/>
                <w:sz w:val="21"/>
              </w:rPr>
              <w:t>省生态环境质量总体改善。地表水水环</w:t>
            </w:r>
            <w:r>
              <w:rPr>
                <w:spacing w:val="5"/>
                <w:w w:val="95"/>
                <w:sz w:val="21"/>
              </w:rPr>
              <w:t>境质量在总体稳定的基础上进一步改</w:t>
            </w:r>
          </w:p>
          <w:p>
            <w:pPr>
              <w:pStyle w:val="14"/>
              <w:spacing w:line="269" w:lineRule="exact"/>
              <w:ind w:left="107"/>
              <w:jc w:val="left"/>
              <w:rPr>
                <w:sz w:val="21"/>
              </w:rPr>
            </w:pPr>
            <w:r>
              <w:rPr>
                <w:spacing w:val="-11"/>
                <w:w w:val="95"/>
                <w:sz w:val="21"/>
              </w:rPr>
              <w:t>善，污染严重水体得到有效治理，饮用</w:t>
            </w:r>
          </w:p>
        </w:tc>
        <w:tc>
          <w:tcPr>
            <w:tcW w:w="2591" w:type="dxa"/>
          </w:tcPr>
          <w:p>
            <w:pPr>
              <w:pStyle w:val="14"/>
              <w:spacing w:before="20" w:line="278" w:lineRule="auto"/>
              <w:ind w:left="107" w:right="97" w:firstLine="420"/>
              <w:jc w:val="both"/>
              <w:rPr>
                <w:sz w:val="21"/>
              </w:rPr>
            </w:pPr>
            <w:r>
              <w:rPr>
                <w:sz w:val="21"/>
              </w:rPr>
              <w:t>本项目对矿井涌水、矸石、土地复垦等采取了合理的环境治理和生态保护措施本项目与《黑龙江</w:t>
            </w:r>
          </w:p>
          <w:p>
            <w:pPr>
              <w:pStyle w:val="14"/>
              <w:spacing w:line="269" w:lineRule="exact"/>
              <w:ind w:left="107" w:right="-15"/>
              <w:jc w:val="left"/>
              <w:rPr>
                <w:sz w:val="21"/>
              </w:rPr>
            </w:pPr>
            <w:r>
              <w:rPr>
                <w:spacing w:val="-6"/>
                <w:sz w:val="21"/>
              </w:rPr>
              <w:t>省生态环境保护“十三五”</w:t>
            </w:r>
          </w:p>
        </w:tc>
        <w:tc>
          <w:tcPr>
            <w:tcW w:w="719" w:type="dxa"/>
          </w:tcPr>
          <w:p>
            <w:pPr>
              <w:pStyle w:val="14"/>
              <w:jc w:val="left"/>
              <w:rPr>
                <w:b/>
                <w:sz w:val="20"/>
              </w:rPr>
            </w:pPr>
          </w:p>
          <w:p>
            <w:pPr>
              <w:pStyle w:val="14"/>
              <w:jc w:val="left"/>
              <w:rPr>
                <w:b/>
                <w:sz w:val="20"/>
              </w:rPr>
            </w:pPr>
          </w:p>
          <w:p>
            <w:pPr>
              <w:pStyle w:val="14"/>
              <w:spacing w:before="131"/>
              <w:ind w:left="128" w:right="121"/>
              <w:rPr>
                <w:sz w:val="21"/>
              </w:rPr>
            </w:pPr>
            <w:r>
              <w:rPr>
                <w:sz w:val="21"/>
              </w:rPr>
              <w:t>符合</w:t>
            </w:r>
          </w:p>
        </w:tc>
      </w:tr>
    </w:tbl>
    <w:p>
      <w:pPr>
        <w:spacing w:after="0"/>
        <w:rPr>
          <w:sz w:val="21"/>
        </w:rPr>
        <w:sectPr>
          <w:pgSz w:w="11910" w:h="16840"/>
          <w:pgMar w:top="1420" w:right="1020" w:bottom="1100" w:left="1140" w:header="0" w:footer="917" w:gutter="0"/>
        </w:sectPr>
      </w:pPr>
    </w:p>
    <w:tbl>
      <w:tblPr>
        <w:tblStyle w:val="10"/>
        <w:tblW w:w="0" w:type="auto"/>
        <w:tblInd w:w="6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4"/>
        <w:gridCol w:w="3686"/>
        <w:gridCol w:w="2591"/>
        <w:gridCol w:w="7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84" w:type="dxa"/>
          </w:tcPr>
          <w:p>
            <w:pPr>
              <w:pStyle w:val="14"/>
              <w:spacing w:before="21"/>
              <w:ind w:left="42" w:right="32"/>
              <w:rPr>
                <w:sz w:val="21"/>
              </w:rPr>
            </w:pPr>
            <w:r>
              <w:rPr>
                <w:sz w:val="21"/>
              </w:rPr>
              <w:t>相关政策、条</w:t>
            </w:r>
          </w:p>
          <w:p>
            <w:pPr>
              <w:pStyle w:val="14"/>
              <w:spacing w:before="43"/>
              <w:ind w:left="39" w:right="32"/>
              <w:rPr>
                <w:sz w:val="21"/>
              </w:rPr>
            </w:pPr>
            <w:r>
              <w:rPr>
                <w:sz w:val="21"/>
              </w:rPr>
              <w:t>例、规范</w:t>
            </w:r>
          </w:p>
        </w:tc>
        <w:tc>
          <w:tcPr>
            <w:tcW w:w="3686" w:type="dxa"/>
          </w:tcPr>
          <w:p>
            <w:pPr>
              <w:pStyle w:val="14"/>
              <w:spacing w:before="177"/>
              <w:ind w:left="1612" w:right="1604"/>
              <w:rPr>
                <w:sz w:val="21"/>
              </w:rPr>
            </w:pPr>
            <w:r>
              <w:rPr>
                <w:sz w:val="21"/>
              </w:rPr>
              <w:t>要求</w:t>
            </w:r>
          </w:p>
        </w:tc>
        <w:tc>
          <w:tcPr>
            <w:tcW w:w="2591" w:type="dxa"/>
          </w:tcPr>
          <w:p>
            <w:pPr>
              <w:pStyle w:val="14"/>
              <w:spacing w:before="177"/>
              <w:ind w:left="769"/>
              <w:jc w:val="left"/>
              <w:rPr>
                <w:sz w:val="21"/>
              </w:rPr>
            </w:pPr>
            <w:r>
              <w:rPr>
                <w:sz w:val="21"/>
              </w:rPr>
              <w:t>符合性分析</w:t>
            </w:r>
          </w:p>
        </w:tc>
        <w:tc>
          <w:tcPr>
            <w:tcW w:w="719" w:type="dxa"/>
          </w:tcPr>
          <w:p>
            <w:pPr>
              <w:pStyle w:val="14"/>
              <w:spacing w:before="21"/>
              <w:ind w:left="149"/>
              <w:jc w:val="left"/>
              <w:rPr>
                <w:sz w:val="21"/>
              </w:rPr>
            </w:pPr>
            <w:r>
              <w:rPr>
                <w:spacing w:val="-1"/>
                <w:w w:val="95"/>
                <w:sz w:val="21"/>
              </w:rPr>
              <w:t>是否</w:t>
            </w:r>
          </w:p>
          <w:p>
            <w:pPr>
              <w:pStyle w:val="14"/>
              <w:spacing w:before="43"/>
              <w:ind w:left="149"/>
              <w:jc w:val="left"/>
              <w:rPr>
                <w:sz w:val="21"/>
              </w:rPr>
            </w:pPr>
            <w:r>
              <w:rPr>
                <w:spacing w:val="-1"/>
                <w:w w:val="95"/>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0" w:hRule="atLeast"/>
        </w:trPr>
        <w:tc>
          <w:tcPr>
            <w:tcW w:w="1384" w:type="dxa"/>
          </w:tcPr>
          <w:p>
            <w:pPr>
              <w:pStyle w:val="14"/>
              <w:jc w:val="left"/>
              <w:rPr>
                <w:rFonts w:ascii="Times New Roman"/>
                <w:sz w:val="22"/>
              </w:rPr>
            </w:pPr>
          </w:p>
        </w:tc>
        <w:tc>
          <w:tcPr>
            <w:tcW w:w="3686" w:type="dxa"/>
          </w:tcPr>
          <w:p>
            <w:pPr>
              <w:pStyle w:val="14"/>
              <w:spacing w:before="21" w:line="278" w:lineRule="auto"/>
              <w:ind w:left="107" w:right="-15"/>
              <w:jc w:val="left"/>
              <w:rPr>
                <w:sz w:val="21"/>
              </w:rPr>
            </w:pPr>
            <w:r>
              <w:rPr>
                <w:spacing w:val="-10"/>
                <w:sz w:val="21"/>
              </w:rPr>
              <w:t>水安全得到有效保障；城市大气环境质</w:t>
            </w:r>
            <w:r>
              <w:rPr>
                <w:spacing w:val="-13"/>
                <w:sz w:val="21"/>
              </w:rPr>
              <w:t>量持续改善，重点行业和重点区域大气</w:t>
            </w:r>
            <w:r>
              <w:rPr>
                <w:spacing w:val="-15"/>
                <w:sz w:val="21"/>
              </w:rPr>
              <w:t xml:space="preserve">污染治理成效明显；土壤环境质量保持稳定；主要污染物排放总量显著减少； </w:t>
            </w:r>
            <w:r>
              <w:rPr>
                <w:spacing w:val="-17"/>
                <w:sz w:val="21"/>
              </w:rPr>
              <w:t xml:space="preserve">生态系统稳定性明显增强，农村环境质量初步改善；环境风险得到有效管控； </w:t>
            </w:r>
            <w:r>
              <w:rPr>
                <w:spacing w:val="6"/>
                <w:sz w:val="21"/>
              </w:rPr>
              <w:t>生态环境治理体系与治理能力现代化</w:t>
            </w:r>
            <w:r>
              <w:rPr>
                <w:spacing w:val="-10"/>
                <w:sz w:val="21"/>
              </w:rPr>
              <w:t>取得进展，筑牢“美丽龙江”的环境基</w:t>
            </w:r>
            <w:r>
              <w:rPr>
                <w:spacing w:val="-12"/>
                <w:sz w:val="21"/>
              </w:rPr>
              <w:t>础，使生态文明建设水平与全面建成小</w:t>
            </w:r>
          </w:p>
          <w:p>
            <w:pPr>
              <w:pStyle w:val="14"/>
              <w:spacing w:line="268" w:lineRule="exact"/>
              <w:ind w:left="107"/>
              <w:jc w:val="left"/>
              <w:rPr>
                <w:sz w:val="21"/>
              </w:rPr>
            </w:pPr>
            <w:r>
              <w:rPr>
                <w:sz w:val="21"/>
              </w:rPr>
              <w:t>康社会相适应。</w:t>
            </w:r>
          </w:p>
        </w:tc>
        <w:tc>
          <w:tcPr>
            <w:tcW w:w="2591" w:type="dxa"/>
          </w:tcPr>
          <w:p>
            <w:pPr>
              <w:pStyle w:val="14"/>
              <w:spacing w:before="21"/>
              <w:ind w:left="107"/>
              <w:jc w:val="left"/>
              <w:rPr>
                <w:sz w:val="21"/>
              </w:rPr>
            </w:pPr>
            <w:r>
              <w:rPr>
                <w:sz w:val="21"/>
              </w:rPr>
              <w:t>规划》相符合。</w:t>
            </w:r>
          </w:p>
        </w:tc>
        <w:tc>
          <w:tcPr>
            <w:tcW w:w="719" w:type="dxa"/>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4" w:hRule="atLeast"/>
        </w:trPr>
        <w:tc>
          <w:tcPr>
            <w:tcW w:w="1384" w:type="dxa"/>
          </w:tcPr>
          <w:p>
            <w:pPr>
              <w:pStyle w:val="14"/>
              <w:jc w:val="left"/>
              <w:rPr>
                <w:b/>
                <w:sz w:val="20"/>
              </w:rPr>
            </w:pPr>
          </w:p>
          <w:p>
            <w:pPr>
              <w:pStyle w:val="14"/>
              <w:jc w:val="left"/>
              <w:rPr>
                <w:b/>
                <w:sz w:val="20"/>
              </w:rPr>
            </w:pPr>
          </w:p>
          <w:p>
            <w:pPr>
              <w:pStyle w:val="14"/>
              <w:jc w:val="left"/>
              <w:rPr>
                <w:b/>
                <w:sz w:val="20"/>
              </w:rPr>
            </w:pPr>
          </w:p>
          <w:p>
            <w:pPr>
              <w:pStyle w:val="14"/>
              <w:spacing w:before="10"/>
              <w:jc w:val="left"/>
              <w:rPr>
                <w:b/>
                <w:sz w:val="26"/>
              </w:rPr>
            </w:pPr>
          </w:p>
          <w:p>
            <w:pPr>
              <w:pStyle w:val="14"/>
              <w:spacing w:line="278" w:lineRule="auto"/>
              <w:ind w:left="166" w:right="156"/>
              <w:rPr>
                <w:sz w:val="21"/>
              </w:rPr>
            </w:pPr>
            <w:r>
              <w:rPr>
                <w:sz w:val="21"/>
              </w:rPr>
              <w:t>《黑龙江省水土保持规划</w:t>
            </w:r>
          </w:p>
          <w:p>
            <w:pPr>
              <w:pStyle w:val="14"/>
              <w:spacing w:line="269" w:lineRule="exact"/>
              <w:ind w:left="42" w:right="79"/>
              <w:rPr>
                <w:rFonts w:ascii="Times New Roman" w:eastAsia="Times New Roman"/>
                <w:sz w:val="21"/>
              </w:rPr>
            </w:pPr>
            <w:r>
              <w:rPr>
                <w:sz w:val="21"/>
              </w:rPr>
              <w:t>（</w:t>
            </w:r>
            <w:r>
              <w:rPr>
                <w:rFonts w:ascii="Times New Roman" w:eastAsia="Times New Roman"/>
                <w:sz w:val="21"/>
              </w:rPr>
              <w:t>2015-2030</w:t>
            </w:r>
          </w:p>
          <w:p>
            <w:pPr>
              <w:pStyle w:val="14"/>
              <w:spacing w:before="43"/>
              <w:ind w:left="42" w:right="32"/>
              <w:rPr>
                <w:sz w:val="21"/>
              </w:rPr>
            </w:pPr>
            <w:r>
              <w:rPr>
                <w:sz w:val="21"/>
              </w:rPr>
              <w:t>年）》</w:t>
            </w:r>
          </w:p>
        </w:tc>
        <w:tc>
          <w:tcPr>
            <w:tcW w:w="3686" w:type="dxa"/>
          </w:tcPr>
          <w:p>
            <w:pPr>
              <w:pStyle w:val="14"/>
              <w:spacing w:before="176" w:line="278" w:lineRule="auto"/>
              <w:ind w:left="107" w:right="81" w:firstLine="420"/>
              <w:jc w:val="right"/>
              <w:rPr>
                <w:sz w:val="21"/>
              </w:rPr>
            </w:pPr>
            <w:r>
              <w:rPr>
                <w:spacing w:val="8"/>
                <w:w w:val="95"/>
                <w:sz w:val="21"/>
              </w:rPr>
              <w:t>双鸭山市属于东南部山地丘陵水</w:t>
            </w:r>
            <w:r>
              <w:rPr>
                <w:spacing w:val="-3"/>
                <w:w w:val="95"/>
                <w:sz w:val="21"/>
              </w:rPr>
              <w:t>质维护保土区</w:t>
            </w:r>
            <w:r>
              <w:rPr>
                <w:spacing w:val="-1"/>
                <w:w w:val="95"/>
                <w:sz w:val="21"/>
              </w:rPr>
              <w:t>（</w:t>
            </w:r>
            <w:r>
              <w:rPr>
                <w:rFonts w:ascii="Times New Roman" w:eastAsia="Times New Roman"/>
                <w:spacing w:val="-1"/>
                <w:w w:val="95"/>
                <w:sz w:val="21"/>
              </w:rPr>
              <w:t>I-2-3st</w:t>
            </w:r>
            <w:r>
              <w:rPr>
                <w:spacing w:val="-1"/>
                <w:w w:val="95"/>
                <w:sz w:val="21"/>
              </w:rPr>
              <w:t>），</w:t>
            </w:r>
            <w:r>
              <w:rPr>
                <w:w w:val="95"/>
                <w:sz w:val="21"/>
              </w:rPr>
              <w:t>本区包括五</w:t>
            </w:r>
            <w:r>
              <w:rPr>
                <w:spacing w:val="-11"/>
                <w:w w:val="95"/>
                <w:sz w:val="21"/>
              </w:rPr>
              <w:t>常市、尚志市、佳木斯市、双鸭山市和</w:t>
            </w:r>
            <w:r>
              <w:rPr>
                <w:spacing w:val="-15"/>
                <w:sz w:val="21"/>
              </w:rPr>
              <w:t xml:space="preserve">依兰县等 </w:t>
            </w:r>
            <w:r>
              <w:rPr>
                <w:rFonts w:ascii="Times New Roman" w:eastAsia="Times New Roman"/>
                <w:sz w:val="21"/>
              </w:rPr>
              <w:t xml:space="preserve">14 </w:t>
            </w:r>
            <w:r>
              <w:rPr>
                <w:sz w:val="21"/>
              </w:rPr>
              <w:t>市</w:t>
            </w:r>
            <w:r>
              <w:rPr>
                <w:rFonts w:ascii="Times New Roman" w:eastAsia="Times New Roman"/>
                <w:sz w:val="21"/>
              </w:rPr>
              <w:t>(</w:t>
            </w:r>
            <w:r>
              <w:rPr>
                <w:sz w:val="21"/>
              </w:rPr>
              <w:t>县</w:t>
            </w:r>
            <w:r>
              <w:rPr>
                <w:rFonts w:ascii="Times New Roman" w:eastAsia="Times New Roman"/>
                <w:sz w:val="21"/>
              </w:rPr>
              <w:t>)</w:t>
            </w:r>
            <w:r>
              <w:rPr>
                <w:spacing w:val="-7"/>
                <w:sz w:val="21"/>
              </w:rPr>
              <w:t xml:space="preserve">，区域总面积 </w:t>
            </w:r>
            <w:r>
              <w:rPr>
                <w:rFonts w:ascii="Times New Roman" w:eastAsia="Times New Roman"/>
                <w:sz w:val="21"/>
              </w:rPr>
              <w:t>4448</w:t>
            </w:r>
            <w:r>
              <w:rPr>
                <w:rFonts w:ascii="Times New Roman" w:eastAsia="Times New Roman"/>
                <w:w w:val="99"/>
                <w:sz w:val="21"/>
              </w:rPr>
              <w:t xml:space="preserve"> </w:t>
            </w:r>
            <w:r>
              <w:rPr>
                <w:rFonts w:ascii="Times New Roman" w:eastAsia="Times New Roman"/>
                <w:w w:val="95"/>
                <w:sz w:val="21"/>
              </w:rPr>
              <w:t>km</w:t>
            </w:r>
            <w:r>
              <w:rPr>
                <w:rFonts w:ascii="Times New Roman" w:eastAsia="Times New Roman"/>
                <w:w w:val="95"/>
                <w:position w:val="7"/>
                <w:sz w:val="13"/>
              </w:rPr>
              <w:t>2</w:t>
            </w:r>
            <w:r>
              <w:rPr>
                <w:w w:val="95"/>
                <w:sz w:val="21"/>
              </w:rPr>
              <w:t>，本区水土流失类型为水力侵蚀。</w:t>
            </w:r>
            <w:r>
              <w:rPr>
                <w:spacing w:val="8"/>
                <w:w w:val="95"/>
                <w:sz w:val="21"/>
              </w:rPr>
              <w:t>主导基础功能及社会经济功能本</w:t>
            </w:r>
          </w:p>
          <w:p>
            <w:pPr>
              <w:pStyle w:val="14"/>
              <w:spacing w:line="278" w:lineRule="auto"/>
              <w:ind w:left="107" w:right="-15"/>
              <w:jc w:val="left"/>
              <w:rPr>
                <w:sz w:val="21"/>
              </w:rPr>
            </w:pPr>
            <w:r>
              <w:rPr>
                <w:sz w:val="21"/>
              </w:rPr>
              <w:t>区水土保持主导基础功能为水质维护、</w:t>
            </w:r>
            <w:r>
              <w:rPr>
                <w:spacing w:val="2"/>
                <w:sz w:val="21"/>
              </w:rPr>
              <w:t>水源涵养、农田防护、拦沙减沙</w:t>
            </w:r>
            <w:r>
              <w:rPr>
                <w:rFonts w:ascii="Times New Roman" w:eastAsia="Times New Roman"/>
                <w:spacing w:val="4"/>
                <w:sz w:val="21"/>
              </w:rPr>
              <w:t>;</w:t>
            </w:r>
            <w:r>
              <w:rPr>
                <w:spacing w:val="2"/>
                <w:sz w:val="21"/>
              </w:rPr>
              <w:t>社会经济功能为农业林业生产、粮食生产、</w:t>
            </w:r>
            <w:r>
              <w:rPr>
                <w:spacing w:val="-10"/>
                <w:sz w:val="21"/>
              </w:rPr>
              <w:t>水源地保护、土地生产力保护、饮水安全保护。</w:t>
            </w:r>
          </w:p>
        </w:tc>
        <w:tc>
          <w:tcPr>
            <w:tcW w:w="2591" w:type="dxa"/>
          </w:tcPr>
          <w:p>
            <w:pPr>
              <w:pStyle w:val="14"/>
              <w:spacing w:before="20" w:line="278" w:lineRule="auto"/>
              <w:ind w:left="107" w:right="97" w:firstLine="420"/>
              <w:jc w:val="both"/>
              <w:rPr>
                <w:sz w:val="21"/>
              </w:rPr>
            </w:pPr>
            <w:r>
              <w:rPr>
                <w:sz w:val="21"/>
              </w:rPr>
              <w:t>本项目在施工及运营期间，企业应采取预防保护措施，保持区域生态功能，维持水源涵养和水质维护功能，按照《水土保持法》及其配套的法律法规，保护天然植被，防止乱砍滥伐，同时加强生产建设项目监督管理，预防水土流失。因此，本项目建设不违背《黑龙江省水</w:t>
            </w:r>
          </w:p>
          <w:p>
            <w:pPr>
              <w:pStyle w:val="14"/>
              <w:spacing w:line="268" w:lineRule="exact"/>
              <w:ind w:left="107"/>
              <w:jc w:val="left"/>
              <w:rPr>
                <w:sz w:val="21"/>
              </w:rPr>
            </w:pPr>
            <w:r>
              <w:rPr>
                <w:sz w:val="21"/>
              </w:rPr>
              <w:t>土保持规划》。</w:t>
            </w:r>
          </w:p>
        </w:tc>
        <w:tc>
          <w:tcPr>
            <w:tcW w:w="719" w:type="dxa"/>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6"/>
              <w:jc w:val="left"/>
              <w:rPr>
                <w:b/>
                <w:sz w:val="15"/>
              </w:rPr>
            </w:pPr>
          </w:p>
          <w:p>
            <w:pPr>
              <w:pStyle w:val="14"/>
              <w:ind w:left="149"/>
              <w:jc w:val="left"/>
              <w:rPr>
                <w:sz w:val="21"/>
              </w:rPr>
            </w:pPr>
            <w:r>
              <w:rPr>
                <w:sz w:val="21"/>
              </w:rPr>
              <w:t>符合</w:t>
            </w:r>
          </w:p>
        </w:tc>
      </w:tr>
    </w:tbl>
    <w:p>
      <w:pPr>
        <w:pStyle w:val="6"/>
        <w:spacing w:before="81" w:line="364" w:lineRule="auto"/>
        <w:ind w:left="660" w:right="777" w:firstLine="480"/>
      </w:pPr>
      <w:r>
        <w:t xml:space="preserve">本项目选址于位于双鸭山市岭东区，双鸭山矿业集团岭东煤矿南 </w:t>
      </w:r>
      <w:r>
        <w:rPr>
          <w:rFonts w:ascii="Times New Roman" w:eastAsia="Times New Roman"/>
        </w:rPr>
        <w:t xml:space="preserve">7km </w:t>
      </w:r>
      <w:r>
        <w:t>处的发展用地上，为建设用地。因此，本项目符合当地土地利用总体规划。</w:t>
      </w:r>
    </w:p>
    <w:p>
      <w:pPr>
        <w:pStyle w:val="3"/>
        <w:numPr>
          <w:ilvl w:val="1"/>
          <w:numId w:val="111"/>
        </w:numPr>
        <w:tabs>
          <w:tab w:val="left" w:pos="1260"/>
        </w:tabs>
        <w:spacing w:before="40" w:after="0" w:line="240" w:lineRule="auto"/>
        <w:ind w:left="1260" w:right="0" w:hanging="600"/>
        <w:jc w:val="left"/>
      </w:pPr>
      <w:bookmarkStart w:id="1338" w:name="17.4与双鸭山市城市总体规划符合性分析 "/>
      <w:bookmarkEnd w:id="1338"/>
      <w:bookmarkStart w:id="1339" w:name="_bookmark102"/>
      <w:bookmarkEnd w:id="1339"/>
      <w:bookmarkStart w:id="1340" w:name="_bookmark102"/>
      <w:bookmarkEnd w:id="1340"/>
      <w:r>
        <w:t>与双鸭山市城市总体规划符合性分析</w:t>
      </w:r>
    </w:p>
    <w:p>
      <w:pPr>
        <w:pStyle w:val="6"/>
        <w:spacing w:before="201" w:line="364" w:lineRule="auto"/>
        <w:ind w:left="660" w:right="777" w:firstLine="480"/>
      </w:pPr>
      <w:r>
        <w:rPr>
          <w:spacing w:val="-6"/>
        </w:rPr>
        <w:t>根据《双鸭山市城市总体规划</w:t>
      </w:r>
      <w:r>
        <w:rPr>
          <w:spacing w:val="-3"/>
        </w:rPr>
        <w:t>（</w:t>
      </w:r>
      <w:r>
        <w:rPr>
          <w:rFonts w:ascii="Times New Roman" w:eastAsia="Times New Roman"/>
          <w:spacing w:val="-3"/>
        </w:rPr>
        <w:t>2010</w:t>
      </w:r>
      <w:r>
        <w:rPr>
          <w:spacing w:val="-3"/>
        </w:rPr>
        <w:t>～</w:t>
      </w:r>
      <w:r>
        <w:rPr>
          <w:rFonts w:ascii="Times New Roman" w:eastAsia="Times New Roman"/>
          <w:spacing w:val="-3"/>
        </w:rPr>
        <w:t>2030</w:t>
      </w:r>
      <w:r>
        <w:rPr>
          <w:spacing w:val="-3"/>
        </w:rPr>
        <w:t>）</w:t>
      </w:r>
      <w:r>
        <w:rPr>
          <w:spacing w:val="-7"/>
        </w:rPr>
        <w:t>》，本项目所在地为二类工业</w:t>
      </w:r>
      <w:r>
        <w:t>用地，本项目为煤炭开采项目，应为二类工业用地。</w:t>
      </w:r>
    </w:p>
    <w:p>
      <w:pPr>
        <w:pStyle w:val="6"/>
        <w:spacing w:before="1" w:line="364" w:lineRule="auto"/>
        <w:ind w:left="660" w:right="565" w:firstLine="480"/>
      </w:pPr>
      <w:r>
        <w:rPr>
          <w:spacing w:val="-11"/>
        </w:rPr>
        <w:t>本项目位于双鸭山市岭东区，根据《双鸭山市城市总体规划</w:t>
      </w:r>
      <w:r>
        <w:rPr>
          <w:spacing w:val="-6"/>
        </w:rPr>
        <w:t>（</w:t>
      </w:r>
      <w:r>
        <w:rPr>
          <w:rFonts w:ascii="Times New Roman" w:eastAsia="Times New Roman"/>
          <w:spacing w:val="-6"/>
        </w:rPr>
        <w:t>2010</w:t>
      </w:r>
      <w:r>
        <w:rPr>
          <w:spacing w:val="-6"/>
        </w:rPr>
        <w:t>～</w:t>
      </w:r>
      <w:r>
        <w:rPr>
          <w:rFonts w:ascii="Times New Roman" w:eastAsia="Times New Roman"/>
          <w:spacing w:val="-6"/>
        </w:rPr>
        <w:t>2030</w:t>
      </w:r>
      <w:r>
        <w:rPr>
          <w:spacing w:val="-6"/>
        </w:rPr>
        <w:t>）</w:t>
      </w:r>
      <w:r>
        <w:rPr>
          <w:spacing w:val="-70"/>
        </w:rPr>
        <w:t xml:space="preserve">》， </w:t>
      </w:r>
      <w:r>
        <w:rPr>
          <w:spacing w:val="-4"/>
        </w:rPr>
        <w:t>双鸭山市总体功能布局将岭东片区作为区域性冶金中心，市区旅游服务基地，以</w:t>
      </w:r>
      <w:r>
        <w:rPr>
          <w:spacing w:val="-10"/>
        </w:rPr>
        <w:t>冶金、煤焦化、休闲旅游服务基地，以冶金、焦煤化等产业发展为主。本项目是煤炭开采改扩建项目，属于煤焦化及冶金配套产业，符合规划要求。</w:t>
      </w:r>
    </w:p>
    <w:p>
      <w:pPr>
        <w:pStyle w:val="6"/>
        <w:spacing w:before="3"/>
        <w:ind w:left="1140"/>
      </w:pPr>
      <w:r>
        <w:t>所以，本项目符合《双鸭山市城市总体规划（</w:t>
      </w:r>
      <w:r>
        <w:rPr>
          <w:rFonts w:ascii="Times New Roman" w:eastAsia="Times New Roman"/>
        </w:rPr>
        <w:t>2010</w:t>
      </w:r>
      <w:r>
        <w:t>～</w:t>
      </w:r>
      <w:r>
        <w:rPr>
          <w:rFonts w:ascii="Times New Roman" w:eastAsia="Times New Roman"/>
        </w:rPr>
        <w:t>2030</w:t>
      </w:r>
      <w:r>
        <w:t>）》。</w:t>
      </w:r>
    </w:p>
    <w:p>
      <w:pPr>
        <w:pStyle w:val="3"/>
        <w:numPr>
          <w:ilvl w:val="1"/>
          <w:numId w:val="111"/>
        </w:numPr>
        <w:tabs>
          <w:tab w:val="left" w:pos="1335"/>
        </w:tabs>
        <w:spacing w:before="81" w:after="0" w:line="240" w:lineRule="auto"/>
        <w:ind w:left="1334" w:right="0" w:hanging="675"/>
        <w:jc w:val="left"/>
      </w:pPr>
      <w:bookmarkStart w:id="1341" w:name="17.5 选址环境合理性分析"/>
      <w:bookmarkEnd w:id="1341"/>
      <w:bookmarkStart w:id="1342" w:name="_bookmark103"/>
      <w:bookmarkEnd w:id="1342"/>
      <w:bookmarkStart w:id="1343" w:name="_bookmark103"/>
      <w:bookmarkEnd w:id="1343"/>
      <w:r>
        <w:t>选址环境合理性分析</w:t>
      </w:r>
    </w:p>
    <w:p>
      <w:pPr>
        <w:pStyle w:val="6"/>
        <w:spacing w:before="278" w:line="364" w:lineRule="auto"/>
        <w:ind w:left="660" w:right="777" w:firstLine="480"/>
      </w:pPr>
      <w:r>
        <w:rPr>
          <w:spacing w:val="-3"/>
        </w:rPr>
        <w:t xml:space="preserve">本项目位双鸭山矿业集团岭东煤矿南 </w:t>
      </w:r>
      <w:r>
        <w:rPr>
          <w:rFonts w:ascii="Times New Roman" w:eastAsia="Times New Roman"/>
        </w:rPr>
        <w:t xml:space="preserve">7km </w:t>
      </w:r>
      <w:r>
        <w:t>处，在双鸭山市司法局劳教所东</w:t>
      </w:r>
      <w:r>
        <w:rPr>
          <w:spacing w:val="-11"/>
        </w:rPr>
        <w:t>部。从岭东矿通往矿井有砂石公路可直达，距双鸭山矿业集团内部运煤专用铁路</w:t>
      </w:r>
    </w:p>
    <w:p>
      <w:pPr>
        <w:spacing w:after="0" w:line="364" w:lineRule="auto"/>
        <w:sectPr>
          <w:pgSz w:w="11910" w:h="16840"/>
          <w:pgMar w:top="1420" w:right="1020" w:bottom="1100" w:left="1140" w:header="0" w:footer="917" w:gutter="0"/>
        </w:sectPr>
      </w:pPr>
    </w:p>
    <w:p>
      <w:pPr>
        <w:pStyle w:val="6"/>
        <w:spacing w:before="62"/>
        <w:ind w:left="660"/>
      </w:pPr>
      <w:r>
        <w:t xml:space="preserve">线岭东车站 </w:t>
      </w:r>
      <w:r>
        <w:rPr>
          <w:rFonts w:ascii="Times New Roman" w:eastAsia="Times New Roman"/>
        </w:rPr>
        <w:t>7km</w:t>
      </w:r>
      <w:r>
        <w:t xml:space="preserve">，距双鸭山火车站 </w:t>
      </w:r>
      <w:r>
        <w:rPr>
          <w:rFonts w:ascii="Times New Roman" w:eastAsia="Times New Roman"/>
        </w:rPr>
        <w:t>15km</w:t>
      </w:r>
      <w:r>
        <w:t>，交通较为方便。</w:t>
      </w:r>
    </w:p>
    <w:p>
      <w:pPr>
        <w:pStyle w:val="6"/>
        <w:spacing w:before="160" w:line="364" w:lineRule="auto"/>
        <w:ind w:left="660" w:right="777" w:firstLine="480"/>
      </w:pPr>
      <w:r>
        <w:rPr>
          <w:spacing w:val="-7"/>
        </w:rPr>
        <w:t>矿区行政区划属双鸭山市岭东区。项目所占用土地为建设用地，符合相关用</w:t>
      </w:r>
      <w:r>
        <w:t>地规划要求，交通便利，项目用水、用电、交通、能源均有保障。</w:t>
      </w:r>
    </w:p>
    <w:p>
      <w:pPr>
        <w:pStyle w:val="6"/>
        <w:spacing w:before="2" w:line="364" w:lineRule="auto"/>
        <w:ind w:left="660" w:right="777" w:firstLine="480"/>
        <w:jc w:val="both"/>
      </w:pPr>
      <w:r>
        <w:rPr>
          <w:spacing w:val="-6"/>
        </w:rPr>
        <w:t>项目采取相应的防治措施后对周围影响较小，外环境对本项目建设没有较大</w:t>
      </w:r>
      <w:r>
        <w:rPr>
          <w:spacing w:val="-10"/>
        </w:rPr>
        <w:t>限制，本项目建设后也不会对周围环境产生较大的影响。综上所述，本项目选址</w:t>
      </w:r>
      <w:r>
        <w:t>是合理的。</w:t>
      </w:r>
    </w:p>
    <w:p>
      <w:pPr>
        <w:spacing w:after="0" w:line="364" w:lineRule="auto"/>
        <w:jc w:val="both"/>
        <w:sectPr>
          <w:pgSz w:w="11910" w:h="16840"/>
          <w:pgMar w:top="1440" w:right="1020" w:bottom="1180" w:left="1140" w:header="0" w:footer="917" w:gutter="0"/>
        </w:sectPr>
      </w:pPr>
    </w:p>
    <w:p>
      <w:pPr>
        <w:pStyle w:val="2"/>
        <w:numPr>
          <w:ilvl w:val="0"/>
          <w:numId w:val="62"/>
        </w:numPr>
        <w:tabs>
          <w:tab w:val="left" w:pos="4224"/>
        </w:tabs>
        <w:spacing w:before="43" w:after="0" w:line="240" w:lineRule="auto"/>
        <w:ind w:left="4224" w:right="0" w:hanging="629"/>
        <w:jc w:val="left"/>
      </w:pPr>
      <w:bookmarkStart w:id="1344" w:name="_bookmark104"/>
      <w:bookmarkEnd w:id="1344"/>
      <w:bookmarkStart w:id="1345" w:name="18. 结论与建议"/>
      <w:bookmarkEnd w:id="1345"/>
      <w:bookmarkStart w:id="1346" w:name="_bookmark104"/>
      <w:bookmarkEnd w:id="1346"/>
      <w:r>
        <w:t>结论与建议</w:t>
      </w:r>
    </w:p>
    <w:p>
      <w:pPr>
        <w:pStyle w:val="3"/>
        <w:numPr>
          <w:ilvl w:val="1"/>
          <w:numId w:val="112"/>
        </w:numPr>
        <w:tabs>
          <w:tab w:val="left" w:pos="1260"/>
        </w:tabs>
        <w:spacing w:before="357" w:after="0" w:line="240" w:lineRule="auto"/>
        <w:ind w:left="1260" w:right="0" w:hanging="600"/>
        <w:jc w:val="left"/>
      </w:pPr>
      <w:bookmarkStart w:id="1347" w:name="_bookmark105"/>
      <w:bookmarkEnd w:id="1347"/>
      <w:bookmarkStart w:id="1348" w:name="18.1项目概况"/>
      <w:bookmarkEnd w:id="1348"/>
      <w:bookmarkStart w:id="1349" w:name="_bookmark105"/>
      <w:bookmarkEnd w:id="1349"/>
      <w:r>
        <w:t>项目概况</w:t>
      </w:r>
    </w:p>
    <w:p>
      <w:pPr>
        <w:pStyle w:val="6"/>
        <w:spacing w:before="122" w:line="364" w:lineRule="auto"/>
        <w:ind w:left="660" w:right="657" w:firstLine="480"/>
      </w:pPr>
      <w:r>
        <w:t>双鸭山大顺矿业有限公司位于双鸭山矿业集团岭东煤矿南</w:t>
      </w:r>
      <w:r>
        <w:rPr>
          <w:rFonts w:ascii="Times New Roman" w:hAnsi="Times New Roman" w:eastAsia="Times New Roman"/>
        </w:rPr>
        <w:t>7km</w:t>
      </w:r>
      <w:r>
        <w:rPr>
          <w:spacing w:val="-8"/>
        </w:rPr>
        <w:t>处，在双鸭山</w:t>
      </w:r>
      <w:r>
        <w:rPr>
          <w:spacing w:val="-13"/>
        </w:rPr>
        <w:t>市司法局劳教所东部。从岭东矿通往矿井有砂石公路可直达，距双鸭山矿业集团内部运煤专用铁路线岭东车站</w:t>
      </w:r>
      <w:r>
        <w:rPr>
          <w:rFonts w:ascii="Times New Roman" w:hAnsi="Times New Roman" w:eastAsia="Times New Roman"/>
          <w:spacing w:val="-9"/>
        </w:rPr>
        <w:t>7km</w:t>
      </w:r>
      <w:r>
        <w:rPr>
          <w:spacing w:val="-3"/>
        </w:rPr>
        <w:t>，距双鸭山火车站</w:t>
      </w:r>
      <w:r>
        <w:rPr>
          <w:rFonts w:ascii="Times New Roman" w:hAnsi="Times New Roman" w:eastAsia="Times New Roman"/>
          <w:spacing w:val="-8"/>
        </w:rPr>
        <w:t>15km</w:t>
      </w:r>
      <w:r>
        <w:rPr>
          <w:spacing w:val="-8"/>
        </w:rPr>
        <w:t>，交通较为方便。矿区行政区划属双鸭山市岭东区，中心地理位置坐标经度</w:t>
      </w:r>
      <w:r>
        <w:rPr>
          <w:rFonts w:ascii="Times New Roman" w:hAnsi="Times New Roman" w:eastAsia="Times New Roman"/>
          <w:spacing w:val="-8"/>
        </w:rPr>
        <w:t>131°09</w:t>
      </w:r>
      <w:r>
        <w:rPr>
          <w:spacing w:val="-8"/>
        </w:rPr>
        <w:t>＇</w:t>
      </w:r>
      <w:r>
        <w:rPr>
          <w:rFonts w:ascii="Times New Roman" w:hAnsi="Times New Roman" w:eastAsia="Times New Roman"/>
          <w:spacing w:val="-8"/>
        </w:rPr>
        <w:t>48″</w:t>
      </w:r>
      <w:r>
        <w:rPr>
          <w:spacing w:val="-8"/>
        </w:rPr>
        <w:t>，纬度</w:t>
      </w:r>
      <w:r>
        <w:rPr>
          <w:rFonts w:ascii="Times New Roman" w:hAnsi="Times New Roman" w:eastAsia="Times New Roman"/>
          <w:spacing w:val="-8"/>
        </w:rPr>
        <w:t>46°29</w:t>
      </w:r>
      <w:r>
        <w:rPr>
          <w:spacing w:val="-8"/>
        </w:rPr>
        <w:t xml:space="preserve">＇ </w:t>
      </w:r>
      <w:r>
        <w:rPr>
          <w:rFonts w:ascii="Times New Roman" w:hAnsi="Times New Roman" w:eastAsia="Times New Roman"/>
          <w:spacing w:val="-8"/>
        </w:rPr>
        <w:t>54″</w:t>
      </w:r>
      <w:r>
        <w:rPr>
          <w:spacing w:val="-6"/>
        </w:rPr>
        <w:t>。开采</w:t>
      </w:r>
      <w:r>
        <w:rPr>
          <w:rFonts w:ascii="Times New Roman" w:hAnsi="Times New Roman" w:eastAsia="Times New Roman"/>
        </w:rPr>
        <w:t>10#</w:t>
      </w:r>
      <w:r>
        <w:rPr>
          <w:spacing w:val="-15"/>
        </w:rPr>
        <w:t>、</w:t>
      </w:r>
      <w:r>
        <w:rPr>
          <w:rFonts w:ascii="Times New Roman" w:hAnsi="Times New Roman" w:eastAsia="Times New Roman"/>
        </w:rPr>
        <w:t>15#</w:t>
      </w:r>
      <w:r>
        <w:rPr>
          <w:spacing w:val="-15"/>
        </w:rPr>
        <w:t>、</w:t>
      </w:r>
      <w:r>
        <w:rPr>
          <w:rFonts w:ascii="Times New Roman" w:hAnsi="Times New Roman" w:eastAsia="Times New Roman"/>
        </w:rPr>
        <w:t>20#</w:t>
      </w:r>
      <w:r>
        <w:rPr>
          <w:spacing w:val="-15"/>
        </w:rPr>
        <w:t>、</w:t>
      </w:r>
      <w:r>
        <w:rPr>
          <w:rFonts w:ascii="Times New Roman" w:hAnsi="Times New Roman" w:eastAsia="Times New Roman"/>
        </w:rPr>
        <w:t>30#</w:t>
      </w:r>
      <w:r>
        <w:t>共</w:t>
      </w:r>
      <w:r>
        <w:rPr>
          <w:rFonts w:ascii="Times New Roman" w:hAnsi="Times New Roman" w:eastAsia="Times New Roman"/>
        </w:rPr>
        <w:t>4</w:t>
      </w:r>
      <w:r>
        <w:rPr>
          <w:spacing w:val="-4"/>
        </w:rPr>
        <w:t>个煤层。双鸭山大顺矿业有限公司全矿井煤炭资源</w:t>
      </w:r>
      <w:r>
        <w:rPr>
          <w:rFonts w:ascii="Times New Roman" w:hAnsi="Times New Roman" w:eastAsia="Times New Roman"/>
          <w:spacing w:val="-4"/>
        </w:rPr>
        <w:t>/</w:t>
      </w:r>
      <w:r>
        <w:rPr>
          <w:spacing w:val="-4"/>
        </w:rPr>
        <w:t>储量为</w:t>
      </w:r>
      <w:r>
        <w:rPr>
          <w:rFonts w:ascii="Times New Roman" w:hAnsi="Times New Roman" w:eastAsia="Times New Roman"/>
          <w:spacing w:val="-4"/>
        </w:rPr>
        <w:t>952.98</w:t>
      </w:r>
      <w:r>
        <w:rPr>
          <w:spacing w:val="-4"/>
        </w:rPr>
        <w:t>万</w:t>
      </w:r>
      <w:r>
        <w:rPr>
          <w:rFonts w:ascii="Times New Roman" w:hAnsi="Times New Roman" w:eastAsia="Times New Roman"/>
          <w:spacing w:val="-4"/>
        </w:rPr>
        <w:t>t</w:t>
      </w:r>
      <w:r>
        <w:rPr>
          <w:spacing w:val="-4"/>
        </w:rPr>
        <w:t>，可采储量为</w:t>
      </w:r>
      <w:r>
        <w:rPr>
          <w:rFonts w:ascii="Times New Roman" w:hAnsi="Times New Roman" w:eastAsia="Times New Roman"/>
          <w:spacing w:val="-4"/>
        </w:rPr>
        <w:t>646.59</w:t>
      </w:r>
      <w:r>
        <w:rPr>
          <w:spacing w:val="-4"/>
        </w:rPr>
        <w:t>万</w:t>
      </w:r>
      <w:r>
        <w:rPr>
          <w:rFonts w:ascii="Times New Roman" w:hAnsi="Times New Roman" w:eastAsia="Times New Roman"/>
          <w:spacing w:val="-4"/>
        </w:rPr>
        <w:t>t</w:t>
      </w:r>
      <w:r>
        <w:rPr>
          <w:spacing w:val="-4"/>
        </w:rPr>
        <w:t>，矿井服务年限为</w:t>
      </w:r>
      <w:r>
        <w:rPr>
          <w:rFonts w:ascii="Times New Roman" w:hAnsi="Times New Roman" w:eastAsia="Times New Roman"/>
          <w:spacing w:val="-4"/>
        </w:rPr>
        <w:t>15.4a</w:t>
      </w:r>
      <w:r>
        <w:rPr>
          <w:spacing w:val="-4"/>
        </w:rPr>
        <w:t>，矿井改扩</w:t>
      </w:r>
      <w:r>
        <w:rPr>
          <w:spacing w:val="-17"/>
        </w:rPr>
        <w:t>建后服务年限满足《煤炭工业矿井设计规范》中关于改扩建矿井服务年限的规定。</w:t>
      </w:r>
      <w:r>
        <w:t>本项目建设总投资</w:t>
      </w:r>
      <w:r>
        <w:rPr>
          <w:rFonts w:ascii="Times New Roman" w:hAnsi="Times New Roman" w:eastAsia="Times New Roman"/>
        </w:rPr>
        <w:t>6755.07</w:t>
      </w:r>
      <w:r>
        <w:t>万元。</w:t>
      </w:r>
    </w:p>
    <w:p>
      <w:pPr>
        <w:pStyle w:val="3"/>
        <w:numPr>
          <w:ilvl w:val="1"/>
          <w:numId w:val="112"/>
        </w:numPr>
        <w:tabs>
          <w:tab w:val="left" w:pos="1335"/>
        </w:tabs>
        <w:spacing w:before="113" w:after="0" w:line="240" w:lineRule="auto"/>
        <w:ind w:left="1334" w:right="0" w:hanging="675"/>
        <w:jc w:val="left"/>
      </w:pPr>
      <w:bookmarkStart w:id="1350" w:name="18.2 项目环境影响结论"/>
      <w:bookmarkEnd w:id="1350"/>
      <w:bookmarkStart w:id="1351" w:name="_bookmark106"/>
      <w:bookmarkEnd w:id="1351"/>
      <w:bookmarkStart w:id="1352" w:name="_bookmark106"/>
      <w:bookmarkEnd w:id="1352"/>
      <w:r>
        <w:t>项目环境影响结论</w:t>
      </w:r>
    </w:p>
    <w:p>
      <w:pPr>
        <w:pStyle w:val="4"/>
        <w:numPr>
          <w:ilvl w:val="2"/>
          <w:numId w:val="112"/>
        </w:numPr>
        <w:tabs>
          <w:tab w:val="left" w:pos="1431"/>
        </w:tabs>
        <w:spacing w:before="123" w:after="0" w:line="240" w:lineRule="auto"/>
        <w:ind w:left="1430" w:right="0" w:hanging="771"/>
        <w:jc w:val="left"/>
      </w:pPr>
      <w:bookmarkStart w:id="1353" w:name="18.2.1工程污染防治措施结论"/>
      <w:bookmarkEnd w:id="1353"/>
      <w:bookmarkStart w:id="1354" w:name="18.2.1工程污染防治措施结论"/>
      <w:bookmarkEnd w:id="1354"/>
      <w:r>
        <w:t>工程污染防治措施结论</w:t>
      </w:r>
    </w:p>
    <w:p>
      <w:pPr>
        <w:pStyle w:val="6"/>
        <w:spacing w:before="185" w:line="364" w:lineRule="auto"/>
        <w:ind w:left="660" w:right="777" w:firstLine="480"/>
        <w:jc w:val="both"/>
      </w:pPr>
      <w:r>
        <w:rPr>
          <w:spacing w:val="-6"/>
        </w:rPr>
        <w:t>本工程在污染防治措施上加强了污染物全过程控制，从设计本身入手减少了</w:t>
      </w:r>
      <w:r>
        <w:rPr>
          <w:spacing w:val="-9"/>
        </w:rPr>
        <w:t>污染物的产生。为了进一步降减污染，使发展经济与保护环境协调统一，本评价</w:t>
      </w:r>
      <w:r>
        <w:t>借鉴国内煤炭行业的先进技术，对污染治理方案提出了进一步改进意见。</w:t>
      </w:r>
    </w:p>
    <w:p>
      <w:pPr>
        <w:pStyle w:val="6"/>
        <w:spacing w:line="307" w:lineRule="exact"/>
        <w:ind w:left="1140"/>
        <w:rPr>
          <w:sz w:val="21"/>
        </w:rPr>
      </w:pPr>
      <w:r>
        <w:t>通过采取报告书中提出的污染防治措施，各种污染物均能作到达标排放</w:t>
      </w:r>
      <w:r>
        <w:rPr>
          <w:sz w:val="21"/>
        </w:rPr>
        <w:t>。</w:t>
      </w:r>
    </w:p>
    <w:p>
      <w:pPr>
        <w:pStyle w:val="4"/>
        <w:numPr>
          <w:ilvl w:val="2"/>
          <w:numId w:val="112"/>
        </w:numPr>
        <w:tabs>
          <w:tab w:val="left" w:pos="1431"/>
        </w:tabs>
        <w:spacing w:before="159" w:after="0" w:line="240" w:lineRule="auto"/>
        <w:ind w:left="1430" w:right="0" w:hanging="771"/>
        <w:jc w:val="left"/>
      </w:pPr>
      <w:bookmarkStart w:id="1355" w:name="18.2.2项目环境影响预测结果"/>
      <w:bookmarkEnd w:id="1355"/>
      <w:bookmarkStart w:id="1356" w:name="18.2.2项目环境影响预测结果"/>
      <w:bookmarkEnd w:id="1356"/>
      <w:r>
        <w:t>项目环境影响预测结果</w:t>
      </w:r>
    </w:p>
    <w:p>
      <w:pPr>
        <w:pStyle w:val="13"/>
        <w:numPr>
          <w:ilvl w:val="3"/>
          <w:numId w:val="112"/>
        </w:numPr>
        <w:tabs>
          <w:tab w:val="left" w:pos="1741"/>
        </w:tabs>
        <w:spacing w:before="185" w:after="0" w:line="240" w:lineRule="auto"/>
        <w:ind w:left="1741" w:right="0" w:hanging="601"/>
        <w:jc w:val="left"/>
        <w:rPr>
          <w:sz w:val="24"/>
        </w:rPr>
      </w:pPr>
      <w:r>
        <w:rPr>
          <w:sz w:val="24"/>
        </w:rPr>
        <w:t>环境空气</w:t>
      </w:r>
    </w:p>
    <w:p>
      <w:pPr>
        <w:pStyle w:val="6"/>
        <w:spacing w:before="157" w:line="362" w:lineRule="auto"/>
        <w:ind w:left="660" w:right="652" w:firstLine="480"/>
      </w:pPr>
      <w:r>
        <w:rPr>
          <w:spacing w:val="-8"/>
          <w:position w:val="2"/>
        </w:rPr>
        <w:t>本项目服务期，工业广场和锅炉房排放的烟尘、</w:t>
      </w:r>
      <w:r>
        <w:rPr>
          <w:rFonts w:ascii="Times New Roman" w:eastAsia="Times New Roman"/>
          <w:position w:val="2"/>
        </w:rPr>
        <w:t>SO</w:t>
      </w:r>
      <w:r>
        <w:rPr>
          <w:rFonts w:ascii="Times New Roman" w:eastAsia="Times New Roman"/>
          <w:position w:val="2"/>
          <w:vertAlign w:val="subscript"/>
        </w:rPr>
        <w:t>2</w:t>
      </w:r>
      <w:r>
        <w:rPr>
          <w:rFonts w:ascii="Times New Roman" w:eastAsia="Times New Roman"/>
          <w:spacing w:val="-22"/>
          <w:position w:val="2"/>
          <w:vertAlign w:val="baseline"/>
        </w:rPr>
        <w:t xml:space="preserve"> </w:t>
      </w:r>
      <w:r>
        <w:rPr>
          <w:spacing w:val="-30"/>
          <w:position w:val="2"/>
          <w:vertAlign w:val="baseline"/>
        </w:rPr>
        <w:t xml:space="preserve">和 </w:t>
      </w:r>
      <w:r>
        <w:rPr>
          <w:rFonts w:ascii="Times New Roman" w:eastAsia="Times New Roman"/>
          <w:position w:val="2"/>
          <w:vertAlign w:val="baseline"/>
        </w:rPr>
        <w:t>NO</w:t>
      </w:r>
      <w:r>
        <w:rPr>
          <w:rFonts w:ascii="Times New Roman" w:eastAsia="Times New Roman"/>
          <w:position w:val="2"/>
          <w:vertAlign w:val="subscript"/>
        </w:rPr>
        <w:t>2</w:t>
      </w:r>
      <w:r>
        <w:rPr>
          <w:rFonts w:ascii="Times New Roman" w:eastAsia="Times New Roman"/>
          <w:spacing w:val="-22"/>
          <w:position w:val="2"/>
          <w:vertAlign w:val="baseline"/>
        </w:rPr>
        <w:t xml:space="preserve"> </w:t>
      </w:r>
      <w:r>
        <w:rPr>
          <w:position w:val="2"/>
          <w:vertAlign w:val="baseline"/>
        </w:rPr>
        <w:t>最大落地浓度均</w:t>
      </w:r>
      <w:r>
        <w:rPr>
          <w:vertAlign w:val="baseline"/>
        </w:rPr>
        <w:t>低于《锅炉大气污染物排放标准》（</w:t>
      </w:r>
      <w:r>
        <w:rPr>
          <w:rFonts w:ascii="Times New Roman" w:eastAsia="Times New Roman"/>
          <w:vertAlign w:val="baseline"/>
        </w:rPr>
        <w:t>GB13271-2014</w:t>
      </w:r>
      <w:r>
        <w:rPr>
          <w:vertAlign w:val="baseline"/>
        </w:rPr>
        <w:t>）标准限值要求，对所在区</w:t>
      </w:r>
      <w:r>
        <w:rPr>
          <w:spacing w:val="-12"/>
          <w:position w:val="2"/>
          <w:vertAlign w:val="baseline"/>
        </w:rPr>
        <w:t>域的环境空气质量影响较小；热风炉大气污染物颗粒物、</w:t>
      </w:r>
      <w:r>
        <w:rPr>
          <w:rFonts w:ascii="Times New Roman" w:eastAsia="Times New Roman"/>
          <w:position w:val="2"/>
          <w:vertAlign w:val="baseline"/>
        </w:rPr>
        <w:t>SO</w:t>
      </w:r>
      <w:r>
        <w:rPr>
          <w:rFonts w:ascii="Times New Roman" w:eastAsia="Times New Roman"/>
          <w:position w:val="2"/>
          <w:vertAlign w:val="subscript"/>
        </w:rPr>
        <w:t>2</w:t>
      </w:r>
      <w:r>
        <w:rPr>
          <w:rFonts w:ascii="Times New Roman" w:eastAsia="Times New Roman"/>
          <w:spacing w:val="-23"/>
          <w:position w:val="2"/>
          <w:vertAlign w:val="baseline"/>
        </w:rPr>
        <w:t xml:space="preserve"> </w:t>
      </w:r>
      <w:r>
        <w:rPr>
          <w:spacing w:val="-11"/>
          <w:position w:val="2"/>
          <w:vertAlign w:val="baseline"/>
        </w:rPr>
        <w:t>排放浓度可满足《工</w:t>
      </w:r>
      <w:r>
        <w:rPr>
          <w:spacing w:val="-11"/>
          <w:vertAlign w:val="baseline"/>
        </w:rPr>
        <w:t>业炉窑大气污染物排放标准》</w:t>
      </w:r>
      <w:r>
        <w:rPr>
          <w:vertAlign w:val="baseline"/>
        </w:rPr>
        <w:t>（</w:t>
      </w:r>
      <w:r>
        <w:rPr>
          <w:rFonts w:ascii="Times New Roman" w:eastAsia="Times New Roman"/>
          <w:vertAlign w:val="baseline"/>
        </w:rPr>
        <w:t>GB9078-1996</w:t>
      </w:r>
      <w:r>
        <w:rPr>
          <w:vertAlign w:val="baseline"/>
        </w:rPr>
        <w:t>）</w:t>
      </w:r>
      <w:r>
        <w:rPr>
          <w:spacing w:val="-21"/>
          <w:vertAlign w:val="baseline"/>
        </w:rPr>
        <w:t xml:space="preserve">中表 </w:t>
      </w:r>
      <w:r>
        <w:rPr>
          <w:rFonts w:ascii="Times New Roman" w:eastAsia="Times New Roman"/>
          <w:vertAlign w:val="baseline"/>
        </w:rPr>
        <w:t>2</w:t>
      </w:r>
      <w:r>
        <w:rPr>
          <w:rFonts w:ascii="Times New Roman" w:eastAsia="Times New Roman"/>
          <w:spacing w:val="2"/>
          <w:vertAlign w:val="baseline"/>
        </w:rPr>
        <w:t xml:space="preserve"> </w:t>
      </w:r>
      <w:r>
        <w:rPr>
          <w:spacing w:val="-20"/>
          <w:vertAlign w:val="baseline"/>
        </w:rPr>
        <w:t xml:space="preserve">及表 </w:t>
      </w:r>
      <w:r>
        <w:rPr>
          <w:rFonts w:ascii="Times New Roman" w:eastAsia="Times New Roman"/>
          <w:vertAlign w:val="baseline"/>
        </w:rPr>
        <w:t xml:space="preserve">4 </w:t>
      </w:r>
      <w:r>
        <w:rPr>
          <w:spacing w:val="-16"/>
          <w:vertAlign w:val="baseline"/>
        </w:rPr>
        <w:t xml:space="preserve">中烟尘 </w:t>
      </w:r>
      <w:r>
        <w:rPr>
          <w:rFonts w:ascii="Times New Roman" w:eastAsia="Times New Roman"/>
          <w:vertAlign w:val="baseline"/>
        </w:rPr>
        <w:t>200mg/m</w:t>
      </w:r>
      <w:r>
        <w:rPr>
          <w:rFonts w:ascii="Times New Roman" w:eastAsia="Times New Roman"/>
          <w:position w:val="8"/>
          <w:sz w:val="15"/>
          <w:vertAlign w:val="baseline"/>
        </w:rPr>
        <w:t>3</w:t>
      </w:r>
      <w:r>
        <w:rPr>
          <w:spacing w:val="-12"/>
          <w:vertAlign w:val="baseline"/>
        </w:rPr>
        <w:t>、</w:t>
      </w:r>
      <w:r>
        <w:rPr>
          <w:rFonts w:ascii="Times New Roman" w:eastAsia="Times New Roman"/>
          <w:position w:val="2"/>
          <w:vertAlign w:val="baseline"/>
        </w:rPr>
        <w:t>SO</w:t>
      </w:r>
      <w:r>
        <w:rPr>
          <w:rFonts w:ascii="Times New Roman" w:eastAsia="Times New Roman"/>
          <w:position w:val="2"/>
          <w:vertAlign w:val="subscript"/>
        </w:rPr>
        <w:t>2</w:t>
      </w:r>
      <w:r>
        <w:rPr>
          <w:rFonts w:ascii="Times New Roman" w:eastAsia="Times New Roman"/>
          <w:position w:val="2"/>
          <w:vertAlign w:val="baseline"/>
        </w:rPr>
        <w:t>850mg/m</w:t>
      </w:r>
      <w:r>
        <w:rPr>
          <w:rFonts w:ascii="Times New Roman" w:eastAsia="Times New Roman"/>
          <w:position w:val="2"/>
          <w:vertAlign w:val="superscript"/>
        </w:rPr>
        <w:t>3</w:t>
      </w:r>
      <w:r>
        <w:rPr>
          <w:rFonts w:ascii="Times New Roman" w:eastAsia="Times New Roman"/>
          <w:spacing w:val="-21"/>
          <w:position w:val="2"/>
          <w:vertAlign w:val="baseline"/>
        </w:rPr>
        <w:t xml:space="preserve"> </w:t>
      </w:r>
      <w:r>
        <w:rPr>
          <w:spacing w:val="-7"/>
          <w:position w:val="2"/>
          <w:vertAlign w:val="baseline"/>
        </w:rPr>
        <w:t>的标准限值要求；筛分车间设置一套布袋除尘器，经布袋除尘器收</w:t>
      </w:r>
      <w:r>
        <w:rPr>
          <w:spacing w:val="-13"/>
          <w:vertAlign w:val="baseline"/>
        </w:rPr>
        <w:t xml:space="preserve">处理后由排气筒排放，除尘器除尘效率 </w:t>
      </w:r>
      <w:r>
        <w:rPr>
          <w:rFonts w:ascii="Times New Roman" w:eastAsia="Times New Roman"/>
          <w:spacing w:val="-10"/>
          <w:vertAlign w:val="baseline"/>
        </w:rPr>
        <w:t>99%</w:t>
      </w:r>
      <w:r>
        <w:rPr>
          <w:spacing w:val="-8"/>
          <w:vertAlign w:val="baseline"/>
        </w:rPr>
        <w:t>，颗粒物可满足《煤炭工业污染物排</w:t>
      </w:r>
      <w:r>
        <w:rPr>
          <w:spacing w:val="-1"/>
          <w:vertAlign w:val="baseline"/>
        </w:rPr>
        <w:t>放标准》</w:t>
      </w:r>
      <w:r>
        <w:rPr>
          <w:vertAlign w:val="baseline"/>
        </w:rPr>
        <w:t>（</w:t>
      </w:r>
      <w:r>
        <w:rPr>
          <w:rFonts w:ascii="Times New Roman" w:eastAsia="Times New Roman"/>
          <w:vertAlign w:val="baseline"/>
        </w:rPr>
        <w:t>GB20426-2006</w:t>
      </w:r>
      <w:r>
        <w:rPr>
          <w:vertAlign w:val="baseline"/>
        </w:rPr>
        <w:t>）</w:t>
      </w:r>
      <w:r>
        <w:rPr>
          <w:spacing w:val="-25"/>
          <w:vertAlign w:val="baseline"/>
        </w:rPr>
        <w:t xml:space="preserve">表 </w:t>
      </w:r>
      <w:r>
        <w:rPr>
          <w:rFonts w:ascii="Times New Roman" w:eastAsia="Times New Roman"/>
          <w:vertAlign w:val="baseline"/>
        </w:rPr>
        <w:t>4</w:t>
      </w:r>
      <w:r>
        <w:rPr>
          <w:rFonts w:ascii="Times New Roman" w:eastAsia="Times New Roman"/>
          <w:spacing w:val="11"/>
          <w:vertAlign w:val="baseline"/>
        </w:rPr>
        <w:t xml:space="preserve"> </w:t>
      </w:r>
      <w:r>
        <w:rPr>
          <w:vertAlign w:val="baseline"/>
        </w:rPr>
        <w:t>及标准限值，在采取本评价提出的严格抑尘措</w:t>
      </w:r>
      <w:r>
        <w:rPr>
          <w:spacing w:val="23"/>
          <w:vertAlign w:val="baseline"/>
        </w:rPr>
        <w:t>施后， 本项目扬尘较小。油烟排放浓度满足《饮食业油烟排放标准》</w:t>
      </w:r>
    </w:p>
    <w:p>
      <w:pPr>
        <w:pStyle w:val="6"/>
        <w:spacing w:before="10" w:line="362" w:lineRule="auto"/>
        <w:ind w:left="660" w:right="652"/>
      </w:pPr>
      <w:r>
        <w:rPr>
          <w:spacing w:val="-3"/>
        </w:rPr>
        <w:t>（</w:t>
      </w:r>
      <w:r>
        <w:rPr>
          <w:rFonts w:ascii="Times New Roman" w:eastAsia="Times New Roman"/>
          <w:spacing w:val="-3"/>
        </w:rPr>
        <w:t>GB18483-2001</w:t>
      </w:r>
      <w:r>
        <w:rPr>
          <w:spacing w:val="-3"/>
        </w:rPr>
        <w:t>）</w:t>
      </w:r>
      <w:r>
        <w:rPr>
          <w:spacing w:val="-5"/>
        </w:rPr>
        <w:t xml:space="preserve">最高允许排放浓度 </w:t>
      </w:r>
      <w:r>
        <w:rPr>
          <w:rFonts w:ascii="Times New Roman" w:eastAsia="Times New Roman"/>
          <w:spacing w:val="-5"/>
        </w:rPr>
        <w:t>2.0mg/m</w:t>
      </w:r>
      <w:r>
        <w:rPr>
          <w:rFonts w:ascii="Times New Roman" w:eastAsia="Times New Roman"/>
          <w:spacing w:val="-5"/>
          <w:position w:val="8"/>
          <w:sz w:val="15"/>
        </w:rPr>
        <w:t>3</w:t>
      </w:r>
      <w:r>
        <w:rPr>
          <w:spacing w:val="-2"/>
        </w:rPr>
        <w:t>，减少了对周围环境空气的影响。</w:t>
      </w:r>
      <w:r>
        <w:rPr>
          <w:spacing w:val="-10"/>
        </w:rPr>
        <w:t>总体来说，本项目对评价区域环境空气质量影响很小，排放的大气污染物可被现</w:t>
      </w:r>
    </w:p>
    <w:p>
      <w:pPr>
        <w:spacing w:after="0" w:line="362" w:lineRule="auto"/>
        <w:sectPr>
          <w:footerReference r:id="rId34" w:type="default"/>
          <w:pgSz w:w="11910" w:h="16840"/>
          <w:pgMar w:top="1380" w:right="1020" w:bottom="1180" w:left="1140" w:header="0" w:footer="997" w:gutter="0"/>
          <w:pgNumType w:start="210"/>
        </w:sectPr>
      </w:pPr>
    </w:p>
    <w:p>
      <w:pPr>
        <w:pStyle w:val="6"/>
        <w:spacing w:before="43"/>
        <w:ind w:left="660"/>
      </w:pPr>
      <w:r>
        <w:t>有环境所接受。</w:t>
      </w:r>
    </w:p>
    <w:p>
      <w:pPr>
        <w:pStyle w:val="13"/>
        <w:numPr>
          <w:ilvl w:val="3"/>
          <w:numId w:val="112"/>
        </w:numPr>
        <w:tabs>
          <w:tab w:val="left" w:pos="1741"/>
        </w:tabs>
        <w:spacing w:before="160" w:after="0" w:line="240" w:lineRule="auto"/>
        <w:ind w:left="1741" w:right="0" w:hanging="601"/>
        <w:jc w:val="left"/>
        <w:rPr>
          <w:sz w:val="24"/>
        </w:rPr>
      </w:pPr>
      <w:r>
        <w:rPr>
          <w:sz w:val="24"/>
        </w:rPr>
        <w:t>地表水</w:t>
      </w:r>
    </w:p>
    <w:p>
      <w:pPr>
        <w:pStyle w:val="6"/>
        <w:spacing w:before="158" w:line="364" w:lineRule="auto"/>
        <w:ind w:left="660" w:right="775" w:firstLine="480"/>
        <w:jc w:val="both"/>
      </w:pPr>
      <w:r>
        <w:rPr>
          <w:spacing w:val="-5"/>
        </w:rPr>
        <w:t xml:space="preserve">本工程矿井正常涌水量为 </w:t>
      </w:r>
      <w:r>
        <w:rPr>
          <w:rFonts w:ascii="Times New Roman" w:eastAsia="Times New Roman"/>
          <w:spacing w:val="-3"/>
        </w:rPr>
        <w:t>76m</w:t>
      </w:r>
      <w:r>
        <w:rPr>
          <w:rFonts w:ascii="Times New Roman" w:eastAsia="Times New Roman"/>
          <w:spacing w:val="-3"/>
          <w:position w:val="8"/>
          <w:sz w:val="15"/>
        </w:rPr>
        <w:t>3</w:t>
      </w:r>
      <w:r>
        <w:rPr>
          <w:rFonts w:ascii="Times New Roman" w:eastAsia="Times New Roman"/>
          <w:spacing w:val="-3"/>
        </w:rPr>
        <w:t>/h</w:t>
      </w:r>
      <w:r>
        <w:rPr>
          <w:spacing w:val="-9"/>
        </w:rPr>
        <w:t xml:space="preserve">，最大涌水量为 </w:t>
      </w:r>
      <w:r>
        <w:rPr>
          <w:rFonts w:ascii="Times New Roman" w:eastAsia="Times New Roman"/>
          <w:spacing w:val="-3"/>
        </w:rPr>
        <w:t>155m</w:t>
      </w:r>
      <w:r>
        <w:rPr>
          <w:rFonts w:ascii="Times New Roman" w:eastAsia="Times New Roman"/>
          <w:spacing w:val="-3"/>
          <w:position w:val="8"/>
          <w:sz w:val="15"/>
        </w:rPr>
        <w:t>3</w:t>
      </w:r>
      <w:r>
        <w:rPr>
          <w:rFonts w:ascii="Times New Roman" w:eastAsia="Times New Roman"/>
          <w:spacing w:val="-3"/>
        </w:rPr>
        <w:t>/h</w:t>
      </w:r>
      <w:r>
        <w:rPr>
          <w:spacing w:val="-4"/>
        </w:rPr>
        <w:t>，经矿井水处理站</w:t>
      </w:r>
      <w:r>
        <w:t>调节</w:t>
      </w:r>
      <w:r>
        <w:rPr>
          <w:rFonts w:ascii="Times New Roman" w:eastAsia="Times New Roman"/>
        </w:rPr>
        <w:t>+</w:t>
      </w:r>
      <w:r>
        <w:t>絮凝</w:t>
      </w:r>
      <w:r>
        <w:rPr>
          <w:rFonts w:ascii="Times New Roman" w:eastAsia="Times New Roman"/>
          <w:spacing w:val="3"/>
        </w:rPr>
        <w:t>+</w:t>
      </w:r>
      <w:r>
        <w:t>沉淀</w:t>
      </w:r>
      <w:r>
        <w:rPr>
          <w:rFonts w:ascii="Times New Roman" w:eastAsia="Times New Roman"/>
        </w:rPr>
        <w:t>+</w:t>
      </w:r>
      <w:r>
        <w:t>过滤</w:t>
      </w:r>
      <w:r>
        <w:rPr>
          <w:rFonts w:ascii="Times New Roman" w:eastAsia="Times New Roman"/>
        </w:rPr>
        <w:t>+</w:t>
      </w:r>
      <w:r>
        <w:t>消毒处理后部分用于生产用水，部分外排至扁石河，处理后的矿井水水质满足回用要求。</w:t>
      </w:r>
    </w:p>
    <w:p>
      <w:pPr>
        <w:pStyle w:val="6"/>
        <w:spacing w:line="364" w:lineRule="auto"/>
        <w:ind w:left="660" w:right="775" w:firstLine="480"/>
        <w:jc w:val="both"/>
      </w:pPr>
      <w:r>
        <w:t xml:space="preserve">本项目生活污水排放量为 </w:t>
      </w:r>
      <w:r>
        <w:rPr>
          <w:rFonts w:ascii="Times New Roman" w:eastAsia="Times New Roman"/>
        </w:rPr>
        <w:t>108.65m</w:t>
      </w:r>
      <w:r>
        <w:rPr>
          <w:rFonts w:ascii="Times New Roman" w:eastAsia="Times New Roman"/>
          <w:position w:val="8"/>
          <w:sz w:val="15"/>
        </w:rPr>
        <w:t>3</w:t>
      </w:r>
      <w:r>
        <w:rPr>
          <w:rFonts w:ascii="Times New Roman" w:eastAsia="Times New Roman"/>
        </w:rPr>
        <w:t>/d</w:t>
      </w:r>
      <w:r>
        <w:t>， 在工业广场设一座处理规模为</w:t>
      </w:r>
      <w:r>
        <w:rPr>
          <w:rFonts w:ascii="Times New Roman" w:eastAsia="Times New Roman"/>
        </w:rPr>
        <w:t>360m</w:t>
      </w:r>
      <w:r>
        <w:rPr>
          <w:rFonts w:ascii="Times New Roman" w:eastAsia="Times New Roman"/>
          <w:position w:val="8"/>
          <w:sz w:val="15"/>
        </w:rPr>
        <w:t>3</w:t>
      </w:r>
      <w:r>
        <w:rPr>
          <w:rFonts w:ascii="Times New Roman" w:eastAsia="Times New Roman"/>
        </w:rPr>
        <w:t xml:space="preserve">/d </w:t>
      </w:r>
      <w:r>
        <w:t>的污水处理站，对工业广场所有生活污水进行集中处理。污水处理站设计采用二级生物处理工艺。处理后回用于生产、工业场地绿化洒水用水。</w:t>
      </w:r>
    </w:p>
    <w:p>
      <w:pPr>
        <w:pStyle w:val="6"/>
        <w:spacing w:line="362" w:lineRule="auto"/>
        <w:ind w:left="660" w:right="777" w:firstLine="480"/>
        <w:jc w:val="both"/>
      </w:pPr>
      <w:r>
        <w:rPr>
          <w:spacing w:val="-10"/>
        </w:rPr>
        <w:t>综上所述，本项目污水排放对地表水体影响不大，按煤炭企业设计相应规范要求，在运营期严禁污水直排现象发生。从地表水环境的角度分析，本项目在该</w:t>
      </w:r>
      <w:r>
        <w:t>厂址建设是可行的。</w:t>
      </w:r>
    </w:p>
    <w:p>
      <w:pPr>
        <w:pStyle w:val="13"/>
        <w:numPr>
          <w:ilvl w:val="3"/>
          <w:numId w:val="112"/>
        </w:numPr>
        <w:tabs>
          <w:tab w:val="left" w:pos="1741"/>
        </w:tabs>
        <w:spacing w:before="5" w:after="0" w:line="240" w:lineRule="auto"/>
        <w:ind w:left="1741" w:right="0" w:hanging="601"/>
        <w:jc w:val="left"/>
        <w:rPr>
          <w:sz w:val="24"/>
        </w:rPr>
      </w:pPr>
      <w:r>
        <w:rPr>
          <w:sz w:val="24"/>
        </w:rPr>
        <w:t>地下水</w:t>
      </w:r>
    </w:p>
    <w:p>
      <w:pPr>
        <w:pStyle w:val="6"/>
        <w:spacing w:before="161" w:line="364" w:lineRule="auto"/>
        <w:ind w:left="660" w:right="657" w:firstLine="480"/>
      </w:pPr>
      <w:r>
        <w:rPr>
          <w:spacing w:val="-3"/>
        </w:rPr>
        <w:t>建设项目对地下水的污染主要来自污水处理站下渗对地下水造成的污染，本</w:t>
      </w:r>
      <w:r>
        <w:rPr>
          <w:spacing w:val="-7"/>
        </w:rPr>
        <w:t>工程污水处理构筑物及污水管道均采取了防渗处理措施，在运行期间，通过加强</w:t>
      </w:r>
      <w:r>
        <w:rPr>
          <w:spacing w:val="-17"/>
        </w:rPr>
        <w:t xml:space="preserve">管理，严防污染物的跑、冒、滴、漏，将污染物渗漏的环境风险事故降到最低限， </w:t>
      </w:r>
      <w:r>
        <w:t>通过预测结果可以看出本工程污染物渗漏对地下水水质影响较小。</w:t>
      </w:r>
    </w:p>
    <w:p>
      <w:pPr>
        <w:pStyle w:val="13"/>
        <w:numPr>
          <w:ilvl w:val="3"/>
          <w:numId w:val="112"/>
        </w:numPr>
        <w:tabs>
          <w:tab w:val="left" w:pos="1741"/>
        </w:tabs>
        <w:spacing w:before="0" w:after="0" w:line="305" w:lineRule="exact"/>
        <w:ind w:left="1741" w:right="0" w:hanging="601"/>
        <w:jc w:val="left"/>
        <w:rPr>
          <w:sz w:val="24"/>
        </w:rPr>
      </w:pPr>
      <w:r>
        <w:rPr>
          <w:sz w:val="24"/>
        </w:rPr>
        <w:t>噪声</w:t>
      </w:r>
    </w:p>
    <w:p>
      <w:pPr>
        <w:pStyle w:val="6"/>
        <w:spacing w:before="158" w:line="364" w:lineRule="auto"/>
        <w:ind w:left="660" w:right="736" w:firstLine="480"/>
        <w:jc w:val="both"/>
      </w:pPr>
      <w:r>
        <w:rPr>
          <w:spacing w:val="-4"/>
        </w:rPr>
        <w:t xml:space="preserve">本项目主要噪声源相对较集中，周围 </w:t>
      </w:r>
      <w:r>
        <w:rPr>
          <w:rFonts w:ascii="Times New Roman" w:eastAsia="Times New Roman"/>
        </w:rPr>
        <w:t xml:space="preserve">200m </w:t>
      </w:r>
      <w:r>
        <w:rPr>
          <w:spacing w:val="-2"/>
        </w:rPr>
        <w:t xml:space="preserve">内没有居民分布，本评价认为， </w:t>
      </w:r>
      <w:r>
        <w:rPr>
          <w:spacing w:val="-5"/>
        </w:rPr>
        <w:t>在严格执行评价提出的防治措施前提下，从声环境角度而言，本项目在该厂址建设可行。</w:t>
      </w:r>
    </w:p>
    <w:p>
      <w:pPr>
        <w:pStyle w:val="13"/>
        <w:numPr>
          <w:ilvl w:val="3"/>
          <w:numId w:val="112"/>
        </w:numPr>
        <w:tabs>
          <w:tab w:val="left" w:pos="1741"/>
        </w:tabs>
        <w:spacing w:before="0" w:after="0" w:line="307" w:lineRule="exact"/>
        <w:ind w:left="1741" w:right="0" w:hanging="601"/>
        <w:jc w:val="left"/>
        <w:rPr>
          <w:sz w:val="24"/>
        </w:rPr>
      </w:pPr>
      <w:r>
        <w:rPr>
          <w:sz w:val="24"/>
        </w:rPr>
        <w:t>固体废弃物</w:t>
      </w:r>
    </w:p>
    <w:p>
      <w:pPr>
        <w:pStyle w:val="6"/>
        <w:spacing w:before="158" w:line="364" w:lineRule="auto"/>
        <w:ind w:left="660" w:right="777" w:firstLine="480"/>
        <w:jc w:val="both"/>
      </w:pPr>
      <w:r>
        <w:rPr>
          <w:spacing w:val="-6"/>
        </w:rPr>
        <w:t>本项目矸石场内暂存后用来平整工业场地；用作公路的路基石料；用于填沟</w:t>
      </w:r>
      <w:r>
        <w:rPr>
          <w:spacing w:val="-10"/>
        </w:rPr>
        <w:t>造地；生活垃圾与污泥委托市政环卫清运；灰渣用作农肥原料；废机油委托有资</w:t>
      </w:r>
      <w:r>
        <w:t>质单位处理；对环境影响较小。</w:t>
      </w:r>
    </w:p>
    <w:p>
      <w:pPr>
        <w:pStyle w:val="13"/>
        <w:numPr>
          <w:ilvl w:val="3"/>
          <w:numId w:val="112"/>
        </w:numPr>
        <w:tabs>
          <w:tab w:val="left" w:pos="1741"/>
        </w:tabs>
        <w:spacing w:before="0" w:after="0" w:line="307" w:lineRule="exact"/>
        <w:ind w:left="1741" w:right="0" w:hanging="601"/>
        <w:jc w:val="left"/>
        <w:rPr>
          <w:sz w:val="24"/>
        </w:rPr>
      </w:pPr>
      <w:r>
        <w:rPr>
          <w:sz w:val="24"/>
        </w:rPr>
        <w:t>地表沉陷预测与生态环境影响</w:t>
      </w:r>
    </w:p>
    <w:p>
      <w:pPr>
        <w:pStyle w:val="6"/>
        <w:spacing w:before="158" w:line="364" w:lineRule="auto"/>
        <w:ind w:left="660" w:right="777" w:firstLine="480"/>
        <w:jc w:val="both"/>
      </w:pPr>
      <w:r>
        <w:rPr>
          <w:spacing w:val="-11"/>
        </w:rPr>
        <w:t>全井田开采后，沉陷土地主要为林地。双鸭山大顺矿业有限公司改扩建项目</w:t>
      </w:r>
      <w:r>
        <w:rPr>
          <w:spacing w:val="-5"/>
        </w:rPr>
        <w:t>建设与开采沉陷对井田内林地的影响随着沉陷区生态的进行，大部分受影响的林</w:t>
      </w:r>
      <w:r>
        <w:t>地都能得到恢复。</w:t>
      </w:r>
    </w:p>
    <w:p>
      <w:pPr>
        <w:spacing w:after="0" w:line="364" w:lineRule="auto"/>
        <w:jc w:val="both"/>
        <w:sectPr>
          <w:pgSz w:w="11910" w:h="16840"/>
          <w:pgMar w:top="1380" w:right="1020" w:bottom="1180" w:left="1140" w:header="0" w:footer="997" w:gutter="0"/>
        </w:sectPr>
      </w:pPr>
    </w:p>
    <w:p>
      <w:pPr>
        <w:pStyle w:val="3"/>
        <w:numPr>
          <w:ilvl w:val="1"/>
          <w:numId w:val="112"/>
        </w:numPr>
        <w:tabs>
          <w:tab w:val="left" w:pos="1335"/>
        </w:tabs>
        <w:spacing w:before="43" w:after="0" w:line="240" w:lineRule="auto"/>
        <w:ind w:left="1334" w:right="0" w:hanging="675"/>
        <w:jc w:val="left"/>
      </w:pPr>
      <w:bookmarkStart w:id="1357" w:name="18.3 建设项目的环境可行性总结"/>
      <w:bookmarkEnd w:id="1357"/>
      <w:bookmarkStart w:id="1358" w:name="_bookmark107"/>
      <w:bookmarkEnd w:id="1358"/>
      <w:bookmarkStart w:id="1359" w:name="_bookmark107"/>
      <w:bookmarkEnd w:id="1359"/>
      <w:r>
        <w:t>建设项目的环境可行性总结</w:t>
      </w:r>
    </w:p>
    <w:p>
      <w:pPr>
        <w:pStyle w:val="6"/>
        <w:spacing w:before="119" w:line="364" w:lineRule="auto"/>
        <w:ind w:left="660" w:right="685" w:firstLine="480"/>
      </w:pPr>
      <w:r>
        <w:rPr>
          <w:spacing w:val="-5"/>
        </w:rPr>
        <w:t>综合环境影响预测结论及公众参与、厂址合理性分析、环境经济损益分析结</w:t>
      </w:r>
      <w:r>
        <w:rPr>
          <w:spacing w:val="-10"/>
        </w:rPr>
        <w:t>论，本工程在确保清洁生产工艺正常运行、全面严格落实本报告书所提各项污染</w:t>
      </w:r>
      <w:r>
        <w:rPr>
          <w:spacing w:val="-11"/>
        </w:rPr>
        <w:t xml:space="preserve">防治措施并正常运行的前提下，通过加强环境管理和环境监测，杜绝事故排放， </w:t>
      </w:r>
      <w:r>
        <w:rPr>
          <w:spacing w:val="-6"/>
        </w:rPr>
        <w:t>所排污染物均能做到达标排放，对周围环境影响较小，可被周围环境所接受，从环境角度分析，本项目建设是可行的。</w:t>
      </w:r>
    </w:p>
    <w:sectPr>
      <w:pgSz w:w="11910" w:h="16840"/>
      <w:pgMar w:top="1500" w:right="1020" w:bottom="1180" w:left="1140" w:header="0" w:footer="997"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MT Extra">
    <w:panose1 w:val="05050102010205020202"/>
    <w:charset w:val="02"/>
    <w:family w:val="roman"/>
    <w:pitch w:val="default"/>
    <w:sig w:usb0="8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14248448" behindDoc="1" locked="0" layoutInCell="1" allowOverlap="1">
              <wp:simplePos x="0" y="0"/>
              <wp:positionH relativeFrom="page">
                <wp:posOffset>3726180</wp:posOffset>
              </wp:positionH>
              <wp:positionV relativeFrom="page">
                <wp:posOffset>9932670</wp:posOffset>
              </wp:positionV>
              <wp:extent cx="108585" cy="139700"/>
              <wp:effectExtent l="0" t="0" r="0" b="0"/>
              <wp:wrapNone/>
              <wp:docPr id="260" name="文本框 1"/>
              <wp:cNvGraphicFramePr/>
              <a:graphic xmlns:a="http://schemas.openxmlformats.org/drawingml/2006/main">
                <a:graphicData uri="http://schemas.microsoft.com/office/word/2010/wordprocessingShape">
                  <wps:wsp>
                    <wps:cNvSpPr txBox="1"/>
                    <wps:spPr>
                      <a:xfrm>
                        <a:off x="0" y="0"/>
                        <a:ext cx="10858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 ROMAN </w:instrText>
                          </w:r>
                          <w:r>
                            <w:fldChar w:fldCharType="separate"/>
                          </w:r>
                          <w:r>
                            <w:t>II</w:t>
                          </w:r>
                          <w:r>
                            <w:fldChar w:fldCharType="end"/>
                          </w:r>
                        </w:p>
                      </w:txbxContent>
                    </wps:txbx>
                    <wps:bodyPr lIns="0" tIns="0" rIns="0" bIns="0" upright="1"/>
                  </wps:wsp>
                </a:graphicData>
              </a:graphic>
            </wp:anchor>
          </w:drawing>
        </mc:Choice>
        <mc:Fallback>
          <w:pict>
            <v:shape id="文本框 1" o:spid="_x0000_s1026" o:spt="202" type="#_x0000_t202" style="position:absolute;left:0pt;margin-left:293.4pt;margin-top:782.1pt;height:11pt;width:8.55pt;mso-position-horizontal-relative:page;mso-position-vertical-relative:page;z-index:-289068032;mso-width-relative:page;mso-height-relative:page;" filled="f" stroked="f" coordsize="21600,21600" o:gfxdata="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KO5jsbaAAAADQEAAA8AAAAA&#10;AAAAAQAgAAAAIgAAAGRycy9kb3ducmV2LnhtbFBLAQIUABQAAAAIAIdO4kD0INlgoAEAACUDAAAO&#10;AAAAAAAAAAEAIAAAACkBAABkcnMvZTJvRG9jLnhtbFBLBQYAAAAABgAGAFkBAAA7BQ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 ROMAN </w:instrText>
                    </w:r>
                    <w:r>
                      <w:fldChar w:fldCharType="separate"/>
                    </w:r>
                    <w:r>
                      <w:t>II</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14257664" behindDoc="1" locked="0" layoutInCell="1" allowOverlap="1">
              <wp:simplePos x="0" y="0"/>
              <wp:positionH relativeFrom="page">
                <wp:posOffset>3695700</wp:posOffset>
              </wp:positionH>
              <wp:positionV relativeFrom="page">
                <wp:posOffset>9919335</wp:posOffset>
              </wp:positionV>
              <wp:extent cx="167005" cy="139700"/>
              <wp:effectExtent l="0" t="0" r="0" b="0"/>
              <wp:wrapNone/>
              <wp:docPr id="268" name="文本框 9"/>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70</w:t>
                          </w:r>
                          <w:r>
                            <w:fldChar w:fldCharType="end"/>
                          </w:r>
                        </w:p>
                      </w:txbxContent>
                    </wps:txbx>
                    <wps:bodyPr lIns="0" tIns="0" rIns="0" bIns="0" upright="1"/>
                  </wps:wsp>
                </a:graphicData>
              </a:graphic>
            </wp:anchor>
          </w:drawing>
        </mc:Choice>
        <mc:Fallback>
          <w:pict>
            <v:shape id="文本框 9" o:spid="_x0000_s1026" o:spt="202" type="#_x0000_t202" style="position:absolute;left:0pt;margin-left:291pt;margin-top:781.05pt;height:11pt;width:13.15pt;mso-position-horizontal-relative:page;mso-position-vertical-relative:page;z-index:-289058816;mso-width-relative:page;mso-height-relative:page;" filled="f" stroked="f" coordsize="21600,21600" o:gfxdata="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yw7NsAAAANAQAADwAAAAAA&#10;AAABACAAAAAiAAAAZHJzL2Rvd25yZXYueG1sUEsBAhQAFAAAAAgAh07iQKPDMZKeAQAAJQMAAA4A&#10;AAAAAAAAAQAgAAAAKgEAAGRycy9lMm9Eb2MueG1sUEsFBgAAAAAGAAYAWQEAADoFA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70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14258688" behindDoc="1" locked="0" layoutInCell="1" allowOverlap="1">
              <wp:simplePos x="0" y="0"/>
              <wp:positionH relativeFrom="page">
                <wp:posOffset>3695700</wp:posOffset>
              </wp:positionH>
              <wp:positionV relativeFrom="page">
                <wp:posOffset>9919335</wp:posOffset>
              </wp:positionV>
              <wp:extent cx="167005" cy="139700"/>
              <wp:effectExtent l="0" t="0" r="0" b="0"/>
              <wp:wrapNone/>
              <wp:docPr id="269" name="文本框 10"/>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78</w:t>
                          </w:r>
                          <w:r>
                            <w:fldChar w:fldCharType="end"/>
                          </w:r>
                        </w:p>
                      </w:txbxContent>
                    </wps:txbx>
                    <wps:bodyPr lIns="0" tIns="0" rIns="0" bIns="0" upright="1"/>
                  </wps:wsp>
                </a:graphicData>
              </a:graphic>
            </wp:anchor>
          </w:drawing>
        </mc:Choice>
        <mc:Fallback>
          <w:pict>
            <v:shape id="文本框 10" o:spid="_x0000_s1026" o:spt="202" type="#_x0000_t202" style="position:absolute;left:0pt;margin-left:291pt;margin-top:781.05pt;height:11pt;width:13.15pt;mso-position-horizontal-relative:page;mso-position-vertical-relative:page;z-index:-289057792;mso-width-relative:page;mso-height-relative:page;" filled="f" stroked="f" coordsize="21600,21600" o:gfxdata="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yw7NsAAAANAQAADwAAAAAA&#10;AAABACAAAAAiAAAAZHJzL2Rvd25yZXYueG1sUEsBAhQAFAAAAAgAh07iQGRwT/+eAQAAJgMAAA4A&#10;AAAAAAAAAQAgAAAAKgEAAGRycy9lMm9Eb2MueG1sUEsFBgAAAAAGAAYAWQEAADoFA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78</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14259712" behindDoc="1" locked="0" layoutInCell="1" allowOverlap="1">
              <wp:simplePos x="0" y="0"/>
              <wp:positionH relativeFrom="page">
                <wp:posOffset>3695700</wp:posOffset>
              </wp:positionH>
              <wp:positionV relativeFrom="page">
                <wp:posOffset>9919335</wp:posOffset>
              </wp:positionV>
              <wp:extent cx="167005" cy="139700"/>
              <wp:effectExtent l="0" t="0" r="0" b="0"/>
              <wp:wrapNone/>
              <wp:docPr id="270" name="文本框 11"/>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80</w:t>
                          </w:r>
                          <w:r>
                            <w:fldChar w:fldCharType="end"/>
                          </w:r>
                        </w:p>
                      </w:txbxContent>
                    </wps:txbx>
                    <wps:bodyPr lIns="0" tIns="0" rIns="0" bIns="0" upright="1"/>
                  </wps:wsp>
                </a:graphicData>
              </a:graphic>
            </wp:anchor>
          </w:drawing>
        </mc:Choice>
        <mc:Fallback>
          <w:pict>
            <v:shape id="文本框 11" o:spid="_x0000_s1026" o:spt="202" type="#_x0000_t202" style="position:absolute;left:0pt;margin-left:291pt;margin-top:781.05pt;height:11pt;width:13.15pt;mso-position-horizontal-relative:page;mso-position-vertical-relative:page;z-index:-289056768;mso-width-relative:page;mso-height-relative:page;" filled="f" stroked="f" coordsize="21600,21600" o:gfxdata="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IvssOzbAAAADQEAAA8AAAAA&#10;AAAAAQAgAAAAIgAAAGRycy9kb3ducmV2LnhtbFBLAQIUABQAAAAIAIdO4kB1JcMEnwEAACYDAAAO&#10;AAAAAAAAAAEAIAAAACoBAABkcnMvZTJvRG9jLnhtbFBLBQYAAAAABgAGAFkBAAA7BQ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80</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2"/>
      </w:rPr>
    </w:pPr>
    <w:r>
      <mc:AlternateContent>
        <mc:Choice Requires="wps">
          <w:drawing>
            <wp:anchor distT="0" distB="0" distL="114300" distR="114300" simplePos="0" relativeHeight="214260736" behindDoc="1" locked="0" layoutInCell="1" allowOverlap="1">
              <wp:simplePos x="0" y="0"/>
              <wp:positionH relativeFrom="page">
                <wp:posOffset>3695700</wp:posOffset>
              </wp:positionH>
              <wp:positionV relativeFrom="page">
                <wp:posOffset>9919335</wp:posOffset>
              </wp:positionV>
              <wp:extent cx="167005" cy="139700"/>
              <wp:effectExtent l="0" t="0" r="0" b="0"/>
              <wp:wrapNone/>
              <wp:docPr id="271" name="文本框 12"/>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91</w:t>
                          </w:r>
                          <w:r>
                            <w:fldChar w:fldCharType="end"/>
                          </w:r>
                        </w:p>
                      </w:txbxContent>
                    </wps:txbx>
                    <wps:bodyPr lIns="0" tIns="0" rIns="0" bIns="0" upright="1"/>
                  </wps:wsp>
                </a:graphicData>
              </a:graphic>
            </wp:anchor>
          </w:drawing>
        </mc:Choice>
        <mc:Fallback>
          <w:pict>
            <v:shape id="文本框 12" o:spid="_x0000_s1026" o:spt="202" type="#_x0000_t202" style="position:absolute;left:0pt;margin-left:291pt;margin-top:781.05pt;height:11pt;width:13.15pt;mso-position-horizontal-relative:page;mso-position-vertical-relative:page;z-index:-289055744;mso-width-relative:page;mso-height-relative:page;" filled="f" stroked="f" coordsize="21600,21600" o:gfxdata="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IvssOzbAAAADQEAAA8AAAAA&#10;AAAAAQAgAAAAIgAAAGRycy9kb3ducmV2LnhtbFBLAQIUABQAAAAIAIdO4kBsNKl5nwEAACYDAAAO&#10;AAAAAAAAAAEAIAAAACoBAABkcnMvZTJvRG9jLnhtbFBLBQYAAAAABgAGAFkBAAA7BQ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91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14261760" behindDoc="1" locked="0" layoutInCell="1" allowOverlap="1">
              <wp:simplePos x="0" y="0"/>
              <wp:positionH relativeFrom="page">
                <wp:posOffset>3695700</wp:posOffset>
              </wp:positionH>
              <wp:positionV relativeFrom="page">
                <wp:posOffset>9919335</wp:posOffset>
              </wp:positionV>
              <wp:extent cx="167005" cy="139700"/>
              <wp:effectExtent l="0" t="0" r="0" b="0"/>
              <wp:wrapNone/>
              <wp:docPr id="272" name="文本框 13"/>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93</w:t>
                          </w:r>
                          <w:r>
                            <w:fldChar w:fldCharType="end"/>
                          </w:r>
                        </w:p>
                      </w:txbxContent>
                    </wps:txbx>
                    <wps:bodyPr lIns="0" tIns="0" rIns="0" bIns="0" upright="1"/>
                  </wps:wsp>
                </a:graphicData>
              </a:graphic>
            </wp:anchor>
          </w:drawing>
        </mc:Choice>
        <mc:Fallback>
          <w:pict>
            <v:shape id="文本框 13" o:spid="_x0000_s1026" o:spt="202" type="#_x0000_t202" style="position:absolute;left:0pt;margin-left:291pt;margin-top:781.05pt;height:11pt;width:13.15pt;mso-position-horizontal-relative:page;mso-position-vertical-relative:page;z-index:-289054720;mso-width-relative:page;mso-height-relative:page;" filled="f" stroked="f" coordsize="21600,21600" o:gfxdata="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L7LDs2wAAAA0BAAAPAAAA&#10;AAAAAAEAIAAAACIAAABkcnMvZG93bnJldi54bWxQSwECFAAUAAAACACHTuJAvtrOb6ABAAAmAwAA&#10;DgAAAAAAAAABACAAAAAqAQAAZHJzL2Uyb0RvYy54bWxQSwUGAAAAAAYABgBZAQAAPAU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93</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2"/>
      </w:rPr>
    </w:pPr>
    <w:r>
      <mc:AlternateContent>
        <mc:Choice Requires="wps">
          <w:drawing>
            <wp:anchor distT="0" distB="0" distL="114300" distR="114300" simplePos="0" relativeHeight="214262784" behindDoc="1" locked="0" layoutInCell="1" allowOverlap="1">
              <wp:simplePos x="0" y="0"/>
              <wp:positionH relativeFrom="page">
                <wp:posOffset>3667125</wp:posOffset>
              </wp:positionH>
              <wp:positionV relativeFrom="page">
                <wp:posOffset>9919335</wp:posOffset>
              </wp:positionV>
              <wp:extent cx="224790" cy="139700"/>
              <wp:effectExtent l="0" t="0" r="0" b="0"/>
              <wp:wrapNone/>
              <wp:docPr id="273" name="文本框 14"/>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108</w:t>
                          </w:r>
                          <w:r>
                            <w:fldChar w:fldCharType="end"/>
                          </w:r>
                        </w:p>
                      </w:txbxContent>
                    </wps:txbx>
                    <wps:bodyPr lIns="0" tIns="0" rIns="0" bIns="0" upright="1"/>
                  </wps:wsp>
                </a:graphicData>
              </a:graphic>
            </wp:anchor>
          </w:drawing>
        </mc:Choice>
        <mc:Fallback>
          <w:pict>
            <v:shape id="文本框 14" o:spid="_x0000_s1026" o:spt="202" type="#_x0000_t202" style="position:absolute;left:0pt;margin-left:288.75pt;margin-top:781.05pt;height:11pt;width:17.7pt;mso-position-horizontal-relative:page;mso-position-vertical-relative:page;z-index:-289053696;mso-width-relative:page;mso-height-relative:page;" filled="f" stroked="f" coordsize="21600,21600" o:gfxdata="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r2NQ7bAAAADQEAAA8A&#10;AAAAAAAAAQAgAAAAIgAAAGRycy9kb3ducmV2LnhtbFBLAQIUABQAAAAIAIdO4kCdvNu5ogEAACYD&#10;AAAOAAAAAAAAAAEAIAAAACoBAABkcnMvZTJvRG9jLnhtbFBLBQYAAAAABgAGAFkBAAA+BQ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108</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14263808" behindDoc="1" locked="0" layoutInCell="1" allowOverlap="1">
              <wp:simplePos x="0" y="0"/>
              <wp:positionH relativeFrom="page">
                <wp:posOffset>3667125</wp:posOffset>
              </wp:positionH>
              <wp:positionV relativeFrom="page">
                <wp:posOffset>9919335</wp:posOffset>
              </wp:positionV>
              <wp:extent cx="224790" cy="139700"/>
              <wp:effectExtent l="0" t="0" r="0" b="0"/>
              <wp:wrapNone/>
              <wp:docPr id="274" name="文本框 15"/>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110</w:t>
                          </w:r>
                          <w:r>
                            <w:fldChar w:fldCharType="end"/>
                          </w:r>
                        </w:p>
                      </w:txbxContent>
                    </wps:txbx>
                    <wps:bodyPr lIns="0" tIns="0" rIns="0" bIns="0" upright="1"/>
                  </wps:wsp>
                </a:graphicData>
              </a:graphic>
            </wp:anchor>
          </w:drawing>
        </mc:Choice>
        <mc:Fallback>
          <w:pict>
            <v:shape id="文本框 15" o:spid="_x0000_s1026" o:spt="202" type="#_x0000_t202" style="position:absolute;left:0pt;margin-left:288.75pt;margin-top:781.05pt;height:11pt;width:17.7pt;mso-position-horizontal-relative:page;mso-position-vertical-relative:page;z-index:-289052672;mso-width-relative:page;mso-height-relative:page;" filled="f" stroked="f" coordsize="21600,21600" o:gfxdata="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r2NQ7bAAAADQEAAA8A&#10;AAAAAAAAAQAgAAAAIgAAAGRycy9kb3ducmV2LnhtbFBLAQIUABQAAAAIAIdO4kAgcH7oogEAACYD&#10;AAAOAAAAAAAAAAEAIAAAACoBAABkcnMvZTJvRG9jLnhtbFBLBQYAAAAABgAGAFkBAAA+BQ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110</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14264832" behindDoc="1" locked="0" layoutInCell="1" allowOverlap="1">
              <wp:simplePos x="0" y="0"/>
              <wp:positionH relativeFrom="page">
                <wp:posOffset>3667125</wp:posOffset>
              </wp:positionH>
              <wp:positionV relativeFrom="page">
                <wp:posOffset>9919335</wp:posOffset>
              </wp:positionV>
              <wp:extent cx="224790" cy="139700"/>
              <wp:effectExtent l="0" t="0" r="0" b="0"/>
              <wp:wrapNone/>
              <wp:docPr id="275" name="文本框 16"/>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120</w:t>
                          </w:r>
                          <w:r>
                            <w:fldChar w:fldCharType="end"/>
                          </w:r>
                        </w:p>
                      </w:txbxContent>
                    </wps:txbx>
                    <wps:bodyPr lIns="0" tIns="0" rIns="0" bIns="0" upright="1"/>
                  </wps:wsp>
                </a:graphicData>
              </a:graphic>
            </wp:anchor>
          </w:drawing>
        </mc:Choice>
        <mc:Fallback>
          <w:pict>
            <v:shape id="文本框 16" o:spid="_x0000_s1026" o:spt="202" type="#_x0000_t202" style="position:absolute;left:0pt;margin-left:288.75pt;margin-top:781.05pt;height:11pt;width:17.7pt;mso-position-horizontal-relative:page;mso-position-vertical-relative:page;z-index:-289051648;mso-width-relative:page;mso-height-relative:page;" filled="f" stroked="f" coordsize="21600,21600" o:gfxdata="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r2NQ7bAAAADQEAAA8A&#10;AAAAAAAAAQAgAAAAIgAAAGRycy9kb3ducmV2LnhtbFBLAQIUABQAAAAIAIdO4kA5YRSVogEAACYD&#10;AAAOAAAAAAAAAAEAIAAAACoBAABkcnMvZTJvRG9jLnhtbFBLBQYAAAAABgAGAFkBAAA+BQ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120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14250496" behindDoc="1" locked="0" layoutInCell="1" allowOverlap="1">
              <wp:simplePos x="0" y="0"/>
              <wp:positionH relativeFrom="page">
                <wp:posOffset>3724910</wp:posOffset>
              </wp:positionH>
              <wp:positionV relativeFrom="page">
                <wp:posOffset>9932670</wp:posOffset>
              </wp:positionV>
              <wp:extent cx="109220" cy="139700"/>
              <wp:effectExtent l="0" t="0" r="0" b="0"/>
              <wp:wrapNone/>
              <wp:docPr id="261" name="文本框 2"/>
              <wp:cNvGraphicFramePr/>
              <a:graphic xmlns:a="http://schemas.openxmlformats.org/drawingml/2006/main">
                <a:graphicData uri="http://schemas.microsoft.com/office/word/2010/wordprocessingShape">
                  <wps:wsp>
                    <wps:cNvSpPr txBox="1"/>
                    <wps:spPr>
                      <a:xfrm>
                        <a:off x="0" y="0"/>
                        <a:ext cx="10922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w:t>
                          </w:r>
                          <w:r>
                            <w:fldChar w:fldCharType="end"/>
                          </w:r>
                        </w:p>
                      </w:txbxContent>
                    </wps:txbx>
                    <wps:bodyPr lIns="0" tIns="0" rIns="0" bIns="0" upright="1"/>
                  </wps:wsp>
                </a:graphicData>
              </a:graphic>
            </wp:anchor>
          </w:drawing>
        </mc:Choice>
        <mc:Fallback>
          <w:pict>
            <v:shape id="文本框 2" o:spid="_x0000_s1026" o:spt="202" type="#_x0000_t202" style="position:absolute;left:0pt;margin-left:293.3pt;margin-top:782.1pt;height:11pt;width:8.6pt;mso-position-horizontal-relative:page;mso-position-vertical-relative:page;z-index:-289065984;mso-width-relative:page;mso-height-relative:page;" filled="f" stroked="f" coordsize="21600,21600" o:gfxdata="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7mrTHtoAAAANAQAADwAAAAAA&#10;AAABACAAAAAiAAAAZHJzL2Rvd25yZXYueG1sUEsBAhQAFAAAAAgAh07iQNxNvy6fAQAAJQMAAA4A&#10;AAAAAAAAAQAgAAAAKQEAAGRycy9lMm9Eb2MueG1sUEsFBgAAAAAGAAYAWQEAADoFA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2"/>
      </w:rPr>
    </w:pPr>
    <w:r>
      <mc:AlternateContent>
        <mc:Choice Requires="wps">
          <w:drawing>
            <wp:anchor distT="0" distB="0" distL="114300" distR="114300" simplePos="0" relativeHeight="214265856" behindDoc="1" locked="0" layoutInCell="1" allowOverlap="1">
              <wp:simplePos x="0" y="0"/>
              <wp:positionH relativeFrom="page">
                <wp:posOffset>3685540</wp:posOffset>
              </wp:positionH>
              <wp:positionV relativeFrom="page">
                <wp:posOffset>9829165</wp:posOffset>
              </wp:positionV>
              <wp:extent cx="224790" cy="139700"/>
              <wp:effectExtent l="0" t="0" r="0" b="0"/>
              <wp:wrapNone/>
              <wp:docPr id="276" name="文本框 17"/>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129</w:t>
                          </w:r>
                          <w:r>
                            <w:fldChar w:fldCharType="end"/>
                          </w:r>
                        </w:p>
                      </w:txbxContent>
                    </wps:txbx>
                    <wps:bodyPr lIns="0" tIns="0" rIns="0" bIns="0" upright="1"/>
                  </wps:wsp>
                </a:graphicData>
              </a:graphic>
            </wp:anchor>
          </w:drawing>
        </mc:Choice>
        <mc:Fallback>
          <w:pict>
            <v:shape id="文本框 17" o:spid="_x0000_s1026" o:spt="202" type="#_x0000_t202" style="position:absolute;left:0pt;margin-left:290.2pt;margin-top:773.95pt;height:11pt;width:17.7pt;mso-position-horizontal-relative:page;mso-position-vertical-relative:page;z-index:-289050624;mso-width-relative:page;mso-height-relative:page;" filled="f" stroked="f" coordsize="21600,21600" o:gfxdata="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n3Gre2gAAAA0BAAAPAAAA&#10;AAAAAAEAIAAAACIAAABkcnMvZG93bnJldi54bWxQSwECFAAUAAAACACHTuJA649zg6EBAAAmAwAA&#10;DgAAAAAAAAABACAAAAApAQAAZHJzL2Uyb0RvYy54bWxQSwUGAAAAAAYABgBZAQAAPAU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129</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14266880" behindDoc="1" locked="0" layoutInCell="1" allowOverlap="1">
              <wp:simplePos x="0" y="0"/>
              <wp:positionH relativeFrom="page">
                <wp:posOffset>3685540</wp:posOffset>
              </wp:positionH>
              <wp:positionV relativeFrom="page">
                <wp:posOffset>9829165</wp:posOffset>
              </wp:positionV>
              <wp:extent cx="224790" cy="139700"/>
              <wp:effectExtent l="0" t="0" r="0" b="0"/>
              <wp:wrapNone/>
              <wp:docPr id="277" name="文本框 18"/>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130</w:t>
                          </w:r>
                          <w:r>
                            <w:fldChar w:fldCharType="end"/>
                          </w:r>
                        </w:p>
                      </w:txbxContent>
                    </wps:txbx>
                    <wps:bodyPr lIns="0" tIns="0" rIns="0" bIns="0" upright="1"/>
                  </wps:wsp>
                </a:graphicData>
              </a:graphic>
            </wp:anchor>
          </w:drawing>
        </mc:Choice>
        <mc:Fallback>
          <w:pict>
            <v:shape id="文本框 18" o:spid="_x0000_s1026" o:spt="202" type="#_x0000_t202" style="position:absolute;left:0pt;margin-left:290.2pt;margin-top:773.95pt;height:11pt;width:17.7pt;mso-position-horizontal-relative:page;mso-position-vertical-relative:page;z-index:-289049600;mso-width-relative:page;mso-height-relative:page;" filled="f" stroked="f" coordsize="21600,21600" o:gfxdata="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n3Gre2gAAAA0BAAAPAAAA&#10;AAAAAAEAIAAAACIAAABkcnMvZG93bnJldi54bWxQSwECFAAUAAAACACHTuJAuP4Cl6EBAAAmAwAA&#10;DgAAAAAAAAABACAAAAApAQAAZHJzL2Uyb0RvYy54bWxQSwUGAAAAAAYABgBZAQAAPAU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130</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14267904" behindDoc="1" locked="0" layoutInCell="1" allowOverlap="1">
              <wp:simplePos x="0" y="0"/>
              <wp:positionH relativeFrom="page">
                <wp:posOffset>3685540</wp:posOffset>
              </wp:positionH>
              <wp:positionV relativeFrom="page">
                <wp:posOffset>9829165</wp:posOffset>
              </wp:positionV>
              <wp:extent cx="224790" cy="139700"/>
              <wp:effectExtent l="0" t="0" r="0" b="0"/>
              <wp:wrapNone/>
              <wp:docPr id="278" name="文本框 19"/>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140</w:t>
                          </w:r>
                          <w:r>
                            <w:fldChar w:fldCharType="end"/>
                          </w:r>
                        </w:p>
                      </w:txbxContent>
                    </wps:txbx>
                    <wps:bodyPr lIns="0" tIns="0" rIns="0" bIns="0" upright="1"/>
                  </wps:wsp>
                </a:graphicData>
              </a:graphic>
            </wp:anchor>
          </w:drawing>
        </mc:Choice>
        <mc:Fallback>
          <w:pict>
            <v:shape id="文本框 19" o:spid="_x0000_s1026" o:spt="202" type="#_x0000_t202" style="position:absolute;left:0pt;margin-left:290.2pt;margin-top:773.95pt;height:11pt;width:17.7pt;mso-position-horizontal-relative:page;mso-position-vertical-relative:page;z-index:-289048576;mso-width-relative:page;mso-height-relative:page;" filled="f" stroked="f" coordsize="21600,21600" o:gfxdata="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n3Gre2gAAAA0BAAAPAAAA&#10;AAAAAAEAIAAAACIAAABkcnMvZG93bnJldi54bWxQSwECFAAUAAAACACHTuJA23YjSaEBAAAmAwAA&#10;DgAAAAAAAAABACAAAAApAQAAZHJzL2Uyb0RvYy54bWxQSwUGAAAAAAYABgBZAQAAPAU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140</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2"/>
      </w:rPr>
    </w:pPr>
    <w:r>
      <mc:AlternateContent>
        <mc:Choice Requires="wps">
          <w:drawing>
            <wp:anchor distT="0" distB="0" distL="114300" distR="114300" simplePos="0" relativeHeight="214268928" behindDoc="1" locked="0" layoutInCell="1" allowOverlap="1">
              <wp:simplePos x="0" y="0"/>
              <wp:positionH relativeFrom="page">
                <wp:posOffset>3685540</wp:posOffset>
              </wp:positionH>
              <wp:positionV relativeFrom="page">
                <wp:posOffset>9829165</wp:posOffset>
              </wp:positionV>
              <wp:extent cx="224790" cy="139700"/>
              <wp:effectExtent l="0" t="0" r="0" b="0"/>
              <wp:wrapNone/>
              <wp:docPr id="279" name="文本框 20"/>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155</w:t>
                          </w:r>
                          <w:r>
                            <w:fldChar w:fldCharType="end"/>
                          </w:r>
                        </w:p>
                      </w:txbxContent>
                    </wps:txbx>
                    <wps:bodyPr lIns="0" tIns="0" rIns="0" bIns="0" upright="1"/>
                  </wps:wsp>
                </a:graphicData>
              </a:graphic>
            </wp:anchor>
          </w:drawing>
        </mc:Choice>
        <mc:Fallback>
          <w:pict>
            <v:shape id="文本框 20" o:spid="_x0000_s1026" o:spt="202" type="#_x0000_t202" style="position:absolute;left:0pt;margin-left:290.2pt;margin-top:773.95pt;height:11pt;width:17.7pt;mso-position-horizontal-relative:page;mso-position-vertical-relative:page;z-index:-289047552;mso-width-relative:page;mso-height-relative:page;" filled="f" stroked="f" coordsize="21600,21600" o:gfxdata="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Cfcat7aAAAADQEAAA8AAAAA&#10;AAAAAQAgAAAAIgAAAGRycy9kb3ducmV2LnhtbFBLAQIUABQAAAAIAIdO4kB2GP+hoAEAACYDAAAO&#10;AAAAAAAAAAEAIAAAACkBAABkcnMvZTJvRG9jLnhtbFBLBQYAAAAABgAGAFkBAAA7BQ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155</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14269952" behindDoc="1" locked="0" layoutInCell="1" allowOverlap="1">
              <wp:simplePos x="0" y="0"/>
              <wp:positionH relativeFrom="page">
                <wp:posOffset>3685540</wp:posOffset>
              </wp:positionH>
              <wp:positionV relativeFrom="page">
                <wp:posOffset>9829165</wp:posOffset>
              </wp:positionV>
              <wp:extent cx="224790" cy="139700"/>
              <wp:effectExtent l="0" t="0" r="0" b="0"/>
              <wp:wrapNone/>
              <wp:docPr id="280" name="文本框 21"/>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160</w:t>
                          </w:r>
                          <w:r>
                            <w:fldChar w:fldCharType="end"/>
                          </w:r>
                        </w:p>
                      </w:txbxContent>
                    </wps:txbx>
                    <wps:bodyPr lIns="0" tIns="0" rIns="0" bIns="0" upright="1"/>
                  </wps:wsp>
                </a:graphicData>
              </a:graphic>
            </wp:anchor>
          </w:drawing>
        </mc:Choice>
        <mc:Fallback>
          <w:pict>
            <v:shape id="文本框 21" o:spid="_x0000_s1026" o:spt="202" type="#_x0000_t202" style="position:absolute;left:0pt;margin-left:290.2pt;margin-top:773.95pt;height:11pt;width:17.7pt;mso-position-horizontal-relative:page;mso-position-vertical-relative:page;z-index:-289046528;mso-width-relative:page;mso-height-relative:page;" filled="f" stroked="f" coordsize="21600,21600" o:gfxdata="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n3Gre2gAAAA0BAAAPAAAA&#10;AAAAAAEAIAAAACIAAABkcnMvZG93bnJldi54bWxQSwECFAAUAAAACACHTuJATlTAZaEBAAAmAwAA&#10;DgAAAAAAAAABACAAAAApAQAAZHJzL2Uyb0RvYy54bWxQSwUGAAAAAAYABgBZAQAAPAU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160</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2"/>
      </w:rPr>
    </w:pPr>
    <w:r>
      <mc:AlternateContent>
        <mc:Choice Requires="wps">
          <w:drawing>
            <wp:anchor distT="0" distB="0" distL="114300" distR="114300" simplePos="0" relativeHeight="214270976" behindDoc="1" locked="0" layoutInCell="1" allowOverlap="1">
              <wp:simplePos x="0" y="0"/>
              <wp:positionH relativeFrom="page">
                <wp:posOffset>5233670</wp:posOffset>
              </wp:positionH>
              <wp:positionV relativeFrom="page">
                <wp:posOffset>6985635</wp:posOffset>
              </wp:positionV>
              <wp:extent cx="224790" cy="139700"/>
              <wp:effectExtent l="0" t="0" r="0" b="0"/>
              <wp:wrapNone/>
              <wp:docPr id="281" name="文本框 22"/>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172</w:t>
                          </w:r>
                          <w:r>
                            <w:fldChar w:fldCharType="end"/>
                          </w:r>
                        </w:p>
                      </w:txbxContent>
                    </wps:txbx>
                    <wps:bodyPr lIns="0" tIns="0" rIns="0" bIns="0" upright="1"/>
                  </wps:wsp>
                </a:graphicData>
              </a:graphic>
            </wp:anchor>
          </w:drawing>
        </mc:Choice>
        <mc:Fallback>
          <w:pict>
            <v:shape id="文本框 22" o:spid="_x0000_s1026" o:spt="202" type="#_x0000_t202" style="position:absolute;left:0pt;margin-left:412.1pt;margin-top:550.05pt;height:11pt;width:17.7pt;mso-position-horizontal-relative:page;mso-position-vertical-relative:page;z-index:-289045504;mso-width-relative:page;mso-height-relative:page;" filled="f" stroked="f" coordsize="21600,21600" o:gfxdata="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viHDI2gAAAA0BAAAPAAAA&#10;AAAAAAEAIAAAACIAAABkcnMvZG93bnJldi54bWxQSwECFAAUAAAACACHTuJAV0WqGKEBAAAmAwAA&#10;DgAAAAAAAAABACAAAAApAQAAZHJzL2Uyb0RvYy54bWxQSwUGAAAAAAYABgBZAQAAPAU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172</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14272000" behindDoc="1" locked="0" layoutInCell="1" allowOverlap="1">
              <wp:simplePos x="0" y="0"/>
              <wp:positionH relativeFrom="page">
                <wp:posOffset>3685540</wp:posOffset>
              </wp:positionH>
              <wp:positionV relativeFrom="page">
                <wp:posOffset>9829165</wp:posOffset>
              </wp:positionV>
              <wp:extent cx="224790" cy="139700"/>
              <wp:effectExtent l="0" t="0" r="0" b="0"/>
              <wp:wrapNone/>
              <wp:docPr id="282" name="文本框 23"/>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177</w:t>
                          </w:r>
                          <w:r>
                            <w:fldChar w:fldCharType="end"/>
                          </w:r>
                        </w:p>
                      </w:txbxContent>
                    </wps:txbx>
                    <wps:bodyPr lIns="0" tIns="0" rIns="0" bIns="0" upright="1"/>
                  </wps:wsp>
                </a:graphicData>
              </a:graphic>
            </wp:anchor>
          </w:drawing>
        </mc:Choice>
        <mc:Fallback>
          <w:pict>
            <v:shape id="文本框 23" o:spid="_x0000_s1026" o:spt="202" type="#_x0000_t202" style="position:absolute;left:0pt;margin-left:290.2pt;margin-top:773.95pt;height:11pt;width:17.7pt;mso-position-horizontal-relative:page;mso-position-vertical-relative:page;z-index:-289044480;mso-width-relative:page;mso-height-relative:page;" filled="f" stroked="f" coordsize="21600,21600" o:gfxdata="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J9xq3toAAAANAQAADwAA&#10;AAAAAAABACAAAAAiAAAAZHJzL2Rvd25yZXYueG1sUEsBAhQAFAAAAAgAh07iQIWrzQ6iAQAAJgMA&#10;AA4AAAAAAAAAAQAgAAAAKQEAAGRycy9lMm9Eb2MueG1sUEsFBgAAAAAGAAYAWQEAAD0FA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177</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2"/>
      </w:rPr>
    </w:pPr>
    <w:r>
      <mc:AlternateContent>
        <mc:Choice Requires="wps">
          <w:drawing>
            <wp:anchor distT="0" distB="0" distL="114300" distR="114300" simplePos="0" relativeHeight="214273024" behindDoc="1" locked="0" layoutInCell="1" allowOverlap="1">
              <wp:simplePos x="0" y="0"/>
              <wp:positionH relativeFrom="page">
                <wp:posOffset>3685540</wp:posOffset>
              </wp:positionH>
              <wp:positionV relativeFrom="page">
                <wp:posOffset>9829165</wp:posOffset>
              </wp:positionV>
              <wp:extent cx="224790" cy="139700"/>
              <wp:effectExtent l="0" t="0" r="0" b="0"/>
              <wp:wrapNone/>
              <wp:docPr id="283" name="文本框 24"/>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185</w:t>
                          </w:r>
                          <w:r>
                            <w:fldChar w:fldCharType="end"/>
                          </w:r>
                        </w:p>
                      </w:txbxContent>
                    </wps:txbx>
                    <wps:bodyPr lIns="0" tIns="0" rIns="0" bIns="0" upright="1"/>
                  </wps:wsp>
                </a:graphicData>
              </a:graphic>
            </wp:anchor>
          </w:drawing>
        </mc:Choice>
        <mc:Fallback>
          <w:pict>
            <v:shape id="文本框 24" o:spid="_x0000_s1026" o:spt="202" type="#_x0000_t202" style="position:absolute;left:0pt;margin-left:290.2pt;margin-top:773.95pt;height:11pt;width:17.7pt;mso-position-horizontal-relative:page;mso-position-vertical-relative:page;z-index:-289043456;mso-width-relative:page;mso-height-relative:page;" filled="f" stroked="f" coordsize="21600,21600" o:gfxdata="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J9xq3toAAAANAQAADwAA&#10;AAAAAAABACAAAAAiAAAAZHJzL2Rvd25yZXYueG1sUEsBAhQAFAAAAAgAh07iQGVnfuKiAQAAJgMA&#10;AA4AAAAAAAAAAQAgAAAAKQEAAGRycy9lMm9Eb2MueG1sUEsFBgAAAAAGAAYAWQEAAD0FA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185</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14274048" behindDoc="1" locked="0" layoutInCell="1" allowOverlap="1">
              <wp:simplePos x="0" y="0"/>
              <wp:positionH relativeFrom="page">
                <wp:posOffset>5233670</wp:posOffset>
              </wp:positionH>
              <wp:positionV relativeFrom="page">
                <wp:posOffset>6697345</wp:posOffset>
              </wp:positionV>
              <wp:extent cx="224790" cy="139700"/>
              <wp:effectExtent l="0" t="0" r="0" b="0"/>
              <wp:wrapNone/>
              <wp:docPr id="284" name="文本框 25"/>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187</w:t>
                          </w:r>
                          <w:r>
                            <w:fldChar w:fldCharType="end"/>
                          </w:r>
                        </w:p>
                      </w:txbxContent>
                    </wps:txbx>
                    <wps:bodyPr lIns="0" tIns="0" rIns="0" bIns="0" upright="1"/>
                  </wps:wsp>
                </a:graphicData>
              </a:graphic>
            </wp:anchor>
          </w:drawing>
        </mc:Choice>
        <mc:Fallback>
          <w:pict>
            <v:shape id="文本框 25" o:spid="_x0000_s1026" o:spt="202" type="#_x0000_t202" style="position:absolute;left:0pt;margin-left:412.1pt;margin-top:527.35pt;height:11pt;width:17.7pt;mso-position-horizontal-relative:page;mso-position-vertical-relative:page;z-index:-289042432;mso-width-relative:page;mso-height-relative:page;" filled="f" stroked="f" coordsize="21600,21600" o:gfxdata="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NLiHWzbAAAADQEAAA8A&#10;AAAAAAAAAQAgAAAAIgAAAGRycy9kb3ducmV2LnhtbFBLAQIUABQAAAAIAIdO4kDYq9uzogEAACYD&#10;AAAOAAAAAAAAAAEAIAAAACoBAABkcnMvZTJvRG9jLnhtbFBLBQYAAAAABgAGAFkBAAA+BQ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187</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14275072" behindDoc="1" locked="0" layoutInCell="1" allowOverlap="1">
              <wp:simplePos x="0" y="0"/>
              <wp:positionH relativeFrom="page">
                <wp:posOffset>3667125</wp:posOffset>
              </wp:positionH>
              <wp:positionV relativeFrom="page">
                <wp:posOffset>9919335</wp:posOffset>
              </wp:positionV>
              <wp:extent cx="224790" cy="139700"/>
              <wp:effectExtent l="0" t="0" r="0" b="0"/>
              <wp:wrapNone/>
              <wp:docPr id="285" name="文本框 26"/>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189</w:t>
                          </w:r>
                          <w:r>
                            <w:fldChar w:fldCharType="end"/>
                          </w:r>
                        </w:p>
                      </w:txbxContent>
                    </wps:txbx>
                    <wps:bodyPr lIns="0" tIns="0" rIns="0" bIns="0" upright="1"/>
                  </wps:wsp>
                </a:graphicData>
              </a:graphic>
            </wp:anchor>
          </w:drawing>
        </mc:Choice>
        <mc:Fallback>
          <w:pict>
            <v:shape id="文本框 26" o:spid="_x0000_s1026" o:spt="202" type="#_x0000_t202" style="position:absolute;left:0pt;margin-left:288.75pt;margin-top:781.05pt;height:11pt;width:17.7pt;mso-position-horizontal-relative:page;mso-position-vertical-relative:page;z-index:-289041408;mso-width-relative:page;mso-height-relative:page;" filled="f" stroked="f" coordsize="21600,21600" o:gfxdata="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yvY1DtsAAAANAQAADwAA&#10;AAAAAAABACAAAAAiAAAAZHJzL2Rvd25yZXYueG1sUEsBAhQAFAAAAAgAh07iQMG6sc6hAQAAJgMA&#10;AA4AAAAAAAAAAQAgAAAAKgEAAGRycy9lMm9Eb2MueG1sUEsFBgAAAAAGAAYAWQEAAD0FA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189</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14251520" behindDoc="1" locked="0" layoutInCell="1" allowOverlap="1">
              <wp:simplePos x="0" y="0"/>
              <wp:positionH relativeFrom="page">
                <wp:posOffset>3695700</wp:posOffset>
              </wp:positionH>
              <wp:positionV relativeFrom="page">
                <wp:posOffset>9932670</wp:posOffset>
              </wp:positionV>
              <wp:extent cx="167005" cy="139700"/>
              <wp:effectExtent l="0" t="0" r="0" b="0"/>
              <wp:wrapNone/>
              <wp:docPr id="262" name="文本框 3"/>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3" o:spid="_x0000_s1026" o:spt="202" type="#_x0000_t202" style="position:absolute;left:0pt;margin-left:291pt;margin-top:782.1pt;height:11pt;width:13.15pt;mso-position-horizontal-relative:page;mso-position-vertical-relative:page;z-index:-289064960;mso-width-relative:page;mso-height-relative:page;" filled="f" stroked="f" coordsize="21600,21600" o:gfxdata="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I4e02gAAAA0BAAAPAAAAAAAA&#10;AAEAIAAAACIAAABkcnMvZG93bnJldi54bWxQSwECFAAUAAAACACHTuJAZ7oLFp4BAAAlAwAADgAA&#10;AAAAAAABACAAAAApAQAAZHJzL2Uyb0RvYy54bWxQSwUGAAAAAAYABgBZAQAAOQU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10</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2"/>
      </w:rPr>
    </w:pPr>
    <w:r>
      <mc:AlternateContent>
        <mc:Choice Requires="wps">
          <w:drawing>
            <wp:anchor distT="0" distB="0" distL="114300" distR="114300" simplePos="0" relativeHeight="214276096" behindDoc="1" locked="0" layoutInCell="1" allowOverlap="1">
              <wp:simplePos x="0" y="0"/>
              <wp:positionH relativeFrom="page">
                <wp:posOffset>3667125</wp:posOffset>
              </wp:positionH>
              <wp:positionV relativeFrom="page">
                <wp:posOffset>9919335</wp:posOffset>
              </wp:positionV>
              <wp:extent cx="224790" cy="139700"/>
              <wp:effectExtent l="0" t="0" r="0" b="0"/>
              <wp:wrapNone/>
              <wp:docPr id="286" name="文本框 27"/>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191</w:t>
                          </w:r>
                          <w:r>
                            <w:fldChar w:fldCharType="end"/>
                          </w:r>
                        </w:p>
                      </w:txbxContent>
                    </wps:txbx>
                    <wps:bodyPr lIns="0" tIns="0" rIns="0" bIns="0" upright="1"/>
                  </wps:wsp>
                </a:graphicData>
              </a:graphic>
            </wp:anchor>
          </w:drawing>
        </mc:Choice>
        <mc:Fallback>
          <w:pict>
            <v:shape id="文本框 27" o:spid="_x0000_s1026" o:spt="202" type="#_x0000_t202" style="position:absolute;left:0pt;margin-left:288.75pt;margin-top:781.05pt;height:11pt;width:17.7pt;mso-position-horizontal-relative:page;mso-position-vertical-relative:page;z-index:-289040384;mso-width-relative:page;mso-height-relative:page;" filled="f" stroked="f" coordsize="21600,21600" o:gfxdata="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yvY1DtsAAAANAQAADwAA&#10;AAAAAAABACAAAAAiAAAAZHJzL2Rvd25yZXYueG1sUEsBAhQAFAAAAAgAh07iQBNU1tihAQAAJgMA&#10;AA4AAAAAAAAAAQAgAAAAKgEAAGRycy9lMm9Eb2MueG1sUEsFBgAAAAAGAAYAWQEAAD0FA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191</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2"/>
      </w:rPr>
    </w:pPr>
    <w:r>
      <mc:AlternateContent>
        <mc:Choice Requires="wps">
          <w:drawing>
            <wp:anchor distT="0" distB="0" distL="114300" distR="114300" simplePos="0" relativeHeight="214277120" behindDoc="1" locked="0" layoutInCell="1" allowOverlap="1">
              <wp:simplePos x="0" y="0"/>
              <wp:positionH relativeFrom="page">
                <wp:posOffset>3667125</wp:posOffset>
              </wp:positionH>
              <wp:positionV relativeFrom="page">
                <wp:posOffset>9919335</wp:posOffset>
              </wp:positionV>
              <wp:extent cx="224790" cy="139700"/>
              <wp:effectExtent l="0" t="0" r="0" b="0"/>
              <wp:wrapNone/>
              <wp:docPr id="287" name="文本框 28"/>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207</w:t>
                          </w:r>
                          <w:r>
                            <w:fldChar w:fldCharType="end"/>
                          </w:r>
                        </w:p>
                      </w:txbxContent>
                    </wps:txbx>
                    <wps:bodyPr lIns="0" tIns="0" rIns="0" bIns="0" upright="1"/>
                  </wps:wsp>
                </a:graphicData>
              </a:graphic>
            </wp:anchor>
          </w:drawing>
        </mc:Choice>
        <mc:Fallback>
          <w:pict>
            <v:shape id="文本框 28" o:spid="_x0000_s1026" o:spt="202" type="#_x0000_t202" style="position:absolute;left:0pt;margin-left:288.75pt;margin-top:781.05pt;height:11pt;width:17.7pt;mso-position-horizontal-relative:page;mso-position-vertical-relative:page;z-index:-289039360;mso-width-relative:page;mso-height-relative:page;" filled="f" stroked="f" coordsize="21600,21600" o:gfxdata="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yvY1DtsAAAANAQAADwAA&#10;AAAAAAABACAAAAAiAAAAZHJzL2Rvd25yZXYueG1sUEsBAhQAFAAAAAgAh07iQEAlp8yhAQAAJgMA&#10;AA4AAAAAAAAAAQAgAAAAKgEAAGRycy9lMm9Eb2MueG1sUEsFBgAAAAAGAAYAWQEAAD0FA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207</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14278144" behindDoc="1" locked="0" layoutInCell="1" allowOverlap="1">
              <wp:simplePos x="0" y="0"/>
              <wp:positionH relativeFrom="page">
                <wp:posOffset>3667125</wp:posOffset>
              </wp:positionH>
              <wp:positionV relativeFrom="page">
                <wp:posOffset>9919335</wp:posOffset>
              </wp:positionV>
              <wp:extent cx="224790" cy="139700"/>
              <wp:effectExtent l="0" t="0" r="0" b="0"/>
              <wp:wrapNone/>
              <wp:docPr id="288" name="文本框 29"/>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210</w:t>
                          </w:r>
                          <w:r>
                            <w:fldChar w:fldCharType="end"/>
                          </w:r>
                        </w:p>
                      </w:txbxContent>
                    </wps:txbx>
                    <wps:bodyPr lIns="0" tIns="0" rIns="0" bIns="0" upright="1"/>
                  </wps:wsp>
                </a:graphicData>
              </a:graphic>
            </wp:anchor>
          </w:drawing>
        </mc:Choice>
        <mc:Fallback>
          <w:pict>
            <v:shape id="文本框 29" o:spid="_x0000_s1026" o:spt="202" type="#_x0000_t202" style="position:absolute;left:0pt;margin-left:288.75pt;margin-top:781.05pt;height:11pt;width:17.7pt;mso-position-horizontal-relative:page;mso-position-vertical-relative:page;z-index:-289038336;mso-width-relative:page;mso-height-relative:page;" filled="f" stroked="f" coordsize="21600,21600" o:gfxdata="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K9jUO2wAAAA0BAAAPAAAA&#10;AAAAAAEAIAAAACIAAABkcnMvZG93bnJldi54bWxQSwECFAAUAAAACACHTuJAI62GEqABAAAmAwAA&#10;DgAAAAAAAAABACAAAAAqAQAAZHJzL2Uyb0RvYy54bWxQSwUGAAAAAAYABgBZAQAAPAU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210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2"/>
      </w:rPr>
    </w:pPr>
    <w:r>
      <mc:AlternateContent>
        <mc:Choice Requires="wps">
          <w:drawing>
            <wp:anchor distT="0" distB="0" distL="114300" distR="114300" simplePos="0" relativeHeight="214252544" behindDoc="1" locked="0" layoutInCell="1" allowOverlap="1">
              <wp:simplePos x="0" y="0"/>
              <wp:positionH relativeFrom="page">
                <wp:posOffset>3686810</wp:posOffset>
              </wp:positionH>
              <wp:positionV relativeFrom="page">
                <wp:posOffset>9932670</wp:posOffset>
              </wp:positionV>
              <wp:extent cx="185420" cy="161290"/>
              <wp:effectExtent l="0" t="0" r="0" b="0"/>
              <wp:wrapNone/>
              <wp:docPr id="263" name="文本框 4"/>
              <wp:cNvGraphicFramePr/>
              <a:graphic xmlns:a="http://schemas.openxmlformats.org/drawingml/2006/main">
                <a:graphicData uri="http://schemas.microsoft.com/office/word/2010/wordprocessingShape">
                  <wps:wsp>
                    <wps:cNvSpPr txBox="1"/>
                    <wps:spPr>
                      <a:xfrm>
                        <a:off x="0" y="0"/>
                        <a:ext cx="185420" cy="161290"/>
                      </a:xfrm>
                      <a:prstGeom prst="rect">
                        <a:avLst/>
                      </a:prstGeom>
                      <a:noFill/>
                      <a:ln>
                        <a:noFill/>
                      </a:ln>
                    </wps:spPr>
                    <wps:txbx>
                      <w:txbxContent>
                        <w:p>
                          <w:pPr>
                            <w:spacing w:before="0" w:line="238" w:lineRule="exact"/>
                            <w:ind w:left="40" w:right="0" w:firstLine="0"/>
                            <w:jc w:val="left"/>
                            <w:rPr>
                              <w:rFonts w:ascii="Calibri"/>
                              <w:sz w:val="21"/>
                            </w:rPr>
                          </w:pPr>
                          <w:r>
                            <w:fldChar w:fldCharType="begin"/>
                          </w:r>
                          <w:r>
                            <w:rPr>
                              <w:rFonts w:ascii="Calibri"/>
                              <w:sz w:val="21"/>
                            </w:rPr>
                            <w:instrText xml:space="preserve"> PAGE </w:instrText>
                          </w:r>
                          <w:r>
                            <w:fldChar w:fldCharType="separate"/>
                          </w:r>
                          <w:r>
                            <w:t>28</w:t>
                          </w:r>
                          <w:r>
                            <w:fldChar w:fldCharType="end"/>
                          </w:r>
                        </w:p>
                      </w:txbxContent>
                    </wps:txbx>
                    <wps:bodyPr lIns="0" tIns="0" rIns="0" bIns="0" upright="1"/>
                  </wps:wsp>
                </a:graphicData>
              </a:graphic>
            </wp:anchor>
          </w:drawing>
        </mc:Choice>
        <mc:Fallback>
          <w:pict>
            <v:shape id="文本框 4" o:spid="_x0000_s1026" o:spt="202" type="#_x0000_t202" style="position:absolute;left:0pt;margin-left:290.3pt;margin-top:782.1pt;height:12.7pt;width:14.6pt;mso-position-horizontal-relative:page;mso-position-vertical-relative:page;z-index:-289063936;mso-width-relative:page;mso-height-relative:page;" filled="f" stroked="f" coordsize="21600,21600" o:gfxdata="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NQhoV7aAAAADQEAAA8AAAAA&#10;AAAAAQAgAAAAIgAAAGRycy9kb3ducmV2LnhtbFBLAQIUABQAAAAIAIdO4kANrkyJoAEAACUDAAAO&#10;AAAAAAAAAAEAIAAAACkBAABkcnMvZTJvRG9jLnhtbFBLBQYAAAAABgAGAFkBAAA7BQAAAAA=&#10;">
              <v:fill on="f" focussize="0,0"/>
              <v:stroke on="f"/>
              <v:imagedata o:title=""/>
              <o:lock v:ext="edit" aspectratio="f"/>
              <v:textbox inset="0mm,0mm,0mm,0mm">
                <w:txbxContent>
                  <w:p>
                    <w:pPr>
                      <w:spacing w:before="0" w:line="238" w:lineRule="exact"/>
                      <w:ind w:left="40" w:right="0" w:firstLine="0"/>
                      <w:jc w:val="left"/>
                      <w:rPr>
                        <w:rFonts w:ascii="Calibri"/>
                        <w:sz w:val="21"/>
                      </w:rPr>
                    </w:pPr>
                    <w:r>
                      <w:fldChar w:fldCharType="begin"/>
                    </w:r>
                    <w:r>
                      <w:rPr>
                        <w:rFonts w:ascii="Calibri"/>
                        <w:sz w:val="21"/>
                      </w:rPr>
                      <w:instrText xml:space="preserve"> PAGE </w:instrText>
                    </w:r>
                    <w:r>
                      <w:fldChar w:fldCharType="separate"/>
                    </w:r>
                    <w:r>
                      <w:t>28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3"/>
      </w:rPr>
    </w:pPr>
    <w:r>
      <mc:AlternateContent>
        <mc:Choice Requires="wps">
          <w:drawing>
            <wp:anchor distT="0" distB="0" distL="114300" distR="114300" simplePos="0" relativeHeight="214253568" behindDoc="1" locked="0" layoutInCell="1" allowOverlap="1">
              <wp:simplePos x="0" y="0"/>
              <wp:positionH relativeFrom="page">
                <wp:posOffset>3686810</wp:posOffset>
              </wp:positionH>
              <wp:positionV relativeFrom="page">
                <wp:posOffset>9935845</wp:posOffset>
              </wp:positionV>
              <wp:extent cx="185420" cy="158115"/>
              <wp:effectExtent l="0" t="0" r="0" b="0"/>
              <wp:wrapNone/>
              <wp:docPr id="264" name="文本框 5"/>
              <wp:cNvGraphicFramePr/>
              <a:graphic xmlns:a="http://schemas.openxmlformats.org/drawingml/2006/main">
                <a:graphicData uri="http://schemas.microsoft.com/office/word/2010/wordprocessingShape">
                  <wps:wsp>
                    <wps:cNvSpPr txBox="1"/>
                    <wps:spPr>
                      <a:xfrm>
                        <a:off x="0" y="0"/>
                        <a:ext cx="185420" cy="158115"/>
                      </a:xfrm>
                      <a:prstGeom prst="rect">
                        <a:avLst/>
                      </a:prstGeom>
                      <a:noFill/>
                      <a:ln>
                        <a:noFill/>
                      </a:ln>
                    </wps:spPr>
                    <wps:txbx>
                      <w:txbxContent>
                        <w:p>
                          <w:pPr>
                            <w:spacing w:before="0" w:line="233" w:lineRule="exact"/>
                            <w:ind w:left="40" w:right="0" w:firstLine="0"/>
                            <w:jc w:val="left"/>
                            <w:rPr>
                              <w:rFonts w:ascii="Calibri"/>
                              <w:sz w:val="21"/>
                            </w:rPr>
                          </w:pPr>
                          <w:r>
                            <w:fldChar w:fldCharType="begin"/>
                          </w:r>
                          <w:r>
                            <w:rPr>
                              <w:rFonts w:ascii="Calibri"/>
                              <w:sz w:val="21"/>
                            </w:rPr>
                            <w:instrText xml:space="preserve"> PAGE </w:instrText>
                          </w:r>
                          <w:r>
                            <w:fldChar w:fldCharType="separate"/>
                          </w:r>
                          <w:r>
                            <w:t>32</w:t>
                          </w:r>
                          <w:r>
                            <w:fldChar w:fldCharType="end"/>
                          </w:r>
                        </w:p>
                      </w:txbxContent>
                    </wps:txbx>
                    <wps:bodyPr lIns="0" tIns="0" rIns="0" bIns="0" upright="1"/>
                  </wps:wsp>
                </a:graphicData>
              </a:graphic>
            </wp:anchor>
          </w:drawing>
        </mc:Choice>
        <mc:Fallback>
          <w:pict>
            <v:shape id="文本框 5" o:spid="_x0000_s1026" o:spt="202" type="#_x0000_t202" style="position:absolute;left:0pt;margin-left:290.3pt;margin-top:782.35pt;height:12.45pt;width:14.6pt;mso-position-horizontal-relative:page;mso-position-vertical-relative:page;z-index:-289062912;mso-width-relative:page;mso-height-relative:page;" filled="f" stroked="f" coordsize="21600,21600" o:gfxdata="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fSGZiNoAAAANAQAADwAAAAAA&#10;AAABACAAAAAiAAAAZHJzL2Rvd25yZXYueG1sUEsBAhQAFAAAAAgAh07iQAU4qUKfAQAAJQMAAA4A&#10;AAAAAAAAAQAgAAAAKQEAAGRycy9lMm9Eb2MueG1sUEsFBgAAAAAGAAYAWQEAADoFAAAAAA==&#10;">
              <v:fill on="f" focussize="0,0"/>
              <v:stroke on="f"/>
              <v:imagedata o:title=""/>
              <o:lock v:ext="edit" aspectratio="f"/>
              <v:textbox inset="0mm,0mm,0mm,0mm">
                <w:txbxContent>
                  <w:p>
                    <w:pPr>
                      <w:spacing w:before="0" w:line="233" w:lineRule="exact"/>
                      <w:ind w:left="40" w:right="0" w:firstLine="0"/>
                      <w:jc w:val="left"/>
                      <w:rPr>
                        <w:rFonts w:ascii="Calibri"/>
                        <w:sz w:val="21"/>
                      </w:rPr>
                    </w:pPr>
                    <w:r>
                      <w:fldChar w:fldCharType="begin"/>
                    </w:r>
                    <w:r>
                      <w:rPr>
                        <w:rFonts w:ascii="Calibri"/>
                        <w:sz w:val="21"/>
                      </w:rPr>
                      <w:instrText xml:space="preserve"> PAGE </w:instrText>
                    </w:r>
                    <w:r>
                      <w:fldChar w:fldCharType="separate"/>
                    </w:r>
                    <w:r>
                      <w:t>32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14254592" behindDoc="1" locked="0" layoutInCell="1" allowOverlap="1">
              <wp:simplePos x="0" y="0"/>
              <wp:positionH relativeFrom="page">
                <wp:posOffset>3686810</wp:posOffset>
              </wp:positionH>
              <wp:positionV relativeFrom="page">
                <wp:posOffset>9935845</wp:posOffset>
              </wp:positionV>
              <wp:extent cx="185420" cy="158115"/>
              <wp:effectExtent l="0" t="0" r="0" b="0"/>
              <wp:wrapNone/>
              <wp:docPr id="265" name="文本框 6"/>
              <wp:cNvGraphicFramePr/>
              <a:graphic xmlns:a="http://schemas.openxmlformats.org/drawingml/2006/main">
                <a:graphicData uri="http://schemas.microsoft.com/office/word/2010/wordprocessingShape">
                  <wps:wsp>
                    <wps:cNvSpPr txBox="1"/>
                    <wps:spPr>
                      <a:xfrm>
                        <a:off x="0" y="0"/>
                        <a:ext cx="185420" cy="158115"/>
                      </a:xfrm>
                      <a:prstGeom prst="rect">
                        <a:avLst/>
                      </a:prstGeom>
                      <a:noFill/>
                      <a:ln>
                        <a:noFill/>
                      </a:ln>
                    </wps:spPr>
                    <wps:txbx>
                      <w:txbxContent>
                        <w:p>
                          <w:pPr>
                            <w:spacing w:before="0" w:line="233" w:lineRule="exact"/>
                            <w:ind w:left="40" w:right="0" w:firstLine="0"/>
                            <w:jc w:val="left"/>
                            <w:rPr>
                              <w:rFonts w:ascii="Calibri"/>
                              <w:sz w:val="21"/>
                            </w:rPr>
                          </w:pPr>
                          <w:r>
                            <w:fldChar w:fldCharType="begin"/>
                          </w:r>
                          <w:r>
                            <w:rPr>
                              <w:rFonts w:ascii="Calibri"/>
                              <w:sz w:val="21"/>
                            </w:rPr>
                            <w:instrText xml:space="preserve"> PAGE </w:instrText>
                          </w:r>
                          <w:r>
                            <w:fldChar w:fldCharType="separate"/>
                          </w:r>
                          <w:r>
                            <w:t>40</w:t>
                          </w:r>
                          <w:r>
                            <w:fldChar w:fldCharType="end"/>
                          </w:r>
                        </w:p>
                      </w:txbxContent>
                    </wps:txbx>
                    <wps:bodyPr lIns="0" tIns="0" rIns="0" bIns="0" upright="1"/>
                  </wps:wsp>
                </a:graphicData>
              </a:graphic>
            </wp:anchor>
          </w:drawing>
        </mc:Choice>
        <mc:Fallback>
          <w:pict>
            <v:shape id="文本框 6" o:spid="_x0000_s1026" o:spt="202" type="#_x0000_t202" style="position:absolute;left:0pt;margin-left:290.3pt;margin-top:782.35pt;height:12.45pt;width:14.6pt;mso-position-horizontal-relative:page;mso-position-vertical-relative:page;z-index:-289061888;mso-width-relative:page;mso-height-relative:page;" filled="f" stroked="f" coordsize="21600,21600" o:gfxdata="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9IZmI2gAAAA0BAAAPAAAAAAAA&#10;AAEAIAAAACIAAABkcnMvZG93bnJldi54bWxQSwECFAAUAAAACACHTuJALKTURJ4BAAAlAwAADgAA&#10;AAAAAAABACAAAAApAQAAZHJzL2Uyb0RvYy54bWxQSwUGAAAAAAYABgBZAQAAOQUAAAAA&#10;">
              <v:fill on="f" focussize="0,0"/>
              <v:stroke on="f"/>
              <v:imagedata o:title=""/>
              <o:lock v:ext="edit" aspectratio="f"/>
              <v:textbox inset="0mm,0mm,0mm,0mm">
                <w:txbxContent>
                  <w:p>
                    <w:pPr>
                      <w:spacing w:before="0" w:line="233" w:lineRule="exact"/>
                      <w:ind w:left="40" w:right="0" w:firstLine="0"/>
                      <w:jc w:val="left"/>
                      <w:rPr>
                        <w:rFonts w:ascii="Calibri"/>
                        <w:sz w:val="21"/>
                      </w:rPr>
                    </w:pPr>
                    <w:r>
                      <w:fldChar w:fldCharType="begin"/>
                    </w:r>
                    <w:r>
                      <w:rPr>
                        <w:rFonts w:ascii="Calibri"/>
                        <w:sz w:val="21"/>
                      </w:rPr>
                      <w:instrText xml:space="preserve"> PAGE </w:instrText>
                    </w:r>
                    <w:r>
                      <w:fldChar w:fldCharType="separate"/>
                    </w:r>
                    <w:r>
                      <w:t>40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14255616" behindDoc="1" locked="0" layoutInCell="1" allowOverlap="1">
              <wp:simplePos x="0" y="0"/>
              <wp:positionH relativeFrom="page">
                <wp:posOffset>3686810</wp:posOffset>
              </wp:positionH>
              <wp:positionV relativeFrom="page">
                <wp:posOffset>9935845</wp:posOffset>
              </wp:positionV>
              <wp:extent cx="185420" cy="158115"/>
              <wp:effectExtent l="0" t="0" r="0" b="0"/>
              <wp:wrapNone/>
              <wp:docPr id="266" name="文本框 7"/>
              <wp:cNvGraphicFramePr/>
              <a:graphic xmlns:a="http://schemas.openxmlformats.org/drawingml/2006/main">
                <a:graphicData uri="http://schemas.microsoft.com/office/word/2010/wordprocessingShape">
                  <wps:wsp>
                    <wps:cNvSpPr txBox="1"/>
                    <wps:spPr>
                      <a:xfrm>
                        <a:off x="0" y="0"/>
                        <a:ext cx="185420" cy="158115"/>
                      </a:xfrm>
                      <a:prstGeom prst="rect">
                        <a:avLst/>
                      </a:prstGeom>
                      <a:noFill/>
                      <a:ln>
                        <a:noFill/>
                      </a:ln>
                    </wps:spPr>
                    <wps:txbx>
                      <w:txbxContent>
                        <w:p>
                          <w:pPr>
                            <w:spacing w:before="0" w:line="233" w:lineRule="exact"/>
                            <w:ind w:left="40" w:right="0" w:firstLine="0"/>
                            <w:jc w:val="left"/>
                            <w:rPr>
                              <w:rFonts w:ascii="Calibri"/>
                              <w:sz w:val="21"/>
                            </w:rPr>
                          </w:pPr>
                          <w:r>
                            <w:fldChar w:fldCharType="begin"/>
                          </w:r>
                          <w:r>
                            <w:rPr>
                              <w:rFonts w:ascii="Calibri"/>
                              <w:sz w:val="21"/>
                            </w:rPr>
                            <w:instrText xml:space="preserve"> PAGE </w:instrText>
                          </w:r>
                          <w:r>
                            <w:fldChar w:fldCharType="separate"/>
                          </w:r>
                          <w:r>
                            <w:t>50</w:t>
                          </w:r>
                          <w:r>
                            <w:fldChar w:fldCharType="end"/>
                          </w:r>
                        </w:p>
                      </w:txbxContent>
                    </wps:txbx>
                    <wps:bodyPr lIns="0" tIns="0" rIns="0" bIns="0" upright="1"/>
                  </wps:wsp>
                </a:graphicData>
              </a:graphic>
            </wp:anchor>
          </w:drawing>
        </mc:Choice>
        <mc:Fallback>
          <w:pict>
            <v:shape id="文本框 7" o:spid="_x0000_s1026" o:spt="202" type="#_x0000_t202" style="position:absolute;left:0pt;margin-left:290.3pt;margin-top:782.35pt;height:12.45pt;width:14.6pt;mso-position-horizontal-relative:page;mso-position-vertical-relative:page;z-index:-289060864;mso-width-relative:page;mso-height-relative:page;" filled="f" stroked="f" coordsize="21600,21600" o:gfxdata="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fSGZiNoAAAANAQAADwAAAAAA&#10;AAABACAAAAAiAAAAZHJzL2Rvd25yZXYueG1sUEsBAhQAFAAAAAgAh07iQK7di9+fAQAAJQMAAA4A&#10;AAAAAAAAAQAgAAAAKQEAAGRycy9lMm9Eb2MueG1sUEsFBgAAAAAGAAYAWQEAADoFAAAAAA==&#10;">
              <v:fill on="f" focussize="0,0"/>
              <v:stroke on="f"/>
              <v:imagedata o:title=""/>
              <o:lock v:ext="edit" aspectratio="f"/>
              <v:textbox inset="0mm,0mm,0mm,0mm">
                <w:txbxContent>
                  <w:p>
                    <w:pPr>
                      <w:spacing w:before="0" w:line="233" w:lineRule="exact"/>
                      <w:ind w:left="40" w:right="0" w:firstLine="0"/>
                      <w:jc w:val="left"/>
                      <w:rPr>
                        <w:rFonts w:ascii="Calibri"/>
                        <w:sz w:val="21"/>
                      </w:rPr>
                    </w:pPr>
                    <w:r>
                      <w:fldChar w:fldCharType="begin"/>
                    </w:r>
                    <w:r>
                      <w:rPr>
                        <w:rFonts w:ascii="Calibri"/>
                        <w:sz w:val="21"/>
                      </w:rPr>
                      <w:instrText xml:space="preserve"> PAGE </w:instrText>
                    </w:r>
                    <w:r>
                      <w:fldChar w:fldCharType="separate"/>
                    </w:r>
                    <w:r>
                      <w:t>50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14256640" behindDoc="1" locked="0" layoutInCell="1" allowOverlap="1">
              <wp:simplePos x="0" y="0"/>
              <wp:positionH relativeFrom="page">
                <wp:posOffset>3695700</wp:posOffset>
              </wp:positionH>
              <wp:positionV relativeFrom="page">
                <wp:posOffset>9919335</wp:posOffset>
              </wp:positionV>
              <wp:extent cx="167005" cy="139700"/>
              <wp:effectExtent l="0" t="0" r="0" b="0"/>
              <wp:wrapNone/>
              <wp:docPr id="267" name="文本框 8"/>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61</w:t>
                          </w:r>
                          <w:r>
                            <w:fldChar w:fldCharType="end"/>
                          </w:r>
                        </w:p>
                      </w:txbxContent>
                    </wps:txbx>
                    <wps:bodyPr lIns="0" tIns="0" rIns="0" bIns="0" upright="1"/>
                  </wps:wsp>
                </a:graphicData>
              </a:graphic>
            </wp:anchor>
          </w:drawing>
        </mc:Choice>
        <mc:Fallback>
          <w:pict>
            <v:shape id="文本框 8" o:spid="_x0000_s1026" o:spt="202" type="#_x0000_t202" style="position:absolute;left:0pt;margin-left:291pt;margin-top:781.05pt;height:11pt;width:13.15pt;mso-position-horizontal-relative:page;mso-position-vertical-relative:page;z-index:-289059840;mso-width-relative:page;mso-height-relative:page;" filled="f" stroked="f" coordsize="21600,21600" o:gfxdata="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IvssOzbAAAADQEAAA8AAAAA&#10;AAAAAQAgAAAAIgAAAGRycy9kb3ducmV2LnhtbFBLAQIUABQAAAAIAIdO4kATi1mYnwEAACUDAAAO&#10;AAAAAAAAAAEAIAAAACoBAABkcnMvZTJvRG9jLnhtbFBLBQYAAAAABgAGAFkBAAA7BQ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61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4E4E29"/>
    <w:multiLevelType w:val="multilevel"/>
    <w:tmpl w:val="804E4E29"/>
    <w:lvl w:ilvl="0" w:tentative="0">
      <w:start w:val="1"/>
      <w:numFmt w:val="decimal"/>
      <w:lvlText w:val="%1."/>
      <w:lvlJc w:val="left"/>
      <w:pPr>
        <w:ind w:left="270"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833" w:hanging="159"/>
      </w:pPr>
      <w:rPr>
        <w:rFonts w:hint="default"/>
        <w:lang w:val="zh-CN" w:eastAsia="zh-CN" w:bidi="zh-CN"/>
      </w:rPr>
    </w:lvl>
    <w:lvl w:ilvl="2" w:tentative="0">
      <w:start w:val="0"/>
      <w:numFmt w:val="bullet"/>
      <w:lvlText w:val="•"/>
      <w:lvlJc w:val="left"/>
      <w:pPr>
        <w:ind w:left="1387" w:hanging="159"/>
      </w:pPr>
      <w:rPr>
        <w:rFonts w:hint="default"/>
        <w:lang w:val="zh-CN" w:eastAsia="zh-CN" w:bidi="zh-CN"/>
      </w:rPr>
    </w:lvl>
    <w:lvl w:ilvl="3" w:tentative="0">
      <w:start w:val="0"/>
      <w:numFmt w:val="bullet"/>
      <w:lvlText w:val="•"/>
      <w:lvlJc w:val="left"/>
      <w:pPr>
        <w:ind w:left="1941" w:hanging="159"/>
      </w:pPr>
      <w:rPr>
        <w:rFonts w:hint="default"/>
        <w:lang w:val="zh-CN" w:eastAsia="zh-CN" w:bidi="zh-CN"/>
      </w:rPr>
    </w:lvl>
    <w:lvl w:ilvl="4" w:tentative="0">
      <w:start w:val="0"/>
      <w:numFmt w:val="bullet"/>
      <w:lvlText w:val="•"/>
      <w:lvlJc w:val="left"/>
      <w:pPr>
        <w:ind w:left="2494" w:hanging="159"/>
      </w:pPr>
      <w:rPr>
        <w:rFonts w:hint="default"/>
        <w:lang w:val="zh-CN" w:eastAsia="zh-CN" w:bidi="zh-CN"/>
      </w:rPr>
    </w:lvl>
    <w:lvl w:ilvl="5" w:tentative="0">
      <w:start w:val="0"/>
      <w:numFmt w:val="bullet"/>
      <w:lvlText w:val="•"/>
      <w:lvlJc w:val="left"/>
      <w:pPr>
        <w:ind w:left="3048" w:hanging="159"/>
      </w:pPr>
      <w:rPr>
        <w:rFonts w:hint="default"/>
        <w:lang w:val="zh-CN" w:eastAsia="zh-CN" w:bidi="zh-CN"/>
      </w:rPr>
    </w:lvl>
    <w:lvl w:ilvl="6" w:tentative="0">
      <w:start w:val="0"/>
      <w:numFmt w:val="bullet"/>
      <w:lvlText w:val="•"/>
      <w:lvlJc w:val="left"/>
      <w:pPr>
        <w:ind w:left="3602" w:hanging="159"/>
      </w:pPr>
      <w:rPr>
        <w:rFonts w:hint="default"/>
        <w:lang w:val="zh-CN" w:eastAsia="zh-CN" w:bidi="zh-CN"/>
      </w:rPr>
    </w:lvl>
    <w:lvl w:ilvl="7" w:tentative="0">
      <w:start w:val="0"/>
      <w:numFmt w:val="bullet"/>
      <w:lvlText w:val="•"/>
      <w:lvlJc w:val="left"/>
      <w:pPr>
        <w:ind w:left="4155" w:hanging="159"/>
      </w:pPr>
      <w:rPr>
        <w:rFonts w:hint="default"/>
        <w:lang w:val="zh-CN" w:eastAsia="zh-CN" w:bidi="zh-CN"/>
      </w:rPr>
    </w:lvl>
    <w:lvl w:ilvl="8" w:tentative="0">
      <w:start w:val="0"/>
      <w:numFmt w:val="bullet"/>
      <w:lvlText w:val="•"/>
      <w:lvlJc w:val="left"/>
      <w:pPr>
        <w:ind w:left="4709" w:hanging="159"/>
      </w:pPr>
      <w:rPr>
        <w:rFonts w:hint="default"/>
        <w:lang w:val="zh-CN" w:eastAsia="zh-CN" w:bidi="zh-CN"/>
      </w:rPr>
    </w:lvl>
  </w:abstractNum>
  <w:abstractNum w:abstractNumId="1">
    <w:nsid w:val="813A4B87"/>
    <w:multiLevelType w:val="multilevel"/>
    <w:tmpl w:val="813A4B87"/>
    <w:lvl w:ilvl="0" w:tentative="0">
      <w:start w:val="1"/>
      <w:numFmt w:val="decimal"/>
      <w:lvlText w:val="（%1）"/>
      <w:lvlJc w:val="left"/>
      <w:pPr>
        <w:ind w:left="159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84" w:hanging="601"/>
      </w:pPr>
      <w:rPr>
        <w:rFonts w:hint="default"/>
        <w:lang w:val="zh-CN" w:eastAsia="zh-CN" w:bidi="zh-CN"/>
      </w:rPr>
    </w:lvl>
    <w:lvl w:ilvl="2" w:tentative="0">
      <w:start w:val="0"/>
      <w:numFmt w:val="bullet"/>
      <w:lvlText w:val="•"/>
      <w:lvlJc w:val="left"/>
      <w:pPr>
        <w:ind w:left="3169" w:hanging="601"/>
      </w:pPr>
      <w:rPr>
        <w:rFonts w:hint="default"/>
        <w:lang w:val="zh-CN" w:eastAsia="zh-CN" w:bidi="zh-CN"/>
      </w:rPr>
    </w:lvl>
    <w:lvl w:ilvl="3" w:tentative="0">
      <w:start w:val="0"/>
      <w:numFmt w:val="bullet"/>
      <w:lvlText w:val="•"/>
      <w:lvlJc w:val="left"/>
      <w:pPr>
        <w:ind w:left="3953" w:hanging="601"/>
      </w:pPr>
      <w:rPr>
        <w:rFonts w:hint="default"/>
        <w:lang w:val="zh-CN" w:eastAsia="zh-CN" w:bidi="zh-CN"/>
      </w:rPr>
    </w:lvl>
    <w:lvl w:ilvl="4" w:tentative="0">
      <w:start w:val="0"/>
      <w:numFmt w:val="bullet"/>
      <w:lvlText w:val="•"/>
      <w:lvlJc w:val="left"/>
      <w:pPr>
        <w:ind w:left="4738"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7" w:hanging="601"/>
      </w:pPr>
      <w:rPr>
        <w:rFonts w:hint="default"/>
        <w:lang w:val="zh-CN" w:eastAsia="zh-CN" w:bidi="zh-CN"/>
      </w:rPr>
    </w:lvl>
    <w:lvl w:ilvl="7" w:tentative="0">
      <w:start w:val="0"/>
      <w:numFmt w:val="bullet"/>
      <w:lvlText w:val="•"/>
      <w:lvlJc w:val="left"/>
      <w:pPr>
        <w:ind w:left="7092" w:hanging="601"/>
      </w:pPr>
      <w:rPr>
        <w:rFonts w:hint="default"/>
        <w:lang w:val="zh-CN" w:eastAsia="zh-CN" w:bidi="zh-CN"/>
      </w:rPr>
    </w:lvl>
    <w:lvl w:ilvl="8" w:tentative="0">
      <w:start w:val="0"/>
      <w:numFmt w:val="bullet"/>
      <w:lvlText w:val="•"/>
      <w:lvlJc w:val="left"/>
      <w:pPr>
        <w:ind w:left="7876" w:hanging="601"/>
      </w:pPr>
      <w:rPr>
        <w:rFonts w:hint="default"/>
        <w:lang w:val="zh-CN" w:eastAsia="zh-CN" w:bidi="zh-CN"/>
      </w:rPr>
    </w:lvl>
  </w:abstractNum>
  <w:abstractNum w:abstractNumId="2">
    <w:nsid w:val="825EC3C5"/>
    <w:multiLevelType w:val="multilevel"/>
    <w:tmpl w:val="825EC3C5"/>
    <w:lvl w:ilvl="0" w:tentative="0">
      <w:start w:val="1"/>
      <w:numFmt w:val="decimal"/>
      <w:lvlText w:val="（%1）"/>
      <w:lvlJc w:val="left"/>
      <w:pPr>
        <w:ind w:left="130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4" w:hanging="601"/>
      </w:pPr>
      <w:rPr>
        <w:rFonts w:hint="default"/>
        <w:lang w:val="zh-CN" w:eastAsia="zh-CN" w:bidi="zh-CN"/>
      </w:rPr>
    </w:lvl>
    <w:lvl w:ilvl="2" w:tentative="0">
      <w:start w:val="0"/>
      <w:numFmt w:val="bullet"/>
      <w:lvlText w:val="•"/>
      <w:lvlJc w:val="left"/>
      <w:pPr>
        <w:ind w:left="2989" w:hanging="601"/>
      </w:pPr>
      <w:rPr>
        <w:rFonts w:hint="default"/>
        <w:lang w:val="zh-CN" w:eastAsia="zh-CN" w:bidi="zh-CN"/>
      </w:rPr>
    </w:lvl>
    <w:lvl w:ilvl="3" w:tentative="0">
      <w:start w:val="0"/>
      <w:numFmt w:val="bullet"/>
      <w:lvlText w:val="•"/>
      <w:lvlJc w:val="left"/>
      <w:pPr>
        <w:ind w:left="3833" w:hanging="601"/>
      </w:pPr>
      <w:rPr>
        <w:rFonts w:hint="default"/>
        <w:lang w:val="zh-CN" w:eastAsia="zh-CN" w:bidi="zh-CN"/>
      </w:rPr>
    </w:lvl>
    <w:lvl w:ilvl="4" w:tentative="0">
      <w:start w:val="0"/>
      <w:numFmt w:val="bullet"/>
      <w:lvlText w:val="•"/>
      <w:lvlJc w:val="left"/>
      <w:pPr>
        <w:ind w:left="4678"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67" w:hanging="601"/>
      </w:pPr>
      <w:rPr>
        <w:rFonts w:hint="default"/>
        <w:lang w:val="zh-CN" w:eastAsia="zh-CN" w:bidi="zh-CN"/>
      </w:rPr>
    </w:lvl>
    <w:lvl w:ilvl="7" w:tentative="0">
      <w:start w:val="0"/>
      <w:numFmt w:val="bullet"/>
      <w:lvlText w:val="•"/>
      <w:lvlJc w:val="left"/>
      <w:pPr>
        <w:ind w:left="7212" w:hanging="601"/>
      </w:pPr>
      <w:rPr>
        <w:rFonts w:hint="default"/>
        <w:lang w:val="zh-CN" w:eastAsia="zh-CN" w:bidi="zh-CN"/>
      </w:rPr>
    </w:lvl>
    <w:lvl w:ilvl="8" w:tentative="0">
      <w:start w:val="0"/>
      <w:numFmt w:val="bullet"/>
      <w:lvlText w:val="•"/>
      <w:lvlJc w:val="left"/>
      <w:pPr>
        <w:ind w:left="8056" w:hanging="601"/>
      </w:pPr>
      <w:rPr>
        <w:rFonts w:hint="default"/>
        <w:lang w:val="zh-CN" w:eastAsia="zh-CN" w:bidi="zh-CN"/>
      </w:rPr>
    </w:lvl>
  </w:abstractNum>
  <w:abstractNum w:abstractNumId="3">
    <w:nsid w:val="845B5372"/>
    <w:multiLevelType w:val="multilevel"/>
    <w:tmpl w:val="845B5372"/>
    <w:lvl w:ilvl="0" w:tentative="0">
      <w:start w:val="1"/>
      <w:numFmt w:val="decimal"/>
      <w:lvlText w:val="（%1）"/>
      <w:lvlJc w:val="left"/>
      <w:pPr>
        <w:ind w:left="163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68" w:hanging="601"/>
      </w:pPr>
      <w:rPr>
        <w:rFonts w:hint="default"/>
        <w:lang w:val="zh-CN" w:eastAsia="zh-CN" w:bidi="zh-CN"/>
      </w:rPr>
    </w:lvl>
    <w:lvl w:ilvl="2" w:tentative="0">
      <w:start w:val="0"/>
      <w:numFmt w:val="bullet"/>
      <w:lvlText w:val="•"/>
      <w:lvlJc w:val="left"/>
      <w:pPr>
        <w:ind w:left="3297" w:hanging="601"/>
      </w:pPr>
      <w:rPr>
        <w:rFonts w:hint="default"/>
        <w:lang w:val="zh-CN" w:eastAsia="zh-CN" w:bidi="zh-CN"/>
      </w:rPr>
    </w:lvl>
    <w:lvl w:ilvl="3" w:tentative="0">
      <w:start w:val="0"/>
      <w:numFmt w:val="bullet"/>
      <w:lvlText w:val="•"/>
      <w:lvlJc w:val="left"/>
      <w:pPr>
        <w:ind w:left="4125" w:hanging="601"/>
      </w:pPr>
      <w:rPr>
        <w:rFonts w:hint="default"/>
        <w:lang w:val="zh-CN" w:eastAsia="zh-CN" w:bidi="zh-CN"/>
      </w:rPr>
    </w:lvl>
    <w:lvl w:ilvl="4" w:tentative="0">
      <w:start w:val="0"/>
      <w:numFmt w:val="bullet"/>
      <w:lvlText w:val="•"/>
      <w:lvlJc w:val="left"/>
      <w:pPr>
        <w:ind w:left="4954" w:hanging="601"/>
      </w:pPr>
      <w:rPr>
        <w:rFonts w:hint="default"/>
        <w:lang w:val="zh-CN" w:eastAsia="zh-CN" w:bidi="zh-CN"/>
      </w:rPr>
    </w:lvl>
    <w:lvl w:ilvl="5" w:tentative="0">
      <w:start w:val="0"/>
      <w:numFmt w:val="bullet"/>
      <w:lvlText w:val="•"/>
      <w:lvlJc w:val="left"/>
      <w:pPr>
        <w:ind w:left="5783" w:hanging="601"/>
      </w:pPr>
      <w:rPr>
        <w:rFonts w:hint="default"/>
        <w:lang w:val="zh-CN" w:eastAsia="zh-CN" w:bidi="zh-CN"/>
      </w:rPr>
    </w:lvl>
    <w:lvl w:ilvl="6" w:tentative="0">
      <w:start w:val="0"/>
      <w:numFmt w:val="bullet"/>
      <w:lvlText w:val="•"/>
      <w:lvlJc w:val="left"/>
      <w:pPr>
        <w:ind w:left="6611" w:hanging="601"/>
      </w:pPr>
      <w:rPr>
        <w:rFonts w:hint="default"/>
        <w:lang w:val="zh-CN" w:eastAsia="zh-CN" w:bidi="zh-CN"/>
      </w:rPr>
    </w:lvl>
    <w:lvl w:ilvl="7" w:tentative="0">
      <w:start w:val="0"/>
      <w:numFmt w:val="bullet"/>
      <w:lvlText w:val="•"/>
      <w:lvlJc w:val="left"/>
      <w:pPr>
        <w:ind w:left="7440" w:hanging="601"/>
      </w:pPr>
      <w:rPr>
        <w:rFonts w:hint="default"/>
        <w:lang w:val="zh-CN" w:eastAsia="zh-CN" w:bidi="zh-CN"/>
      </w:rPr>
    </w:lvl>
    <w:lvl w:ilvl="8" w:tentative="0">
      <w:start w:val="0"/>
      <w:numFmt w:val="bullet"/>
      <w:lvlText w:val="•"/>
      <w:lvlJc w:val="left"/>
      <w:pPr>
        <w:ind w:left="8268" w:hanging="601"/>
      </w:pPr>
      <w:rPr>
        <w:rFonts w:hint="default"/>
        <w:lang w:val="zh-CN" w:eastAsia="zh-CN" w:bidi="zh-CN"/>
      </w:rPr>
    </w:lvl>
  </w:abstractNum>
  <w:abstractNum w:abstractNumId="4">
    <w:nsid w:val="8461FADE"/>
    <w:multiLevelType w:val="multilevel"/>
    <w:tmpl w:val="8461FADE"/>
    <w:lvl w:ilvl="0" w:tentative="0">
      <w:start w:val="1"/>
      <w:numFmt w:val="decimal"/>
      <w:lvlText w:val="（%1）"/>
      <w:lvlJc w:val="left"/>
      <w:pPr>
        <w:ind w:left="21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950" w:hanging="601"/>
      </w:pPr>
      <w:rPr>
        <w:rFonts w:hint="default"/>
        <w:lang w:val="zh-CN" w:eastAsia="zh-CN" w:bidi="zh-CN"/>
      </w:rPr>
    </w:lvl>
    <w:lvl w:ilvl="2" w:tentative="0">
      <w:start w:val="0"/>
      <w:numFmt w:val="bullet"/>
      <w:lvlText w:val="•"/>
      <w:lvlJc w:val="left"/>
      <w:pPr>
        <w:ind w:left="3781" w:hanging="601"/>
      </w:pPr>
      <w:rPr>
        <w:rFonts w:hint="default"/>
        <w:lang w:val="zh-CN" w:eastAsia="zh-CN" w:bidi="zh-CN"/>
      </w:rPr>
    </w:lvl>
    <w:lvl w:ilvl="3" w:tentative="0">
      <w:start w:val="0"/>
      <w:numFmt w:val="bullet"/>
      <w:lvlText w:val="•"/>
      <w:lvlJc w:val="left"/>
      <w:pPr>
        <w:ind w:left="4611" w:hanging="601"/>
      </w:pPr>
      <w:rPr>
        <w:rFonts w:hint="default"/>
        <w:lang w:val="zh-CN" w:eastAsia="zh-CN" w:bidi="zh-CN"/>
      </w:rPr>
    </w:lvl>
    <w:lvl w:ilvl="4" w:tentative="0">
      <w:start w:val="0"/>
      <w:numFmt w:val="bullet"/>
      <w:lvlText w:val="•"/>
      <w:lvlJc w:val="left"/>
      <w:pPr>
        <w:ind w:left="5442" w:hanging="601"/>
      </w:pPr>
      <w:rPr>
        <w:rFonts w:hint="default"/>
        <w:lang w:val="zh-CN" w:eastAsia="zh-CN" w:bidi="zh-CN"/>
      </w:rPr>
    </w:lvl>
    <w:lvl w:ilvl="5" w:tentative="0">
      <w:start w:val="0"/>
      <w:numFmt w:val="bullet"/>
      <w:lvlText w:val="•"/>
      <w:lvlJc w:val="left"/>
      <w:pPr>
        <w:ind w:left="6273" w:hanging="601"/>
      </w:pPr>
      <w:rPr>
        <w:rFonts w:hint="default"/>
        <w:lang w:val="zh-CN" w:eastAsia="zh-CN" w:bidi="zh-CN"/>
      </w:rPr>
    </w:lvl>
    <w:lvl w:ilvl="6" w:tentative="0">
      <w:start w:val="0"/>
      <w:numFmt w:val="bullet"/>
      <w:lvlText w:val="•"/>
      <w:lvlJc w:val="left"/>
      <w:pPr>
        <w:ind w:left="7103" w:hanging="601"/>
      </w:pPr>
      <w:rPr>
        <w:rFonts w:hint="default"/>
        <w:lang w:val="zh-CN" w:eastAsia="zh-CN" w:bidi="zh-CN"/>
      </w:rPr>
    </w:lvl>
    <w:lvl w:ilvl="7" w:tentative="0">
      <w:start w:val="0"/>
      <w:numFmt w:val="bullet"/>
      <w:lvlText w:val="•"/>
      <w:lvlJc w:val="left"/>
      <w:pPr>
        <w:ind w:left="7934" w:hanging="601"/>
      </w:pPr>
      <w:rPr>
        <w:rFonts w:hint="default"/>
        <w:lang w:val="zh-CN" w:eastAsia="zh-CN" w:bidi="zh-CN"/>
      </w:rPr>
    </w:lvl>
    <w:lvl w:ilvl="8" w:tentative="0">
      <w:start w:val="0"/>
      <w:numFmt w:val="bullet"/>
      <w:lvlText w:val="•"/>
      <w:lvlJc w:val="left"/>
      <w:pPr>
        <w:ind w:left="8764" w:hanging="601"/>
      </w:pPr>
      <w:rPr>
        <w:rFonts w:hint="default"/>
        <w:lang w:val="zh-CN" w:eastAsia="zh-CN" w:bidi="zh-CN"/>
      </w:rPr>
    </w:lvl>
  </w:abstractNum>
  <w:abstractNum w:abstractNumId="5">
    <w:nsid w:val="883B3669"/>
    <w:multiLevelType w:val="multilevel"/>
    <w:tmpl w:val="883B3669"/>
    <w:lvl w:ilvl="0" w:tentative="0">
      <w:start w:val="16"/>
      <w:numFmt w:val="decimal"/>
      <w:lvlText w:val="%1"/>
      <w:lvlJc w:val="left"/>
      <w:pPr>
        <w:ind w:left="780" w:hanging="560"/>
        <w:jc w:val="left"/>
      </w:pPr>
      <w:rPr>
        <w:rFonts w:hint="default"/>
        <w:lang w:val="zh-CN" w:eastAsia="zh-CN" w:bidi="zh-CN"/>
      </w:rPr>
    </w:lvl>
    <w:lvl w:ilvl="1" w:tentative="0">
      <w:start w:val="1"/>
      <w:numFmt w:val="decimal"/>
      <w:lvlText w:val="%1.%2"/>
      <w:lvlJc w:val="left"/>
      <w:pPr>
        <w:ind w:left="780" w:hanging="560"/>
        <w:jc w:val="left"/>
      </w:pPr>
      <w:rPr>
        <w:rFonts w:hint="default" w:ascii="Times New Roman" w:hAnsi="Times New Roman" w:eastAsia="Times New Roman" w:cs="Times New Roman"/>
        <w:b/>
        <w:bCs/>
        <w:spacing w:val="-2"/>
        <w:w w:val="100"/>
        <w:sz w:val="28"/>
        <w:szCs w:val="28"/>
        <w:lang w:val="zh-CN" w:eastAsia="zh-CN" w:bidi="zh-CN"/>
      </w:rPr>
    </w:lvl>
    <w:lvl w:ilvl="2" w:tentative="0">
      <w:start w:val="1"/>
      <w:numFmt w:val="decimal"/>
      <w:lvlText w:val="%1.%2.%3"/>
      <w:lvlJc w:val="left"/>
      <w:pPr>
        <w:ind w:left="880" w:hanging="660"/>
        <w:jc w:val="left"/>
      </w:pPr>
      <w:rPr>
        <w:rFonts w:hint="default"/>
        <w:b/>
        <w:bCs/>
        <w:w w:val="99"/>
        <w:lang w:val="zh-CN" w:eastAsia="zh-CN" w:bidi="zh-CN"/>
      </w:rPr>
    </w:lvl>
    <w:lvl w:ilvl="3" w:tentative="0">
      <w:start w:val="1"/>
      <w:numFmt w:val="decimal"/>
      <w:lvlText w:val="（%4）"/>
      <w:lvlJc w:val="left"/>
      <w:pPr>
        <w:ind w:left="1301" w:hanging="660"/>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3411" w:hanging="660"/>
      </w:pPr>
      <w:rPr>
        <w:rFonts w:hint="default"/>
        <w:lang w:val="zh-CN" w:eastAsia="zh-CN" w:bidi="zh-CN"/>
      </w:rPr>
    </w:lvl>
    <w:lvl w:ilvl="5" w:tentative="0">
      <w:start w:val="0"/>
      <w:numFmt w:val="bullet"/>
      <w:lvlText w:val="•"/>
      <w:lvlJc w:val="left"/>
      <w:pPr>
        <w:ind w:left="4467" w:hanging="660"/>
      </w:pPr>
      <w:rPr>
        <w:rFonts w:hint="default"/>
        <w:lang w:val="zh-CN" w:eastAsia="zh-CN" w:bidi="zh-CN"/>
      </w:rPr>
    </w:lvl>
    <w:lvl w:ilvl="6" w:tentative="0">
      <w:start w:val="0"/>
      <w:numFmt w:val="bullet"/>
      <w:lvlText w:val="•"/>
      <w:lvlJc w:val="left"/>
      <w:pPr>
        <w:ind w:left="5523" w:hanging="660"/>
      </w:pPr>
      <w:rPr>
        <w:rFonts w:hint="default"/>
        <w:lang w:val="zh-CN" w:eastAsia="zh-CN" w:bidi="zh-CN"/>
      </w:rPr>
    </w:lvl>
    <w:lvl w:ilvl="7" w:tentative="0">
      <w:start w:val="0"/>
      <w:numFmt w:val="bullet"/>
      <w:lvlText w:val="•"/>
      <w:lvlJc w:val="left"/>
      <w:pPr>
        <w:ind w:left="6578" w:hanging="660"/>
      </w:pPr>
      <w:rPr>
        <w:rFonts w:hint="default"/>
        <w:lang w:val="zh-CN" w:eastAsia="zh-CN" w:bidi="zh-CN"/>
      </w:rPr>
    </w:lvl>
    <w:lvl w:ilvl="8" w:tentative="0">
      <w:start w:val="0"/>
      <w:numFmt w:val="bullet"/>
      <w:lvlText w:val="•"/>
      <w:lvlJc w:val="left"/>
      <w:pPr>
        <w:ind w:left="7634" w:hanging="660"/>
      </w:pPr>
      <w:rPr>
        <w:rFonts w:hint="default"/>
        <w:lang w:val="zh-CN" w:eastAsia="zh-CN" w:bidi="zh-CN"/>
      </w:rPr>
    </w:lvl>
  </w:abstractNum>
  <w:abstractNum w:abstractNumId="6">
    <w:nsid w:val="8CAEB125"/>
    <w:multiLevelType w:val="multilevel"/>
    <w:tmpl w:val="8CAEB125"/>
    <w:lvl w:ilvl="0" w:tentative="0">
      <w:start w:val="1"/>
      <w:numFmt w:val="decimal"/>
      <w:lvlText w:val="（%1）"/>
      <w:lvlJc w:val="left"/>
      <w:pPr>
        <w:ind w:left="552" w:hanging="601"/>
        <w:jc w:val="left"/>
      </w:pPr>
      <w:rPr>
        <w:rFonts w:hint="default" w:ascii="宋体" w:hAnsi="宋体" w:eastAsia="宋体" w:cs="宋体"/>
        <w:spacing w:val="-34"/>
        <w:w w:val="100"/>
        <w:sz w:val="22"/>
        <w:szCs w:val="22"/>
        <w:lang w:val="zh-CN" w:eastAsia="zh-CN" w:bidi="zh-CN"/>
      </w:rPr>
    </w:lvl>
    <w:lvl w:ilvl="1" w:tentative="0">
      <w:start w:val="0"/>
      <w:numFmt w:val="bullet"/>
      <w:lvlText w:val="•"/>
      <w:lvlJc w:val="left"/>
      <w:pPr>
        <w:ind w:left="1496" w:hanging="601"/>
      </w:pPr>
      <w:rPr>
        <w:rFonts w:hint="default"/>
        <w:lang w:val="zh-CN" w:eastAsia="zh-CN" w:bidi="zh-CN"/>
      </w:rPr>
    </w:lvl>
    <w:lvl w:ilvl="2" w:tentative="0">
      <w:start w:val="0"/>
      <w:numFmt w:val="bullet"/>
      <w:lvlText w:val="•"/>
      <w:lvlJc w:val="left"/>
      <w:pPr>
        <w:ind w:left="2433" w:hanging="601"/>
      </w:pPr>
      <w:rPr>
        <w:rFonts w:hint="default"/>
        <w:lang w:val="zh-CN" w:eastAsia="zh-CN" w:bidi="zh-CN"/>
      </w:rPr>
    </w:lvl>
    <w:lvl w:ilvl="3" w:tentative="0">
      <w:start w:val="0"/>
      <w:numFmt w:val="bullet"/>
      <w:lvlText w:val="•"/>
      <w:lvlJc w:val="left"/>
      <w:pPr>
        <w:ind w:left="3369" w:hanging="601"/>
      </w:pPr>
      <w:rPr>
        <w:rFonts w:hint="default"/>
        <w:lang w:val="zh-CN" w:eastAsia="zh-CN" w:bidi="zh-CN"/>
      </w:rPr>
    </w:lvl>
    <w:lvl w:ilvl="4" w:tentative="0">
      <w:start w:val="0"/>
      <w:numFmt w:val="bullet"/>
      <w:lvlText w:val="•"/>
      <w:lvlJc w:val="left"/>
      <w:pPr>
        <w:ind w:left="4306" w:hanging="601"/>
      </w:pPr>
      <w:rPr>
        <w:rFonts w:hint="default"/>
        <w:lang w:val="zh-CN" w:eastAsia="zh-CN" w:bidi="zh-CN"/>
      </w:rPr>
    </w:lvl>
    <w:lvl w:ilvl="5" w:tentative="0">
      <w:start w:val="0"/>
      <w:numFmt w:val="bullet"/>
      <w:lvlText w:val="•"/>
      <w:lvlJc w:val="left"/>
      <w:pPr>
        <w:ind w:left="5243" w:hanging="601"/>
      </w:pPr>
      <w:rPr>
        <w:rFonts w:hint="default"/>
        <w:lang w:val="zh-CN" w:eastAsia="zh-CN" w:bidi="zh-CN"/>
      </w:rPr>
    </w:lvl>
    <w:lvl w:ilvl="6" w:tentative="0">
      <w:start w:val="0"/>
      <w:numFmt w:val="bullet"/>
      <w:lvlText w:val="•"/>
      <w:lvlJc w:val="left"/>
      <w:pPr>
        <w:ind w:left="6179" w:hanging="601"/>
      </w:pPr>
      <w:rPr>
        <w:rFonts w:hint="default"/>
        <w:lang w:val="zh-CN" w:eastAsia="zh-CN" w:bidi="zh-CN"/>
      </w:rPr>
    </w:lvl>
    <w:lvl w:ilvl="7" w:tentative="0">
      <w:start w:val="0"/>
      <w:numFmt w:val="bullet"/>
      <w:lvlText w:val="•"/>
      <w:lvlJc w:val="left"/>
      <w:pPr>
        <w:ind w:left="7116" w:hanging="601"/>
      </w:pPr>
      <w:rPr>
        <w:rFonts w:hint="default"/>
        <w:lang w:val="zh-CN" w:eastAsia="zh-CN" w:bidi="zh-CN"/>
      </w:rPr>
    </w:lvl>
    <w:lvl w:ilvl="8" w:tentative="0">
      <w:start w:val="0"/>
      <w:numFmt w:val="bullet"/>
      <w:lvlText w:val="•"/>
      <w:lvlJc w:val="left"/>
      <w:pPr>
        <w:ind w:left="8052" w:hanging="601"/>
      </w:pPr>
      <w:rPr>
        <w:rFonts w:hint="default"/>
        <w:lang w:val="zh-CN" w:eastAsia="zh-CN" w:bidi="zh-CN"/>
      </w:rPr>
    </w:lvl>
  </w:abstractNum>
  <w:abstractNum w:abstractNumId="7">
    <w:nsid w:val="91995D4F"/>
    <w:multiLevelType w:val="multilevel"/>
    <w:tmpl w:val="91995D4F"/>
    <w:lvl w:ilvl="0" w:tentative="0">
      <w:start w:val="5"/>
      <w:numFmt w:val="decimal"/>
      <w:lvlText w:val="%1"/>
      <w:lvlJc w:val="left"/>
      <w:pPr>
        <w:ind w:left="977" w:hanging="526"/>
        <w:jc w:val="left"/>
      </w:pPr>
      <w:rPr>
        <w:rFonts w:hint="default"/>
        <w:lang w:val="zh-CN" w:eastAsia="zh-CN" w:bidi="zh-CN"/>
      </w:rPr>
    </w:lvl>
    <w:lvl w:ilvl="1" w:tentative="0">
      <w:start w:val="4"/>
      <w:numFmt w:val="decimal"/>
      <w:lvlText w:val="%1.%2"/>
      <w:lvlJc w:val="left"/>
      <w:pPr>
        <w:ind w:left="977" w:hanging="526"/>
        <w:jc w:val="left"/>
      </w:pPr>
      <w:rPr>
        <w:rFonts w:hint="default" w:ascii="Times New Roman" w:hAnsi="Times New Roman" w:eastAsia="Times New Roman" w:cs="Times New Roman"/>
        <w:b/>
        <w:bCs/>
        <w:spacing w:val="-1"/>
        <w:w w:val="99"/>
        <w:sz w:val="30"/>
        <w:szCs w:val="30"/>
        <w:lang w:val="zh-CN" w:eastAsia="zh-CN" w:bidi="zh-CN"/>
      </w:rPr>
    </w:lvl>
    <w:lvl w:ilvl="2" w:tentative="0">
      <w:start w:val="1"/>
      <w:numFmt w:val="decimal"/>
      <w:lvlText w:val="%1.%2.%3"/>
      <w:lvlJc w:val="left"/>
      <w:pPr>
        <w:ind w:left="1080"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1.%2.%3.%4"/>
      <w:lvlJc w:val="left"/>
      <w:pPr>
        <w:ind w:left="1232" w:hanging="780"/>
        <w:jc w:val="left"/>
      </w:pPr>
      <w:rPr>
        <w:rFonts w:hint="default" w:ascii="Times New Roman" w:hAnsi="Times New Roman" w:eastAsia="Times New Roman" w:cs="Times New Roman"/>
        <w:b/>
        <w:bCs/>
        <w:w w:val="99"/>
        <w:sz w:val="24"/>
        <w:szCs w:val="24"/>
        <w:lang w:val="zh-CN" w:eastAsia="zh-CN" w:bidi="zh-CN"/>
      </w:rPr>
    </w:lvl>
    <w:lvl w:ilvl="4" w:tentative="0">
      <w:start w:val="1"/>
      <w:numFmt w:val="decimal"/>
      <w:lvlText w:val="（%5）"/>
      <w:lvlJc w:val="left"/>
      <w:pPr>
        <w:ind w:left="1533" w:hanging="601"/>
        <w:jc w:val="left"/>
      </w:pPr>
      <w:rPr>
        <w:rFonts w:hint="default" w:ascii="宋体" w:hAnsi="宋体" w:eastAsia="宋体" w:cs="宋体"/>
        <w:w w:val="100"/>
        <w:sz w:val="22"/>
        <w:szCs w:val="22"/>
        <w:lang w:val="zh-CN" w:eastAsia="zh-CN" w:bidi="zh-CN"/>
      </w:rPr>
    </w:lvl>
    <w:lvl w:ilvl="5" w:tentative="0">
      <w:start w:val="0"/>
      <w:numFmt w:val="bullet"/>
      <w:lvlText w:val="•"/>
      <w:lvlJc w:val="left"/>
      <w:pPr>
        <w:ind w:left="1280" w:hanging="601"/>
      </w:pPr>
      <w:rPr>
        <w:rFonts w:hint="default"/>
        <w:lang w:val="zh-CN" w:eastAsia="zh-CN" w:bidi="zh-CN"/>
      </w:rPr>
    </w:lvl>
    <w:lvl w:ilvl="6" w:tentative="0">
      <w:start w:val="0"/>
      <w:numFmt w:val="bullet"/>
      <w:lvlText w:val="•"/>
      <w:lvlJc w:val="left"/>
      <w:pPr>
        <w:ind w:left="1540" w:hanging="601"/>
      </w:pPr>
      <w:rPr>
        <w:rFonts w:hint="default"/>
        <w:lang w:val="zh-CN" w:eastAsia="zh-CN" w:bidi="zh-CN"/>
      </w:rPr>
    </w:lvl>
    <w:lvl w:ilvl="7" w:tentative="0">
      <w:start w:val="0"/>
      <w:numFmt w:val="bullet"/>
      <w:lvlText w:val="•"/>
      <w:lvlJc w:val="left"/>
      <w:pPr>
        <w:ind w:left="3481" w:hanging="601"/>
      </w:pPr>
      <w:rPr>
        <w:rFonts w:hint="default"/>
        <w:lang w:val="zh-CN" w:eastAsia="zh-CN" w:bidi="zh-CN"/>
      </w:rPr>
    </w:lvl>
    <w:lvl w:ilvl="8" w:tentative="0">
      <w:start w:val="0"/>
      <w:numFmt w:val="bullet"/>
      <w:lvlText w:val="•"/>
      <w:lvlJc w:val="left"/>
      <w:pPr>
        <w:ind w:left="5423" w:hanging="601"/>
      </w:pPr>
      <w:rPr>
        <w:rFonts w:hint="default"/>
        <w:lang w:val="zh-CN" w:eastAsia="zh-CN" w:bidi="zh-CN"/>
      </w:rPr>
    </w:lvl>
  </w:abstractNum>
  <w:abstractNum w:abstractNumId="8">
    <w:nsid w:val="91B69C97"/>
    <w:multiLevelType w:val="multilevel"/>
    <w:tmpl w:val="91B69C97"/>
    <w:lvl w:ilvl="0" w:tentative="0">
      <w:start w:val="1"/>
      <w:numFmt w:val="decimal"/>
      <w:lvlText w:val="%1."/>
      <w:lvlJc w:val="left"/>
      <w:pPr>
        <w:ind w:left="270"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833" w:hanging="159"/>
      </w:pPr>
      <w:rPr>
        <w:rFonts w:hint="default"/>
        <w:lang w:val="zh-CN" w:eastAsia="zh-CN" w:bidi="zh-CN"/>
      </w:rPr>
    </w:lvl>
    <w:lvl w:ilvl="2" w:tentative="0">
      <w:start w:val="0"/>
      <w:numFmt w:val="bullet"/>
      <w:lvlText w:val="•"/>
      <w:lvlJc w:val="left"/>
      <w:pPr>
        <w:ind w:left="1387" w:hanging="159"/>
      </w:pPr>
      <w:rPr>
        <w:rFonts w:hint="default"/>
        <w:lang w:val="zh-CN" w:eastAsia="zh-CN" w:bidi="zh-CN"/>
      </w:rPr>
    </w:lvl>
    <w:lvl w:ilvl="3" w:tentative="0">
      <w:start w:val="0"/>
      <w:numFmt w:val="bullet"/>
      <w:lvlText w:val="•"/>
      <w:lvlJc w:val="left"/>
      <w:pPr>
        <w:ind w:left="1941" w:hanging="159"/>
      </w:pPr>
      <w:rPr>
        <w:rFonts w:hint="default"/>
        <w:lang w:val="zh-CN" w:eastAsia="zh-CN" w:bidi="zh-CN"/>
      </w:rPr>
    </w:lvl>
    <w:lvl w:ilvl="4" w:tentative="0">
      <w:start w:val="0"/>
      <w:numFmt w:val="bullet"/>
      <w:lvlText w:val="•"/>
      <w:lvlJc w:val="left"/>
      <w:pPr>
        <w:ind w:left="2494" w:hanging="159"/>
      </w:pPr>
      <w:rPr>
        <w:rFonts w:hint="default"/>
        <w:lang w:val="zh-CN" w:eastAsia="zh-CN" w:bidi="zh-CN"/>
      </w:rPr>
    </w:lvl>
    <w:lvl w:ilvl="5" w:tentative="0">
      <w:start w:val="0"/>
      <w:numFmt w:val="bullet"/>
      <w:lvlText w:val="•"/>
      <w:lvlJc w:val="left"/>
      <w:pPr>
        <w:ind w:left="3048" w:hanging="159"/>
      </w:pPr>
      <w:rPr>
        <w:rFonts w:hint="default"/>
        <w:lang w:val="zh-CN" w:eastAsia="zh-CN" w:bidi="zh-CN"/>
      </w:rPr>
    </w:lvl>
    <w:lvl w:ilvl="6" w:tentative="0">
      <w:start w:val="0"/>
      <w:numFmt w:val="bullet"/>
      <w:lvlText w:val="•"/>
      <w:lvlJc w:val="left"/>
      <w:pPr>
        <w:ind w:left="3602" w:hanging="159"/>
      </w:pPr>
      <w:rPr>
        <w:rFonts w:hint="default"/>
        <w:lang w:val="zh-CN" w:eastAsia="zh-CN" w:bidi="zh-CN"/>
      </w:rPr>
    </w:lvl>
    <w:lvl w:ilvl="7" w:tentative="0">
      <w:start w:val="0"/>
      <w:numFmt w:val="bullet"/>
      <w:lvlText w:val="•"/>
      <w:lvlJc w:val="left"/>
      <w:pPr>
        <w:ind w:left="4155" w:hanging="159"/>
      </w:pPr>
      <w:rPr>
        <w:rFonts w:hint="default"/>
        <w:lang w:val="zh-CN" w:eastAsia="zh-CN" w:bidi="zh-CN"/>
      </w:rPr>
    </w:lvl>
    <w:lvl w:ilvl="8" w:tentative="0">
      <w:start w:val="0"/>
      <w:numFmt w:val="bullet"/>
      <w:lvlText w:val="•"/>
      <w:lvlJc w:val="left"/>
      <w:pPr>
        <w:ind w:left="4709" w:hanging="159"/>
      </w:pPr>
      <w:rPr>
        <w:rFonts w:hint="default"/>
        <w:lang w:val="zh-CN" w:eastAsia="zh-CN" w:bidi="zh-CN"/>
      </w:rPr>
    </w:lvl>
  </w:abstractNum>
  <w:abstractNum w:abstractNumId="9">
    <w:nsid w:val="9239341B"/>
    <w:multiLevelType w:val="multilevel"/>
    <w:tmpl w:val="9239341B"/>
    <w:lvl w:ilvl="0" w:tentative="0">
      <w:start w:val="18"/>
      <w:numFmt w:val="decimal"/>
      <w:lvlText w:val="(%1)"/>
      <w:lvlJc w:val="left"/>
      <w:pPr>
        <w:ind w:left="658" w:hanging="401"/>
        <w:jc w:val="left"/>
      </w:pPr>
      <w:rPr>
        <w:rFonts w:hint="default" w:ascii="Times New Roman" w:hAnsi="Times New Roman" w:eastAsia="Times New Roman" w:cs="Times New Roman"/>
        <w:spacing w:val="-6"/>
        <w:w w:val="100"/>
        <w:sz w:val="22"/>
        <w:szCs w:val="22"/>
        <w:lang w:val="zh-CN" w:eastAsia="zh-CN" w:bidi="zh-CN"/>
      </w:rPr>
    </w:lvl>
    <w:lvl w:ilvl="1" w:tentative="0">
      <w:start w:val="0"/>
      <w:numFmt w:val="bullet"/>
      <w:lvlText w:val="•"/>
      <w:lvlJc w:val="left"/>
      <w:pPr>
        <w:ind w:left="1636" w:hanging="401"/>
      </w:pPr>
      <w:rPr>
        <w:rFonts w:hint="default"/>
        <w:lang w:val="zh-CN" w:eastAsia="zh-CN" w:bidi="zh-CN"/>
      </w:rPr>
    </w:lvl>
    <w:lvl w:ilvl="2" w:tentative="0">
      <w:start w:val="0"/>
      <w:numFmt w:val="bullet"/>
      <w:lvlText w:val="•"/>
      <w:lvlJc w:val="left"/>
      <w:pPr>
        <w:ind w:left="2613" w:hanging="401"/>
      </w:pPr>
      <w:rPr>
        <w:rFonts w:hint="default"/>
        <w:lang w:val="zh-CN" w:eastAsia="zh-CN" w:bidi="zh-CN"/>
      </w:rPr>
    </w:lvl>
    <w:lvl w:ilvl="3" w:tentative="0">
      <w:start w:val="0"/>
      <w:numFmt w:val="bullet"/>
      <w:lvlText w:val="•"/>
      <w:lvlJc w:val="left"/>
      <w:pPr>
        <w:ind w:left="3589" w:hanging="401"/>
      </w:pPr>
      <w:rPr>
        <w:rFonts w:hint="default"/>
        <w:lang w:val="zh-CN" w:eastAsia="zh-CN" w:bidi="zh-CN"/>
      </w:rPr>
    </w:lvl>
    <w:lvl w:ilvl="4" w:tentative="0">
      <w:start w:val="0"/>
      <w:numFmt w:val="bullet"/>
      <w:lvlText w:val="•"/>
      <w:lvlJc w:val="left"/>
      <w:pPr>
        <w:ind w:left="4566" w:hanging="401"/>
      </w:pPr>
      <w:rPr>
        <w:rFonts w:hint="default"/>
        <w:lang w:val="zh-CN" w:eastAsia="zh-CN" w:bidi="zh-CN"/>
      </w:rPr>
    </w:lvl>
    <w:lvl w:ilvl="5" w:tentative="0">
      <w:start w:val="0"/>
      <w:numFmt w:val="bullet"/>
      <w:lvlText w:val="•"/>
      <w:lvlJc w:val="left"/>
      <w:pPr>
        <w:ind w:left="5543" w:hanging="401"/>
      </w:pPr>
      <w:rPr>
        <w:rFonts w:hint="default"/>
        <w:lang w:val="zh-CN" w:eastAsia="zh-CN" w:bidi="zh-CN"/>
      </w:rPr>
    </w:lvl>
    <w:lvl w:ilvl="6" w:tentative="0">
      <w:start w:val="0"/>
      <w:numFmt w:val="bullet"/>
      <w:lvlText w:val="•"/>
      <w:lvlJc w:val="left"/>
      <w:pPr>
        <w:ind w:left="6519" w:hanging="401"/>
      </w:pPr>
      <w:rPr>
        <w:rFonts w:hint="default"/>
        <w:lang w:val="zh-CN" w:eastAsia="zh-CN" w:bidi="zh-CN"/>
      </w:rPr>
    </w:lvl>
    <w:lvl w:ilvl="7" w:tentative="0">
      <w:start w:val="0"/>
      <w:numFmt w:val="bullet"/>
      <w:lvlText w:val="•"/>
      <w:lvlJc w:val="left"/>
      <w:pPr>
        <w:ind w:left="7496" w:hanging="401"/>
      </w:pPr>
      <w:rPr>
        <w:rFonts w:hint="default"/>
        <w:lang w:val="zh-CN" w:eastAsia="zh-CN" w:bidi="zh-CN"/>
      </w:rPr>
    </w:lvl>
    <w:lvl w:ilvl="8" w:tentative="0">
      <w:start w:val="0"/>
      <w:numFmt w:val="bullet"/>
      <w:lvlText w:val="•"/>
      <w:lvlJc w:val="left"/>
      <w:pPr>
        <w:ind w:left="8472" w:hanging="401"/>
      </w:pPr>
      <w:rPr>
        <w:rFonts w:hint="default"/>
        <w:lang w:val="zh-CN" w:eastAsia="zh-CN" w:bidi="zh-CN"/>
      </w:rPr>
    </w:lvl>
  </w:abstractNum>
  <w:abstractNum w:abstractNumId="10">
    <w:nsid w:val="9288B902"/>
    <w:multiLevelType w:val="multilevel"/>
    <w:tmpl w:val="9288B902"/>
    <w:lvl w:ilvl="0" w:tentative="0">
      <w:start w:val="3"/>
      <w:numFmt w:val="decimal"/>
      <w:lvlText w:val="%1"/>
      <w:lvlJc w:val="left"/>
      <w:pPr>
        <w:ind w:left="1565" w:hanging="526"/>
        <w:jc w:val="left"/>
      </w:pPr>
      <w:rPr>
        <w:rFonts w:hint="default"/>
        <w:lang w:val="zh-CN" w:eastAsia="zh-CN" w:bidi="zh-CN"/>
      </w:rPr>
    </w:lvl>
    <w:lvl w:ilvl="1" w:tentative="0">
      <w:start w:val="4"/>
      <w:numFmt w:val="decimal"/>
      <w:lvlText w:val="%1.%2"/>
      <w:lvlJc w:val="left"/>
      <w:pPr>
        <w:ind w:left="1565" w:hanging="526"/>
        <w:jc w:val="left"/>
      </w:pPr>
      <w:rPr>
        <w:rFonts w:hint="default" w:ascii="Times New Roman" w:hAnsi="Times New Roman" w:eastAsia="Times New Roman" w:cs="Times New Roman"/>
        <w:b/>
        <w:bCs/>
        <w:spacing w:val="-1"/>
        <w:w w:val="99"/>
        <w:sz w:val="30"/>
        <w:szCs w:val="30"/>
        <w:lang w:val="zh-CN" w:eastAsia="zh-CN" w:bidi="zh-CN"/>
      </w:rPr>
    </w:lvl>
    <w:lvl w:ilvl="2" w:tentative="0">
      <w:start w:val="1"/>
      <w:numFmt w:val="decimal"/>
      <w:lvlText w:val="%1.%2.%3"/>
      <w:lvlJc w:val="left"/>
      <w:pPr>
        <w:ind w:left="1668"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2121"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4196" w:hanging="601"/>
      </w:pPr>
      <w:rPr>
        <w:rFonts w:hint="default"/>
        <w:lang w:val="zh-CN" w:eastAsia="zh-CN" w:bidi="zh-CN"/>
      </w:rPr>
    </w:lvl>
    <w:lvl w:ilvl="5" w:tentative="0">
      <w:start w:val="0"/>
      <w:numFmt w:val="bullet"/>
      <w:lvlText w:val="•"/>
      <w:lvlJc w:val="left"/>
      <w:pPr>
        <w:ind w:left="5234" w:hanging="601"/>
      </w:pPr>
      <w:rPr>
        <w:rFonts w:hint="default"/>
        <w:lang w:val="zh-CN" w:eastAsia="zh-CN" w:bidi="zh-CN"/>
      </w:rPr>
    </w:lvl>
    <w:lvl w:ilvl="6" w:tentative="0">
      <w:start w:val="0"/>
      <w:numFmt w:val="bullet"/>
      <w:lvlText w:val="•"/>
      <w:lvlJc w:val="left"/>
      <w:pPr>
        <w:ind w:left="6273" w:hanging="601"/>
      </w:pPr>
      <w:rPr>
        <w:rFonts w:hint="default"/>
        <w:lang w:val="zh-CN" w:eastAsia="zh-CN" w:bidi="zh-CN"/>
      </w:rPr>
    </w:lvl>
    <w:lvl w:ilvl="7" w:tentative="0">
      <w:start w:val="0"/>
      <w:numFmt w:val="bullet"/>
      <w:lvlText w:val="•"/>
      <w:lvlJc w:val="left"/>
      <w:pPr>
        <w:ind w:left="7311" w:hanging="601"/>
      </w:pPr>
      <w:rPr>
        <w:rFonts w:hint="default"/>
        <w:lang w:val="zh-CN" w:eastAsia="zh-CN" w:bidi="zh-CN"/>
      </w:rPr>
    </w:lvl>
    <w:lvl w:ilvl="8" w:tentative="0">
      <w:start w:val="0"/>
      <w:numFmt w:val="bullet"/>
      <w:lvlText w:val="•"/>
      <w:lvlJc w:val="left"/>
      <w:pPr>
        <w:ind w:left="8349" w:hanging="601"/>
      </w:pPr>
      <w:rPr>
        <w:rFonts w:hint="default"/>
        <w:lang w:val="zh-CN" w:eastAsia="zh-CN" w:bidi="zh-CN"/>
      </w:rPr>
    </w:lvl>
  </w:abstractNum>
  <w:abstractNum w:abstractNumId="11">
    <w:nsid w:val="9377BC45"/>
    <w:multiLevelType w:val="multilevel"/>
    <w:tmpl w:val="9377BC45"/>
    <w:lvl w:ilvl="0" w:tentative="0">
      <w:start w:val="1"/>
      <w:numFmt w:val="decimal"/>
      <w:lvlText w:val="%1."/>
      <w:lvlJc w:val="left"/>
      <w:pPr>
        <w:ind w:left="270"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833" w:hanging="159"/>
      </w:pPr>
      <w:rPr>
        <w:rFonts w:hint="default"/>
        <w:lang w:val="zh-CN" w:eastAsia="zh-CN" w:bidi="zh-CN"/>
      </w:rPr>
    </w:lvl>
    <w:lvl w:ilvl="2" w:tentative="0">
      <w:start w:val="0"/>
      <w:numFmt w:val="bullet"/>
      <w:lvlText w:val="•"/>
      <w:lvlJc w:val="left"/>
      <w:pPr>
        <w:ind w:left="1387" w:hanging="159"/>
      </w:pPr>
      <w:rPr>
        <w:rFonts w:hint="default"/>
        <w:lang w:val="zh-CN" w:eastAsia="zh-CN" w:bidi="zh-CN"/>
      </w:rPr>
    </w:lvl>
    <w:lvl w:ilvl="3" w:tentative="0">
      <w:start w:val="0"/>
      <w:numFmt w:val="bullet"/>
      <w:lvlText w:val="•"/>
      <w:lvlJc w:val="left"/>
      <w:pPr>
        <w:ind w:left="1941" w:hanging="159"/>
      </w:pPr>
      <w:rPr>
        <w:rFonts w:hint="default"/>
        <w:lang w:val="zh-CN" w:eastAsia="zh-CN" w:bidi="zh-CN"/>
      </w:rPr>
    </w:lvl>
    <w:lvl w:ilvl="4" w:tentative="0">
      <w:start w:val="0"/>
      <w:numFmt w:val="bullet"/>
      <w:lvlText w:val="•"/>
      <w:lvlJc w:val="left"/>
      <w:pPr>
        <w:ind w:left="2494" w:hanging="159"/>
      </w:pPr>
      <w:rPr>
        <w:rFonts w:hint="default"/>
        <w:lang w:val="zh-CN" w:eastAsia="zh-CN" w:bidi="zh-CN"/>
      </w:rPr>
    </w:lvl>
    <w:lvl w:ilvl="5" w:tentative="0">
      <w:start w:val="0"/>
      <w:numFmt w:val="bullet"/>
      <w:lvlText w:val="•"/>
      <w:lvlJc w:val="left"/>
      <w:pPr>
        <w:ind w:left="3048" w:hanging="159"/>
      </w:pPr>
      <w:rPr>
        <w:rFonts w:hint="default"/>
        <w:lang w:val="zh-CN" w:eastAsia="zh-CN" w:bidi="zh-CN"/>
      </w:rPr>
    </w:lvl>
    <w:lvl w:ilvl="6" w:tentative="0">
      <w:start w:val="0"/>
      <w:numFmt w:val="bullet"/>
      <w:lvlText w:val="•"/>
      <w:lvlJc w:val="left"/>
      <w:pPr>
        <w:ind w:left="3602" w:hanging="159"/>
      </w:pPr>
      <w:rPr>
        <w:rFonts w:hint="default"/>
        <w:lang w:val="zh-CN" w:eastAsia="zh-CN" w:bidi="zh-CN"/>
      </w:rPr>
    </w:lvl>
    <w:lvl w:ilvl="7" w:tentative="0">
      <w:start w:val="0"/>
      <w:numFmt w:val="bullet"/>
      <w:lvlText w:val="•"/>
      <w:lvlJc w:val="left"/>
      <w:pPr>
        <w:ind w:left="4155" w:hanging="159"/>
      </w:pPr>
      <w:rPr>
        <w:rFonts w:hint="default"/>
        <w:lang w:val="zh-CN" w:eastAsia="zh-CN" w:bidi="zh-CN"/>
      </w:rPr>
    </w:lvl>
    <w:lvl w:ilvl="8" w:tentative="0">
      <w:start w:val="0"/>
      <w:numFmt w:val="bullet"/>
      <w:lvlText w:val="•"/>
      <w:lvlJc w:val="left"/>
      <w:pPr>
        <w:ind w:left="4709" w:hanging="159"/>
      </w:pPr>
      <w:rPr>
        <w:rFonts w:hint="default"/>
        <w:lang w:val="zh-CN" w:eastAsia="zh-CN" w:bidi="zh-CN"/>
      </w:rPr>
    </w:lvl>
  </w:abstractNum>
  <w:abstractNum w:abstractNumId="12">
    <w:nsid w:val="9ACF65A0"/>
    <w:multiLevelType w:val="multilevel"/>
    <w:tmpl w:val="9ACF65A0"/>
    <w:lvl w:ilvl="0" w:tentative="0">
      <w:start w:val="1"/>
      <w:numFmt w:val="decimal"/>
      <w:lvlText w:val="%1."/>
      <w:lvlJc w:val="left"/>
      <w:pPr>
        <w:ind w:left="111"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689" w:hanging="159"/>
      </w:pPr>
      <w:rPr>
        <w:rFonts w:hint="default"/>
        <w:lang w:val="zh-CN" w:eastAsia="zh-CN" w:bidi="zh-CN"/>
      </w:rPr>
    </w:lvl>
    <w:lvl w:ilvl="2" w:tentative="0">
      <w:start w:val="0"/>
      <w:numFmt w:val="bullet"/>
      <w:lvlText w:val="•"/>
      <w:lvlJc w:val="left"/>
      <w:pPr>
        <w:ind w:left="1259" w:hanging="159"/>
      </w:pPr>
      <w:rPr>
        <w:rFonts w:hint="default"/>
        <w:lang w:val="zh-CN" w:eastAsia="zh-CN" w:bidi="zh-CN"/>
      </w:rPr>
    </w:lvl>
    <w:lvl w:ilvl="3" w:tentative="0">
      <w:start w:val="0"/>
      <w:numFmt w:val="bullet"/>
      <w:lvlText w:val="•"/>
      <w:lvlJc w:val="left"/>
      <w:pPr>
        <w:ind w:left="1829" w:hanging="159"/>
      </w:pPr>
      <w:rPr>
        <w:rFonts w:hint="default"/>
        <w:lang w:val="zh-CN" w:eastAsia="zh-CN" w:bidi="zh-CN"/>
      </w:rPr>
    </w:lvl>
    <w:lvl w:ilvl="4" w:tentative="0">
      <w:start w:val="0"/>
      <w:numFmt w:val="bullet"/>
      <w:lvlText w:val="•"/>
      <w:lvlJc w:val="left"/>
      <w:pPr>
        <w:ind w:left="2398" w:hanging="159"/>
      </w:pPr>
      <w:rPr>
        <w:rFonts w:hint="default"/>
        <w:lang w:val="zh-CN" w:eastAsia="zh-CN" w:bidi="zh-CN"/>
      </w:rPr>
    </w:lvl>
    <w:lvl w:ilvl="5" w:tentative="0">
      <w:start w:val="0"/>
      <w:numFmt w:val="bullet"/>
      <w:lvlText w:val="•"/>
      <w:lvlJc w:val="left"/>
      <w:pPr>
        <w:ind w:left="2968" w:hanging="159"/>
      </w:pPr>
      <w:rPr>
        <w:rFonts w:hint="default"/>
        <w:lang w:val="zh-CN" w:eastAsia="zh-CN" w:bidi="zh-CN"/>
      </w:rPr>
    </w:lvl>
    <w:lvl w:ilvl="6" w:tentative="0">
      <w:start w:val="0"/>
      <w:numFmt w:val="bullet"/>
      <w:lvlText w:val="•"/>
      <w:lvlJc w:val="left"/>
      <w:pPr>
        <w:ind w:left="3538" w:hanging="159"/>
      </w:pPr>
      <w:rPr>
        <w:rFonts w:hint="default"/>
        <w:lang w:val="zh-CN" w:eastAsia="zh-CN" w:bidi="zh-CN"/>
      </w:rPr>
    </w:lvl>
    <w:lvl w:ilvl="7" w:tentative="0">
      <w:start w:val="0"/>
      <w:numFmt w:val="bullet"/>
      <w:lvlText w:val="•"/>
      <w:lvlJc w:val="left"/>
      <w:pPr>
        <w:ind w:left="4107" w:hanging="159"/>
      </w:pPr>
      <w:rPr>
        <w:rFonts w:hint="default"/>
        <w:lang w:val="zh-CN" w:eastAsia="zh-CN" w:bidi="zh-CN"/>
      </w:rPr>
    </w:lvl>
    <w:lvl w:ilvl="8" w:tentative="0">
      <w:start w:val="0"/>
      <w:numFmt w:val="bullet"/>
      <w:lvlText w:val="•"/>
      <w:lvlJc w:val="left"/>
      <w:pPr>
        <w:ind w:left="4677" w:hanging="159"/>
      </w:pPr>
      <w:rPr>
        <w:rFonts w:hint="default"/>
        <w:lang w:val="zh-CN" w:eastAsia="zh-CN" w:bidi="zh-CN"/>
      </w:rPr>
    </w:lvl>
  </w:abstractNum>
  <w:abstractNum w:abstractNumId="13">
    <w:nsid w:val="9C11E984"/>
    <w:multiLevelType w:val="multilevel"/>
    <w:tmpl w:val="9C11E984"/>
    <w:lvl w:ilvl="0" w:tentative="0">
      <w:start w:val="1"/>
      <w:numFmt w:val="decimal"/>
      <w:lvlText w:val="（%1）"/>
      <w:lvlJc w:val="left"/>
      <w:pPr>
        <w:ind w:left="1301" w:hanging="601"/>
        <w:jc w:val="left"/>
      </w:pPr>
      <w:rPr>
        <w:rFonts w:hint="default" w:ascii="宋体" w:hAnsi="宋体" w:eastAsia="宋体" w:cs="宋体"/>
        <w:spacing w:val="-15"/>
        <w:w w:val="100"/>
        <w:sz w:val="22"/>
        <w:szCs w:val="22"/>
        <w:lang w:val="zh-CN" w:eastAsia="zh-CN" w:bidi="zh-CN"/>
      </w:rPr>
    </w:lvl>
    <w:lvl w:ilvl="1" w:tentative="0">
      <w:start w:val="0"/>
      <w:numFmt w:val="bullet"/>
      <w:lvlText w:val="•"/>
      <w:lvlJc w:val="left"/>
      <w:pPr>
        <w:ind w:left="2144" w:hanging="601"/>
      </w:pPr>
      <w:rPr>
        <w:rFonts w:hint="default"/>
        <w:lang w:val="zh-CN" w:eastAsia="zh-CN" w:bidi="zh-CN"/>
      </w:rPr>
    </w:lvl>
    <w:lvl w:ilvl="2" w:tentative="0">
      <w:start w:val="0"/>
      <w:numFmt w:val="bullet"/>
      <w:lvlText w:val="•"/>
      <w:lvlJc w:val="left"/>
      <w:pPr>
        <w:ind w:left="2989" w:hanging="601"/>
      </w:pPr>
      <w:rPr>
        <w:rFonts w:hint="default"/>
        <w:lang w:val="zh-CN" w:eastAsia="zh-CN" w:bidi="zh-CN"/>
      </w:rPr>
    </w:lvl>
    <w:lvl w:ilvl="3" w:tentative="0">
      <w:start w:val="0"/>
      <w:numFmt w:val="bullet"/>
      <w:lvlText w:val="•"/>
      <w:lvlJc w:val="left"/>
      <w:pPr>
        <w:ind w:left="3833" w:hanging="601"/>
      </w:pPr>
      <w:rPr>
        <w:rFonts w:hint="default"/>
        <w:lang w:val="zh-CN" w:eastAsia="zh-CN" w:bidi="zh-CN"/>
      </w:rPr>
    </w:lvl>
    <w:lvl w:ilvl="4" w:tentative="0">
      <w:start w:val="0"/>
      <w:numFmt w:val="bullet"/>
      <w:lvlText w:val="•"/>
      <w:lvlJc w:val="left"/>
      <w:pPr>
        <w:ind w:left="4678"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67" w:hanging="601"/>
      </w:pPr>
      <w:rPr>
        <w:rFonts w:hint="default"/>
        <w:lang w:val="zh-CN" w:eastAsia="zh-CN" w:bidi="zh-CN"/>
      </w:rPr>
    </w:lvl>
    <w:lvl w:ilvl="7" w:tentative="0">
      <w:start w:val="0"/>
      <w:numFmt w:val="bullet"/>
      <w:lvlText w:val="•"/>
      <w:lvlJc w:val="left"/>
      <w:pPr>
        <w:ind w:left="7212" w:hanging="601"/>
      </w:pPr>
      <w:rPr>
        <w:rFonts w:hint="default"/>
        <w:lang w:val="zh-CN" w:eastAsia="zh-CN" w:bidi="zh-CN"/>
      </w:rPr>
    </w:lvl>
    <w:lvl w:ilvl="8" w:tentative="0">
      <w:start w:val="0"/>
      <w:numFmt w:val="bullet"/>
      <w:lvlText w:val="•"/>
      <w:lvlJc w:val="left"/>
      <w:pPr>
        <w:ind w:left="8056" w:hanging="601"/>
      </w:pPr>
      <w:rPr>
        <w:rFonts w:hint="default"/>
        <w:lang w:val="zh-CN" w:eastAsia="zh-CN" w:bidi="zh-CN"/>
      </w:rPr>
    </w:lvl>
  </w:abstractNum>
  <w:abstractNum w:abstractNumId="14">
    <w:nsid w:val="9C8AC8EF"/>
    <w:multiLevelType w:val="multilevel"/>
    <w:tmpl w:val="9C8AC8EF"/>
    <w:lvl w:ilvl="0" w:tentative="0">
      <w:start w:val="1"/>
      <w:numFmt w:val="decimal"/>
      <w:lvlText w:val="（%1）"/>
      <w:lvlJc w:val="left"/>
      <w:pPr>
        <w:ind w:left="2121" w:hanging="601"/>
        <w:jc w:val="left"/>
      </w:pPr>
      <w:rPr>
        <w:rFonts w:hint="default" w:ascii="宋体" w:hAnsi="宋体" w:eastAsia="宋体" w:cs="宋体"/>
        <w:spacing w:val="-60"/>
        <w:w w:val="100"/>
        <w:position w:val="2"/>
        <w:sz w:val="22"/>
        <w:szCs w:val="22"/>
        <w:lang w:val="zh-CN" w:eastAsia="zh-CN" w:bidi="zh-CN"/>
      </w:rPr>
    </w:lvl>
    <w:lvl w:ilvl="1" w:tentative="0">
      <w:start w:val="0"/>
      <w:numFmt w:val="bullet"/>
      <w:lvlText w:val="•"/>
      <w:lvlJc w:val="left"/>
      <w:pPr>
        <w:ind w:left="2950" w:hanging="601"/>
      </w:pPr>
      <w:rPr>
        <w:rFonts w:hint="default"/>
        <w:lang w:val="zh-CN" w:eastAsia="zh-CN" w:bidi="zh-CN"/>
      </w:rPr>
    </w:lvl>
    <w:lvl w:ilvl="2" w:tentative="0">
      <w:start w:val="0"/>
      <w:numFmt w:val="bullet"/>
      <w:lvlText w:val="•"/>
      <w:lvlJc w:val="left"/>
      <w:pPr>
        <w:ind w:left="3781" w:hanging="601"/>
      </w:pPr>
      <w:rPr>
        <w:rFonts w:hint="default"/>
        <w:lang w:val="zh-CN" w:eastAsia="zh-CN" w:bidi="zh-CN"/>
      </w:rPr>
    </w:lvl>
    <w:lvl w:ilvl="3" w:tentative="0">
      <w:start w:val="0"/>
      <w:numFmt w:val="bullet"/>
      <w:lvlText w:val="•"/>
      <w:lvlJc w:val="left"/>
      <w:pPr>
        <w:ind w:left="4611" w:hanging="601"/>
      </w:pPr>
      <w:rPr>
        <w:rFonts w:hint="default"/>
        <w:lang w:val="zh-CN" w:eastAsia="zh-CN" w:bidi="zh-CN"/>
      </w:rPr>
    </w:lvl>
    <w:lvl w:ilvl="4" w:tentative="0">
      <w:start w:val="0"/>
      <w:numFmt w:val="bullet"/>
      <w:lvlText w:val="•"/>
      <w:lvlJc w:val="left"/>
      <w:pPr>
        <w:ind w:left="5442" w:hanging="601"/>
      </w:pPr>
      <w:rPr>
        <w:rFonts w:hint="default"/>
        <w:lang w:val="zh-CN" w:eastAsia="zh-CN" w:bidi="zh-CN"/>
      </w:rPr>
    </w:lvl>
    <w:lvl w:ilvl="5" w:tentative="0">
      <w:start w:val="0"/>
      <w:numFmt w:val="bullet"/>
      <w:lvlText w:val="•"/>
      <w:lvlJc w:val="left"/>
      <w:pPr>
        <w:ind w:left="6273" w:hanging="601"/>
      </w:pPr>
      <w:rPr>
        <w:rFonts w:hint="default"/>
        <w:lang w:val="zh-CN" w:eastAsia="zh-CN" w:bidi="zh-CN"/>
      </w:rPr>
    </w:lvl>
    <w:lvl w:ilvl="6" w:tentative="0">
      <w:start w:val="0"/>
      <w:numFmt w:val="bullet"/>
      <w:lvlText w:val="•"/>
      <w:lvlJc w:val="left"/>
      <w:pPr>
        <w:ind w:left="7103" w:hanging="601"/>
      </w:pPr>
      <w:rPr>
        <w:rFonts w:hint="default"/>
        <w:lang w:val="zh-CN" w:eastAsia="zh-CN" w:bidi="zh-CN"/>
      </w:rPr>
    </w:lvl>
    <w:lvl w:ilvl="7" w:tentative="0">
      <w:start w:val="0"/>
      <w:numFmt w:val="bullet"/>
      <w:lvlText w:val="•"/>
      <w:lvlJc w:val="left"/>
      <w:pPr>
        <w:ind w:left="7934" w:hanging="601"/>
      </w:pPr>
      <w:rPr>
        <w:rFonts w:hint="default"/>
        <w:lang w:val="zh-CN" w:eastAsia="zh-CN" w:bidi="zh-CN"/>
      </w:rPr>
    </w:lvl>
    <w:lvl w:ilvl="8" w:tentative="0">
      <w:start w:val="0"/>
      <w:numFmt w:val="bullet"/>
      <w:lvlText w:val="•"/>
      <w:lvlJc w:val="left"/>
      <w:pPr>
        <w:ind w:left="8764" w:hanging="601"/>
      </w:pPr>
      <w:rPr>
        <w:rFonts w:hint="default"/>
        <w:lang w:val="zh-CN" w:eastAsia="zh-CN" w:bidi="zh-CN"/>
      </w:rPr>
    </w:lvl>
  </w:abstractNum>
  <w:abstractNum w:abstractNumId="15">
    <w:nsid w:val="9D5D7490"/>
    <w:multiLevelType w:val="multilevel"/>
    <w:tmpl w:val="9D5D7490"/>
    <w:lvl w:ilvl="0" w:tentative="0">
      <w:start w:val="1"/>
      <w:numFmt w:val="decimal"/>
      <w:lvlText w:val="%1."/>
      <w:lvlJc w:val="left"/>
      <w:pPr>
        <w:ind w:left="270"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833" w:hanging="159"/>
      </w:pPr>
      <w:rPr>
        <w:rFonts w:hint="default"/>
        <w:lang w:val="zh-CN" w:eastAsia="zh-CN" w:bidi="zh-CN"/>
      </w:rPr>
    </w:lvl>
    <w:lvl w:ilvl="2" w:tentative="0">
      <w:start w:val="0"/>
      <w:numFmt w:val="bullet"/>
      <w:lvlText w:val="•"/>
      <w:lvlJc w:val="left"/>
      <w:pPr>
        <w:ind w:left="1387" w:hanging="159"/>
      </w:pPr>
      <w:rPr>
        <w:rFonts w:hint="default"/>
        <w:lang w:val="zh-CN" w:eastAsia="zh-CN" w:bidi="zh-CN"/>
      </w:rPr>
    </w:lvl>
    <w:lvl w:ilvl="3" w:tentative="0">
      <w:start w:val="0"/>
      <w:numFmt w:val="bullet"/>
      <w:lvlText w:val="•"/>
      <w:lvlJc w:val="left"/>
      <w:pPr>
        <w:ind w:left="1941" w:hanging="159"/>
      </w:pPr>
      <w:rPr>
        <w:rFonts w:hint="default"/>
        <w:lang w:val="zh-CN" w:eastAsia="zh-CN" w:bidi="zh-CN"/>
      </w:rPr>
    </w:lvl>
    <w:lvl w:ilvl="4" w:tentative="0">
      <w:start w:val="0"/>
      <w:numFmt w:val="bullet"/>
      <w:lvlText w:val="•"/>
      <w:lvlJc w:val="left"/>
      <w:pPr>
        <w:ind w:left="2494" w:hanging="159"/>
      </w:pPr>
      <w:rPr>
        <w:rFonts w:hint="default"/>
        <w:lang w:val="zh-CN" w:eastAsia="zh-CN" w:bidi="zh-CN"/>
      </w:rPr>
    </w:lvl>
    <w:lvl w:ilvl="5" w:tentative="0">
      <w:start w:val="0"/>
      <w:numFmt w:val="bullet"/>
      <w:lvlText w:val="•"/>
      <w:lvlJc w:val="left"/>
      <w:pPr>
        <w:ind w:left="3048" w:hanging="159"/>
      </w:pPr>
      <w:rPr>
        <w:rFonts w:hint="default"/>
        <w:lang w:val="zh-CN" w:eastAsia="zh-CN" w:bidi="zh-CN"/>
      </w:rPr>
    </w:lvl>
    <w:lvl w:ilvl="6" w:tentative="0">
      <w:start w:val="0"/>
      <w:numFmt w:val="bullet"/>
      <w:lvlText w:val="•"/>
      <w:lvlJc w:val="left"/>
      <w:pPr>
        <w:ind w:left="3602" w:hanging="159"/>
      </w:pPr>
      <w:rPr>
        <w:rFonts w:hint="default"/>
        <w:lang w:val="zh-CN" w:eastAsia="zh-CN" w:bidi="zh-CN"/>
      </w:rPr>
    </w:lvl>
    <w:lvl w:ilvl="7" w:tentative="0">
      <w:start w:val="0"/>
      <w:numFmt w:val="bullet"/>
      <w:lvlText w:val="•"/>
      <w:lvlJc w:val="left"/>
      <w:pPr>
        <w:ind w:left="4155" w:hanging="159"/>
      </w:pPr>
      <w:rPr>
        <w:rFonts w:hint="default"/>
        <w:lang w:val="zh-CN" w:eastAsia="zh-CN" w:bidi="zh-CN"/>
      </w:rPr>
    </w:lvl>
    <w:lvl w:ilvl="8" w:tentative="0">
      <w:start w:val="0"/>
      <w:numFmt w:val="bullet"/>
      <w:lvlText w:val="•"/>
      <w:lvlJc w:val="left"/>
      <w:pPr>
        <w:ind w:left="4709" w:hanging="159"/>
      </w:pPr>
      <w:rPr>
        <w:rFonts w:hint="default"/>
        <w:lang w:val="zh-CN" w:eastAsia="zh-CN" w:bidi="zh-CN"/>
      </w:rPr>
    </w:lvl>
  </w:abstractNum>
  <w:abstractNum w:abstractNumId="16">
    <w:nsid w:val="9F81B9F9"/>
    <w:multiLevelType w:val="multilevel"/>
    <w:tmpl w:val="9F81B9F9"/>
    <w:lvl w:ilvl="0" w:tentative="0">
      <w:start w:val="1"/>
      <w:numFmt w:val="decimal"/>
      <w:lvlText w:val="(%1)"/>
      <w:lvlJc w:val="left"/>
      <w:pPr>
        <w:ind w:left="1100" w:hanging="281"/>
        <w:jc w:val="right"/>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1964" w:hanging="281"/>
      </w:pPr>
      <w:rPr>
        <w:rFonts w:hint="default"/>
        <w:lang w:val="zh-CN" w:eastAsia="zh-CN" w:bidi="zh-CN"/>
      </w:rPr>
    </w:lvl>
    <w:lvl w:ilvl="2" w:tentative="0">
      <w:start w:val="0"/>
      <w:numFmt w:val="bullet"/>
      <w:lvlText w:val="•"/>
      <w:lvlJc w:val="left"/>
      <w:pPr>
        <w:ind w:left="2829" w:hanging="281"/>
      </w:pPr>
      <w:rPr>
        <w:rFonts w:hint="default"/>
        <w:lang w:val="zh-CN" w:eastAsia="zh-CN" w:bidi="zh-CN"/>
      </w:rPr>
    </w:lvl>
    <w:lvl w:ilvl="3" w:tentative="0">
      <w:start w:val="0"/>
      <w:numFmt w:val="bullet"/>
      <w:lvlText w:val="•"/>
      <w:lvlJc w:val="left"/>
      <w:pPr>
        <w:ind w:left="3693" w:hanging="281"/>
      </w:pPr>
      <w:rPr>
        <w:rFonts w:hint="default"/>
        <w:lang w:val="zh-CN" w:eastAsia="zh-CN" w:bidi="zh-CN"/>
      </w:rPr>
    </w:lvl>
    <w:lvl w:ilvl="4" w:tentative="0">
      <w:start w:val="0"/>
      <w:numFmt w:val="bullet"/>
      <w:lvlText w:val="•"/>
      <w:lvlJc w:val="left"/>
      <w:pPr>
        <w:ind w:left="4558" w:hanging="281"/>
      </w:pPr>
      <w:rPr>
        <w:rFonts w:hint="default"/>
        <w:lang w:val="zh-CN" w:eastAsia="zh-CN" w:bidi="zh-CN"/>
      </w:rPr>
    </w:lvl>
    <w:lvl w:ilvl="5" w:tentative="0">
      <w:start w:val="0"/>
      <w:numFmt w:val="bullet"/>
      <w:lvlText w:val="•"/>
      <w:lvlJc w:val="left"/>
      <w:pPr>
        <w:ind w:left="5423" w:hanging="281"/>
      </w:pPr>
      <w:rPr>
        <w:rFonts w:hint="default"/>
        <w:lang w:val="zh-CN" w:eastAsia="zh-CN" w:bidi="zh-CN"/>
      </w:rPr>
    </w:lvl>
    <w:lvl w:ilvl="6" w:tentative="0">
      <w:start w:val="0"/>
      <w:numFmt w:val="bullet"/>
      <w:lvlText w:val="•"/>
      <w:lvlJc w:val="left"/>
      <w:pPr>
        <w:ind w:left="6287" w:hanging="281"/>
      </w:pPr>
      <w:rPr>
        <w:rFonts w:hint="default"/>
        <w:lang w:val="zh-CN" w:eastAsia="zh-CN" w:bidi="zh-CN"/>
      </w:rPr>
    </w:lvl>
    <w:lvl w:ilvl="7" w:tentative="0">
      <w:start w:val="0"/>
      <w:numFmt w:val="bullet"/>
      <w:lvlText w:val="•"/>
      <w:lvlJc w:val="left"/>
      <w:pPr>
        <w:ind w:left="7152" w:hanging="281"/>
      </w:pPr>
      <w:rPr>
        <w:rFonts w:hint="default"/>
        <w:lang w:val="zh-CN" w:eastAsia="zh-CN" w:bidi="zh-CN"/>
      </w:rPr>
    </w:lvl>
    <w:lvl w:ilvl="8" w:tentative="0">
      <w:start w:val="0"/>
      <w:numFmt w:val="bullet"/>
      <w:lvlText w:val="•"/>
      <w:lvlJc w:val="left"/>
      <w:pPr>
        <w:ind w:left="8016" w:hanging="281"/>
      </w:pPr>
      <w:rPr>
        <w:rFonts w:hint="default"/>
        <w:lang w:val="zh-CN" w:eastAsia="zh-CN" w:bidi="zh-CN"/>
      </w:rPr>
    </w:lvl>
  </w:abstractNum>
  <w:abstractNum w:abstractNumId="17">
    <w:nsid w:val="A0C93552"/>
    <w:multiLevelType w:val="multilevel"/>
    <w:tmpl w:val="A0C93552"/>
    <w:lvl w:ilvl="0" w:tentative="0">
      <w:start w:val="9"/>
      <w:numFmt w:val="decimal"/>
      <w:lvlText w:val="%1"/>
      <w:lvlJc w:val="left"/>
      <w:pPr>
        <w:ind w:left="3347" w:hanging="2984"/>
        <w:jc w:val="left"/>
      </w:pPr>
      <w:rPr>
        <w:rFonts w:hint="default" w:ascii="Times New Roman" w:hAnsi="Times New Roman" w:eastAsia="Times New Roman" w:cs="Times New Roman"/>
        <w:w w:val="99"/>
        <w:sz w:val="21"/>
        <w:szCs w:val="21"/>
        <w:lang w:val="zh-CN" w:eastAsia="zh-CN" w:bidi="zh-CN"/>
      </w:rPr>
    </w:lvl>
    <w:lvl w:ilvl="1" w:tentative="0">
      <w:start w:val="0"/>
      <w:numFmt w:val="bullet"/>
      <w:lvlText w:val="•"/>
      <w:lvlJc w:val="left"/>
      <w:pPr>
        <w:ind w:left="3428" w:hanging="2984"/>
      </w:pPr>
      <w:rPr>
        <w:rFonts w:hint="default"/>
        <w:lang w:val="zh-CN" w:eastAsia="zh-CN" w:bidi="zh-CN"/>
      </w:rPr>
    </w:lvl>
    <w:lvl w:ilvl="2" w:tentative="0">
      <w:start w:val="0"/>
      <w:numFmt w:val="bullet"/>
      <w:lvlText w:val="•"/>
      <w:lvlJc w:val="left"/>
      <w:pPr>
        <w:ind w:left="3517" w:hanging="2984"/>
      </w:pPr>
      <w:rPr>
        <w:rFonts w:hint="default"/>
        <w:lang w:val="zh-CN" w:eastAsia="zh-CN" w:bidi="zh-CN"/>
      </w:rPr>
    </w:lvl>
    <w:lvl w:ilvl="3" w:tentative="0">
      <w:start w:val="0"/>
      <w:numFmt w:val="bullet"/>
      <w:lvlText w:val="•"/>
      <w:lvlJc w:val="left"/>
      <w:pPr>
        <w:ind w:left="3605" w:hanging="2984"/>
      </w:pPr>
      <w:rPr>
        <w:rFonts w:hint="default"/>
        <w:lang w:val="zh-CN" w:eastAsia="zh-CN" w:bidi="zh-CN"/>
      </w:rPr>
    </w:lvl>
    <w:lvl w:ilvl="4" w:tentative="0">
      <w:start w:val="0"/>
      <w:numFmt w:val="bullet"/>
      <w:lvlText w:val="•"/>
      <w:lvlJc w:val="left"/>
      <w:pPr>
        <w:ind w:left="3693" w:hanging="2984"/>
      </w:pPr>
      <w:rPr>
        <w:rFonts w:hint="default"/>
        <w:lang w:val="zh-CN" w:eastAsia="zh-CN" w:bidi="zh-CN"/>
      </w:rPr>
    </w:lvl>
    <w:lvl w:ilvl="5" w:tentative="0">
      <w:start w:val="0"/>
      <w:numFmt w:val="bullet"/>
      <w:lvlText w:val="•"/>
      <w:lvlJc w:val="left"/>
      <w:pPr>
        <w:ind w:left="3782" w:hanging="2984"/>
      </w:pPr>
      <w:rPr>
        <w:rFonts w:hint="default"/>
        <w:lang w:val="zh-CN" w:eastAsia="zh-CN" w:bidi="zh-CN"/>
      </w:rPr>
    </w:lvl>
    <w:lvl w:ilvl="6" w:tentative="0">
      <w:start w:val="0"/>
      <w:numFmt w:val="bullet"/>
      <w:lvlText w:val="•"/>
      <w:lvlJc w:val="left"/>
      <w:pPr>
        <w:ind w:left="3870" w:hanging="2984"/>
      </w:pPr>
      <w:rPr>
        <w:rFonts w:hint="default"/>
        <w:lang w:val="zh-CN" w:eastAsia="zh-CN" w:bidi="zh-CN"/>
      </w:rPr>
    </w:lvl>
    <w:lvl w:ilvl="7" w:tentative="0">
      <w:start w:val="0"/>
      <w:numFmt w:val="bullet"/>
      <w:lvlText w:val="•"/>
      <w:lvlJc w:val="left"/>
      <w:pPr>
        <w:ind w:left="3959" w:hanging="2984"/>
      </w:pPr>
      <w:rPr>
        <w:rFonts w:hint="default"/>
        <w:lang w:val="zh-CN" w:eastAsia="zh-CN" w:bidi="zh-CN"/>
      </w:rPr>
    </w:lvl>
    <w:lvl w:ilvl="8" w:tentative="0">
      <w:start w:val="0"/>
      <w:numFmt w:val="bullet"/>
      <w:lvlText w:val="•"/>
      <w:lvlJc w:val="left"/>
      <w:pPr>
        <w:ind w:left="4047" w:hanging="2984"/>
      </w:pPr>
      <w:rPr>
        <w:rFonts w:hint="default"/>
        <w:lang w:val="zh-CN" w:eastAsia="zh-CN" w:bidi="zh-CN"/>
      </w:rPr>
    </w:lvl>
  </w:abstractNum>
  <w:abstractNum w:abstractNumId="18">
    <w:nsid w:val="A0F05207"/>
    <w:multiLevelType w:val="multilevel"/>
    <w:tmpl w:val="A0F05207"/>
    <w:lvl w:ilvl="0" w:tentative="0">
      <w:start w:val="1"/>
      <w:numFmt w:val="decimal"/>
      <w:lvlText w:val="（%1）"/>
      <w:lvlJc w:val="left"/>
      <w:pPr>
        <w:ind w:left="216" w:hanging="601"/>
        <w:jc w:val="left"/>
      </w:pPr>
      <w:rPr>
        <w:rFonts w:hint="default" w:ascii="宋体" w:hAnsi="宋体" w:eastAsia="宋体" w:cs="宋体"/>
        <w:spacing w:val="-36"/>
        <w:w w:val="100"/>
        <w:sz w:val="22"/>
        <w:szCs w:val="22"/>
        <w:lang w:val="zh-CN" w:eastAsia="zh-CN" w:bidi="zh-CN"/>
      </w:rPr>
    </w:lvl>
    <w:lvl w:ilvl="1" w:tentative="0">
      <w:start w:val="0"/>
      <w:numFmt w:val="bullet"/>
      <w:lvlText w:val="•"/>
      <w:lvlJc w:val="left"/>
      <w:pPr>
        <w:ind w:left="1190" w:hanging="601"/>
      </w:pPr>
      <w:rPr>
        <w:rFonts w:hint="default"/>
        <w:lang w:val="zh-CN" w:eastAsia="zh-CN" w:bidi="zh-CN"/>
      </w:rPr>
    </w:lvl>
    <w:lvl w:ilvl="2" w:tentative="0">
      <w:start w:val="0"/>
      <w:numFmt w:val="bullet"/>
      <w:lvlText w:val="•"/>
      <w:lvlJc w:val="left"/>
      <w:pPr>
        <w:ind w:left="2161" w:hanging="601"/>
      </w:pPr>
      <w:rPr>
        <w:rFonts w:hint="default"/>
        <w:lang w:val="zh-CN" w:eastAsia="zh-CN" w:bidi="zh-CN"/>
      </w:rPr>
    </w:lvl>
    <w:lvl w:ilvl="3" w:tentative="0">
      <w:start w:val="0"/>
      <w:numFmt w:val="bullet"/>
      <w:lvlText w:val="•"/>
      <w:lvlJc w:val="left"/>
      <w:pPr>
        <w:ind w:left="3131" w:hanging="601"/>
      </w:pPr>
      <w:rPr>
        <w:rFonts w:hint="default"/>
        <w:lang w:val="zh-CN" w:eastAsia="zh-CN" w:bidi="zh-CN"/>
      </w:rPr>
    </w:lvl>
    <w:lvl w:ilvl="4" w:tentative="0">
      <w:start w:val="0"/>
      <w:numFmt w:val="bullet"/>
      <w:lvlText w:val="•"/>
      <w:lvlJc w:val="left"/>
      <w:pPr>
        <w:ind w:left="4102" w:hanging="601"/>
      </w:pPr>
      <w:rPr>
        <w:rFonts w:hint="default"/>
        <w:lang w:val="zh-CN" w:eastAsia="zh-CN" w:bidi="zh-CN"/>
      </w:rPr>
    </w:lvl>
    <w:lvl w:ilvl="5" w:tentative="0">
      <w:start w:val="0"/>
      <w:numFmt w:val="bullet"/>
      <w:lvlText w:val="•"/>
      <w:lvlJc w:val="left"/>
      <w:pPr>
        <w:ind w:left="5073" w:hanging="601"/>
      </w:pPr>
      <w:rPr>
        <w:rFonts w:hint="default"/>
        <w:lang w:val="zh-CN" w:eastAsia="zh-CN" w:bidi="zh-CN"/>
      </w:rPr>
    </w:lvl>
    <w:lvl w:ilvl="6" w:tentative="0">
      <w:start w:val="0"/>
      <w:numFmt w:val="bullet"/>
      <w:lvlText w:val="•"/>
      <w:lvlJc w:val="left"/>
      <w:pPr>
        <w:ind w:left="6043" w:hanging="601"/>
      </w:pPr>
      <w:rPr>
        <w:rFonts w:hint="default"/>
        <w:lang w:val="zh-CN" w:eastAsia="zh-CN" w:bidi="zh-CN"/>
      </w:rPr>
    </w:lvl>
    <w:lvl w:ilvl="7" w:tentative="0">
      <w:start w:val="0"/>
      <w:numFmt w:val="bullet"/>
      <w:lvlText w:val="•"/>
      <w:lvlJc w:val="left"/>
      <w:pPr>
        <w:ind w:left="7014" w:hanging="601"/>
      </w:pPr>
      <w:rPr>
        <w:rFonts w:hint="default"/>
        <w:lang w:val="zh-CN" w:eastAsia="zh-CN" w:bidi="zh-CN"/>
      </w:rPr>
    </w:lvl>
    <w:lvl w:ilvl="8" w:tentative="0">
      <w:start w:val="0"/>
      <w:numFmt w:val="bullet"/>
      <w:lvlText w:val="•"/>
      <w:lvlJc w:val="left"/>
      <w:pPr>
        <w:ind w:left="7984" w:hanging="601"/>
      </w:pPr>
      <w:rPr>
        <w:rFonts w:hint="default"/>
        <w:lang w:val="zh-CN" w:eastAsia="zh-CN" w:bidi="zh-CN"/>
      </w:rPr>
    </w:lvl>
  </w:abstractNum>
  <w:abstractNum w:abstractNumId="19">
    <w:nsid w:val="A9AC3AA7"/>
    <w:multiLevelType w:val="multilevel"/>
    <w:tmpl w:val="A9AC3AA7"/>
    <w:lvl w:ilvl="0" w:tentative="0">
      <w:start w:val="1"/>
      <w:numFmt w:val="decimal"/>
      <w:lvlText w:val="（%1）"/>
      <w:lvlJc w:val="left"/>
      <w:pPr>
        <w:ind w:left="220" w:hanging="601"/>
        <w:jc w:val="left"/>
      </w:pPr>
      <w:rPr>
        <w:rFonts w:hint="default" w:ascii="宋体" w:hAnsi="宋体" w:eastAsia="宋体" w:cs="宋体"/>
        <w:spacing w:val="-20"/>
        <w:w w:val="100"/>
        <w:sz w:val="22"/>
        <w:szCs w:val="22"/>
        <w:lang w:val="zh-CN" w:eastAsia="zh-CN" w:bidi="zh-CN"/>
      </w:rPr>
    </w:lvl>
    <w:lvl w:ilvl="1" w:tentative="0">
      <w:start w:val="0"/>
      <w:numFmt w:val="bullet"/>
      <w:lvlText w:val="•"/>
      <w:lvlJc w:val="left"/>
      <w:pPr>
        <w:ind w:left="1172" w:hanging="601"/>
      </w:pPr>
      <w:rPr>
        <w:rFonts w:hint="default"/>
        <w:lang w:val="zh-CN" w:eastAsia="zh-CN" w:bidi="zh-CN"/>
      </w:rPr>
    </w:lvl>
    <w:lvl w:ilvl="2" w:tentative="0">
      <w:start w:val="0"/>
      <w:numFmt w:val="bullet"/>
      <w:lvlText w:val="•"/>
      <w:lvlJc w:val="left"/>
      <w:pPr>
        <w:ind w:left="2125" w:hanging="601"/>
      </w:pPr>
      <w:rPr>
        <w:rFonts w:hint="default"/>
        <w:lang w:val="zh-CN" w:eastAsia="zh-CN" w:bidi="zh-CN"/>
      </w:rPr>
    </w:lvl>
    <w:lvl w:ilvl="3" w:tentative="0">
      <w:start w:val="0"/>
      <w:numFmt w:val="bullet"/>
      <w:lvlText w:val="•"/>
      <w:lvlJc w:val="left"/>
      <w:pPr>
        <w:ind w:left="3077" w:hanging="601"/>
      </w:pPr>
      <w:rPr>
        <w:rFonts w:hint="default"/>
        <w:lang w:val="zh-CN" w:eastAsia="zh-CN" w:bidi="zh-CN"/>
      </w:rPr>
    </w:lvl>
    <w:lvl w:ilvl="4" w:tentative="0">
      <w:start w:val="0"/>
      <w:numFmt w:val="bullet"/>
      <w:lvlText w:val="•"/>
      <w:lvlJc w:val="left"/>
      <w:pPr>
        <w:ind w:left="4030" w:hanging="601"/>
      </w:pPr>
      <w:rPr>
        <w:rFonts w:hint="default"/>
        <w:lang w:val="zh-CN" w:eastAsia="zh-CN" w:bidi="zh-CN"/>
      </w:rPr>
    </w:lvl>
    <w:lvl w:ilvl="5" w:tentative="0">
      <w:start w:val="0"/>
      <w:numFmt w:val="bullet"/>
      <w:lvlText w:val="•"/>
      <w:lvlJc w:val="left"/>
      <w:pPr>
        <w:ind w:left="4983" w:hanging="601"/>
      </w:pPr>
      <w:rPr>
        <w:rFonts w:hint="default"/>
        <w:lang w:val="zh-CN" w:eastAsia="zh-CN" w:bidi="zh-CN"/>
      </w:rPr>
    </w:lvl>
    <w:lvl w:ilvl="6" w:tentative="0">
      <w:start w:val="0"/>
      <w:numFmt w:val="bullet"/>
      <w:lvlText w:val="•"/>
      <w:lvlJc w:val="left"/>
      <w:pPr>
        <w:ind w:left="5935" w:hanging="601"/>
      </w:pPr>
      <w:rPr>
        <w:rFonts w:hint="default"/>
        <w:lang w:val="zh-CN" w:eastAsia="zh-CN" w:bidi="zh-CN"/>
      </w:rPr>
    </w:lvl>
    <w:lvl w:ilvl="7" w:tentative="0">
      <w:start w:val="0"/>
      <w:numFmt w:val="bullet"/>
      <w:lvlText w:val="•"/>
      <w:lvlJc w:val="left"/>
      <w:pPr>
        <w:ind w:left="6888" w:hanging="601"/>
      </w:pPr>
      <w:rPr>
        <w:rFonts w:hint="default"/>
        <w:lang w:val="zh-CN" w:eastAsia="zh-CN" w:bidi="zh-CN"/>
      </w:rPr>
    </w:lvl>
    <w:lvl w:ilvl="8" w:tentative="0">
      <w:start w:val="0"/>
      <w:numFmt w:val="bullet"/>
      <w:lvlText w:val="•"/>
      <w:lvlJc w:val="left"/>
      <w:pPr>
        <w:ind w:left="7840" w:hanging="601"/>
      </w:pPr>
      <w:rPr>
        <w:rFonts w:hint="default"/>
        <w:lang w:val="zh-CN" w:eastAsia="zh-CN" w:bidi="zh-CN"/>
      </w:rPr>
    </w:lvl>
  </w:abstractNum>
  <w:abstractNum w:abstractNumId="20">
    <w:nsid w:val="AAF3F3FA"/>
    <w:multiLevelType w:val="multilevel"/>
    <w:tmpl w:val="AAF3F3FA"/>
    <w:lvl w:ilvl="0" w:tentative="0">
      <w:start w:val="1"/>
      <w:numFmt w:val="decimal"/>
      <w:lvlText w:val="%1."/>
      <w:lvlJc w:val="left"/>
      <w:pPr>
        <w:ind w:left="270" w:hanging="159"/>
        <w:jc w:val="left"/>
      </w:pPr>
      <w:rPr>
        <w:rFonts w:hint="default" w:ascii="Times New Roman" w:hAnsi="Times New Roman" w:eastAsia="Times New Roman" w:cs="Times New Roman"/>
        <w:spacing w:val="0"/>
        <w:w w:val="99"/>
        <w:position w:val="2"/>
        <w:sz w:val="19"/>
        <w:szCs w:val="19"/>
        <w:lang w:val="zh-CN" w:eastAsia="zh-CN" w:bidi="zh-CN"/>
      </w:rPr>
    </w:lvl>
    <w:lvl w:ilvl="1" w:tentative="0">
      <w:start w:val="0"/>
      <w:numFmt w:val="bullet"/>
      <w:lvlText w:val="•"/>
      <w:lvlJc w:val="left"/>
      <w:pPr>
        <w:ind w:left="833" w:hanging="159"/>
      </w:pPr>
      <w:rPr>
        <w:rFonts w:hint="default"/>
        <w:lang w:val="zh-CN" w:eastAsia="zh-CN" w:bidi="zh-CN"/>
      </w:rPr>
    </w:lvl>
    <w:lvl w:ilvl="2" w:tentative="0">
      <w:start w:val="0"/>
      <w:numFmt w:val="bullet"/>
      <w:lvlText w:val="•"/>
      <w:lvlJc w:val="left"/>
      <w:pPr>
        <w:ind w:left="1387" w:hanging="159"/>
      </w:pPr>
      <w:rPr>
        <w:rFonts w:hint="default"/>
        <w:lang w:val="zh-CN" w:eastAsia="zh-CN" w:bidi="zh-CN"/>
      </w:rPr>
    </w:lvl>
    <w:lvl w:ilvl="3" w:tentative="0">
      <w:start w:val="0"/>
      <w:numFmt w:val="bullet"/>
      <w:lvlText w:val="•"/>
      <w:lvlJc w:val="left"/>
      <w:pPr>
        <w:ind w:left="1941" w:hanging="159"/>
      </w:pPr>
      <w:rPr>
        <w:rFonts w:hint="default"/>
        <w:lang w:val="zh-CN" w:eastAsia="zh-CN" w:bidi="zh-CN"/>
      </w:rPr>
    </w:lvl>
    <w:lvl w:ilvl="4" w:tentative="0">
      <w:start w:val="0"/>
      <w:numFmt w:val="bullet"/>
      <w:lvlText w:val="•"/>
      <w:lvlJc w:val="left"/>
      <w:pPr>
        <w:ind w:left="2494" w:hanging="159"/>
      </w:pPr>
      <w:rPr>
        <w:rFonts w:hint="default"/>
        <w:lang w:val="zh-CN" w:eastAsia="zh-CN" w:bidi="zh-CN"/>
      </w:rPr>
    </w:lvl>
    <w:lvl w:ilvl="5" w:tentative="0">
      <w:start w:val="0"/>
      <w:numFmt w:val="bullet"/>
      <w:lvlText w:val="•"/>
      <w:lvlJc w:val="left"/>
      <w:pPr>
        <w:ind w:left="3048" w:hanging="159"/>
      </w:pPr>
      <w:rPr>
        <w:rFonts w:hint="default"/>
        <w:lang w:val="zh-CN" w:eastAsia="zh-CN" w:bidi="zh-CN"/>
      </w:rPr>
    </w:lvl>
    <w:lvl w:ilvl="6" w:tentative="0">
      <w:start w:val="0"/>
      <w:numFmt w:val="bullet"/>
      <w:lvlText w:val="•"/>
      <w:lvlJc w:val="left"/>
      <w:pPr>
        <w:ind w:left="3602" w:hanging="159"/>
      </w:pPr>
      <w:rPr>
        <w:rFonts w:hint="default"/>
        <w:lang w:val="zh-CN" w:eastAsia="zh-CN" w:bidi="zh-CN"/>
      </w:rPr>
    </w:lvl>
    <w:lvl w:ilvl="7" w:tentative="0">
      <w:start w:val="0"/>
      <w:numFmt w:val="bullet"/>
      <w:lvlText w:val="•"/>
      <w:lvlJc w:val="left"/>
      <w:pPr>
        <w:ind w:left="4155" w:hanging="159"/>
      </w:pPr>
      <w:rPr>
        <w:rFonts w:hint="default"/>
        <w:lang w:val="zh-CN" w:eastAsia="zh-CN" w:bidi="zh-CN"/>
      </w:rPr>
    </w:lvl>
    <w:lvl w:ilvl="8" w:tentative="0">
      <w:start w:val="0"/>
      <w:numFmt w:val="bullet"/>
      <w:lvlText w:val="•"/>
      <w:lvlJc w:val="left"/>
      <w:pPr>
        <w:ind w:left="4709" w:hanging="159"/>
      </w:pPr>
      <w:rPr>
        <w:rFonts w:hint="default"/>
        <w:lang w:val="zh-CN" w:eastAsia="zh-CN" w:bidi="zh-CN"/>
      </w:rPr>
    </w:lvl>
  </w:abstractNum>
  <w:abstractNum w:abstractNumId="21">
    <w:nsid w:val="B0ED9BEA"/>
    <w:multiLevelType w:val="multilevel"/>
    <w:tmpl w:val="B0ED9BEA"/>
    <w:lvl w:ilvl="0" w:tentative="0">
      <w:start w:val="3"/>
      <w:numFmt w:val="decimal"/>
      <w:lvlText w:val="%1."/>
      <w:lvlJc w:val="left"/>
      <w:pPr>
        <w:ind w:left="270"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833" w:hanging="159"/>
      </w:pPr>
      <w:rPr>
        <w:rFonts w:hint="default"/>
        <w:lang w:val="zh-CN" w:eastAsia="zh-CN" w:bidi="zh-CN"/>
      </w:rPr>
    </w:lvl>
    <w:lvl w:ilvl="2" w:tentative="0">
      <w:start w:val="0"/>
      <w:numFmt w:val="bullet"/>
      <w:lvlText w:val="•"/>
      <w:lvlJc w:val="left"/>
      <w:pPr>
        <w:ind w:left="1387" w:hanging="159"/>
      </w:pPr>
      <w:rPr>
        <w:rFonts w:hint="default"/>
        <w:lang w:val="zh-CN" w:eastAsia="zh-CN" w:bidi="zh-CN"/>
      </w:rPr>
    </w:lvl>
    <w:lvl w:ilvl="3" w:tentative="0">
      <w:start w:val="0"/>
      <w:numFmt w:val="bullet"/>
      <w:lvlText w:val="•"/>
      <w:lvlJc w:val="left"/>
      <w:pPr>
        <w:ind w:left="1941" w:hanging="159"/>
      </w:pPr>
      <w:rPr>
        <w:rFonts w:hint="default"/>
        <w:lang w:val="zh-CN" w:eastAsia="zh-CN" w:bidi="zh-CN"/>
      </w:rPr>
    </w:lvl>
    <w:lvl w:ilvl="4" w:tentative="0">
      <w:start w:val="0"/>
      <w:numFmt w:val="bullet"/>
      <w:lvlText w:val="•"/>
      <w:lvlJc w:val="left"/>
      <w:pPr>
        <w:ind w:left="2494" w:hanging="159"/>
      </w:pPr>
      <w:rPr>
        <w:rFonts w:hint="default"/>
        <w:lang w:val="zh-CN" w:eastAsia="zh-CN" w:bidi="zh-CN"/>
      </w:rPr>
    </w:lvl>
    <w:lvl w:ilvl="5" w:tentative="0">
      <w:start w:val="0"/>
      <w:numFmt w:val="bullet"/>
      <w:lvlText w:val="•"/>
      <w:lvlJc w:val="left"/>
      <w:pPr>
        <w:ind w:left="3048" w:hanging="159"/>
      </w:pPr>
      <w:rPr>
        <w:rFonts w:hint="default"/>
        <w:lang w:val="zh-CN" w:eastAsia="zh-CN" w:bidi="zh-CN"/>
      </w:rPr>
    </w:lvl>
    <w:lvl w:ilvl="6" w:tentative="0">
      <w:start w:val="0"/>
      <w:numFmt w:val="bullet"/>
      <w:lvlText w:val="•"/>
      <w:lvlJc w:val="left"/>
      <w:pPr>
        <w:ind w:left="3602" w:hanging="159"/>
      </w:pPr>
      <w:rPr>
        <w:rFonts w:hint="default"/>
        <w:lang w:val="zh-CN" w:eastAsia="zh-CN" w:bidi="zh-CN"/>
      </w:rPr>
    </w:lvl>
    <w:lvl w:ilvl="7" w:tentative="0">
      <w:start w:val="0"/>
      <w:numFmt w:val="bullet"/>
      <w:lvlText w:val="•"/>
      <w:lvlJc w:val="left"/>
      <w:pPr>
        <w:ind w:left="4155" w:hanging="159"/>
      </w:pPr>
      <w:rPr>
        <w:rFonts w:hint="default"/>
        <w:lang w:val="zh-CN" w:eastAsia="zh-CN" w:bidi="zh-CN"/>
      </w:rPr>
    </w:lvl>
    <w:lvl w:ilvl="8" w:tentative="0">
      <w:start w:val="0"/>
      <w:numFmt w:val="bullet"/>
      <w:lvlText w:val="•"/>
      <w:lvlJc w:val="left"/>
      <w:pPr>
        <w:ind w:left="4709" w:hanging="159"/>
      </w:pPr>
      <w:rPr>
        <w:rFonts w:hint="default"/>
        <w:lang w:val="zh-CN" w:eastAsia="zh-CN" w:bidi="zh-CN"/>
      </w:rPr>
    </w:lvl>
  </w:abstractNum>
  <w:abstractNum w:abstractNumId="22">
    <w:nsid w:val="B0F1ACD9"/>
    <w:multiLevelType w:val="multilevel"/>
    <w:tmpl w:val="B0F1ACD9"/>
    <w:lvl w:ilvl="0" w:tentative="0">
      <w:start w:val="1"/>
      <w:numFmt w:val="decimal"/>
      <w:lvlText w:val="%1"/>
      <w:lvlJc w:val="left"/>
      <w:pPr>
        <w:ind w:left="1040" w:hanging="423"/>
        <w:jc w:val="left"/>
      </w:pPr>
      <w:rPr>
        <w:rFonts w:hint="default"/>
        <w:lang w:val="zh-CN" w:eastAsia="zh-CN" w:bidi="zh-CN"/>
      </w:rPr>
    </w:lvl>
    <w:lvl w:ilvl="1" w:tentative="0">
      <w:start w:val="80"/>
      <w:numFmt w:val="decimal"/>
      <w:lvlText w:val="%1.%2"/>
      <w:lvlJc w:val="left"/>
      <w:pPr>
        <w:ind w:left="1040" w:hanging="423"/>
        <w:jc w:val="left"/>
      </w:pPr>
      <w:rPr>
        <w:rFonts w:hint="default" w:ascii="Times New Roman" w:hAnsi="Times New Roman" w:eastAsia="Times New Roman" w:cs="Times New Roman"/>
        <w:w w:val="100"/>
        <w:sz w:val="22"/>
        <w:szCs w:val="22"/>
        <w:lang w:val="zh-CN" w:eastAsia="zh-CN" w:bidi="zh-CN"/>
      </w:rPr>
    </w:lvl>
    <w:lvl w:ilvl="2" w:tentative="0">
      <w:start w:val="1"/>
      <w:numFmt w:val="decimal"/>
      <w:lvlText w:val="（%3）"/>
      <w:lvlJc w:val="left"/>
      <w:pPr>
        <w:ind w:left="2121" w:hanging="601"/>
        <w:jc w:val="left"/>
      </w:pPr>
      <w:rPr>
        <w:rFonts w:hint="default" w:ascii="宋体" w:hAnsi="宋体" w:eastAsia="宋体" w:cs="宋体"/>
        <w:w w:val="100"/>
        <w:sz w:val="22"/>
        <w:szCs w:val="22"/>
        <w:lang w:val="zh-CN" w:eastAsia="zh-CN" w:bidi="zh-CN"/>
      </w:rPr>
    </w:lvl>
    <w:lvl w:ilvl="3" w:tentative="0">
      <w:start w:val="0"/>
      <w:numFmt w:val="bullet"/>
      <w:lvlText w:val="•"/>
      <w:lvlJc w:val="left"/>
      <w:pPr>
        <w:ind w:left="3965" w:hanging="601"/>
      </w:pPr>
      <w:rPr>
        <w:rFonts w:hint="default"/>
        <w:lang w:val="zh-CN" w:eastAsia="zh-CN" w:bidi="zh-CN"/>
      </w:rPr>
    </w:lvl>
    <w:lvl w:ilvl="4" w:tentative="0">
      <w:start w:val="0"/>
      <w:numFmt w:val="bullet"/>
      <w:lvlText w:val="•"/>
      <w:lvlJc w:val="left"/>
      <w:pPr>
        <w:ind w:left="4888" w:hanging="601"/>
      </w:pPr>
      <w:rPr>
        <w:rFonts w:hint="default"/>
        <w:lang w:val="zh-CN" w:eastAsia="zh-CN" w:bidi="zh-CN"/>
      </w:rPr>
    </w:lvl>
    <w:lvl w:ilvl="5" w:tentative="0">
      <w:start w:val="0"/>
      <w:numFmt w:val="bullet"/>
      <w:lvlText w:val="•"/>
      <w:lvlJc w:val="left"/>
      <w:pPr>
        <w:ind w:left="5811" w:hanging="601"/>
      </w:pPr>
      <w:rPr>
        <w:rFonts w:hint="default"/>
        <w:lang w:val="zh-CN" w:eastAsia="zh-CN" w:bidi="zh-CN"/>
      </w:rPr>
    </w:lvl>
    <w:lvl w:ilvl="6" w:tentative="0">
      <w:start w:val="0"/>
      <w:numFmt w:val="bullet"/>
      <w:lvlText w:val="•"/>
      <w:lvlJc w:val="left"/>
      <w:pPr>
        <w:ind w:left="6734" w:hanging="601"/>
      </w:pPr>
      <w:rPr>
        <w:rFonts w:hint="default"/>
        <w:lang w:val="zh-CN" w:eastAsia="zh-CN" w:bidi="zh-CN"/>
      </w:rPr>
    </w:lvl>
    <w:lvl w:ilvl="7" w:tentative="0">
      <w:start w:val="0"/>
      <w:numFmt w:val="bullet"/>
      <w:lvlText w:val="•"/>
      <w:lvlJc w:val="left"/>
      <w:pPr>
        <w:ind w:left="7657" w:hanging="601"/>
      </w:pPr>
      <w:rPr>
        <w:rFonts w:hint="default"/>
        <w:lang w:val="zh-CN" w:eastAsia="zh-CN" w:bidi="zh-CN"/>
      </w:rPr>
    </w:lvl>
    <w:lvl w:ilvl="8" w:tentative="0">
      <w:start w:val="0"/>
      <w:numFmt w:val="bullet"/>
      <w:lvlText w:val="•"/>
      <w:lvlJc w:val="left"/>
      <w:pPr>
        <w:ind w:left="8580" w:hanging="601"/>
      </w:pPr>
      <w:rPr>
        <w:rFonts w:hint="default"/>
        <w:lang w:val="zh-CN" w:eastAsia="zh-CN" w:bidi="zh-CN"/>
      </w:rPr>
    </w:lvl>
  </w:abstractNum>
  <w:abstractNum w:abstractNumId="23">
    <w:nsid w:val="B23A94A9"/>
    <w:multiLevelType w:val="multilevel"/>
    <w:tmpl w:val="B23A94A9"/>
    <w:lvl w:ilvl="0" w:tentative="0">
      <w:start w:val="9"/>
      <w:numFmt w:val="decimal"/>
      <w:lvlText w:val="%1"/>
      <w:lvlJc w:val="left"/>
      <w:pPr>
        <w:ind w:left="708" w:hanging="492"/>
        <w:jc w:val="left"/>
      </w:pPr>
      <w:rPr>
        <w:rFonts w:hint="default"/>
        <w:lang w:val="zh-CN" w:eastAsia="zh-CN" w:bidi="zh-CN"/>
      </w:rPr>
    </w:lvl>
    <w:lvl w:ilvl="1" w:tentative="0">
      <w:start w:val="1"/>
      <w:numFmt w:val="decimal"/>
      <w:lvlText w:val="%1.%2"/>
      <w:lvlJc w:val="left"/>
      <w:pPr>
        <w:ind w:left="708" w:hanging="492"/>
        <w:jc w:val="left"/>
      </w:pPr>
      <w:rPr>
        <w:rFonts w:hint="default"/>
        <w:b/>
        <w:bCs/>
        <w:spacing w:val="-1"/>
        <w:w w:val="100"/>
        <w:lang w:val="zh-CN" w:eastAsia="zh-CN" w:bidi="zh-CN"/>
      </w:rPr>
    </w:lvl>
    <w:lvl w:ilvl="2" w:tentative="0">
      <w:start w:val="1"/>
      <w:numFmt w:val="decimal"/>
      <w:lvlText w:val="%1.%2.%3"/>
      <w:lvlJc w:val="left"/>
      <w:pPr>
        <w:ind w:left="916"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1.%2.%3.%4"/>
      <w:lvlJc w:val="left"/>
      <w:pPr>
        <w:ind w:left="936" w:hanging="720"/>
        <w:jc w:val="left"/>
      </w:pPr>
      <w:rPr>
        <w:rFonts w:hint="default" w:ascii="Times New Roman" w:hAnsi="Times New Roman" w:eastAsia="Times New Roman" w:cs="Times New Roman"/>
        <w:b/>
        <w:bCs/>
        <w:w w:val="99"/>
        <w:sz w:val="24"/>
        <w:szCs w:val="24"/>
        <w:lang w:val="zh-CN" w:eastAsia="zh-CN" w:bidi="zh-CN"/>
      </w:rPr>
    </w:lvl>
    <w:lvl w:ilvl="4" w:tentative="0">
      <w:start w:val="0"/>
      <w:numFmt w:val="bullet"/>
      <w:lvlText w:val="•"/>
      <w:lvlJc w:val="left"/>
      <w:pPr>
        <w:ind w:left="1000" w:hanging="720"/>
      </w:pPr>
      <w:rPr>
        <w:rFonts w:hint="default"/>
        <w:lang w:val="zh-CN" w:eastAsia="zh-CN" w:bidi="zh-CN"/>
      </w:rPr>
    </w:lvl>
    <w:lvl w:ilvl="5" w:tentative="0">
      <w:start w:val="0"/>
      <w:numFmt w:val="bullet"/>
      <w:lvlText w:val="•"/>
      <w:lvlJc w:val="left"/>
      <w:pPr>
        <w:ind w:left="2487" w:hanging="720"/>
      </w:pPr>
      <w:rPr>
        <w:rFonts w:hint="default"/>
        <w:lang w:val="zh-CN" w:eastAsia="zh-CN" w:bidi="zh-CN"/>
      </w:rPr>
    </w:lvl>
    <w:lvl w:ilvl="6" w:tentative="0">
      <w:start w:val="0"/>
      <w:numFmt w:val="bullet"/>
      <w:lvlText w:val="•"/>
      <w:lvlJc w:val="left"/>
      <w:pPr>
        <w:ind w:left="3975" w:hanging="720"/>
      </w:pPr>
      <w:rPr>
        <w:rFonts w:hint="default"/>
        <w:lang w:val="zh-CN" w:eastAsia="zh-CN" w:bidi="zh-CN"/>
      </w:rPr>
    </w:lvl>
    <w:lvl w:ilvl="7" w:tentative="0">
      <w:start w:val="0"/>
      <w:numFmt w:val="bullet"/>
      <w:lvlText w:val="•"/>
      <w:lvlJc w:val="left"/>
      <w:pPr>
        <w:ind w:left="5463" w:hanging="720"/>
      </w:pPr>
      <w:rPr>
        <w:rFonts w:hint="default"/>
        <w:lang w:val="zh-CN" w:eastAsia="zh-CN" w:bidi="zh-CN"/>
      </w:rPr>
    </w:lvl>
    <w:lvl w:ilvl="8" w:tentative="0">
      <w:start w:val="0"/>
      <w:numFmt w:val="bullet"/>
      <w:lvlText w:val="•"/>
      <w:lvlJc w:val="left"/>
      <w:pPr>
        <w:ind w:left="6950" w:hanging="720"/>
      </w:pPr>
      <w:rPr>
        <w:rFonts w:hint="default"/>
        <w:lang w:val="zh-CN" w:eastAsia="zh-CN" w:bidi="zh-CN"/>
      </w:rPr>
    </w:lvl>
  </w:abstractNum>
  <w:abstractNum w:abstractNumId="24">
    <w:nsid w:val="B53F3350"/>
    <w:multiLevelType w:val="multilevel"/>
    <w:tmpl w:val="B53F3350"/>
    <w:lvl w:ilvl="0" w:tentative="0">
      <w:start w:val="1"/>
      <w:numFmt w:val="decimal"/>
      <w:lvlText w:val="（%1）"/>
      <w:lvlJc w:val="left"/>
      <w:pPr>
        <w:ind w:left="163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68" w:hanging="601"/>
      </w:pPr>
      <w:rPr>
        <w:rFonts w:hint="default"/>
        <w:lang w:val="zh-CN" w:eastAsia="zh-CN" w:bidi="zh-CN"/>
      </w:rPr>
    </w:lvl>
    <w:lvl w:ilvl="2" w:tentative="0">
      <w:start w:val="0"/>
      <w:numFmt w:val="bullet"/>
      <w:lvlText w:val="•"/>
      <w:lvlJc w:val="left"/>
      <w:pPr>
        <w:ind w:left="3297" w:hanging="601"/>
      </w:pPr>
      <w:rPr>
        <w:rFonts w:hint="default"/>
        <w:lang w:val="zh-CN" w:eastAsia="zh-CN" w:bidi="zh-CN"/>
      </w:rPr>
    </w:lvl>
    <w:lvl w:ilvl="3" w:tentative="0">
      <w:start w:val="0"/>
      <w:numFmt w:val="bullet"/>
      <w:lvlText w:val="•"/>
      <w:lvlJc w:val="left"/>
      <w:pPr>
        <w:ind w:left="4125" w:hanging="601"/>
      </w:pPr>
      <w:rPr>
        <w:rFonts w:hint="default"/>
        <w:lang w:val="zh-CN" w:eastAsia="zh-CN" w:bidi="zh-CN"/>
      </w:rPr>
    </w:lvl>
    <w:lvl w:ilvl="4" w:tentative="0">
      <w:start w:val="0"/>
      <w:numFmt w:val="bullet"/>
      <w:lvlText w:val="•"/>
      <w:lvlJc w:val="left"/>
      <w:pPr>
        <w:ind w:left="4954" w:hanging="601"/>
      </w:pPr>
      <w:rPr>
        <w:rFonts w:hint="default"/>
        <w:lang w:val="zh-CN" w:eastAsia="zh-CN" w:bidi="zh-CN"/>
      </w:rPr>
    </w:lvl>
    <w:lvl w:ilvl="5" w:tentative="0">
      <w:start w:val="0"/>
      <w:numFmt w:val="bullet"/>
      <w:lvlText w:val="•"/>
      <w:lvlJc w:val="left"/>
      <w:pPr>
        <w:ind w:left="5783" w:hanging="601"/>
      </w:pPr>
      <w:rPr>
        <w:rFonts w:hint="default"/>
        <w:lang w:val="zh-CN" w:eastAsia="zh-CN" w:bidi="zh-CN"/>
      </w:rPr>
    </w:lvl>
    <w:lvl w:ilvl="6" w:tentative="0">
      <w:start w:val="0"/>
      <w:numFmt w:val="bullet"/>
      <w:lvlText w:val="•"/>
      <w:lvlJc w:val="left"/>
      <w:pPr>
        <w:ind w:left="6611" w:hanging="601"/>
      </w:pPr>
      <w:rPr>
        <w:rFonts w:hint="default"/>
        <w:lang w:val="zh-CN" w:eastAsia="zh-CN" w:bidi="zh-CN"/>
      </w:rPr>
    </w:lvl>
    <w:lvl w:ilvl="7" w:tentative="0">
      <w:start w:val="0"/>
      <w:numFmt w:val="bullet"/>
      <w:lvlText w:val="•"/>
      <w:lvlJc w:val="left"/>
      <w:pPr>
        <w:ind w:left="7440" w:hanging="601"/>
      </w:pPr>
      <w:rPr>
        <w:rFonts w:hint="default"/>
        <w:lang w:val="zh-CN" w:eastAsia="zh-CN" w:bidi="zh-CN"/>
      </w:rPr>
    </w:lvl>
    <w:lvl w:ilvl="8" w:tentative="0">
      <w:start w:val="0"/>
      <w:numFmt w:val="bullet"/>
      <w:lvlText w:val="•"/>
      <w:lvlJc w:val="left"/>
      <w:pPr>
        <w:ind w:left="8268" w:hanging="601"/>
      </w:pPr>
      <w:rPr>
        <w:rFonts w:hint="default"/>
        <w:lang w:val="zh-CN" w:eastAsia="zh-CN" w:bidi="zh-CN"/>
      </w:rPr>
    </w:lvl>
  </w:abstractNum>
  <w:abstractNum w:abstractNumId="25">
    <w:nsid w:val="B5E306ED"/>
    <w:multiLevelType w:val="multilevel"/>
    <w:tmpl w:val="B5E306ED"/>
    <w:lvl w:ilvl="0" w:tentative="0">
      <w:start w:val="1"/>
      <w:numFmt w:val="decimal"/>
      <w:lvlText w:val="%1."/>
      <w:lvlJc w:val="left"/>
      <w:pPr>
        <w:ind w:left="970" w:hanging="312"/>
        <w:jc w:val="right"/>
      </w:pPr>
      <w:rPr>
        <w:rFonts w:hint="default" w:ascii="Times New Roman" w:hAnsi="Times New Roman" w:eastAsia="Times New Roman" w:cs="Times New Roman"/>
        <w:b/>
        <w:bCs/>
        <w:w w:val="100"/>
        <w:sz w:val="36"/>
        <w:szCs w:val="36"/>
        <w:lang w:val="zh-CN" w:eastAsia="zh-CN" w:bidi="zh-CN"/>
      </w:rPr>
    </w:lvl>
    <w:lvl w:ilvl="1" w:tentative="0">
      <w:start w:val="0"/>
      <w:numFmt w:val="bullet"/>
      <w:lvlText w:val="•"/>
      <w:lvlJc w:val="left"/>
      <w:pPr>
        <w:ind w:left="1522" w:hanging="312"/>
      </w:pPr>
      <w:rPr>
        <w:rFonts w:hint="default"/>
        <w:lang w:val="zh-CN" w:eastAsia="zh-CN" w:bidi="zh-CN"/>
      </w:rPr>
    </w:lvl>
    <w:lvl w:ilvl="2" w:tentative="0">
      <w:start w:val="0"/>
      <w:numFmt w:val="bullet"/>
      <w:lvlText w:val="•"/>
      <w:lvlJc w:val="left"/>
      <w:pPr>
        <w:ind w:left="2065" w:hanging="312"/>
      </w:pPr>
      <w:rPr>
        <w:rFonts w:hint="default"/>
        <w:lang w:val="zh-CN" w:eastAsia="zh-CN" w:bidi="zh-CN"/>
      </w:rPr>
    </w:lvl>
    <w:lvl w:ilvl="3" w:tentative="0">
      <w:start w:val="0"/>
      <w:numFmt w:val="bullet"/>
      <w:lvlText w:val="•"/>
      <w:lvlJc w:val="left"/>
      <w:pPr>
        <w:ind w:left="2608" w:hanging="312"/>
      </w:pPr>
      <w:rPr>
        <w:rFonts w:hint="default"/>
        <w:lang w:val="zh-CN" w:eastAsia="zh-CN" w:bidi="zh-CN"/>
      </w:rPr>
    </w:lvl>
    <w:lvl w:ilvl="4" w:tentative="0">
      <w:start w:val="0"/>
      <w:numFmt w:val="bullet"/>
      <w:lvlText w:val="•"/>
      <w:lvlJc w:val="left"/>
      <w:pPr>
        <w:ind w:left="3151" w:hanging="312"/>
      </w:pPr>
      <w:rPr>
        <w:rFonts w:hint="default"/>
        <w:lang w:val="zh-CN" w:eastAsia="zh-CN" w:bidi="zh-CN"/>
      </w:rPr>
    </w:lvl>
    <w:lvl w:ilvl="5" w:tentative="0">
      <w:start w:val="0"/>
      <w:numFmt w:val="bullet"/>
      <w:lvlText w:val="•"/>
      <w:lvlJc w:val="left"/>
      <w:pPr>
        <w:ind w:left="3694" w:hanging="312"/>
      </w:pPr>
      <w:rPr>
        <w:rFonts w:hint="default"/>
        <w:lang w:val="zh-CN" w:eastAsia="zh-CN" w:bidi="zh-CN"/>
      </w:rPr>
    </w:lvl>
    <w:lvl w:ilvl="6" w:tentative="0">
      <w:start w:val="0"/>
      <w:numFmt w:val="bullet"/>
      <w:lvlText w:val="•"/>
      <w:lvlJc w:val="left"/>
      <w:pPr>
        <w:ind w:left="4237" w:hanging="312"/>
      </w:pPr>
      <w:rPr>
        <w:rFonts w:hint="default"/>
        <w:lang w:val="zh-CN" w:eastAsia="zh-CN" w:bidi="zh-CN"/>
      </w:rPr>
    </w:lvl>
    <w:lvl w:ilvl="7" w:tentative="0">
      <w:start w:val="0"/>
      <w:numFmt w:val="bullet"/>
      <w:lvlText w:val="•"/>
      <w:lvlJc w:val="left"/>
      <w:pPr>
        <w:ind w:left="4779" w:hanging="312"/>
      </w:pPr>
      <w:rPr>
        <w:rFonts w:hint="default"/>
        <w:lang w:val="zh-CN" w:eastAsia="zh-CN" w:bidi="zh-CN"/>
      </w:rPr>
    </w:lvl>
    <w:lvl w:ilvl="8" w:tentative="0">
      <w:start w:val="0"/>
      <w:numFmt w:val="bullet"/>
      <w:lvlText w:val="•"/>
      <w:lvlJc w:val="left"/>
      <w:pPr>
        <w:ind w:left="5322" w:hanging="312"/>
      </w:pPr>
      <w:rPr>
        <w:rFonts w:hint="default"/>
        <w:lang w:val="zh-CN" w:eastAsia="zh-CN" w:bidi="zh-CN"/>
      </w:rPr>
    </w:lvl>
  </w:abstractNum>
  <w:abstractNum w:abstractNumId="26">
    <w:nsid w:val="B88D21A8"/>
    <w:multiLevelType w:val="multilevel"/>
    <w:tmpl w:val="B88D21A8"/>
    <w:lvl w:ilvl="0" w:tentative="0">
      <w:start w:val="13"/>
      <w:numFmt w:val="decimal"/>
      <w:lvlText w:val="%1"/>
      <w:lvlJc w:val="left"/>
      <w:pPr>
        <w:ind w:left="896" w:hanging="660"/>
        <w:jc w:val="left"/>
      </w:pPr>
      <w:rPr>
        <w:rFonts w:hint="default"/>
        <w:lang w:val="zh-CN" w:eastAsia="zh-CN" w:bidi="zh-CN"/>
      </w:rPr>
    </w:lvl>
    <w:lvl w:ilvl="1" w:tentative="0">
      <w:start w:val="2"/>
      <w:numFmt w:val="decimal"/>
      <w:lvlText w:val="%1.%2"/>
      <w:lvlJc w:val="left"/>
      <w:pPr>
        <w:ind w:left="896" w:hanging="660"/>
        <w:jc w:val="left"/>
      </w:pPr>
      <w:rPr>
        <w:rFonts w:hint="default"/>
        <w:lang w:val="zh-CN" w:eastAsia="zh-CN" w:bidi="zh-CN"/>
      </w:rPr>
    </w:lvl>
    <w:lvl w:ilvl="2" w:tentative="0">
      <w:start w:val="1"/>
      <w:numFmt w:val="decimal"/>
      <w:lvlText w:val="%1.%2.%3"/>
      <w:lvlJc w:val="left"/>
      <w:pPr>
        <w:ind w:left="896" w:hanging="660"/>
        <w:jc w:val="left"/>
      </w:pPr>
      <w:rPr>
        <w:rFonts w:hint="default" w:ascii="Times New Roman" w:hAnsi="Times New Roman" w:eastAsia="Times New Roman" w:cs="Times New Roman"/>
        <w:b/>
        <w:bCs/>
        <w:w w:val="99"/>
        <w:sz w:val="24"/>
        <w:szCs w:val="24"/>
        <w:lang w:val="zh-CN" w:eastAsia="zh-CN" w:bidi="zh-CN"/>
      </w:rPr>
    </w:lvl>
    <w:lvl w:ilvl="3" w:tentative="0">
      <w:start w:val="1"/>
      <w:numFmt w:val="decimal"/>
      <w:lvlText w:val="（%4）"/>
      <w:lvlJc w:val="left"/>
      <w:pPr>
        <w:ind w:left="1317"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4082" w:hanging="601"/>
      </w:pPr>
      <w:rPr>
        <w:rFonts w:hint="default"/>
        <w:lang w:val="zh-CN" w:eastAsia="zh-CN" w:bidi="zh-CN"/>
      </w:rPr>
    </w:lvl>
    <w:lvl w:ilvl="5" w:tentative="0">
      <w:start w:val="0"/>
      <w:numFmt w:val="bullet"/>
      <w:lvlText w:val="•"/>
      <w:lvlJc w:val="left"/>
      <w:pPr>
        <w:ind w:left="5002" w:hanging="601"/>
      </w:pPr>
      <w:rPr>
        <w:rFonts w:hint="default"/>
        <w:lang w:val="zh-CN" w:eastAsia="zh-CN" w:bidi="zh-CN"/>
      </w:rPr>
    </w:lvl>
    <w:lvl w:ilvl="6" w:tentative="0">
      <w:start w:val="0"/>
      <w:numFmt w:val="bullet"/>
      <w:lvlText w:val="•"/>
      <w:lvlJc w:val="left"/>
      <w:pPr>
        <w:ind w:left="5923" w:hanging="601"/>
      </w:pPr>
      <w:rPr>
        <w:rFonts w:hint="default"/>
        <w:lang w:val="zh-CN" w:eastAsia="zh-CN" w:bidi="zh-CN"/>
      </w:rPr>
    </w:lvl>
    <w:lvl w:ilvl="7" w:tentative="0">
      <w:start w:val="0"/>
      <w:numFmt w:val="bullet"/>
      <w:lvlText w:val="•"/>
      <w:lvlJc w:val="left"/>
      <w:pPr>
        <w:ind w:left="6844" w:hanging="601"/>
      </w:pPr>
      <w:rPr>
        <w:rFonts w:hint="default"/>
        <w:lang w:val="zh-CN" w:eastAsia="zh-CN" w:bidi="zh-CN"/>
      </w:rPr>
    </w:lvl>
    <w:lvl w:ilvl="8" w:tentative="0">
      <w:start w:val="0"/>
      <w:numFmt w:val="bullet"/>
      <w:lvlText w:val="•"/>
      <w:lvlJc w:val="left"/>
      <w:pPr>
        <w:ind w:left="7764" w:hanging="601"/>
      </w:pPr>
      <w:rPr>
        <w:rFonts w:hint="default"/>
        <w:lang w:val="zh-CN" w:eastAsia="zh-CN" w:bidi="zh-CN"/>
      </w:rPr>
    </w:lvl>
  </w:abstractNum>
  <w:abstractNum w:abstractNumId="27">
    <w:nsid w:val="B8CEF35B"/>
    <w:multiLevelType w:val="multilevel"/>
    <w:tmpl w:val="B8CEF35B"/>
    <w:lvl w:ilvl="0" w:tentative="0">
      <w:start w:val="1"/>
      <w:numFmt w:val="decimal"/>
      <w:lvlText w:val="（%1）"/>
      <w:lvlJc w:val="left"/>
      <w:pPr>
        <w:ind w:left="153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16" w:hanging="601"/>
      </w:pPr>
      <w:rPr>
        <w:rFonts w:hint="default"/>
        <w:lang w:val="zh-CN" w:eastAsia="zh-CN" w:bidi="zh-CN"/>
      </w:rPr>
    </w:lvl>
    <w:lvl w:ilvl="2" w:tentative="0">
      <w:start w:val="0"/>
      <w:numFmt w:val="bullet"/>
      <w:lvlText w:val="•"/>
      <w:lvlJc w:val="left"/>
      <w:pPr>
        <w:ind w:left="3093" w:hanging="601"/>
      </w:pPr>
      <w:rPr>
        <w:rFonts w:hint="default"/>
        <w:lang w:val="zh-CN" w:eastAsia="zh-CN" w:bidi="zh-CN"/>
      </w:rPr>
    </w:lvl>
    <w:lvl w:ilvl="3" w:tentative="0">
      <w:start w:val="0"/>
      <w:numFmt w:val="bullet"/>
      <w:lvlText w:val="•"/>
      <w:lvlJc w:val="left"/>
      <w:pPr>
        <w:ind w:left="3869" w:hanging="601"/>
      </w:pPr>
      <w:rPr>
        <w:rFonts w:hint="default"/>
        <w:lang w:val="zh-CN" w:eastAsia="zh-CN" w:bidi="zh-CN"/>
      </w:rPr>
    </w:lvl>
    <w:lvl w:ilvl="4" w:tentative="0">
      <w:start w:val="0"/>
      <w:numFmt w:val="bullet"/>
      <w:lvlText w:val="•"/>
      <w:lvlJc w:val="left"/>
      <w:pPr>
        <w:ind w:left="4646" w:hanging="601"/>
      </w:pPr>
      <w:rPr>
        <w:rFonts w:hint="default"/>
        <w:lang w:val="zh-CN" w:eastAsia="zh-CN" w:bidi="zh-CN"/>
      </w:rPr>
    </w:lvl>
    <w:lvl w:ilvl="5" w:tentative="0">
      <w:start w:val="0"/>
      <w:numFmt w:val="bullet"/>
      <w:lvlText w:val="•"/>
      <w:lvlJc w:val="left"/>
      <w:pPr>
        <w:ind w:left="5423" w:hanging="601"/>
      </w:pPr>
      <w:rPr>
        <w:rFonts w:hint="default"/>
        <w:lang w:val="zh-CN" w:eastAsia="zh-CN" w:bidi="zh-CN"/>
      </w:rPr>
    </w:lvl>
    <w:lvl w:ilvl="6" w:tentative="0">
      <w:start w:val="0"/>
      <w:numFmt w:val="bullet"/>
      <w:lvlText w:val="•"/>
      <w:lvlJc w:val="left"/>
      <w:pPr>
        <w:ind w:left="6199" w:hanging="601"/>
      </w:pPr>
      <w:rPr>
        <w:rFonts w:hint="default"/>
        <w:lang w:val="zh-CN" w:eastAsia="zh-CN" w:bidi="zh-CN"/>
      </w:rPr>
    </w:lvl>
    <w:lvl w:ilvl="7" w:tentative="0">
      <w:start w:val="0"/>
      <w:numFmt w:val="bullet"/>
      <w:lvlText w:val="•"/>
      <w:lvlJc w:val="left"/>
      <w:pPr>
        <w:ind w:left="6976" w:hanging="601"/>
      </w:pPr>
      <w:rPr>
        <w:rFonts w:hint="default"/>
        <w:lang w:val="zh-CN" w:eastAsia="zh-CN" w:bidi="zh-CN"/>
      </w:rPr>
    </w:lvl>
    <w:lvl w:ilvl="8" w:tentative="0">
      <w:start w:val="0"/>
      <w:numFmt w:val="bullet"/>
      <w:lvlText w:val="•"/>
      <w:lvlJc w:val="left"/>
      <w:pPr>
        <w:ind w:left="7752" w:hanging="601"/>
      </w:pPr>
      <w:rPr>
        <w:rFonts w:hint="default"/>
        <w:lang w:val="zh-CN" w:eastAsia="zh-CN" w:bidi="zh-CN"/>
      </w:rPr>
    </w:lvl>
  </w:abstractNum>
  <w:abstractNum w:abstractNumId="28">
    <w:nsid w:val="BB64CFA9"/>
    <w:multiLevelType w:val="multilevel"/>
    <w:tmpl w:val="BB64CFA9"/>
    <w:lvl w:ilvl="0" w:tentative="0">
      <w:start w:val="1"/>
      <w:numFmt w:val="decimal"/>
      <w:lvlText w:val="（%1）"/>
      <w:lvlJc w:val="left"/>
      <w:pPr>
        <w:ind w:left="153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16" w:hanging="601"/>
      </w:pPr>
      <w:rPr>
        <w:rFonts w:hint="default"/>
        <w:lang w:val="zh-CN" w:eastAsia="zh-CN" w:bidi="zh-CN"/>
      </w:rPr>
    </w:lvl>
    <w:lvl w:ilvl="2" w:tentative="0">
      <w:start w:val="0"/>
      <w:numFmt w:val="bullet"/>
      <w:lvlText w:val="•"/>
      <w:lvlJc w:val="left"/>
      <w:pPr>
        <w:ind w:left="3093" w:hanging="601"/>
      </w:pPr>
      <w:rPr>
        <w:rFonts w:hint="default"/>
        <w:lang w:val="zh-CN" w:eastAsia="zh-CN" w:bidi="zh-CN"/>
      </w:rPr>
    </w:lvl>
    <w:lvl w:ilvl="3" w:tentative="0">
      <w:start w:val="0"/>
      <w:numFmt w:val="bullet"/>
      <w:lvlText w:val="•"/>
      <w:lvlJc w:val="left"/>
      <w:pPr>
        <w:ind w:left="3869" w:hanging="601"/>
      </w:pPr>
      <w:rPr>
        <w:rFonts w:hint="default"/>
        <w:lang w:val="zh-CN" w:eastAsia="zh-CN" w:bidi="zh-CN"/>
      </w:rPr>
    </w:lvl>
    <w:lvl w:ilvl="4" w:tentative="0">
      <w:start w:val="0"/>
      <w:numFmt w:val="bullet"/>
      <w:lvlText w:val="•"/>
      <w:lvlJc w:val="left"/>
      <w:pPr>
        <w:ind w:left="4646" w:hanging="601"/>
      </w:pPr>
      <w:rPr>
        <w:rFonts w:hint="default"/>
        <w:lang w:val="zh-CN" w:eastAsia="zh-CN" w:bidi="zh-CN"/>
      </w:rPr>
    </w:lvl>
    <w:lvl w:ilvl="5" w:tentative="0">
      <w:start w:val="0"/>
      <w:numFmt w:val="bullet"/>
      <w:lvlText w:val="•"/>
      <w:lvlJc w:val="left"/>
      <w:pPr>
        <w:ind w:left="5423" w:hanging="601"/>
      </w:pPr>
      <w:rPr>
        <w:rFonts w:hint="default"/>
        <w:lang w:val="zh-CN" w:eastAsia="zh-CN" w:bidi="zh-CN"/>
      </w:rPr>
    </w:lvl>
    <w:lvl w:ilvl="6" w:tentative="0">
      <w:start w:val="0"/>
      <w:numFmt w:val="bullet"/>
      <w:lvlText w:val="•"/>
      <w:lvlJc w:val="left"/>
      <w:pPr>
        <w:ind w:left="6199" w:hanging="601"/>
      </w:pPr>
      <w:rPr>
        <w:rFonts w:hint="default"/>
        <w:lang w:val="zh-CN" w:eastAsia="zh-CN" w:bidi="zh-CN"/>
      </w:rPr>
    </w:lvl>
    <w:lvl w:ilvl="7" w:tentative="0">
      <w:start w:val="0"/>
      <w:numFmt w:val="bullet"/>
      <w:lvlText w:val="•"/>
      <w:lvlJc w:val="left"/>
      <w:pPr>
        <w:ind w:left="6976" w:hanging="601"/>
      </w:pPr>
      <w:rPr>
        <w:rFonts w:hint="default"/>
        <w:lang w:val="zh-CN" w:eastAsia="zh-CN" w:bidi="zh-CN"/>
      </w:rPr>
    </w:lvl>
    <w:lvl w:ilvl="8" w:tentative="0">
      <w:start w:val="0"/>
      <w:numFmt w:val="bullet"/>
      <w:lvlText w:val="•"/>
      <w:lvlJc w:val="left"/>
      <w:pPr>
        <w:ind w:left="7752" w:hanging="601"/>
      </w:pPr>
      <w:rPr>
        <w:rFonts w:hint="default"/>
        <w:lang w:val="zh-CN" w:eastAsia="zh-CN" w:bidi="zh-CN"/>
      </w:rPr>
    </w:lvl>
  </w:abstractNum>
  <w:abstractNum w:abstractNumId="29">
    <w:nsid w:val="BCECA0B4"/>
    <w:multiLevelType w:val="multilevel"/>
    <w:tmpl w:val="BCECA0B4"/>
    <w:lvl w:ilvl="0" w:tentative="0">
      <w:start w:val="1"/>
      <w:numFmt w:val="decimal"/>
      <w:lvlText w:val="%1."/>
      <w:lvlJc w:val="left"/>
      <w:pPr>
        <w:ind w:left="270"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833" w:hanging="159"/>
      </w:pPr>
      <w:rPr>
        <w:rFonts w:hint="default"/>
        <w:lang w:val="zh-CN" w:eastAsia="zh-CN" w:bidi="zh-CN"/>
      </w:rPr>
    </w:lvl>
    <w:lvl w:ilvl="2" w:tentative="0">
      <w:start w:val="0"/>
      <w:numFmt w:val="bullet"/>
      <w:lvlText w:val="•"/>
      <w:lvlJc w:val="left"/>
      <w:pPr>
        <w:ind w:left="1387" w:hanging="159"/>
      </w:pPr>
      <w:rPr>
        <w:rFonts w:hint="default"/>
        <w:lang w:val="zh-CN" w:eastAsia="zh-CN" w:bidi="zh-CN"/>
      </w:rPr>
    </w:lvl>
    <w:lvl w:ilvl="3" w:tentative="0">
      <w:start w:val="0"/>
      <w:numFmt w:val="bullet"/>
      <w:lvlText w:val="•"/>
      <w:lvlJc w:val="left"/>
      <w:pPr>
        <w:ind w:left="1941" w:hanging="159"/>
      </w:pPr>
      <w:rPr>
        <w:rFonts w:hint="default"/>
        <w:lang w:val="zh-CN" w:eastAsia="zh-CN" w:bidi="zh-CN"/>
      </w:rPr>
    </w:lvl>
    <w:lvl w:ilvl="4" w:tentative="0">
      <w:start w:val="0"/>
      <w:numFmt w:val="bullet"/>
      <w:lvlText w:val="•"/>
      <w:lvlJc w:val="left"/>
      <w:pPr>
        <w:ind w:left="2494" w:hanging="159"/>
      </w:pPr>
      <w:rPr>
        <w:rFonts w:hint="default"/>
        <w:lang w:val="zh-CN" w:eastAsia="zh-CN" w:bidi="zh-CN"/>
      </w:rPr>
    </w:lvl>
    <w:lvl w:ilvl="5" w:tentative="0">
      <w:start w:val="0"/>
      <w:numFmt w:val="bullet"/>
      <w:lvlText w:val="•"/>
      <w:lvlJc w:val="left"/>
      <w:pPr>
        <w:ind w:left="3048" w:hanging="159"/>
      </w:pPr>
      <w:rPr>
        <w:rFonts w:hint="default"/>
        <w:lang w:val="zh-CN" w:eastAsia="zh-CN" w:bidi="zh-CN"/>
      </w:rPr>
    </w:lvl>
    <w:lvl w:ilvl="6" w:tentative="0">
      <w:start w:val="0"/>
      <w:numFmt w:val="bullet"/>
      <w:lvlText w:val="•"/>
      <w:lvlJc w:val="left"/>
      <w:pPr>
        <w:ind w:left="3602" w:hanging="159"/>
      </w:pPr>
      <w:rPr>
        <w:rFonts w:hint="default"/>
        <w:lang w:val="zh-CN" w:eastAsia="zh-CN" w:bidi="zh-CN"/>
      </w:rPr>
    </w:lvl>
    <w:lvl w:ilvl="7" w:tentative="0">
      <w:start w:val="0"/>
      <w:numFmt w:val="bullet"/>
      <w:lvlText w:val="•"/>
      <w:lvlJc w:val="left"/>
      <w:pPr>
        <w:ind w:left="4155" w:hanging="159"/>
      </w:pPr>
      <w:rPr>
        <w:rFonts w:hint="default"/>
        <w:lang w:val="zh-CN" w:eastAsia="zh-CN" w:bidi="zh-CN"/>
      </w:rPr>
    </w:lvl>
    <w:lvl w:ilvl="8" w:tentative="0">
      <w:start w:val="0"/>
      <w:numFmt w:val="bullet"/>
      <w:lvlText w:val="•"/>
      <w:lvlJc w:val="left"/>
      <w:pPr>
        <w:ind w:left="4709" w:hanging="159"/>
      </w:pPr>
      <w:rPr>
        <w:rFonts w:hint="default"/>
        <w:lang w:val="zh-CN" w:eastAsia="zh-CN" w:bidi="zh-CN"/>
      </w:rPr>
    </w:lvl>
  </w:abstractNum>
  <w:abstractNum w:abstractNumId="30">
    <w:nsid w:val="BDA1395C"/>
    <w:multiLevelType w:val="multilevel"/>
    <w:tmpl w:val="BDA1395C"/>
    <w:lvl w:ilvl="0" w:tentative="0">
      <w:start w:val="1"/>
      <w:numFmt w:val="decimal"/>
      <w:lvlText w:val="%1."/>
      <w:lvlJc w:val="left"/>
      <w:pPr>
        <w:ind w:left="270"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833" w:hanging="159"/>
      </w:pPr>
      <w:rPr>
        <w:rFonts w:hint="default"/>
        <w:lang w:val="zh-CN" w:eastAsia="zh-CN" w:bidi="zh-CN"/>
      </w:rPr>
    </w:lvl>
    <w:lvl w:ilvl="2" w:tentative="0">
      <w:start w:val="0"/>
      <w:numFmt w:val="bullet"/>
      <w:lvlText w:val="•"/>
      <w:lvlJc w:val="left"/>
      <w:pPr>
        <w:ind w:left="1387" w:hanging="159"/>
      </w:pPr>
      <w:rPr>
        <w:rFonts w:hint="default"/>
        <w:lang w:val="zh-CN" w:eastAsia="zh-CN" w:bidi="zh-CN"/>
      </w:rPr>
    </w:lvl>
    <w:lvl w:ilvl="3" w:tentative="0">
      <w:start w:val="0"/>
      <w:numFmt w:val="bullet"/>
      <w:lvlText w:val="•"/>
      <w:lvlJc w:val="left"/>
      <w:pPr>
        <w:ind w:left="1941" w:hanging="159"/>
      </w:pPr>
      <w:rPr>
        <w:rFonts w:hint="default"/>
        <w:lang w:val="zh-CN" w:eastAsia="zh-CN" w:bidi="zh-CN"/>
      </w:rPr>
    </w:lvl>
    <w:lvl w:ilvl="4" w:tentative="0">
      <w:start w:val="0"/>
      <w:numFmt w:val="bullet"/>
      <w:lvlText w:val="•"/>
      <w:lvlJc w:val="left"/>
      <w:pPr>
        <w:ind w:left="2494" w:hanging="159"/>
      </w:pPr>
      <w:rPr>
        <w:rFonts w:hint="default"/>
        <w:lang w:val="zh-CN" w:eastAsia="zh-CN" w:bidi="zh-CN"/>
      </w:rPr>
    </w:lvl>
    <w:lvl w:ilvl="5" w:tentative="0">
      <w:start w:val="0"/>
      <w:numFmt w:val="bullet"/>
      <w:lvlText w:val="•"/>
      <w:lvlJc w:val="left"/>
      <w:pPr>
        <w:ind w:left="3048" w:hanging="159"/>
      </w:pPr>
      <w:rPr>
        <w:rFonts w:hint="default"/>
        <w:lang w:val="zh-CN" w:eastAsia="zh-CN" w:bidi="zh-CN"/>
      </w:rPr>
    </w:lvl>
    <w:lvl w:ilvl="6" w:tentative="0">
      <w:start w:val="0"/>
      <w:numFmt w:val="bullet"/>
      <w:lvlText w:val="•"/>
      <w:lvlJc w:val="left"/>
      <w:pPr>
        <w:ind w:left="3602" w:hanging="159"/>
      </w:pPr>
      <w:rPr>
        <w:rFonts w:hint="default"/>
        <w:lang w:val="zh-CN" w:eastAsia="zh-CN" w:bidi="zh-CN"/>
      </w:rPr>
    </w:lvl>
    <w:lvl w:ilvl="7" w:tentative="0">
      <w:start w:val="0"/>
      <w:numFmt w:val="bullet"/>
      <w:lvlText w:val="•"/>
      <w:lvlJc w:val="left"/>
      <w:pPr>
        <w:ind w:left="4155" w:hanging="159"/>
      </w:pPr>
      <w:rPr>
        <w:rFonts w:hint="default"/>
        <w:lang w:val="zh-CN" w:eastAsia="zh-CN" w:bidi="zh-CN"/>
      </w:rPr>
    </w:lvl>
    <w:lvl w:ilvl="8" w:tentative="0">
      <w:start w:val="0"/>
      <w:numFmt w:val="bullet"/>
      <w:lvlText w:val="•"/>
      <w:lvlJc w:val="left"/>
      <w:pPr>
        <w:ind w:left="4709" w:hanging="159"/>
      </w:pPr>
      <w:rPr>
        <w:rFonts w:hint="default"/>
        <w:lang w:val="zh-CN" w:eastAsia="zh-CN" w:bidi="zh-CN"/>
      </w:rPr>
    </w:lvl>
  </w:abstractNum>
  <w:abstractNum w:abstractNumId="31">
    <w:nsid w:val="BE8A4F4C"/>
    <w:multiLevelType w:val="multilevel"/>
    <w:tmpl w:val="BE8A4F4C"/>
    <w:lvl w:ilvl="0" w:tentative="0">
      <w:start w:val="1"/>
      <w:numFmt w:val="decimal"/>
      <w:lvlText w:val="%1."/>
      <w:lvlJc w:val="left"/>
      <w:pPr>
        <w:ind w:left="270"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833" w:hanging="159"/>
      </w:pPr>
      <w:rPr>
        <w:rFonts w:hint="default"/>
        <w:lang w:val="zh-CN" w:eastAsia="zh-CN" w:bidi="zh-CN"/>
      </w:rPr>
    </w:lvl>
    <w:lvl w:ilvl="2" w:tentative="0">
      <w:start w:val="0"/>
      <w:numFmt w:val="bullet"/>
      <w:lvlText w:val="•"/>
      <w:lvlJc w:val="left"/>
      <w:pPr>
        <w:ind w:left="1387" w:hanging="159"/>
      </w:pPr>
      <w:rPr>
        <w:rFonts w:hint="default"/>
        <w:lang w:val="zh-CN" w:eastAsia="zh-CN" w:bidi="zh-CN"/>
      </w:rPr>
    </w:lvl>
    <w:lvl w:ilvl="3" w:tentative="0">
      <w:start w:val="0"/>
      <w:numFmt w:val="bullet"/>
      <w:lvlText w:val="•"/>
      <w:lvlJc w:val="left"/>
      <w:pPr>
        <w:ind w:left="1941" w:hanging="159"/>
      </w:pPr>
      <w:rPr>
        <w:rFonts w:hint="default"/>
        <w:lang w:val="zh-CN" w:eastAsia="zh-CN" w:bidi="zh-CN"/>
      </w:rPr>
    </w:lvl>
    <w:lvl w:ilvl="4" w:tentative="0">
      <w:start w:val="0"/>
      <w:numFmt w:val="bullet"/>
      <w:lvlText w:val="•"/>
      <w:lvlJc w:val="left"/>
      <w:pPr>
        <w:ind w:left="2494" w:hanging="159"/>
      </w:pPr>
      <w:rPr>
        <w:rFonts w:hint="default"/>
        <w:lang w:val="zh-CN" w:eastAsia="zh-CN" w:bidi="zh-CN"/>
      </w:rPr>
    </w:lvl>
    <w:lvl w:ilvl="5" w:tentative="0">
      <w:start w:val="0"/>
      <w:numFmt w:val="bullet"/>
      <w:lvlText w:val="•"/>
      <w:lvlJc w:val="left"/>
      <w:pPr>
        <w:ind w:left="3048" w:hanging="159"/>
      </w:pPr>
      <w:rPr>
        <w:rFonts w:hint="default"/>
        <w:lang w:val="zh-CN" w:eastAsia="zh-CN" w:bidi="zh-CN"/>
      </w:rPr>
    </w:lvl>
    <w:lvl w:ilvl="6" w:tentative="0">
      <w:start w:val="0"/>
      <w:numFmt w:val="bullet"/>
      <w:lvlText w:val="•"/>
      <w:lvlJc w:val="left"/>
      <w:pPr>
        <w:ind w:left="3602" w:hanging="159"/>
      </w:pPr>
      <w:rPr>
        <w:rFonts w:hint="default"/>
        <w:lang w:val="zh-CN" w:eastAsia="zh-CN" w:bidi="zh-CN"/>
      </w:rPr>
    </w:lvl>
    <w:lvl w:ilvl="7" w:tentative="0">
      <w:start w:val="0"/>
      <w:numFmt w:val="bullet"/>
      <w:lvlText w:val="•"/>
      <w:lvlJc w:val="left"/>
      <w:pPr>
        <w:ind w:left="4155" w:hanging="159"/>
      </w:pPr>
      <w:rPr>
        <w:rFonts w:hint="default"/>
        <w:lang w:val="zh-CN" w:eastAsia="zh-CN" w:bidi="zh-CN"/>
      </w:rPr>
    </w:lvl>
    <w:lvl w:ilvl="8" w:tentative="0">
      <w:start w:val="0"/>
      <w:numFmt w:val="bullet"/>
      <w:lvlText w:val="•"/>
      <w:lvlJc w:val="left"/>
      <w:pPr>
        <w:ind w:left="4709" w:hanging="159"/>
      </w:pPr>
      <w:rPr>
        <w:rFonts w:hint="default"/>
        <w:lang w:val="zh-CN" w:eastAsia="zh-CN" w:bidi="zh-CN"/>
      </w:rPr>
    </w:lvl>
  </w:abstractNum>
  <w:abstractNum w:abstractNumId="32">
    <w:nsid w:val="BE923771"/>
    <w:multiLevelType w:val="multilevel"/>
    <w:tmpl w:val="BE923771"/>
    <w:lvl w:ilvl="0" w:tentative="0">
      <w:start w:val="3"/>
      <w:numFmt w:val="decimal"/>
      <w:lvlText w:val="%1"/>
      <w:lvlJc w:val="left"/>
      <w:pPr>
        <w:ind w:left="1820" w:hanging="780"/>
        <w:jc w:val="left"/>
      </w:pPr>
      <w:rPr>
        <w:rFonts w:hint="default"/>
        <w:lang w:val="zh-CN" w:eastAsia="zh-CN" w:bidi="zh-CN"/>
      </w:rPr>
    </w:lvl>
    <w:lvl w:ilvl="1" w:tentative="0">
      <w:start w:val="3"/>
      <w:numFmt w:val="decimal"/>
      <w:lvlText w:val="%1.%2"/>
      <w:lvlJc w:val="left"/>
      <w:pPr>
        <w:ind w:left="1820" w:hanging="780"/>
        <w:jc w:val="left"/>
      </w:pPr>
      <w:rPr>
        <w:rFonts w:hint="default"/>
        <w:lang w:val="zh-CN" w:eastAsia="zh-CN" w:bidi="zh-CN"/>
      </w:rPr>
    </w:lvl>
    <w:lvl w:ilvl="2" w:tentative="0">
      <w:start w:val="4"/>
      <w:numFmt w:val="decimal"/>
      <w:lvlText w:val="%1.%2.%3"/>
      <w:lvlJc w:val="left"/>
      <w:pPr>
        <w:ind w:left="1820" w:hanging="780"/>
        <w:jc w:val="left"/>
      </w:pPr>
      <w:rPr>
        <w:rFonts w:hint="default"/>
        <w:lang w:val="zh-CN" w:eastAsia="zh-CN" w:bidi="zh-CN"/>
      </w:rPr>
    </w:lvl>
    <w:lvl w:ilvl="3" w:tentative="0">
      <w:start w:val="1"/>
      <w:numFmt w:val="decimal"/>
      <w:lvlText w:val="%1.%2.%3.%4"/>
      <w:lvlJc w:val="left"/>
      <w:pPr>
        <w:ind w:left="1820" w:hanging="780"/>
        <w:jc w:val="left"/>
      </w:pPr>
      <w:rPr>
        <w:rFonts w:hint="default" w:ascii="Times New Roman" w:hAnsi="Times New Roman" w:eastAsia="Times New Roman" w:cs="Times New Roman"/>
        <w:b/>
        <w:bCs/>
        <w:w w:val="99"/>
        <w:sz w:val="24"/>
        <w:szCs w:val="24"/>
        <w:lang w:val="zh-CN" w:eastAsia="zh-CN" w:bidi="zh-CN"/>
      </w:rPr>
    </w:lvl>
    <w:lvl w:ilvl="4" w:tentative="0">
      <w:start w:val="1"/>
      <w:numFmt w:val="decimal"/>
      <w:lvlText w:val="（%5）"/>
      <w:lvlJc w:val="left"/>
      <w:pPr>
        <w:ind w:left="2123" w:hanging="601"/>
        <w:jc w:val="left"/>
      </w:pPr>
      <w:rPr>
        <w:rFonts w:hint="default" w:ascii="宋体" w:hAnsi="宋体" w:eastAsia="宋体" w:cs="宋体"/>
        <w:w w:val="100"/>
        <w:sz w:val="22"/>
        <w:szCs w:val="22"/>
        <w:lang w:val="zh-CN" w:eastAsia="zh-CN" w:bidi="zh-CN"/>
      </w:rPr>
    </w:lvl>
    <w:lvl w:ilvl="5" w:tentative="0">
      <w:start w:val="0"/>
      <w:numFmt w:val="bullet"/>
      <w:lvlText w:val="•"/>
      <w:lvlJc w:val="left"/>
      <w:pPr>
        <w:ind w:left="5811" w:hanging="601"/>
      </w:pPr>
      <w:rPr>
        <w:rFonts w:hint="default"/>
        <w:lang w:val="zh-CN" w:eastAsia="zh-CN" w:bidi="zh-CN"/>
      </w:rPr>
    </w:lvl>
    <w:lvl w:ilvl="6" w:tentative="0">
      <w:start w:val="0"/>
      <w:numFmt w:val="bullet"/>
      <w:lvlText w:val="•"/>
      <w:lvlJc w:val="left"/>
      <w:pPr>
        <w:ind w:left="6734" w:hanging="601"/>
      </w:pPr>
      <w:rPr>
        <w:rFonts w:hint="default"/>
        <w:lang w:val="zh-CN" w:eastAsia="zh-CN" w:bidi="zh-CN"/>
      </w:rPr>
    </w:lvl>
    <w:lvl w:ilvl="7" w:tentative="0">
      <w:start w:val="0"/>
      <w:numFmt w:val="bullet"/>
      <w:lvlText w:val="•"/>
      <w:lvlJc w:val="left"/>
      <w:pPr>
        <w:ind w:left="7657" w:hanging="601"/>
      </w:pPr>
      <w:rPr>
        <w:rFonts w:hint="default"/>
        <w:lang w:val="zh-CN" w:eastAsia="zh-CN" w:bidi="zh-CN"/>
      </w:rPr>
    </w:lvl>
    <w:lvl w:ilvl="8" w:tentative="0">
      <w:start w:val="0"/>
      <w:numFmt w:val="bullet"/>
      <w:lvlText w:val="•"/>
      <w:lvlJc w:val="left"/>
      <w:pPr>
        <w:ind w:left="8580" w:hanging="601"/>
      </w:pPr>
      <w:rPr>
        <w:rFonts w:hint="default"/>
        <w:lang w:val="zh-CN" w:eastAsia="zh-CN" w:bidi="zh-CN"/>
      </w:rPr>
    </w:lvl>
  </w:abstractNum>
  <w:abstractNum w:abstractNumId="33">
    <w:nsid w:val="BF205925"/>
    <w:multiLevelType w:val="multilevel"/>
    <w:tmpl w:val="BF205925"/>
    <w:lvl w:ilvl="0" w:tentative="0">
      <w:start w:val="1"/>
      <w:numFmt w:val="decimal"/>
      <w:lvlText w:val="%1"/>
      <w:lvlJc w:val="left"/>
      <w:pPr>
        <w:ind w:left="1107" w:hanging="449"/>
        <w:jc w:val="left"/>
      </w:pPr>
      <w:rPr>
        <w:rFonts w:hint="default"/>
        <w:lang w:val="zh-CN" w:eastAsia="zh-CN" w:bidi="zh-CN"/>
      </w:rPr>
    </w:lvl>
    <w:lvl w:ilvl="1" w:tentative="0">
      <w:start w:val="1"/>
      <w:numFmt w:val="decimal"/>
      <w:lvlText w:val="%1.%2"/>
      <w:lvlJc w:val="left"/>
      <w:pPr>
        <w:ind w:left="1107" w:hanging="449"/>
        <w:jc w:val="left"/>
      </w:pPr>
      <w:rPr>
        <w:rFonts w:hint="default" w:ascii="Times New Roman" w:hAnsi="Times New Roman" w:eastAsia="Times New Roman" w:cs="Times New Roman"/>
        <w:b/>
        <w:bCs/>
        <w:spacing w:val="-1"/>
        <w:w w:val="100"/>
        <w:sz w:val="30"/>
        <w:szCs w:val="30"/>
        <w:lang w:val="zh-CN" w:eastAsia="zh-CN" w:bidi="zh-CN"/>
      </w:rPr>
    </w:lvl>
    <w:lvl w:ilvl="2" w:tentative="0">
      <w:start w:val="1"/>
      <w:numFmt w:val="decimal"/>
      <w:lvlText w:val="（%3）"/>
      <w:lvlJc w:val="left"/>
      <w:pPr>
        <w:ind w:left="658" w:hanging="605"/>
        <w:jc w:val="left"/>
      </w:pPr>
      <w:rPr>
        <w:rFonts w:hint="default" w:ascii="宋体" w:hAnsi="宋体" w:eastAsia="宋体" w:cs="宋体"/>
        <w:spacing w:val="0"/>
        <w:w w:val="100"/>
        <w:sz w:val="22"/>
        <w:szCs w:val="22"/>
        <w:lang w:val="zh-CN" w:eastAsia="zh-CN" w:bidi="zh-CN"/>
      </w:rPr>
    </w:lvl>
    <w:lvl w:ilvl="3" w:tentative="0">
      <w:start w:val="0"/>
      <w:numFmt w:val="bullet"/>
      <w:lvlText w:val="•"/>
      <w:lvlJc w:val="left"/>
      <w:pPr>
        <w:ind w:left="1377" w:hanging="605"/>
      </w:pPr>
      <w:rPr>
        <w:rFonts w:hint="default"/>
        <w:lang w:val="zh-CN" w:eastAsia="zh-CN" w:bidi="zh-CN"/>
      </w:rPr>
    </w:lvl>
    <w:lvl w:ilvl="4" w:tentative="0">
      <w:start w:val="0"/>
      <w:numFmt w:val="bullet"/>
      <w:lvlText w:val="•"/>
      <w:lvlJc w:val="left"/>
      <w:pPr>
        <w:ind w:left="1516" w:hanging="605"/>
      </w:pPr>
      <w:rPr>
        <w:rFonts w:hint="default"/>
        <w:lang w:val="zh-CN" w:eastAsia="zh-CN" w:bidi="zh-CN"/>
      </w:rPr>
    </w:lvl>
    <w:lvl w:ilvl="5" w:tentative="0">
      <w:start w:val="0"/>
      <w:numFmt w:val="bullet"/>
      <w:lvlText w:val="•"/>
      <w:lvlJc w:val="left"/>
      <w:pPr>
        <w:ind w:left="1655" w:hanging="605"/>
      </w:pPr>
      <w:rPr>
        <w:rFonts w:hint="default"/>
        <w:lang w:val="zh-CN" w:eastAsia="zh-CN" w:bidi="zh-CN"/>
      </w:rPr>
    </w:lvl>
    <w:lvl w:ilvl="6" w:tentative="0">
      <w:start w:val="0"/>
      <w:numFmt w:val="bullet"/>
      <w:lvlText w:val="•"/>
      <w:lvlJc w:val="left"/>
      <w:pPr>
        <w:ind w:left="1794" w:hanging="605"/>
      </w:pPr>
      <w:rPr>
        <w:rFonts w:hint="default"/>
        <w:lang w:val="zh-CN" w:eastAsia="zh-CN" w:bidi="zh-CN"/>
      </w:rPr>
    </w:lvl>
    <w:lvl w:ilvl="7" w:tentative="0">
      <w:start w:val="0"/>
      <w:numFmt w:val="bullet"/>
      <w:lvlText w:val="•"/>
      <w:lvlJc w:val="left"/>
      <w:pPr>
        <w:ind w:left="1933" w:hanging="605"/>
      </w:pPr>
      <w:rPr>
        <w:rFonts w:hint="default"/>
        <w:lang w:val="zh-CN" w:eastAsia="zh-CN" w:bidi="zh-CN"/>
      </w:rPr>
    </w:lvl>
    <w:lvl w:ilvl="8" w:tentative="0">
      <w:start w:val="0"/>
      <w:numFmt w:val="bullet"/>
      <w:lvlText w:val="•"/>
      <w:lvlJc w:val="left"/>
      <w:pPr>
        <w:ind w:left="2071" w:hanging="605"/>
      </w:pPr>
      <w:rPr>
        <w:rFonts w:hint="default"/>
        <w:lang w:val="zh-CN" w:eastAsia="zh-CN" w:bidi="zh-CN"/>
      </w:rPr>
    </w:lvl>
  </w:abstractNum>
  <w:abstractNum w:abstractNumId="34">
    <w:nsid w:val="BF50FE6B"/>
    <w:multiLevelType w:val="multilevel"/>
    <w:tmpl w:val="BF50FE6B"/>
    <w:lvl w:ilvl="0" w:tentative="0">
      <w:start w:val="17"/>
      <w:numFmt w:val="decimal"/>
      <w:lvlText w:val="%1"/>
      <w:lvlJc w:val="left"/>
      <w:pPr>
        <w:ind w:left="1260" w:hanging="600"/>
        <w:jc w:val="left"/>
      </w:pPr>
      <w:rPr>
        <w:rFonts w:hint="default"/>
        <w:lang w:val="zh-CN" w:eastAsia="zh-CN" w:bidi="zh-CN"/>
      </w:rPr>
    </w:lvl>
    <w:lvl w:ilvl="1" w:tentative="0">
      <w:start w:val="1"/>
      <w:numFmt w:val="decimal"/>
      <w:lvlText w:val="%1.%2"/>
      <w:lvlJc w:val="left"/>
      <w:pPr>
        <w:ind w:left="1260" w:hanging="600"/>
        <w:jc w:val="left"/>
      </w:pPr>
      <w:rPr>
        <w:rFonts w:hint="default" w:ascii="Times New Roman" w:hAnsi="Times New Roman" w:eastAsia="Times New Roman" w:cs="Times New Roman"/>
        <w:b/>
        <w:bCs/>
        <w:spacing w:val="-2"/>
        <w:w w:val="99"/>
        <w:sz w:val="30"/>
        <w:szCs w:val="30"/>
        <w:lang w:val="zh-CN" w:eastAsia="zh-CN" w:bidi="zh-CN"/>
      </w:rPr>
    </w:lvl>
    <w:lvl w:ilvl="2" w:tentative="0">
      <w:start w:val="1"/>
      <w:numFmt w:val="decimal"/>
      <w:lvlText w:val="（%3）"/>
      <w:lvlJc w:val="left"/>
      <w:pPr>
        <w:ind w:left="660" w:hanging="608"/>
        <w:jc w:val="left"/>
      </w:pPr>
      <w:rPr>
        <w:rFonts w:hint="default" w:ascii="宋体" w:hAnsi="宋体" w:eastAsia="宋体" w:cs="宋体"/>
        <w:spacing w:val="2"/>
        <w:w w:val="100"/>
        <w:sz w:val="22"/>
        <w:szCs w:val="22"/>
        <w:lang w:val="zh-CN" w:eastAsia="zh-CN" w:bidi="zh-CN"/>
      </w:rPr>
    </w:lvl>
    <w:lvl w:ilvl="3" w:tentative="0">
      <w:start w:val="0"/>
      <w:numFmt w:val="bullet"/>
      <w:lvlText w:val="•"/>
      <w:lvlJc w:val="left"/>
      <w:pPr>
        <w:ind w:left="3145" w:hanging="608"/>
      </w:pPr>
      <w:rPr>
        <w:rFonts w:hint="default"/>
        <w:lang w:val="zh-CN" w:eastAsia="zh-CN" w:bidi="zh-CN"/>
      </w:rPr>
    </w:lvl>
    <w:lvl w:ilvl="4" w:tentative="0">
      <w:start w:val="0"/>
      <w:numFmt w:val="bullet"/>
      <w:lvlText w:val="•"/>
      <w:lvlJc w:val="left"/>
      <w:pPr>
        <w:ind w:left="4088" w:hanging="608"/>
      </w:pPr>
      <w:rPr>
        <w:rFonts w:hint="default"/>
        <w:lang w:val="zh-CN" w:eastAsia="zh-CN" w:bidi="zh-CN"/>
      </w:rPr>
    </w:lvl>
    <w:lvl w:ilvl="5" w:tentative="0">
      <w:start w:val="0"/>
      <w:numFmt w:val="bullet"/>
      <w:lvlText w:val="•"/>
      <w:lvlJc w:val="left"/>
      <w:pPr>
        <w:ind w:left="5031" w:hanging="608"/>
      </w:pPr>
      <w:rPr>
        <w:rFonts w:hint="default"/>
        <w:lang w:val="zh-CN" w:eastAsia="zh-CN" w:bidi="zh-CN"/>
      </w:rPr>
    </w:lvl>
    <w:lvl w:ilvl="6" w:tentative="0">
      <w:start w:val="0"/>
      <w:numFmt w:val="bullet"/>
      <w:lvlText w:val="•"/>
      <w:lvlJc w:val="left"/>
      <w:pPr>
        <w:ind w:left="5974" w:hanging="608"/>
      </w:pPr>
      <w:rPr>
        <w:rFonts w:hint="default"/>
        <w:lang w:val="zh-CN" w:eastAsia="zh-CN" w:bidi="zh-CN"/>
      </w:rPr>
    </w:lvl>
    <w:lvl w:ilvl="7" w:tentative="0">
      <w:start w:val="0"/>
      <w:numFmt w:val="bullet"/>
      <w:lvlText w:val="•"/>
      <w:lvlJc w:val="left"/>
      <w:pPr>
        <w:ind w:left="6917" w:hanging="608"/>
      </w:pPr>
      <w:rPr>
        <w:rFonts w:hint="default"/>
        <w:lang w:val="zh-CN" w:eastAsia="zh-CN" w:bidi="zh-CN"/>
      </w:rPr>
    </w:lvl>
    <w:lvl w:ilvl="8" w:tentative="0">
      <w:start w:val="0"/>
      <w:numFmt w:val="bullet"/>
      <w:lvlText w:val="•"/>
      <w:lvlJc w:val="left"/>
      <w:pPr>
        <w:ind w:left="7860" w:hanging="608"/>
      </w:pPr>
      <w:rPr>
        <w:rFonts w:hint="default"/>
        <w:lang w:val="zh-CN" w:eastAsia="zh-CN" w:bidi="zh-CN"/>
      </w:rPr>
    </w:lvl>
  </w:abstractNum>
  <w:abstractNum w:abstractNumId="35">
    <w:nsid w:val="C0915F4F"/>
    <w:multiLevelType w:val="multilevel"/>
    <w:tmpl w:val="C0915F4F"/>
    <w:lvl w:ilvl="0" w:tentative="0">
      <w:start w:val="8"/>
      <w:numFmt w:val="decimal"/>
      <w:lvlText w:val="%1"/>
      <w:lvlJc w:val="left"/>
      <w:pPr>
        <w:ind w:left="667" w:hanging="452"/>
        <w:jc w:val="left"/>
      </w:pPr>
      <w:rPr>
        <w:rFonts w:hint="default"/>
        <w:lang w:val="zh-CN" w:eastAsia="zh-CN" w:bidi="zh-CN"/>
      </w:rPr>
    </w:lvl>
    <w:lvl w:ilvl="1" w:tentative="0">
      <w:start w:val="1"/>
      <w:numFmt w:val="decimal"/>
      <w:lvlText w:val="%1.%2"/>
      <w:lvlJc w:val="left"/>
      <w:pPr>
        <w:ind w:left="667" w:hanging="452"/>
        <w:jc w:val="left"/>
      </w:pPr>
      <w:rPr>
        <w:rFonts w:hint="default"/>
        <w:b/>
        <w:bCs/>
        <w:spacing w:val="-1"/>
        <w:w w:val="99"/>
        <w:lang w:val="zh-CN" w:eastAsia="zh-CN" w:bidi="zh-CN"/>
      </w:rPr>
    </w:lvl>
    <w:lvl w:ilvl="2" w:tentative="0">
      <w:start w:val="1"/>
      <w:numFmt w:val="decimal"/>
      <w:lvlText w:val="%1.%2.%3"/>
      <w:lvlJc w:val="left"/>
      <w:pPr>
        <w:ind w:left="847" w:hanging="632"/>
        <w:jc w:val="left"/>
      </w:pPr>
      <w:rPr>
        <w:rFonts w:hint="default" w:ascii="Times New Roman" w:hAnsi="Times New Roman" w:eastAsia="Times New Roman" w:cs="Times New Roman"/>
        <w:b/>
        <w:bCs/>
        <w:spacing w:val="-4"/>
        <w:w w:val="100"/>
        <w:sz w:val="28"/>
        <w:szCs w:val="28"/>
        <w:lang w:val="zh-CN" w:eastAsia="zh-CN" w:bidi="zh-CN"/>
      </w:rPr>
    </w:lvl>
    <w:lvl w:ilvl="3" w:tentative="0">
      <w:start w:val="1"/>
      <w:numFmt w:val="decimal"/>
      <w:lvlText w:val="（%4）"/>
      <w:lvlJc w:val="left"/>
      <w:pPr>
        <w:ind w:left="1297"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2532" w:hanging="601"/>
      </w:pPr>
      <w:rPr>
        <w:rFonts w:hint="default"/>
        <w:lang w:val="zh-CN" w:eastAsia="zh-CN" w:bidi="zh-CN"/>
      </w:rPr>
    </w:lvl>
    <w:lvl w:ilvl="5" w:tentative="0">
      <w:start w:val="0"/>
      <w:numFmt w:val="bullet"/>
      <w:lvlText w:val="•"/>
      <w:lvlJc w:val="left"/>
      <w:pPr>
        <w:ind w:left="3764" w:hanging="601"/>
      </w:pPr>
      <w:rPr>
        <w:rFonts w:hint="default"/>
        <w:lang w:val="zh-CN" w:eastAsia="zh-CN" w:bidi="zh-CN"/>
      </w:rPr>
    </w:lvl>
    <w:lvl w:ilvl="6" w:tentative="0">
      <w:start w:val="0"/>
      <w:numFmt w:val="bullet"/>
      <w:lvlText w:val="•"/>
      <w:lvlJc w:val="left"/>
      <w:pPr>
        <w:ind w:left="4996" w:hanging="601"/>
      </w:pPr>
      <w:rPr>
        <w:rFonts w:hint="default"/>
        <w:lang w:val="zh-CN" w:eastAsia="zh-CN" w:bidi="zh-CN"/>
      </w:rPr>
    </w:lvl>
    <w:lvl w:ilvl="7" w:tentative="0">
      <w:start w:val="0"/>
      <w:numFmt w:val="bullet"/>
      <w:lvlText w:val="•"/>
      <w:lvlJc w:val="left"/>
      <w:pPr>
        <w:ind w:left="6229" w:hanging="601"/>
      </w:pPr>
      <w:rPr>
        <w:rFonts w:hint="default"/>
        <w:lang w:val="zh-CN" w:eastAsia="zh-CN" w:bidi="zh-CN"/>
      </w:rPr>
    </w:lvl>
    <w:lvl w:ilvl="8" w:tentative="0">
      <w:start w:val="0"/>
      <w:numFmt w:val="bullet"/>
      <w:lvlText w:val="•"/>
      <w:lvlJc w:val="left"/>
      <w:pPr>
        <w:ind w:left="7461" w:hanging="601"/>
      </w:pPr>
      <w:rPr>
        <w:rFonts w:hint="default"/>
        <w:lang w:val="zh-CN" w:eastAsia="zh-CN" w:bidi="zh-CN"/>
      </w:rPr>
    </w:lvl>
  </w:abstractNum>
  <w:abstractNum w:abstractNumId="36">
    <w:nsid w:val="C4E0D24A"/>
    <w:multiLevelType w:val="multilevel"/>
    <w:tmpl w:val="C4E0D24A"/>
    <w:lvl w:ilvl="0" w:tentative="0">
      <w:start w:val="1"/>
      <w:numFmt w:val="decimal"/>
      <w:lvlText w:val="（%1）"/>
      <w:lvlJc w:val="left"/>
      <w:pPr>
        <w:ind w:left="216" w:hanging="601"/>
        <w:jc w:val="left"/>
      </w:pPr>
      <w:rPr>
        <w:rFonts w:hint="default" w:ascii="宋体" w:hAnsi="宋体" w:eastAsia="宋体" w:cs="宋体"/>
        <w:spacing w:val="-18"/>
        <w:w w:val="100"/>
        <w:sz w:val="22"/>
        <w:szCs w:val="22"/>
        <w:lang w:val="zh-CN" w:eastAsia="zh-CN" w:bidi="zh-CN"/>
      </w:rPr>
    </w:lvl>
    <w:lvl w:ilvl="1" w:tentative="0">
      <w:start w:val="0"/>
      <w:numFmt w:val="bullet"/>
      <w:lvlText w:val="•"/>
      <w:lvlJc w:val="left"/>
      <w:pPr>
        <w:ind w:left="1190" w:hanging="601"/>
      </w:pPr>
      <w:rPr>
        <w:rFonts w:hint="default"/>
        <w:lang w:val="zh-CN" w:eastAsia="zh-CN" w:bidi="zh-CN"/>
      </w:rPr>
    </w:lvl>
    <w:lvl w:ilvl="2" w:tentative="0">
      <w:start w:val="0"/>
      <w:numFmt w:val="bullet"/>
      <w:lvlText w:val="•"/>
      <w:lvlJc w:val="left"/>
      <w:pPr>
        <w:ind w:left="2161" w:hanging="601"/>
      </w:pPr>
      <w:rPr>
        <w:rFonts w:hint="default"/>
        <w:lang w:val="zh-CN" w:eastAsia="zh-CN" w:bidi="zh-CN"/>
      </w:rPr>
    </w:lvl>
    <w:lvl w:ilvl="3" w:tentative="0">
      <w:start w:val="0"/>
      <w:numFmt w:val="bullet"/>
      <w:lvlText w:val="•"/>
      <w:lvlJc w:val="left"/>
      <w:pPr>
        <w:ind w:left="3131" w:hanging="601"/>
      </w:pPr>
      <w:rPr>
        <w:rFonts w:hint="default"/>
        <w:lang w:val="zh-CN" w:eastAsia="zh-CN" w:bidi="zh-CN"/>
      </w:rPr>
    </w:lvl>
    <w:lvl w:ilvl="4" w:tentative="0">
      <w:start w:val="0"/>
      <w:numFmt w:val="bullet"/>
      <w:lvlText w:val="•"/>
      <w:lvlJc w:val="left"/>
      <w:pPr>
        <w:ind w:left="4102" w:hanging="601"/>
      </w:pPr>
      <w:rPr>
        <w:rFonts w:hint="default"/>
        <w:lang w:val="zh-CN" w:eastAsia="zh-CN" w:bidi="zh-CN"/>
      </w:rPr>
    </w:lvl>
    <w:lvl w:ilvl="5" w:tentative="0">
      <w:start w:val="0"/>
      <w:numFmt w:val="bullet"/>
      <w:lvlText w:val="•"/>
      <w:lvlJc w:val="left"/>
      <w:pPr>
        <w:ind w:left="5073" w:hanging="601"/>
      </w:pPr>
      <w:rPr>
        <w:rFonts w:hint="default"/>
        <w:lang w:val="zh-CN" w:eastAsia="zh-CN" w:bidi="zh-CN"/>
      </w:rPr>
    </w:lvl>
    <w:lvl w:ilvl="6" w:tentative="0">
      <w:start w:val="0"/>
      <w:numFmt w:val="bullet"/>
      <w:lvlText w:val="•"/>
      <w:lvlJc w:val="left"/>
      <w:pPr>
        <w:ind w:left="6043" w:hanging="601"/>
      </w:pPr>
      <w:rPr>
        <w:rFonts w:hint="default"/>
        <w:lang w:val="zh-CN" w:eastAsia="zh-CN" w:bidi="zh-CN"/>
      </w:rPr>
    </w:lvl>
    <w:lvl w:ilvl="7" w:tentative="0">
      <w:start w:val="0"/>
      <w:numFmt w:val="bullet"/>
      <w:lvlText w:val="•"/>
      <w:lvlJc w:val="left"/>
      <w:pPr>
        <w:ind w:left="7014" w:hanging="601"/>
      </w:pPr>
      <w:rPr>
        <w:rFonts w:hint="default"/>
        <w:lang w:val="zh-CN" w:eastAsia="zh-CN" w:bidi="zh-CN"/>
      </w:rPr>
    </w:lvl>
    <w:lvl w:ilvl="8" w:tentative="0">
      <w:start w:val="0"/>
      <w:numFmt w:val="bullet"/>
      <w:lvlText w:val="•"/>
      <w:lvlJc w:val="left"/>
      <w:pPr>
        <w:ind w:left="7984" w:hanging="601"/>
      </w:pPr>
      <w:rPr>
        <w:rFonts w:hint="default"/>
        <w:lang w:val="zh-CN" w:eastAsia="zh-CN" w:bidi="zh-CN"/>
      </w:rPr>
    </w:lvl>
  </w:abstractNum>
  <w:abstractNum w:abstractNumId="37">
    <w:nsid w:val="C8879AEF"/>
    <w:multiLevelType w:val="multilevel"/>
    <w:tmpl w:val="C8879AEF"/>
    <w:lvl w:ilvl="0" w:tentative="0">
      <w:start w:val="5"/>
      <w:numFmt w:val="decimal"/>
      <w:lvlText w:val="(%1)"/>
      <w:lvlJc w:val="left"/>
      <w:pPr>
        <w:ind w:left="1418" w:hanging="281"/>
        <w:jc w:val="left"/>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2320" w:hanging="281"/>
      </w:pPr>
      <w:rPr>
        <w:rFonts w:hint="default"/>
        <w:lang w:val="zh-CN" w:eastAsia="zh-CN" w:bidi="zh-CN"/>
      </w:rPr>
    </w:lvl>
    <w:lvl w:ilvl="2" w:tentative="0">
      <w:start w:val="0"/>
      <w:numFmt w:val="bullet"/>
      <w:lvlText w:val="•"/>
      <w:lvlJc w:val="left"/>
      <w:pPr>
        <w:ind w:left="3221" w:hanging="281"/>
      </w:pPr>
      <w:rPr>
        <w:rFonts w:hint="default"/>
        <w:lang w:val="zh-CN" w:eastAsia="zh-CN" w:bidi="zh-CN"/>
      </w:rPr>
    </w:lvl>
    <w:lvl w:ilvl="3" w:tentative="0">
      <w:start w:val="0"/>
      <w:numFmt w:val="bullet"/>
      <w:lvlText w:val="•"/>
      <w:lvlJc w:val="left"/>
      <w:pPr>
        <w:ind w:left="4121" w:hanging="281"/>
      </w:pPr>
      <w:rPr>
        <w:rFonts w:hint="default"/>
        <w:lang w:val="zh-CN" w:eastAsia="zh-CN" w:bidi="zh-CN"/>
      </w:rPr>
    </w:lvl>
    <w:lvl w:ilvl="4" w:tentative="0">
      <w:start w:val="0"/>
      <w:numFmt w:val="bullet"/>
      <w:lvlText w:val="•"/>
      <w:lvlJc w:val="left"/>
      <w:pPr>
        <w:ind w:left="5022" w:hanging="281"/>
      </w:pPr>
      <w:rPr>
        <w:rFonts w:hint="default"/>
        <w:lang w:val="zh-CN" w:eastAsia="zh-CN" w:bidi="zh-CN"/>
      </w:rPr>
    </w:lvl>
    <w:lvl w:ilvl="5" w:tentative="0">
      <w:start w:val="0"/>
      <w:numFmt w:val="bullet"/>
      <w:lvlText w:val="•"/>
      <w:lvlJc w:val="left"/>
      <w:pPr>
        <w:ind w:left="5923" w:hanging="281"/>
      </w:pPr>
      <w:rPr>
        <w:rFonts w:hint="default"/>
        <w:lang w:val="zh-CN" w:eastAsia="zh-CN" w:bidi="zh-CN"/>
      </w:rPr>
    </w:lvl>
    <w:lvl w:ilvl="6" w:tentative="0">
      <w:start w:val="0"/>
      <w:numFmt w:val="bullet"/>
      <w:lvlText w:val="•"/>
      <w:lvlJc w:val="left"/>
      <w:pPr>
        <w:ind w:left="6823" w:hanging="281"/>
      </w:pPr>
      <w:rPr>
        <w:rFonts w:hint="default"/>
        <w:lang w:val="zh-CN" w:eastAsia="zh-CN" w:bidi="zh-CN"/>
      </w:rPr>
    </w:lvl>
    <w:lvl w:ilvl="7" w:tentative="0">
      <w:start w:val="0"/>
      <w:numFmt w:val="bullet"/>
      <w:lvlText w:val="•"/>
      <w:lvlJc w:val="left"/>
      <w:pPr>
        <w:ind w:left="7724" w:hanging="281"/>
      </w:pPr>
      <w:rPr>
        <w:rFonts w:hint="default"/>
        <w:lang w:val="zh-CN" w:eastAsia="zh-CN" w:bidi="zh-CN"/>
      </w:rPr>
    </w:lvl>
    <w:lvl w:ilvl="8" w:tentative="0">
      <w:start w:val="0"/>
      <w:numFmt w:val="bullet"/>
      <w:lvlText w:val="•"/>
      <w:lvlJc w:val="left"/>
      <w:pPr>
        <w:ind w:left="8624" w:hanging="281"/>
      </w:pPr>
      <w:rPr>
        <w:rFonts w:hint="default"/>
        <w:lang w:val="zh-CN" w:eastAsia="zh-CN" w:bidi="zh-CN"/>
      </w:rPr>
    </w:lvl>
  </w:abstractNum>
  <w:abstractNum w:abstractNumId="38">
    <w:nsid w:val="C90D1B09"/>
    <w:multiLevelType w:val="multilevel"/>
    <w:tmpl w:val="C90D1B09"/>
    <w:lvl w:ilvl="0" w:tentative="0">
      <w:start w:val="18"/>
      <w:numFmt w:val="decimal"/>
      <w:lvlText w:val="%1"/>
      <w:lvlJc w:val="left"/>
      <w:pPr>
        <w:ind w:left="1260" w:hanging="600"/>
        <w:jc w:val="left"/>
      </w:pPr>
      <w:rPr>
        <w:rFonts w:hint="default"/>
        <w:lang w:val="zh-CN" w:eastAsia="zh-CN" w:bidi="zh-CN"/>
      </w:rPr>
    </w:lvl>
    <w:lvl w:ilvl="1" w:tentative="0">
      <w:start w:val="1"/>
      <w:numFmt w:val="decimal"/>
      <w:lvlText w:val="%1.%2"/>
      <w:lvlJc w:val="left"/>
      <w:pPr>
        <w:ind w:left="1260" w:hanging="600"/>
        <w:jc w:val="left"/>
      </w:pPr>
      <w:rPr>
        <w:rFonts w:hint="default" w:ascii="Times New Roman" w:hAnsi="Times New Roman" w:eastAsia="Times New Roman" w:cs="Times New Roman"/>
        <w:b/>
        <w:bCs/>
        <w:spacing w:val="-2"/>
        <w:w w:val="99"/>
        <w:sz w:val="30"/>
        <w:szCs w:val="30"/>
        <w:lang w:val="zh-CN" w:eastAsia="zh-CN" w:bidi="zh-CN"/>
      </w:rPr>
    </w:lvl>
    <w:lvl w:ilvl="2" w:tentative="0">
      <w:start w:val="1"/>
      <w:numFmt w:val="decimal"/>
      <w:lvlText w:val="%1.%2.%3"/>
      <w:lvlJc w:val="left"/>
      <w:pPr>
        <w:ind w:left="1430" w:hanging="77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741"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3741" w:hanging="601"/>
      </w:pPr>
      <w:rPr>
        <w:rFonts w:hint="default"/>
        <w:lang w:val="zh-CN" w:eastAsia="zh-CN" w:bidi="zh-CN"/>
      </w:rPr>
    </w:lvl>
    <w:lvl w:ilvl="5" w:tentative="0">
      <w:start w:val="0"/>
      <w:numFmt w:val="bullet"/>
      <w:lvlText w:val="•"/>
      <w:lvlJc w:val="left"/>
      <w:pPr>
        <w:ind w:left="4742" w:hanging="601"/>
      </w:pPr>
      <w:rPr>
        <w:rFonts w:hint="default"/>
        <w:lang w:val="zh-CN" w:eastAsia="zh-CN" w:bidi="zh-CN"/>
      </w:rPr>
    </w:lvl>
    <w:lvl w:ilvl="6" w:tentative="0">
      <w:start w:val="0"/>
      <w:numFmt w:val="bullet"/>
      <w:lvlText w:val="•"/>
      <w:lvlJc w:val="left"/>
      <w:pPr>
        <w:ind w:left="5743" w:hanging="601"/>
      </w:pPr>
      <w:rPr>
        <w:rFonts w:hint="default"/>
        <w:lang w:val="zh-CN" w:eastAsia="zh-CN" w:bidi="zh-CN"/>
      </w:rPr>
    </w:lvl>
    <w:lvl w:ilvl="7" w:tentative="0">
      <w:start w:val="0"/>
      <w:numFmt w:val="bullet"/>
      <w:lvlText w:val="•"/>
      <w:lvlJc w:val="left"/>
      <w:pPr>
        <w:ind w:left="6743" w:hanging="601"/>
      </w:pPr>
      <w:rPr>
        <w:rFonts w:hint="default"/>
        <w:lang w:val="zh-CN" w:eastAsia="zh-CN" w:bidi="zh-CN"/>
      </w:rPr>
    </w:lvl>
    <w:lvl w:ilvl="8" w:tentative="0">
      <w:start w:val="0"/>
      <w:numFmt w:val="bullet"/>
      <w:lvlText w:val="•"/>
      <w:lvlJc w:val="left"/>
      <w:pPr>
        <w:ind w:left="7744" w:hanging="601"/>
      </w:pPr>
      <w:rPr>
        <w:rFonts w:hint="default"/>
        <w:lang w:val="zh-CN" w:eastAsia="zh-CN" w:bidi="zh-CN"/>
      </w:rPr>
    </w:lvl>
  </w:abstractNum>
  <w:abstractNum w:abstractNumId="39">
    <w:nsid w:val="CF092B84"/>
    <w:multiLevelType w:val="multilevel"/>
    <w:tmpl w:val="CF092B84"/>
    <w:lvl w:ilvl="0" w:tentative="0">
      <w:start w:val="6"/>
      <w:numFmt w:val="decimal"/>
      <w:lvlText w:val="%1"/>
      <w:lvlJc w:val="left"/>
      <w:pPr>
        <w:ind w:left="1774" w:hanging="315"/>
        <w:jc w:val="left"/>
      </w:pPr>
      <w:rPr>
        <w:rFonts w:hint="default"/>
        <w:lang w:val="zh-CN" w:eastAsia="zh-CN" w:bidi="zh-CN"/>
      </w:rPr>
    </w:lvl>
    <w:lvl w:ilvl="1" w:tentative="0">
      <w:start w:val="2"/>
      <w:numFmt w:val="decimal"/>
      <w:lvlText w:val="%1.%2"/>
      <w:lvlJc w:val="left"/>
      <w:pPr>
        <w:ind w:left="1774" w:hanging="315"/>
        <w:jc w:val="left"/>
      </w:pPr>
      <w:rPr>
        <w:rFonts w:hint="default" w:ascii="Times New Roman" w:hAnsi="Times New Roman" w:eastAsia="Times New Roman" w:cs="Times New Roman"/>
        <w:spacing w:val="-2"/>
        <w:w w:val="99"/>
        <w:sz w:val="21"/>
        <w:szCs w:val="21"/>
        <w:lang w:val="zh-CN" w:eastAsia="zh-CN" w:bidi="zh-CN"/>
      </w:rPr>
    </w:lvl>
    <w:lvl w:ilvl="2" w:tentative="0">
      <w:start w:val="0"/>
      <w:numFmt w:val="bullet"/>
      <w:lvlText w:val="•"/>
      <w:lvlJc w:val="left"/>
      <w:pPr>
        <w:ind w:left="3509" w:hanging="315"/>
      </w:pPr>
      <w:rPr>
        <w:rFonts w:hint="default"/>
        <w:lang w:val="zh-CN" w:eastAsia="zh-CN" w:bidi="zh-CN"/>
      </w:rPr>
    </w:lvl>
    <w:lvl w:ilvl="3" w:tentative="0">
      <w:start w:val="0"/>
      <w:numFmt w:val="bullet"/>
      <w:lvlText w:val="•"/>
      <w:lvlJc w:val="left"/>
      <w:pPr>
        <w:ind w:left="4373" w:hanging="315"/>
      </w:pPr>
      <w:rPr>
        <w:rFonts w:hint="default"/>
        <w:lang w:val="zh-CN" w:eastAsia="zh-CN" w:bidi="zh-CN"/>
      </w:rPr>
    </w:lvl>
    <w:lvl w:ilvl="4" w:tentative="0">
      <w:start w:val="0"/>
      <w:numFmt w:val="bullet"/>
      <w:lvlText w:val="•"/>
      <w:lvlJc w:val="left"/>
      <w:pPr>
        <w:ind w:left="5238" w:hanging="315"/>
      </w:pPr>
      <w:rPr>
        <w:rFonts w:hint="default"/>
        <w:lang w:val="zh-CN" w:eastAsia="zh-CN" w:bidi="zh-CN"/>
      </w:rPr>
    </w:lvl>
    <w:lvl w:ilvl="5" w:tentative="0">
      <w:start w:val="0"/>
      <w:numFmt w:val="bullet"/>
      <w:lvlText w:val="•"/>
      <w:lvlJc w:val="left"/>
      <w:pPr>
        <w:ind w:left="6103" w:hanging="315"/>
      </w:pPr>
      <w:rPr>
        <w:rFonts w:hint="default"/>
        <w:lang w:val="zh-CN" w:eastAsia="zh-CN" w:bidi="zh-CN"/>
      </w:rPr>
    </w:lvl>
    <w:lvl w:ilvl="6" w:tentative="0">
      <w:start w:val="0"/>
      <w:numFmt w:val="bullet"/>
      <w:lvlText w:val="•"/>
      <w:lvlJc w:val="left"/>
      <w:pPr>
        <w:ind w:left="6967" w:hanging="315"/>
      </w:pPr>
      <w:rPr>
        <w:rFonts w:hint="default"/>
        <w:lang w:val="zh-CN" w:eastAsia="zh-CN" w:bidi="zh-CN"/>
      </w:rPr>
    </w:lvl>
    <w:lvl w:ilvl="7" w:tentative="0">
      <w:start w:val="0"/>
      <w:numFmt w:val="bullet"/>
      <w:lvlText w:val="•"/>
      <w:lvlJc w:val="left"/>
      <w:pPr>
        <w:ind w:left="7832" w:hanging="315"/>
      </w:pPr>
      <w:rPr>
        <w:rFonts w:hint="default"/>
        <w:lang w:val="zh-CN" w:eastAsia="zh-CN" w:bidi="zh-CN"/>
      </w:rPr>
    </w:lvl>
    <w:lvl w:ilvl="8" w:tentative="0">
      <w:start w:val="0"/>
      <w:numFmt w:val="bullet"/>
      <w:lvlText w:val="•"/>
      <w:lvlJc w:val="left"/>
      <w:pPr>
        <w:ind w:left="8696" w:hanging="315"/>
      </w:pPr>
      <w:rPr>
        <w:rFonts w:hint="default"/>
        <w:lang w:val="zh-CN" w:eastAsia="zh-CN" w:bidi="zh-CN"/>
      </w:rPr>
    </w:lvl>
  </w:abstractNum>
  <w:abstractNum w:abstractNumId="40">
    <w:nsid w:val="D1EB1714"/>
    <w:multiLevelType w:val="multilevel"/>
    <w:tmpl w:val="D1EB1714"/>
    <w:lvl w:ilvl="0" w:tentative="0">
      <w:start w:val="1"/>
      <w:numFmt w:val="decimal"/>
      <w:lvlText w:val="%1."/>
      <w:lvlJc w:val="left"/>
      <w:pPr>
        <w:ind w:left="111" w:hanging="161"/>
        <w:jc w:val="left"/>
      </w:pPr>
      <w:rPr>
        <w:rFonts w:hint="default" w:ascii="Times New Roman" w:hAnsi="Times New Roman" w:eastAsia="Times New Roman" w:cs="Times New Roman"/>
        <w:spacing w:val="1"/>
        <w:w w:val="99"/>
        <w:position w:val="2"/>
        <w:sz w:val="19"/>
        <w:szCs w:val="19"/>
        <w:lang w:val="zh-CN" w:eastAsia="zh-CN" w:bidi="zh-CN"/>
      </w:rPr>
    </w:lvl>
    <w:lvl w:ilvl="1" w:tentative="0">
      <w:start w:val="0"/>
      <w:numFmt w:val="bullet"/>
      <w:lvlText w:val="•"/>
      <w:lvlJc w:val="left"/>
      <w:pPr>
        <w:ind w:left="689" w:hanging="161"/>
      </w:pPr>
      <w:rPr>
        <w:rFonts w:hint="default"/>
        <w:lang w:val="zh-CN" w:eastAsia="zh-CN" w:bidi="zh-CN"/>
      </w:rPr>
    </w:lvl>
    <w:lvl w:ilvl="2" w:tentative="0">
      <w:start w:val="0"/>
      <w:numFmt w:val="bullet"/>
      <w:lvlText w:val="•"/>
      <w:lvlJc w:val="left"/>
      <w:pPr>
        <w:ind w:left="1259" w:hanging="161"/>
      </w:pPr>
      <w:rPr>
        <w:rFonts w:hint="default"/>
        <w:lang w:val="zh-CN" w:eastAsia="zh-CN" w:bidi="zh-CN"/>
      </w:rPr>
    </w:lvl>
    <w:lvl w:ilvl="3" w:tentative="0">
      <w:start w:val="0"/>
      <w:numFmt w:val="bullet"/>
      <w:lvlText w:val="•"/>
      <w:lvlJc w:val="left"/>
      <w:pPr>
        <w:ind w:left="1829" w:hanging="161"/>
      </w:pPr>
      <w:rPr>
        <w:rFonts w:hint="default"/>
        <w:lang w:val="zh-CN" w:eastAsia="zh-CN" w:bidi="zh-CN"/>
      </w:rPr>
    </w:lvl>
    <w:lvl w:ilvl="4" w:tentative="0">
      <w:start w:val="0"/>
      <w:numFmt w:val="bullet"/>
      <w:lvlText w:val="•"/>
      <w:lvlJc w:val="left"/>
      <w:pPr>
        <w:ind w:left="2398" w:hanging="161"/>
      </w:pPr>
      <w:rPr>
        <w:rFonts w:hint="default"/>
        <w:lang w:val="zh-CN" w:eastAsia="zh-CN" w:bidi="zh-CN"/>
      </w:rPr>
    </w:lvl>
    <w:lvl w:ilvl="5" w:tentative="0">
      <w:start w:val="0"/>
      <w:numFmt w:val="bullet"/>
      <w:lvlText w:val="•"/>
      <w:lvlJc w:val="left"/>
      <w:pPr>
        <w:ind w:left="2968" w:hanging="161"/>
      </w:pPr>
      <w:rPr>
        <w:rFonts w:hint="default"/>
        <w:lang w:val="zh-CN" w:eastAsia="zh-CN" w:bidi="zh-CN"/>
      </w:rPr>
    </w:lvl>
    <w:lvl w:ilvl="6" w:tentative="0">
      <w:start w:val="0"/>
      <w:numFmt w:val="bullet"/>
      <w:lvlText w:val="•"/>
      <w:lvlJc w:val="left"/>
      <w:pPr>
        <w:ind w:left="3538" w:hanging="161"/>
      </w:pPr>
      <w:rPr>
        <w:rFonts w:hint="default"/>
        <w:lang w:val="zh-CN" w:eastAsia="zh-CN" w:bidi="zh-CN"/>
      </w:rPr>
    </w:lvl>
    <w:lvl w:ilvl="7" w:tentative="0">
      <w:start w:val="0"/>
      <w:numFmt w:val="bullet"/>
      <w:lvlText w:val="•"/>
      <w:lvlJc w:val="left"/>
      <w:pPr>
        <w:ind w:left="4107" w:hanging="161"/>
      </w:pPr>
      <w:rPr>
        <w:rFonts w:hint="default"/>
        <w:lang w:val="zh-CN" w:eastAsia="zh-CN" w:bidi="zh-CN"/>
      </w:rPr>
    </w:lvl>
    <w:lvl w:ilvl="8" w:tentative="0">
      <w:start w:val="0"/>
      <w:numFmt w:val="bullet"/>
      <w:lvlText w:val="•"/>
      <w:lvlJc w:val="left"/>
      <w:pPr>
        <w:ind w:left="4677" w:hanging="161"/>
      </w:pPr>
      <w:rPr>
        <w:rFonts w:hint="default"/>
        <w:lang w:val="zh-CN" w:eastAsia="zh-CN" w:bidi="zh-CN"/>
      </w:rPr>
    </w:lvl>
  </w:abstractNum>
  <w:abstractNum w:abstractNumId="41">
    <w:nsid w:val="D7D140E4"/>
    <w:multiLevelType w:val="multilevel"/>
    <w:tmpl w:val="D7D140E4"/>
    <w:lvl w:ilvl="0" w:tentative="0">
      <w:start w:val="6"/>
      <w:numFmt w:val="decimal"/>
      <w:lvlText w:val="%1"/>
      <w:lvlJc w:val="left"/>
      <w:pPr>
        <w:ind w:left="1000" w:hanging="449"/>
        <w:jc w:val="left"/>
      </w:pPr>
      <w:rPr>
        <w:rFonts w:hint="default"/>
        <w:lang w:val="zh-CN" w:eastAsia="zh-CN" w:bidi="zh-CN"/>
      </w:rPr>
    </w:lvl>
    <w:lvl w:ilvl="1" w:tentative="0">
      <w:start w:val="1"/>
      <w:numFmt w:val="decimal"/>
      <w:lvlText w:val="%1.%2"/>
      <w:lvlJc w:val="left"/>
      <w:pPr>
        <w:ind w:left="1000" w:hanging="449"/>
        <w:jc w:val="left"/>
      </w:pPr>
      <w:rPr>
        <w:rFonts w:hint="default" w:ascii="Times New Roman" w:hAnsi="Times New Roman" w:eastAsia="Times New Roman" w:cs="Times New Roman"/>
        <w:b/>
        <w:bCs/>
        <w:spacing w:val="-1"/>
        <w:w w:val="100"/>
        <w:sz w:val="30"/>
        <w:szCs w:val="30"/>
        <w:lang w:val="zh-CN" w:eastAsia="zh-CN" w:bidi="zh-CN"/>
      </w:rPr>
    </w:lvl>
    <w:lvl w:ilvl="2" w:tentative="0">
      <w:start w:val="1"/>
      <w:numFmt w:val="decimal"/>
      <w:lvlText w:val="%1.%2.%3"/>
      <w:lvlJc w:val="left"/>
      <w:pPr>
        <w:ind w:left="1180"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633"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2823" w:hanging="601"/>
      </w:pPr>
      <w:rPr>
        <w:rFonts w:hint="default"/>
        <w:lang w:val="zh-CN" w:eastAsia="zh-CN" w:bidi="zh-CN"/>
      </w:rPr>
    </w:lvl>
    <w:lvl w:ilvl="5" w:tentative="0">
      <w:start w:val="0"/>
      <w:numFmt w:val="bullet"/>
      <w:lvlText w:val="•"/>
      <w:lvlJc w:val="left"/>
      <w:pPr>
        <w:ind w:left="4007" w:hanging="601"/>
      </w:pPr>
      <w:rPr>
        <w:rFonts w:hint="default"/>
        <w:lang w:val="zh-CN" w:eastAsia="zh-CN" w:bidi="zh-CN"/>
      </w:rPr>
    </w:lvl>
    <w:lvl w:ilvl="6" w:tentative="0">
      <w:start w:val="0"/>
      <w:numFmt w:val="bullet"/>
      <w:lvlText w:val="•"/>
      <w:lvlJc w:val="left"/>
      <w:pPr>
        <w:ind w:left="5191" w:hanging="601"/>
      </w:pPr>
      <w:rPr>
        <w:rFonts w:hint="default"/>
        <w:lang w:val="zh-CN" w:eastAsia="zh-CN" w:bidi="zh-CN"/>
      </w:rPr>
    </w:lvl>
    <w:lvl w:ilvl="7" w:tentative="0">
      <w:start w:val="0"/>
      <w:numFmt w:val="bullet"/>
      <w:lvlText w:val="•"/>
      <w:lvlJc w:val="left"/>
      <w:pPr>
        <w:ind w:left="6374" w:hanging="601"/>
      </w:pPr>
      <w:rPr>
        <w:rFonts w:hint="default"/>
        <w:lang w:val="zh-CN" w:eastAsia="zh-CN" w:bidi="zh-CN"/>
      </w:rPr>
    </w:lvl>
    <w:lvl w:ilvl="8" w:tentative="0">
      <w:start w:val="0"/>
      <w:numFmt w:val="bullet"/>
      <w:lvlText w:val="•"/>
      <w:lvlJc w:val="left"/>
      <w:pPr>
        <w:ind w:left="7558" w:hanging="601"/>
      </w:pPr>
      <w:rPr>
        <w:rFonts w:hint="default"/>
        <w:lang w:val="zh-CN" w:eastAsia="zh-CN" w:bidi="zh-CN"/>
      </w:rPr>
    </w:lvl>
  </w:abstractNum>
  <w:abstractNum w:abstractNumId="42">
    <w:nsid w:val="D7F9FE59"/>
    <w:multiLevelType w:val="multilevel"/>
    <w:tmpl w:val="D7F9FE59"/>
    <w:lvl w:ilvl="0" w:tentative="0">
      <w:start w:val="1"/>
      <w:numFmt w:val="decimal"/>
      <w:lvlText w:val="%1."/>
      <w:lvlJc w:val="left"/>
      <w:pPr>
        <w:ind w:left="1701" w:hanging="181"/>
        <w:jc w:val="left"/>
      </w:pPr>
      <w:rPr>
        <w:rFonts w:hint="default" w:ascii="Times New Roman" w:hAnsi="Times New Roman" w:eastAsia="Times New Roman" w:cs="Times New Roman"/>
        <w:b/>
        <w:bCs/>
        <w:w w:val="100"/>
        <w:sz w:val="22"/>
        <w:szCs w:val="22"/>
        <w:lang w:val="zh-CN" w:eastAsia="zh-CN" w:bidi="zh-CN"/>
      </w:rPr>
    </w:lvl>
    <w:lvl w:ilvl="1" w:tentative="0">
      <w:start w:val="4"/>
      <w:numFmt w:val="decimal"/>
      <w:lvlText w:val="%2."/>
      <w:lvlJc w:val="left"/>
      <w:pPr>
        <w:ind w:left="3044" w:hanging="272"/>
        <w:jc w:val="right"/>
      </w:pPr>
      <w:rPr>
        <w:rFonts w:hint="default" w:ascii="Times New Roman" w:hAnsi="Times New Roman" w:eastAsia="Times New Roman" w:cs="Times New Roman"/>
        <w:b/>
        <w:bCs/>
        <w:w w:val="100"/>
        <w:sz w:val="34"/>
        <w:szCs w:val="34"/>
        <w:lang w:val="zh-CN" w:eastAsia="zh-CN" w:bidi="zh-CN"/>
      </w:rPr>
    </w:lvl>
    <w:lvl w:ilvl="2" w:tentative="0">
      <w:start w:val="0"/>
      <w:numFmt w:val="bullet"/>
      <w:lvlText w:val="•"/>
      <w:lvlJc w:val="left"/>
      <w:pPr>
        <w:ind w:left="3751" w:hanging="272"/>
      </w:pPr>
      <w:rPr>
        <w:rFonts w:hint="default"/>
        <w:lang w:val="zh-CN" w:eastAsia="zh-CN" w:bidi="zh-CN"/>
      </w:rPr>
    </w:lvl>
    <w:lvl w:ilvl="3" w:tentative="0">
      <w:start w:val="0"/>
      <w:numFmt w:val="bullet"/>
      <w:lvlText w:val="•"/>
      <w:lvlJc w:val="left"/>
      <w:pPr>
        <w:ind w:left="4463" w:hanging="272"/>
      </w:pPr>
      <w:rPr>
        <w:rFonts w:hint="default"/>
        <w:lang w:val="zh-CN" w:eastAsia="zh-CN" w:bidi="zh-CN"/>
      </w:rPr>
    </w:lvl>
    <w:lvl w:ilvl="4" w:tentative="0">
      <w:start w:val="0"/>
      <w:numFmt w:val="bullet"/>
      <w:lvlText w:val="•"/>
      <w:lvlJc w:val="left"/>
      <w:pPr>
        <w:ind w:left="5175" w:hanging="272"/>
      </w:pPr>
      <w:rPr>
        <w:rFonts w:hint="default"/>
        <w:lang w:val="zh-CN" w:eastAsia="zh-CN" w:bidi="zh-CN"/>
      </w:rPr>
    </w:lvl>
    <w:lvl w:ilvl="5" w:tentative="0">
      <w:start w:val="0"/>
      <w:numFmt w:val="bullet"/>
      <w:lvlText w:val="•"/>
      <w:lvlJc w:val="left"/>
      <w:pPr>
        <w:ind w:left="5887" w:hanging="272"/>
      </w:pPr>
      <w:rPr>
        <w:rFonts w:hint="default"/>
        <w:lang w:val="zh-CN" w:eastAsia="zh-CN" w:bidi="zh-CN"/>
      </w:rPr>
    </w:lvl>
    <w:lvl w:ilvl="6" w:tentative="0">
      <w:start w:val="0"/>
      <w:numFmt w:val="bullet"/>
      <w:lvlText w:val="•"/>
      <w:lvlJc w:val="left"/>
      <w:pPr>
        <w:ind w:left="6598" w:hanging="272"/>
      </w:pPr>
      <w:rPr>
        <w:rFonts w:hint="default"/>
        <w:lang w:val="zh-CN" w:eastAsia="zh-CN" w:bidi="zh-CN"/>
      </w:rPr>
    </w:lvl>
    <w:lvl w:ilvl="7" w:tentative="0">
      <w:start w:val="0"/>
      <w:numFmt w:val="bullet"/>
      <w:lvlText w:val="•"/>
      <w:lvlJc w:val="left"/>
      <w:pPr>
        <w:ind w:left="7310" w:hanging="272"/>
      </w:pPr>
      <w:rPr>
        <w:rFonts w:hint="default"/>
        <w:lang w:val="zh-CN" w:eastAsia="zh-CN" w:bidi="zh-CN"/>
      </w:rPr>
    </w:lvl>
    <w:lvl w:ilvl="8" w:tentative="0">
      <w:start w:val="0"/>
      <w:numFmt w:val="bullet"/>
      <w:lvlText w:val="•"/>
      <w:lvlJc w:val="left"/>
      <w:pPr>
        <w:ind w:left="8022" w:hanging="272"/>
      </w:pPr>
      <w:rPr>
        <w:rFonts w:hint="default"/>
        <w:lang w:val="zh-CN" w:eastAsia="zh-CN" w:bidi="zh-CN"/>
      </w:rPr>
    </w:lvl>
  </w:abstractNum>
  <w:abstractNum w:abstractNumId="43">
    <w:nsid w:val="DAD3A854"/>
    <w:multiLevelType w:val="multilevel"/>
    <w:tmpl w:val="DAD3A854"/>
    <w:lvl w:ilvl="0" w:tentative="0">
      <w:start w:val="13"/>
      <w:numFmt w:val="decimal"/>
      <w:lvlText w:val="%1"/>
      <w:lvlJc w:val="left"/>
      <w:pPr>
        <w:ind w:left="867" w:hanging="632"/>
        <w:jc w:val="left"/>
      </w:pPr>
      <w:rPr>
        <w:rFonts w:hint="default"/>
        <w:lang w:val="zh-CN" w:eastAsia="zh-CN" w:bidi="zh-CN"/>
      </w:rPr>
    </w:lvl>
    <w:lvl w:ilvl="1" w:tentative="0">
      <w:start w:val="1"/>
      <w:numFmt w:val="decimal"/>
      <w:lvlText w:val="%1.%2"/>
      <w:lvlJc w:val="left"/>
      <w:pPr>
        <w:ind w:left="867" w:hanging="632"/>
        <w:jc w:val="left"/>
      </w:pPr>
      <w:rPr>
        <w:rFonts w:hint="default"/>
        <w:b/>
        <w:bCs/>
        <w:spacing w:val="-2"/>
        <w:w w:val="100"/>
        <w:lang w:val="zh-CN" w:eastAsia="zh-CN" w:bidi="zh-CN"/>
      </w:rPr>
    </w:lvl>
    <w:lvl w:ilvl="2" w:tentative="0">
      <w:start w:val="1"/>
      <w:numFmt w:val="decimal"/>
      <w:lvlText w:val="（%3）"/>
      <w:lvlJc w:val="left"/>
      <w:pPr>
        <w:ind w:left="236" w:hanging="601"/>
        <w:jc w:val="left"/>
      </w:pPr>
      <w:rPr>
        <w:rFonts w:hint="default" w:ascii="宋体" w:hAnsi="宋体" w:eastAsia="宋体" w:cs="宋体"/>
        <w:spacing w:val="-12"/>
        <w:w w:val="100"/>
        <w:sz w:val="22"/>
        <w:szCs w:val="22"/>
        <w:lang w:val="zh-CN" w:eastAsia="zh-CN" w:bidi="zh-CN"/>
      </w:rPr>
    </w:lvl>
    <w:lvl w:ilvl="3" w:tentative="0">
      <w:start w:val="0"/>
      <w:numFmt w:val="bullet"/>
      <w:lvlText w:val="•"/>
      <w:lvlJc w:val="left"/>
      <w:pPr>
        <w:ind w:left="2803" w:hanging="601"/>
      </w:pPr>
      <w:rPr>
        <w:rFonts w:hint="default"/>
        <w:lang w:val="zh-CN" w:eastAsia="zh-CN" w:bidi="zh-CN"/>
      </w:rPr>
    </w:lvl>
    <w:lvl w:ilvl="4" w:tentative="0">
      <w:start w:val="0"/>
      <w:numFmt w:val="bullet"/>
      <w:lvlText w:val="•"/>
      <w:lvlJc w:val="left"/>
      <w:pPr>
        <w:ind w:left="3775" w:hanging="601"/>
      </w:pPr>
      <w:rPr>
        <w:rFonts w:hint="default"/>
        <w:lang w:val="zh-CN" w:eastAsia="zh-CN" w:bidi="zh-CN"/>
      </w:rPr>
    </w:lvl>
    <w:lvl w:ilvl="5" w:tentative="0">
      <w:start w:val="0"/>
      <w:numFmt w:val="bullet"/>
      <w:lvlText w:val="•"/>
      <w:lvlJc w:val="left"/>
      <w:pPr>
        <w:ind w:left="4747" w:hanging="601"/>
      </w:pPr>
      <w:rPr>
        <w:rFonts w:hint="default"/>
        <w:lang w:val="zh-CN" w:eastAsia="zh-CN" w:bidi="zh-CN"/>
      </w:rPr>
    </w:lvl>
    <w:lvl w:ilvl="6" w:tentative="0">
      <w:start w:val="0"/>
      <w:numFmt w:val="bullet"/>
      <w:lvlText w:val="•"/>
      <w:lvlJc w:val="left"/>
      <w:pPr>
        <w:ind w:left="5718" w:hanging="601"/>
      </w:pPr>
      <w:rPr>
        <w:rFonts w:hint="default"/>
        <w:lang w:val="zh-CN" w:eastAsia="zh-CN" w:bidi="zh-CN"/>
      </w:rPr>
    </w:lvl>
    <w:lvl w:ilvl="7" w:tentative="0">
      <w:start w:val="0"/>
      <w:numFmt w:val="bullet"/>
      <w:lvlText w:val="•"/>
      <w:lvlJc w:val="left"/>
      <w:pPr>
        <w:ind w:left="6690" w:hanging="601"/>
      </w:pPr>
      <w:rPr>
        <w:rFonts w:hint="default"/>
        <w:lang w:val="zh-CN" w:eastAsia="zh-CN" w:bidi="zh-CN"/>
      </w:rPr>
    </w:lvl>
    <w:lvl w:ilvl="8" w:tentative="0">
      <w:start w:val="0"/>
      <w:numFmt w:val="bullet"/>
      <w:lvlText w:val="•"/>
      <w:lvlJc w:val="left"/>
      <w:pPr>
        <w:ind w:left="7662" w:hanging="601"/>
      </w:pPr>
      <w:rPr>
        <w:rFonts w:hint="default"/>
        <w:lang w:val="zh-CN" w:eastAsia="zh-CN" w:bidi="zh-CN"/>
      </w:rPr>
    </w:lvl>
  </w:abstractNum>
  <w:abstractNum w:abstractNumId="44">
    <w:nsid w:val="DCBA6B53"/>
    <w:multiLevelType w:val="multilevel"/>
    <w:tmpl w:val="DCBA6B53"/>
    <w:lvl w:ilvl="0" w:tentative="0">
      <w:start w:val="3"/>
      <w:numFmt w:val="decimal"/>
      <w:lvlText w:val="%1"/>
      <w:lvlJc w:val="left"/>
      <w:pPr>
        <w:ind w:left="1760" w:hanging="720"/>
        <w:jc w:val="left"/>
      </w:pPr>
      <w:rPr>
        <w:rFonts w:hint="default"/>
        <w:lang w:val="zh-CN" w:eastAsia="zh-CN" w:bidi="zh-CN"/>
      </w:rPr>
    </w:lvl>
    <w:lvl w:ilvl="1" w:tentative="0">
      <w:start w:val="2"/>
      <w:numFmt w:val="decimal"/>
      <w:lvlText w:val="%1.%2"/>
      <w:lvlJc w:val="left"/>
      <w:pPr>
        <w:ind w:left="1760" w:hanging="720"/>
        <w:jc w:val="left"/>
      </w:pPr>
      <w:rPr>
        <w:rFonts w:hint="default"/>
        <w:lang w:val="zh-CN" w:eastAsia="zh-CN" w:bidi="zh-CN"/>
      </w:rPr>
    </w:lvl>
    <w:lvl w:ilvl="2" w:tentative="0">
      <w:start w:val="7"/>
      <w:numFmt w:val="decimal"/>
      <w:lvlText w:val="%1.%2.%3"/>
      <w:lvlJc w:val="left"/>
      <w:pPr>
        <w:ind w:left="1760" w:hanging="720"/>
        <w:jc w:val="left"/>
      </w:pPr>
      <w:rPr>
        <w:rFonts w:hint="default"/>
        <w:lang w:val="zh-CN" w:eastAsia="zh-CN" w:bidi="zh-CN"/>
      </w:rPr>
    </w:lvl>
    <w:lvl w:ilvl="3" w:tentative="0">
      <w:start w:val="1"/>
      <w:numFmt w:val="decimal"/>
      <w:lvlText w:val="%1.%2.%3.%4"/>
      <w:lvlJc w:val="left"/>
      <w:pPr>
        <w:ind w:left="1760" w:hanging="720"/>
        <w:jc w:val="left"/>
      </w:pPr>
      <w:rPr>
        <w:rFonts w:hint="default" w:ascii="Times New Roman" w:hAnsi="Times New Roman" w:eastAsia="Times New Roman" w:cs="Times New Roman"/>
        <w:b/>
        <w:bCs/>
        <w:w w:val="99"/>
        <w:sz w:val="24"/>
        <w:szCs w:val="24"/>
        <w:lang w:val="zh-CN" w:eastAsia="zh-CN" w:bidi="zh-CN"/>
      </w:rPr>
    </w:lvl>
    <w:lvl w:ilvl="4" w:tentative="0">
      <w:start w:val="1"/>
      <w:numFmt w:val="decimal"/>
      <w:lvlText w:val="（%5）"/>
      <w:lvlJc w:val="left"/>
      <w:pPr>
        <w:ind w:left="2001" w:hanging="601"/>
        <w:jc w:val="left"/>
      </w:pPr>
      <w:rPr>
        <w:rFonts w:hint="default" w:ascii="宋体" w:hAnsi="宋体" w:eastAsia="宋体" w:cs="宋体"/>
        <w:w w:val="100"/>
        <w:sz w:val="22"/>
        <w:szCs w:val="22"/>
        <w:lang w:val="zh-CN" w:eastAsia="zh-CN" w:bidi="zh-CN"/>
      </w:rPr>
    </w:lvl>
    <w:lvl w:ilvl="5" w:tentative="0">
      <w:start w:val="0"/>
      <w:numFmt w:val="bullet"/>
      <w:lvlText w:val="•"/>
      <w:lvlJc w:val="left"/>
      <w:pPr>
        <w:ind w:left="5744" w:hanging="601"/>
      </w:pPr>
      <w:rPr>
        <w:rFonts w:hint="default"/>
        <w:lang w:val="zh-CN" w:eastAsia="zh-CN" w:bidi="zh-CN"/>
      </w:rPr>
    </w:lvl>
    <w:lvl w:ilvl="6" w:tentative="0">
      <w:start w:val="0"/>
      <w:numFmt w:val="bullet"/>
      <w:lvlText w:val="•"/>
      <w:lvlJc w:val="left"/>
      <w:pPr>
        <w:ind w:left="6681" w:hanging="601"/>
      </w:pPr>
      <w:rPr>
        <w:rFonts w:hint="default"/>
        <w:lang w:val="zh-CN" w:eastAsia="zh-CN" w:bidi="zh-CN"/>
      </w:rPr>
    </w:lvl>
    <w:lvl w:ilvl="7" w:tentative="0">
      <w:start w:val="0"/>
      <w:numFmt w:val="bullet"/>
      <w:lvlText w:val="•"/>
      <w:lvlJc w:val="left"/>
      <w:pPr>
        <w:ind w:left="7617" w:hanging="601"/>
      </w:pPr>
      <w:rPr>
        <w:rFonts w:hint="default"/>
        <w:lang w:val="zh-CN" w:eastAsia="zh-CN" w:bidi="zh-CN"/>
      </w:rPr>
    </w:lvl>
    <w:lvl w:ilvl="8" w:tentative="0">
      <w:start w:val="0"/>
      <w:numFmt w:val="bullet"/>
      <w:lvlText w:val="•"/>
      <w:lvlJc w:val="left"/>
      <w:pPr>
        <w:ind w:left="8553" w:hanging="601"/>
      </w:pPr>
      <w:rPr>
        <w:rFonts w:hint="default"/>
        <w:lang w:val="zh-CN" w:eastAsia="zh-CN" w:bidi="zh-CN"/>
      </w:rPr>
    </w:lvl>
  </w:abstractNum>
  <w:abstractNum w:abstractNumId="45">
    <w:nsid w:val="E0294EC7"/>
    <w:multiLevelType w:val="multilevel"/>
    <w:tmpl w:val="E0294EC7"/>
    <w:lvl w:ilvl="0" w:tentative="0">
      <w:start w:val="1"/>
      <w:numFmt w:val="decimal"/>
      <w:lvlText w:val="（%1）"/>
      <w:lvlJc w:val="left"/>
      <w:pPr>
        <w:ind w:left="130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4" w:hanging="601"/>
      </w:pPr>
      <w:rPr>
        <w:rFonts w:hint="default"/>
        <w:lang w:val="zh-CN" w:eastAsia="zh-CN" w:bidi="zh-CN"/>
      </w:rPr>
    </w:lvl>
    <w:lvl w:ilvl="2" w:tentative="0">
      <w:start w:val="0"/>
      <w:numFmt w:val="bullet"/>
      <w:lvlText w:val="•"/>
      <w:lvlJc w:val="left"/>
      <w:pPr>
        <w:ind w:left="2989" w:hanging="601"/>
      </w:pPr>
      <w:rPr>
        <w:rFonts w:hint="default"/>
        <w:lang w:val="zh-CN" w:eastAsia="zh-CN" w:bidi="zh-CN"/>
      </w:rPr>
    </w:lvl>
    <w:lvl w:ilvl="3" w:tentative="0">
      <w:start w:val="0"/>
      <w:numFmt w:val="bullet"/>
      <w:lvlText w:val="•"/>
      <w:lvlJc w:val="left"/>
      <w:pPr>
        <w:ind w:left="3833" w:hanging="601"/>
      </w:pPr>
      <w:rPr>
        <w:rFonts w:hint="default"/>
        <w:lang w:val="zh-CN" w:eastAsia="zh-CN" w:bidi="zh-CN"/>
      </w:rPr>
    </w:lvl>
    <w:lvl w:ilvl="4" w:tentative="0">
      <w:start w:val="0"/>
      <w:numFmt w:val="bullet"/>
      <w:lvlText w:val="•"/>
      <w:lvlJc w:val="left"/>
      <w:pPr>
        <w:ind w:left="4678"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67" w:hanging="601"/>
      </w:pPr>
      <w:rPr>
        <w:rFonts w:hint="default"/>
        <w:lang w:val="zh-CN" w:eastAsia="zh-CN" w:bidi="zh-CN"/>
      </w:rPr>
    </w:lvl>
    <w:lvl w:ilvl="7" w:tentative="0">
      <w:start w:val="0"/>
      <w:numFmt w:val="bullet"/>
      <w:lvlText w:val="•"/>
      <w:lvlJc w:val="left"/>
      <w:pPr>
        <w:ind w:left="7212" w:hanging="601"/>
      </w:pPr>
      <w:rPr>
        <w:rFonts w:hint="default"/>
        <w:lang w:val="zh-CN" w:eastAsia="zh-CN" w:bidi="zh-CN"/>
      </w:rPr>
    </w:lvl>
    <w:lvl w:ilvl="8" w:tentative="0">
      <w:start w:val="0"/>
      <w:numFmt w:val="bullet"/>
      <w:lvlText w:val="•"/>
      <w:lvlJc w:val="left"/>
      <w:pPr>
        <w:ind w:left="8056" w:hanging="601"/>
      </w:pPr>
      <w:rPr>
        <w:rFonts w:hint="default"/>
        <w:lang w:val="zh-CN" w:eastAsia="zh-CN" w:bidi="zh-CN"/>
      </w:rPr>
    </w:lvl>
  </w:abstractNum>
  <w:abstractNum w:abstractNumId="46">
    <w:nsid w:val="E093A4B0"/>
    <w:multiLevelType w:val="multilevel"/>
    <w:tmpl w:val="E093A4B0"/>
    <w:lvl w:ilvl="0" w:tentative="0">
      <w:start w:val="5"/>
      <w:numFmt w:val="decimal"/>
      <w:lvlText w:val="%1"/>
      <w:lvlJc w:val="left"/>
      <w:pPr>
        <w:ind w:left="960" w:hanging="449"/>
        <w:jc w:val="left"/>
      </w:pPr>
      <w:rPr>
        <w:rFonts w:hint="default"/>
        <w:lang w:val="zh-CN" w:eastAsia="zh-CN" w:bidi="zh-CN"/>
      </w:rPr>
    </w:lvl>
    <w:lvl w:ilvl="1" w:tentative="0">
      <w:start w:val="1"/>
      <w:numFmt w:val="decimal"/>
      <w:lvlText w:val="%1.%2"/>
      <w:lvlJc w:val="left"/>
      <w:pPr>
        <w:ind w:left="960" w:hanging="449"/>
        <w:jc w:val="left"/>
      </w:pPr>
      <w:rPr>
        <w:rFonts w:hint="default" w:ascii="Times New Roman" w:hAnsi="Times New Roman" w:eastAsia="Times New Roman" w:cs="Times New Roman"/>
        <w:b/>
        <w:bCs/>
        <w:spacing w:val="-1"/>
        <w:w w:val="100"/>
        <w:sz w:val="30"/>
        <w:szCs w:val="30"/>
        <w:lang w:val="zh-CN" w:eastAsia="zh-CN" w:bidi="zh-CN"/>
      </w:rPr>
    </w:lvl>
    <w:lvl w:ilvl="2" w:tentative="0">
      <w:start w:val="1"/>
      <w:numFmt w:val="decimal"/>
      <w:lvlText w:val="%1.%2.%3"/>
      <w:lvlJc w:val="left"/>
      <w:pPr>
        <w:ind w:left="1140"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1.%2.%3.%4"/>
      <w:lvlJc w:val="left"/>
      <w:pPr>
        <w:ind w:left="1292" w:hanging="780"/>
        <w:jc w:val="left"/>
      </w:pPr>
      <w:rPr>
        <w:rFonts w:hint="default" w:ascii="Times New Roman" w:hAnsi="Times New Roman" w:eastAsia="Times New Roman" w:cs="Times New Roman"/>
        <w:b/>
        <w:bCs/>
        <w:w w:val="99"/>
        <w:sz w:val="24"/>
        <w:szCs w:val="24"/>
        <w:lang w:val="zh-CN" w:eastAsia="zh-CN" w:bidi="zh-CN"/>
      </w:rPr>
    </w:lvl>
    <w:lvl w:ilvl="4" w:tentative="0">
      <w:start w:val="1"/>
      <w:numFmt w:val="decimal"/>
      <w:lvlText w:val="（%5）"/>
      <w:lvlJc w:val="left"/>
      <w:pPr>
        <w:ind w:left="1533" w:hanging="601"/>
        <w:jc w:val="left"/>
      </w:pPr>
      <w:rPr>
        <w:rFonts w:hint="default" w:ascii="宋体" w:hAnsi="宋体" w:eastAsia="宋体" w:cs="宋体"/>
        <w:w w:val="100"/>
        <w:sz w:val="22"/>
        <w:szCs w:val="22"/>
        <w:lang w:val="zh-CN" w:eastAsia="zh-CN" w:bidi="zh-CN"/>
      </w:rPr>
    </w:lvl>
    <w:lvl w:ilvl="5" w:tentative="0">
      <w:start w:val="0"/>
      <w:numFmt w:val="bullet"/>
      <w:lvlText w:val="•"/>
      <w:lvlJc w:val="left"/>
      <w:pPr>
        <w:ind w:left="1540" w:hanging="601"/>
      </w:pPr>
      <w:rPr>
        <w:rFonts w:hint="default"/>
        <w:lang w:val="zh-CN" w:eastAsia="zh-CN" w:bidi="zh-CN"/>
      </w:rPr>
    </w:lvl>
    <w:lvl w:ilvl="6" w:tentative="0">
      <w:start w:val="0"/>
      <w:numFmt w:val="bullet"/>
      <w:lvlText w:val="•"/>
      <w:lvlJc w:val="left"/>
      <w:pPr>
        <w:ind w:left="3093" w:hanging="601"/>
      </w:pPr>
      <w:rPr>
        <w:rFonts w:hint="default"/>
        <w:lang w:val="zh-CN" w:eastAsia="zh-CN" w:bidi="zh-CN"/>
      </w:rPr>
    </w:lvl>
    <w:lvl w:ilvl="7" w:tentative="0">
      <w:start w:val="0"/>
      <w:numFmt w:val="bullet"/>
      <w:lvlText w:val="•"/>
      <w:lvlJc w:val="left"/>
      <w:pPr>
        <w:ind w:left="4646" w:hanging="601"/>
      </w:pPr>
      <w:rPr>
        <w:rFonts w:hint="default"/>
        <w:lang w:val="zh-CN" w:eastAsia="zh-CN" w:bidi="zh-CN"/>
      </w:rPr>
    </w:lvl>
    <w:lvl w:ilvl="8" w:tentative="0">
      <w:start w:val="0"/>
      <w:numFmt w:val="bullet"/>
      <w:lvlText w:val="•"/>
      <w:lvlJc w:val="left"/>
      <w:pPr>
        <w:ind w:left="6199" w:hanging="601"/>
      </w:pPr>
      <w:rPr>
        <w:rFonts w:hint="default"/>
        <w:lang w:val="zh-CN" w:eastAsia="zh-CN" w:bidi="zh-CN"/>
      </w:rPr>
    </w:lvl>
  </w:abstractNum>
  <w:abstractNum w:abstractNumId="47">
    <w:nsid w:val="E504947C"/>
    <w:multiLevelType w:val="multilevel"/>
    <w:tmpl w:val="E504947C"/>
    <w:lvl w:ilvl="0" w:tentative="0">
      <w:start w:val="12"/>
      <w:numFmt w:val="decimal"/>
      <w:lvlText w:val="%1"/>
      <w:lvlJc w:val="left"/>
      <w:pPr>
        <w:ind w:left="816" w:hanging="600"/>
        <w:jc w:val="left"/>
      </w:pPr>
      <w:rPr>
        <w:rFonts w:hint="default"/>
        <w:lang w:val="zh-CN" w:eastAsia="zh-CN" w:bidi="zh-CN"/>
      </w:rPr>
    </w:lvl>
    <w:lvl w:ilvl="1" w:tentative="0">
      <w:start w:val="1"/>
      <w:numFmt w:val="decimal"/>
      <w:lvlText w:val="%1.%2"/>
      <w:lvlJc w:val="left"/>
      <w:pPr>
        <w:ind w:left="816" w:hanging="600"/>
        <w:jc w:val="left"/>
      </w:pPr>
      <w:rPr>
        <w:rFonts w:hint="default" w:ascii="Times New Roman" w:hAnsi="Times New Roman" w:eastAsia="Times New Roman" w:cs="Times New Roman"/>
        <w:b/>
        <w:bCs/>
        <w:spacing w:val="-2"/>
        <w:w w:val="99"/>
        <w:sz w:val="30"/>
        <w:szCs w:val="30"/>
        <w:lang w:val="zh-CN" w:eastAsia="zh-CN" w:bidi="zh-CN"/>
      </w:rPr>
    </w:lvl>
    <w:lvl w:ilvl="2" w:tentative="0">
      <w:start w:val="1"/>
      <w:numFmt w:val="decimal"/>
      <w:lvlText w:val="%1.%2.%3"/>
      <w:lvlJc w:val="left"/>
      <w:pPr>
        <w:ind w:left="986" w:hanging="77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297"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3456" w:hanging="601"/>
      </w:pPr>
      <w:rPr>
        <w:rFonts w:hint="default"/>
        <w:lang w:val="zh-CN" w:eastAsia="zh-CN" w:bidi="zh-CN"/>
      </w:rPr>
    </w:lvl>
    <w:lvl w:ilvl="5" w:tentative="0">
      <w:start w:val="0"/>
      <w:numFmt w:val="bullet"/>
      <w:lvlText w:val="•"/>
      <w:lvlJc w:val="left"/>
      <w:pPr>
        <w:ind w:left="4534" w:hanging="601"/>
      </w:pPr>
      <w:rPr>
        <w:rFonts w:hint="default"/>
        <w:lang w:val="zh-CN" w:eastAsia="zh-CN" w:bidi="zh-CN"/>
      </w:rPr>
    </w:lvl>
    <w:lvl w:ilvl="6" w:tentative="0">
      <w:start w:val="0"/>
      <w:numFmt w:val="bullet"/>
      <w:lvlText w:val="•"/>
      <w:lvlJc w:val="left"/>
      <w:pPr>
        <w:ind w:left="5613" w:hanging="601"/>
      </w:pPr>
      <w:rPr>
        <w:rFonts w:hint="default"/>
        <w:lang w:val="zh-CN" w:eastAsia="zh-CN" w:bidi="zh-CN"/>
      </w:rPr>
    </w:lvl>
    <w:lvl w:ilvl="7" w:tentative="0">
      <w:start w:val="0"/>
      <w:numFmt w:val="bullet"/>
      <w:lvlText w:val="•"/>
      <w:lvlJc w:val="left"/>
      <w:pPr>
        <w:ind w:left="6691" w:hanging="601"/>
      </w:pPr>
      <w:rPr>
        <w:rFonts w:hint="default"/>
        <w:lang w:val="zh-CN" w:eastAsia="zh-CN" w:bidi="zh-CN"/>
      </w:rPr>
    </w:lvl>
    <w:lvl w:ilvl="8" w:tentative="0">
      <w:start w:val="0"/>
      <w:numFmt w:val="bullet"/>
      <w:lvlText w:val="•"/>
      <w:lvlJc w:val="left"/>
      <w:pPr>
        <w:ind w:left="7769" w:hanging="601"/>
      </w:pPr>
      <w:rPr>
        <w:rFonts w:hint="default"/>
        <w:lang w:val="zh-CN" w:eastAsia="zh-CN" w:bidi="zh-CN"/>
      </w:rPr>
    </w:lvl>
  </w:abstractNum>
  <w:abstractNum w:abstractNumId="48">
    <w:nsid w:val="E7B27C5B"/>
    <w:multiLevelType w:val="multilevel"/>
    <w:tmpl w:val="E7B27C5B"/>
    <w:lvl w:ilvl="0" w:tentative="0">
      <w:start w:val="1"/>
      <w:numFmt w:val="decimal"/>
      <w:lvlText w:val="（%1）"/>
      <w:lvlJc w:val="left"/>
      <w:pPr>
        <w:ind w:left="1317" w:hanging="601"/>
        <w:jc w:val="left"/>
      </w:pPr>
      <w:rPr>
        <w:rFonts w:hint="default" w:ascii="宋体" w:hAnsi="宋体" w:eastAsia="宋体" w:cs="宋体"/>
        <w:spacing w:val="-2"/>
        <w:w w:val="100"/>
        <w:position w:val="2"/>
        <w:sz w:val="22"/>
        <w:szCs w:val="22"/>
        <w:lang w:val="zh-CN" w:eastAsia="zh-CN" w:bidi="zh-CN"/>
      </w:rPr>
    </w:lvl>
    <w:lvl w:ilvl="1" w:tentative="0">
      <w:start w:val="0"/>
      <w:numFmt w:val="bullet"/>
      <w:lvlText w:val="•"/>
      <w:lvlJc w:val="left"/>
      <w:pPr>
        <w:ind w:left="2148" w:hanging="601"/>
      </w:pPr>
      <w:rPr>
        <w:rFonts w:hint="default"/>
        <w:lang w:val="zh-CN" w:eastAsia="zh-CN" w:bidi="zh-CN"/>
      </w:rPr>
    </w:lvl>
    <w:lvl w:ilvl="2" w:tentative="0">
      <w:start w:val="0"/>
      <w:numFmt w:val="bullet"/>
      <w:lvlText w:val="•"/>
      <w:lvlJc w:val="left"/>
      <w:pPr>
        <w:ind w:left="2977" w:hanging="601"/>
      </w:pPr>
      <w:rPr>
        <w:rFonts w:hint="default"/>
        <w:lang w:val="zh-CN" w:eastAsia="zh-CN" w:bidi="zh-CN"/>
      </w:rPr>
    </w:lvl>
    <w:lvl w:ilvl="3" w:tentative="0">
      <w:start w:val="0"/>
      <w:numFmt w:val="bullet"/>
      <w:lvlText w:val="•"/>
      <w:lvlJc w:val="left"/>
      <w:pPr>
        <w:ind w:left="3805" w:hanging="601"/>
      </w:pPr>
      <w:rPr>
        <w:rFonts w:hint="default"/>
        <w:lang w:val="zh-CN" w:eastAsia="zh-CN" w:bidi="zh-CN"/>
      </w:rPr>
    </w:lvl>
    <w:lvl w:ilvl="4" w:tentative="0">
      <w:start w:val="0"/>
      <w:numFmt w:val="bullet"/>
      <w:lvlText w:val="•"/>
      <w:lvlJc w:val="left"/>
      <w:pPr>
        <w:ind w:left="4634" w:hanging="601"/>
      </w:pPr>
      <w:rPr>
        <w:rFonts w:hint="default"/>
        <w:lang w:val="zh-CN" w:eastAsia="zh-CN" w:bidi="zh-CN"/>
      </w:rPr>
    </w:lvl>
    <w:lvl w:ilvl="5" w:tentative="0">
      <w:start w:val="0"/>
      <w:numFmt w:val="bullet"/>
      <w:lvlText w:val="•"/>
      <w:lvlJc w:val="left"/>
      <w:pPr>
        <w:ind w:left="5463" w:hanging="601"/>
      </w:pPr>
      <w:rPr>
        <w:rFonts w:hint="default"/>
        <w:lang w:val="zh-CN" w:eastAsia="zh-CN" w:bidi="zh-CN"/>
      </w:rPr>
    </w:lvl>
    <w:lvl w:ilvl="6" w:tentative="0">
      <w:start w:val="0"/>
      <w:numFmt w:val="bullet"/>
      <w:lvlText w:val="•"/>
      <w:lvlJc w:val="left"/>
      <w:pPr>
        <w:ind w:left="6291" w:hanging="601"/>
      </w:pPr>
      <w:rPr>
        <w:rFonts w:hint="default"/>
        <w:lang w:val="zh-CN" w:eastAsia="zh-CN" w:bidi="zh-CN"/>
      </w:rPr>
    </w:lvl>
    <w:lvl w:ilvl="7" w:tentative="0">
      <w:start w:val="0"/>
      <w:numFmt w:val="bullet"/>
      <w:lvlText w:val="•"/>
      <w:lvlJc w:val="left"/>
      <w:pPr>
        <w:ind w:left="7120" w:hanging="601"/>
      </w:pPr>
      <w:rPr>
        <w:rFonts w:hint="default"/>
        <w:lang w:val="zh-CN" w:eastAsia="zh-CN" w:bidi="zh-CN"/>
      </w:rPr>
    </w:lvl>
    <w:lvl w:ilvl="8" w:tentative="0">
      <w:start w:val="0"/>
      <w:numFmt w:val="bullet"/>
      <w:lvlText w:val="•"/>
      <w:lvlJc w:val="left"/>
      <w:pPr>
        <w:ind w:left="7948" w:hanging="601"/>
      </w:pPr>
      <w:rPr>
        <w:rFonts w:hint="default"/>
        <w:lang w:val="zh-CN" w:eastAsia="zh-CN" w:bidi="zh-CN"/>
      </w:rPr>
    </w:lvl>
  </w:abstractNum>
  <w:abstractNum w:abstractNumId="49">
    <w:nsid w:val="F0E89278"/>
    <w:multiLevelType w:val="multilevel"/>
    <w:tmpl w:val="F0E89278"/>
    <w:lvl w:ilvl="0" w:tentative="0">
      <w:start w:val="6"/>
      <w:numFmt w:val="decimal"/>
      <w:lvlText w:val="%1"/>
      <w:lvlJc w:val="left"/>
      <w:pPr>
        <w:ind w:left="1272" w:hanging="720"/>
        <w:jc w:val="left"/>
      </w:pPr>
      <w:rPr>
        <w:rFonts w:hint="default"/>
        <w:lang w:val="zh-CN" w:eastAsia="zh-CN" w:bidi="zh-CN"/>
      </w:rPr>
    </w:lvl>
    <w:lvl w:ilvl="1" w:tentative="0">
      <w:start w:val="4"/>
      <w:numFmt w:val="decimal"/>
      <w:lvlText w:val="%1.%2"/>
      <w:lvlJc w:val="left"/>
      <w:pPr>
        <w:ind w:left="1272" w:hanging="720"/>
        <w:jc w:val="left"/>
      </w:pPr>
      <w:rPr>
        <w:rFonts w:hint="default"/>
        <w:lang w:val="zh-CN" w:eastAsia="zh-CN" w:bidi="zh-CN"/>
      </w:rPr>
    </w:lvl>
    <w:lvl w:ilvl="2" w:tentative="0">
      <w:start w:val="1"/>
      <w:numFmt w:val="decimal"/>
      <w:lvlText w:val="%1.%2.%3"/>
      <w:lvlJc w:val="left"/>
      <w:pPr>
        <w:ind w:left="1272" w:hanging="720"/>
        <w:jc w:val="left"/>
      </w:pPr>
      <w:rPr>
        <w:rFonts w:hint="default"/>
        <w:lang w:val="zh-CN" w:eastAsia="zh-CN" w:bidi="zh-CN"/>
      </w:rPr>
    </w:lvl>
    <w:lvl w:ilvl="3" w:tentative="0">
      <w:start w:val="1"/>
      <w:numFmt w:val="decimal"/>
      <w:lvlText w:val="%1.%2.%3.%4"/>
      <w:lvlJc w:val="left"/>
      <w:pPr>
        <w:ind w:left="1272" w:hanging="720"/>
        <w:jc w:val="left"/>
      </w:pPr>
      <w:rPr>
        <w:rFonts w:hint="default" w:ascii="Times New Roman" w:hAnsi="Times New Roman" w:eastAsia="Times New Roman" w:cs="Times New Roman"/>
        <w:b/>
        <w:bCs/>
        <w:w w:val="99"/>
        <w:sz w:val="24"/>
        <w:szCs w:val="24"/>
        <w:lang w:val="zh-CN" w:eastAsia="zh-CN" w:bidi="zh-CN"/>
      </w:rPr>
    </w:lvl>
    <w:lvl w:ilvl="4" w:tentative="0">
      <w:start w:val="0"/>
      <w:numFmt w:val="bullet"/>
      <w:lvlText w:val="•"/>
      <w:lvlJc w:val="left"/>
      <w:pPr>
        <w:ind w:left="4738" w:hanging="720"/>
      </w:pPr>
      <w:rPr>
        <w:rFonts w:hint="default"/>
        <w:lang w:val="zh-CN" w:eastAsia="zh-CN" w:bidi="zh-CN"/>
      </w:rPr>
    </w:lvl>
    <w:lvl w:ilvl="5" w:tentative="0">
      <w:start w:val="0"/>
      <w:numFmt w:val="bullet"/>
      <w:lvlText w:val="•"/>
      <w:lvlJc w:val="left"/>
      <w:pPr>
        <w:ind w:left="5603" w:hanging="720"/>
      </w:pPr>
      <w:rPr>
        <w:rFonts w:hint="default"/>
        <w:lang w:val="zh-CN" w:eastAsia="zh-CN" w:bidi="zh-CN"/>
      </w:rPr>
    </w:lvl>
    <w:lvl w:ilvl="6" w:tentative="0">
      <w:start w:val="0"/>
      <w:numFmt w:val="bullet"/>
      <w:lvlText w:val="•"/>
      <w:lvlJc w:val="left"/>
      <w:pPr>
        <w:ind w:left="6467" w:hanging="720"/>
      </w:pPr>
      <w:rPr>
        <w:rFonts w:hint="default"/>
        <w:lang w:val="zh-CN" w:eastAsia="zh-CN" w:bidi="zh-CN"/>
      </w:rPr>
    </w:lvl>
    <w:lvl w:ilvl="7" w:tentative="0">
      <w:start w:val="0"/>
      <w:numFmt w:val="bullet"/>
      <w:lvlText w:val="•"/>
      <w:lvlJc w:val="left"/>
      <w:pPr>
        <w:ind w:left="7332" w:hanging="720"/>
      </w:pPr>
      <w:rPr>
        <w:rFonts w:hint="default"/>
        <w:lang w:val="zh-CN" w:eastAsia="zh-CN" w:bidi="zh-CN"/>
      </w:rPr>
    </w:lvl>
    <w:lvl w:ilvl="8" w:tentative="0">
      <w:start w:val="0"/>
      <w:numFmt w:val="bullet"/>
      <w:lvlText w:val="•"/>
      <w:lvlJc w:val="left"/>
      <w:pPr>
        <w:ind w:left="8196" w:hanging="720"/>
      </w:pPr>
      <w:rPr>
        <w:rFonts w:hint="default"/>
        <w:lang w:val="zh-CN" w:eastAsia="zh-CN" w:bidi="zh-CN"/>
      </w:rPr>
    </w:lvl>
  </w:abstractNum>
  <w:abstractNum w:abstractNumId="50">
    <w:nsid w:val="F4B5D9F5"/>
    <w:multiLevelType w:val="multilevel"/>
    <w:tmpl w:val="F4B5D9F5"/>
    <w:lvl w:ilvl="0" w:tentative="0">
      <w:start w:val="2"/>
      <w:numFmt w:val="decimal"/>
      <w:lvlText w:val="%1"/>
      <w:lvlJc w:val="left"/>
      <w:pPr>
        <w:ind w:left="1078" w:hanging="420"/>
        <w:jc w:val="left"/>
      </w:pPr>
      <w:rPr>
        <w:rFonts w:hint="default"/>
        <w:lang w:val="zh-CN" w:eastAsia="zh-CN" w:bidi="zh-CN"/>
      </w:rPr>
    </w:lvl>
    <w:lvl w:ilvl="1" w:tentative="0">
      <w:start w:val="5"/>
      <w:numFmt w:val="decimal"/>
      <w:lvlText w:val="%1.%2"/>
      <w:lvlJc w:val="left"/>
      <w:pPr>
        <w:ind w:left="1078" w:hanging="420"/>
        <w:jc w:val="left"/>
      </w:pPr>
      <w:rPr>
        <w:rFonts w:hint="default"/>
        <w:b/>
        <w:bCs/>
        <w:spacing w:val="-1"/>
        <w:w w:val="100"/>
        <w:lang w:val="zh-CN" w:eastAsia="zh-CN" w:bidi="zh-CN"/>
      </w:rPr>
    </w:lvl>
    <w:lvl w:ilvl="2" w:tentative="0">
      <w:start w:val="1"/>
      <w:numFmt w:val="decimal"/>
      <w:lvlText w:val="%1.%2.%3"/>
      <w:lvlJc w:val="left"/>
      <w:pPr>
        <w:ind w:left="1356" w:hanging="699"/>
        <w:jc w:val="left"/>
      </w:pPr>
      <w:rPr>
        <w:rFonts w:hint="default"/>
        <w:b/>
        <w:bCs/>
        <w:spacing w:val="-4"/>
        <w:w w:val="100"/>
        <w:lang w:val="zh-CN" w:eastAsia="zh-CN" w:bidi="zh-CN"/>
      </w:rPr>
    </w:lvl>
    <w:lvl w:ilvl="3" w:tentative="0">
      <w:start w:val="0"/>
      <w:numFmt w:val="bullet"/>
      <w:lvlText w:val="•"/>
      <w:lvlJc w:val="left"/>
      <w:pPr>
        <w:ind w:left="3374" w:hanging="699"/>
      </w:pPr>
      <w:rPr>
        <w:rFonts w:hint="default"/>
        <w:lang w:val="zh-CN" w:eastAsia="zh-CN" w:bidi="zh-CN"/>
      </w:rPr>
    </w:lvl>
    <w:lvl w:ilvl="4" w:tentative="0">
      <w:start w:val="0"/>
      <w:numFmt w:val="bullet"/>
      <w:lvlText w:val="•"/>
      <w:lvlJc w:val="left"/>
      <w:pPr>
        <w:ind w:left="4382" w:hanging="699"/>
      </w:pPr>
      <w:rPr>
        <w:rFonts w:hint="default"/>
        <w:lang w:val="zh-CN" w:eastAsia="zh-CN" w:bidi="zh-CN"/>
      </w:rPr>
    </w:lvl>
    <w:lvl w:ilvl="5" w:tentative="0">
      <w:start w:val="0"/>
      <w:numFmt w:val="bullet"/>
      <w:lvlText w:val="•"/>
      <w:lvlJc w:val="left"/>
      <w:pPr>
        <w:ind w:left="5389" w:hanging="699"/>
      </w:pPr>
      <w:rPr>
        <w:rFonts w:hint="default"/>
        <w:lang w:val="zh-CN" w:eastAsia="zh-CN" w:bidi="zh-CN"/>
      </w:rPr>
    </w:lvl>
    <w:lvl w:ilvl="6" w:tentative="0">
      <w:start w:val="0"/>
      <w:numFmt w:val="bullet"/>
      <w:lvlText w:val="•"/>
      <w:lvlJc w:val="left"/>
      <w:pPr>
        <w:ind w:left="6396" w:hanging="699"/>
      </w:pPr>
      <w:rPr>
        <w:rFonts w:hint="default"/>
        <w:lang w:val="zh-CN" w:eastAsia="zh-CN" w:bidi="zh-CN"/>
      </w:rPr>
    </w:lvl>
    <w:lvl w:ilvl="7" w:tentative="0">
      <w:start w:val="0"/>
      <w:numFmt w:val="bullet"/>
      <w:lvlText w:val="•"/>
      <w:lvlJc w:val="left"/>
      <w:pPr>
        <w:ind w:left="7404" w:hanging="699"/>
      </w:pPr>
      <w:rPr>
        <w:rFonts w:hint="default"/>
        <w:lang w:val="zh-CN" w:eastAsia="zh-CN" w:bidi="zh-CN"/>
      </w:rPr>
    </w:lvl>
    <w:lvl w:ilvl="8" w:tentative="0">
      <w:start w:val="0"/>
      <w:numFmt w:val="bullet"/>
      <w:lvlText w:val="•"/>
      <w:lvlJc w:val="left"/>
      <w:pPr>
        <w:ind w:left="8411" w:hanging="699"/>
      </w:pPr>
      <w:rPr>
        <w:rFonts w:hint="default"/>
        <w:lang w:val="zh-CN" w:eastAsia="zh-CN" w:bidi="zh-CN"/>
      </w:rPr>
    </w:lvl>
  </w:abstractNum>
  <w:abstractNum w:abstractNumId="51">
    <w:nsid w:val="F585BF25"/>
    <w:multiLevelType w:val="multilevel"/>
    <w:tmpl w:val="F585BF25"/>
    <w:lvl w:ilvl="0" w:tentative="0">
      <w:start w:val="1"/>
      <w:numFmt w:val="decimal"/>
      <w:lvlText w:val="%1."/>
      <w:lvlJc w:val="left"/>
      <w:pPr>
        <w:ind w:left="270"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833" w:hanging="159"/>
      </w:pPr>
      <w:rPr>
        <w:rFonts w:hint="default"/>
        <w:lang w:val="zh-CN" w:eastAsia="zh-CN" w:bidi="zh-CN"/>
      </w:rPr>
    </w:lvl>
    <w:lvl w:ilvl="2" w:tentative="0">
      <w:start w:val="0"/>
      <w:numFmt w:val="bullet"/>
      <w:lvlText w:val="•"/>
      <w:lvlJc w:val="left"/>
      <w:pPr>
        <w:ind w:left="1387" w:hanging="159"/>
      </w:pPr>
      <w:rPr>
        <w:rFonts w:hint="default"/>
        <w:lang w:val="zh-CN" w:eastAsia="zh-CN" w:bidi="zh-CN"/>
      </w:rPr>
    </w:lvl>
    <w:lvl w:ilvl="3" w:tentative="0">
      <w:start w:val="0"/>
      <w:numFmt w:val="bullet"/>
      <w:lvlText w:val="•"/>
      <w:lvlJc w:val="left"/>
      <w:pPr>
        <w:ind w:left="1941" w:hanging="159"/>
      </w:pPr>
      <w:rPr>
        <w:rFonts w:hint="default"/>
        <w:lang w:val="zh-CN" w:eastAsia="zh-CN" w:bidi="zh-CN"/>
      </w:rPr>
    </w:lvl>
    <w:lvl w:ilvl="4" w:tentative="0">
      <w:start w:val="0"/>
      <w:numFmt w:val="bullet"/>
      <w:lvlText w:val="•"/>
      <w:lvlJc w:val="left"/>
      <w:pPr>
        <w:ind w:left="2494" w:hanging="159"/>
      </w:pPr>
      <w:rPr>
        <w:rFonts w:hint="default"/>
        <w:lang w:val="zh-CN" w:eastAsia="zh-CN" w:bidi="zh-CN"/>
      </w:rPr>
    </w:lvl>
    <w:lvl w:ilvl="5" w:tentative="0">
      <w:start w:val="0"/>
      <w:numFmt w:val="bullet"/>
      <w:lvlText w:val="•"/>
      <w:lvlJc w:val="left"/>
      <w:pPr>
        <w:ind w:left="3048" w:hanging="159"/>
      </w:pPr>
      <w:rPr>
        <w:rFonts w:hint="default"/>
        <w:lang w:val="zh-CN" w:eastAsia="zh-CN" w:bidi="zh-CN"/>
      </w:rPr>
    </w:lvl>
    <w:lvl w:ilvl="6" w:tentative="0">
      <w:start w:val="0"/>
      <w:numFmt w:val="bullet"/>
      <w:lvlText w:val="•"/>
      <w:lvlJc w:val="left"/>
      <w:pPr>
        <w:ind w:left="3602" w:hanging="159"/>
      </w:pPr>
      <w:rPr>
        <w:rFonts w:hint="default"/>
        <w:lang w:val="zh-CN" w:eastAsia="zh-CN" w:bidi="zh-CN"/>
      </w:rPr>
    </w:lvl>
    <w:lvl w:ilvl="7" w:tentative="0">
      <w:start w:val="0"/>
      <w:numFmt w:val="bullet"/>
      <w:lvlText w:val="•"/>
      <w:lvlJc w:val="left"/>
      <w:pPr>
        <w:ind w:left="4155" w:hanging="159"/>
      </w:pPr>
      <w:rPr>
        <w:rFonts w:hint="default"/>
        <w:lang w:val="zh-CN" w:eastAsia="zh-CN" w:bidi="zh-CN"/>
      </w:rPr>
    </w:lvl>
    <w:lvl w:ilvl="8" w:tentative="0">
      <w:start w:val="0"/>
      <w:numFmt w:val="bullet"/>
      <w:lvlText w:val="•"/>
      <w:lvlJc w:val="left"/>
      <w:pPr>
        <w:ind w:left="4709" w:hanging="159"/>
      </w:pPr>
      <w:rPr>
        <w:rFonts w:hint="default"/>
        <w:lang w:val="zh-CN" w:eastAsia="zh-CN" w:bidi="zh-CN"/>
      </w:rPr>
    </w:lvl>
  </w:abstractNum>
  <w:abstractNum w:abstractNumId="52">
    <w:nsid w:val="F689643B"/>
    <w:multiLevelType w:val="multilevel"/>
    <w:tmpl w:val="F689643B"/>
    <w:lvl w:ilvl="0" w:tentative="0">
      <w:start w:val="10"/>
      <w:numFmt w:val="decimal"/>
      <w:lvlText w:val="%1"/>
      <w:lvlJc w:val="left"/>
      <w:pPr>
        <w:ind w:left="847" w:hanging="632"/>
        <w:jc w:val="left"/>
      </w:pPr>
      <w:rPr>
        <w:rFonts w:hint="default"/>
        <w:lang w:val="zh-CN" w:eastAsia="zh-CN" w:bidi="zh-CN"/>
      </w:rPr>
    </w:lvl>
    <w:lvl w:ilvl="1" w:tentative="0">
      <w:start w:val="1"/>
      <w:numFmt w:val="decimal"/>
      <w:lvlText w:val="%1.%2"/>
      <w:lvlJc w:val="left"/>
      <w:pPr>
        <w:ind w:left="847" w:hanging="632"/>
        <w:jc w:val="left"/>
      </w:pPr>
      <w:rPr>
        <w:rFonts w:hint="default"/>
        <w:b/>
        <w:bCs/>
        <w:spacing w:val="-2"/>
        <w:w w:val="100"/>
        <w:lang w:val="zh-CN" w:eastAsia="zh-CN" w:bidi="zh-CN"/>
      </w:rPr>
    </w:lvl>
    <w:lvl w:ilvl="2" w:tentative="0">
      <w:start w:val="1"/>
      <w:numFmt w:val="decimal"/>
      <w:lvlText w:val="（%3）"/>
      <w:lvlJc w:val="left"/>
      <w:pPr>
        <w:ind w:left="216" w:hanging="601"/>
        <w:jc w:val="left"/>
      </w:pPr>
      <w:rPr>
        <w:rFonts w:hint="default" w:ascii="宋体" w:hAnsi="宋体" w:eastAsia="宋体" w:cs="宋体"/>
        <w:spacing w:val="-22"/>
        <w:w w:val="100"/>
        <w:sz w:val="22"/>
        <w:szCs w:val="22"/>
        <w:lang w:val="zh-CN" w:eastAsia="zh-CN" w:bidi="zh-CN"/>
      </w:rPr>
    </w:lvl>
    <w:lvl w:ilvl="3" w:tentative="0">
      <w:start w:val="0"/>
      <w:numFmt w:val="bullet"/>
      <w:lvlText w:val="•"/>
      <w:lvlJc w:val="left"/>
      <w:pPr>
        <w:ind w:left="2859" w:hanging="601"/>
      </w:pPr>
      <w:rPr>
        <w:rFonts w:hint="default"/>
        <w:lang w:val="zh-CN" w:eastAsia="zh-CN" w:bidi="zh-CN"/>
      </w:rPr>
    </w:lvl>
    <w:lvl w:ilvl="4" w:tentative="0">
      <w:start w:val="0"/>
      <w:numFmt w:val="bullet"/>
      <w:lvlText w:val="•"/>
      <w:lvlJc w:val="left"/>
      <w:pPr>
        <w:ind w:left="3868" w:hanging="601"/>
      </w:pPr>
      <w:rPr>
        <w:rFonts w:hint="default"/>
        <w:lang w:val="zh-CN" w:eastAsia="zh-CN" w:bidi="zh-CN"/>
      </w:rPr>
    </w:lvl>
    <w:lvl w:ilvl="5" w:tentative="0">
      <w:start w:val="0"/>
      <w:numFmt w:val="bullet"/>
      <w:lvlText w:val="•"/>
      <w:lvlJc w:val="left"/>
      <w:pPr>
        <w:ind w:left="4878" w:hanging="601"/>
      </w:pPr>
      <w:rPr>
        <w:rFonts w:hint="default"/>
        <w:lang w:val="zh-CN" w:eastAsia="zh-CN" w:bidi="zh-CN"/>
      </w:rPr>
    </w:lvl>
    <w:lvl w:ilvl="6" w:tentative="0">
      <w:start w:val="0"/>
      <w:numFmt w:val="bullet"/>
      <w:lvlText w:val="•"/>
      <w:lvlJc w:val="left"/>
      <w:pPr>
        <w:ind w:left="5887" w:hanging="601"/>
      </w:pPr>
      <w:rPr>
        <w:rFonts w:hint="default"/>
        <w:lang w:val="zh-CN" w:eastAsia="zh-CN" w:bidi="zh-CN"/>
      </w:rPr>
    </w:lvl>
    <w:lvl w:ilvl="7" w:tentative="0">
      <w:start w:val="0"/>
      <w:numFmt w:val="bullet"/>
      <w:lvlText w:val="•"/>
      <w:lvlJc w:val="left"/>
      <w:pPr>
        <w:ind w:left="6897" w:hanging="601"/>
      </w:pPr>
      <w:rPr>
        <w:rFonts w:hint="default"/>
        <w:lang w:val="zh-CN" w:eastAsia="zh-CN" w:bidi="zh-CN"/>
      </w:rPr>
    </w:lvl>
    <w:lvl w:ilvl="8" w:tentative="0">
      <w:start w:val="0"/>
      <w:numFmt w:val="bullet"/>
      <w:lvlText w:val="•"/>
      <w:lvlJc w:val="left"/>
      <w:pPr>
        <w:ind w:left="7906" w:hanging="601"/>
      </w:pPr>
      <w:rPr>
        <w:rFonts w:hint="default"/>
        <w:lang w:val="zh-CN" w:eastAsia="zh-CN" w:bidi="zh-CN"/>
      </w:rPr>
    </w:lvl>
  </w:abstractNum>
  <w:abstractNum w:abstractNumId="53">
    <w:nsid w:val="F7735DC9"/>
    <w:multiLevelType w:val="multilevel"/>
    <w:tmpl w:val="F7735DC9"/>
    <w:lvl w:ilvl="0" w:tentative="0">
      <w:start w:val="1"/>
      <w:numFmt w:val="decimal"/>
      <w:lvlText w:val="（%1）"/>
      <w:lvlJc w:val="left"/>
      <w:pPr>
        <w:ind w:left="159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84" w:hanging="601"/>
      </w:pPr>
      <w:rPr>
        <w:rFonts w:hint="default"/>
        <w:lang w:val="zh-CN" w:eastAsia="zh-CN" w:bidi="zh-CN"/>
      </w:rPr>
    </w:lvl>
    <w:lvl w:ilvl="2" w:tentative="0">
      <w:start w:val="0"/>
      <w:numFmt w:val="bullet"/>
      <w:lvlText w:val="•"/>
      <w:lvlJc w:val="left"/>
      <w:pPr>
        <w:ind w:left="3169" w:hanging="601"/>
      </w:pPr>
      <w:rPr>
        <w:rFonts w:hint="default"/>
        <w:lang w:val="zh-CN" w:eastAsia="zh-CN" w:bidi="zh-CN"/>
      </w:rPr>
    </w:lvl>
    <w:lvl w:ilvl="3" w:tentative="0">
      <w:start w:val="0"/>
      <w:numFmt w:val="bullet"/>
      <w:lvlText w:val="•"/>
      <w:lvlJc w:val="left"/>
      <w:pPr>
        <w:ind w:left="3953" w:hanging="601"/>
      </w:pPr>
      <w:rPr>
        <w:rFonts w:hint="default"/>
        <w:lang w:val="zh-CN" w:eastAsia="zh-CN" w:bidi="zh-CN"/>
      </w:rPr>
    </w:lvl>
    <w:lvl w:ilvl="4" w:tentative="0">
      <w:start w:val="0"/>
      <w:numFmt w:val="bullet"/>
      <w:lvlText w:val="•"/>
      <w:lvlJc w:val="left"/>
      <w:pPr>
        <w:ind w:left="4738"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7" w:hanging="601"/>
      </w:pPr>
      <w:rPr>
        <w:rFonts w:hint="default"/>
        <w:lang w:val="zh-CN" w:eastAsia="zh-CN" w:bidi="zh-CN"/>
      </w:rPr>
    </w:lvl>
    <w:lvl w:ilvl="7" w:tentative="0">
      <w:start w:val="0"/>
      <w:numFmt w:val="bullet"/>
      <w:lvlText w:val="•"/>
      <w:lvlJc w:val="left"/>
      <w:pPr>
        <w:ind w:left="7092" w:hanging="601"/>
      </w:pPr>
      <w:rPr>
        <w:rFonts w:hint="default"/>
        <w:lang w:val="zh-CN" w:eastAsia="zh-CN" w:bidi="zh-CN"/>
      </w:rPr>
    </w:lvl>
    <w:lvl w:ilvl="8" w:tentative="0">
      <w:start w:val="0"/>
      <w:numFmt w:val="bullet"/>
      <w:lvlText w:val="•"/>
      <w:lvlJc w:val="left"/>
      <w:pPr>
        <w:ind w:left="7876" w:hanging="601"/>
      </w:pPr>
      <w:rPr>
        <w:rFonts w:hint="default"/>
        <w:lang w:val="zh-CN" w:eastAsia="zh-CN" w:bidi="zh-CN"/>
      </w:rPr>
    </w:lvl>
  </w:abstractNum>
  <w:abstractNum w:abstractNumId="54">
    <w:nsid w:val="FEC2EA36"/>
    <w:multiLevelType w:val="multilevel"/>
    <w:tmpl w:val="FEC2EA36"/>
    <w:lvl w:ilvl="0" w:tentative="0">
      <w:start w:val="10"/>
      <w:numFmt w:val="decimal"/>
      <w:lvlText w:val="%1"/>
      <w:lvlJc w:val="left"/>
      <w:pPr>
        <w:ind w:left="1056" w:hanging="840"/>
        <w:jc w:val="left"/>
      </w:pPr>
      <w:rPr>
        <w:rFonts w:hint="default"/>
        <w:lang w:val="zh-CN" w:eastAsia="zh-CN" w:bidi="zh-CN"/>
      </w:rPr>
    </w:lvl>
    <w:lvl w:ilvl="1" w:tentative="0">
      <w:start w:val="3"/>
      <w:numFmt w:val="decimal"/>
      <w:lvlText w:val="%1.%2"/>
      <w:lvlJc w:val="left"/>
      <w:pPr>
        <w:ind w:left="1056" w:hanging="840"/>
        <w:jc w:val="left"/>
      </w:pPr>
      <w:rPr>
        <w:rFonts w:hint="default"/>
        <w:lang w:val="zh-CN" w:eastAsia="zh-CN" w:bidi="zh-CN"/>
      </w:rPr>
    </w:lvl>
    <w:lvl w:ilvl="2" w:tentative="0">
      <w:start w:val="1"/>
      <w:numFmt w:val="decimal"/>
      <w:lvlText w:val="%1.%2.%3"/>
      <w:lvlJc w:val="left"/>
      <w:pPr>
        <w:ind w:left="1056" w:hanging="840"/>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297"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4175" w:hanging="601"/>
      </w:pPr>
      <w:rPr>
        <w:rFonts w:hint="default"/>
        <w:lang w:val="zh-CN" w:eastAsia="zh-CN" w:bidi="zh-CN"/>
      </w:rPr>
    </w:lvl>
    <w:lvl w:ilvl="5" w:tentative="0">
      <w:start w:val="0"/>
      <w:numFmt w:val="bullet"/>
      <w:lvlText w:val="•"/>
      <w:lvlJc w:val="left"/>
      <w:pPr>
        <w:ind w:left="5133" w:hanging="601"/>
      </w:pPr>
      <w:rPr>
        <w:rFonts w:hint="default"/>
        <w:lang w:val="zh-CN" w:eastAsia="zh-CN" w:bidi="zh-CN"/>
      </w:rPr>
    </w:lvl>
    <w:lvl w:ilvl="6" w:tentative="0">
      <w:start w:val="0"/>
      <w:numFmt w:val="bullet"/>
      <w:lvlText w:val="•"/>
      <w:lvlJc w:val="left"/>
      <w:pPr>
        <w:ind w:left="6092" w:hanging="601"/>
      </w:pPr>
      <w:rPr>
        <w:rFonts w:hint="default"/>
        <w:lang w:val="zh-CN" w:eastAsia="zh-CN" w:bidi="zh-CN"/>
      </w:rPr>
    </w:lvl>
    <w:lvl w:ilvl="7" w:tentative="0">
      <w:start w:val="0"/>
      <w:numFmt w:val="bullet"/>
      <w:lvlText w:val="•"/>
      <w:lvlJc w:val="left"/>
      <w:pPr>
        <w:ind w:left="7050" w:hanging="601"/>
      </w:pPr>
      <w:rPr>
        <w:rFonts w:hint="default"/>
        <w:lang w:val="zh-CN" w:eastAsia="zh-CN" w:bidi="zh-CN"/>
      </w:rPr>
    </w:lvl>
    <w:lvl w:ilvl="8" w:tentative="0">
      <w:start w:val="0"/>
      <w:numFmt w:val="bullet"/>
      <w:lvlText w:val="•"/>
      <w:lvlJc w:val="left"/>
      <w:pPr>
        <w:ind w:left="8009" w:hanging="601"/>
      </w:pPr>
      <w:rPr>
        <w:rFonts w:hint="default"/>
        <w:lang w:val="zh-CN" w:eastAsia="zh-CN" w:bidi="zh-CN"/>
      </w:rPr>
    </w:lvl>
  </w:abstractNum>
  <w:abstractNum w:abstractNumId="55">
    <w:nsid w:val="0053208E"/>
    <w:multiLevelType w:val="multilevel"/>
    <w:tmpl w:val="0053208E"/>
    <w:lvl w:ilvl="0" w:tentative="0">
      <w:start w:val="1"/>
      <w:numFmt w:val="decimal"/>
      <w:lvlText w:val="%1."/>
      <w:lvlJc w:val="left"/>
      <w:pPr>
        <w:ind w:left="1252" w:hanging="213"/>
        <w:jc w:val="left"/>
      </w:pPr>
      <w:rPr>
        <w:rFonts w:hint="default" w:ascii="Times New Roman" w:hAnsi="Times New Roman" w:eastAsia="Times New Roman" w:cs="Times New Roman"/>
        <w:spacing w:val="-4"/>
        <w:w w:val="100"/>
        <w:sz w:val="26"/>
        <w:szCs w:val="26"/>
        <w:lang w:val="zh-CN" w:eastAsia="zh-CN" w:bidi="zh-CN"/>
      </w:rPr>
    </w:lvl>
    <w:lvl w:ilvl="1" w:tentative="0">
      <w:start w:val="1"/>
      <w:numFmt w:val="decimal"/>
      <w:lvlText w:val="%1.%2"/>
      <w:lvlJc w:val="left"/>
      <w:pPr>
        <w:ind w:left="1774" w:hanging="315"/>
        <w:jc w:val="left"/>
      </w:pPr>
      <w:rPr>
        <w:rFonts w:hint="default" w:ascii="Times New Roman" w:hAnsi="Times New Roman" w:eastAsia="Times New Roman" w:cs="Times New Roman"/>
        <w:spacing w:val="0"/>
        <w:w w:val="99"/>
        <w:sz w:val="21"/>
        <w:szCs w:val="21"/>
        <w:lang w:val="zh-CN" w:eastAsia="zh-CN" w:bidi="zh-CN"/>
      </w:rPr>
    </w:lvl>
    <w:lvl w:ilvl="2" w:tentative="0">
      <w:start w:val="0"/>
      <w:numFmt w:val="bullet"/>
      <w:lvlText w:val="•"/>
      <w:lvlJc w:val="left"/>
      <w:pPr>
        <w:ind w:left="1880" w:hanging="315"/>
      </w:pPr>
      <w:rPr>
        <w:rFonts w:hint="default"/>
        <w:lang w:val="zh-CN" w:eastAsia="zh-CN" w:bidi="zh-CN"/>
      </w:rPr>
    </w:lvl>
    <w:lvl w:ilvl="3" w:tentative="0">
      <w:start w:val="0"/>
      <w:numFmt w:val="bullet"/>
      <w:lvlText w:val="•"/>
      <w:lvlJc w:val="left"/>
      <w:pPr>
        <w:ind w:left="2948" w:hanging="315"/>
      </w:pPr>
      <w:rPr>
        <w:rFonts w:hint="default"/>
        <w:lang w:val="zh-CN" w:eastAsia="zh-CN" w:bidi="zh-CN"/>
      </w:rPr>
    </w:lvl>
    <w:lvl w:ilvl="4" w:tentative="0">
      <w:start w:val="0"/>
      <w:numFmt w:val="bullet"/>
      <w:lvlText w:val="•"/>
      <w:lvlJc w:val="left"/>
      <w:pPr>
        <w:ind w:left="4016" w:hanging="315"/>
      </w:pPr>
      <w:rPr>
        <w:rFonts w:hint="default"/>
        <w:lang w:val="zh-CN" w:eastAsia="zh-CN" w:bidi="zh-CN"/>
      </w:rPr>
    </w:lvl>
    <w:lvl w:ilvl="5" w:tentative="0">
      <w:start w:val="0"/>
      <w:numFmt w:val="bullet"/>
      <w:lvlText w:val="•"/>
      <w:lvlJc w:val="left"/>
      <w:pPr>
        <w:ind w:left="5084" w:hanging="315"/>
      </w:pPr>
      <w:rPr>
        <w:rFonts w:hint="default"/>
        <w:lang w:val="zh-CN" w:eastAsia="zh-CN" w:bidi="zh-CN"/>
      </w:rPr>
    </w:lvl>
    <w:lvl w:ilvl="6" w:tentative="0">
      <w:start w:val="0"/>
      <w:numFmt w:val="bullet"/>
      <w:lvlText w:val="•"/>
      <w:lvlJc w:val="left"/>
      <w:pPr>
        <w:ind w:left="6153" w:hanging="315"/>
      </w:pPr>
      <w:rPr>
        <w:rFonts w:hint="default"/>
        <w:lang w:val="zh-CN" w:eastAsia="zh-CN" w:bidi="zh-CN"/>
      </w:rPr>
    </w:lvl>
    <w:lvl w:ilvl="7" w:tentative="0">
      <w:start w:val="0"/>
      <w:numFmt w:val="bullet"/>
      <w:lvlText w:val="•"/>
      <w:lvlJc w:val="left"/>
      <w:pPr>
        <w:ind w:left="7221" w:hanging="315"/>
      </w:pPr>
      <w:rPr>
        <w:rFonts w:hint="default"/>
        <w:lang w:val="zh-CN" w:eastAsia="zh-CN" w:bidi="zh-CN"/>
      </w:rPr>
    </w:lvl>
    <w:lvl w:ilvl="8" w:tentative="0">
      <w:start w:val="0"/>
      <w:numFmt w:val="bullet"/>
      <w:lvlText w:val="•"/>
      <w:lvlJc w:val="left"/>
      <w:pPr>
        <w:ind w:left="8289" w:hanging="315"/>
      </w:pPr>
      <w:rPr>
        <w:rFonts w:hint="default"/>
        <w:lang w:val="zh-CN" w:eastAsia="zh-CN" w:bidi="zh-CN"/>
      </w:rPr>
    </w:lvl>
  </w:abstractNum>
  <w:abstractNum w:abstractNumId="56">
    <w:nsid w:val="01836A6D"/>
    <w:multiLevelType w:val="multilevel"/>
    <w:tmpl w:val="01836A6D"/>
    <w:lvl w:ilvl="0" w:tentative="0">
      <w:start w:val="1"/>
      <w:numFmt w:val="decimal"/>
      <w:lvlText w:val="(%1)"/>
      <w:lvlJc w:val="left"/>
      <w:pPr>
        <w:ind w:left="980" w:hanging="281"/>
        <w:jc w:val="left"/>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1856" w:hanging="281"/>
      </w:pPr>
      <w:rPr>
        <w:rFonts w:hint="default"/>
        <w:lang w:val="zh-CN" w:eastAsia="zh-CN" w:bidi="zh-CN"/>
      </w:rPr>
    </w:lvl>
    <w:lvl w:ilvl="2" w:tentative="0">
      <w:start w:val="0"/>
      <w:numFmt w:val="bullet"/>
      <w:lvlText w:val="•"/>
      <w:lvlJc w:val="left"/>
      <w:pPr>
        <w:ind w:left="2733" w:hanging="281"/>
      </w:pPr>
      <w:rPr>
        <w:rFonts w:hint="default"/>
        <w:lang w:val="zh-CN" w:eastAsia="zh-CN" w:bidi="zh-CN"/>
      </w:rPr>
    </w:lvl>
    <w:lvl w:ilvl="3" w:tentative="0">
      <w:start w:val="0"/>
      <w:numFmt w:val="bullet"/>
      <w:lvlText w:val="•"/>
      <w:lvlJc w:val="left"/>
      <w:pPr>
        <w:ind w:left="3609" w:hanging="281"/>
      </w:pPr>
      <w:rPr>
        <w:rFonts w:hint="default"/>
        <w:lang w:val="zh-CN" w:eastAsia="zh-CN" w:bidi="zh-CN"/>
      </w:rPr>
    </w:lvl>
    <w:lvl w:ilvl="4" w:tentative="0">
      <w:start w:val="0"/>
      <w:numFmt w:val="bullet"/>
      <w:lvlText w:val="•"/>
      <w:lvlJc w:val="left"/>
      <w:pPr>
        <w:ind w:left="4486" w:hanging="281"/>
      </w:pPr>
      <w:rPr>
        <w:rFonts w:hint="default"/>
        <w:lang w:val="zh-CN" w:eastAsia="zh-CN" w:bidi="zh-CN"/>
      </w:rPr>
    </w:lvl>
    <w:lvl w:ilvl="5" w:tentative="0">
      <w:start w:val="0"/>
      <w:numFmt w:val="bullet"/>
      <w:lvlText w:val="•"/>
      <w:lvlJc w:val="left"/>
      <w:pPr>
        <w:ind w:left="5363" w:hanging="281"/>
      </w:pPr>
      <w:rPr>
        <w:rFonts w:hint="default"/>
        <w:lang w:val="zh-CN" w:eastAsia="zh-CN" w:bidi="zh-CN"/>
      </w:rPr>
    </w:lvl>
    <w:lvl w:ilvl="6" w:tentative="0">
      <w:start w:val="0"/>
      <w:numFmt w:val="bullet"/>
      <w:lvlText w:val="•"/>
      <w:lvlJc w:val="left"/>
      <w:pPr>
        <w:ind w:left="6239" w:hanging="281"/>
      </w:pPr>
      <w:rPr>
        <w:rFonts w:hint="default"/>
        <w:lang w:val="zh-CN" w:eastAsia="zh-CN" w:bidi="zh-CN"/>
      </w:rPr>
    </w:lvl>
    <w:lvl w:ilvl="7" w:tentative="0">
      <w:start w:val="0"/>
      <w:numFmt w:val="bullet"/>
      <w:lvlText w:val="•"/>
      <w:lvlJc w:val="left"/>
      <w:pPr>
        <w:ind w:left="7116" w:hanging="281"/>
      </w:pPr>
      <w:rPr>
        <w:rFonts w:hint="default"/>
        <w:lang w:val="zh-CN" w:eastAsia="zh-CN" w:bidi="zh-CN"/>
      </w:rPr>
    </w:lvl>
    <w:lvl w:ilvl="8" w:tentative="0">
      <w:start w:val="0"/>
      <w:numFmt w:val="bullet"/>
      <w:lvlText w:val="•"/>
      <w:lvlJc w:val="left"/>
      <w:pPr>
        <w:ind w:left="7992" w:hanging="281"/>
      </w:pPr>
      <w:rPr>
        <w:rFonts w:hint="default"/>
        <w:lang w:val="zh-CN" w:eastAsia="zh-CN" w:bidi="zh-CN"/>
      </w:rPr>
    </w:lvl>
  </w:abstractNum>
  <w:abstractNum w:abstractNumId="57">
    <w:nsid w:val="0248C179"/>
    <w:multiLevelType w:val="multilevel"/>
    <w:tmpl w:val="0248C179"/>
    <w:lvl w:ilvl="0" w:tentative="0">
      <w:start w:val="1"/>
      <w:numFmt w:val="decimal"/>
      <w:lvlText w:val="(%1)"/>
      <w:lvlJc w:val="left"/>
      <w:pPr>
        <w:ind w:left="658" w:hanging="281"/>
        <w:jc w:val="left"/>
      </w:pPr>
      <w:rPr>
        <w:rFonts w:hint="default" w:ascii="Times New Roman" w:hAnsi="Times New Roman" w:eastAsia="Times New Roman" w:cs="Times New Roman"/>
        <w:spacing w:val="-23"/>
        <w:w w:val="100"/>
        <w:sz w:val="22"/>
        <w:szCs w:val="22"/>
        <w:lang w:val="zh-CN" w:eastAsia="zh-CN" w:bidi="zh-CN"/>
      </w:rPr>
    </w:lvl>
    <w:lvl w:ilvl="1" w:tentative="0">
      <w:start w:val="0"/>
      <w:numFmt w:val="bullet"/>
      <w:lvlText w:val="•"/>
      <w:lvlJc w:val="left"/>
      <w:pPr>
        <w:ind w:left="1636" w:hanging="281"/>
      </w:pPr>
      <w:rPr>
        <w:rFonts w:hint="default"/>
        <w:lang w:val="zh-CN" w:eastAsia="zh-CN" w:bidi="zh-CN"/>
      </w:rPr>
    </w:lvl>
    <w:lvl w:ilvl="2" w:tentative="0">
      <w:start w:val="0"/>
      <w:numFmt w:val="bullet"/>
      <w:lvlText w:val="•"/>
      <w:lvlJc w:val="left"/>
      <w:pPr>
        <w:ind w:left="2613" w:hanging="281"/>
      </w:pPr>
      <w:rPr>
        <w:rFonts w:hint="default"/>
        <w:lang w:val="zh-CN" w:eastAsia="zh-CN" w:bidi="zh-CN"/>
      </w:rPr>
    </w:lvl>
    <w:lvl w:ilvl="3" w:tentative="0">
      <w:start w:val="0"/>
      <w:numFmt w:val="bullet"/>
      <w:lvlText w:val="•"/>
      <w:lvlJc w:val="left"/>
      <w:pPr>
        <w:ind w:left="3589" w:hanging="281"/>
      </w:pPr>
      <w:rPr>
        <w:rFonts w:hint="default"/>
        <w:lang w:val="zh-CN" w:eastAsia="zh-CN" w:bidi="zh-CN"/>
      </w:rPr>
    </w:lvl>
    <w:lvl w:ilvl="4" w:tentative="0">
      <w:start w:val="0"/>
      <w:numFmt w:val="bullet"/>
      <w:lvlText w:val="•"/>
      <w:lvlJc w:val="left"/>
      <w:pPr>
        <w:ind w:left="4566" w:hanging="281"/>
      </w:pPr>
      <w:rPr>
        <w:rFonts w:hint="default"/>
        <w:lang w:val="zh-CN" w:eastAsia="zh-CN" w:bidi="zh-CN"/>
      </w:rPr>
    </w:lvl>
    <w:lvl w:ilvl="5" w:tentative="0">
      <w:start w:val="0"/>
      <w:numFmt w:val="bullet"/>
      <w:lvlText w:val="•"/>
      <w:lvlJc w:val="left"/>
      <w:pPr>
        <w:ind w:left="5543" w:hanging="281"/>
      </w:pPr>
      <w:rPr>
        <w:rFonts w:hint="default"/>
        <w:lang w:val="zh-CN" w:eastAsia="zh-CN" w:bidi="zh-CN"/>
      </w:rPr>
    </w:lvl>
    <w:lvl w:ilvl="6" w:tentative="0">
      <w:start w:val="0"/>
      <w:numFmt w:val="bullet"/>
      <w:lvlText w:val="•"/>
      <w:lvlJc w:val="left"/>
      <w:pPr>
        <w:ind w:left="6519" w:hanging="281"/>
      </w:pPr>
      <w:rPr>
        <w:rFonts w:hint="default"/>
        <w:lang w:val="zh-CN" w:eastAsia="zh-CN" w:bidi="zh-CN"/>
      </w:rPr>
    </w:lvl>
    <w:lvl w:ilvl="7" w:tentative="0">
      <w:start w:val="0"/>
      <w:numFmt w:val="bullet"/>
      <w:lvlText w:val="•"/>
      <w:lvlJc w:val="left"/>
      <w:pPr>
        <w:ind w:left="7496" w:hanging="281"/>
      </w:pPr>
      <w:rPr>
        <w:rFonts w:hint="default"/>
        <w:lang w:val="zh-CN" w:eastAsia="zh-CN" w:bidi="zh-CN"/>
      </w:rPr>
    </w:lvl>
    <w:lvl w:ilvl="8" w:tentative="0">
      <w:start w:val="0"/>
      <w:numFmt w:val="bullet"/>
      <w:lvlText w:val="•"/>
      <w:lvlJc w:val="left"/>
      <w:pPr>
        <w:ind w:left="8472" w:hanging="281"/>
      </w:pPr>
      <w:rPr>
        <w:rFonts w:hint="default"/>
        <w:lang w:val="zh-CN" w:eastAsia="zh-CN" w:bidi="zh-CN"/>
      </w:rPr>
    </w:lvl>
  </w:abstractNum>
  <w:abstractNum w:abstractNumId="58">
    <w:nsid w:val="03A63A41"/>
    <w:multiLevelType w:val="multilevel"/>
    <w:tmpl w:val="03A63A41"/>
    <w:lvl w:ilvl="0" w:tentative="0">
      <w:start w:val="1"/>
      <w:numFmt w:val="decimal"/>
      <w:lvlText w:val="（%1）"/>
      <w:lvlJc w:val="left"/>
      <w:pPr>
        <w:ind w:left="1297"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62" w:hanging="601"/>
      </w:pPr>
      <w:rPr>
        <w:rFonts w:hint="default"/>
        <w:lang w:val="zh-CN" w:eastAsia="zh-CN" w:bidi="zh-CN"/>
      </w:rPr>
    </w:lvl>
    <w:lvl w:ilvl="2" w:tentative="0">
      <w:start w:val="0"/>
      <w:numFmt w:val="bullet"/>
      <w:lvlText w:val="•"/>
      <w:lvlJc w:val="left"/>
      <w:pPr>
        <w:ind w:left="3025" w:hanging="601"/>
      </w:pPr>
      <w:rPr>
        <w:rFonts w:hint="default"/>
        <w:lang w:val="zh-CN" w:eastAsia="zh-CN" w:bidi="zh-CN"/>
      </w:rPr>
    </w:lvl>
    <w:lvl w:ilvl="3" w:tentative="0">
      <w:start w:val="0"/>
      <w:numFmt w:val="bullet"/>
      <w:lvlText w:val="•"/>
      <w:lvlJc w:val="left"/>
      <w:pPr>
        <w:ind w:left="3887" w:hanging="601"/>
      </w:pPr>
      <w:rPr>
        <w:rFonts w:hint="default"/>
        <w:lang w:val="zh-CN" w:eastAsia="zh-CN" w:bidi="zh-CN"/>
      </w:rPr>
    </w:lvl>
    <w:lvl w:ilvl="4" w:tentative="0">
      <w:start w:val="0"/>
      <w:numFmt w:val="bullet"/>
      <w:lvlText w:val="•"/>
      <w:lvlJc w:val="left"/>
      <w:pPr>
        <w:ind w:left="4750" w:hanging="601"/>
      </w:pPr>
      <w:rPr>
        <w:rFonts w:hint="default"/>
        <w:lang w:val="zh-CN" w:eastAsia="zh-CN" w:bidi="zh-CN"/>
      </w:rPr>
    </w:lvl>
    <w:lvl w:ilvl="5" w:tentative="0">
      <w:start w:val="0"/>
      <w:numFmt w:val="bullet"/>
      <w:lvlText w:val="•"/>
      <w:lvlJc w:val="left"/>
      <w:pPr>
        <w:ind w:left="5613" w:hanging="601"/>
      </w:pPr>
      <w:rPr>
        <w:rFonts w:hint="default"/>
        <w:lang w:val="zh-CN" w:eastAsia="zh-CN" w:bidi="zh-CN"/>
      </w:rPr>
    </w:lvl>
    <w:lvl w:ilvl="6" w:tentative="0">
      <w:start w:val="0"/>
      <w:numFmt w:val="bullet"/>
      <w:lvlText w:val="•"/>
      <w:lvlJc w:val="left"/>
      <w:pPr>
        <w:ind w:left="6475" w:hanging="601"/>
      </w:pPr>
      <w:rPr>
        <w:rFonts w:hint="default"/>
        <w:lang w:val="zh-CN" w:eastAsia="zh-CN" w:bidi="zh-CN"/>
      </w:rPr>
    </w:lvl>
    <w:lvl w:ilvl="7" w:tentative="0">
      <w:start w:val="0"/>
      <w:numFmt w:val="bullet"/>
      <w:lvlText w:val="•"/>
      <w:lvlJc w:val="left"/>
      <w:pPr>
        <w:ind w:left="7338" w:hanging="601"/>
      </w:pPr>
      <w:rPr>
        <w:rFonts w:hint="default"/>
        <w:lang w:val="zh-CN" w:eastAsia="zh-CN" w:bidi="zh-CN"/>
      </w:rPr>
    </w:lvl>
    <w:lvl w:ilvl="8" w:tentative="0">
      <w:start w:val="0"/>
      <w:numFmt w:val="bullet"/>
      <w:lvlText w:val="•"/>
      <w:lvlJc w:val="left"/>
      <w:pPr>
        <w:ind w:left="8200" w:hanging="601"/>
      </w:pPr>
      <w:rPr>
        <w:rFonts w:hint="default"/>
        <w:lang w:val="zh-CN" w:eastAsia="zh-CN" w:bidi="zh-CN"/>
      </w:rPr>
    </w:lvl>
  </w:abstractNum>
  <w:abstractNum w:abstractNumId="59">
    <w:nsid w:val="03D62ECE"/>
    <w:multiLevelType w:val="multilevel"/>
    <w:tmpl w:val="03D62ECE"/>
    <w:lvl w:ilvl="0" w:tentative="0">
      <w:start w:val="1"/>
      <w:numFmt w:val="decimal"/>
      <w:lvlText w:val="（%1）"/>
      <w:lvlJc w:val="left"/>
      <w:pPr>
        <w:ind w:left="173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608" w:hanging="601"/>
      </w:pPr>
      <w:rPr>
        <w:rFonts w:hint="default"/>
        <w:lang w:val="zh-CN" w:eastAsia="zh-CN" w:bidi="zh-CN"/>
      </w:rPr>
    </w:lvl>
    <w:lvl w:ilvl="2" w:tentative="0">
      <w:start w:val="0"/>
      <w:numFmt w:val="bullet"/>
      <w:lvlText w:val="•"/>
      <w:lvlJc w:val="left"/>
      <w:pPr>
        <w:ind w:left="3477" w:hanging="601"/>
      </w:pPr>
      <w:rPr>
        <w:rFonts w:hint="default"/>
        <w:lang w:val="zh-CN" w:eastAsia="zh-CN" w:bidi="zh-CN"/>
      </w:rPr>
    </w:lvl>
    <w:lvl w:ilvl="3" w:tentative="0">
      <w:start w:val="0"/>
      <w:numFmt w:val="bullet"/>
      <w:lvlText w:val="•"/>
      <w:lvlJc w:val="left"/>
      <w:pPr>
        <w:ind w:left="4345" w:hanging="601"/>
      </w:pPr>
      <w:rPr>
        <w:rFonts w:hint="default"/>
        <w:lang w:val="zh-CN" w:eastAsia="zh-CN" w:bidi="zh-CN"/>
      </w:rPr>
    </w:lvl>
    <w:lvl w:ilvl="4" w:tentative="0">
      <w:start w:val="0"/>
      <w:numFmt w:val="bullet"/>
      <w:lvlText w:val="•"/>
      <w:lvlJc w:val="left"/>
      <w:pPr>
        <w:ind w:left="5214" w:hanging="601"/>
      </w:pPr>
      <w:rPr>
        <w:rFonts w:hint="default"/>
        <w:lang w:val="zh-CN" w:eastAsia="zh-CN" w:bidi="zh-CN"/>
      </w:rPr>
    </w:lvl>
    <w:lvl w:ilvl="5" w:tentative="0">
      <w:start w:val="0"/>
      <w:numFmt w:val="bullet"/>
      <w:lvlText w:val="•"/>
      <w:lvlJc w:val="left"/>
      <w:pPr>
        <w:ind w:left="6083" w:hanging="601"/>
      </w:pPr>
      <w:rPr>
        <w:rFonts w:hint="default"/>
        <w:lang w:val="zh-CN" w:eastAsia="zh-CN" w:bidi="zh-CN"/>
      </w:rPr>
    </w:lvl>
    <w:lvl w:ilvl="6" w:tentative="0">
      <w:start w:val="0"/>
      <w:numFmt w:val="bullet"/>
      <w:lvlText w:val="•"/>
      <w:lvlJc w:val="left"/>
      <w:pPr>
        <w:ind w:left="6951" w:hanging="601"/>
      </w:pPr>
      <w:rPr>
        <w:rFonts w:hint="default"/>
        <w:lang w:val="zh-CN" w:eastAsia="zh-CN" w:bidi="zh-CN"/>
      </w:rPr>
    </w:lvl>
    <w:lvl w:ilvl="7" w:tentative="0">
      <w:start w:val="0"/>
      <w:numFmt w:val="bullet"/>
      <w:lvlText w:val="•"/>
      <w:lvlJc w:val="left"/>
      <w:pPr>
        <w:ind w:left="7820" w:hanging="601"/>
      </w:pPr>
      <w:rPr>
        <w:rFonts w:hint="default"/>
        <w:lang w:val="zh-CN" w:eastAsia="zh-CN" w:bidi="zh-CN"/>
      </w:rPr>
    </w:lvl>
    <w:lvl w:ilvl="8" w:tentative="0">
      <w:start w:val="0"/>
      <w:numFmt w:val="bullet"/>
      <w:lvlText w:val="•"/>
      <w:lvlJc w:val="left"/>
      <w:pPr>
        <w:ind w:left="8688" w:hanging="601"/>
      </w:pPr>
      <w:rPr>
        <w:rFonts w:hint="default"/>
        <w:lang w:val="zh-CN" w:eastAsia="zh-CN" w:bidi="zh-CN"/>
      </w:rPr>
    </w:lvl>
  </w:abstractNum>
  <w:abstractNum w:abstractNumId="60">
    <w:nsid w:val="0709FD3E"/>
    <w:multiLevelType w:val="multilevel"/>
    <w:tmpl w:val="0709FD3E"/>
    <w:lvl w:ilvl="0" w:tentative="0">
      <w:start w:val="1"/>
      <w:numFmt w:val="decimal"/>
      <w:lvlText w:val="%1."/>
      <w:lvlJc w:val="left"/>
      <w:pPr>
        <w:ind w:left="267" w:hanging="159"/>
        <w:jc w:val="left"/>
      </w:pPr>
      <w:rPr>
        <w:rFonts w:hint="default" w:ascii="Times New Roman" w:hAnsi="Times New Roman" w:eastAsia="Times New Roman" w:cs="Times New Roman"/>
        <w:spacing w:val="-2"/>
        <w:w w:val="99"/>
        <w:sz w:val="19"/>
        <w:szCs w:val="19"/>
        <w:lang w:val="zh-CN" w:eastAsia="zh-CN" w:bidi="zh-CN"/>
      </w:rPr>
    </w:lvl>
    <w:lvl w:ilvl="1" w:tentative="0">
      <w:start w:val="0"/>
      <w:numFmt w:val="bullet"/>
      <w:lvlText w:val="•"/>
      <w:lvlJc w:val="left"/>
      <w:pPr>
        <w:ind w:left="875" w:hanging="159"/>
      </w:pPr>
      <w:rPr>
        <w:rFonts w:hint="default"/>
        <w:lang w:val="zh-CN" w:eastAsia="zh-CN" w:bidi="zh-CN"/>
      </w:rPr>
    </w:lvl>
    <w:lvl w:ilvl="2" w:tentative="0">
      <w:start w:val="0"/>
      <w:numFmt w:val="bullet"/>
      <w:lvlText w:val="•"/>
      <w:lvlJc w:val="left"/>
      <w:pPr>
        <w:ind w:left="1490" w:hanging="159"/>
      </w:pPr>
      <w:rPr>
        <w:rFonts w:hint="default"/>
        <w:lang w:val="zh-CN" w:eastAsia="zh-CN" w:bidi="zh-CN"/>
      </w:rPr>
    </w:lvl>
    <w:lvl w:ilvl="3" w:tentative="0">
      <w:start w:val="0"/>
      <w:numFmt w:val="bullet"/>
      <w:lvlText w:val="•"/>
      <w:lvlJc w:val="left"/>
      <w:pPr>
        <w:ind w:left="2105" w:hanging="159"/>
      </w:pPr>
      <w:rPr>
        <w:rFonts w:hint="default"/>
        <w:lang w:val="zh-CN" w:eastAsia="zh-CN" w:bidi="zh-CN"/>
      </w:rPr>
    </w:lvl>
    <w:lvl w:ilvl="4" w:tentative="0">
      <w:start w:val="0"/>
      <w:numFmt w:val="bullet"/>
      <w:lvlText w:val="•"/>
      <w:lvlJc w:val="left"/>
      <w:pPr>
        <w:ind w:left="2720" w:hanging="159"/>
      </w:pPr>
      <w:rPr>
        <w:rFonts w:hint="default"/>
        <w:lang w:val="zh-CN" w:eastAsia="zh-CN" w:bidi="zh-CN"/>
      </w:rPr>
    </w:lvl>
    <w:lvl w:ilvl="5" w:tentative="0">
      <w:start w:val="0"/>
      <w:numFmt w:val="bullet"/>
      <w:lvlText w:val="•"/>
      <w:lvlJc w:val="left"/>
      <w:pPr>
        <w:ind w:left="3335" w:hanging="159"/>
      </w:pPr>
      <w:rPr>
        <w:rFonts w:hint="default"/>
        <w:lang w:val="zh-CN" w:eastAsia="zh-CN" w:bidi="zh-CN"/>
      </w:rPr>
    </w:lvl>
    <w:lvl w:ilvl="6" w:tentative="0">
      <w:start w:val="0"/>
      <w:numFmt w:val="bullet"/>
      <w:lvlText w:val="•"/>
      <w:lvlJc w:val="left"/>
      <w:pPr>
        <w:ind w:left="3950" w:hanging="159"/>
      </w:pPr>
      <w:rPr>
        <w:rFonts w:hint="default"/>
        <w:lang w:val="zh-CN" w:eastAsia="zh-CN" w:bidi="zh-CN"/>
      </w:rPr>
    </w:lvl>
    <w:lvl w:ilvl="7" w:tentative="0">
      <w:start w:val="0"/>
      <w:numFmt w:val="bullet"/>
      <w:lvlText w:val="•"/>
      <w:lvlJc w:val="left"/>
      <w:pPr>
        <w:ind w:left="4565" w:hanging="159"/>
      </w:pPr>
      <w:rPr>
        <w:rFonts w:hint="default"/>
        <w:lang w:val="zh-CN" w:eastAsia="zh-CN" w:bidi="zh-CN"/>
      </w:rPr>
    </w:lvl>
    <w:lvl w:ilvl="8" w:tentative="0">
      <w:start w:val="0"/>
      <w:numFmt w:val="bullet"/>
      <w:lvlText w:val="•"/>
      <w:lvlJc w:val="left"/>
      <w:pPr>
        <w:ind w:left="5180" w:hanging="159"/>
      </w:pPr>
      <w:rPr>
        <w:rFonts w:hint="default"/>
        <w:lang w:val="zh-CN" w:eastAsia="zh-CN" w:bidi="zh-CN"/>
      </w:rPr>
    </w:lvl>
  </w:abstractNum>
  <w:abstractNum w:abstractNumId="61">
    <w:nsid w:val="0CEF100B"/>
    <w:multiLevelType w:val="multilevel"/>
    <w:tmpl w:val="0CEF100B"/>
    <w:lvl w:ilvl="0" w:tentative="0">
      <w:start w:val="1"/>
      <w:numFmt w:val="decimal"/>
      <w:lvlText w:val="%1."/>
      <w:lvlJc w:val="left"/>
      <w:pPr>
        <w:ind w:left="267" w:hanging="159"/>
        <w:jc w:val="left"/>
      </w:pPr>
      <w:rPr>
        <w:rFonts w:hint="default" w:ascii="Times New Roman" w:hAnsi="Times New Roman" w:eastAsia="Times New Roman" w:cs="Times New Roman"/>
        <w:spacing w:val="-2"/>
        <w:w w:val="99"/>
        <w:sz w:val="19"/>
        <w:szCs w:val="19"/>
        <w:lang w:val="zh-CN" w:eastAsia="zh-CN" w:bidi="zh-CN"/>
      </w:rPr>
    </w:lvl>
    <w:lvl w:ilvl="1" w:tentative="0">
      <w:start w:val="0"/>
      <w:numFmt w:val="bullet"/>
      <w:lvlText w:val="•"/>
      <w:lvlJc w:val="left"/>
      <w:pPr>
        <w:ind w:left="875" w:hanging="159"/>
      </w:pPr>
      <w:rPr>
        <w:rFonts w:hint="default"/>
        <w:lang w:val="zh-CN" w:eastAsia="zh-CN" w:bidi="zh-CN"/>
      </w:rPr>
    </w:lvl>
    <w:lvl w:ilvl="2" w:tentative="0">
      <w:start w:val="0"/>
      <w:numFmt w:val="bullet"/>
      <w:lvlText w:val="•"/>
      <w:lvlJc w:val="left"/>
      <w:pPr>
        <w:ind w:left="1490" w:hanging="159"/>
      </w:pPr>
      <w:rPr>
        <w:rFonts w:hint="default"/>
        <w:lang w:val="zh-CN" w:eastAsia="zh-CN" w:bidi="zh-CN"/>
      </w:rPr>
    </w:lvl>
    <w:lvl w:ilvl="3" w:tentative="0">
      <w:start w:val="0"/>
      <w:numFmt w:val="bullet"/>
      <w:lvlText w:val="•"/>
      <w:lvlJc w:val="left"/>
      <w:pPr>
        <w:ind w:left="2105" w:hanging="159"/>
      </w:pPr>
      <w:rPr>
        <w:rFonts w:hint="default"/>
        <w:lang w:val="zh-CN" w:eastAsia="zh-CN" w:bidi="zh-CN"/>
      </w:rPr>
    </w:lvl>
    <w:lvl w:ilvl="4" w:tentative="0">
      <w:start w:val="0"/>
      <w:numFmt w:val="bullet"/>
      <w:lvlText w:val="•"/>
      <w:lvlJc w:val="left"/>
      <w:pPr>
        <w:ind w:left="2720" w:hanging="159"/>
      </w:pPr>
      <w:rPr>
        <w:rFonts w:hint="default"/>
        <w:lang w:val="zh-CN" w:eastAsia="zh-CN" w:bidi="zh-CN"/>
      </w:rPr>
    </w:lvl>
    <w:lvl w:ilvl="5" w:tentative="0">
      <w:start w:val="0"/>
      <w:numFmt w:val="bullet"/>
      <w:lvlText w:val="•"/>
      <w:lvlJc w:val="left"/>
      <w:pPr>
        <w:ind w:left="3335" w:hanging="159"/>
      </w:pPr>
      <w:rPr>
        <w:rFonts w:hint="default"/>
        <w:lang w:val="zh-CN" w:eastAsia="zh-CN" w:bidi="zh-CN"/>
      </w:rPr>
    </w:lvl>
    <w:lvl w:ilvl="6" w:tentative="0">
      <w:start w:val="0"/>
      <w:numFmt w:val="bullet"/>
      <w:lvlText w:val="•"/>
      <w:lvlJc w:val="left"/>
      <w:pPr>
        <w:ind w:left="3950" w:hanging="159"/>
      </w:pPr>
      <w:rPr>
        <w:rFonts w:hint="default"/>
        <w:lang w:val="zh-CN" w:eastAsia="zh-CN" w:bidi="zh-CN"/>
      </w:rPr>
    </w:lvl>
    <w:lvl w:ilvl="7" w:tentative="0">
      <w:start w:val="0"/>
      <w:numFmt w:val="bullet"/>
      <w:lvlText w:val="•"/>
      <w:lvlJc w:val="left"/>
      <w:pPr>
        <w:ind w:left="4565" w:hanging="159"/>
      </w:pPr>
      <w:rPr>
        <w:rFonts w:hint="default"/>
        <w:lang w:val="zh-CN" w:eastAsia="zh-CN" w:bidi="zh-CN"/>
      </w:rPr>
    </w:lvl>
    <w:lvl w:ilvl="8" w:tentative="0">
      <w:start w:val="0"/>
      <w:numFmt w:val="bullet"/>
      <w:lvlText w:val="•"/>
      <w:lvlJc w:val="left"/>
      <w:pPr>
        <w:ind w:left="5180" w:hanging="159"/>
      </w:pPr>
      <w:rPr>
        <w:rFonts w:hint="default"/>
        <w:lang w:val="zh-CN" w:eastAsia="zh-CN" w:bidi="zh-CN"/>
      </w:rPr>
    </w:lvl>
  </w:abstractNum>
  <w:abstractNum w:abstractNumId="62">
    <w:nsid w:val="0E640482"/>
    <w:multiLevelType w:val="multilevel"/>
    <w:tmpl w:val="0E640482"/>
    <w:lvl w:ilvl="0" w:tentative="0">
      <w:start w:val="1"/>
      <w:numFmt w:val="decimal"/>
      <w:lvlText w:val="（%1）"/>
      <w:lvlJc w:val="left"/>
      <w:pPr>
        <w:ind w:left="21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950" w:hanging="601"/>
      </w:pPr>
      <w:rPr>
        <w:rFonts w:hint="default"/>
        <w:lang w:val="zh-CN" w:eastAsia="zh-CN" w:bidi="zh-CN"/>
      </w:rPr>
    </w:lvl>
    <w:lvl w:ilvl="2" w:tentative="0">
      <w:start w:val="0"/>
      <w:numFmt w:val="bullet"/>
      <w:lvlText w:val="•"/>
      <w:lvlJc w:val="left"/>
      <w:pPr>
        <w:ind w:left="3781" w:hanging="601"/>
      </w:pPr>
      <w:rPr>
        <w:rFonts w:hint="default"/>
        <w:lang w:val="zh-CN" w:eastAsia="zh-CN" w:bidi="zh-CN"/>
      </w:rPr>
    </w:lvl>
    <w:lvl w:ilvl="3" w:tentative="0">
      <w:start w:val="0"/>
      <w:numFmt w:val="bullet"/>
      <w:lvlText w:val="•"/>
      <w:lvlJc w:val="left"/>
      <w:pPr>
        <w:ind w:left="4611" w:hanging="601"/>
      </w:pPr>
      <w:rPr>
        <w:rFonts w:hint="default"/>
        <w:lang w:val="zh-CN" w:eastAsia="zh-CN" w:bidi="zh-CN"/>
      </w:rPr>
    </w:lvl>
    <w:lvl w:ilvl="4" w:tentative="0">
      <w:start w:val="0"/>
      <w:numFmt w:val="bullet"/>
      <w:lvlText w:val="•"/>
      <w:lvlJc w:val="left"/>
      <w:pPr>
        <w:ind w:left="5442" w:hanging="601"/>
      </w:pPr>
      <w:rPr>
        <w:rFonts w:hint="default"/>
        <w:lang w:val="zh-CN" w:eastAsia="zh-CN" w:bidi="zh-CN"/>
      </w:rPr>
    </w:lvl>
    <w:lvl w:ilvl="5" w:tentative="0">
      <w:start w:val="0"/>
      <w:numFmt w:val="bullet"/>
      <w:lvlText w:val="•"/>
      <w:lvlJc w:val="left"/>
      <w:pPr>
        <w:ind w:left="6273" w:hanging="601"/>
      </w:pPr>
      <w:rPr>
        <w:rFonts w:hint="default"/>
        <w:lang w:val="zh-CN" w:eastAsia="zh-CN" w:bidi="zh-CN"/>
      </w:rPr>
    </w:lvl>
    <w:lvl w:ilvl="6" w:tentative="0">
      <w:start w:val="0"/>
      <w:numFmt w:val="bullet"/>
      <w:lvlText w:val="•"/>
      <w:lvlJc w:val="left"/>
      <w:pPr>
        <w:ind w:left="7103" w:hanging="601"/>
      </w:pPr>
      <w:rPr>
        <w:rFonts w:hint="default"/>
        <w:lang w:val="zh-CN" w:eastAsia="zh-CN" w:bidi="zh-CN"/>
      </w:rPr>
    </w:lvl>
    <w:lvl w:ilvl="7" w:tentative="0">
      <w:start w:val="0"/>
      <w:numFmt w:val="bullet"/>
      <w:lvlText w:val="•"/>
      <w:lvlJc w:val="left"/>
      <w:pPr>
        <w:ind w:left="7934" w:hanging="601"/>
      </w:pPr>
      <w:rPr>
        <w:rFonts w:hint="default"/>
        <w:lang w:val="zh-CN" w:eastAsia="zh-CN" w:bidi="zh-CN"/>
      </w:rPr>
    </w:lvl>
    <w:lvl w:ilvl="8" w:tentative="0">
      <w:start w:val="0"/>
      <w:numFmt w:val="bullet"/>
      <w:lvlText w:val="•"/>
      <w:lvlJc w:val="left"/>
      <w:pPr>
        <w:ind w:left="8764" w:hanging="601"/>
      </w:pPr>
      <w:rPr>
        <w:rFonts w:hint="default"/>
        <w:lang w:val="zh-CN" w:eastAsia="zh-CN" w:bidi="zh-CN"/>
      </w:rPr>
    </w:lvl>
  </w:abstractNum>
  <w:abstractNum w:abstractNumId="63">
    <w:nsid w:val="0F9F9CCA"/>
    <w:multiLevelType w:val="multilevel"/>
    <w:tmpl w:val="0F9F9CCA"/>
    <w:lvl w:ilvl="0" w:tentative="0">
      <w:start w:val="7"/>
      <w:numFmt w:val="decimal"/>
      <w:lvlText w:val="%1."/>
      <w:lvlJc w:val="left"/>
      <w:pPr>
        <w:ind w:left="487" w:hanging="271"/>
        <w:jc w:val="right"/>
      </w:pPr>
      <w:rPr>
        <w:rFonts w:hint="default" w:ascii="Times New Roman" w:hAnsi="Times New Roman" w:eastAsia="Times New Roman" w:cs="Times New Roman"/>
        <w:b/>
        <w:bCs/>
        <w:spacing w:val="-2"/>
        <w:w w:val="100"/>
        <w:sz w:val="34"/>
        <w:szCs w:val="34"/>
        <w:lang w:val="zh-CN" w:eastAsia="zh-CN" w:bidi="zh-CN"/>
      </w:rPr>
    </w:lvl>
    <w:lvl w:ilvl="1" w:tentative="0">
      <w:start w:val="0"/>
      <w:numFmt w:val="bullet"/>
      <w:lvlText w:val="•"/>
      <w:lvlJc w:val="left"/>
      <w:pPr>
        <w:ind w:left="1144" w:hanging="271"/>
      </w:pPr>
      <w:rPr>
        <w:rFonts w:hint="default"/>
        <w:lang w:val="zh-CN" w:eastAsia="zh-CN" w:bidi="zh-CN"/>
      </w:rPr>
    </w:lvl>
    <w:lvl w:ilvl="2" w:tentative="0">
      <w:start w:val="0"/>
      <w:numFmt w:val="bullet"/>
      <w:lvlText w:val="•"/>
      <w:lvlJc w:val="left"/>
      <w:pPr>
        <w:ind w:left="1808" w:hanging="271"/>
      </w:pPr>
      <w:rPr>
        <w:rFonts w:hint="default"/>
        <w:lang w:val="zh-CN" w:eastAsia="zh-CN" w:bidi="zh-CN"/>
      </w:rPr>
    </w:lvl>
    <w:lvl w:ilvl="3" w:tentative="0">
      <w:start w:val="0"/>
      <w:numFmt w:val="bullet"/>
      <w:lvlText w:val="•"/>
      <w:lvlJc w:val="left"/>
      <w:pPr>
        <w:ind w:left="2472" w:hanging="271"/>
      </w:pPr>
      <w:rPr>
        <w:rFonts w:hint="default"/>
        <w:lang w:val="zh-CN" w:eastAsia="zh-CN" w:bidi="zh-CN"/>
      </w:rPr>
    </w:lvl>
    <w:lvl w:ilvl="4" w:tentative="0">
      <w:start w:val="0"/>
      <w:numFmt w:val="bullet"/>
      <w:lvlText w:val="•"/>
      <w:lvlJc w:val="left"/>
      <w:pPr>
        <w:ind w:left="3136" w:hanging="271"/>
      </w:pPr>
      <w:rPr>
        <w:rFonts w:hint="default"/>
        <w:lang w:val="zh-CN" w:eastAsia="zh-CN" w:bidi="zh-CN"/>
      </w:rPr>
    </w:lvl>
    <w:lvl w:ilvl="5" w:tentative="0">
      <w:start w:val="0"/>
      <w:numFmt w:val="bullet"/>
      <w:lvlText w:val="•"/>
      <w:lvlJc w:val="left"/>
      <w:pPr>
        <w:ind w:left="3800" w:hanging="271"/>
      </w:pPr>
      <w:rPr>
        <w:rFonts w:hint="default"/>
        <w:lang w:val="zh-CN" w:eastAsia="zh-CN" w:bidi="zh-CN"/>
      </w:rPr>
    </w:lvl>
    <w:lvl w:ilvl="6" w:tentative="0">
      <w:start w:val="0"/>
      <w:numFmt w:val="bullet"/>
      <w:lvlText w:val="•"/>
      <w:lvlJc w:val="left"/>
      <w:pPr>
        <w:ind w:left="4464" w:hanging="271"/>
      </w:pPr>
      <w:rPr>
        <w:rFonts w:hint="default"/>
        <w:lang w:val="zh-CN" w:eastAsia="zh-CN" w:bidi="zh-CN"/>
      </w:rPr>
    </w:lvl>
    <w:lvl w:ilvl="7" w:tentative="0">
      <w:start w:val="0"/>
      <w:numFmt w:val="bullet"/>
      <w:lvlText w:val="•"/>
      <w:lvlJc w:val="left"/>
      <w:pPr>
        <w:ind w:left="5128" w:hanging="271"/>
      </w:pPr>
      <w:rPr>
        <w:rFonts w:hint="default"/>
        <w:lang w:val="zh-CN" w:eastAsia="zh-CN" w:bidi="zh-CN"/>
      </w:rPr>
    </w:lvl>
    <w:lvl w:ilvl="8" w:tentative="0">
      <w:start w:val="0"/>
      <w:numFmt w:val="bullet"/>
      <w:lvlText w:val="•"/>
      <w:lvlJc w:val="left"/>
      <w:pPr>
        <w:ind w:left="5792" w:hanging="271"/>
      </w:pPr>
      <w:rPr>
        <w:rFonts w:hint="default"/>
        <w:lang w:val="zh-CN" w:eastAsia="zh-CN" w:bidi="zh-CN"/>
      </w:rPr>
    </w:lvl>
  </w:abstractNum>
  <w:abstractNum w:abstractNumId="64">
    <w:nsid w:val="10D591E5"/>
    <w:multiLevelType w:val="multilevel"/>
    <w:tmpl w:val="10D591E5"/>
    <w:lvl w:ilvl="0" w:tentative="0">
      <w:start w:val="13"/>
      <w:numFmt w:val="decimal"/>
      <w:lvlText w:val="%1"/>
      <w:lvlJc w:val="left"/>
      <w:pPr>
        <w:ind w:left="1060" w:hanging="840"/>
        <w:jc w:val="left"/>
      </w:pPr>
      <w:rPr>
        <w:rFonts w:hint="default"/>
        <w:lang w:val="zh-CN" w:eastAsia="zh-CN" w:bidi="zh-CN"/>
      </w:rPr>
    </w:lvl>
    <w:lvl w:ilvl="1" w:tentative="0">
      <w:start w:val="5"/>
      <w:numFmt w:val="decimal"/>
      <w:lvlText w:val="%1.%2"/>
      <w:lvlJc w:val="left"/>
      <w:pPr>
        <w:ind w:left="1060" w:hanging="840"/>
        <w:jc w:val="left"/>
      </w:pPr>
      <w:rPr>
        <w:rFonts w:hint="default"/>
        <w:lang w:val="zh-CN" w:eastAsia="zh-CN" w:bidi="zh-CN"/>
      </w:rPr>
    </w:lvl>
    <w:lvl w:ilvl="2" w:tentative="0">
      <w:start w:val="1"/>
      <w:numFmt w:val="decimal"/>
      <w:lvlText w:val="%1.%2.%3"/>
      <w:lvlJc w:val="left"/>
      <w:pPr>
        <w:ind w:left="1060" w:hanging="840"/>
        <w:jc w:val="left"/>
      </w:pPr>
      <w:rPr>
        <w:rFonts w:hint="default"/>
        <w:b/>
        <w:bCs/>
        <w:spacing w:val="-2"/>
        <w:w w:val="100"/>
        <w:lang w:val="zh-CN" w:eastAsia="zh-CN" w:bidi="zh-CN"/>
      </w:rPr>
    </w:lvl>
    <w:lvl w:ilvl="3" w:tentative="0">
      <w:start w:val="1"/>
      <w:numFmt w:val="decimal"/>
      <w:lvlText w:val="（%4）"/>
      <w:lvlJc w:val="left"/>
      <w:pPr>
        <w:ind w:left="1301"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4115" w:hanging="601"/>
      </w:pPr>
      <w:rPr>
        <w:rFonts w:hint="default"/>
        <w:lang w:val="zh-CN" w:eastAsia="zh-CN" w:bidi="zh-CN"/>
      </w:rPr>
    </w:lvl>
    <w:lvl w:ilvl="5" w:tentative="0">
      <w:start w:val="0"/>
      <w:numFmt w:val="bullet"/>
      <w:lvlText w:val="•"/>
      <w:lvlJc w:val="left"/>
      <w:pPr>
        <w:ind w:left="5053" w:hanging="601"/>
      </w:pPr>
      <w:rPr>
        <w:rFonts w:hint="default"/>
        <w:lang w:val="zh-CN" w:eastAsia="zh-CN" w:bidi="zh-CN"/>
      </w:rPr>
    </w:lvl>
    <w:lvl w:ilvl="6" w:tentative="0">
      <w:start w:val="0"/>
      <w:numFmt w:val="bullet"/>
      <w:lvlText w:val="•"/>
      <w:lvlJc w:val="left"/>
      <w:pPr>
        <w:ind w:left="5992" w:hanging="601"/>
      </w:pPr>
      <w:rPr>
        <w:rFonts w:hint="default"/>
        <w:lang w:val="zh-CN" w:eastAsia="zh-CN" w:bidi="zh-CN"/>
      </w:rPr>
    </w:lvl>
    <w:lvl w:ilvl="7" w:tentative="0">
      <w:start w:val="0"/>
      <w:numFmt w:val="bullet"/>
      <w:lvlText w:val="•"/>
      <w:lvlJc w:val="left"/>
      <w:pPr>
        <w:ind w:left="6930" w:hanging="601"/>
      </w:pPr>
      <w:rPr>
        <w:rFonts w:hint="default"/>
        <w:lang w:val="zh-CN" w:eastAsia="zh-CN" w:bidi="zh-CN"/>
      </w:rPr>
    </w:lvl>
    <w:lvl w:ilvl="8" w:tentative="0">
      <w:start w:val="0"/>
      <w:numFmt w:val="bullet"/>
      <w:lvlText w:val="•"/>
      <w:lvlJc w:val="left"/>
      <w:pPr>
        <w:ind w:left="7869" w:hanging="601"/>
      </w:pPr>
      <w:rPr>
        <w:rFonts w:hint="default"/>
        <w:lang w:val="zh-CN" w:eastAsia="zh-CN" w:bidi="zh-CN"/>
      </w:rPr>
    </w:lvl>
  </w:abstractNum>
  <w:abstractNum w:abstractNumId="65">
    <w:nsid w:val="12EADF99"/>
    <w:multiLevelType w:val="multilevel"/>
    <w:tmpl w:val="12EADF99"/>
    <w:lvl w:ilvl="0" w:tentative="0">
      <w:start w:val="1"/>
      <w:numFmt w:val="decimal"/>
      <w:lvlText w:val="（%1）"/>
      <w:lvlJc w:val="left"/>
      <w:pPr>
        <w:ind w:left="1297"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62" w:hanging="601"/>
      </w:pPr>
      <w:rPr>
        <w:rFonts w:hint="default"/>
        <w:lang w:val="zh-CN" w:eastAsia="zh-CN" w:bidi="zh-CN"/>
      </w:rPr>
    </w:lvl>
    <w:lvl w:ilvl="2" w:tentative="0">
      <w:start w:val="0"/>
      <w:numFmt w:val="bullet"/>
      <w:lvlText w:val="•"/>
      <w:lvlJc w:val="left"/>
      <w:pPr>
        <w:ind w:left="3025" w:hanging="601"/>
      </w:pPr>
      <w:rPr>
        <w:rFonts w:hint="default"/>
        <w:lang w:val="zh-CN" w:eastAsia="zh-CN" w:bidi="zh-CN"/>
      </w:rPr>
    </w:lvl>
    <w:lvl w:ilvl="3" w:tentative="0">
      <w:start w:val="0"/>
      <w:numFmt w:val="bullet"/>
      <w:lvlText w:val="•"/>
      <w:lvlJc w:val="left"/>
      <w:pPr>
        <w:ind w:left="3887" w:hanging="601"/>
      </w:pPr>
      <w:rPr>
        <w:rFonts w:hint="default"/>
        <w:lang w:val="zh-CN" w:eastAsia="zh-CN" w:bidi="zh-CN"/>
      </w:rPr>
    </w:lvl>
    <w:lvl w:ilvl="4" w:tentative="0">
      <w:start w:val="0"/>
      <w:numFmt w:val="bullet"/>
      <w:lvlText w:val="•"/>
      <w:lvlJc w:val="left"/>
      <w:pPr>
        <w:ind w:left="4750" w:hanging="601"/>
      </w:pPr>
      <w:rPr>
        <w:rFonts w:hint="default"/>
        <w:lang w:val="zh-CN" w:eastAsia="zh-CN" w:bidi="zh-CN"/>
      </w:rPr>
    </w:lvl>
    <w:lvl w:ilvl="5" w:tentative="0">
      <w:start w:val="0"/>
      <w:numFmt w:val="bullet"/>
      <w:lvlText w:val="•"/>
      <w:lvlJc w:val="left"/>
      <w:pPr>
        <w:ind w:left="5613" w:hanging="601"/>
      </w:pPr>
      <w:rPr>
        <w:rFonts w:hint="default"/>
        <w:lang w:val="zh-CN" w:eastAsia="zh-CN" w:bidi="zh-CN"/>
      </w:rPr>
    </w:lvl>
    <w:lvl w:ilvl="6" w:tentative="0">
      <w:start w:val="0"/>
      <w:numFmt w:val="bullet"/>
      <w:lvlText w:val="•"/>
      <w:lvlJc w:val="left"/>
      <w:pPr>
        <w:ind w:left="6475" w:hanging="601"/>
      </w:pPr>
      <w:rPr>
        <w:rFonts w:hint="default"/>
        <w:lang w:val="zh-CN" w:eastAsia="zh-CN" w:bidi="zh-CN"/>
      </w:rPr>
    </w:lvl>
    <w:lvl w:ilvl="7" w:tentative="0">
      <w:start w:val="0"/>
      <w:numFmt w:val="bullet"/>
      <w:lvlText w:val="•"/>
      <w:lvlJc w:val="left"/>
      <w:pPr>
        <w:ind w:left="7338" w:hanging="601"/>
      </w:pPr>
      <w:rPr>
        <w:rFonts w:hint="default"/>
        <w:lang w:val="zh-CN" w:eastAsia="zh-CN" w:bidi="zh-CN"/>
      </w:rPr>
    </w:lvl>
    <w:lvl w:ilvl="8" w:tentative="0">
      <w:start w:val="0"/>
      <w:numFmt w:val="bullet"/>
      <w:lvlText w:val="•"/>
      <w:lvlJc w:val="left"/>
      <w:pPr>
        <w:ind w:left="8200" w:hanging="601"/>
      </w:pPr>
      <w:rPr>
        <w:rFonts w:hint="default"/>
        <w:lang w:val="zh-CN" w:eastAsia="zh-CN" w:bidi="zh-CN"/>
      </w:rPr>
    </w:lvl>
  </w:abstractNum>
  <w:abstractNum w:abstractNumId="66">
    <w:nsid w:val="1450273B"/>
    <w:multiLevelType w:val="multilevel"/>
    <w:tmpl w:val="1450273B"/>
    <w:lvl w:ilvl="0" w:tentative="0">
      <w:start w:val="1"/>
      <w:numFmt w:val="decimal"/>
      <w:lvlText w:val="%1."/>
      <w:lvlJc w:val="left"/>
      <w:pPr>
        <w:ind w:left="111" w:hanging="159"/>
        <w:jc w:val="left"/>
      </w:pPr>
      <w:rPr>
        <w:rFonts w:hint="default" w:ascii="Times New Roman" w:hAnsi="Times New Roman" w:eastAsia="Times New Roman" w:cs="Times New Roman"/>
        <w:spacing w:val="0"/>
        <w:w w:val="99"/>
        <w:position w:val="2"/>
        <w:sz w:val="19"/>
        <w:szCs w:val="19"/>
        <w:lang w:val="zh-CN" w:eastAsia="zh-CN" w:bidi="zh-CN"/>
      </w:rPr>
    </w:lvl>
    <w:lvl w:ilvl="1" w:tentative="0">
      <w:start w:val="0"/>
      <w:numFmt w:val="bullet"/>
      <w:lvlText w:val="•"/>
      <w:lvlJc w:val="left"/>
      <w:pPr>
        <w:ind w:left="689" w:hanging="159"/>
      </w:pPr>
      <w:rPr>
        <w:rFonts w:hint="default"/>
        <w:lang w:val="zh-CN" w:eastAsia="zh-CN" w:bidi="zh-CN"/>
      </w:rPr>
    </w:lvl>
    <w:lvl w:ilvl="2" w:tentative="0">
      <w:start w:val="0"/>
      <w:numFmt w:val="bullet"/>
      <w:lvlText w:val="•"/>
      <w:lvlJc w:val="left"/>
      <w:pPr>
        <w:ind w:left="1259" w:hanging="159"/>
      </w:pPr>
      <w:rPr>
        <w:rFonts w:hint="default"/>
        <w:lang w:val="zh-CN" w:eastAsia="zh-CN" w:bidi="zh-CN"/>
      </w:rPr>
    </w:lvl>
    <w:lvl w:ilvl="3" w:tentative="0">
      <w:start w:val="0"/>
      <w:numFmt w:val="bullet"/>
      <w:lvlText w:val="•"/>
      <w:lvlJc w:val="left"/>
      <w:pPr>
        <w:ind w:left="1829" w:hanging="159"/>
      </w:pPr>
      <w:rPr>
        <w:rFonts w:hint="default"/>
        <w:lang w:val="zh-CN" w:eastAsia="zh-CN" w:bidi="zh-CN"/>
      </w:rPr>
    </w:lvl>
    <w:lvl w:ilvl="4" w:tentative="0">
      <w:start w:val="0"/>
      <w:numFmt w:val="bullet"/>
      <w:lvlText w:val="•"/>
      <w:lvlJc w:val="left"/>
      <w:pPr>
        <w:ind w:left="2398" w:hanging="159"/>
      </w:pPr>
      <w:rPr>
        <w:rFonts w:hint="default"/>
        <w:lang w:val="zh-CN" w:eastAsia="zh-CN" w:bidi="zh-CN"/>
      </w:rPr>
    </w:lvl>
    <w:lvl w:ilvl="5" w:tentative="0">
      <w:start w:val="0"/>
      <w:numFmt w:val="bullet"/>
      <w:lvlText w:val="•"/>
      <w:lvlJc w:val="left"/>
      <w:pPr>
        <w:ind w:left="2968" w:hanging="159"/>
      </w:pPr>
      <w:rPr>
        <w:rFonts w:hint="default"/>
        <w:lang w:val="zh-CN" w:eastAsia="zh-CN" w:bidi="zh-CN"/>
      </w:rPr>
    </w:lvl>
    <w:lvl w:ilvl="6" w:tentative="0">
      <w:start w:val="0"/>
      <w:numFmt w:val="bullet"/>
      <w:lvlText w:val="•"/>
      <w:lvlJc w:val="left"/>
      <w:pPr>
        <w:ind w:left="3538" w:hanging="159"/>
      </w:pPr>
      <w:rPr>
        <w:rFonts w:hint="default"/>
        <w:lang w:val="zh-CN" w:eastAsia="zh-CN" w:bidi="zh-CN"/>
      </w:rPr>
    </w:lvl>
    <w:lvl w:ilvl="7" w:tentative="0">
      <w:start w:val="0"/>
      <w:numFmt w:val="bullet"/>
      <w:lvlText w:val="•"/>
      <w:lvlJc w:val="left"/>
      <w:pPr>
        <w:ind w:left="4107" w:hanging="159"/>
      </w:pPr>
      <w:rPr>
        <w:rFonts w:hint="default"/>
        <w:lang w:val="zh-CN" w:eastAsia="zh-CN" w:bidi="zh-CN"/>
      </w:rPr>
    </w:lvl>
    <w:lvl w:ilvl="8" w:tentative="0">
      <w:start w:val="0"/>
      <w:numFmt w:val="bullet"/>
      <w:lvlText w:val="•"/>
      <w:lvlJc w:val="left"/>
      <w:pPr>
        <w:ind w:left="4677" w:hanging="159"/>
      </w:pPr>
      <w:rPr>
        <w:rFonts w:hint="default"/>
        <w:lang w:val="zh-CN" w:eastAsia="zh-CN" w:bidi="zh-CN"/>
      </w:rPr>
    </w:lvl>
  </w:abstractNum>
  <w:abstractNum w:abstractNumId="67">
    <w:nsid w:val="18F74015"/>
    <w:multiLevelType w:val="multilevel"/>
    <w:tmpl w:val="18F74015"/>
    <w:lvl w:ilvl="0" w:tentative="0">
      <w:start w:val="11"/>
      <w:numFmt w:val="decimal"/>
      <w:lvlText w:val="%1"/>
      <w:lvlJc w:val="left"/>
      <w:pPr>
        <w:ind w:left="876" w:hanging="660"/>
        <w:jc w:val="left"/>
      </w:pPr>
      <w:rPr>
        <w:rFonts w:hint="default"/>
        <w:lang w:val="zh-CN" w:eastAsia="zh-CN" w:bidi="zh-CN"/>
      </w:rPr>
    </w:lvl>
    <w:lvl w:ilvl="1" w:tentative="0">
      <w:start w:val="1"/>
      <w:numFmt w:val="decimal"/>
      <w:lvlText w:val="%1.%2"/>
      <w:lvlJc w:val="left"/>
      <w:pPr>
        <w:ind w:left="876" w:hanging="660"/>
        <w:jc w:val="left"/>
      </w:pPr>
      <w:rPr>
        <w:rFonts w:hint="default" w:ascii="Times New Roman" w:hAnsi="Times New Roman" w:eastAsia="Times New Roman" w:cs="Times New Roman"/>
        <w:b/>
        <w:bCs/>
        <w:spacing w:val="-14"/>
        <w:w w:val="99"/>
        <w:sz w:val="30"/>
        <w:szCs w:val="30"/>
        <w:lang w:val="zh-CN" w:eastAsia="zh-CN" w:bidi="zh-CN"/>
      </w:rPr>
    </w:lvl>
    <w:lvl w:ilvl="2" w:tentative="0">
      <w:start w:val="1"/>
      <w:numFmt w:val="decimal"/>
      <w:lvlText w:val="%1.%2.%3"/>
      <w:lvlJc w:val="left"/>
      <w:pPr>
        <w:ind w:left="1041" w:hanging="826"/>
        <w:jc w:val="left"/>
      </w:pPr>
      <w:rPr>
        <w:rFonts w:hint="default" w:ascii="Times New Roman" w:hAnsi="Times New Roman" w:eastAsia="Times New Roman" w:cs="Times New Roman"/>
        <w:b/>
        <w:bCs/>
        <w:spacing w:val="-14"/>
        <w:w w:val="100"/>
        <w:sz w:val="28"/>
        <w:szCs w:val="28"/>
        <w:lang w:val="zh-CN" w:eastAsia="zh-CN" w:bidi="zh-CN"/>
      </w:rPr>
    </w:lvl>
    <w:lvl w:ilvl="3" w:tentative="0">
      <w:start w:val="1"/>
      <w:numFmt w:val="decimal"/>
      <w:lvlText w:val="%1.%2.%3.%4"/>
      <w:lvlJc w:val="left"/>
      <w:pPr>
        <w:ind w:left="1044" w:hanging="828"/>
        <w:jc w:val="left"/>
      </w:pPr>
      <w:rPr>
        <w:rFonts w:hint="default" w:ascii="Times New Roman" w:hAnsi="Times New Roman" w:eastAsia="Times New Roman" w:cs="Times New Roman"/>
        <w:b/>
        <w:bCs/>
        <w:spacing w:val="-10"/>
        <w:w w:val="99"/>
        <w:sz w:val="24"/>
        <w:szCs w:val="24"/>
        <w:lang w:val="zh-CN" w:eastAsia="zh-CN" w:bidi="zh-CN"/>
      </w:rPr>
    </w:lvl>
    <w:lvl w:ilvl="4" w:tentative="0">
      <w:start w:val="0"/>
      <w:numFmt w:val="bullet"/>
      <w:lvlText w:val="•"/>
      <w:lvlJc w:val="left"/>
      <w:pPr>
        <w:ind w:left="1159" w:hanging="828"/>
      </w:pPr>
      <w:rPr>
        <w:rFonts w:hint="default"/>
        <w:lang w:val="zh-CN" w:eastAsia="zh-CN" w:bidi="zh-CN"/>
      </w:rPr>
    </w:lvl>
    <w:lvl w:ilvl="5" w:tentative="0">
      <w:start w:val="0"/>
      <w:numFmt w:val="bullet"/>
      <w:lvlText w:val="•"/>
      <w:lvlJc w:val="left"/>
      <w:pPr>
        <w:ind w:left="1218" w:hanging="828"/>
      </w:pPr>
      <w:rPr>
        <w:rFonts w:hint="default"/>
        <w:lang w:val="zh-CN" w:eastAsia="zh-CN" w:bidi="zh-CN"/>
      </w:rPr>
    </w:lvl>
    <w:lvl w:ilvl="6" w:tentative="0">
      <w:start w:val="0"/>
      <w:numFmt w:val="bullet"/>
      <w:lvlText w:val="•"/>
      <w:lvlJc w:val="left"/>
      <w:pPr>
        <w:ind w:left="1278" w:hanging="828"/>
      </w:pPr>
      <w:rPr>
        <w:rFonts w:hint="default"/>
        <w:lang w:val="zh-CN" w:eastAsia="zh-CN" w:bidi="zh-CN"/>
      </w:rPr>
    </w:lvl>
    <w:lvl w:ilvl="7" w:tentative="0">
      <w:start w:val="0"/>
      <w:numFmt w:val="bullet"/>
      <w:lvlText w:val="•"/>
      <w:lvlJc w:val="left"/>
      <w:pPr>
        <w:ind w:left="1337" w:hanging="828"/>
      </w:pPr>
      <w:rPr>
        <w:rFonts w:hint="default"/>
        <w:lang w:val="zh-CN" w:eastAsia="zh-CN" w:bidi="zh-CN"/>
      </w:rPr>
    </w:lvl>
    <w:lvl w:ilvl="8" w:tentative="0">
      <w:start w:val="0"/>
      <w:numFmt w:val="bullet"/>
      <w:lvlText w:val="•"/>
      <w:lvlJc w:val="left"/>
      <w:pPr>
        <w:ind w:left="1397" w:hanging="828"/>
      </w:pPr>
      <w:rPr>
        <w:rFonts w:hint="default"/>
        <w:lang w:val="zh-CN" w:eastAsia="zh-CN" w:bidi="zh-CN"/>
      </w:rPr>
    </w:lvl>
  </w:abstractNum>
  <w:abstractNum w:abstractNumId="68">
    <w:nsid w:val="1ACDE60F"/>
    <w:multiLevelType w:val="multilevel"/>
    <w:tmpl w:val="1ACDE60F"/>
    <w:lvl w:ilvl="0" w:tentative="0">
      <w:start w:val="1"/>
      <w:numFmt w:val="decimal"/>
      <w:lvlText w:val="（%1）"/>
      <w:lvlJc w:val="left"/>
      <w:pPr>
        <w:ind w:left="163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68" w:hanging="601"/>
      </w:pPr>
      <w:rPr>
        <w:rFonts w:hint="default"/>
        <w:lang w:val="zh-CN" w:eastAsia="zh-CN" w:bidi="zh-CN"/>
      </w:rPr>
    </w:lvl>
    <w:lvl w:ilvl="2" w:tentative="0">
      <w:start w:val="0"/>
      <w:numFmt w:val="bullet"/>
      <w:lvlText w:val="•"/>
      <w:lvlJc w:val="left"/>
      <w:pPr>
        <w:ind w:left="3297" w:hanging="601"/>
      </w:pPr>
      <w:rPr>
        <w:rFonts w:hint="default"/>
        <w:lang w:val="zh-CN" w:eastAsia="zh-CN" w:bidi="zh-CN"/>
      </w:rPr>
    </w:lvl>
    <w:lvl w:ilvl="3" w:tentative="0">
      <w:start w:val="0"/>
      <w:numFmt w:val="bullet"/>
      <w:lvlText w:val="•"/>
      <w:lvlJc w:val="left"/>
      <w:pPr>
        <w:ind w:left="4125" w:hanging="601"/>
      </w:pPr>
      <w:rPr>
        <w:rFonts w:hint="default"/>
        <w:lang w:val="zh-CN" w:eastAsia="zh-CN" w:bidi="zh-CN"/>
      </w:rPr>
    </w:lvl>
    <w:lvl w:ilvl="4" w:tentative="0">
      <w:start w:val="0"/>
      <w:numFmt w:val="bullet"/>
      <w:lvlText w:val="•"/>
      <w:lvlJc w:val="left"/>
      <w:pPr>
        <w:ind w:left="4954" w:hanging="601"/>
      </w:pPr>
      <w:rPr>
        <w:rFonts w:hint="default"/>
        <w:lang w:val="zh-CN" w:eastAsia="zh-CN" w:bidi="zh-CN"/>
      </w:rPr>
    </w:lvl>
    <w:lvl w:ilvl="5" w:tentative="0">
      <w:start w:val="0"/>
      <w:numFmt w:val="bullet"/>
      <w:lvlText w:val="•"/>
      <w:lvlJc w:val="left"/>
      <w:pPr>
        <w:ind w:left="5783" w:hanging="601"/>
      </w:pPr>
      <w:rPr>
        <w:rFonts w:hint="default"/>
        <w:lang w:val="zh-CN" w:eastAsia="zh-CN" w:bidi="zh-CN"/>
      </w:rPr>
    </w:lvl>
    <w:lvl w:ilvl="6" w:tentative="0">
      <w:start w:val="0"/>
      <w:numFmt w:val="bullet"/>
      <w:lvlText w:val="•"/>
      <w:lvlJc w:val="left"/>
      <w:pPr>
        <w:ind w:left="6611" w:hanging="601"/>
      </w:pPr>
      <w:rPr>
        <w:rFonts w:hint="default"/>
        <w:lang w:val="zh-CN" w:eastAsia="zh-CN" w:bidi="zh-CN"/>
      </w:rPr>
    </w:lvl>
    <w:lvl w:ilvl="7" w:tentative="0">
      <w:start w:val="0"/>
      <w:numFmt w:val="bullet"/>
      <w:lvlText w:val="•"/>
      <w:lvlJc w:val="left"/>
      <w:pPr>
        <w:ind w:left="7440" w:hanging="601"/>
      </w:pPr>
      <w:rPr>
        <w:rFonts w:hint="default"/>
        <w:lang w:val="zh-CN" w:eastAsia="zh-CN" w:bidi="zh-CN"/>
      </w:rPr>
    </w:lvl>
    <w:lvl w:ilvl="8" w:tentative="0">
      <w:start w:val="0"/>
      <w:numFmt w:val="bullet"/>
      <w:lvlText w:val="•"/>
      <w:lvlJc w:val="left"/>
      <w:pPr>
        <w:ind w:left="8268" w:hanging="601"/>
      </w:pPr>
      <w:rPr>
        <w:rFonts w:hint="default"/>
        <w:lang w:val="zh-CN" w:eastAsia="zh-CN" w:bidi="zh-CN"/>
      </w:rPr>
    </w:lvl>
  </w:abstractNum>
  <w:abstractNum w:abstractNumId="69">
    <w:nsid w:val="1AD50295"/>
    <w:multiLevelType w:val="multilevel"/>
    <w:tmpl w:val="1AD50295"/>
    <w:lvl w:ilvl="0" w:tentative="0">
      <w:start w:val="1"/>
      <w:numFmt w:val="decimal"/>
      <w:lvlText w:val="（%1）"/>
      <w:lvlJc w:val="left"/>
      <w:pPr>
        <w:ind w:left="220" w:hanging="601"/>
        <w:jc w:val="left"/>
      </w:pPr>
      <w:rPr>
        <w:rFonts w:hint="default" w:ascii="宋体" w:hAnsi="宋体" w:eastAsia="宋体" w:cs="宋体"/>
        <w:spacing w:val="-41"/>
        <w:w w:val="100"/>
        <w:sz w:val="22"/>
        <w:szCs w:val="22"/>
        <w:lang w:val="zh-CN" w:eastAsia="zh-CN" w:bidi="zh-CN"/>
      </w:rPr>
    </w:lvl>
    <w:lvl w:ilvl="1" w:tentative="0">
      <w:start w:val="0"/>
      <w:numFmt w:val="bullet"/>
      <w:lvlText w:val="•"/>
      <w:lvlJc w:val="left"/>
      <w:pPr>
        <w:ind w:left="1172" w:hanging="601"/>
      </w:pPr>
      <w:rPr>
        <w:rFonts w:hint="default"/>
        <w:lang w:val="zh-CN" w:eastAsia="zh-CN" w:bidi="zh-CN"/>
      </w:rPr>
    </w:lvl>
    <w:lvl w:ilvl="2" w:tentative="0">
      <w:start w:val="0"/>
      <w:numFmt w:val="bullet"/>
      <w:lvlText w:val="•"/>
      <w:lvlJc w:val="left"/>
      <w:pPr>
        <w:ind w:left="2125" w:hanging="601"/>
      </w:pPr>
      <w:rPr>
        <w:rFonts w:hint="default"/>
        <w:lang w:val="zh-CN" w:eastAsia="zh-CN" w:bidi="zh-CN"/>
      </w:rPr>
    </w:lvl>
    <w:lvl w:ilvl="3" w:tentative="0">
      <w:start w:val="0"/>
      <w:numFmt w:val="bullet"/>
      <w:lvlText w:val="•"/>
      <w:lvlJc w:val="left"/>
      <w:pPr>
        <w:ind w:left="3077" w:hanging="601"/>
      </w:pPr>
      <w:rPr>
        <w:rFonts w:hint="default"/>
        <w:lang w:val="zh-CN" w:eastAsia="zh-CN" w:bidi="zh-CN"/>
      </w:rPr>
    </w:lvl>
    <w:lvl w:ilvl="4" w:tentative="0">
      <w:start w:val="0"/>
      <w:numFmt w:val="bullet"/>
      <w:lvlText w:val="•"/>
      <w:lvlJc w:val="left"/>
      <w:pPr>
        <w:ind w:left="4030" w:hanging="601"/>
      </w:pPr>
      <w:rPr>
        <w:rFonts w:hint="default"/>
        <w:lang w:val="zh-CN" w:eastAsia="zh-CN" w:bidi="zh-CN"/>
      </w:rPr>
    </w:lvl>
    <w:lvl w:ilvl="5" w:tentative="0">
      <w:start w:val="0"/>
      <w:numFmt w:val="bullet"/>
      <w:lvlText w:val="•"/>
      <w:lvlJc w:val="left"/>
      <w:pPr>
        <w:ind w:left="4983" w:hanging="601"/>
      </w:pPr>
      <w:rPr>
        <w:rFonts w:hint="default"/>
        <w:lang w:val="zh-CN" w:eastAsia="zh-CN" w:bidi="zh-CN"/>
      </w:rPr>
    </w:lvl>
    <w:lvl w:ilvl="6" w:tentative="0">
      <w:start w:val="0"/>
      <w:numFmt w:val="bullet"/>
      <w:lvlText w:val="•"/>
      <w:lvlJc w:val="left"/>
      <w:pPr>
        <w:ind w:left="5935" w:hanging="601"/>
      </w:pPr>
      <w:rPr>
        <w:rFonts w:hint="default"/>
        <w:lang w:val="zh-CN" w:eastAsia="zh-CN" w:bidi="zh-CN"/>
      </w:rPr>
    </w:lvl>
    <w:lvl w:ilvl="7" w:tentative="0">
      <w:start w:val="0"/>
      <w:numFmt w:val="bullet"/>
      <w:lvlText w:val="•"/>
      <w:lvlJc w:val="left"/>
      <w:pPr>
        <w:ind w:left="6888" w:hanging="601"/>
      </w:pPr>
      <w:rPr>
        <w:rFonts w:hint="default"/>
        <w:lang w:val="zh-CN" w:eastAsia="zh-CN" w:bidi="zh-CN"/>
      </w:rPr>
    </w:lvl>
    <w:lvl w:ilvl="8" w:tentative="0">
      <w:start w:val="0"/>
      <w:numFmt w:val="bullet"/>
      <w:lvlText w:val="•"/>
      <w:lvlJc w:val="left"/>
      <w:pPr>
        <w:ind w:left="7840" w:hanging="601"/>
      </w:pPr>
      <w:rPr>
        <w:rFonts w:hint="default"/>
        <w:lang w:val="zh-CN" w:eastAsia="zh-CN" w:bidi="zh-CN"/>
      </w:rPr>
    </w:lvl>
  </w:abstractNum>
  <w:abstractNum w:abstractNumId="70">
    <w:nsid w:val="1BCBBCF0"/>
    <w:multiLevelType w:val="multilevel"/>
    <w:tmpl w:val="1BCBBCF0"/>
    <w:lvl w:ilvl="0" w:tentative="0">
      <w:start w:val="1"/>
      <w:numFmt w:val="decimal"/>
      <w:lvlText w:val="%1."/>
      <w:lvlJc w:val="left"/>
      <w:pPr>
        <w:ind w:left="270" w:hanging="159"/>
        <w:jc w:val="left"/>
      </w:pPr>
      <w:rPr>
        <w:rFonts w:hint="default" w:ascii="Times New Roman" w:hAnsi="Times New Roman" w:eastAsia="Times New Roman" w:cs="Times New Roman"/>
        <w:spacing w:val="0"/>
        <w:w w:val="99"/>
        <w:position w:val="2"/>
        <w:sz w:val="19"/>
        <w:szCs w:val="19"/>
        <w:lang w:val="zh-CN" w:eastAsia="zh-CN" w:bidi="zh-CN"/>
      </w:rPr>
    </w:lvl>
    <w:lvl w:ilvl="1" w:tentative="0">
      <w:start w:val="0"/>
      <w:numFmt w:val="bullet"/>
      <w:lvlText w:val="•"/>
      <w:lvlJc w:val="left"/>
      <w:pPr>
        <w:ind w:left="833" w:hanging="159"/>
      </w:pPr>
      <w:rPr>
        <w:rFonts w:hint="default"/>
        <w:lang w:val="zh-CN" w:eastAsia="zh-CN" w:bidi="zh-CN"/>
      </w:rPr>
    </w:lvl>
    <w:lvl w:ilvl="2" w:tentative="0">
      <w:start w:val="0"/>
      <w:numFmt w:val="bullet"/>
      <w:lvlText w:val="•"/>
      <w:lvlJc w:val="left"/>
      <w:pPr>
        <w:ind w:left="1387" w:hanging="159"/>
      </w:pPr>
      <w:rPr>
        <w:rFonts w:hint="default"/>
        <w:lang w:val="zh-CN" w:eastAsia="zh-CN" w:bidi="zh-CN"/>
      </w:rPr>
    </w:lvl>
    <w:lvl w:ilvl="3" w:tentative="0">
      <w:start w:val="0"/>
      <w:numFmt w:val="bullet"/>
      <w:lvlText w:val="•"/>
      <w:lvlJc w:val="left"/>
      <w:pPr>
        <w:ind w:left="1941" w:hanging="159"/>
      </w:pPr>
      <w:rPr>
        <w:rFonts w:hint="default"/>
        <w:lang w:val="zh-CN" w:eastAsia="zh-CN" w:bidi="zh-CN"/>
      </w:rPr>
    </w:lvl>
    <w:lvl w:ilvl="4" w:tentative="0">
      <w:start w:val="0"/>
      <w:numFmt w:val="bullet"/>
      <w:lvlText w:val="•"/>
      <w:lvlJc w:val="left"/>
      <w:pPr>
        <w:ind w:left="2494" w:hanging="159"/>
      </w:pPr>
      <w:rPr>
        <w:rFonts w:hint="default"/>
        <w:lang w:val="zh-CN" w:eastAsia="zh-CN" w:bidi="zh-CN"/>
      </w:rPr>
    </w:lvl>
    <w:lvl w:ilvl="5" w:tentative="0">
      <w:start w:val="0"/>
      <w:numFmt w:val="bullet"/>
      <w:lvlText w:val="•"/>
      <w:lvlJc w:val="left"/>
      <w:pPr>
        <w:ind w:left="3048" w:hanging="159"/>
      </w:pPr>
      <w:rPr>
        <w:rFonts w:hint="default"/>
        <w:lang w:val="zh-CN" w:eastAsia="zh-CN" w:bidi="zh-CN"/>
      </w:rPr>
    </w:lvl>
    <w:lvl w:ilvl="6" w:tentative="0">
      <w:start w:val="0"/>
      <w:numFmt w:val="bullet"/>
      <w:lvlText w:val="•"/>
      <w:lvlJc w:val="left"/>
      <w:pPr>
        <w:ind w:left="3602" w:hanging="159"/>
      </w:pPr>
      <w:rPr>
        <w:rFonts w:hint="default"/>
        <w:lang w:val="zh-CN" w:eastAsia="zh-CN" w:bidi="zh-CN"/>
      </w:rPr>
    </w:lvl>
    <w:lvl w:ilvl="7" w:tentative="0">
      <w:start w:val="0"/>
      <w:numFmt w:val="bullet"/>
      <w:lvlText w:val="•"/>
      <w:lvlJc w:val="left"/>
      <w:pPr>
        <w:ind w:left="4155" w:hanging="159"/>
      </w:pPr>
      <w:rPr>
        <w:rFonts w:hint="default"/>
        <w:lang w:val="zh-CN" w:eastAsia="zh-CN" w:bidi="zh-CN"/>
      </w:rPr>
    </w:lvl>
    <w:lvl w:ilvl="8" w:tentative="0">
      <w:start w:val="0"/>
      <w:numFmt w:val="bullet"/>
      <w:lvlText w:val="•"/>
      <w:lvlJc w:val="left"/>
      <w:pPr>
        <w:ind w:left="4709" w:hanging="159"/>
      </w:pPr>
      <w:rPr>
        <w:rFonts w:hint="default"/>
        <w:lang w:val="zh-CN" w:eastAsia="zh-CN" w:bidi="zh-CN"/>
      </w:rPr>
    </w:lvl>
  </w:abstractNum>
  <w:abstractNum w:abstractNumId="71">
    <w:nsid w:val="1C257C7B"/>
    <w:multiLevelType w:val="multilevel"/>
    <w:tmpl w:val="1C257C7B"/>
    <w:lvl w:ilvl="0" w:tentative="0">
      <w:start w:val="1"/>
      <w:numFmt w:val="decimal"/>
      <w:lvlText w:val="（%1）"/>
      <w:lvlJc w:val="left"/>
      <w:pPr>
        <w:ind w:left="163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68" w:hanging="601"/>
      </w:pPr>
      <w:rPr>
        <w:rFonts w:hint="default"/>
        <w:lang w:val="zh-CN" w:eastAsia="zh-CN" w:bidi="zh-CN"/>
      </w:rPr>
    </w:lvl>
    <w:lvl w:ilvl="2" w:tentative="0">
      <w:start w:val="0"/>
      <w:numFmt w:val="bullet"/>
      <w:lvlText w:val="•"/>
      <w:lvlJc w:val="left"/>
      <w:pPr>
        <w:ind w:left="3297" w:hanging="601"/>
      </w:pPr>
      <w:rPr>
        <w:rFonts w:hint="default"/>
        <w:lang w:val="zh-CN" w:eastAsia="zh-CN" w:bidi="zh-CN"/>
      </w:rPr>
    </w:lvl>
    <w:lvl w:ilvl="3" w:tentative="0">
      <w:start w:val="0"/>
      <w:numFmt w:val="bullet"/>
      <w:lvlText w:val="•"/>
      <w:lvlJc w:val="left"/>
      <w:pPr>
        <w:ind w:left="4125" w:hanging="601"/>
      </w:pPr>
      <w:rPr>
        <w:rFonts w:hint="default"/>
        <w:lang w:val="zh-CN" w:eastAsia="zh-CN" w:bidi="zh-CN"/>
      </w:rPr>
    </w:lvl>
    <w:lvl w:ilvl="4" w:tentative="0">
      <w:start w:val="0"/>
      <w:numFmt w:val="bullet"/>
      <w:lvlText w:val="•"/>
      <w:lvlJc w:val="left"/>
      <w:pPr>
        <w:ind w:left="4954" w:hanging="601"/>
      </w:pPr>
      <w:rPr>
        <w:rFonts w:hint="default"/>
        <w:lang w:val="zh-CN" w:eastAsia="zh-CN" w:bidi="zh-CN"/>
      </w:rPr>
    </w:lvl>
    <w:lvl w:ilvl="5" w:tentative="0">
      <w:start w:val="0"/>
      <w:numFmt w:val="bullet"/>
      <w:lvlText w:val="•"/>
      <w:lvlJc w:val="left"/>
      <w:pPr>
        <w:ind w:left="5783" w:hanging="601"/>
      </w:pPr>
      <w:rPr>
        <w:rFonts w:hint="default"/>
        <w:lang w:val="zh-CN" w:eastAsia="zh-CN" w:bidi="zh-CN"/>
      </w:rPr>
    </w:lvl>
    <w:lvl w:ilvl="6" w:tentative="0">
      <w:start w:val="0"/>
      <w:numFmt w:val="bullet"/>
      <w:lvlText w:val="•"/>
      <w:lvlJc w:val="left"/>
      <w:pPr>
        <w:ind w:left="6611" w:hanging="601"/>
      </w:pPr>
      <w:rPr>
        <w:rFonts w:hint="default"/>
        <w:lang w:val="zh-CN" w:eastAsia="zh-CN" w:bidi="zh-CN"/>
      </w:rPr>
    </w:lvl>
    <w:lvl w:ilvl="7" w:tentative="0">
      <w:start w:val="0"/>
      <w:numFmt w:val="bullet"/>
      <w:lvlText w:val="•"/>
      <w:lvlJc w:val="left"/>
      <w:pPr>
        <w:ind w:left="7440" w:hanging="601"/>
      </w:pPr>
      <w:rPr>
        <w:rFonts w:hint="default"/>
        <w:lang w:val="zh-CN" w:eastAsia="zh-CN" w:bidi="zh-CN"/>
      </w:rPr>
    </w:lvl>
    <w:lvl w:ilvl="8" w:tentative="0">
      <w:start w:val="0"/>
      <w:numFmt w:val="bullet"/>
      <w:lvlText w:val="•"/>
      <w:lvlJc w:val="left"/>
      <w:pPr>
        <w:ind w:left="8268" w:hanging="601"/>
      </w:pPr>
      <w:rPr>
        <w:rFonts w:hint="default"/>
        <w:lang w:val="zh-CN" w:eastAsia="zh-CN" w:bidi="zh-CN"/>
      </w:rPr>
    </w:lvl>
  </w:abstractNum>
  <w:abstractNum w:abstractNumId="72">
    <w:nsid w:val="23E97754"/>
    <w:multiLevelType w:val="multilevel"/>
    <w:tmpl w:val="23E97754"/>
    <w:lvl w:ilvl="0" w:tentative="0">
      <w:start w:val="6"/>
      <w:numFmt w:val="decimal"/>
      <w:lvlText w:val="%1"/>
      <w:lvlJc w:val="left"/>
      <w:pPr>
        <w:ind w:left="1272" w:hanging="720"/>
        <w:jc w:val="left"/>
      </w:pPr>
      <w:rPr>
        <w:rFonts w:hint="default"/>
        <w:lang w:val="zh-CN" w:eastAsia="zh-CN" w:bidi="zh-CN"/>
      </w:rPr>
    </w:lvl>
    <w:lvl w:ilvl="1" w:tentative="0">
      <w:start w:val="3"/>
      <w:numFmt w:val="decimal"/>
      <w:lvlText w:val="%1.%2"/>
      <w:lvlJc w:val="left"/>
      <w:pPr>
        <w:ind w:left="1272" w:hanging="720"/>
        <w:jc w:val="left"/>
      </w:pPr>
      <w:rPr>
        <w:rFonts w:hint="default"/>
        <w:lang w:val="zh-CN" w:eastAsia="zh-CN" w:bidi="zh-CN"/>
      </w:rPr>
    </w:lvl>
    <w:lvl w:ilvl="2" w:tentative="0">
      <w:start w:val="2"/>
      <w:numFmt w:val="decimal"/>
      <w:lvlText w:val="%1.%2.%3"/>
      <w:lvlJc w:val="left"/>
      <w:pPr>
        <w:ind w:left="1272" w:hanging="720"/>
        <w:jc w:val="left"/>
      </w:pPr>
      <w:rPr>
        <w:rFonts w:hint="default"/>
        <w:lang w:val="zh-CN" w:eastAsia="zh-CN" w:bidi="zh-CN"/>
      </w:rPr>
    </w:lvl>
    <w:lvl w:ilvl="3" w:tentative="0">
      <w:start w:val="2"/>
      <w:numFmt w:val="decimal"/>
      <w:lvlText w:val="%1.%2.%3.%4"/>
      <w:lvlJc w:val="left"/>
      <w:pPr>
        <w:ind w:left="1272" w:hanging="720"/>
        <w:jc w:val="left"/>
      </w:pPr>
      <w:rPr>
        <w:rFonts w:hint="default" w:ascii="Times New Roman" w:hAnsi="Times New Roman" w:eastAsia="Times New Roman" w:cs="Times New Roman"/>
        <w:b/>
        <w:bCs/>
        <w:w w:val="99"/>
        <w:sz w:val="24"/>
        <w:szCs w:val="24"/>
        <w:lang w:val="zh-CN" w:eastAsia="zh-CN" w:bidi="zh-CN"/>
      </w:rPr>
    </w:lvl>
    <w:lvl w:ilvl="4" w:tentative="0">
      <w:start w:val="1"/>
      <w:numFmt w:val="decimal"/>
      <w:lvlText w:val="（%5）"/>
      <w:lvlJc w:val="left"/>
      <w:pPr>
        <w:ind w:left="1671" w:hanging="601"/>
        <w:jc w:val="left"/>
      </w:pPr>
      <w:rPr>
        <w:rFonts w:hint="default" w:ascii="宋体" w:hAnsi="宋体" w:eastAsia="宋体" w:cs="宋体"/>
        <w:spacing w:val="-34"/>
        <w:w w:val="100"/>
        <w:sz w:val="22"/>
        <w:szCs w:val="22"/>
        <w:lang w:val="zh-CN" w:eastAsia="zh-CN" w:bidi="zh-CN"/>
      </w:rPr>
    </w:lvl>
    <w:lvl w:ilvl="5" w:tentative="0">
      <w:start w:val="0"/>
      <w:numFmt w:val="bullet"/>
      <w:lvlText w:val="•"/>
      <w:lvlJc w:val="left"/>
      <w:pPr>
        <w:ind w:left="5344" w:hanging="601"/>
      </w:pPr>
      <w:rPr>
        <w:rFonts w:hint="default"/>
        <w:lang w:val="zh-CN" w:eastAsia="zh-CN" w:bidi="zh-CN"/>
      </w:rPr>
    </w:lvl>
    <w:lvl w:ilvl="6" w:tentative="0">
      <w:start w:val="0"/>
      <w:numFmt w:val="bullet"/>
      <w:lvlText w:val="•"/>
      <w:lvlJc w:val="left"/>
      <w:pPr>
        <w:ind w:left="6261" w:hanging="601"/>
      </w:pPr>
      <w:rPr>
        <w:rFonts w:hint="default"/>
        <w:lang w:val="zh-CN" w:eastAsia="zh-CN" w:bidi="zh-CN"/>
      </w:rPr>
    </w:lvl>
    <w:lvl w:ilvl="7" w:tentative="0">
      <w:start w:val="0"/>
      <w:numFmt w:val="bullet"/>
      <w:lvlText w:val="•"/>
      <w:lvlJc w:val="left"/>
      <w:pPr>
        <w:ind w:left="7177" w:hanging="601"/>
      </w:pPr>
      <w:rPr>
        <w:rFonts w:hint="default"/>
        <w:lang w:val="zh-CN" w:eastAsia="zh-CN" w:bidi="zh-CN"/>
      </w:rPr>
    </w:lvl>
    <w:lvl w:ilvl="8" w:tentative="0">
      <w:start w:val="0"/>
      <w:numFmt w:val="bullet"/>
      <w:lvlText w:val="•"/>
      <w:lvlJc w:val="left"/>
      <w:pPr>
        <w:ind w:left="8093" w:hanging="601"/>
      </w:pPr>
      <w:rPr>
        <w:rFonts w:hint="default"/>
        <w:lang w:val="zh-CN" w:eastAsia="zh-CN" w:bidi="zh-CN"/>
      </w:rPr>
    </w:lvl>
  </w:abstractNum>
  <w:abstractNum w:abstractNumId="73">
    <w:nsid w:val="243FCF68"/>
    <w:multiLevelType w:val="multilevel"/>
    <w:tmpl w:val="243FCF68"/>
    <w:lvl w:ilvl="0" w:tentative="0">
      <w:start w:val="1"/>
      <w:numFmt w:val="decimal"/>
      <w:lvlText w:val="（%1）"/>
      <w:lvlJc w:val="left"/>
      <w:pPr>
        <w:ind w:left="512" w:hanging="601"/>
        <w:jc w:val="left"/>
      </w:pPr>
      <w:rPr>
        <w:rFonts w:hint="default" w:ascii="宋体" w:hAnsi="宋体" w:eastAsia="宋体" w:cs="宋体"/>
        <w:spacing w:val="-41"/>
        <w:w w:val="100"/>
        <w:sz w:val="22"/>
        <w:szCs w:val="22"/>
        <w:lang w:val="zh-CN" w:eastAsia="zh-CN" w:bidi="zh-CN"/>
      </w:rPr>
    </w:lvl>
    <w:lvl w:ilvl="1" w:tentative="0">
      <w:start w:val="0"/>
      <w:numFmt w:val="bullet"/>
      <w:lvlText w:val="•"/>
      <w:lvlJc w:val="left"/>
      <w:pPr>
        <w:ind w:left="1412" w:hanging="601"/>
      </w:pPr>
      <w:rPr>
        <w:rFonts w:hint="default"/>
        <w:lang w:val="zh-CN" w:eastAsia="zh-CN" w:bidi="zh-CN"/>
      </w:rPr>
    </w:lvl>
    <w:lvl w:ilvl="2" w:tentative="0">
      <w:start w:val="0"/>
      <w:numFmt w:val="bullet"/>
      <w:lvlText w:val="•"/>
      <w:lvlJc w:val="left"/>
      <w:pPr>
        <w:ind w:left="2305" w:hanging="601"/>
      </w:pPr>
      <w:rPr>
        <w:rFonts w:hint="default"/>
        <w:lang w:val="zh-CN" w:eastAsia="zh-CN" w:bidi="zh-CN"/>
      </w:rPr>
    </w:lvl>
    <w:lvl w:ilvl="3" w:tentative="0">
      <w:start w:val="0"/>
      <w:numFmt w:val="bullet"/>
      <w:lvlText w:val="•"/>
      <w:lvlJc w:val="left"/>
      <w:pPr>
        <w:ind w:left="3197" w:hanging="601"/>
      </w:pPr>
      <w:rPr>
        <w:rFonts w:hint="default"/>
        <w:lang w:val="zh-CN" w:eastAsia="zh-CN" w:bidi="zh-CN"/>
      </w:rPr>
    </w:lvl>
    <w:lvl w:ilvl="4" w:tentative="0">
      <w:start w:val="0"/>
      <w:numFmt w:val="bullet"/>
      <w:lvlText w:val="•"/>
      <w:lvlJc w:val="left"/>
      <w:pPr>
        <w:ind w:left="4090" w:hanging="601"/>
      </w:pPr>
      <w:rPr>
        <w:rFonts w:hint="default"/>
        <w:lang w:val="zh-CN" w:eastAsia="zh-CN" w:bidi="zh-CN"/>
      </w:rPr>
    </w:lvl>
    <w:lvl w:ilvl="5" w:tentative="0">
      <w:start w:val="0"/>
      <w:numFmt w:val="bullet"/>
      <w:lvlText w:val="•"/>
      <w:lvlJc w:val="left"/>
      <w:pPr>
        <w:ind w:left="4983" w:hanging="601"/>
      </w:pPr>
      <w:rPr>
        <w:rFonts w:hint="default"/>
        <w:lang w:val="zh-CN" w:eastAsia="zh-CN" w:bidi="zh-CN"/>
      </w:rPr>
    </w:lvl>
    <w:lvl w:ilvl="6" w:tentative="0">
      <w:start w:val="0"/>
      <w:numFmt w:val="bullet"/>
      <w:lvlText w:val="•"/>
      <w:lvlJc w:val="left"/>
      <w:pPr>
        <w:ind w:left="5875" w:hanging="601"/>
      </w:pPr>
      <w:rPr>
        <w:rFonts w:hint="default"/>
        <w:lang w:val="zh-CN" w:eastAsia="zh-CN" w:bidi="zh-CN"/>
      </w:rPr>
    </w:lvl>
    <w:lvl w:ilvl="7" w:tentative="0">
      <w:start w:val="0"/>
      <w:numFmt w:val="bullet"/>
      <w:lvlText w:val="•"/>
      <w:lvlJc w:val="left"/>
      <w:pPr>
        <w:ind w:left="6768" w:hanging="601"/>
      </w:pPr>
      <w:rPr>
        <w:rFonts w:hint="default"/>
        <w:lang w:val="zh-CN" w:eastAsia="zh-CN" w:bidi="zh-CN"/>
      </w:rPr>
    </w:lvl>
    <w:lvl w:ilvl="8" w:tentative="0">
      <w:start w:val="0"/>
      <w:numFmt w:val="bullet"/>
      <w:lvlText w:val="•"/>
      <w:lvlJc w:val="left"/>
      <w:pPr>
        <w:ind w:left="7660" w:hanging="601"/>
      </w:pPr>
      <w:rPr>
        <w:rFonts w:hint="default"/>
        <w:lang w:val="zh-CN" w:eastAsia="zh-CN" w:bidi="zh-CN"/>
      </w:rPr>
    </w:lvl>
  </w:abstractNum>
  <w:abstractNum w:abstractNumId="74">
    <w:nsid w:val="2470EC97"/>
    <w:multiLevelType w:val="multilevel"/>
    <w:tmpl w:val="2470EC97"/>
    <w:lvl w:ilvl="0" w:tentative="0">
      <w:start w:val="3"/>
      <w:numFmt w:val="decimal"/>
      <w:lvlText w:val="%1"/>
      <w:lvlJc w:val="left"/>
      <w:pPr>
        <w:ind w:left="1488" w:hanging="449"/>
        <w:jc w:val="left"/>
      </w:pPr>
      <w:rPr>
        <w:rFonts w:hint="default"/>
        <w:lang w:val="zh-CN" w:eastAsia="zh-CN" w:bidi="zh-CN"/>
      </w:rPr>
    </w:lvl>
    <w:lvl w:ilvl="1" w:tentative="0">
      <w:start w:val="1"/>
      <w:numFmt w:val="decimal"/>
      <w:lvlText w:val="%1.%2"/>
      <w:lvlJc w:val="left"/>
      <w:pPr>
        <w:ind w:left="1488" w:hanging="449"/>
        <w:jc w:val="left"/>
      </w:pPr>
      <w:rPr>
        <w:rFonts w:hint="default" w:ascii="Times New Roman" w:hAnsi="Times New Roman" w:eastAsia="Times New Roman" w:cs="Times New Roman"/>
        <w:b/>
        <w:bCs/>
        <w:spacing w:val="-1"/>
        <w:w w:val="100"/>
        <w:sz w:val="30"/>
        <w:szCs w:val="30"/>
        <w:lang w:val="zh-CN" w:eastAsia="zh-CN" w:bidi="zh-CN"/>
      </w:rPr>
    </w:lvl>
    <w:lvl w:ilvl="2" w:tentative="0">
      <w:start w:val="1"/>
      <w:numFmt w:val="decimal"/>
      <w:lvlText w:val="%1.%2.%3"/>
      <w:lvlJc w:val="left"/>
      <w:pPr>
        <w:ind w:left="1668"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2121"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3306" w:hanging="601"/>
      </w:pPr>
      <w:rPr>
        <w:rFonts w:hint="default"/>
        <w:lang w:val="zh-CN" w:eastAsia="zh-CN" w:bidi="zh-CN"/>
      </w:rPr>
    </w:lvl>
    <w:lvl w:ilvl="5" w:tentative="0">
      <w:start w:val="0"/>
      <w:numFmt w:val="bullet"/>
      <w:lvlText w:val="•"/>
      <w:lvlJc w:val="left"/>
      <w:pPr>
        <w:ind w:left="4493" w:hanging="601"/>
      </w:pPr>
      <w:rPr>
        <w:rFonts w:hint="default"/>
        <w:lang w:val="zh-CN" w:eastAsia="zh-CN" w:bidi="zh-CN"/>
      </w:rPr>
    </w:lvl>
    <w:lvl w:ilvl="6" w:tentative="0">
      <w:start w:val="0"/>
      <w:numFmt w:val="bullet"/>
      <w:lvlText w:val="•"/>
      <w:lvlJc w:val="left"/>
      <w:pPr>
        <w:ind w:left="56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8052" w:hanging="601"/>
      </w:pPr>
      <w:rPr>
        <w:rFonts w:hint="default"/>
        <w:lang w:val="zh-CN" w:eastAsia="zh-CN" w:bidi="zh-CN"/>
      </w:rPr>
    </w:lvl>
  </w:abstractNum>
  <w:abstractNum w:abstractNumId="75">
    <w:nsid w:val="25B654F3"/>
    <w:multiLevelType w:val="multilevel"/>
    <w:tmpl w:val="25B654F3"/>
    <w:lvl w:ilvl="0" w:tentative="0">
      <w:start w:val="2"/>
      <w:numFmt w:val="decimal"/>
      <w:lvlText w:val="%1"/>
      <w:lvlJc w:val="left"/>
      <w:pPr>
        <w:ind w:left="1184" w:hanging="526"/>
        <w:jc w:val="left"/>
      </w:pPr>
      <w:rPr>
        <w:rFonts w:hint="default"/>
        <w:lang w:val="zh-CN" w:eastAsia="zh-CN" w:bidi="zh-CN"/>
      </w:rPr>
    </w:lvl>
    <w:lvl w:ilvl="1" w:tentative="0">
      <w:start w:val="1"/>
      <w:numFmt w:val="decimal"/>
      <w:lvlText w:val="%1.%2"/>
      <w:lvlJc w:val="left"/>
      <w:pPr>
        <w:ind w:left="1184" w:hanging="526"/>
        <w:jc w:val="left"/>
      </w:pPr>
      <w:rPr>
        <w:rFonts w:hint="default" w:ascii="Times New Roman" w:hAnsi="Times New Roman" w:eastAsia="Times New Roman" w:cs="Times New Roman"/>
        <w:b/>
        <w:bCs/>
        <w:spacing w:val="-1"/>
        <w:w w:val="99"/>
        <w:sz w:val="30"/>
        <w:szCs w:val="30"/>
        <w:lang w:val="zh-CN" w:eastAsia="zh-CN" w:bidi="zh-CN"/>
      </w:rPr>
    </w:lvl>
    <w:lvl w:ilvl="2" w:tentative="0">
      <w:start w:val="1"/>
      <w:numFmt w:val="decimal"/>
      <w:lvlText w:val="%1.%2.%3"/>
      <w:lvlJc w:val="left"/>
      <w:pPr>
        <w:ind w:left="1287"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658" w:hanging="605"/>
        <w:jc w:val="left"/>
      </w:pPr>
      <w:rPr>
        <w:rFonts w:hint="default" w:ascii="宋体" w:hAnsi="宋体" w:eastAsia="宋体" w:cs="宋体"/>
        <w:spacing w:val="0"/>
        <w:w w:val="100"/>
        <w:sz w:val="22"/>
        <w:szCs w:val="22"/>
        <w:lang w:val="zh-CN" w:eastAsia="zh-CN" w:bidi="zh-CN"/>
      </w:rPr>
    </w:lvl>
    <w:lvl w:ilvl="4" w:tentative="0">
      <w:start w:val="0"/>
      <w:numFmt w:val="bullet"/>
      <w:lvlText w:val="•"/>
      <w:lvlJc w:val="left"/>
      <w:pPr>
        <w:ind w:left="3566" w:hanging="605"/>
      </w:pPr>
      <w:rPr>
        <w:rFonts w:hint="default"/>
        <w:lang w:val="zh-CN" w:eastAsia="zh-CN" w:bidi="zh-CN"/>
      </w:rPr>
    </w:lvl>
    <w:lvl w:ilvl="5" w:tentative="0">
      <w:start w:val="0"/>
      <w:numFmt w:val="bullet"/>
      <w:lvlText w:val="•"/>
      <w:lvlJc w:val="left"/>
      <w:pPr>
        <w:ind w:left="4709" w:hanging="605"/>
      </w:pPr>
      <w:rPr>
        <w:rFonts w:hint="default"/>
        <w:lang w:val="zh-CN" w:eastAsia="zh-CN" w:bidi="zh-CN"/>
      </w:rPr>
    </w:lvl>
    <w:lvl w:ilvl="6" w:tentative="0">
      <w:start w:val="0"/>
      <w:numFmt w:val="bullet"/>
      <w:lvlText w:val="•"/>
      <w:lvlJc w:val="left"/>
      <w:pPr>
        <w:ind w:left="5853" w:hanging="605"/>
      </w:pPr>
      <w:rPr>
        <w:rFonts w:hint="default"/>
        <w:lang w:val="zh-CN" w:eastAsia="zh-CN" w:bidi="zh-CN"/>
      </w:rPr>
    </w:lvl>
    <w:lvl w:ilvl="7" w:tentative="0">
      <w:start w:val="0"/>
      <w:numFmt w:val="bullet"/>
      <w:lvlText w:val="•"/>
      <w:lvlJc w:val="left"/>
      <w:pPr>
        <w:ind w:left="6996" w:hanging="605"/>
      </w:pPr>
      <w:rPr>
        <w:rFonts w:hint="default"/>
        <w:lang w:val="zh-CN" w:eastAsia="zh-CN" w:bidi="zh-CN"/>
      </w:rPr>
    </w:lvl>
    <w:lvl w:ilvl="8" w:tentative="0">
      <w:start w:val="0"/>
      <w:numFmt w:val="bullet"/>
      <w:lvlText w:val="•"/>
      <w:lvlJc w:val="left"/>
      <w:pPr>
        <w:ind w:left="8139" w:hanging="605"/>
      </w:pPr>
      <w:rPr>
        <w:rFonts w:hint="default"/>
        <w:lang w:val="zh-CN" w:eastAsia="zh-CN" w:bidi="zh-CN"/>
      </w:rPr>
    </w:lvl>
  </w:abstractNum>
  <w:abstractNum w:abstractNumId="76">
    <w:nsid w:val="2A8F537B"/>
    <w:multiLevelType w:val="multilevel"/>
    <w:tmpl w:val="2A8F537B"/>
    <w:lvl w:ilvl="0" w:tentative="0">
      <w:start w:val="24"/>
      <w:numFmt w:val="decimal"/>
      <w:lvlText w:val="(%1)"/>
      <w:lvlJc w:val="left"/>
      <w:pPr>
        <w:ind w:left="1538" w:hanging="401"/>
        <w:jc w:val="left"/>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2428" w:hanging="401"/>
      </w:pPr>
      <w:rPr>
        <w:rFonts w:hint="default"/>
        <w:lang w:val="zh-CN" w:eastAsia="zh-CN" w:bidi="zh-CN"/>
      </w:rPr>
    </w:lvl>
    <w:lvl w:ilvl="2" w:tentative="0">
      <w:start w:val="0"/>
      <w:numFmt w:val="bullet"/>
      <w:lvlText w:val="•"/>
      <w:lvlJc w:val="left"/>
      <w:pPr>
        <w:ind w:left="3317" w:hanging="401"/>
      </w:pPr>
      <w:rPr>
        <w:rFonts w:hint="default"/>
        <w:lang w:val="zh-CN" w:eastAsia="zh-CN" w:bidi="zh-CN"/>
      </w:rPr>
    </w:lvl>
    <w:lvl w:ilvl="3" w:tentative="0">
      <w:start w:val="0"/>
      <w:numFmt w:val="bullet"/>
      <w:lvlText w:val="•"/>
      <w:lvlJc w:val="left"/>
      <w:pPr>
        <w:ind w:left="4205" w:hanging="401"/>
      </w:pPr>
      <w:rPr>
        <w:rFonts w:hint="default"/>
        <w:lang w:val="zh-CN" w:eastAsia="zh-CN" w:bidi="zh-CN"/>
      </w:rPr>
    </w:lvl>
    <w:lvl w:ilvl="4" w:tentative="0">
      <w:start w:val="0"/>
      <w:numFmt w:val="bullet"/>
      <w:lvlText w:val="•"/>
      <w:lvlJc w:val="left"/>
      <w:pPr>
        <w:ind w:left="5094" w:hanging="401"/>
      </w:pPr>
      <w:rPr>
        <w:rFonts w:hint="default"/>
        <w:lang w:val="zh-CN" w:eastAsia="zh-CN" w:bidi="zh-CN"/>
      </w:rPr>
    </w:lvl>
    <w:lvl w:ilvl="5" w:tentative="0">
      <w:start w:val="0"/>
      <w:numFmt w:val="bullet"/>
      <w:lvlText w:val="•"/>
      <w:lvlJc w:val="left"/>
      <w:pPr>
        <w:ind w:left="5983" w:hanging="401"/>
      </w:pPr>
      <w:rPr>
        <w:rFonts w:hint="default"/>
        <w:lang w:val="zh-CN" w:eastAsia="zh-CN" w:bidi="zh-CN"/>
      </w:rPr>
    </w:lvl>
    <w:lvl w:ilvl="6" w:tentative="0">
      <w:start w:val="0"/>
      <w:numFmt w:val="bullet"/>
      <w:lvlText w:val="•"/>
      <w:lvlJc w:val="left"/>
      <w:pPr>
        <w:ind w:left="6871" w:hanging="401"/>
      </w:pPr>
      <w:rPr>
        <w:rFonts w:hint="default"/>
        <w:lang w:val="zh-CN" w:eastAsia="zh-CN" w:bidi="zh-CN"/>
      </w:rPr>
    </w:lvl>
    <w:lvl w:ilvl="7" w:tentative="0">
      <w:start w:val="0"/>
      <w:numFmt w:val="bullet"/>
      <w:lvlText w:val="•"/>
      <w:lvlJc w:val="left"/>
      <w:pPr>
        <w:ind w:left="7760" w:hanging="401"/>
      </w:pPr>
      <w:rPr>
        <w:rFonts w:hint="default"/>
        <w:lang w:val="zh-CN" w:eastAsia="zh-CN" w:bidi="zh-CN"/>
      </w:rPr>
    </w:lvl>
    <w:lvl w:ilvl="8" w:tentative="0">
      <w:start w:val="0"/>
      <w:numFmt w:val="bullet"/>
      <w:lvlText w:val="•"/>
      <w:lvlJc w:val="left"/>
      <w:pPr>
        <w:ind w:left="8648" w:hanging="401"/>
      </w:pPr>
      <w:rPr>
        <w:rFonts w:hint="default"/>
        <w:lang w:val="zh-CN" w:eastAsia="zh-CN" w:bidi="zh-CN"/>
      </w:rPr>
    </w:lvl>
  </w:abstractNum>
  <w:abstractNum w:abstractNumId="77">
    <w:nsid w:val="2F2D79CE"/>
    <w:multiLevelType w:val="multilevel"/>
    <w:tmpl w:val="2F2D79CE"/>
    <w:lvl w:ilvl="0" w:tentative="0">
      <w:start w:val="1"/>
      <w:numFmt w:val="decimal"/>
      <w:lvlText w:val="（%1）"/>
      <w:lvlJc w:val="left"/>
      <w:pPr>
        <w:ind w:left="1317"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8" w:hanging="601"/>
      </w:pPr>
      <w:rPr>
        <w:rFonts w:hint="default"/>
        <w:lang w:val="zh-CN" w:eastAsia="zh-CN" w:bidi="zh-CN"/>
      </w:rPr>
    </w:lvl>
    <w:lvl w:ilvl="2" w:tentative="0">
      <w:start w:val="0"/>
      <w:numFmt w:val="bullet"/>
      <w:lvlText w:val="•"/>
      <w:lvlJc w:val="left"/>
      <w:pPr>
        <w:ind w:left="2977" w:hanging="601"/>
      </w:pPr>
      <w:rPr>
        <w:rFonts w:hint="default"/>
        <w:lang w:val="zh-CN" w:eastAsia="zh-CN" w:bidi="zh-CN"/>
      </w:rPr>
    </w:lvl>
    <w:lvl w:ilvl="3" w:tentative="0">
      <w:start w:val="0"/>
      <w:numFmt w:val="bullet"/>
      <w:lvlText w:val="•"/>
      <w:lvlJc w:val="left"/>
      <w:pPr>
        <w:ind w:left="3805" w:hanging="601"/>
      </w:pPr>
      <w:rPr>
        <w:rFonts w:hint="default"/>
        <w:lang w:val="zh-CN" w:eastAsia="zh-CN" w:bidi="zh-CN"/>
      </w:rPr>
    </w:lvl>
    <w:lvl w:ilvl="4" w:tentative="0">
      <w:start w:val="0"/>
      <w:numFmt w:val="bullet"/>
      <w:lvlText w:val="•"/>
      <w:lvlJc w:val="left"/>
      <w:pPr>
        <w:ind w:left="4634" w:hanging="601"/>
      </w:pPr>
      <w:rPr>
        <w:rFonts w:hint="default"/>
        <w:lang w:val="zh-CN" w:eastAsia="zh-CN" w:bidi="zh-CN"/>
      </w:rPr>
    </w:lvl>
    <w:lvl w:ilvl="5" w:tentative="0">
      <w:start w:val="0"/>
      <w:numFmt w:val="bullet"/>
      <w:lvlText w:val="•"/>
      <w:lvlJc w:val="left"/>
      <w:pPr>
        <w:ind w:left="5463" w:hanging="601"/>
      </w:pPr>
      <w:rPr>
        <w:rFonts w:hint="default"/>
        <w:lang w:val="zh-CN" w:eastAsia="zh-CN" w:bidi="zh-CN"/>
      </w:rPr>
    </w:lvl>
    <w:lvl w:ilvl="6" w:tentative="0">
      <w:start w:val="0"/>
      <w:numFmt w:val="bullet"/>
      <w:lvlText w:val="•"/>
      <w:lvlJc w:val="left"/>
      <w:pPr>
        <w:ind w:left="6291" w:hanging="601"/>
      </w:pPr>
      <w:rPr>
        <w:rFonts w:hint="default"/>
        <w:lang w:val="zh-CN" w:eastAsia="zh-CN" w:bidi="zh-CN"/>
      </w:rPr>
    </w:lvl>
    <w:lvl w:ilvl="7" w:tentative="0">
      <w:start w:val="0"/>
      <w:numFmt w:val="bullet"/>
      <w:lvlText w:val="•"/>
      <w:lvlJc w:val="left"/>
      <w:pPr>
        <w:ind w:left="7120" w:hanging="601"/>
      </w:pPr>
      <w:rPr>
        <w:rFonts w:hint="default"/>
        <w:lang w:val="zh-CN" w:eastAsia="zh-CN" w:bidi="zh-CN"/>
      </w:rPr>
    </w:lvl>
    <w:lvl w:ilvl="8" w:tentative="0">
      <w:start w:val="0"/>
      <w:numFmt w:val="bullet"/>
      <w:lvlText w:val="•"/>
      <w:lvlJc w:val="left"/>
      <w:pPr>
        <w:ind w:left="7948" w:hanging="601"/>
      </w:pPr>
      <w:rPr>
        <w:rFonts w:hint="default"/>
        <w:lang w:val="zh-CN" w:eastAsia="zh-CN" w:bidi="zh-CN"/>
      </w:rPr>
    </w:lvl>
  </w:abstractNum>
  <w:abstractNum w:abstractNumId="78">
    <w:nsid w:val="30A0AC00"/>
    <w:multiLevelType w:val="multilevel"/>
    <w:tmpl w:val="30A0AC00"/>
    <w:lvl w:ilvl="0" w:tentative="0">
      <w:start w:val="1"/>
      <w:numFmt w:val="decimal"/>
      <w:lvlText w:val="（%1）"/>
      <w:lvlJc w:val="left"/>
      <w:pPr>
        <w:ind w:left="1297"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62" w:hanging="601"/>
      </w:pPr>
      <w:rPr>
        <w:rFonts w:hint="default"/>
        <w:lang w:val="zh-CN" w:eastAsia="zh-CN" w:bidi="zh-CN"/>
      </w:rPr>
    </w:lvl>
    <w:lvl w:ilvl="2" w:tentative="0">
      <w:start w:val="0"/>
      <w:numFmt w:val="bullet"/>
      <w:lvlText w:val="•"/>
      <w:lvlJc w:val="left"/>
      <w:pPr>
        <w:ind w:left="3025" w:hanging="601"/>
      </w:pPr>
      <w:rPr>
        <w:rFonts w:hint="default"/>
        <w:lang w:val="zh-CN" w:eastAsia="zh-CN" w:bidi="zh-CN"/>
      </w:rPr>
    </w:lvl>
    <w:lvl w:ilvl="3" w:tentative="0">
      <w:start w:val="0"/>
      <w:numFmt w:val="bullet"/>
      <w:lvlText w:val="•"/>
      <w:lvlJc w:val="left"/>
      <w:pPr>
        <w:ind w:left="3887" w:hanging="601"/>
      </w:pPr>
      <w:rPr>
        <w:rFonts w:hint="default"/>
        <w:lang w:val="zh-CN" w:eastAsia="zh-CN" w:bidi="zh-CN"/>
      </w:rPr>
    </w:lvl>
    <w:lvl w:ilvl="4" w:tentative="0">
      <w:start w:val="0"/>
      <w:numFmt w:val="bullet"/>
      <w:lvlText w:val="•"/>
      <w:lvlJc w:val="left"/>
      <w:pPr>
        <w:ind w:left="4750" w:hanging="601"/>
      </w:pPr>
      <w:rPr>
        <w:rFonts w:hint="default"/>
        <w:lang w:val="zh-CN" w:eastAsia="zh-CN" w:bidi="zh-CN"/>
      </w:rPr>
    </w:lvl>
    <w:lvl w:ilvl="5" w:tentative="0">
      <w:start w:val="0"/>
      <w:numFmt w:val="bullet"/>
      <w:lvlText w:val="•"/>
      <w:lvlJc w:val="left"/>
      <w:pPr>
        <w:ind w:left="5613" w:hanging="601"/>
      </w:pPr>
      <w:rPr>
        <w:rFonts w:hint="default"/>
        <w:lang w:val="zh-CN" w:eastAsia="zh-CN" w:bidi="zh-CN"/>
      </w:rPr>
    </w:lvl>
    <w:lvl w:ilvl="6" w:tentative="0">
      <w:start w:val="0"/>
      <w:numFmt w:val="bullet"/>
      <w:lvlText w:val="•"/>
      <w:lvlJc w:val="left"/>
      <w:pPr>
        <w:ind w:left="6475" w:hanging="601"/>
      </w:pPr>
      <w:rPr>
        <w:rFonts w:hint="default"/>
        <w:lang w:val="zh-CN" w:eastAsia="zh-CN" w:bidi="zh-CN"/>
      </w:rPr>
    </w:lvl>
    <w:lvl w:ilvl="7" w:tentative="0">
      <w:start w:val="0"/>
      <w:numFmt w:val="bullet"/>
      <w:lvlText w:val="•"/>
      <w:lvlJc w:val="left"/>
      <w:pPr>
        <w:ind w:left="7338" w:hanging="601"/>
      </w:pPr>
      <w:rPr>
        <w:rFonts w:hint="default"/>
        <w:lang w:val="zh-CN" w:eastAsia="zh-CN" w:bidi="zh-CN"/>
      </w:rPr>
    </w:lvl>
    <w:lvl w:ilvl="8" w:tentative="0">
      <w:start w:val="0"/>
      <w:numFmt w:val="bullet"/>
      <w:lvlText w:val="•"/>
      <w:lvlJc w:val="left"/>
      <w:pPr>
        <w:ind w:left="8200" w:hanging="601"/>
      </w:pPr>
      <w:rPr>
        <w:rFonts w:hint="default"/>
        <w:lang w:val="zh-CN" w:eastAsia="zh-CN" w:bidi="zh-CN"/>
      </w:rPr>
    </w:lvl>
  </w:abstractNum>
  <w:abstractNum w:abstractNumId="79">
    <w:nsid w:val="30FC5B15"/>
    <w:multiLevelType w:val="multilevel"/>
    <w:tmpl w:val="30FC5B15"/>
    <w:lvl w:ilvl="0" w:tentative="0">
      <w:start w:val="1"/>
      <w:numFmt w:val="decimal"/>
      <w:lvlText w:val="（%1）"/>
      <w:lvlJc w:val="left"/>
      <w:pPr>
        <w:ind w:left="452" w:hanging="601"/>
        <w:jc w:val="left"/>
      </w:pPr>
      <w:rPr>
        <w:rFonts w:hint="default" w:ascii="宋体" w:hAnsi="宋体" w:eastAsia="宋体" w:cs="宋体"/>
        <w:spacing w:val="-24"/>
        <w:w w:val="100"/>
        <w:sz w:val="22"/>
        <w:szCs w:val="22"/>
        <w:lang w:val="zh-CN" w:eastAsia="zh-CN" w:bidi="zh-CN"/>
      </w:rPr>
    </w:lvl>
    <w:lvl w:ilvl="1" w:tentative="0">
      <w:start w:val="0"/>
      <w:numFmt w:val="bullet"/>
      <w:lvlText w:val="•"/>
      <w:lvlJc w:val="left"/>
      <w:pPr>
        <w:ind w:left="1344" w:hanging="601"/>
      </w:pPr>
      <w:rPr>
        <w:rFonts w:hint="default"/>
        <w:lang w:val="zh-CN" w:eastAsia="zh-CN" w:bidi="zh-CN"/>
      </w:rPr>
    </w:lvl>
    <w:lvl w:ilvl="2" w:tentative="0">
      <w:start w:val="0"/>
      <w:numFmt w:val="bullet"/>
      <w:lvlText w:val="•"/>
      <w:lvlJc w:val="left"/>
      <w:pPr>
        <w:ind w:left="2229" w:hanging="601"/>
      </w:pPr>
      <w:rPr>
        <w:rFonts w:hint="default"/>
        <w:lang w:val="zh-CN" w:eastAsia="zh-CN" w:bidi="zh-CN"/>
      </w:rPr>
    </w:lvl>
    <w:lvl w:ilvl="3" w:tentative="0">
      <w:start w:val="0"/>
      <w:numFmt w:val="bullet"/>
      <w:lvlText w:val="•"/>
      <w:lvlJc w:val="left"/>
      <w:pPr>
        <w:ind w:left="3113" w:hanging="601"/>
      </w:pPr>
      <w:rPr>
        <w:rFonts w:hint="default"/>
        <w:lang w:val="zh-CN" w:eastAsia="zh-CN" w:bidi="zh-CN"/>
      </w:rPr>
    </w:lvl>
    <w:lvl w:ilvl="4" w:tentative="0">
      <w:start w:val="0"/>
      <w:numFmt w:val="bullet"/>
      <w:lvlText w:val="•"/>
      <w:lvlJc w:val="left"/>
      <w:pPr>
        <w:ind w:left="3998" w:hanging="601"/>
      </w:pPr>
      <w:rPr>
        <w:rFonts w:hint="default"/>
        <w:lang w:val="zh-CN" w:eastAsia="zh-CN" w:bidi="zh-CN"/>
      </w:rPr>
    </w:lvl>
    <w:lvl w:ilvl="5" w:tentative="0">
      <w:start w:val="0"/>
      <w:numFmt w:val="bullet"/>
      <w:lvlText w:val="•"/>
      <w:lvlJc w:val="left"/>
      <w:pPr>
        <w:ind w:left="4883" w:hanging="601"/>
      </w:pPr>
      <w:rPr>
        <w:rFonts w:hint="default"/>
        <w:lang w:val="zh-CN" w:eastAsia="zh-CN" w:bidi="zh-CN"/>
      </w:rPr>
    </w:lvl>
    <w:lvl w:ilvl="6" w:tentative="0">
      <w:start w:val="0"/>
      <w:numFmt w:val="bullet"/>
      <w:lvlText w:val="•"/>
      <w:lvlJc w:val="left"/>
      <w:pPr>
        <w:ind w:left="5767" w:hanging="601"/>
      </w:pPr>
      <w:rPr>
        <w:rFonts w:hint="default"/>
        <w:lang w:val="zh-CN" w:eastAsia="zh-CN" w:bidi="zh-CN"/>
      </w:rPr>
    </w:lvl>
    <w:lvl w:ilvl="7" w:tentative="0">
      <w:start w:val="0"/>
      <w:numFmt w:val="bullet"/>
      <w:lvlText w:val="•"/>
      <w:lvlJc w:val="left"/>
      <w:pPr>
        <w:ind w:left="6652" w:hanging="601"/>
      </w:pPr>
      <w:rPr>
        <w:rFonts w:hint="default"/>
        <w:lang w:val="zh-CN" w:eastAsia="zh-CN" w:bidi="zh-CN"/>
      </w:rPr>
    </w:lvl>
    <w:lvl w:ilvl="8" w:tentative="0">
      <w:start w:val="0"/>
      <w:numFmt w:val="bullet"/>
      <w:lvlText w:val="•"/>
      <w:lvlJc w:val="left"/>
      <w:pPr>
        <w:ind w:left="7536" w:hanging="601"/>
      </w:pPr>
      <w:rPr>
        <w:rFonts w:hint="default"/>
        <w:lang w:val="zh-CN" w:eastAsia="zh-CN" w:bidi="zh-CN"/>
      </w:rPr>
    </w:lvl>
  </w:abstractNum>
  <w:abstractNum w:abstractNumId="80">
    <w:nsid w:val="322D85CA"/>
    <w:multiLevelType w:val="multilevel"/>
    <w:tmpl w:val="322D85CA"/>
    <w:lvl w:ilvl="0" w:tentative="0">
      <w:start w:val="1"/>
      <w:numFmt w:val="decimal"/>
      <w:lvlText w:val="%1."/>
      <w:lvlJc w:val="left"/>
      <w:pPr>
        <w:ind w:left="267" w:hanging="159"/>
        <w:jc w:val="left"/>
      </w:pPr>
      <w:rPr>
        <w:rFonts w:hint="default" w:ascii="Times New Roman" w:hAnsi="Times New Roman" w:eastAsia="Times New Roman" w:cs="Times New Roman"/>
        <w:spacing w:val="-2"/>
        <w:w w:val="99"/>
        <w:sz w:val="19"/>
        <w:szCs w:val="19"/>
        <w:lang w:val="zh-CN" w:eastAsia="zh-CN" w:bidi="zh-CN"/>
      </w:rPr>
    </w:lvl>
    <w:lvl w:ilvl="1" w:tentative="0">
      <w:start w:val="0"/>
      <w:numFmt w:val="bullet"/>
      <w:lvlText w:val="•"/>
      <w:lvlJc w:val="left"/>
      <w:pPr>
        <w:ind w:left="875" w:hanging="159"/>
      </w:pPr>
      <w:rPr>
        <w:rFonts w:hint="default"/>
        <w:lang w:val="zh-CN" w:eastAsia="zh-CN" w:bidi="zh-CN"/>
      </w:rPr>
    </w:lvl>
    <w:lvl w:ilvl="2" w:tentative="0">
      <w:start w:val="0"/>
      <w:numFmt w:val="bullet"/>
      <w:lvlText w:val="•"/>
      <w:lvlJc w:val="left"/>
      <w:pPr>
        <w:ind w:left="1490" w:hanging="159"/>
      </w:pPr>
      <w:rPr>
        <w:rFonts w:hint="default"/>
        <w:lang w:val="zh-CN" w:eastAsia="zh-CN" w:bidi="zh-CN"/>
      </w:rPr>
    </w:lvl>
    <w:lvl w:ilvl="3" w:tentative="0">
      <w:start w:val="0"/>
      <w:numFmt w:val="bullet"/>
      <w:lvlText w:val="•"/>
      <w:lvlJc w:val="left"/>
      <w:pPr>
        <w:ind w:left="2105" w:hanging="159"/>
      </w:pPr>
      <w:rPr>
        <w:rFonts w:hint="default"/>
        <w:lang w:val="zh-CN" w:eastAsia="zh-CN" w:bidi="zh-CN"/>
      </w:rPr>
    </w:lvl>
    <w:lvl w:ilvl="4" w:tentative="0">
      <w:start w:val="0"/>
      <w:numFmt w:val="bullet"/>
      <w:lvlText w:val="•"/>
      <w:lvlJc w:val="left"/>
      <w:pPr>
        <w:ind w:left="2720" w:hanging="159"/>
      </w:pPr>
      <w:rPr>
        <w:rFonts w:hint="default"/>
        <w:lang w:val="zh-CN" w:eastAsia="zh-CN" w:bidi="zh-CN"/>
      </w:rPr>
    </w:lvl>
    <w:lvl w:ilvl="5" w:tentative="0">
      <w:start w:val="0"/>
      <w:numFmt w:val="bullet"/>
      <w:lvlText w:val="•"/>
      <w:lvlJc w:val="left"/>
      <w:pPr>
        <w:ind w:left="3335" w:hanging="159"/>
      </w:pPr>
      <w:rPr>
        <w:rFonts w:hint="default"/>
        <w:lang w:val="zh-CN" w:eastAsia="zh-CN" w:bidi="zh-CN"/>
      </w:rPr>
    </w:lvl>
    <w:lvl w:ilvl="6" w:tentative="0">
      <w:start w:val="0"/>
      <w:numFmt w:val="bullet"/>
      <w:lvlText w:val="•"/>
      <w:lvlJc w:val="left"/>
      <w:pPr>
        <w:ind w:left="3950" w:hanging="159"/>
      </w:pPr>
      <w:rPr>
        <w:rFonts w:hint="default"/>
        <w:lang w:val="zh-CN" w:eastAsia="zh-CN" w:bidi="zh-CN"/>
      </w:rPr>
    </w:lvl>
    <w:lvl w:ilvl="7" w:tentative="0">
      <w:start w:val="0"/>
      <w:numFmt w:val="bullet"/>
      <w:lvlText w:val="•"/>
      <w:lvlJc w:val="left"/>
      <w:pPr>
        <w:ind w:left="4565" w:hanging="159"/>
      </w:pPr>
      <w:rPr>
        <w:rFonts w:hint="default"/>
        <w:lang w:val="zh-CN" w:eastAsia="zh-CN" w:bidi="zh-CN"/>
      </w:rPr>
    </w:lvl>
    <w:lvl w:ilvl="8" w:tentative="0">
      <w:start w:val="0"/>
      <w:numFmt w:val="bullet"/>
      <w:lvlText w:val="•"/>
      <w:lvlJc w:val="left"/>
      <w:pPr>
        <w:ind w:left="5180" w:hanging="159"/>
      </w:pPr>
      <w:rPr>
        <w:rFonts w:hint="default"/>
        <w:lang w:val="zh-CN" w:eastAsia="zh-CN" w:bidi="zh-CN"/>
      </w:rPr>
    </w:lvl>
  </w:abstractNum>
  <w:abstractNum w:abstractNumId="81">
    <w:nsid w:val="32A7AF2D"/>
    <w:multiLevelType w:val="multilevel"/>
    <w:tmpl w:val="32A7AF2D"/>
    <w:lvl w:ilvl="0" w:tentative="0">
      <w:start w:val="1"/>
      <w:numFmt w:val="decimal"/>
      <w:lvlText w:val="（%1）"/>
      <w:lvlJc w:val="left"/>
      <w:pPr>
        <w:ind w:left="552" w:hanging="601"/>
        <w:jc w:val="left"/>
      </w:pPr>
      <w:rPr>
        <w:rFonts w:hint="default" w:ascii="宋体" w:hAnsi="宋体" w:eastAsia="宋体" w:cs="宋体"/>
        <w:spacing w:val="-18"/>
        <w:w w:val="100"/>
        <w:sz w:val="22"/>
        <w:szCs w:val="22"/>
        <w:lang w:val="zh-CN" w:eastAsia="zh-CN" w:bidi="zh-CN"/>
      </w:rPr>
    </w:lvl>
    <w:lvl w:ilvl="1" w:tentative="0">
      <w:start w:val="0"/>
      <w:numFmt w:val="bullet"/>
      <w:lvlText w:val="•"/>
      <w:lvlJc w:val="left"/>
      <w:pPr>
        <w:ind w:left="1496" w:hanging="601"/>
      </w:pPr>
      <w:rPr>
        <w:rFonts w:hint="default"/>
        <w:lang w:val="zh-CN" w:eastAsia="zh-CN" w:bidi="zh-CN"/>
      </w:rPr>
    </w:lvl>
    <w:lvl w:ilvl="2" w:tentative="0">
      <w:start w:val="0"/>
      <w:numFmt w:val="bullet"/>
      <w:lvlText w:val="•"/>
      <w:lvlJc w:val="left"/>
      <w:pPr>
        <w:ind w:left="2433" w:hanging="601"/>
      </w:pPr>
      <w:rPr>
        <w:rFonts w:hint="default"/>
        <w:lang w:val="zh-CN" w:eastAsia="zh-CN" w:bidi="zh-CN"/>
      </w:rPr>
    </w:lvl>
    <w:lvl w:ilvl="3" w:tentative="0">
      <w:start w:val="0"/>
      <w:numFmt w:val="bullet"/>
      <w:lvlText w:val="•"/>
      <w:lvlJc w:val="left"/>
      <w:pPr>
        <w:ind w:left="3369" w:hanging="601"/>
      </w:pPr>
      <w:rPr>
        <w:rFonts w:hint="default"/>
        <w:lang w:val="zh-CN" w:eastAsia="zh-CN" w:bidi="zh-CN"/>
      </w:rPr>
    </w:lvl>
    <w:lvl w:ilvl="4" w:tentative="0">
      <w:start w:val="0"/>
      <w:numFmt w:val="bullet"/>
      <w:lvlText w:val="•"/>
      <w:lvlJc w:val="left"/>
      <w:pPr>
        <w:ind w:left="4306" w:hanging="601"/>
      </w:pPr>
      <w:rPr>
        <w:rFonts w:hint="default"/>
        <w:lang w:val="zh-CN" w:eastAsia="zh-CN" w:bidi="zh-CN"/>
      </w:rPr>
    </w:lvl>
    <w:lvl w:ilvl="5" w:tentative="0">
      <w:start w:val="0"/>
      <w:numFmt w:val="bullet"/>
      <w:lvlText w:val="•"/>
      <w:lvlJc w:val="left"/>
      <w:pPr>
        <w:ind w:left="5243" w:hanging="601"/>
      </w:pPr>
      <w:rPr>
        <w:rFonts w:hint="default"/>
        <w:lang w:val="zh-CN" w:eastAsia="zh-CN" w:bidi="zh-CN"/>
      </w:rPr>
    </w:lvl>
    <w:lvl w:ilvl="6" w:tentative="0">
      <w:start w:val="0"/>
      <w:numFmt w:val="bullet"/>
      <w:lvlText w:val="•"/>
      <w:lvlJc w:val="left"/>
      <w:pPr>
        <w:ind w:left="6179" w:hanging="601"/>
      </w:pPr>
      <w:rPr>
        <w:rFonts w:hint="default"/>
        <w:lang w:val="zh-CN" w:eastAsia="zh-CN" w:bidi="zh-CN"/>
      </w:rPr>
    </w:lvl>
    <w:lvl w:ilvl="7" w:tentative="0">
      <w:start w:val="0"/>
      <w:numFmt w:val="bullet"/>
      <w:lvlText w:val="•"/>
      <w:lvlJc w:val="left"/>
      <w:pPr>
        <w:ind w:left="7116" w:hanging="601"/>
      </w:pPr>
      <w:rPr>
        <w:rFonts w:hint="default"/>
        <w:lang w:val="zh-CN" w:eastAsia="zh-CN" w:bidi="zh-CN"/>
      </w:rPr>
    </w:lvl>
    <w:lvl w:ilvl="8" w:tentative="0">
      <w:start w:val="0"/>
      <w:numFmt w:val="bullet"/>
      <w:lvlText w:val="•"/>
      <w:lvlJc w:val="left"/>
      <w:pPr>
        <w:ind w:left="8052" w:hanging="601"/>
      </w:pPr>
      <w:rPr>
        <w:rFonts w:hint="default"/>
        <w:lang w:val="zh-CN" w:eastAsia="zh-CN" w:bidi="zh-CN"/>
      </w:rPr>
    </w:lvl>
  </w:abstractNum>
  <w:abstractNum w:abstractNumId="82">
    <w:nsid w:val="35E83B33"/>
    <w:multiLevelType w:val="multilevel"/>
    <w:tmpl w:val="35E83B33"/>
    <w:lvl w:ilvl="0" w:tentative="0">
      <w:start w:val="1"/>
      <w:numFmt w:val="decimal"/>
      <w:lvlText w:val="（%1）"/>
      <w:lvlJc w:val="left"/>
      <w:pPr>
        <w:ind w:left="1297"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62" w:hanging="601"/>
      </w:pPr>
      <w:rPr>
        <w:rFonts w:hint="default"/>
        <w:lang w:val="zh-CN" w:eastAsia="zh-CN" w:bidi="zh-CN"/>
      </w:rPr>
    </w:lvl>
    <w:lvl w:ilvl="2" w:tentative="0">
      <w:start w:val="0"/>
      <w:numFmt w:val="bullet"/>
      <w:lvlText w:val="•"/>
      <w:lvlJc w:val="left"/>
      <w:pPr>
        <w:ind w:left="3025" w:hanging="601"/>
      </w:pPr>
      <w:rPr>
        <w:rFonts w:hint="default"/>
        <w:lang w:val="zh-CN" w:eastAsia="zh-CN" w:bidi="zh-CN"/>
      </w:rPr>
    </w:lvl>
    <w:lvl w:ilvl="3" w:tentative="0">
      <w:start w:val="0"/>
      <w:numFmt w:val="bullet"/>
      <w:lvlText w:val="•"/>
      <w:lvlJc w:val="left"/>
      <w:pPr>
        <w:ind w:left="3887" w:hanging="601"/>
      </w:pPr>
      <w:rPr>
        <w:rFonts w:hint="default"/>
        <w:lang w:val="zh-CN" w:eastAsia="zh-CN" w:bidi="zh-CN"/>
      </w:rPr>
    </w:lvl>
    <w:lvl w:ilvl="4" w:tentative="0">
      <w:start w:val="0"/>
      <w:numFmt w:val="bullet"/>
      <w:lvlText w:val="•"/>
      <w:lvlJc w:val="left"/>
      <w:pPr>
        <w:ind w:left="4750" w:hanging="601"/>
      </w:pPr>
      <w:rPr>
        <w:rFonts w:hint="default"/>
        <w:lang w:val="zh-CN" w:eastAsia="zh-CN" w:bidi="zh-CN"/>
      </w:rPr>
    </w:lvl>
    <w:lvl w:ilvl="5" w:tentative="0">
      <w:start w:val="0"/>
      <w:numFmt w:val="bullet"/>
      <w:lvlText w:val="•"/>
      <w:lvlJc w:val="left"/>
      <w:pPr>
        <w:ind w:left="5613" w:hanging="601"/>
      </w:pPr>
      <w:rPr>
        <w:rFonts w:hint="default"/>
        <w:lang w:val="zh-CN" w:eastAsia="zh-CN" w:bidi="zh-CN"/>
      </w:rPr>
    </w:lvl>
    <w:lvl w:ilvl="6" w:tentative="0">
      <w:start w:val="0"/>
      <w:numFmt w:val="bullet"/>
      <w:lvlText w:val="•"/>
      <w:lvlJc w:val="left"/>
      <w:pPr>
        <w:ind w:left="6475" w:hanging="601"/>
      </w:pPr>
      <w:rPr>
        <w:rFonts w:hint="default"/>
        <w:lang w:val="zh-CN" w:eastAsia="zh-CN" w:bidi="zh-CN"/>
      </w:rPr>
    </w:lvl>
    <w:lvl w:ilvl="7" w:tentative="0">
      <w:start w:val="0"/>
      <w:numFmt w:val="bullet"/>
      <w:lvlText w:val="•"/>
      <w:lvlJc w:val="left"/>
      <w:pPr>
        <w:ind w:left="7338" w:hanging="601"/>
      </w:pPr>
      <w:rPr>
        <w:rFonts w:hint="default"/>
        <w:lang w:val="zh-CN" w:eastAsia="zh-CN" w:bidi="zh-CN"/>
      </w:rPr>
    </w:lvl>
    <w:lvl w:ilvl="8" w:tentative="0">
      <w:start w:val="0"/>
      <w:numFmt w:val="bullet"/>
      <w:lvlText w:val="•"/>
      <w:lvlJc w:val="left"/>
      <w:pPr>
        <w:ind w:left="8200" w:hanging="601"/>
      </w:pPr>
      <w:rPr>
        <w:rFonts w:hint="default"/>
        <w:lang w:val="zh-CN" w:eastAsia="zh-CN" w:bidi="zh-CN"/>
      </w:rPr>
    </w:lvl>
  </w:abstractNum>
  <w:abstractNum w:abstractNumId="83">
    <w:nsid w:val="39A0D9AC"/>
    <w:multiLevelType w:val="multilevel"/>
    <w:tmpl w:val="39A0D9AC"/>
    <w:lvl w:ilvl="0" w:tentative="0">
      <w:start w:val="1"/>
      <w:numFmt w:val="decimal"/>
      <w:lvlText w:val="（%1）"/>
      <w:lvlJc w:val="left"/>
      <w:pPr>
        <w:ind w:left="21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950" w:hanging="601"/>
      </w:pPr>
      <w:rPr>
        <w:rFonts w:hint="default"/>
        <w:lang w:val="zh-CN" w:eastAsia="zh-CN" w:bidi="zh-CN"/>
      </w:rPr>
    </w:lvl>
    <w:lvl w:ilvl="2" w:tentative="0">
      <w:start w:val="0"/>
      <w:numFmt w:val="bullet"/>
      <w:lvlText w:val="•"/>
      <w:lvlJc w:val="left"/>
      <w:pPr>
        <w:ind w:left="3781" w:hanging="601"/>
      </w:pPr>
      <w:rPr>
        <w:rFonts w:hint="default"/>
        <w:lang w:val="zh-CN" w:eastAsia="zh-CN" w:bidi="zh-CN"/>
      </w:rPr>
    </w:lvl>
    <w:lvl w:ilvl="3" w:tentative="0">
      <w:start w:val="0"/>
      <w:numFmt w:val="bullet"/>
      <w:lvlText w:val="•"/>
      <w:lvlJc w:val="left"/>
      <w:pPr>
        <w:ind w:left="4611" w:hanging="601"/>
      </w:pPr>
      <w:rPr>
        <w:rFonts w:hint="default"/>
        <w:lang w:val="zh-CN" w:eastAsia="zh-CN" w:bidi="zh-CN"/>
      </w:rPr>
    </w:lvl>
    <w:lvl w:ilvl="4" w:tentative="0">
      <w:start w:val="0"/>
      <w:numFmt w:val="bullet"/>
      <w:lvlText w:val="•"/>
      <w:lvlJc w:val="left"/>
      <w:pPr>
        <w:ind w:left="5442" w:hanging="601"/>
      </w:pPr>
      <w:rPr>
        <w:rFonts w:hint="default"/>
        <w:lang w:val="zh-CN" w:eastAsia="zh-CN" w:bidi="zh-CN"/>
      </w:rPr>
    </w:lvl>
    <w:lvl w:ilvl="5" w:tentative="0">
      <w:start w:val="0"/>
      <w:numFmt w:val="bullet"/>
      <w:lvlText w:val="•"/>
      <w:lvlJc w:val="left"/>
      <w:pPr>
        <w:ind w:left="6273" w:hanging="601"/>
      </w:pPr>
      <w:rPr>
        <w:rFonts w:hint="default"/>
        <w:lang w:val="zh-CN" w:eastAsia="zh-CN" w:bidi="zh-CN"/>
      </w:rPr>
    </w:lvl>
    <w:lvl w:ilvl="6" w:tentative="0">
      <w:start w:val="0"/>
      <w:numFmt w:val="bullet"/>
      <w:lvlText w:val="•"/>
      <w:lvlJc w:val="left"/>
      <w:pPr>
        <w:ind w:left="7103" w:hanging="601"/>
      </w:pPr>
      <w:rPr>
        <w:rFonts w:hint="default"/>
        <w:lang w:val="zh-CN" w:eastAsia="zh-CN" w:bidi="zh-CN"/>
      </w:rPr>
    </w:lvl>
    <w:lvl w:ilvl="7" w:tentative="0">
      <w:start w:val="0"/>
      <w:numFmt w:val="bullet"/>
      <w:lvlText w:val="•"/>
      <w:lvlJc w:val="left"/>
      <w:pPr>
        <w:ind w:left="7934" w:hanging="601"/>
      </w:pPr>
      <w:rPr>
        <w:rFonts w:hint="default"/>
        <w:lang w:val="zh-CN" w:eastAsia="zh-CN" w:bidi="zh-CN"/>
      </w:rPr>
    </w:lvl>
    <w:lvl w:ilvl="8" w:tentative="0">
      <w:start w:val="0"/>
      <w:numFmt w:val="bullet"/>
      <w:lvlText w:val="•"/>
      <w:lvlJc w:val="left"/>
      <w:pPr>
        <w:ind w:left="8764" w:hanging="601"/>
      </w:pPr>
      <w:rPr>
        <w:rFonts w:hint="default"/>
        <w:lang w:val="zh-CN" w:eastAsia="zh-CN" w:bidi="zh-CN"/>
      </w:rPr>
    </w:lvl>
  </w:abstractNum>
  <w:abstractNum w:abstractNumId="84">
    <w:nsid w:val="3B8127DF"/>
    <w:multiLevelType w:val="multilevel"/>
    <w:tmpl w:val="3B8127DF"/>
    <w:lvl w:ilvl="0" w:tentative="0">
      <w:start w:val="1"/>
      <w:numFmt w:val="decimal"/>
      <w:lvlText w:val="（%1）"/>
      <w:lvlJc w:val="left"/>
      <w:pPr>
        <w:ind w:left="216" w:hanging="601"/>
        <w:jc w:val="left"/>
      </w:pPr>
      <w:rPr>
        <w:rFonts w:hint="default" w:ascii="宋体" w:hAnsi="宋体" w:eastAsia="宋体" w:cs="宋体"/>
        <w:spacing w:val="-27"/>
        <w:w w:val="100"/>
        <w:sz w:val="22"/>
        <w:szCs w:val="22"/>
        <w:lang w:val="zh-CN" w:eastAsia="zh-CN" w:bidi="zh-CN"/>
      </w:rPr>
    </w:lvl>
    <w:lvl w:ilvl="1" w:tentative="0">
      <w:start w:val="0"/>
      <w:numFmt w:val="bullet"/>
      <w:lvlText w:val="•"/>
      <w:lvlJc w:val="left"/>
      <w:pPr>
        <w:ind w:left="1190" w:hanging="601"/>
      </w:pPr>
      <w:rPr>
        <w:rFonts w:hint="default"/>
        <w:lang w:val="zh-CN" w:eastAsia="zh-CN" w:bidi="zh-CN"/>
      </w:rPr>
    </w:lvl>
    <w:lvl w:ilvl="2" w:tentative="0">
      <w:start w:val="0"/>
      <w:numFmt w:val="bullet"/>
      <w:lvlText w:val="•"/>
      <w:lvlJc w:val="left"/>
      <w:pPr>
        <w:ind w:left="2161" w:hanging="601"/>
      </w:pPr>
      <w:rPr>
        <w:rFonts w:hint="default"/>
        <w:lang w:val="zh-CN" w:eastAsia="zh-CN" w:bidi="zh-CN"/>
      </w:rPr>
    </w:lvl>
    <w:lvl w:ilvl="3" w:tentative="0">
      <w:start w:val="0"/>
      <w:numFmt w:val="bullet"/>
      <w:lvlText w:val="•"/>
      <w:lvlJc w:val="left"/>
      <w:pPr>
        <w:ind w:left="3131" w:hanging="601"/>
      </w:pPr>
      <w:rPr>
        <w:rFonts w:hint="default"/>
        <w:lang w:val="zh-CN" w:eastAsia="zh-CN" w:bidi="zh-CN"/>
      </w:rPr>
    </w:lvl>
    <w:lvl w:ilvl="4" w:tentative="0">
      <w:start w:val="0"/>
      <w:numFmt w:val="bullet"/>
      <w:lvlText w:val="•"/>
      <w:lvlJc w:val="left"/>
      <w:pPr>
        <w:ind w:left="4102" w:hanging="601"/>
      </w:pPr>
      <w:rPr>
        <w:rFonts w:hint="default"/>
        <w:lang w:val="zh-CN" w:eastAsia="zh-CN" w:bidi="zh-CN"/>
      </w:rPr>
    </w:lvl>
    <w:lvl w:ilvl="5" w:tentative="0">
      <w:start w:val="0"/>
      <w:numFmt w:val="bullet"/>
      <w:lvlText w:val="•"/>
      <w:lvlJc w:val="left"/>
      <w:pPr>
        <w:ind w:left="5073" w:hanging="601"/>
      </w:pPr>
      <w:rPr>
        <w:rFonts w:hint="default"/>
        <w:lang w:val="zh-CN" w:eastAsia="zh-CN" w:bidi="zh-CN"/>
      </w:rPr>
    </w:lvl>
    <w:lvl w:ilvl="6" w:tentative="0">
      <w:start w:val="0"/>
      <w:numFmt w:val="bullet"/>
      <w:lvlText w:val="•"/>
      <w:lvlJc w:val="left"/>
      <w:pPr>
        <w:ind w:left="6043" w:hanging="601"/>
      </w:pPr>
      <w:rPr>
        <w:rFonts w:hint="default"/>
        <w:lang w:val="zh-CN" w:eastAsia="zh-CN" w:bidi="zh-CN"/>
      </w:rPr>
    </w:lvl>
    <w:lvl w:ilvl="7" w:tentative="0">
      <w:start w:val="0"/>
      <w:numFmt w:val="bullet"/>
      <w:lvlText w:val="•"/>
      <w:lvlJc w:val="left"/>
      <w:pPr>
        <w:ind w:left="7014" w:hanging="601"/>
      </w:pPr>
      <w:rPr>
        <w:rFonts w:hint="default"/>
        <w:lang w:val="zh-CN" w:eastAsia="zh-CN" w:bidi="zh-CN"/>
      </w:rPr>
    </w:lvl>
    <w:lvl w:ilvl="8" w:tentative="0">
      <w:start w:val="0"/>
      <w:numFmt w:val="bullet"/>
      <w:lvlText w:val="•"/>
      <w:lvlJc w:val="left"/>
      <w:pPr>
        <w:ind w:left="7984" w:hanging="601"/>
      </w:pPr>
      <w:rPr>
        <w:rFonts w:hint="default"/>
        <w:lang w:val="zh-CN" w:eastAsia="zh-CN" w:bidi="zh-CN"/>
      </w:rPr>
    </w:lvl>
  </w:abstractNum>
  <w:abstractNum w:abstractNumId="85">
    <w:nsid w:val="40B249F9"/>
    <w:multiLevelType w:val="multilevel"/>
    <w:tmpl w:val="40B249F9"/>
    <w:lvl w:ilvl="0" w:tentative="0">
      <w:start w:val="7"/>
      <w:numFmt w:val="decimal"/>
      <w:lvlText w:val="%1"/>
      <w:lvlJc w:val="left"/>
      <w:pPr>
        <w:ind w:left="667" w:hanging="452"/>
        <w:jc w:val="left"/>
      </w:pPr>
      <w:rPr>
        <w:rFonts w:hint="default"/>
        <w:lang w:val="zh-CN" w:eastAsia="zh-CN" w:bidi="zh-CN"/>
      </w:rPr>
    </w:lvl>
    <w:lvl w:ilvl="1" w:tentative="0">
      <w:start w:val="1"/>
      <w:numFmt w:val="decimal"/>
      <w:lvlText w:val="%1.%2"/>
      <w:lvlJc w:val="left"/>
      <w:pPr>
        <w:ind w:left="667" w:hanging="452"/>
        <w:jc w:val="left"/>
      </w:pPr>
      <w:rPr>
        <w:rFonts w:hint="default"/>
        <w:b/>
        <w:bCs/>
        <w:spacing w:val="-1"/>
        <w:w w:val="99"/>
        <w:lang w:val="zh-CN" w:eastAsia="zh-CN" w:bidi="zh-CN"/>
      </w:rPr>
    </w:lvl>
    <w:lvl w:ilvl="2" w:tentative="0">
      <w:start w:val="1"/>
      <w:numFmt w:val="decimal"/>
      <w:lvlText w:val="%1.%2.%3"/>
      <w:lvlJc w:val="left"/>
      <w:pPr>
        <w:ind w:left="847" w:hanging="632"/>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1.%2.%3.%4"/>
      <w:lvlJc w:val="left"/>
      <w:pPr>
        <w:ind w:left="936" w:hanging="720"/>
        <w:jc w:val="left"/>
      </w:pPr>
      <w:rPr>
        <w:rFonts w:hint="default" w:ascii="Times New Roman" w:hAnsi="Times New Roman" w:eastAsia="Times New Roman" w:cs="Times New Roman"/>
        <w:b/>
        <w:bCs/>
        <w:w w:val="99"/>
        <w:sz w:val="24"/>
        <w:szCs w:val="24"/>
        <w:lang w:val="zh-CN" w:eastAsia="zh-CN" w:bidi="zh-CN"/>
      </w:rPr>
    </w:lvl>
    <w:lvl w:ilvl="4" w:tentative="0">
      <w:start w:val="0"/>
      <w:numFmt w:val="bullet"/>
      <w:lvlText w:val="•"/>
      <w:lvlJc w:val="left"/>
      <w:pPr>
        <w:ind w:left="1000" w:hanging="720"/>
      </w:pPr>
      <w:rPr>
        <w:rFonts w:hint="default"/>
        <w:lang w:val="zh-CN" w:eastAsia="zh-CN" w:bidi="zh-CN"/>
      </w:rPr>
    </w:lvl>
    <w:lvl w:ilvl="5" w:tentative="0">
      <w:start w:val="0"/>
      <w:numFmt w:val="bullet"/>
      <w:lvlText w:val="•"/>
      <w:lvlJc w:val="left"/>
      <w:pPr>
        <w:ind w:left="1151" w:hanging="720"/>
      </w:pPr>
      <w:rPr>
        <w:rFonts w:hint="default"/>
        <w:lang w:val="zh-CN" w:eastAsia="zh-CN" w:bidi="zh-CN"/>
      </w:rPr>
    </w:lvl>
    <w:lvl w:ilvl="6" w:tentative="0">
      <w:start w:val="0"/>
      <w:numFmt w:val="bullet"/>
      <w:lvlText w:val="•"/>
      <w:lvlJc w:val="left"/>
      <w:pPr>
        <w:ind w:left="1303" w:hanging="720"/>
      </w:pPr>
      <w:rPr>
        <w:rFonts w:hint="default"/>
        <w:lang w:val="zh-CN" w:eastAsia="zh-CN" w:bidi="zh-CN"/>
      </w:rPr>
    </w:lvl>
    <w:lvl w:ilvl="7" w:tentative="0">
      <w:start w:val="0"/>
      <w:numFmt w:val="bullet"/>
      <w:lvlText w:val="•"/>
      <w:lvlJc w:val="left"/>
      <w:pPr>
        <w:ind w:left="1454" w:hanging="720"/>
      </w:pPr>
      <w:rPr>
        <w:rFonts w:hint="default"/>
        <w:lang w:val="zh-CN" w:eastAsia="zh-CN" w:bidi="zh-CN"/>
      </w:rPr>
    </w:lvl>
    <w:lvl w:ilvl="8" w:tentative="0">
      <w:start w:val="0"/>
      <w:numFmt w:val="bullet"/>
      <w:lvlText w:val="•"/>
      <w:lvlJc w:val="left"/>
      <w:pPr>
        <w:ind w:left="1606" w:hanging="720"/>
      </w:pPr>
      <w:rPr>
        <w:rFonts w:hint="default"/>
        <w:lang w:val="zh-CN" w:eastAsia="zh-CN" w:bidi="zh-CN"/>
      </w:rPr>
    </w:lvl>
  </w:abstractNum>
  <w:abstractNum w:abstractNumId="86">
    <w:nsid w:val="46A08BB8"/>
    <w:multiLevelType w:val="multilevel"/>
    <w:tmpl w:val="46A08BB8"/>
    <w:lvl w:ilvl="0" w:tentative="0">
      <w:start w:val="1"/>
      <w:numFmt w:val="decimal"/>
      <w:lvlText w:val="（%1）"/>
      <w:lvlJc w:val="left"/>
      <w:pPr>
        <w:ind w:left="1040" w:hanging="601"/>
        <w:jc w:val="left"/>
      </w:pPr>
      <w:rPr>
        <w:rFonts w:hint="default" w:ascii="宋体" w:hAnsi="宋体" w:eastAsia="宋体" w:cs="宋体"/>
        <w:spacing w:val="-24"/>
        <w:w w:val="100"/>
        <w:sz w:val="22"/>
        <w:szCs w:val="22"/>
        <w:lang w:val="zh-CN" w:eastAsia="zh-CN" w:bidi="zh-CN"/>
      </w:rPr>
    </w:lvl>
    <w:lvl w:ilvl="1" w:tentative="0">
      <w:start w:val="0"/>
      <w:numFmt w:val="bullet"/>
      <w:lvlText w:val="•"/>
      <w:lvlJc w:val="left"/>
      <w:pPr>
        <w:ind w:left="1978" w:hanging="601"/>
      </w:pPr>
      <w:rPr>
        <w:rFonts w:hint="default"/>
        <w:lang w:val="zh-CN" w:eastAsia="zh-CN" w:bidi="zh-CN"/>
      </w:rPr>
    </w:lvl>
    <w:lvl w:ilvl="2" w:tentative="0">
      <w:start w:val="0"/>
      <w:numFmt w:val="bullet"/>
      <w:lvlText w:val="•"/>
      <w:lvlJc w:val="left"/>
      <w:pPr>
        <w:ind w:left="2917" w:hanging="601"/>
      </w:pPr>
      <w:rPr>
        <w:rFonts w:hint="default"/>
        <w:lang w:val="zh-CN" w:eastAsia="zh-CN" w:bidi="zh-CN"/>
      </w:rPr>
    </w:lvl>
    <w:lvl w:ilvl="3" w:tentative="0">
      <w:start w:val="0"/>
      <w:numFmt w:val="bullet"/>
      <w:lvlText w:val="•"/>
      <w:lvlJc w:val="left"/>
      <w:pPr>
        <w:ind w:left="3855" w:hanging="601"/>
      </w:pPr>
      <w:rPr>
        <w:rFonts w:hint="default"/>
        <w:lang w:val="zh-CN" w:eastAsia="zh-CN" w:bidi="zh-CN"/>
      </w:rPr>
    </w:lvl>
    <w:lvl w:ilvl="4" w:tentative="0">
      <w:start w:val="0"/>
      <w:numFmt w:val="bullet"/>
      <w:lvlText w:val="•"/>
      <w:lvlJc w:val="left"/>
      <w:pPr>
        <w:ind w:left="4794" w:hanging="601"/>
      </w:pPr>
      <w:rPr>
        <w:rFonts w:hint="default"/>
        <w:lang w:val="zh-CN" w:eastAsia="zh-CN" w:bidi="zh-CN"/>
      </w:rPr>
    </w:lvl>
    <w:lvl w:ilvl="5" w:tentative="0">
      <w:start w:val="0"/>
      <w:numFmt w:val="bullet"/>
      <w:lvlText w:val="•"/>
      <w:lvlJc w:val="left"/>
      <w:pPr>
        <w:ind w:left="5733" w:hanging="601"/>
      </w:pPr>
      <w:rPr>
        <w:rFonts w:hint="default"/>
        <w:lang w:val="zh-CN" w:eastAsia="zh-CN" w:bidi="zh-CN"/>
      </w:rPr>
    </w:lvl>
    <w:lvl w:ilvl="6" w:tentative="0">
      <w:start w:val="0"/>
      <w:numFmt w:val="bullet"/>
      <w:lvlText w:val="•"/>
      <w:lvlJc w:val="left"/>
      <w:pPr>
        <w:ind w:left="6671" w:hanging="601"/>
      </w:pPr>
      <w:rPr>
        <w:rFonts w:hint="default"/>
        <w:lang w:val="zh-CN" w:eastAsia="zh-CN" w:bidi="zh-CN"/>
      </w:rPr>
    </w:lvl>
    <w:lvl w:ilvl="7" w:tentative="0">
      <w:start w:val="0"/>
      <w:numFmt w:val="bullet"/>
      <w:lvlText w:val="•"/>
      <w:lvlJc w:val="left"/>
      <w:pPr>
        <w:ind w:left="7610" w:hanging="601"/>
      </w:pPr>
      <w:rPr>
        <w:rFonts w:hint="default"/>
        <w:lang w:val="zh-CN" w:eastAsia="zh-CN" w:bidi="zh-CN"/>
      </w:rPr>
    </w:lvl>
    <w:lvl w:ilvl="8" w:tentative="0">
      <w:start w:val="0"/>
      <w:numFmt w:val="bullet"/>
      <w:lvlText w:val="•"/>
      <w:lvlJc w:val="left"/>
      <w:pPr>
        <w:ind w:left="8548" w:hanging="601"/>
      </w:pPr>
      <w:rPr>
        <w:rFonts w:hint="default"/>
        <w:lang w:val="zh-CN" w:eastAsia="zh-CN" w:bidi="zh-CN"/>
      </w:rPr>
    </w:lvl>
  </w:abstractNum>
  <w:abstractNum w:abstractNumId="87">
    <w:nsid w:val="4A51D704"/>
    <w:multiLevelType w:val="multilevel"/>
    <w:tmpl w:val="4A51D704"/>
    <w:lvl w:ilvl="0" w:tentative="0">
      <w:start w:val="14"/>
      <w:numFmt w:val="decimal"/>
      <w:lvlText w:val="%1"/>
      <w:lvlJc w:val="left"/>
      <w:pPr>
        <w:ind w:left="852" w:hanging="632"/>
        <w:jc w:val="left"/>
      </w:pPr>
      <w:rPr>
        <w:rFonts w:hint="default"/>
        <w:lang w:val="zh-CN" w:eastAsia="zh-CN" w:bidi="zh-CN"/>
      </w:rPr>
    </w:lvl>
    <w:lvl w:ilvl="1" w:tentative="0">
      <w:start w:val="1"/>
      <w:numFmt w:val="decimal"/>
      <w:lvlText w:val="%1.%2"/>
      <w:lvlJc w:val="left"/>
      <w:pPr>
        <w:ind w:left="852" w:hanging="632"/>
        <w:jc w:val="left"/>
      </w:pPr>
      <w:rPr>
        <w:rFonts w:hint="default"/>
        <w:b/>
        <w:bCs/>
        <w:spacing w:val="-2"/>
        <w:w w:val="100"/>
        <w:lang w:val="zh-CN" w:eastAsia="zh-CN" w:bidi="zh-CN"/>
      </w:rPr>
    </w:lvl>
    <w:lvl w:ilvl="2" w:tentative="0">
      <w:start w:val="1"/>
      <w:numFmt w:val="decimal"/>
      <w:lvlText w:val="%1.%2.%3"/>
      <w:lvlJc w:val="left"/>
      <w:pPr>
        <w:ind w:left="1060" w:hanging="840"/>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301"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1609" w:hanging="601"/>
      </w:pPr>
      <w:rPr>
        <w:rFonts w:hint="default"/>
        <w:lang w:val="zh-CN" w:eastAsia="zh-CN" w:bidi="zh-CN"/>
      </w:rPr>
    </w:lvl>
    <w:lvl w:ilvl="5" w:tentative="0">
      <w:start w:val="0"/>
      <w:numFmt w:val="bullet"/>
      <w:lvlText w:val="•"/>
      <w:lvlJc w:val="left"/>
      <w:pPr>
        <w:ind w:left="1764" w:hanging="601"/>
      </w:pPr>
      <w:rPr>
        <w:rFonts w:hint="default"/>
        <w:lang w:val="zh-CN" w:eastAsia="zh-CN" w:bidi="zh-CN"/>
      </w:rPr>
    </w:lvl>
    <w:lvl w:ilvl="6" w:tentative="0">
      <w:start w:val="0"/>
      <w:numFmt w:val="bullet"/>
      <w:lvlText w:val="•"/>
      <w:lvlJc w:val="left"/>
      <w:pPr>
        <w:ind w:left="1919" w:hanging="601"/>
      </w:pPr>
      <w:rPr>
        <w:rFonts w:hint="default"/>
        <w:lang w:val="zh-CN" w:eastAsia="zh-CN" w:bidi="zh-CN"/>
      </w:rPr>
    </w:lvl>
    <w:lvl w:ilvl="7" w:tentative="0">
      <w:start w:val="0"/>
      <w:numFmt w:val="bullet"/>
      <w:lvlText w:val="•"/>
      <w:lvlJc w:val="left"/>
      <w:pPr>
        <w:ind w:left="2074" w:hanging="601"/>
      </w:pPr>
      <w:rPr>
        <w:rFonts w:hint="default"/>
        <w:lang w:val="zh-CN" w:eastAsia="zh-CN" w:bidi="zh-CN"/>
      </w:rPr>
    </w:lvl>
    <w:lvl w:ilvl="8" w:tentative="0">
      <w:start w:val="0"/>
      <w:numFmt w:val="bullet"/>
      <w:lvlText w:val="•"/>
      <w:lvlJc w:val="left"/>
      <w:pPr>
        <w:ind w:left="2229" w:hanging="601"/>
      </w:pPr>
      <w:rPr>
        <w:rFonts w:hint="default"/>
        <w:lang w:val="zh-CN" w:eastAsia="zh-CN" w:bidi="zh-CN"/>
      </w:rPr>
    </w:lvl>
  </w:abstractNum>
  <w:abstractNum w:abstractNumId="88">
    <w:nsid w:val="4C1BAE26"/>
    <w:multiLevelType w:val="multilevel"/>
    <w:tmpl w:val="4C1BAE26"/>
    <w:lvl w:ilvl="0" w:tentative="0">
      <w:start w:val="3"/>
      <w:numFmt w:val="decimal"/>
      <w:lvlText w:val="%1"/>
      <w:lvlJc w:val="left"/>
      <w:pPr>
        <w:ind w:left="1760" w:hanging="720"/>
        <w:jc w:val="left"/>
      </w:pPr>
      <w:rPr>
        <w:rFonts w:hint="default"/>
        <w:lang w:val="zh-CN" w:eastAsia="zh-CN" w:bidi="zh-CN"/>
      </w:rPr>
    </w:lvl>
    <w:lvl w:ilvl="1" w:tentative="0">
      <w:start w:val="3"/>
      <w:numFmt w:val="decimal"/>
      <w:lvlText w:val="%1.%2"/>
      <w:lvlJc w:val="left"/>
      <w:pPr>
        <w:ind w:left="1760" w:hanging="720"/>
        <w:jc w:val="left"/>
      </w:pPr>
      <w:rPr>
        <w:rFonts w:hint="default"/>
        <w:lang w:val="zh-CN" w:eastAsia="zh-CN" w:bidi="zh-CN"/>
      </w:rPr>
    </w:lvl>
    <w:lvl w:ilvl="2" w:tentative="0">
      <w:start w:val="2"/>
      <w:numFmt w:val="decimal"/>
      <w:lvlText w:val="%1.%2.%3"/>
      <w:lvlJc w:val="left"/>
      <w:pPr>
        <w:ind w:left="1760" w:hanging="720"/>
        <w:jc w:val="left"/>
      </w:pPr>
      <w:rPr>
        <w:rFonts w:hint="default"/>
        <w:lang w:val="zh-CN" w:eastAsia="zh-CN" w:bidi="zh-CN"/>
      </w:rPr>
    </w:lvl>
    <w:lvl w:ilvl="3" w:tentative="0">
      <w:start w:val="1"/>
      <w:numFmt w:val="decimal"/>
      <w:lvlText w:val="%1.%2.%3.%4"/>
      <w:lvlJc w:val="left"/>
      <w:pPr>
        <w:ind w:left="1760" w:hanging="720"/>
        <w:jc w:val="left"/>
      </w:pPr>
      <w:rPr>
        <w:rFonts w:hint="default" w:ascii="Times New Roman" w:hAnsi="Times New Roman" w:eastAsia="Times New Roman" w:cs="Times New Roman"/>
        <w:b/>
        <w:bCs/>
        <w:w w:val="99"/>
        <w:sz w:val="24"/>
        <w:szCs w:val="24"/>
        <w:lang w:val="zh-CN" w:eastAsia="zh-CN" w:bidi="zh-CN"/>
      </w:rPr>
    </w:lvl>
    <w:lvl w:ilvl="4" w:tentative="0">
      <w:start w:val="1"/>
      <w:numFmt w:val="decimal"/>
      <w:lvlText w:val="（%5）"/>
      <w:lvlJc w:val="left"/>
      <w:pPr>
        <w:ind w:left="2121" w:hanging="601"/>
        <w:jc w:val="left"/>
      </w:pPr>
      <w:rPr>
        <w:rFonts w:hint="default" w:ascii="宋体" w:hAnsi="宋体" w:eastAsia="宋体" w:cs="宋体"/>
        <w:w w:val="100"/>
        <w:sz w:val="22"/>
        <w:szCs w:val="22"/>
        <w:lang w:val="zh-CN" w:eastAsia="zh-CN" w:bidi="zh-CN"/>
      </w:rPr>
    </w:lvl>
    <w:lvl w:ilvl="5" w:tentative="0">
      <w:start w:val="0"/>
      <w:numFmt w:val="bullet"/>
      <w:lvlText w:val="•"/>
      <w:lvlJc w:val="left"/>
      <w:pPr>
        <w:ind w:left="5811" w:hanging="601"/>
      </w:pPr>
      <w:rPr>
        <w:rFonts w:hint="default"/>
        <w:lang w:val="zh-CN" w:eastAsia="zh-CN" w:bidi="zh-CN"/>
      </w:rPr>
    </w:lvl>
    <w:lvl w:ilvl="6" w:tentative="0">
      <w:start w:val="0"/>
      <w:numFmt w:val="bullet"/>
      <w:lvlText w:val="•"/>
      <w:lvlJc w:val="left"/>
      <w:pPr>
        <w:ind w:left="6734" w:hanging="601"/>
      </w:pPr>
      <w:rPr>
        <w:rFonts w:hint="default"/>
        <w:lang w:val="zh-CN" w:eastAsia="zh-CN" w:bidi="zh-CN"/>
      </w:rPr>
    </w:lvl>
    <w:lvl w:ilvl="7" w:tentative="0">
      <w:start w:val="0"/>
      <w:numFmt w:val="bullet"/>
      <w:lvlText w:val="•"/>
      <w:lvlJc w:val="left"/>
      <w:pPr>
        <w:ind w:left="7657" w:hanging="601"/>
      </w:pPr>
      <w:rPr>
        <w:rFonts w:hint="default"/>
        <w:lang w:val="zh-CN" w:eastAsia="zh-CN" w:bidi="zh-CN"/>
      </w:rPr>
    </w:lvl>
    <w:lvl w:ilvl="8" w:tentative="0">
      <w:start w:val="0"/>
      <w:numFmt w:val="bullet"/>
      <w:lvlText w:val="•"/>
      <w:lvlJc w:val="left"/>
      <w:pPr>
        <w:ind w:left="8580" w:hanging="601"/>
      </w:pPr>
      <w:rPr>
        <w:rFonts w:hint="default"/>
        <w:lang w:val="zh-CN" w:eastAsia="zh-CN" w:bidi="zh-CN"/>
      </w:rPr>
    </w:lvl>
  </w:abstractNum>
  <w:abstractNum w:abstractNumId="89">
    <w:nsid w:val="4C3D7A74"/>
    <w:multiLevelType w:val="multilevel"/>
    <w:tmpl w:val="4C3D7A74"/>
    <w:lvl w:ilvl="0" w:tentative="0">
      <w:start w:val="1"/>
      <w:numFmt w:val="decimal"/>
      <w:lvlText w:val="%1."/>
      <w:lvlJc w:val="left"/>
      <w:pPr>
        <w:ind w:left="267" w:hanging="159"/>
        <w:jc w:val="left"/>
      </w:pPr>
      <w:rPr>
        <w:rFonts w:hint="default" w:ascii="Times New Roman" w:hAnsi="Times New Roman" w:eastAsia="Times New Roman" w:cs="Times New Roman"/>
        <w:spacing w:val="-2"/>
        <w:w w:val="99"/>
        <w:sz w:val="19"/>
        <w:szCs w:val="19"/>
        <w:lang w:val="zh-CN" w:eastAsia="zh-CN" w:bidi="zh-CN"/>
      </w:rPr>
    </w:lvl>
    <w:lvl w:ilvl="1" w:tentative="0">
      <w:start w:val="0"/>
      <w:numFmt w:val="bullet"/>
      <w:lvlText w:val="•"/>
      <w:lvlJc w:val="left"/>
      <w:pPr>
        <w:ind w:left="875" w:hanging="159"/>
      </w:pPr>
      <w:rPr>
        <w:rFonts w:hint="default"/>
        <w:lang w:val="zh-CN" w:eastAsia="zh-CN" w:bidi="zh-CN"/>
      </w:rPr>
    </w:lvl>
    <w:lvl w:ilvl="2" w:tentative="0">
      <w:start w:val="0"/>
      <w:numFmt w:val="bullet"/>
      <w:lvlText w:val="•"/>
      <w:lvlJc w:val="left"/>
      <w:pPr>
        <w:ind w:left="1490" w:hanging="159"/>
      </w:pPr>
      <w:rPr>
        <w:rFonts w:hint="default"/>
        <w:lang w:val="zh-CN" w:eastAsia="zh-CN" w:bidi="zh-CN"/>
      </w:rPr>
    </w:lvl>
    <w:lvl w:ilvl="3" w:tentative="0">
      <w:start w:val="0"/>
      <w:numFmt w:val="bullet"/>
      <w:lvlText w:val="•"/>
      <w:lvlJc w:val="left"/>
      <w:pPr>
        <w:ind w:left="2105" w:hanging="159"/>
      </w:pPr>
      <w:rPr>
        <w:rFonts w:hint="default"/>
        <w:lang w:val="zh-CN" w:eastAsia="zh-CN" w:bidi="zh-CN"/>
      </w:rPr>
    </w:lvl>
    <w:lvl w:ilvl="4" w:tentative="0">
      <w:start w:val="0"/>
      <w:numFmt w:val="bullet"/>
      <w:lvlText w:val="•"/>
      <w:lvlJc w:val="left"/>
      <w:pPr>
        <w:ind w:left="2720" w:hanging="159"/>
      </w:pPr>
      <w:rPr>
        <w:rFonts w:hint="default"/>
        <w:lang w:val="zh-CN" w:eastAsia="zh-CN" w:bidi="zh-CN"/>
      </w:rPr>
    </w:lvl>
    <w:lvl w:ilvl="5" w:tentative="0">
      <w:start w:val="0"/>
      <w:numFmt w:val="bullet"/>
      <w:lvlText w:val="•"/>
      <w:lvlJc w:val="left"/>
      <w:pPr>
        <w:ind w:left="3335" w:hanging="159"/>
      </w:pPr>
      <w:rPr>
        <w:rFonts w:hint="default"/>
        <w:lang w:val="zh-CN" w:eastAsia="zh-CN" w:bidi="zh-CN"/>
      </w:rPr>
    </w:lvl>
    <w:lvl w:ilvl="6" w:tentative="0">
      <w:start w:val="0"/>
      <w:numFmt w:val="bullet"/>
      <w:lvlText w:val="•"/>
      <w:lvlJc w:val="left"/>
      <w:pPr>
        <w:ind w:left="3950" w:hanging="159"/>
      </w:pPr>
      <w:rPr>
        <w:rFonts w:hint="default"/>
        <w:lang w:val="zh-CN" w:eastAsia="zh-CN" w:bidi="zh-CN"/>
      </w:rPr>
    </w:lvl>
    <w:lvl w:ilvl="7" w:tentative="0">
      <w:start w:val="0"/>
      <w:numFmt w:val="bullet"/>
      <w:lvlText w:val="•"/>
      <w:lvlJc w:val="left"/>
      <w:pPr>
        <w:ind w:left="4565" w:hanging="159"/>
      </w:pPr>
      <w:rPr>
        <w:rFonts w:hint="default"/>
        <w:lang w:val="zh-CN" w:eastAsia="zh-CN" w:bidi="zh-CN"/>
      </w:rPr>
    </w:lvl>
    <w:lvl w:ilvl="8" w:tentative="0">
      <w:start w:val="0"/>
      <w:numFmt w:val="bullet"/>
      <w:lvlText w:val="•"/>
      <w:lvlJc w:val="left"/>
      <w:pPr>
        <w:ind w:left="5180" w:hanging="159"/>
      </w:pPr>
      <w:rPr>
        <w:rFonts w:hint="default"/>
        <w:lang w:val="zh-CN" w:eastAsia="zh-CN" w:bidi="zh-CN"/>
      </w:rPr>
    </w:lvl>
  </w:abstractNum>
  <w:abstractNum w:abstractNumId="90">
    <w:nsid w:val="4CD1E351"/>
    <w:multiLevelType w:val="multilevel"/>
    <w:tmpl w:val="4CD1E351"/>
    <w:lvl w:ilvl="0" w:tentative="0">
      <w:start w:val="1"/>
      <w:numFmt w:val="decimal"/>
      <w:lvlText w:val="%1."/>
      <w:lvlJc w:val="left"/>
      <w:pPr>
        <w:ind w:left="270"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833" w:hanging="159"/>
      </w:pPr>
      <w:rPr>
        <w:rFonts w:hint="default"/>
        <w:lang w:val="zh-CN" w:eastAsia="zh-CN" w:bidi="zh-CN"/>
      </w:rPr>
    </w:lvl>
    <w:lvl w:ilvl="2" w:tentative="0">
      <w:start w:val="0"/>
      <w:numFmt w:val="bullet"/>
      <w:lvlText w:val="•"/>
      <w:lvlJc w:val="left"/>
      <w:pPr>
        <w:ind w:left="1387" w:hanging="159"/>
      </w:pPr>
      <w:rPr>
        <w:rFonts w:hint="default"/>
        <w:lang w:val="zh-CN" w:eastAsia="zh-CN" w:bidi="zh-CN"/>
      </w:rPr>
    </w:lvl>
    <w:lvl w:ilvl="3" w:tentative="0">
      <w:start w:val="0"/>
      <w:numFmt w:val="bullet"/>
      <w:lvlText w:val="•"/>
      <w:lvlJc w:val="left"/>
      <w:pPr>
        <w:ind w:left="1941" w:hanging="159"/>
      </w:pPr>
      <w:rPr>
        <w:rFonts w:hint="default"/>
        <w:lang w:val="zh-CN" w:eastAsia="zh-CN" w:bidi="zh-CN"/>
      </w:rPr>
    </w:lvl>
    <w:lvl w:ilvl="4" w:tentative="0">
      <w:start w:val="0"/>
      <w:numFmt w:val="bullet"/>
      <w:lvlText w:val="•"/>
      <w:lvlJc w:val="left"/>
      <w:pPr>
        <w:ind w:left="2494" w:hanging="159"/>
      </w:pPr>
      <w:rPr>
        <w:rFonts w:hint="default"/>
        <w:lang w:val="zh-CN" w:eastAsia="zh-CN" w:bidi="zh-CN"/>
      </w:rPr>
    </w:lvl>
    <w:lvl w:ilvl="5" w:tentative="0">
      <w:start w:val="0"/>
      <w:numFmt w:val="bullet"/>
      <w:lvlText w:val="•"/>
      <w:lvlJc w:val="left"/>
      <w:pPr>
        <w:ind w:left="3048" w:hanging="159"/>
      </w:pPr>
      <w:rPr>
        <w:rFonts w:hint="default"/>
        <w:lang w:val="zh-CN" w:eastAsia="zh-CN" w:bidi="zh-CN"/>
      </w:rPr>
    </w:lvl>
    <w:lvl w:ilvl="6" w:tentative="0">
      <w:start w:val="0"/>
      <w:numFmt w:val="bullet"/>
      <w:lvlText w:val="•"/>
      <w:lvlJc w:val="left"/>
      <w:pPr>
        <w:ind w:left="3602" w:hanging="159"/>
      </w:pPr>
      <w:rPr>
        <w:rFonts w:hint="default"/>
        <w:lang w:val="zh-CN" w:eastAsia="zh-CN" w:bidi="zh-CN"/>
      </w:rPr>
    </w:lvl>
    <w:lvl w:ilvl="7" w:tentative="0">
      <w:start w:val="0"/>
      <w:numFmt w:val="bullet"/>
      <w:lvlText w:val="•"/>
      <w:lvlJc w:val="left"/>
      <w:pPr>
        <w:ind w:left="4155" w:hanging="159"/>
      </w:pPr>
      <w:rPr>
        <w:rFonts w:hint="default"/>
        <w:lang w:val="zh-CN" w:eastAsia="zh-CN" w:bidi="zh-CN"/>
      </w:rPr>
    </w:lvl>
    <w:lvl w:ilvl="8" w:tentative="0">
      <w:start w:val="0"/>
      <w:numFmt w:val="bullet"/>
      <w:lvlText w:val="•"/>
      <w:lvlJc w:val="left"/>
      <w:pPr>
        <w:ind w:left="4709" w:hanging="159"/>
      </w:pPr>
      <w:rPr>
        <w:rFonts w:hint="default"/>
        <w:lang w:val="zh-CN" w:eastAsia="zh-CN" w:bidi="zh-CN"/>
      </w:rPr>
    </w:lvl>
  </w:abstractNum>
  <w:abstractNum w:abstractNumId="91">
    <w:nsid w:val="4D4DC07F"/>
    <w:multiLevelType w:val="multilevel"/>
    <w:tmpl w:val="4D4DC07F"/>
    <w:lvl w:ilvl="0" w:tentative="0">
      <w:start w:val="2"/>
      <w:numFmt w:val="decimal"/>
      <w:lvlText w:val="%1"/>
      <w:lvlJc w:val="left"/>
      <w:pPr>
        <w:ind w:left="1498" w:hanging="840"/>
        <w:jc w:val="left"/>
      </w:pPr>
      <w:rPr>
        <w:rFonts w:hint="default"/>
        <w:lang w:val="zh-CN" w:eastAsia="zh-CN" w:bidi="zh-CN"/>
      </w:rPr>
    </w:lvl>
    <w:lvl w:ilvl="1" w:tentative="0">
      <w:start w:val="4"/>
      <w:numFmt w:val="decimal"/>
      <w:lvlText w:val="%1.%2"/>
      <w:lvlJc w:val="left"/>
      <w:pPr>
        <w:ind w:left="1498" w:hanging="840"/>
        <w:jc w:val="left"/>
      </w:pPr>
      <w:rPr>
        <w:rFonts w:hint="default"/>
        <w:lang w:val="zh-CN" w:eastAsia="zh-CN" w:bidi="zh-CN"/>
      </w:rPr>
    </w:lvl>
    <w:lvl w:ilvl="2" w:tentative="0">
      <w:start w:val="5"/>
      <w:numFmt w:val="decimal"/>
      <w:lvlText w:val="%1.%2.%3"/>
      <w:lvlJc w:val="left"/>
      <w:pPr>
        <w:ind w:left="1498" w:hanging="840"/>
        <w:jc w:val="left"/>
      </w:pPr>
      <w:rPr>
        <w:rFonts w:hint="default"/>
        <w:lang w:val="zh-CN" w:eastAsia="zh-CN" w:bidi="zh-CN"/>
      </w:rPr>
    </w:lvl>
    <w:lvl w:ilvl="3" w:tentative="0">
      <w:start w:val="1"/>
      <w:numFmt w:val="decimal"/>
      <w:lvlText w:val="%1.%2.%3.%4"/>
      <w:lvlJc w:val="left"/>
      <w:pPr>
        <w:ind w:left="1498" w:hanging="840"/>
        <w:jc w:val="left"/>
      </w:pPr>
      <w:rPr>
        <w:rFonts w:hint="default" w:ascii="Times New Roman" w:hAnsi="Times New Roman" w:eastAsia="Times New Roman" w:cs="Times New Roman"/>
        <w:b/>
        <w:bCs/>
        <w:spacing w:val="-2"/>
        <w:w w:val="100"/>
        <w:sz w:val="28"/>
        <w:szCs w:val="28"/>
        <w:lang w:val="zh-CN" w:eastAsia="zh-CN" w:bidi="zh-CN"/>
      </w:rPr>
    </w:lvl>
    <w:lvl w:ilvl="4" w:tentative="0">
      <w:start w:val="0"/>
      <w:numFmt w:val="bullet"/>
      <w:lvlText w:val="•"/>
      <w:lvlJc w:val="left"/>
      <w:pPr>
        <w:ind w:left="5070" w:hanging="840"/>
      </w:pPr>
      <w:rPr>
        <w:rFonts w:hint="default"/>
        <w:lang w:val="zh-CN" w:eastAsia="zh-CN" w:bidi="zh-CN"/>
      </w:rPr>
    </w:lvl>
    <w:lvl w:ilvl="5" w:tentative="0">
      <w:start w:val="0"/>
      <w:numFmt w:val="bullet"/>
      <w:lvlText w:val="•"/>
      <w:lvlJc w:val="left"/>
      <w:pPr>
        <w:ind w:left="5963" w:hanging="840"/>
      </w:pPr>
      <w:rPr>
        <w:rFonts w:hint="default"/>
        <w:lang w:val="zh-CN" w:eastAsia="zh-CN" w:bidi="zh-CN"/>
      </w:rPr>
    </w:lvl>
    <w:lvl w:ilvl="6" w:tentative="0">
      <w:start w:val="0"/>
      <w:numFmt w:val="bullet"/>
      <w:lvlText w:val="•"/>
      <w:lvlJc w:val="left"/>
      <w:pPr>
        <w:ind w:left="6855" w:hanging="840"/>
      </w:pPr>
      <w:rPr>
        <w:rFonts w:hint="default"/>
        <w:lang w:val="zh-CN" w:eastAsia="zh-CN" w:bidi="zh-CN"/>
      </w:rPr>
    </w:lvl>
    <w:lvl w:ilvl="7" w:tentative="0">
      <w:start w:val="0"/>
      <w:numFmt w:val="bullet"/>
      <w:lvlText w:val="•"/>
      <w:lvlJc w:val="left"/>
      <w:pPr>
        <w:ind w:left="7748" w:hanging="840"/>
      </w:pPr>
      <w:rPr>
        <w:rFonts w:hint="default"/>
        <w:lang w:val="zh-CN" w:eastAsia="zh-CN" w:bidi="zh-CN"/>
      </w:rPr>
    </w:lvl>
    <w:lvl w:ilvl="8" w:tentative="0">
      <w:start w:val="0"/>
      <w:numFmt w:val="bullet"/>
      <w:lvlText w:val="•"/>
      <w:lvlJc w:val="left"/>
      <w:pPr>
        <w:ind w:left="8640" w:hanging="840"/>
      </w:pPr>
      <w:rPr>
        <w:rFonts w:hint="default"/>
        <w:lang w:val="zh-CN" w:eastAsia="zh-CN" w:bidi="zh-CN"/>
      </w:rPr>
    </w:lvl>
  </w:abstractNum>
  <w:abstractNum w:abstractNumId="92">
    <w:nsid w:val="4D94DA66"/>
    <w:multiLevelType w:val="multilevel"/>
    <w:tmpl w:val="4D94DA66"/>
    <w:lvl w:ilvl="0" w:tentative="0">
      <w:start w:val="4"/>
      <w:numFmt w:val="decimal"/>
      <w:lvlText w:val="%1"/>
      <w:lvlJc w:val="left"/>
      <w:pPr>
        <w:ind w:left="960" w:hanging="449"/>
        <w:jc w:val="left"/>
      </w:pPr>
      <w:rPr>
        <w:rFonts w:hint="default"/>
        <w:lang w:val="zh-CN" w:eastAsia="zh-CN" w:bidi="zh-CN"/>
      </w:rPr>
    </w:lvl>
    <w:lvl w:ilvl="1" w:tentative="0">
      <w:start w:val="1"/>
      <w:numFmt w:val="decimal"/>
      <w:lvlText w:val="%1.%2"/>
      <w:lvlJc w:val="left"/>
      <w:pPr>
        <w:ind w:left="960" w:hanging="449"/>
        <w:jc w:val="left"/>
      </w:pPr>
      <w:rPr>
        <w:rFonts w:hint="default" w:ascii="Times New Roman" w:hAnsi="Times New Roman" w:eastAsia="Times New Roman" w:cs="Times New Roman"/>
        <w:b/>
        <w:bCs/>
        <w:spacing w:val="-1"/>
        <w:w w:val="100"/>
        <w:sz w:val="30"/>
        <w:szCs w:val="30"/>
        <w:lang w:val="zh-CN" w:eastAsia="zh-CN" w:bidi="zh-CN"/>
      </w:rPr>
    </w:lvl>
    <w:lvl w:ilvl="2" w:tentative="0">
      <w:start w:val="1"/>
      <w:numFmt w:val="decimal"/>
      <w:lvlText w:val="%1.%2.%3"/>
      <w:lvlJc w:val="left"/>
      <w:pPr>
        <w:ind w:left="1140"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0"/>
      <w:numFmt w:val="bullet"/>
      <w:lvlText w:val="•"/>
      <w:lvlJc w:val="left"/>
      <w:pPr>
        <w:ind w:left="2985" w:hanging="629"/>
      </w:pPr>
      <w:rPr>
        <w:rFonts w:hint="default"/>
        <w:lang w:val="zh-CN" w:eastAsia="zh-CN" w:bidi="zh-CN"/>
      </w:rPr>
    </w:lvl>
    <w:lvl w:ilvl="4" w:tentative="0">
      <w:start w:val="0"/>
      <w:numFmt w:val="bullet"/>
      <w:lvlText w:val="•"/>
      <w:lvlJc w:val="left"/>
      <w:pPr>
        <w:ind w:left="3908" w:hanging="629"/>
      </w:pPr>
      <w:rPr>
        <w:rFonts w:hint="default"/>
        <w:lang w:val="zh-CN" w:eastAsia="zh-CN" w:bidi="zh-CN"/>
      </w:rPr>
    </w:lvl>
    <w:lvl w:ilvl="5" w:tentative="0">
      <w:start w:val="0"/>
      <w:numFmt w:val="bullet"/>
      <w:lvlText w:val="•"/>
      <w:lvlJc w:val="left"/>
      <w:pPr>
        <w:ind w:left="4831" w:hanging="629"/>
      </w:pPr>
      <w:rPr>
        <w:rFonts w:hint="default"/>
        <w:lang w:val="zh-CN" w:eastAsia="zh-CN" w:bidi="zh-CN"/>
      </w:rPr>
    </w:lvl>
    <w:lvl w:ilvl="6" w:tentative="0">
      <w:start w:val="0"/>
      <w:numFmt w:val="bullet"/>
      <w:lvlText w:val="•"/>
      <w:lvlJc w:val="left"/>
      <w:pPr>
        <w:ind w:left="5754" w:hanging="629"/>
      </w:pPr>
      <w:rPr>
        <w:rFonts w:hint="default"/>
        <w:lang w:val="zh-CN" w:eastAsia="zh-CN" w:bidi="zh-CN"/>
      </w:rPr>
    </w:lvl>
    <w:lvl w:ilvl="7" w:tentative="0">
      <w:start w:val="0"/>
      <w:numFmt w:val="bullet"/>
      <w:lvlText w:val="•"/>
      <w:lvlJc w:val="left"/>
      <w:pPr>
        <w:ind w:left="6677" w:hanging="629"/>
      </w:pPr>
      <w:rPr>
        <w:rFonts w:hint="default"/>
        <w:lang w:val="zh-CN" w:eastAsia="zh-CN" w:bidi="zh-CN"/>
      </w:rPr>
    </w:lvl>
    <w:lvl w:ilvl="8" w:tentative="0">
      <w:start w:val="0"/>
      <w:numFmt w:val="bullet"/>
      <w:lvlText w:val="•"/>
      <w:lvlJc w:val="left"/>
      <w:pPr>
        <w:ind w:left="7600" w:hanging="629"/>
      </w:pPr>
      <w:rPr>
        <w:rFonts w:hint="default"/>
        <w:lang w:val="zh-CN" w:eastAsia="zh-CN" w:bidi="zh-CN"/>
      </w:rPr>
    </w:lvl>
  </w:abstractNum>
  <w:abstractNum w:abstractNumId="93">
    <w:nsid w:val="58765686"/>
    <w:multiLevelType w:val="multilevel"/>
    <w:tmpl w:val="58765686"/>
    <w:lvl w:ilvl="0" w:tentative="0">
      <w:start w:val="2"/>
      <w:numFmt w:val="decimal"/>
      <w:lvlText w:val="（%1）"/>
      <w:lvlJc w:val="left"/>
      <w:pPr>
        <w:ind w:left="1595" w:hanging="601"/>
        <w:jc w:val="right"/>
      </w:pPr>
      <w:rPr>
        <w:rFonts w:hint="default" w:ascii="宋体" w:hAnsi="宋体" w:eastAsia="宋体" w:cs="宋体"/>
        <w:w w:val="100"/>
        <w:sz w:val="22"/>
        <w:szCs w:val="22"/>
        <w:lang w:val="zh-CN" w:eastAsia="zh-CN" w:bidi="zh-CN"/>
      </w:rPr>
    </w:lvl>
    <w:lvl w:ilvl="1" w:tentative="0">
      <w:start w:val="0"/>
      <w:numFmt w:val="bullet"/>
      <w:lvlText w:val="•"/>
      <w:lvlJc w:val="left"/>
      <w:pPr>
        <w:ind w:left="2384" w:hanging="601"/>
      </w:pPr>
      <w:rPr>
        <w:rFonts w:hint="default"/>
        <w:lang w:val="zh-CN" w:eastAsia="zh-CN" w:bidi="zh-CN"/>
      </w:rPr>
    </w:lvl>
    <w:lvl w:ilvl="2" w:tentative="0">
      <w:start w:val="0"/>
      <w:numFmt w:val="bullet"/>
      <w:lvlText w:val="•"/>
      <w:lvlJc w:val="left"/>
      <w:pPr>
        <w:ind w:left="3169" w:hanging="601"/>
      </w:pPr>
      <w:rPr>
        <w:rFonts w:hint="default"/>
        <w:lang w:val="zh-CN" w:eastAsia="zh-CN" w:bidi="zh-CN"/>
      </w:rPr>
    </w:lvl>
    <w:lvl w:ilvl="3" w:tentative="0">
      <w:start w:val="0"/>
      <w:numFmt w:val="bullet"/>
      <w:lvlText w:val="•"/>
      <w:lvlJc w:val="left"/>
      <w:pPr>
        <w:ind w:left="3953" w:hanging="601"/>
      </w:pPr>
      <w:rPr>
        <w:rFonts w:hint="default"/>
        <w:lang w:val="zh-CN" w:eastAsia="zh-CN" w:bidi="zh-CN"/>
      </w:rPr>
    </w:lvl>
    <w:lvl w:ilvl="4" w:tentative="0">
      <w:start w:val="0"/>
      <w:numFmt w:val="bullet"/>
      <w:lvlText w:val="•"/>
      <w:lvlJc w:val="left"/>
      <w:pPr>
        <w:ind w:left="4738"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7" w:hanging="601"/>
      </w:pPr>
      <w:rPr>
        <w:rFonts w:hint="default"/>
        <w:lang w:val="zh-CN" w:eastAsia="zh-CN" w:bidi="zh-CN"/>
      </w:rPr>
    </w:lvl>
    <w:lvl w:ilvl="7" w:tentative="0">
      <w:start w:val="0"/>
      <w:numFmt w:val="bullet"/>
      <w:lvlText w:val="•"/>
      <w:lvlJc w:val="left"/>
      <w:pPr>
        <w:ind w:left="7092" w:hanging="601"/>
      </w:pPr>
      <w:rPr>
        <w:rFonts w:hint="default"/>
        <w:lang w:val="zh-CN" w:eastAsia="zh-CN" w:bidi="zh-CN"/>
      </w:rPr>
    </w:lvl>
    <w:lvl w:ilvl="8" w:tentative="0">
      <w:start w:val="0"/>
      <w:numFmt w:val="bullet"/>
      <w:lvlText w:val="•"/>
      <w:lvlJc w:val="left"/>
      <w:pPr>
        <w:ind w:left="7876" w:hanging="601"/>
      </w:pPr>
      <w:rPr>
        <w:rFonts w:hint="default"/>
        <w:lang w:val="zh-CN" w:eastAsia="zh-CN" w:bidi="zh-CN"/>
      </w:rPr>
    </w:lvl>
  </w:abstractNum>
  <w:abstractNum w:abstractNumId="94">
    <w:nsid w:val="59ADCABA"/>
    <w:multiLevelType w:val="multilevel"/>
    <w:tmpl w:val="59ADCABA"/>
    <w:lvl w:ilvl="0" w:tentative="0">
      <w:start w:val="11"/>
      <w:numFmt w:val="decimal"/>
      <w:lvlText w:val="%1"/>
      <w:lvlJc w:val="left"/>
      <w:pPr>
        <w:ind w:left="1872" w:hanging="413"/>
        <w:jc w:val="left"/>
      </w:pPr>
      <w:rPr>
        <w:rFonts w:hint="default"/>
        <w:lang w:val="zh-CN" w:eastAsia="zh-CN" w:bidi="zh-CN"/>
      </w:rPr>
    </w:lvl>
    <w:lvl w:ilvl="1" w:tentative="0">
      <w:start w:val="2"/>
      <w:numFmt w:val="decimal"/>
      <w:lvlText w:val="%1.%2"/>
      <w:lvlJc w:val="left"/>
      <w:pPr>
        <w:ind w:left="1872" w:hanging="413"/>
        <w:jc w:val="left"/>
      </w:pPr>
      <w:rPr>
        <w:rFonts w:hint="default" w:ascii="Times New Roman" w:hAnsi="Times New Roman" w:eastAsia="Times New Roman" w:cs="Times New Roman"/>
        <w:spacing w:val="-4"/>
        <w:w w:val="99"/>
        <w:sz w:val="21"/>
        <w:szCs w:val="21"/>
        <w:lang w:val="zh-CN" w:eastAsia="zh-CN" w:bidi="zh-CN"/>
      </w:rPr>
    </w:lvl>
    <w:lvl w:ilvl="2" w:tentative="0">
      <w:start w:val="0"/>
      <w:numFmt w:val="bullet"/>
      <w:lvlText w:val="•"/>
      <w:lvlJc w:val="left"/>
      <w:pPr>
        <w:ind w:left="3589" w:hanging="413"/>
      </w:pPr>
      <w:rPr>
        <w:rFonts w:hint="default"/>
        <w:lang w:val="zh-CN" w:eastAsia="zh-CN" w:bidi="zh-CN"/>
      </w:rPr>
    </w:lvl>
    <w:lvl w:ilvl="3" w:tentative="0">
      <w:start w:val="0"/>
      <w:numFmt w:val="bullet"/>
      <w:lvlText w:val="•"/>
      <w:lvlJc w:val="left"/>
      <w:pPr>
        <w:ind w:left="4443" w:hanging="413"/>
      </w:pPr>
      <w:rPr>
        <w:rFonts w:hint="default"/>
        <w:lang w:val="zh-CN" w:eastAsia="zh-CN" w:bidi="zh-CN"/>
      </w:rPr>
    </w:lvl>
    <w:lvl w:ilvl="4" w:tentative="0">
      <w:start w:val="0"/>
      <w:numFmt w:val="bullet"/>
      <w:lvlText w:val="•"/>
      <w:lvlJc w:val="left"/>
      <w:pPr>
        <w:ind w:left="5298" w:hanging="413"/>
      </w:pPr>
      <w:rPr>
        <w:rFonts w:hint="default"/>
        <w:lang w:val="zh-CN" w:eastAsia="zh-CN" w:bidi="zh-CN"/>
      </w:rPr>
    </w:lvl>
    <w:lvl w:ilvl="5" w:tentative="0">
      <w:start w:val="0"/>
      <w:numFmt w:val="bullet"/>
      <w:lvlText w:val="•"/>
      <w:lvlJc w:val="left"/>
      <w:pPr>
        <w:ind w:left="6153" w:hanging="413"/>
      </w:pPr>
      <w:rPr>
        <w:rFonts w:hint="default"/>
        <w:lang w:val="zh-CN" w:eastAsia="zh-CN" w:bidi="zh-CN"/>
      </w:rPr>
    </w:lvl>
    <w:lvl w:ilvl="6" w:tentative="0">
      <w:start w:val="0"/>
      <w:numFmt w:val="bullet"/>
      <w:lvlText w:val="•"/>
      <w:lvlJc w:val="left"/>
      <w:pPr>
        <w:ind w:left="7007" w:hanging="413"/>
      </w:pPr>
      <w:rPr>
        <w:rFonts w:hint="default"/>
        <w:lang w:val="zh-CN" w:eastAsia="zh-CN" w:bidi="zh-CN"/>
      </w:rPr>
    </w:lvl>
    <w:lvl w:ilvl="7" w:tentative="0">
      <w:start w:val="0"/>
      <w:numFmt w:val="bullet"/>
      <w:lvlText w:val="•"/>
      <w:lvlJc w:val="left"/>
      <w:pPr>
        <w:ind w:left="7862" w:hanging="413"/>
      </w:pPr>
      <w:rPr>
        <w:rFonts w:hint="default"/>
        <w:lang w:val="zh-CN" w:eastAsia="zh-CN" w:bidi="zh-CN"/>
      </w:rPr>
    </w:lvl>
    <w:lvl w:ilvl="8" w:tentative="0">
      <w:start w:val="0"/>
      <w:numFmt w:val="bullet"/>
      <w:lvlText w:val="•"/>
      <w:lvlJc w:val="left"/>
      <w:pPr>
        <w:ind w:left="8716" w:hanging="413"/>
      </w:pPr>
      <w:rPr>
        <w:rFonts w:hint="default"/>
        <w:lang w:val="zh-CN" w:eastAsia="zh-CN" w:bidi="zh-CN"/>
      </w:rPr>
    </w:lvl>
  </w:abstractNum>
  <w:abstractNum w:abstractNumId="95">
    <w:nsid w:val="59EEFD2A"/>
    <w:multiLevelType w:val="multilevel"/>
    <w:tmpl w:val="59EEFD2A"/>
    <w:lvl w:ilvl="0" w:tentative="0">
      <w:start w:val="1"/>
      <w:numFmt w:val="decimal"/>
      <w:lvlText w:val="%1."/>
      <w:lvlJc w:val="left"/>
      <w:pPr>
        <w:ind w:left="270"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833" w:hanging="159"/>
      </w:pPr>
      <w:rPr>
        <w:rFonts w:hint="default"/>
        <w:lang w:val="zh-CN" w:eastAsia="zh-CN" w:bidi="zh-CN"/>
      </w:rPr>
    </w:lvl>
    <w:lvl w:ilvl="2" w:tentative="0">
      <w:start w:val="0"/>
      <w:numFmt w:val="bullet"/>
      <w:lvlText w:val="•"/>
      <w:lvlJc w:val="left"/>
      <w:pPr>
        <w:ind w:left="1387" w:hanging="159"/>
      </w:pPr>
      <w:rPr>
        <w:rFonts w:hint="default"/>
        <w:lang w:val="zh-CN" w:eastAsia="zh-CN" w:bidi="zh-CN"/>
      </w:rPr>
    </w:lvl>
    <w:lvl w:ilvl="3" w:tentative="0">
      <w:start w:val="0"/>
      <w:numFmt w:val="bullet"/>
      <w:lvlText w:val="•"/>
      <w:lvlJc w:val="left"/>
      <w:pPr>
        <w:ind w:left="1941" w:hanging="159"/>
      </w:pPr>
      <w:rPr>
        <w:rFonts w:hint="default"/>
        <w:lang w:val="zh-CN" w:eastAsia="zh-CN" w:bidi="zh-CN"/>
      </w:rPr>
    </w:lvl>
    <w:lvl w:ilvl="4" w:tentative="0">
      <w:start w:val="0"/>
      <w:numFmt w:val="bullet"/>
      <w:lvlText w:val="•"/>
      <w:lvlJc w:val="left"/>
      <w:pPr>
        <w:ind w:left="2494" w:hanging="159"/>
      </w:pPr>
      <w:rPr>
        <w:rFonts w:hint="default"/>
        <w:lang w:val="zh-CN" w:eastAsia="zh-CN" w:bidi="zh-CN"/>
      </w:rPr>
    </w:lvl>
    <w:lvl w:ilvl="5" w:tentative="0">
      <w:start w:val="0"/>
      <w:numFmt w:val="bullet"/>
      <w:lvlText w:val="•"/>
      <w:lvlJc w:val="left"/>
      <w:pPr>
        <w:ind w:left="3048" w:hanging="159"/>
      </w:pPr>
      <w:rPr>
        <w:rFonts w:hint="default"/>
        <w:lang w:val="zh-CN" w:eastAsia="zh-CN" w:bidi="zh-CN"/>
      </w:rPr>
    </w:lvl>
    <w:lvl w:ilvl="6" w:tentative="0">
      <w:start w:val="0"/>
      <w:numFmt w:val="bullet"/>
      <w:lvlText w:val="•"/>
      <w:lvlJc w:val="left"/>
      <w:pPr>
        <w:ind w:left="3602" w:hanging="159"/>
      </w:pPr>
      <w:rPr>
        <w:rFonts w:hint="default"/>
        <w:lang w:val="zh-CN" w:eastAsia="zh-CN" w:bidi="zh-CN"/>
      </w:rPr>
    </w:lvl>
    <w:lvl w:ilvl="7" w:tentative="0">
      <w:start w:val="0"/>
      <w:numFmt w:val="bullet"/>
      <w:lvlText w:val="•"/>
      <w:lvlJc w:val="left"/>
      <w:pPr>
        <w:ind w:left="4155" w:hanging="159"/>
      </w:pPr>
      <w:rPr>
        <w:rFonts w:hint="default"/>
        <w:lang w:val="zh-CN" w:eastAsia="zh-CN" w:bidi="zh-CN"/>
      </w:rPr>
    </w:lvl>
    <w:lvl w:ilvl="8" w:tentative="0">
      <w:start w:val="0"/>
      <w:numFmt w:val="bullet"/>
      <w:lvlText w:val="•"/>
      <w:lvlJc w:val="left"/>
      <w:pPr>
        <w:ind w:left="4709" w:hanging="159"/>
      </w:pPr>
      <w:rPr>
        <w:rFonts w:hint="default"/>
        <w:lang w:val="zh-CN" w:eastAsia="zh-CN" w:bidi="zh-CN"/>
      </w:rPr>
    </w:lvl>
  </w:abstractNum>
  <w:abstractNum w:abstractNumId="96">
    <w:nsid w:val="5A241D34"/>
    <w:multiLevelType w:val="multilevel"/>
    <w:tmpl w:val="5A241D34"/>
    <w:lvl w:ilvl="0" w:tentative="0">
      <w:start w:val="1"/>
      <w:numFmt w:val="decimal"/>
      <w:lvlText w:val="(%1)"/>
      <w:lvlJc w:val="left"/>
      <w:pPr>
        <w:ind w:left="1418" w:hanging="281"/>
        <w:jc w:val="left"/>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2320" w:hanging="281"/>
      </w:pPr>
      <w:rPr>
        <w:rFonts w:hint="default"/>
        <w:lang w:val="zh-CN" w:eastAsia="zh-CN" w:bidi="zh-CN"/>
      </w:rPr>
    </w:lvl>
    <w:lvl w:ilvl="2" w:tentative="0">
      <w:start w:val="0"/>
      <w:numFmt w:val="bullet"/>
      <w:lvlText w:val="•"/>
      <w:lvlJc w:val="left"/>
      <w:pPr>
        <w:ind w:left="3221" w:hanging="281"/>
      </w:pPr>
      <w:rPr>
        <w:rFonts w:hint="default"/>
        <w:lang w:val="zh-CN" w:eastAsia="zh-CN" w:bidi="zh-CN"/>
      </w:rPr>
    </w:lvl>
    <w:lvl w:ilvl="3" w:tentative="0">
      <w:start w:val="0"/>
      <w:numFmt w:val="bullet"/>
      <w:lvlText w:val="•"/>
      <w:lvlJc w:val="left"/>
      <w:pPr>
        <w:ind w:left="4121" w:hanging="281"/>
      </w:pPr>
      <w:rPr>
        <w:rFonts w:hint="default"/>
        <w:lang w:val="zh-CN" w:eastAsia="zh-CN" w:bidi="zh-CN"/>
      </w:rPr>
    </w:lvl>
    <w:lvl w:ilvl="4" w:tentative="0">
      <w:start w:val="0"/>
      <w:numFmt w:val="bullet"/>
      <w:lvlText w:val="•"/>
      <w:lvlJc w:val="left"/>
      <w:pPr>
        <w:ind w:left="5022" w:hanging="281"/>
      </w:pPr>
      <w:rPr>
        <w:rFonts w:hint="default"/>
        <w:lang w:val="zh-CN" w:eastAsia="zh-CN" w:bidi="zh-CN"/>
      </w:rPr>
    </w:lvl>
    <w:lvl w:ilvl="5" w:tentative="0">
      <w:start w:val="0"/>
      <w:numFmt w:val="bullet"/>
      <w:lvlText w:val="•"/>
      <w:lvlJc w:val="left"/>
      <w:pPr>
        <w:ind w:left="5923" w:hanging="281"/>
      </w:pPr>
      <w:rPr>
        <w:rFonts w:hint="default"/>
        <w:lang w:val="zh-CN" w:eastAsia="zh-CN" w:bidi="zh-CN"/>
      </w:rPr>
    </w:lvl>
    <w:lvl w:ilvl="6" w:tentative="0">
      <w:start w:val="0"/>
      <w:numFmt w:val="bullet"/>
      <w:lvlText w:val="•"/>
      <w:lvlJc w:val="left"/>
      <w:pPr>
        <w:ind w:left="6823" w:hanging="281"/>
      </w:pPr>
      <w:rPr>
        <w:rFonts w:hint="default"/>
        <w:lang w:val="zh-CN" w:eastAsia="zh-CN" w:bidi="zh-CN"/>
      </w:rPr>
    </w:lvl>
    <w:lvl w:ilvl="7" w:tentative="0">
      <w:start w:val="0"/>
      <w:numFmt w:val="bullet"/>
      <w:lvlText w:val="•"/>
      <w:lvlJc w:val="left"/>
      <w:pPr>
        <w:ind w:left="7724" w:hanging="281"/>
      </w:pPr>
      <w:rPr>
        <w:rFonts w:hint="default"/>
        <w:lang w:val="zh-CN" w:eastAsia="zh-CN" w:bidi="zh-CN"/>
      </w:rPr>
    </w:lvl>
    <w:lvl w:ilvl="8" w:tentative="0">
      <w:start w:val="0"/>
      <w:numFmt w:val="bullet"/>
      <w:lvlText w:val="•"/>
      <w:lvlJc w:val="left"/>
      <w:pPr>
        <w:ind w:left="8624" w:hanging="281"/>
      </w:pPr>
      <w:rPr>
        <w:rFonts w:hint="default"/>
        <w:lang w:val="zh-CN" w:eastAsia="zh-CN" w:bidi="zh-CN"/>
      </w:rPr>
    </w:lvl>
  </w:abstractNum>
  <w:abstractNum w:abstractNumId="97">
    <w:nsid w:val="5E29AB5A"/>
    <w:multiLevelType w:val="multilevel"/>
    <w:tmpl w:val="5E29AB5A"/>
    <w:lvl w:ilvl="0" w:tentative="0">
      <w:start w:val="1"/>
      <w:numFmt w:val="decimal"/>
      <w:lvlText w:val="（%1）"/>
      <w:lvlJc w:val="left"/>
      <w:pPr>
        <w:ind w:left="1533" w:hanging="601"/>
        <w:jc w:val="left"/>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2316" w:hanging="601"/>
      </w:pPr>
      <w:rPr>
        <w:rFonts w:hint="default"/>
        <w:lang w:val="zh-CN" w:eastAsia="zh-CN" w:bidi="zh-CN"/>
      </w:rPr>
    </w:lvl>
    <w:lvl w:ilvl="2" w:tentative="0">
      <w:start w:val="0"/>
      <w:numFmt w:val="bullet"/>
      <w:lvlText w:val="•"/>
      <w:lvlJc w:val="left"/>
      <w:pPr>
        <w:ind w:left="3093" w:hanging="601"/>
      </w:pPr>
      <w:rPr>
        <w:rFonts w:hint="default"/>
        <w:lang w:val="zh-CN" w:eastAsia="zh-CN" w:bidi="zh-CN"/>
      </w:rPr>
    </w:lvl>
    <w:lvl w:ilvl="3" w:tentative="0">
      <w:start w:val="0"/>
      <w:numFmt w:val="bullet"/>
      <w:lvlText w:val="•"/>
      <w:lvlJc w:val="left"/>
      <w:pPr>
        <w:ind w:left="3869" w:hanging="601"/>
      </w:pPr>
      <w:rPr>
        <w:rFonts w:hint="default"/>
        <w:lang w:val="zh-CN" w:eastAsia="zh-CN" w:bidi="zh-CN"/>
      </w:rPr>
    </w:lvl>
    <w:lvl w:ilvl="4" w:tentative="0">
      <w:start w:val="0"/>
      <w:numFmt w:val="bullet"/>
      <w:lvlText w:val="•"/>
      <w:lvlJc w:val="left"/>
      <w:pPr>
        <w:ind w:left="4646" w:hanging="601"/>
      </w:pPr>
      <w:rPr>
        <w:rFonts w:hint="default"/>
        <w:lang w:val="zh-CN" w:eastAsia="zh-CN" w:bidi="zh-CN"/>
      </w:rPr>
    </w:lvl>
    <w:lvl w:ilvl="5" w:tentative="0">
      <w:start w:val="0"/>
      <w:numFmt w:val="bullet"/>
      <w:lvlText w:val="•"/>
      <w:lvlJc w:val="left"/>
      <w:pPr>
        <w:ind w:left="5423" w:hanging="601"/>
      </w:pPr>
      <w:rPr>
        <w:rFonts w:hint="default"/>
        <w:lang w:val="zh-CN" w:eastAsia="zh-CN" w:bidi="zh-CN"/>
      </w:rPr>
    </w:lvl>
    <w:lvl w:ilvl="6" w:tentative="0">
      <w:start w:val="0"/>
      <w:numFmt w:val="bullet"/>
      <w:lvlText w:val="•"/>
      <w:lvlJc w:val="left"/>
      <w:pPr>
        <w:ind w:left="6199" w:hanging="601"/>
      </w:pPr>
      <w:rPr>
        <w:rFonts w:hint="default"/>
        <w:lang w:val="zh-CN" w:eastAsia="zh-CN" w:bidi="zh-CN"/>
      </w:rPr>
    </w:lvl>
    <w:lvl w:ilvl="7" w:tentative="0">
      <w:start w:val="0"/>
      <w:numFmt w:val="bullet"/>
      <w:lvlText w:val="•"/>
      <w:lvlJc w:val="left"/>
      <w:pPr>
        <w:ind w:left="6976" w:hanging="601"/>
      </w:pPr>
      <w:rPr>
        <w:rFonts w:hint="default"/>
        <w:lang w:val="zh-CN" w:eastAsia="zh-CN" w:bidi="zh-CN"/>
      </w:rPr>
    </w:lvl>
    <w:lvl w:ilvl="8" w:tentative="0">
      <w:start w:val="0"/>
      <w:numFmt w:val="bullet"/>
      <w:lvlText w:val="•"/>
      <w:lvlJc w:val="left"/>
      <w:pPr>
        <w:ind w:left="7752" w:hanging="601"/>
      </w:pPr>
      <w:rPr>
        <w:rFonts w:hint="default"/>
        <w:lang w:val="zh-CN" w:eastAsia="zh-CN" w:bidi="zh-CN"/>
      </w:rPr>
    </w:lvl>
  </w:abstractNum>
  <w:abstractNum w:abstractNumId="98">
    <w:nsid w:val="5FFFB1A7"/>
    <w:multiLevelType w:val="multilevel"/>
    <w:tmpl w:val="5FFFB1A7"/>
    <w:lvl w:ilvl="0" w:tentative="0">
      <w:start w:val="1"/>
      <w:numFmt w:val="decimal"/>
      <w:lvlText w:val="（%1）"/>
      <w:lvlJc w:val="left"/>
      <w:pPr>
        <w:ind w:left="552" w:hanging="601"/>
        <w:jc w:val="left"/>
      </w:pPr>
      <w:rPr>
        <w:rFonts w:hint="default" w:ascii="宋体" w:hAnsi="宋体" w:eastAsia="宋体" w:cs="宋体"/>
        <w:spacing w:val="-41"/>
        <w:w w:val="100"/>
        <w:sz w:val="22"/>
        <w:szCs w:val="22"/>
        <w:lang w:val="zh-CN" w:eastAsia="zh-CN" w:bidi="zh-CN"/>
      </w:rPr>
    </w:lvl>
    <w:lvl w:ilvl="1" w:tentative="0">
      <w:start w:val="0"/>
      <w:numFmt w:val="bullet"/>
      <w:lvlText w:val="•"/>
      <w:lvlJc w:val="left"/>
      <w:pPr>
        <w:ind w:left="1496" w:hanging="601"/>
      </w:pPr>
      <w:rPr>
        <w:rFonts w:hint="default"/>
        <w:lang w:val="zh-CN" w:eastAsia="zh-CN" w:bidi="zh-CN"/>
      </w:rPr>
    </w:lvl>
    <w:lvl w:ilvl="2" w:tentative="0">
      <w:start w:val="0"/>
      <w:numFmt w:val="bullet"/>
      <w:lvlText w:val="•"/>
      <w:lvlJc w:val="left"/>
      <w:pPr>
        <w:ind w:left="2433" w:hanging="601"/>
      </w:pPr>
      <w:rPr>
        <w:rFonts w:hint="default"/>
        <w:lang w:val="zh-CN" w:eastAsia="zh-CN" w:bidi="zh-CN"/>
      </w:rPr>
    </w:lvl>
    <w:lvl w:ilvl="3" w:tentative="0">
      <w:start w:val="0"/>
      <w:numFmt w:val="bullet"/>
      <w:lvlText w:val="•"/>
      <w:lvlJc w:val="left"/>
      <w:pPr>
        <w:ind w:left="3369" w:hanging="601"/>
      </w:pPr>
      <w:rPr>
        <w:rFonts w:hint="default"/>
        <w:lang w:val="zh-CN" w:eastAsia="zh-CN" w:bidi="zh-CN"/>
      </w:rPr>
    </w:lvl>
    <w:lvl w:ilvl="4" w:tentative="0">
      <w:start w:val="0"/>
      <w:numFmt w:val="bullet"/>
      <w:lvlText w:val="•"/>
      <w:lvlJc w:val="left"/>
      <w:pPr>
        <w:ind w:left="4306" w:hanging="601"/>
      </w:pPr>
      <w:rPr>
        <w:rFonts w:hint="default"/>
        <w:lang w:val="zh-CN" w:eastAsia="zh-CN" w:bidi="zh-CN"/>
      </w:rPr>
    </w:lvl>
    <w:lvl w:ilvl="5" w:tentative="0">
      <w:start w:val="0"/>
      <w:numFmt w:val="bullet"/>
      <w:lvlText w:val="•"/>
      <w:lvlJc w:val="left"/>
      <w:pPr>
        <w:ind w:left="5243" w:hanging="601"/>
      </w:pPr>
      <w:rPr>
        <w:rFonts w:hint="default"/>
        <w:lang w:val="zh-CN" w:eastAsia="zh-CN" w:bidi="zh-CN"/>
      </w:rPr>
    </w:lvl>
    <w:lvl w:ilvl="6" w:tentative="0">
      <w:start w:val="0"/>
      <w:numFmt w:val="bullet"/>
      <w:lvlText w:val="•"/>
      <w:lvlJc w:val="left"/>
      <w:pPr>
        <w:ind w:left="6179" w:hanging="601"/>
      </w:pPr>
      <w:rPr>
        <w:rFonts w:hint="default"/>
        <w:lang w:val="zh-CN" w:eastAsia="zh-CN" w:bidi="zh-CN"/>
      </w:rPr>
    </w:lvl>
    <w:lvl w:ilvl="7" w:tentative="0">
      <w:start w:val="0"/>
      <w:numFmt w:val="bullet"/>
      <w:lvlText w:val="•"/>
      <w:lvlJc w:val="left"/>
      <w:pPr>
        <w:ind w:left="7116" w:hanging="601"/>
      </w:pPr>
      <w:rPr>
        <w:rFonts w:hint="default"/>
        <w:lang w:val="zh-CN" w:eastAsia="zh-CN" w:bidi="zh-CN"/>
      </w:rPr>
    </w:lvl>
    <w:lvl w:ilvl="8" w:tentative="0">
      <w:start w:val="0"/>
      <w:numFmt w:val="bullet"/>
      <w:lvlText w:val="•"/>
      <w:lvlJc w:val="left"/>
      <w:pPr>
        <w:ind w:left="8052" w:hanging="601"/>
      </w:pPr>
      <w:rPr>
        <w:rFonts w:hint="default"/>
        <w:lang w:val="zh-CN" w:eastAsia="zh-CN" w:bidi="zh-CN"/>
      </w:rPr>
    </w:lvl>
  </w:abstractNum>
  <w:abstractNum w:abstractNumId="99">
    <w:nsid w:val="60382F6E"/>
    <w:multiLevelType w:val="multilevel"/>
    <w:tmpl w:val="60382F6E"/>
    <w:lvl w:ilvl="0" w:tentative="0">
      <w:start w:val="1"/>
      <w:numFmt w:val="decimal"/>
      <w:lvlText w:val="（%1）"/>
      <w:lvlJc w:val="left"/>
      <w:pPr>
        <w:ind w:left="21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950" w:hanging="601"/>
      </w:pPr>
      <w:rPr>
        <w:rFonts w:hint="default"/>
        <w:lang w:val="zh-CN" w:eastAsia="zh-CN" w:bidi="zh-CN"/>
      </w:rPr>
    </w:lvl>
    <w:lvl w:ilvl="2" w:tentative="0">
      <w:start w:val="0"/>
      <w:numFmt w:val="bullet"/>
      <w:lvlText w:val="•"/>
      <w:lvlJc w:val="left"/>
      <w:pPr>
        <w:ind w:left="3781" w:hanging="601"/>
      </w:pPr>
      <w:rPr>
        <w:rFonts w:hint="default"/>
        <w:lang w:val="zh-CN" w:eastAsia="zh-CN" w:bidi="zh-CN"/>
      </w:rPr>
    </w:lvl>
    <w:lvl w:ilvl="3" w:tentative="0">
      <w:start w:val="0"/>
      <w:numFmt w:val="bullet"/>
      <w:lvlText w:val="•"/>
      <w:lvlJc w:val="left"/>
      <w:pPr>
        <w:ind w:left="4611" w:hanging="601"/>
      </w:pPr>
      <w:rPr>
        <w:rFonts w:hint="default"/>
        <w:lang w:val="zh-CN" w:eastAsia="zh-CN" w:bidi="zh-CN"/>
      </w:rPr>
    </w:lvl>
    <w:lvl w:ilvl="4" w:tentative="0">
      <w:start w:val="0"/>
      <w:numFmt w:val="bullet"/>
      <w:lvlText w:val="•"/>
      <w:lvlJc w:val="left"/>
      <w:pPr>
        <w:ind w:left="5442" w:hanging="601"/>
      </w:pPr>
      <w:rPr>
        <w:rFonts w:hint="default"/>
        <w:lang w:val="zh-CN" w:eastAsia="zh-CN" w:bidi="zh-CN"/>
      </w:rPr>
    </w:lvl>
    <w:lvl w:ilvl="5" w:tentative="0">
      <w:start w:val="0"/>
      <w:numFmt w:val="bullet"/>
      <w:lvlText w:val="•"/>
      <w:lvlJc w:val="left"/>
      <w:pPr>
        <w:ind w:left="6273" w:hanging="601"/>
      </w:pPr>
      <w:rPr>
        <w:rFonts w:hint="default"/>
        <w:lang w:val="zh-CN" w:eastAsia="zh-CN" w:bidi="zh-CN"/>
      </w:rPr>
    </w:lvl>
    <w:lvl w:ilvl="6" w:tentative="0">
      <w:start w:val="0"/>
      <w:numFmt w:val="bullet"/>
      <w:lvlText w:val="•"/>
      <w:lvlJc w:val="left"/>
      <w:pPr>
        <w:ind w:left="7103" w:hanging="601"/>
      </w:pPr>
      <w:rPr>
        <w:rFonts w:hint="default"/>
        <w:lang w:val="zh-CN" w:eastAsia="zh-CN" w:bidi="zh-CN"/>
      </w:rPr>
    </w:lvl>
    <w:lvl w:ilvl="7" w:tentative="0">
      <w:start w:val="0"/>
      <w:numFmt w:val="bullet"/>
      <w:lvlText w:val="•"/>
      <w:lvlJc w:val="left"/>
      <w:pPr>
        <w:ind w:left="7934" w:hanging="601"/>
      </w:pPr>
      <w:rPr>
        <w:rFonts w:hint="default"/>
        <w:lang w:val="zh-CN" w:eastAsia="zh-CN" w:bidi="zh-CN"/>
      </w:rPr>
    </w:lvl>
    <w:lvl w:ilvl="8" w:tentative="0">
      <w:start w:val="0"/>
      <w:numFmt w:val="bullet"/>
      <w:lvlText w:val="•"/>
      <w:lvlJc w:val="left"/>
      <w:pPr>
        <w:ind w:left="8764" w:hanging="601"/>
      </w:pPr>
      <w:rPr>
        <w:rFonts w:hint="default"/>
        <w:lang w:val="zh-CN" w:eastAsia="zh-CN" w:bidi="zh-CN"/>
      </w:rPr>
    </w:lvl>
  </w:abstractNum>
  <w:abstractNum w:abstractNumId="100">
    <w:nsid w:val="610EFE5C"/>
    <w:multiLevelType w:val="multilevel"/>
    <w:tmpl w:val="610EFE5C"/>
    <w:lvl w:ilvl="0" w:tentative="0">
      <w:start w:val="15"/>
      <w:numFmt w:val="decimal"/>
      <w:lvlText w:val="%1"/>
      <w:lvlJc w:val="left"/>
      <w:pPr>
        <w:ind w:left="895" w:hanging="675"/>
        <w:jc w:val="left"/>
      </w:pPr>
      <w:rPr>
        <w:rFonts w:hint="default"/>
        <w:lang w:val="zh-CN" w:eastAsia="zh-CN" w:bidi="zh-CN"/>
      </w:rPr>
    </w:lvl>
    <w:lvl w:ilvl="1" w:tentative="0">
      <w:start w:val="1"/>
      <w:numFmt w:val="decimal"/>
      <w:lvlText w:val="%1.%2"/>
      <w:lvlJc w:val="left"/>
      <w:pPr>
        <w:ind w:left="895" w:hanging="675"/>
        <w:jc w:val="left"/>
      </w:pPr>
      <w:rPr>
        <w:rFonts w:hint="default" w:ascii="Times New Roman" w:hAnsi="Times New Roman" w:eastAsia="Times New Roman" w:cs="Times New Roman"/>
        <w:b/>
        <w:bCs/>
        <w:spacing w:val="-2"/>
        <w:w w:val="99"/>
        <w:sz w:val="30"/>
        <w:szCs w:val="30"/>
        <w:lang w:val="zh-CN" w:eastAsia="zh-CN" w:bidi="zh-CN"/>
      </w:rPr>
    </w:lvl>
    <w:lvl w:ilvl="2" w:tentative="0">
      <w:start w:val="1"/>
      <w:numFmt w:val="decimal"/>
      <w:lvlText w:val="%1.%2.%3"/>
      <w:lvlJc w:val="left"/>
      <w:pPr>
        <w:ind w:left="1060" w:hanging="840"/>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301" w:hanging="601"/>
        <w:jc w:val="left"/>
      </w:pPr>
      <w:rPr>
        <w:rFonts w:hint="default" w:ascii="宋体" w:hAnsi="宋体" w:eastAsia="宋体" w:cs="宋体"/>
        <w:spacing w:val="-29"/>
        <w:w w:val="100"/>
        <w:sz w:val="22"/>
        <w:szCs w:val="22"/>
        <w:lang w:val="zh-CN" w:eastAsia="zh-CN" w:bidi="zh-CN"/>
      </w:rPr>
    </w:lvl>
    <w:lvl w:ilvl="4" w:tentative="0">
      <w:start w:val="0"/>
      <w:numFmt w:val="bullet"/>
      <w:lvlText w:val="•"/>
      <w:lvlJc w:val="left"/>
      <w:pPr>
        <w:ind w:left="1509" w:hanging="601"/>
      </w:pPr>
      <w:rPr>
        <w:rFonts w:hint="default"/>
        <w:lang w:val="zh-CN" w:eastAsia="zh-CN" w:bidi="zh-CN"/>
      </w:rPr>
    </w:lvl>
    <w:lvl w:ilvl="5" w:tentative="0">
      <w:start w:val="0"/>
      <w:numFmt w:val="bullet"/>
      <w:lvlText w:val="•"/>
      <w:lvlJc w:val="left"/>
      <w:pPr>
        <w:ind w:left="1614" w:hanging="601"/>
      </w:pPr>
      <w:rPr>
        <w:rFonts w:hint="default"/>
        <w:lang w:val="zh-CN" w:eastAsia="zh-CN" w:bidi="zh-CN"/>
      </w:rPr>
    </w:lvl>
    <w:lvl w:ilvl="6" w:tentative="0">
      <w:start w:val="0"/>
      <w:numFmt w:val="bullet"/>
      <w:lvlText w:val="•"/>
      <w:lvlJc w:val="left"/>
      <w:pPr>
        <w:ind w:left="1718" w:hanging="601"/>
      </w:pPr>
      <w:rPr>
        <w:rFonts w:hint="default"/>
        <w:lang w:val="zh-CN" w:eastAsia="zh-CN" w:bidi="zh-CN"/>
      </w:rPr>
    </w:lvl>
    <w:lvl w:ilvl="7" w:tentative="0">
      <w:start w:val="0"/>
      <w:numFmt w:val="bullet"/>
      <w:lvlText w:val="•"/>
      <w:lvlJc w:val="left"/>
      <w:pPr>
        <w:ind w:left="1823" w:hanging="601"/>
      </w:pPr>
      <w:rPr>
        <w:rFonts w:hint="default"/>
        <w:lang w:val="zh-CN" w:eastAsia="zh-CN" w:bidi="zh-CN"/>
      </w:rPr>
    </w:lvl>
    <w:lvl w:ilvl="8" w:tentative="0">
      <w:start w:val="0"/>
      <w:numFmt w:val="bullet"/>
      <w:lvlText w:val="•"/>
      <w:lvlJc w:val="left"/>
      <w:pPr>
        <w:ind w:left="1928" w:hanging="601"/>
      </w:pPr>
      <w:rPr>
        <w:rFonts w:hint="default"/>
        <w:lang w:val="zh-CN" w:eastAsia="zh-CN" w:bidi="zh-CN"/>
      </w:rPr>
    </w:lvl>
  </w:abstractNum>
  <w:abstractNum w:abstractNumId="101">
    <w:nsid w:val="629F7852"/>
    <w:multiLevelType w:val="multilevel"/>
    <w:tmpl w:val="629F7852"/>
    <w:lvl w:ilvl="0" w:tentative="0">
      <w:start w:val="1"/>
      <w:numFmt w:val="decimal"/>
      <w:lvlText w:val="（%1）"/>
      <w:lvlJc w:val="left"/>
      <w:pPr>
        <w:ind w:left="21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950" w:hanging="601"/>
      </w:pPr>
      <w:rPr>
        <w:rFonts w:hint="default"/>
        <w:lang w:val="zh-CN" w:eastAsia="zh-CN" w:bidi="zh-CN"/>
      </w:rPr>
    </w:lvl>
    <w:lvl w:ilvl="2" w:tentative="0">
      <w:start w:val="0"/>
      <w:numFmt w:val="bullet"/>
      <w:lvlText w:val="•"/>
      <w:lvlJc w:val="left"/>
      <w:pPr>
        <w:ind w:left="3781" w:hanging="601"/>
      </w:pPr>
      <w:rPr>
        <w:rFonts w:hint="default"/>
        <w:lang w:val="zh-CN" w:eastAsia="zh-CN" w:bidi="zh-CN"/>
      </w:rPr>
    </w:lvl>
    <w:lvl w:ilvl="3" w:tentative="0">
      <w:start w:val="0"/>
      <w:numFmt w:val="bullet"/>
      <w:lvlText w:val="•"/>
      <w:lvlJc w:val="left"/>
      <w:pPr>
        <w:ind w:left="4611" w:hanging="601"/>
      </w:pPr>
      <w:rPr>
        <w:rFonts w:hint="default"/>
        <w:lang w:val="zh-CN" w:eastAsia="zh-CN" w:bidi="zh-CN"/>
      </w:rPr>
    </w:lvl>
    <w:lvl w:ilvl="4" w:tentative="0">
      <w:start w:val="0"/>
      <w:numFmt w:val="bullet"/>
      <w:lvlText w:val="•"/>
      <w:lvlJc w:val="left"/>
      <w:pPr>
        <w:ind w:left="5442" w:hanging="601"/>
      </w:pPr>
      <w:rPr>
        <w:rFonts w:hint="default"/>
        <w:lang w:val="zh-CN" w:eastAsia="zh-CN" w:bidi="zh-CN"/>
      </w:rPr>
    </w:lvl>
    <w:lvl w:ilvl="5" w:tentative="0">
      <w:start w:val="0"/>
      <w:numFmt w:val="bullet"/>
      <w:lvlText w:val="•"/>
      <w:lvlJc w:val="left"/>
      <w:pPr>
        <w:ind w:left="6273" w:hanging="601"/>
      </w:pPr>
      <w:rPr>
        <w:rFonts w:hint="default"/>
        <w:lang w:val="zh-CN" w:eastAsia="zh-CN" w:bidi="zh-CN"/>
      </w:rPr>
    </w:lvl>
    <w:lvl w:ilvl="6" w:tentative="0">
      <w:start w:val="0"/>
      <w:numFmt w:val="bullet"/>
      <w:lvlText w:val="•"/>
      <w:lvlJc w:val="left"/>
      <w:pPr>
        <w:ind w:left="7103" w:hanging="601"/>
      </w:pPr>
      <w:rPr>
        <w:rFonts w:hint="default"/>
        <w:lang w:val="zh-CN" w:eastAsia="zh-CN" w:bidi="zh-CN"/>
      </w:rPr>
    </w:lvl>
    <w:lvl w:ilvl="7" w:tentative="0">
      <w:start w:val="0"/>
      <w:numFmt w:val="bullet"/>
      <w:lvlText w:val="•"/>
      <w:lvlJc w:val="left"/>
      <w:pPr>
        <w:ind w:left="7934" w:hanging="601"/>
      </w:pPr>
      <w:rPr>
        <w:rFonts w:hint="default"/>
        <w:lang w:val="zh-CN" w:eastAsia="zh-CN" w:bidi="zh-CN"/>
      </w:rPr>
    </w:lvl>
    <w:lvl w:ilvl="8" w:tentative="0">
      <w:start w:val="0"/>
      <w:numFmt w:val="bullet"/>
      <w:lvlText w:val="•"/>
      <w:lvlJc w:val="left"/>
      <w:pPr>
        <w:ind w:left="8764" w:hanging="601"/>
      </w:pPr>
      <w:rPr>
        <w:rFonts w:hint="default"/>
        <w:lang w:val="zh-CN" w:eastAsia="zh-CN" w:bidi="zh-CN"/>
      </w:rPr>
    </w:lvl>
  </w:abstractNum>
  <w:abstractNum w:abstractNumId="102">
    <w:nsid w:val="65CD0074"/>
    <w:multiLevelType w:val="multilevel"/>
    <w:tmpl w:val="65CD0074"/>
    <w:lvl w:ilvl="0" w:tentative="0">
      <w:start w:val="1"/>
      <w:numFmt w:val="decimal"/>
      <w:lvlText w:val="%1."/>
      <w:lvlJc w:val="left"/>
      <w:pPr>
        <w:ind w:left="267" w:hanging="159"/>
        <w:jc w:val="left"/>
      </w:pPr>
      <w:rPr>
        <w:rFonts w:hint="default" w:ascii="Times New Roman" w:hAnsi="Times New Roman" w:eastAsia="Times New Roman" w:cs="Times New Roman"/>
        <w:spacing w:val="-2"/>
        <w:w w:val="99"/>
        <w:sz w:val="19"/>
        <w:szCs w:val="19"/>
        <w:lang w:val="zh-CN" w:eastAsia="zh-CN" w:bidi="zh-CN"/>
      </w:rPr>
    </w:lvl>
    <w:lvl w:ilvl="1" w:tentative="0">
      <w:start w:val="0"/>
      <w:numFmt w:val="bullet"/>
      <w:lvlText w:val="•"/>
      <w:lvlJc w:val="left"/>
      <w:pPr>
        <w:ind w:left="875" w:hanging="159"/>
      </w:pPr>
      <w:rPr>
        <w:rFonts w:hint="default"/>
        <w:lang w:val="zh-CN" w:eastAsia="zh-CN" w:bidi="zh-CN"/>
      </w:rPr>
    </w:lvl>
    <w:lvl w:ilvl="2" w:tentative="0">
      <w:start w:val="0"/>
      <w:numFmt w:val="bullet"/>
      <w:lvlText w:val="•"/>
      <w:lvlJc w:val="left"/>
      <w:pPr>
        <w:ind w:left="1490" w:hanging="159"/>
      </w:pPr>
      <w:rPr>
        <w:rFonts w:hint="default"/>
        <w:lang w:val="zh-CN" w:eastAsia="zh-CN" w:bidi="zh-CN"/>
      </w:rPr>
    </w:lvl>
    <w:lvl w:ilvl="3" w:tentative="0">
      <w:start w:val="0"/>
      <w:numFmt w:val="bullet"/>
      <w:lvlText w:val="•"/>
      <w:lvlJc w:val="left"/>
      <w:pPr>
        <w:ind w:left="2105" w:hanging="159"/>
      </w:pPr>
      <w:rPr>
        <w:rFonts w:hint="default"/>
        <w:lang w:val="zh-CN" w:eastAsia="zh-CN" w:bidi="zh-CN"/>
      </w:rPr>
    </w:lvl>
    <w:lvl w:ilvl="4" w:tentative="0">
      <w:start w:val="0"/>
      <w:numFmt w:val="bullet"/>
      <w:lvlText w:val="•"/>
      <w:lvlJc w:val="left"/>
      <w:pPr>
        <w:ind w:left="2720" w:hanging="159"/>
      </w:pPr>
      <w:rPr>
        <w:rFonts w:hint="default"/>
        <w:lang w:val="zh-CN" w:eastAsia="zh-CN" w:bidi="zh-CN"/>
      </w:rPr>
    </w:lvl>
    <w:lvl w:ilvl="5" w:tentative="0">
      <w:start w:val="0"/>
      <w:numFmt w:val="bullet"/>
      <w:lvlText w:val="•"/>
      <w:lvlJc w:val="left"/>
      <w:pPr>
        <w:ind w:left="3335" w:hanging="159"/>
      </w:pPr>
      <w:rPr>
        <w:rFonts w:hint="default"/>
        <w:lang w:val="zh-CN" w:eastAsia="zh-CN" w:bidi="zh-CN"/>
      </w:rPr>
    </w:lvl>
    <w:lvl w:ilvl="6" w:tentative="0">
      <w:start w:val="0"/>
      <w:numFmt w:val="bullet"/>
      <w:lvlText w:val="•"/>
      <w:lvlJc w:val="left"/>
      <w:pPr>
        <w:ind w:left="3950" w:hanging="159"/>
      </w:pPr>
      <w:rPr>
        <w:rFonts w:hint="default"/>
        <w:lang w:val="zh-CN" w:eastAsia="zh-CN" w:bidi="zh-CN"/>
      </w:rPr>
    </w:lvl>
    <w:lvl w:ilvl="7" w:tentative="0">
      <w:start w:val="0"/>
      <w:numFmt w:val="bullet"/>
      <w:lvlText w:val="•"/>
      <w:lvlJc w:val="left"/>
      <w:pPr>
        <w:ind w:left="4565" w:hanging="159"/>
      </w:pPr>
      <w:rPr>
        <w:rFonts w:hint="default"/>
        <w:lang w:val="zh-CN" w:eastAsia="zh-CN" w:bidi="zh-CN"/>
      </w:rPr>
    </w:lvl>
    <w:lvl w:ilvl="8" w:tentative="0">
      <w:start w:val="0"/>
      <w:numFmt w:val="bullet"/>
      <w:lvlText w:val="•"/>
      <w:lvlJc w:val="left"/>
      <w:pPr>
        <w:ind w:left="5180" w:hanging="159"/>
      </w:pPr>
      <w:rPr>
        <w:rFonts w:hint="default"/>
        <w:lang w:val="zh-CN" w:eastAsia="zh-CN" w:bidi="zh-CN"/>
      </w:rPr>
    </w:lvl>
  </w:abstractNum>
  <w:abstractNum w:abstractNumId="103">
    <w:nsid w:val="68B298F7"/>
    <w:multiLevelType w:val="multilevel"/>
    <w:tmpl w:val="68B298F7"/>
    <w:lvl w:ilvl="0" w:tentative="0">
      <w:start w:val="1"/>
      <w:numFmt w:val="decimal"/>
      <w:lvlText w:val="%1."/>
      <w:lvlJc w:val="left"/>
      <w:pPr>
        <w:ind w:left="111" w:hanging="161"/>
        <w:jc w:val="left"/>
      </w:pPr>
      <w:rPr>
        <w:rFonts w:hint="default" w:ascii="Times New Roman" w:hAnsi="Times New Roman" w:eastAsia="Times New Roman" w:cs="Times New Roman"/>
        <w:spacing w:val="1"/>
        <w:w w:val="99"/>
        <w:position w:val="2"/>
        <w:sz w:val="19"/>
        <w:szCs w:val="19"/>
        <w:lang w:val="zh-CN" w:eastAsia="zh-CN" w:bidi="zh-CN"/>
      </w:rPr>
    </w:lvl>
    <w:lvl w:ilvl="1" w:tentative="0">
      <w:start w:val="0"/>
      <w:numFmt w:val="bullet"/>
      <w:lvlText w:val="•"/>
      <w:lvlJc w:val="left"/>
      <w:pPr>
        <w:ind w:left="689" w:hanging="161"/>
      </w:pPr>
      <w:rPr>
        <w:rFonts w:hint="default"/>
        <w:lang w:val="zh-CN" w:eastAsia="zh-CN" w:bidi="zh-CN"/>
      </w:rPr>
    </w:lvl>
    <w:lvl w:ilvl="2" w:tentative="0">
      <w:start w:val="0"/>
      <w:numFmt w:val="bullet"/>
      <w:lvlText w:val="•"/>
      <w:lvlJc w:val="left"/>
      <w:pPr>
        <w:ind w:left="1259" w:hanging="161"/>
      </w:pPr>
      <w:rPr>
        <w:rFonts w:hint="default"/>
        <w:lang w:val="zh-CN" w:eastAsia="zh-CN" w:bidi="zh-CN"/>
      </w:rPr>
    </w:lvl>
    <w:lvl w:ilvl="3" w:tentative="0">
      <w:start w:val="0"/>
      <w:numFmt w:val="bullet"/>
      <w:lvlText w:val="•"/>
      <w:lvlJc w:val="left"/>
      <w:pPr>
        <w:ind w:left="1829" w:hanging="161"/>
      </w:pPr>
      <w:rPr>
        <w:rFonts w:hint="default"/>
        <w:lang w:val="zh-CN" w:eastAsia="zh-CN" w:bidi="zh-CN"/>
      </w:rPr>
    </w:lvl>
    <w:lvl w:ilvl="4" w:tentative="0">
      <w:start w:val="0"/>
      <w:numFmt w:val="bullet"/>
      <w:lvlText w:val="•"/>
      <w:lvlJc w:val="left"/>
      <w:pPr>
        <w:ind w:left="2398" w:hanging="161"/>
      </w:pPr>
      <w:rPr>
        <w:rFonts w:hint="default"/>
        <w:lang w:val="zh-CN" w:eastAsia="zh-CN" w:bidi="zh-CN"/>
      </w:rPr>
    </w:lvl>
    <w:lvl w:ilvl="5" w:tentative="0">
      <w:start w:val="0"/>
      <w:numFmt w:val="bullet"/>
      <w:lvlText w:val="•"/>
      <w:lvlJc w:val="left"/>
      <w:pPr>
        <w:ind w:left="2968" w:hanging="161"/>
      </w:pPr>
      <w:rPr>
        <w:rFonts w:hint="default"/>
        <w:lang w:val="zh-CN" w:eastAsia="zh-CN" w:bidi="zh-CN"/>
      </w:rPr>
    </w:lvl>
    <w:lvl w:ilvl="6" w:tentative="0">
      <w:start w:val="0"/>
      <w:numFmt w:val="bullet"/>
      <w:lvlText w:val="•"/>
      <w:lvlJc w:val="left"/>
      <w:pPr>
        <w:ind w:left="3538" w:hanging="161"/>
      </w:pPr>
      <w:rPr>
        <w:rFonts w:hint="default"/>
        <w:lang w:val="zh-CN" w:eastAsia="zh-CN" w:bidi="zh-CN"/>
      </w:rPr>
    </w:lvl>
    <w:lvl w:ilvl="7" w:tentative="0">
      <w:start w:val="0"/>
      <w:numFmt w:val="bullet"/>
      <w:lvlText w:val="•"/>
      <w:lvlJc w:val="left"/>
      <w:pPr>
        <w:ind w:left="4107" w:hanging="161"/>
      </w:pPr>
      <w:rPr>
        <w:rFonts w:hint="default"/>
        <w:lang w:val="zh-CN" w:eastAsia="zh-CN" w:bidi="zh-CN"/>
      </w:rPr>
    </w:lvl>
    <w:lvl w:ilvl="8" w:tentative="0">
      <w:start w:val="0"/>
      <w:numFmt w:val="bullet"/>
      <w:lvlText w:val="•"/>
      <w:lvlJc w:val="left"/>
      <w:pPr>
        <w:ind w:left="4677" w:hanging="161"/>
      </w:pPr>
      <w:rPr>
        <w:rFonts w:hint="default"/>
        <w:lang w:val="zh-CN" w:eastAsia="zh-CN" w:bidi="zh-CN"/>
      </w:rPr>
    </w:lvl>
  </w:abstractNum>
  <w:abstractNum w:abstractNumId="104">
    <w:nsid w:val="700FDCEF"/>
    <w:multiLevelType w:val="multilevel"/>
    <w:tmpl w:val="700FDCEF"/>
    <w:lvl w:ilvl="0" w:tentative="0">
      <w:start w:val="1"/>
      <w:numFmt w:val="decimal"/>
      <w:lvlText w:val="（%1）"/>
      <w:lvlJc w:val="left"/>
      <w:pPr>
        <w:ind w:left="1297"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62" w:hanging="601"/>
      </w:pPr>
      <w:rPr>
        <w:rFonts w:hint="default"/>
        <w:lang w:val="zh-CN" w:eastAsia="zh-CN" w:bidi="zh-CN"/>
      </w:rPr>
    </w:lvl>
    <w:lvl w:ilvl="2" w:tentative="0">
      <w:start w:val="0"/>
      <w:numFmt w:val="bullet"/>
      <w:lvlText w:val="•"/>
      <w:lvlJc w:val="left"/>
      <w:pPr>
        <w:ind w:left="3025" w:hanging="601"/>
      </w:pPr>
      <w:rPr>
        <w:rFonts w:hint="default"/>
        <w:lang w:val="zh-CN" w:eastAsia="zh-CN" w:bidi="zh-CN"/>
      </w:rPr>
    </w:lvl>
    <w:lvl w:ilvl="3" w:tentative="0">
      <w:start w:val="0"/>
      <w:numFmt w:val="bullet"/>
      <w:lvlText w:val="•"/>
      <w:lvlJc w:val="left"/>
      <w:pPr>
        <w:ind w:left="3887" w:hanging="601"/>
      </w:pPr>
      <w:rPr>
        <w:rFonts w:hint="default"/>
        <w:lang w:val="zh-CN" w:eastAsia="zh-CN" w:bidi="zh-CN"/>
      </w:rPr>
    </w:lvl>
    <w:lvl w:ilvl="4" w:tentative="0">
      <w:start w:val="0"/>
      <w:numFmt w:val="bullet"/>
      <w:lvlText w:val="•"/>
      <w:lvlJc w:val="left"/>
      <w:pPr>
        <w:ind w:left="4750" w:hanging="601"/>
      </w:pPr>
      <w:rPr>
        <w:rFonts w:hint="default"/>
        <w:lang w:val="zh-CN" w:eastAsia="zh-CN" w:bidi="zh-CN"/>
      </w:rPr>
    </w:lvl>
    <w:lvl w:ilvl="5" w:tentative="0">
      <w:start w:val="0"/>
      <w:numFmt w:val="bullet"/>
      <w:lvlText w:val="•"/>
      <w:lvlJc w:val="left"/>
      <w:pPr>
        <w:ind w:left="5613" w:hanging="601"/>
      </w:pPr>
      <w:rPr>
        <w:rFonts w:hint="default"/>
        <w:lang w:val="zh-CN" w:eastAsia="zh-CN" w:bidi="zh-CN"/>
      </w:rPr>
    </w:lvl>
    <w:lvl w:ilvl="6" w:tentative="0">
      <w:start w:val="0"/>
      <w:numFmt w:val="bullet"/>
      <w:lvlText w:val="•"/>
      <w:lvlJc w:val="left"/>
      <w:pPr>
        <w:ind w:left="6475" w:hanging="601"/>
      </w:pPr>
      <w:rPr>
        <w:rFonts w:hint="default"/>
        <w:lang w:val="zh-CN" w:eastAsia="zh-CN" w:bidi="zh-CN"/>
      </w:rPr>
    </w:lvl>
    <w:lvl w:ilvl="7" w:tentative="0">
      <w:start w:val="0"/>
      <w:numFmt w:val="bullet"/>
      <w:lvlText w:val="•"/>
      <w:lvlJc w:val="left"/>
      <w:pPr>
        <w:ind w:left="7338" w:hanging="601"/>
      </w:pPr>
      <w:rPr>
        <w:rFonts w:hint="default"/>
        <w:lang w:val="zh-CN" w:eastAsia="zh-CN" w:bidi="zh-CN"/>
      </w:rPr>
    </w:lvl>
    <w:lvl w:ilvl="8" w:tentative="0">
      <w:start w:val="0"/>
      <w:numFmt w:val="bullet"/>
      <w:lvlText w:val="•"/>
      <w:lvlJc w:val="left"/>
      <w:pPr>
        <w:ind w:left="8200" w:hanging="601"/>
      </w:pPr>
      <w:rPr>
        <w:rFonts w:hint="default"/>
        <w:lang w:val="zh-CN" w:eastAsia="zh-CN" w:bidi="zh-CN"/>
      </w:rPr>
    </w:lvl>
  </w:abstractNum>
  <w:abstractNum w:abstractNumId="105">
    <w:nsid w:val="72183CF9"/>
    <w:multiLevelType w:val="multilevel"/>
    <w:tmpl w:val="72183CF9"/>
    <w:lvl w:ilvl="0" w:tentative="0">
      <w:start w:val="1"/>
      <w:numFmt w:val="decimal"/>
      <w:lvlText w:val="（%1）"/>
      <w:lvlJc w:val="left"/>
      <w:pPr>
        <w:ind w:left="1743" w:hanging="605"/>
        <w:jc w:val="left"/>
      </w:pPr>
      <w:rPr>
        <w:rFonts w:hint="default" w:ascii="宋体" w:hAnsi="宋体" w:eastAsia="宋体" w:cs="宋体"/>
        <w:spacing w:val="0"/>
        <w:w w:val="100"/>
        <w:sz w:val="22"/>
        <w:szCs w:val="22"/>
        <w:lang w:val="zh-CN" w:eastAsia="zh-CN" w:bidi="zh-CN"/>
      </w:rPr>
    </w:lvl>
    <w:lvl w:ilvl="1" w:tentative="0">
      <w:start w:val="0"/>
      <w:numFmt w:val="bullet"/>
      <w:lvlText w:val="•"/>
      <w:lvlJc w:val="left"/>
      <w:pPr>
        <w:ind w:left="2608" w:hanging="605"/>
      </w:pPr>
      <w:rPr>
        <w:rFonts w:hint="default"/>
        <w:lang w:val="zh-CN" w:eastAsia="zh-CN" w:bidi="zh-CN"/>
      </w:rPr>
    </w:lvl>
    <w:lvl w:ilvl="2" w:tentative="0">
      <w:start w:val="0"/>
      <w:numFmt w:val="bullet"/>
      <w:lvlText w:val="•"/>
      <w:lvlJc w:val="left"/>
      <w:pPr>
        <w:ind w:left="3477" w:hanging="605"/>
      </w:pPr>
      <w:rPr>
        <w:rFonts w:hint="default"/>
        <w:lang w:val="zh-CN" w:eastAsia="zh-CN" w:bidi="zh-CN"/>
      </w:rPr>
    </w:lvl>
    <w:lvl w:ilvl="3" w:tentative="0">
      <w:start w:val="0"/>
      <w:numFmt w:val="bullet"/>
      <w:lvlText w:val="•"/>
      <w:lvlJc w:val="left"/>
      <w:pPr>
        <w:ind w:left="4345" w:hanging="605"/>
      </w:pPr>
      <w:rPr>
        <w:rFonts w:hint="default"/>
        <w:lang w:val="zh-CN" w:eastAsia="zh-CN" w:bidi="zh-CN"/>
      </w:rPr>
    </w:lvl>
    <w:lvl w:ilvl="4" w:tentative="0">
      <w:start w:val="0"/>
      <w:numFmt w:val="bullet"/>
      <w:lvlText w:val="•"/>
      <w:lvlJc w:val="left"/>
      <w:pPr>
        <w:ind w:left="5214" w:hanging="605"/>
      </w:pPr>
      <w:rPr>
        <w:rFonts w:hint="default"/>
        <w:lang w:val="zh-CN" w:eastAsia="zh-CN" w:bidi="zh-CN"/>
      </w:rPr>
    </w:lvl>
    <w:lvl w:ilvl="5" w:tentative="0">
      <w:start w:val="0"/>
      <w:numFmt w:val="bullet"/>
      <w:lvlText w:val="•"/>
      <w:lvlJc w:val="left"/>
      <w:pPr>
        <w:ind w:left="6083" w:hanging="605"/>
      </w:pPr>
      <w:rPr>
        <w:rFonts w:hint="default"/>
        <w:lang w:val="zh-CN" w:eastAsia="zh-CN" w:bidi="zh-CN"/>
      </w:rPr>
    </w:lvl>
    <w:lvl w:ilvl="6" w:tentative="0">
      <w:start w:val="0"/>
      <w:numFmt w:val="bullet"/>
      <w:lvlText w:val="•"/>
      <w:lvlJc w:val="left"/>
      <w:pPr>
        <w:ind w:left="6951" w:hanging="605"/>
      </w:pPr>
      <w:rPr>
        <w:rFonts w:hint="default"/>
        <w:lang w:val="zh-CN" w:eastAsia="zh-CN" w:bidi="zh-CN"/>
      </w:rPr>
    </w:lvl>
    <w:lvl w:ilvl="7" w:tentative="0">
      <w:start w:val="0"/>
      <w:numFmt w:val="bullet"/>
      <w:lvlText w:val="•"/>
      <w:lvlJc w:val="left"/>
      <w:pPr>
        <w:ind w:left="7820" w:hanging="605"/>
      </w:pPr>
      <w:rPr>
        <w:rFonts w:hint="default"/>
        <w:lang w:val="zh-CN" w:eastAsia="zh-CN" w:bidi="zh-CN"/>
      </w:rPr>
    </w:lvl>
    <w:lvl w:ilvl="8" w:tentative="0">
      <w:start w:val="0"/>
      <w:numFmt w:val="bullet"/>
      <w:lvlText w:val="•"/>
      <w:lvlJc w:val="left"/>
      <w:pPr>
        <w:ind w:left="8688" w:hanging="605"/>
      </w:pPr>
      <w:rPr>
        <w:rFonts w:hint="default"/>
        <w:lang w:val="zh-CN" w:eastAsia="zh-CN" w:bidi="zh-CN"/>
      </w:rPr>
    </w:lvl>
  </w:abstractNum>
  <w:abstractNum w:abstractNumId="106">
    <w:nsid w:val="74C28B35"/>
    <w:multiLevelType w:val="multilevel"/>
    <w:tmpl w:val="74C28B35"/>
    <w:lvl w:ilvl="0" w:tentative="0">
      <w:start w:val="1"/>
      <w:numFmt w:val="decimal"/>
      <w:lvlText w:val="%1."/>
      <w:lvlJc w:val="left"/>
      <w:pPr>
        <w:ind w:left="108" w:hanging="159"/>
        <w:jc w:val="left"/>
      </w:pPr>
      <w:rPr>
        <w:rFonts w:hint="default" w:ascii="Times New Roman" w:hAnsi="Times New Roman" w:eastAsia="Times New Roman" w:cs="Times New Roman"/>
        <w:spacing w:val="-2"/>
        <w:w w:val="99"/>
        <w:sz w:val="19"/>
        <w:szCs w:val="19"/>
        <w:lang w:val="zh-CN" w:eastAsia="zh-CN" w:bidi="zh-CN"/>
      </w:rPr>
    </w:lvl>
    <w:lvl w:ilvl="1" w:tentative="0">
      <w:start w:val="0"/>
      <w:numFmt w:val="bullet"/>
      <w:lvlText w:val="•"/>
      <w:lvlJc w:val="left"/>
      <w:pPr>
        <w:ind w:left="731" w:hanging="159"/>
      </w:pPr>
      <w:rPr>
        <w:rFonts w:hint="default"/>
        <w:lang w:val="zh-CN" w:eastAsia="zh-CN" w:bidi="zh-CN"/>
      </w:rPr>
    </w:lvl>
    <w:lvl w:ilvl="2" w:tentative="0">
      <w:start w:val="0"/>
      <w:numFmt w:val="bullet"/>
      <w:lvlText w:val="•"/>
      <w:lvlJc w:val="left"/>
      <w:pPr>
        <w:ind w:left="1362" w:hanging="159"/>
      </w:pPr>
      <w:rPr>
        <w:rFonts w:hint="default"/>
        <w:lang w:val="zh-CN" w:eastAsia="zh-CN" w:bidi="zh-CN"/>
      </w:rPr>
    </w:lvl>
    <w:lvl w:ilvl="3" w:tentative="0">
      <w:start w:val="0"/>
      <w:numFmt w:val="bullet"/>
      <w:lvlText w:val="•"/>
      <w:lvlJc w:val="left"/>
      <w:pPr>
        <w:ind w:left="1993" w:hanging="159"/>
      </w:pPr>
      <w:rPr>
        <w:rFonts w:hint="default"/>
        <w:lang w:val="zh-CN" w:eastAsia="zh-CN" w:bidi="zh-CN"/>
      </w:rPr>
    </w:lvl>
    <w:lvl w:ilvl="4" w:tentative="0">
      <w:start w:val="0"/>
      <w:numFmt w:val="bullet"/>
      <w:lvlText w:val="•"/>
      <w:lvlJc w:val="left"/>
      <w:pPr>
        <w:ind w:left="2624" w:hanging="159"/>
      </w:pPr>
      <w:rPr>
        <w:rFonts w:hint="default"/>
        <w:lang w:val="zh-CN" w:eastAsia="zh-CN" w:bidi="zh-CN"/>
      </w:rPr>
    </w:lvl>
    <w:lvl w:ilvl="5" w:tentative="0">
      <w:start w:val="0"/>
      <w:numFmt w:val="bullet"/>
      <w:lvlText w:val="•"/>
      <w:lvlJc w:val="left"/>
      <w:pPr>
        <w:ind w:left="3255" w:hanging="159"/>
      </w:pPr>
      <w:rPr>
        <w:rFonts w:hint="default"/>
        <w:lang w:val="zh-CN" w:eastAsia="zh-CN" w:bidi="zh-CN"/>
      </w:rPr>
    </w:lvl>
    <w:lvl w:ilvl="6" w:tentative="0">
      <w:start w:val="0"/>
      <w:numFmt w:val="bullet"/>
      <w:lvlText w:val="•"/>
      <w:lvlJc w:val="left"/>
      <w:pPr>
        <w:ind w:left="3886" w:hanging="159"/>
      </w:pPr>
      <w:rPr>
        <w:rFonts w:hint="default"/>
        <w:lang w:val="zh-CN" w:eastAsia="zh-CN" w:bidi="zh-CN"/>
      </w:rPr>
    </w:lvl>
    <w:lvl w:ilvl="7" w:tentative="0">
      <w:start w:val="0"/>
      <w:numFmt w:val="bullet"/>
      <w:lvlText w:val="•"/>
      <w:lvlJc w:val="left"/>
      <w:pPr>
        <w:ind w:left="4517" w:hanging="159"/>
      </w:pPr>
      <w:rPr>
        <w:rFonts w:hint="default"/>
        <w:lang w:val="zh-CN" w:eastAsia="zh-CN" w:bidi="zh-CN"/>
      </w:rPr>
    </w:lvl>
    <w:lvl w:ilvl="8" w:tentative="0">
      <w:start w:val="0"/>
      <w:numFmt w:val="bullet"/>
      <w:lvlText w:val="•"/>
      <w:lvlJc w:val="left"/>
      <w:pPr>
        <w:ind w:left="5148" w:hanging="159"/>
      </w:pPr>
      <w:rPr>
        <w:rFonts w:hint="default"/>
        <w:lang w:val="zh-CN" w:eastAsia="zh-CN" w:bidi="zh-CN"/>
      </w:rPr>
    </w:lvl>
  </w:abstractNum>
  <w:abstractNum w:abstractNumId="107">
    <w:nsid w:val="77633216"/>
    <w:multiLevelType w:val="multilevel"/>
    <w:tmpl w:val="77633216"/>
    <w:lvl w:ilvl="0" w:tentative="0">
      <w:start w:val="12"/>
      <w:numFmt w:val="decimal"/>
      <w:lvlText w:val="%1"/>
      <w:lvlJc w:val="left"/>
      <w:pPr>
        <w:ind w:left="836" w:hanging="600"/>
        <w:jc w:val="left"/>
      </w:pPr>
      <w:rPr>
        <w:rFonts w:hint="default"/>
        <w:lang w:val="zh-CN" w:eastAsia="zh-CN" w:bidi="zh-CN"/>
      </w:rPr>
    </w:lvl>
    <w:lvl w:ilvl="1" w:tentative="0">
      <w:start w:val="3"/>
      <w:numFmt w:val="decimal"/>
      <w:lvlText w:val="%1.%2"/>
      <w:lvlJc w:val="left"/>
      <w:pPr>
        <w:ind w:left="836" w:hanging="600"/>
        <w:jc w:val="left"/>
      </w:pPr>
      <w:rPr>
        <w:rFonts w:hint="default" w:ascii="Times New Roman" w:hAnsi="Times New Roman" w:eastAsia="Times New Roman" w:cs="Times New Roman"/>
        <w:b/>
        <w:bCs/>
        <w:spacing w:val="-2"/>
        <w:w w:val="100"/>
        <w:sz w:val="30"/>
        <w:szCs w:val="30"/>
        <w:lang w:val="zh-CN" w:eastAsia="zh-CN" w:bidi="zh-CN"/>
      </w:rPr>
    </w:lvl>
    <w:lvl w:ilvl="2" w:tentative="0">
      <w:start w:val="1"/>
      <w:numFmt w:val="decimal"/>
      <w:lvlText w:val="（%3）"/>
      <w:lvlJc w:val="left"/>
      <w:pPr>
        <w:ind w:left="236" w:hanging="601"/>
        <w:jc w:val="left"/>
      </w:pPr>
      <w:rPr>
        <w:rFonts w:hint="default" w:ascii="宋体" w:hAnsi="宋体" w:eastAsia="宋体" w:cs="宋体"/>
        <w:spacing w:val="-18"/>
        <w:w w:val="100"/>
        <w:sz w:val="22"/>
        <w:szCs w:val="22"/>
        <w:lang w:val="zh-CN" w:eastAsia="zh-CN" w:bidi="zh-CN"/>
      </w:rPr>
    </w:lvl>
    <w:lvl w:ilvl="3" w:tentative="0">
      <w:start w:val="0"/>
      <w:numFmt w:val="bullet"/>
      <w:lvlText w:val="•"/>
      <w:lvlJc w:val="left"/>
      <w:pPr>
        <w:ind w:left="2788" w:hanging="601"/>
      </w:pPr>
      <w:rPr>
        <w:rFonts w:hint="default"/>
        <w:lang w:val="zh-CN" w:eastAsia="zh-CN" w:bidi="zh-CN"/>
      </w:rPr>
    </w:lvl>
    <w:lvl w:ilvl="4" w:tentative="0">
      <w:start w:val="0"/>
      <w:numFmt w:val="bullet"/>
      <w:lvlText w:val="•"/>
      <w:lvlJc w:val="left"/>
      <w:pPr>
        <w:ind w:left="3762" w:hanging="601"/>
      </w:pPr>
      <w:rPr>
        <w:rFonts w:hint="default"/>
        <w:lang w:val="zh-CN" w:eastAsia="zh-CN" w:bidi="zh-CN"/>
      </w:rPr>
    </w:lvl>
    <w:lvl w:ilvl="5" w:tentative="0">
      <w:start w:val="0"/>
      <w:numFmt w:val="bullet"/>
      <w:lvlText w:val="•"/>
      <w:lvlJc w:val="left"/>
      <w:pPr>
        <w:ind w:left="4736" w:hanging="601"/>
      </w:pPr>
      <w:rPr>
        <w:rFonts w:hint="default"/>
        <w:lang w:val="zh-CN" w:eastAsia="zh-CN" w:bidi="zh-CN"/>
      </w:rPr>
    </w:lvl>
    <w:lvl w:ilvl="6" w:tentative="0">
      <w:start w:val="0"/>
      <w:numFmt w:val="bullet"/>
      <w:lvlText w:val="•"/>
      <w:lvlJc w:val="left"/>
      <w:pPr>
        <w:ind w:left="5710" w:hanging="601"/>
      </w:pPr>
      <w:rPr>
        <w:rFonts w:hint="default"/>
        <w:lang w:val="zh-CN" w:eastAsia="zh-CN" w:bidi="zh-CN"/>
      </w:rPr>
    </w:lvl>
    <w:lvl w:ilvl="7" w:tentative="0">
      <w:start w:val="0"/>
      <w:numFmt w:val="bullet"/>
      <w:lvlText w:val="•"/>
      <w:lvlJc w:val="left"/>
      <w:pPr>
        <w:ind w:left="6684" w:hanging="601"/>
      </w:pPr>
      <w:rPr>
        <w:rFonts w:hint="default"/>
        <w:lang w:val="zh-CN" w:eastAsia="zh-CN" w:bidi="zh-CN"/>
      </w:rPr>
    </w:lvl>
    <w:lvl w:ilvl="8" w:tentative="0">
      <w:start w:val="0"/>
      <w:numFmt w:val="bullet"/>
      <w:lvlText w:val="•"/>
      <w:lvlJc w:val="left"/>
      <w:pPr>
        <w:ind w:left="7658" w:hanging="601"/>
      </w:pPr>
      <w:rPr>
        <w:rFonts w:hint="default"/>
        <w:lang w:val="zh-CN" w:eastAsia="zh-CN" w:bidi="zh-CN"/>
      </w:rPr>
    </w:lvl>
  </w:abstractNum>
  <w:abstractNum w:abstractNumId="108">
    <w:nsid w:val="77ECEA79"/>
    <w:multiLevelType w:val="multilevel"/>
    <w:tmpl w:val="77ECEA79"/>
    <w:lvl w:ilvl="0" w:tentative="0">
      <w:start w:val="1"/>
      <w:numFmt w:val="decimal"/>
      <w:lvlText w:val="（%1）"/>
      <w:lvlJc w:val="left"/>
      <w:pPr>
        <w:ind w:left="21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950" w:hanging="601"/>
      </w:pPr>
      <w:rPr>
        <w:rFonts w:hint="default"/>
        <w:lang w:val="zh-CN" w:eastAsia="zh-CN" w:bidi="zh-CN"/>
      </w:rPr>
    </w:lvl>
    <w:lvl w:ilvl="2" w:tentative="0">
      <w:start w:val="0"/>
      <w:numFmt w:val="bullet"/>
      <w:lvlText w:val="•"/>
      <w:lvlJc w:val="left"/>
      <w:pPr>
        <w:ind w:left="3781" w:hanging="601"/>
      </w:pPr>
      <w:rPr>
        <w:rFonts w:hint="default"/>
        <w:lang w:val="zh-CN" w:eastAsia="zh-CN" w:bidi="zh-CN"/>
      </w:rPr>
    </w:lvl>
    <w:lvl w:ilvl="3" w:tentative="0">
      <w:start w:val="0"/>
      <w:numFmt w:val="bullet"/>
      <w:lvlText w:val="•"/>
      <w:lvlJc w:val="left"/>
      <w:pPr>
        <w:ind w:left="4611" w:hanging="601"/>
      </w:pPr>
      <w:rPr>
        <w:rFonts w:hint="default"/>
        <w:lang w:val="zh-CN" w:eastAsia="zh-CN" w:bidi="zh-CN"/>
      </w:rPr>
    </w:lvl>
    <w:lvl w:ilvl="4" w:tentative="0">
      <w:start w:val="0"/>
      <w:numFmt w:val="bullet"/>
      <w:lvlText w:val="•"/>
      <w:lvlJc w:val="left"/>
      <w:pPr>
        <w:ind w:left="5442" w:hanging="601"/>
      </w:pPr>
      <w:rPr>
        <w:rFonts w:hint="default"/>
        <w:lang w:val="zh-CN" w:eastAsia="zh-CN" w:bidi="zh-CN"/>
      </w:rPr>
    </w:lvl>
    <w:lvl w:ilvl="5" w:tentative="0">
      <w:start w:val="0"/>
      <w:numFmt w:val="bullet"/>
      <w:lvlText w:val="•"/>
      <w:lvlJc w:val="left"/>
      <w:pPr>
        <w:ind w:left="6273" w:hanging="601"/>
      </w:pPr>
      <w:rPr>
        <w:rFonts w:hint="default"/>
        <w:lang w:val="zh-CN" w:eastAsia="zh-CN" w:bidi="zh-CN"/>
      </w:rPr>
    </w:lvl>
    <w:lvl w:ilvl="6" w:tentative="0">
      <w:start w:val="0"/>
      <w:numFmt w:val="bullet"/>
      <w:lvlText w:val="•"/>
      <w:lvlJc w:val="left"/>
      <w:pPr>
        <w:ind w:left="7103" w:hanging="601"/>
      </w:pPr>
      <w:rPr>
        <w:rFonts w:hint="default"/>
        <w:lang w:val="zh-CN" w:eastAsia="zh-CN" w:bidi="zh-CN"/>
      </w:rPr>
    </w:lvl>
    <w:lvl w:ilvl="7" w:tentative="0">
      <w:start w:val="0"/>
      <w:numFmt w:val="bullet"/>
      <w:lvlText w:val="•"/>
      <w:lvlJc w:val="left"/>
      <w:pPr>
        <w:ind w:left="7934" w:hanging="601"/>
      </w:pPr>
      <w:rPr>
        <w:rFonts w:hint="default"/>
        <w:lang w:val="zh-CN" w:eastAsia="zh-CN" w:bidi="zh-CN"/>
      </w:rPr>
    </w:lvl>
    <w:lvl w:ilvl="8" w:tentative="0">
      <w:start w:val="0"/>
      <w:numFmt w:val="bullet"/>
      <w:lvlText w:val="•"/>
      <w:lvlJc w:val="left"/>
      <w:pPr>
        <w:ind w:left="8764" w:hanging="601"/>
      </w:pPr>
      <w:rPr>
        <w:rFonts w:hint="default"/>
        <w:lang w:val="zh-CN" w:eastAsia="zh-CN" w:bidi="zh-CN"/>
      </w:rPr>
    </w:lvl>
  </w:abstractNum>
  <w:abstractNum w:abstractNumId="109">
    <w:nsid w:val="79AA4FA4"/>
    <w:multiLevelType w:val="multilevel"/>
    <w:tmpl w:val="79AA4FA4"/>
    <w:lvl w:ilvl="0" w:tentative="0">
      <w:start w:val="1"/>
      <w:numFmt w:val="decimal"/>
      <w:lvlText w:val="（%1）"/>
      <w:lvlJc w:val="left"/>
      <w:pPr>
        <w:ind w:left="153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16" w:hanging="601"/>
      </w:pPr>
      <w:rPr>
        <w:rFonts w:hint="default"/>
        <w:lang w:val="zh-CN" w:eastAsia="zh-CN" w:bidi="zh-CN"/>
      </w:rPr>
    </w:lvl>
    <w:lvl w:ilvl="2" w:tentative="0">
      <w:start w:val="0"/>
      <w:numFmt w:val="bullet"/>
      <w:lvlText w:val="•"/>
      <w:lvlJc w:val="left"/>
      <w:pPr>
        <w:ind w:left="3093" w:hanging="601"/>
      </w:pPr>
      <w:rPr>
        <w:rFonts w:hint="default"/>
        <w:lang w:val="zh-CN" w:eastAsia="zh-CN" w:bidi="zh-CN"/>
      </w:rPr>
    </w:lvl>
    <w:lvl w:ilvl="3" w:tentative="0">
      <w:start w:val="0"/>
      <w:numFmt w:val="bullet"/>
      <w:lvlText w:val="•"/>
      <w:lvlJc w:val="left"/>
      <w:pPr>
        <w:ind w:left="3869" w:hanging="601"/>
      </w:pPr>
      <w:rPr>
        <w:rFonts w:hint="default"/>
        <w:lang w:val="zh-CN" w:eastAsia="zh-CN" w:bidi="zh-CN"/>
      </w:rPr>
    </w:lvl>
    <w:lvl w:ilvl="4" w:tentative="0">
      <w:start w:val="0"/>
      <w:numFmt w:val="bullet"/>
      <w:lvlText w:val="•"/>
      <w:lvlJc w:val="left"/>
      <w:pPr>
        <w:ind w:left="4646" w:hanging="601"/>
      </w:pPr>
      <w:rPr>
        <w:rFonts w:hint="default"/>
        <w:lang w:val="zh-CN" w:eastAsia="zh-CN" w:bidi="zh-CN"/>
      </w:rPr>
    </w:lvl>
    <w:lvl w:ilvl="5" w:tentative="0">
      <w:start w:val="0"/>
      <w:numFmt w:val="bullet"/>
      <w:lvlText w:val="•"/>
      <w:lvlJc w:val="left"/>
      <w:pPr>
        <w:ind w:left="5423" w:hanging="601"/>
      </w:pPr>
      <w:rPr>
        <w:rFonts w:hint="default"/>
        <w:lang w:val="zh-CN" w:eastAsia="zh-CN" w:bidi="zh-CN"/>
      </w:rPr>
    </w:lvl>
    <w:lvl w:ilvl="6" w:tentative="0">
      <w:start w:val="0"/>
      <w:numFmt w:val="bullet"/>
      <w:lvlText w:val="•"/>
      <w:lvlJc w:val="left"/>
      <w:pPr>
        <w:ind w:left="6199" w:hanging="601"/>
      </w:pPr>
      <w:rPr>
        <w:rFonts w:hint="default"/>
        <w:lang w:val="zh-CN" w:eastAsia="zh-CN" w:bidi="zh-CN"/>
      </w:rPr>
    </w:lvl>
    <w:lvl w:ilvl="7" w:tentative="0">
      <w:start w:val="0"/>
      <w:numFmt w:val="bullet"/>
      <w:lvlText w:val="•"/>
      <w:lvlJc w:val="left"/>
      <w:pPr>
        <w:ind w:left="6976" w:hanging="601"/>
      </w:pPr>
      <w:rPr>
        <w:rFonts w:hint="default"/>
        <w:lang w:val="zh-CN" w:eastAsia="zh-CN" w:bidi="zh-CN"/>
      </w:rPr>
    </w:lvl>
    <w:lvl w:ilvl="8" w:tentative="0">
      <w:start w:val="0"/>
      <w:numFmt w:val="bullet"/>
      <w:lvlText w:val="•"/>
      <w:lvlJc w:val="left"/>
      <w:pPr>
        <w:ind w:left="7752" w:hanging="601"/>
      </w:pPr>
      <w:rPr>
        <w:rFonts w:hint="default"/>
        <w:lang w:val="zh-CN" w:eastAsia="zh-CN" w:bidi="zh-CN"/>
      </w:rPr>
    </w:lvl>
  </w:abstractNum>
  <w:abstractNum w:abstractNumId="110">
    <w:nsid w:val="7C246926"/>
    <w:multiLevelType w:val="multilevel"/>
    <w:tmpl w:val="7C246926"/>
    <w:lvl w:ilvl="0" w:tentative="0">
      <w:start w:val="1"/>
      <w:numFmt w:val="decimal"/>
      <w:lvlText w:val="（%1）"/>
      <w:lvlJc w:val="left"/>
      <w:pPr>
        <w:ind w:left="1040"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978" w:hanging="601"/>
      </w:pPr>
      <w:rPr>
        <w:rFonts w:hint="default"/>
        <w:lang w:val="zh-CN" w:eastAsia="zh-CN" w:bidi="zh-CN"/>
      </w:rPr>
    </w:lvl>
    <w:lvl w:ilvl="2" w:tentative="0">
      <w:start w:val="0"/>
      <w:numFmt w:val="bullet"/>
      <w:lvlText w:val="•"/>
      <w:lvlJc w:val="left"/>
      <w:pPr>
        <w:ind w:left="2917" w:hanging="601"/>
      </w:pPr>
      <w:rPr>
        <w:rFonts w:hint="default"/>
        <w:lang w:val="zh-CN" w:eastAsia="zh-CN" w:bidi="zh-CN"/>
      </w:rPr>
    </w:lvl>
    <w:lvl w:ilvl="3" w:tentative="0">
      <w:start w:val="0"/>
      <w:numFmt w:val="bullet"/>
      <w:lvlText w:val="•"/>
      <w:lvlJc w:val="left"/>
      <w:pPr>
        <w:ind w:left="3855" w:hanging="601"/>
      </w:pPr>
      <w:rPr>
        <w:rFonts w:hint="default"/>
        <w:lang w:val="zh-CN" w:eastAsia="zh-CN" w:bidi="zh-CN"/>
      </w:rPr>
    </w:lvl>
    <w:lvl w:ilvl="4" w:tentative="0">
      <w:start w:val="0"/>
      <w:numFmt w:val="bullet"/>
      <w:lvlText w:val="•"/>
      <w:lvlJc w:val="left"/>
      <w:pPr>
        <w:ind w:left="4794" w:hanging="601"/>
      </w:pPr>
      <w:rPr>
        <w:rFonts w:hint="default"/>
        <w:lang w:val="zh-CN" w:eastAsia="zh-CN" w:bidi="zh-CN"/>
      </w:rPr>
    </w:lvl>
    <w:lvl w:ilvl="5" w:tentative="0">
      <w:start w:val="0"/>
      <w:numFmt w:val="bullet"/>
      <w:lvlText w:val="•"/>
      <w:lvlJc w:val="left"/>
      <w:pPr>
        <w:ind w:left="5733" w:hanging="601"/>
      </w:pPr>
      <w:rPr>
        <w:rFonts w:hint="default"/>
        <w:lang w:val="zh-CN" w:eastAsia="zh-CN" w:bidi="zh-CN"/>
      </w:rPr>
    </w:lvl>
    <w:lvl w:ilvl="6" w:tentative="0">
      <w:start w:val="0"/>
      <w:numFmt w:val="bullet"/>
      <w:lvlText w:val="•"/>
      <w:lvlJc w:val="left"/>
      <w:pPr>
        <w:ind w:left="6671" w:hanging="601"/>
      </w:pPr>
      <w:rPr>
        <w:rFonts w:hint="default"/>
        <w:lang w:val="zh-CN" w:eastAsia="zh-CN" w:bidi="zh-CN"/>
      </w:rPr>
    </w:lvl>
    <w:lvl w:ilvl="7" w:tentative="0">
      <w:start w:val="0"/>
      <w:numFmt w:val="bullet"/>
      <w:lvlText w:val="•"/>
      <w:lvlJc w:val="left"/>
      <w:pPr>
        <w:ind w:left="7610" w:hanging="601"/>
      </w:pPr>
      <w:rPr>
        <w:rFonts w:hint="default"/>
        <w:lang w:val="zh-CN" w:eastAsia="zh-CN" w:bidi="zh-CN"/>
      </w:rPr>
    </w:lvl>
    <w:lvl w:ilvl="8" w:tentative="0">
      <w:start w:val="0"/>
      <w:numFmt w:val="bullet"/>
      <w:lvlText w:val="•"/>
      <w:lvlJc w:val="left"/>
      <w:pPr>
        <w:ind w:left="8548" w:hanging="601"/>
      </w:pPr>
      <w:rPr>
        <w:rFonts w:hint="default"/>
        <w:lang w:val="zh-CN" w:eastAsia="zh-CN" w:bidi="zh-CN"/>
      </w:rPr>
    </w:lvl>
  </w:abstractNum>
  <w:abstractNum w:abstractNumId="111">
    <w:nsid w:val="7DEC2089"/>
    <w:multiLevelType w:val="multilevel"/>
    <w:tmpl w:val="7DEC2089"/>
    <w:lvl w:ilvl="0" w:tentative="0">
      <w:start w:val="3"/>
      <w:numFmt w:val="decimal"/>
      <w:lvlText w:val="%1"/>
      <w:lvlJc w:val="left"/>
      <w:pPr>
        <w:ind w:left="960" w:hanging="449"/>
        <w:jc w:val="left"/>
      </w:pPr>
      <w:rPr>
        <w:rFonts w:hint="default"/>
        <w:lang w:val="zh-CN" w:eastAsia="zh-CN" w:bidi="zh-CN"/>
      </w:rPr>
    </w:lvl>
    <w:lvl w:ilvl="1" w:tentative="0">
      <w:start w:val="5"/>
      <w:numFmt w:val="decimal"/>
      <w:lvlText w:val="%1.%2"/>
      <w:lvlJc w:val="left"/>
      <w:pPr>
        <w:ind w:left="960" w:hanging="449"/>
        <w:jc w:val="left"/>
      </w:pPr>
      <w:rPr>
        <w:rFonts w:hint="default" w:ascii="Times New Roman" w:hAnsi="Times New Roman" w:eastAsia="Times New Roman" w:cs="Times New Roman"/>
        <w:b/>
        <w:bCs/>
        <w:spacing w:val="-1"/>
        <w:w w:val="100"/>
        <w:sz w:val="30"/>
        <w:szCs w:val="30"/>
        <w:lang w:val="zh-CN" w:eastAsia="zh-CN" w:bidi="zh-CN"/>
      </w:rPr>
    </w:lvl>
    <w:lvl w:ilvl="2" w:tentative="0">
      <w:start w:val="1"/>
      <w:numFmt w:val="decimal"/>
      <w:lvlText w:val="（%3）"/>
      <w:lvlJc w:val="left"/>
      <w:pPr>
        <w:ind w:left="512" w:hanging="601"/>
        <w:jc w:val="left"/>
      </w:pPr>
      <w:rPr>
        <w:rFonts w:hint="default" w:ascii="宋体" w:hAnsi="宋体" w:eastAsia="宋体" w:cs="宋体"/>
        <w:spacing w:val="-32"/>
        <w:w w:val="100"/>
        <w:sz w:val="22"/>
        <w:szCs w:val="22"/>
        <w:lang w:val="zh-CN" w:eastAsia="zh-CN" w:bidi="zh-CN"/>
      </w:rPr>
    </w:lvl>
    <w:lvl w:ilvl="3" w:tentative="0">
      <w:start w:val="0"/>
      <w:numFmt w:val="bullet"/>
      <w:lvlText w:val="•"/>
      <w:lvlJc w:val="left"/>
      <w:pPr>
        <w:ind w:left="2845" w:hanging="601"/>
      </w:pPr>
      <w:rPr>
        <w:rFonts w:hint="default"/>
        <w:lang w:val="zh-CN" w:eastAsia="zh-CN" w:bidi="zh-CN"/>
      </w:rPr>
    </w:lvl>
    <w:lvl w:ilvl="4" w:tentative="0">
      <w:start w:val="0"/>
      <w:numFmt w:val="bullet"/>
      <w:lvlText w:val="•"/>
      <w:lvlJc w:val="left"/>
      <w:pPr>
        <w:ind w:left="3788" w:hanging="601"/>
      </w:pPr>
      <w:rPr>
        <w:rFonts w:hint="default"/>
        <w:lang w:val="zh-CN" w:eastAsia="zh-CN" w:bidi="zh-CN"/>
      </w:rPr>
    </w:lvl>
    <w:lvl w:ilvl="5" w:tentative="0">
      <w:start w:val="0"/>
      <w:numFmt w:val="bullet"/>
      <w:lvlText w:val="•"/>
      <w:lvlJc w:val="left"/>
      <w:pPr>
        <w:ind w:left="4731" w:hanging="601"/>
      </w:pPr>
      <w:rPr>
        <w:rFonts w:hint="default"/>
        <w:lang w:val="zh-CN" w:eastAsia="zh-CN" w:bidi="zh-CN"/>
      </w:rPr>
    </w:lvl>
    <w:lvl w:ilvl="6" w:tentative="0">
      <w:start w:val="0"/>
      <w:numFmt w:val="bullet"/>
      <w:lvlText w:val="•"/>
      <w:lvlJc w:val="left"/>
      <w:pPr>
        <w:ind w:left="5674" w:hanging="601"/>
      </w:pPr>
      <w:rPr>
        <w:rFonts w:hint="default"/>
        <w:lang w:val="zh-CN" w:eastAsia="zh-CN" w:bidi="zh-CN"/>
      </w:rPr>
    </w:lvl>
    <w:lvl w:ilvl="7" w:tentative="0">
      <w:start w:val="0"/>
      <w:numFmt w:val="bullet"/>
      <w:lvlText w:val="•"/>
      <w:lvlJc w:val="left"/>
      <w:pPr>
        <w:ind w:left="6617" w:hanging="601"/>
      </w:pPr>
      <w:rPr>
        <w:rFonts w:hint="default"/>
        <w:lang w:val="zh-CN" w:eastAsia="zh-CN" w:bidi="zh-CN"/>
      </w:rPr>
    </w:lvl>
    <w:lvl w:ilvl="8" w:tentative="0">
      <w:start w:val="0"/>
      <w:numFmt w:val="bullet"/>
      <w:lvlText w:val="•"/>
      <w:lvlJc w:val="left"/>
      <w:pPr>
        <w:ind w:left="7560" w:hanging="601"/>
      </w:pPr>
      <w:rPr>
        <w:rFonts w:hint="default"/>
        <w:lang w:val="zh-CN" w:eastAsia="zh-CN" w:bidi="zh-CN"/>
      </w:rPr>
    </w:lvl>
  </w:abstractNum>
  <w:num w:numId="1">
    <w:abstractNumId w:val="55"/>
  </w:num>
  <w:num w:numId="2">
    <w:abstractNumId w:val="39"/>
  </w:num>
  <w:num w:numId="3">
    <w:abstractNumId w:val="94"/>
  </w:num>
  <w:num w:numId="4">
    <w:abstractNumId w:val="33"/>
  </w:num>
  <w:num w:numId="5">
    <w:abstractNumId w:val="25"/>
  </w:num>
  <w:num w:numId="6">
    <w:abstractNumId w:val="59"/>
  </w:num>
  <w:num w:numId="7">
    <w:abstractNumId w:val="75"/>
  </w:num>
  <w:num w:numId="8">
    <w:abstractNumId w:val="105"/>
  </w:num>
  <w:num w:numId="9">
    <w:abstractNumId w:val="57"/>
  </w:num>
  <w:num w:numId="10">
    <w:abstractNumId w:val="9"/>
  </w:num>
  <w:num w:numId="11">
    <w:abstractNumId w:val="76"/>
  </w:num>
  <w:num w:numId="12">
    <w:abstractNumId w:val="96"/>
  </w:num>
  <w:num w:numId="13">
    <w:abstractNumId w:val="37"/>
  </w:num>
  <w:num w:numId="14">
    <w:abstractNumId w:val="91"/>
  </w:num>
  <w:num w:numId="15">
    <w:abstractNumId w:val="50"/>
  </w:num>
  <w:num w:numId="16">
    <w:abstractNumId w:val="74"/>
  </w:num>
  <w:num w:numId="17">
    <w:abstractNumId w:val="44"/>
  </w:num>
  <w:num w:numId="18">
    <w:abstractNumId w:val="42"/>
  </w:num>
  <w:num w:numId="19">
    <w:abstractNumId w:val="14"/>
  </w:num>
  <w:num w:numId="20">
    <w:abstractNumId w:val="88"/>
  </w:num>
  <w:num w:numId="21">
    <w:abstractNumId w:val="99"/>
  </w:num>
  <w:num w:numId="22">
    <w:abstractNumId w:val="62"/>
  </w:num>
  <w:num w:numId="23">
    <w:abstractNumId w:val="86"/>
  </w:num>
  <w:num w:numId="24">
    <w:abstractNumId w:val="22"/>
  </w:num>
  <w:num w:numId="25">
    <w:abstractNumId w:val="110"/>
  </w:num>
  <w:num w:numId="26">
    <w:abstractNumId w:val="108"/>
  </w:num>
  <w:num w:numId="27">
    <w:abstractNumId w:val="32"/>
  </w:num>
  <w:num w:numId="28">
    <w:abstractNumId w:val="101"/>
  </w:num>
  <w:num w:numId="29">
    <w:abstractNumId w:val="10"/>
  </w:num>
  <w:num w:numId="30">
    <w:abstractNumId w:val="83"/>
  </w:num>
  <w:num w:numId="31">
    <w:abstractNumId w:val="4"/>
  </w:num>
  <w:num w:numId="32">
    <w:abstractNumId w:val="93"/>
  </w:num>
  <w:num w:numId="33">
    <w:abstractNumId w:val="111"/>
  </w:num>
  <w:num w:numId="34">
    <w:abstractNumId w:val="1"/>
  </w:num>
  <w:num w:numId="35">
    <w:abstractNumId w:val="73"/>
  </w:num>
  <w:num w:numId="36">
    <w:abstractNumId w:val="92"/>
  </w:num>
  <w:num w:numId="37">
    <w:abstractNumId w:val="53"/>
  </w:num>
  <w:num w:numId="38">
    <w:abstractNumId w:val="46"/>
  </w:num>
  <w:num w:numId="39">
    <w:abstractNumId w:val="79"/>
  </w:num>
  <w:num w:numId="40">
    <w:abstractNumId w:val="109"/>
  </w:num>
  <w:num w:numId="41">
    <w:abstractNumId w:val="28"/>
  </w:num>
  <w:num w:numId="42">
    <w:abstractNumId w:val="7"/>
  </w:num>
  <w:num w:numId="43">
    <w:abstractNumId w:val="27"/>
  </w:num>
  <w:num w:numId="44">
    <w:abstractNumId w:val="97"/>
  </w:num>
  <w:num w:numId="45">
    <w:abstractNumId w:val="3"/>
  </w:num>
  <w:num w:numId="46">
    <w:abstractNumId w:val="68"/>
  </w:num>
  <w:num w:numId="47">
    <w:abstractNumId w:val="6"/>
  </w:num>
  <w:num w:numId="48">
    <w:abstractNumId w:val="98"/>
  </w:num>
  <w:num w:numId="49">
    <w:abstractNumId w:val="106"/>
  </w:num>
  <w:num w:numId="50">
    <w:abstractNumId w:val="89"/>
  </w:num>
  <w:num w:numId="51">
    <w:abstractNumId w:val="80"/>
  </w:num>
  <w:num w:numId="52">
    <w:abstractNumId w:val="102"/>
  </w:num>
  <w:num w:numId="53">
    <w:abstractNumId w:val="60"/>
  </w:num>
  <w:num w:numId="54">
    <w:abstractNumId w:val="61"/>
  </w:num>
  <w:num w:numId="55">
    <w:abstractNumId w:val="41"/>
  </w:num>
  <w:num w:numId="56">
    <w:abstractNumId w:val="81"/>
  </w:num>
  <w:num w:numId="57">
    <w:abstractNumId w:val="71"/>
  </w:num>
  <w:num w:numId="58">
    <w:abstractNumId w:val="49"/>
  </w:num>
  <w:num w:numId="59">
    <w:abstractNumId w:val="72"/>
  </w:num>
  <w:num w:numId="60">
    <w:abstractNumId w:val="24"/>
  </w:num>
  <w:num w:numId="61">
    <w:abstractNumId w:val="85"/>
  </w:num>
  <w:num w:numId="62">
    <w:abstractNumId w:val="63"/>
  </w:num>
  <w:num w:numId="63">
    <w:abstractNumId w:val="82"/>
  </w:num>
  <w:num w:numId="64">
    <w:abstractNumId w:val="58"/>
  </w:num>
  <w:num w:numId="65">
    <w:abstractNumId w:val="35"/>
  </w:num>
  <w:num w:numId="66">
    <w:abstractNumId w:val="65"/>
  </w:num>
  <w:num w:numId="67">
    <w:abstractNumId w:val="23"/>
  </w:num>
  <w:num w:numId="68">
    <w:abstractNumId w:val="84"/>
  </w:num>
  <w:num w:numId="69">
    <w:abstractNumId w:val="18"/>
  </w:num>
  <w:num w:numId="70">
    <w:abstractNumId w:val="52"/>
  </w:num>
  <w:num w:numId="71">
    <w:abstractNumId w:val="78"/>
  </w:num>
  <w:num w:numId="72">
    <w:abstractNumId w:val="54"/>
  </w:num>
  <w:num w:numId="73">
    <w:abstractNumId w:val="67"/>
  </w:num>
  <w:num w:numId="74">
    <w:abstractNumId w:val="104"/>
  </w:num>
  <w:num w:numId="75">
    <w:abstractNumId w:val="47"/>
  </w:num>
  <w:num w:numId="76">
    <w:abstractNumId w:val="36"/>
  </w:num>
  <w:num w:numId="77">
    <w:abstractNumId w:val="17"/>
  </w:num>
  <w:num w:numId="78">
    <w:abstractNumId w:val="107"/>
  </w:num>
  <w:num w:numId="79">
    <w:abstractNumId w:val="43"/>
  </w:num>
  <w:num w:numId="80">
    <w:abstractNumId w:val="26"/>
  </w:num>
  <w:num w:numId="81">
    <w:abstractNumId w:val="77"/>
  </w:num>
  <w:num w:numId="82">
    <w:abstractNumId w:val="48"/>
  </w:num>
  <w:num w:numId="83">
    <w:abstractNumId w:val="12"/>
  </w:num>
  <w:num w:numId="84">
    <w:abstractNumId w:val="95"/>
  </w:num>
  <w:num w:numId="85">
    <w:abstractNumId w:val="30"/>
  </w:num>
  <w:num w:numId="86">
    <w:abstractNumId w:val="21"/>
  </w:num>
  <w:num w:numId="87">
    <w:abstractNumId w:val="11"/>
  </w:num>
  <w:num w:numId="88">
    <w:abstractNumId w:val="15"/>
  </w:num>
  <w:num w:numId="89">
    <w:abstractNumId w:val="20"/>
  </w:num>
  <w:num w:numId="90">
    <w:abstractNumId w:val="8"/>
  </w:num>
  <w:num w:numId="91">
    <w:abstractNumId w:val="70"/>
  </w:num>
  <w:num w:numId="92">
    <w:abstractNumId w:val="31"/>
  </w:num>
  <w:num w:numId="93">
    <w:abstractNumId w:val="66"/>
  </w:num>
  <w:num w:numId="94">
    <w:abstractNumId w:val="40"/>
  </w:num>
  <w:num w:numId="95">
    <w:abstractNumId w:val="103"/>
  </w:num>
  <w:num w:numId="96">
    <w:abstractNumId w:val="0"/>
  </w:num>
  <w:num w:numId="97">
    <w:abstractNumId w:val="29"/>
  </w:num>
  <w:num w:numId="98">
    <w:abstractNumId w:val="51"/>
  </w:num>
  <w:num w:numId="99">
    <w:abstractNumId w:val="90"/>
  </w:num>
  <w:num w:numId="100">
    <w:abstractNumId w:val="64"/>
  </w:num>
  <w:num w:numId="101">
    <w:abstractNumId w:val="13"/>
  </w:num>
  <w:num w:numId="102">
    <w:abstractNumId w:val="45"/>
  </w:num>
  <w:num w:numId="103">
    <w:abstractNumId w:val="69"/>
  </w:num>
  <w:num w:numId="104">
    <w:abstractNumId w:val="87"/>
  </w:num>
  <w:num w:numId="105">
    <w:abstractNumId w:val="19"/>
  </w:num>
  <w:num w:numId="106">
    <w:abstractNumId w:val="100"/>
  </w:num>
  <w:num w:numId="107">
    <w:abstractNumId w:val="2"/>
  </w:num>
  <w:num w:numId="108">
    <w:abstractNumId w:val="5"/>
  </w:num>
  <w:num w:numId="109">
    <w:abstractNumId w:val="56"/>
  </w:num>
  <w:num w:numId="110">
    <w:abstractNumId w:val="16"/>
  </w:num>
  <w:num w:numId="111">
    <w:abstractNumId w:val="34"/>
  </w:num>
  <w:num w:numId="11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7AA0E9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46"/>
      <w:ind w:hanging="632"/>
      <w:outlineLvl w:val="1"/>
    </w:pPr>
    <w:rPr>
      <w:rFonts w:ascii="宋体" w:hAnsi="宋体" w:eastAsia="宋体" w:cs="宋体"/>
      <w:b/>
      <w:bCs/>
      <w:sz w:val="36"/>
      <w:szCs w:val="36"/>
      <w:lang w:val="zh-CN" w:eastAsia="zh-CN" w:bidi="zh-CN"/>
    </w:rPr>
  </w:style>
  <w:style w:type="paragraph" w:styleId="3">
    <w:name w:val="heading 2"/>
    <w:basedOn w:val="1"/>
    <w:next w:val="1"/>
    <w:qFormat/>
    <w:uiPriority w:val="1"/>
    <w:pPr>
      <w:ind w:left="667" w:hanging="450"/>
      <w:outlineLvl w:val="2"/>
    </w:pPr>
    <w:rPr>
      <w:rFonts w:ascii="宋体" w:hAnsi="宋体" w:eastAsia="宋体" w:cs="宋体"/>
      <w:b/>
      <w:bCs/>
      <w:sz w:val="30"/>
      <w:szCs w:val="30"/>
      <w:lang w:val="zh-CN" w:eastAsia="zh-CN" w:bidi="zh-CN"/>
    </w:rPr>
  </w:style>
  <w:style w:type="paragraph" w:styleId="4">
    <w:name w:val="heading 3"/>
    <w:basedOn w:val="1"/>
    <w:next w:val="1"/>
    <w:qFormat/>
    <w:uiPriority w:val="1"/>
    <w:pPr>
      <w:ind w:left="847" w:hanging="630"/>
      <w:outlineLvl w:val="3"/>
    </w:pPr>
    <w:rPr>
      <w:rFonts w:ascii="宋体" w:hAnsi="宋体" w:eastAsia="宋体" w:cs="宋体"/>
      <w:b/>
      <w:bCs/>
      <w:sz w:val="28"/>
      <w:szCs w:val="28"/>
      <w:lang w:val="zh-CN" w:eastAsia="zh-CN" w:bidi="zh-CN"/>
    </w:rPr>
  </w:style>
  <w:style w:type="paragraph" w:styleId="5">
    <w:name w:val="heading 4"/>
    <w:basedOn w:val="1"/>
    <w:next w:val="1"/>
    <w:qFormat/>
    <w:uiPriority w:val="1"/>
    <w:pPr>
      <w:outlineLvl w:val="4"/>
    </w:pPr>
    <w:rPr>
      <w:rFonts w:ascii="宋体" w:hAnsi="宋体" w:eastAsia="宋体" w:cs="宋体"/>
      <w:b/>
      <w:bCs/>
      <w:sz w:val="24"/>
      <w:szCs w:val="24"/>
      <w:lang w:val="zh-CN" w:eastAsia="zh-CN" w:bidi="zh-CN"/>
    </w:rPr>
  </w:style>
  <w:style w:type="character" w:default="1" w:styleId="11">
    <w:name w:val="Default Paragraph Font"/>
    <w:semiHidden/>
    <w:unhideWhenUsed/>
    <w:uiPriority w:val="1"/>
  </w:style>
  <w:style w:type="table" w:default="1" w:styleId="10">
    <w:name w:val="Normal Table"/>
    <w:semiHidden/>
    <w:uiPriority w:val="0"/>
    <w:tblPr>
      <w:tblCellMar>
        <w:top w:w="0" w:type="dxa"/>
        <w:left w:w="108" w:type="dxa"/>
        <w:bottom w:w="0" w:type="dxa"/>
        <w:right w:w="108" w:type="dxa"/>
      </w:tblCellMar>
    </w:tblPr>
  </w:style>
  <w:style w:type="paragraph" w:styleId="6">
    <w:name w:val="Body Text"/>
    <w:basedOn w:val="1"/>
    <w:qFormat/>
    <w:uiPriority w:val="1"/>
    <w:rPr>
      <w:rFonts w:ascii="宋体" w:hAnsi="宋体" w:eastAsia="宋体" w:cs="宋体"/>
      <w:sz w:val="24"/>
      <w:szCs w:val="24"/>
      <w:lang w:val="zh-CN" w:eastAsia="zh-CN" w:bidi="zh-CN"/>
    </w:rPr>
  </w:style>
  <w:style w:type="paragraph" w:styleId="7">
    <w:name w:val="toc 3"/>
    <w:basedOn w:val="1"/>
    <w:next w:val="1"/>
    <w:qFormat/>
    <w:uiPriority w:val="1"/>
    <w:pPr>
      <w:spacing w:before="2"/>
      <w:ind w:left="1774" w:hanging="315"/>
    </w:pPr>
    <w:rPr>
      <w:rFonts w:ascii="宋体" w:hAnsi="宋体" w:eastAsia="宋体" w:cs="宋体"/>
      <w:sz w:val="21"/>
      <w:szCs w:val="21"/>
      <w:lang w:val="zh-CN" w:eastAsia="zh-CN" w:bidi="zh-CN"/>
    </w:rPr>
  </w:style>
  <w:style w:type="paragraph" w:styleId="8">
    <w:name w:val="toc 1"/>
    <w:basedOn w:val="1"/>
    <w:next w:val="1"/>
    <w:qFormat/>
    <w:uiPriority w:val="1"/>
    <w:pPr>
      <w:spacing w:before="42"/>
      <w:ind w:left="1252" w:right="36" w:hanging="1253"/>
    </w:pPr>
    <w:rPr>
      <w:rFonts w:ascii="宋体" w:hAnsi="宋体" w:eastAsia="宋体" w:cs="宋体"/>
      <w:sz w:val="28"/>
      <w:szCs w:val="28"/>
      <w:lang w:val="zh-CN" w:eastAsia="zh-CN" w:bidi="zh-CN"/>
    </w:rPr>
  </w:style>
  <w:style w:type="paragraph" w:styleId="9">
    <w:name w:val="toc 2"/>
    <w:basedOn w:val="1"/>
    <w:next w:val="1"/>
    <w:qFormat/>
    <w:uiPriority w:val="1"/>
    <w:pPr>
      <w:spacing w:before="42"/>
      <w:ind w:left="1392" w:hanging="353"/>
    </w:pPr>
    <w:rPr>
      <w:rFonts w:ascii="宋体" w:hAnsi="宋体" w:eastAsia="宋体" w:cs="宋体"/>
      <w:sz w:val="28"/>
      <w:szCs w:val="28"/>
      <w:lang w:val="zh-CN" w:eastAsia="zh-CN" w:bidi="zh-CN"/>
    </w:rPr>
  </w:style>
  <w:style w:type="table" w:customStyle="1" w:styleId="12">
    <w:name w:val="Table Normal"/>
    <w:semiHidden/>
    <w:unhideWhenUsed/>
    <w:qFormat/>
    <w:uiPriority w:val="2"/>
    <w:tblPr>
      <w:tblCellMar>
        <w:top w:w="0" w:type="dxa"/>
        <w:left w:w="0" w:type="dxa"/>
        <w:bottom w:w="0" w:type="dxa"/>
        <w:right w:w="0" w:type="dxa"/>
      </w:tblCellMar>
    </w:tblPr>
  </w:style>
  <w:style w:type="paragraph" w:styleId="13">
    <w:name w:val="List Paragraph"/>
    <w:basedOn w:val="1"/>
    <w:qFormat/>
    <w:uiPriority w:val="1"/>
    <w:pPr>
      <w:ind w:left="1774" w:hanging="601"/>
    </w:pPr>
    <w:rPr>
      <w:rFonts w:ascii="宋体" w:hAnsi="宋体" w:eastAsia="宋体" w:cs="宋体"/>
      <w:lang w:val="zh-CN" w:eastAsia="zh-CN" w:bidi="zh-CN"/>
    </w:rPr>
  </w:style>
  <w:style w:type="paragraph" w:customStyle="1" w:styleId="14">
    <w:name w:val="Table Paragraph"/>
    <w:basedOn w:val="1"/>
    <w:qFormat/>
    <w:uiPriority w:val="1"/>
    <w:pPr>
      <w:jc w:val="center"/>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2" Type="http://schemas.openxmlformats.org/officeDocument/2006/relationships/fontTable" Target="fontTable.xml"/><Relationship Id="rId81" Type="http://schemas.openxmlformats.org/officeDocument/2006/relationships/numbering" Target="numbering.xml"/><Relationship Id="rId80" Type="http://schemas.openxmlformats.org/officeDocument/2006/relationships/customXml" Target="../customXml/item1.xml"/><Relationship Id="rId8" Type="http://schemas.openxmlformats.org/officeDocument/2006/relationships/footer" Target="footer6.xml"/><Relationship Id="rId79" Type="http://schemas.openxmlformats.org/officeDocument/2006/relationships/image" Target="media/image44.jpeg"/><Relationship Id="rId78" Type="http://schemas.openxmlformats.org/officeDocument/2006/relationships/image" Target="media/image43.jpeg"/><Relationship Id="rId77" Type="http://schemas.openxmlformats.org/officeDocument/2006/relationships/image" Target="media/image42.jpeg"/><Relationship Id="rId76" Type="http://schemas.openxmlformats.org/officeDocument/2006/relationships/image" Target="media/image41.png"/><Relationship Id="rId75" Type="http://schemas.openxmlformats.org/officeDocument/2006/relationships/image" Target="media/image40.png"/><Relationship Id="rId74" Type="http://schemas.openxmlformats.org/officeDocument/2006/relationships/image" Target="media/image39.png"/><Relationship Id="rId73" Type="http://schemas.openxmlformats.org/officeDocument/2006/relationships/image" Target="media/image38.png"/><Relationship Id="rId72" Type="http://schemas.openxmlformats.org/officeDocument/2006/relationships/image" Target="media/image37.jpeg"/><Relationship Id="rId71" Type="http://schemas.openxmlformats.org/officeDocument/2006/relationships/image" Target="media/image36.jpeg"/><Relationship Id="rId70" Type="http://schemas.openxmlformats.org/officeDocument/2006/relationships/image" Target="media/image35.jpeg"/><Relationship Id="rId7" Type="http://schemas.openxmlformats.org/officeDocument/2006/relationships/footer" Target="footer5.xml"/><Relationship Id="rId69" Type="http://schemas.openxmlformats.org/officeDocument/2006/relationships/image" Target="media/image34.png"/><Relationship Id="rId68" Type="http://schemas.openxmlformats.org/officeDocument/2006/relationships/image" Target="media/image33.png"/><Relationship Id="rId67" Type="http://schemas.openxmlformats.org/officeDocument/2006/relationships/image" Target="media/image32.png"/><Relationship Id="rId66" Type="http://schemas.openxmlformats.org/officeDocument/2006/relationships/image" Target="media/image31.png"/><Relationship Id="rId65" Type="http://schemas.openxmlformats.org/officeDocument/2006/relationships/image" Target="media/image30.jpeg"/><Relationship Id="rId64" Type="http://schemas.openxmlformats.org/officeDocument/2006/relationships/image" Target="media/image29.png"/><Relationship Id="rId63" Type="http://schemas.openxmlformats.org/officeDocument/2006/relationships/image" Target="media/image28.png"/><Relationship Id="rId62" Type="http://schemas.openxmlformats.org/officeDocument/2006/relationships/image" Target="media/image27.png"/><Relationship Id="rId61" Type="http://schemas.openxmlformats.org/officeDocument/2006/relationships/image" Target="media/image26.png"/><Relationship Id="rId60" Type="http://schemas.openxmlformats.org/officeDocument/2006/relationships/image" Target="media/image25.jpeg"/><Relationship Id="rId6" Type="http://schemas.openxmlformats.org/officeDocument/2006/relationships/footer" Target="footer4.xml"/><Relationship Id="rId59" Type="http://schemas.openxmlformats.org/officeDocument/2006/relationships/image" Target="media/image24.jpeg"/><Relationship Id="rId58" Type="http://schemas.openxmlformats.org/officeDocument/2006/relationships/image" Target="media/image23.png"/><Relationship Id="rId57" Type="http://schemas.openxmlformats.org/officeDocument/2006/relationships/image" Target="media/image22.png"/><Relationship Id="rId56" Type="http://schemas.openxmlformats.org/officeDocument/2006/relationships/image" Target="media/image21.png"/><Relationship Id="rId55" Type="http://schemas.openxmlformats.org/officeDocument/2006/relationships/image" Target="media/image20.png"/><Relationship Id="rId54" Type="http://schemas.openxmlformats.org/officeDocument/2006/relationships/image" Target="media/image19.png"/><Relationship Id="rId53" Type="http://schemas.openxmlformats.org/officeDocument/2006/relationships/image" Target="media/image18.jpeg"/><Relationship Id="rId52" Type="http://schemas.openxmlformats.org/officeDocument/2006/relationships/image" Target="media/image17.jpeg"/><Relationship Id="rId51" Type="http://schemas.openxmlformats.org/officeDocument/2006/relationships/image" Target="media/image16.png"/><Relationship Id="rId50" Type="http://schemas.openxmlformats.org/officeDocument/2006/relationships/image" Target="media/image15.png"/><Relationship Id="rId5" Type="http://schemas.openxmlformats.org/officeDocument/2006/relationships/footer" Target="footer3.xml"/><Relationship Id="rId49" Type="http://schemas.openxmlformats.org/officeDocument/2006/relationships/image" Target="media/image14.jpeg"/><Relationship Id="rId48" Type="http://schemas.openxmlformats.org/officeDocument/2006/relationships/image" Target="media/image13.jpeg"/><Relationship Id="rId47" Type="http://schemas.openxmlformats.org/officeDocument/2006/relationships/image" Target="media/image12.jpeg"/><Relationship Id="rId46" Type="http://schemas.openxmlformats.org/officeDocument/2006/relationships/image" Target="media/image11.jpeg"/><Relationship Id="rId45" Type="http://schemas.openxmlformats.org/officeDocument/2006/relationships/image" Target="media/image10.jpeg"/><Relationship Id="rId44" Type="http://schemas.openxmlformats.org/officeDocument/2006/relationships/image" Target="media/image9.jpeg"/><Relationship Id="rId43" Type="http://schemas.openxmlformats.org/officeDocument/2006/relationships/image" Target="media/image8.jpeg"/><Relationship Id="rId42" Type="http://schemas.openxmlformats.org/officeDocument/2006/relationships/image" Target="media/image7.jpeg"/><Relationship Id="rId41" Type="http://schemas.openxmlformats.org/officeDocument/2006/relationships/image" Target="media/image6.jpeg"/><Relationship Id="rId40" Type="http://schemas.openxmlformats.org/officeDocument/2006/relationships/image" Target="media/image5.jpeg"/><Relationship Id="rId4" Type="http://schemas.openxmlformats.org/officeDocument/2006/relationships/footer" Target="footer2.xml"/><Relationship Id="rId39" Type="http://schemas.openxmlformats.org/officeDocument/2006/relationships/image" Target="media/image4.jpeg"/><Relationship Id="rId38" Type="http://schemas.openxmlformats.org/officeDocument/2006/relationships/image" Target="media/image3.jpeg"/><Relationship Id="rId37" Type="http://schemas.openxmlformats.org/officeDocument/2006/relationships/image" Target="media/image2.jpeg"/><Relationship Id="rId36" Type="http://schemas.openxmlformats.org/officeDocument/2006/relationships/image" Target="media/image1.jpeg"/><Relationship Id="rId35" Type="http://schemas.openxmlformats.org/officeDocument/2006/relationships/theme" Target="theme/theme1.xml"/><Relationship Id="rId34" Type="http://schemas.openxmlformats.org/officeDocument/2006/relationships/footer" Target="footer32.xml"/><Relationship Id="rId33" Type="http://schemas.openxmlformats.org/officeDocument/2006/relationships/footer" Target="footer31.xml"/><Relationship Id="rId32" Type="http://schemas.openxmlformats.org/officeDocument/2006/relationships/footer" Target="footer30.xml"/><Relationship Id="rId31" Type="http://schemas.openxmlformats.org/officeDocument/2006/relationships/footer" Target="footer29.xml"/><Relationship Id="rId30" Type="http://schemas.openxmlformats.org/officeDocument/2006/relationships/footer" Target="footer28.xml"/><Relationship Id="rId3" Type="http://schemas.openxmlformats.org/officeDocument/2006/relationships/footer" Target="footer1.xml"/><Relationship Id="rId29" Type="http://schemas.openxmlformats.org/officeDocument/2006/relationships/footer" Target="footer27.xml"/><Relationship Id="rId28" Type="http://schemas.openxmlformats.org/officeDocument/2006/relationships/footer" Target="footer26.xml"/><Relationship Id="rId27" Type="http://schemas.openxmlformats.org/officeDocument/2006/relationships/footer" Target="footer25.xml"/><Relationship Id="rId26" Type="http://schemas.openxmlformats.org/officeDocument/2006/relationships/footer" Target="footer24.xml"/><Relationship Id="rId25" Type="http://schemas.openxmlformats.org/officeDocument/2006/relationships/footer" Target="footer23.xml"/><Relationship Id="rId24" Type="http://schemas.openxmlformats.org/officeDocument/2006/relationships/footer" Target="footer22.xml"/><Relationship Id="rId23" Type="http://schemas.openxmlformats.org/officeDocument/2006/relationships/footer" Target="footer2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2020-10-15T09:41:00Z</dcterms:created>
  <dc:creator>Administrator</dc:creator>
  <cp:lastModifiedBy>常雷</cp:lastModifiedBy>
  <dcterms:modified xsi:type="dcterms:W3CDTF">2020-10-15T09:41:41Z</dcterms:modified>
  <dc:title>前    言</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2020-10-14T00:00:00Z</vt:filetime>
  </property>
  <property fmtid="{D5CDD505-2E9C-101B-9397-08002B2CF9AE}" pid="3" name="Creator">
    <vt:lpwstr>WPS 文字</vt:lpwstr>
  </property>
  <property fmtid="{D5CDD505-2E9C-101B-9397-08002B2CF9AE}" pid="4" name="LastSaved">
    <vt:filetime>2020-10-15T00:00:00Z</vt:filetime>
  </property>
  <property fmtid="{D5CDD505-2E9C-101B-9397-08002B2CF9AE}" pid="5" name="KSOProductBuildVer">
    <vt:lpwstr>2052-11.1.0.9999</vt:lpwstr>
  </property>
</Properties>
</file>